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firstLine="5"/>
        <w:jc w:val="center"/>
        <w:rPr>
          <w:rFonts w:hAnsi="宋体"/>
          <w:b/>
        </w:rPr>
      </w:pPr>
    </w:p>
    <w:p>
      <w:pPr>
        <w:widowControl/>
        <w:ind w:firstLine="1044" w:firstLineChars="200"/>
        <w:jc w:val="left"/>
        <w:rPr>
          <w:rFonts w:ascii="宋体" w:hAnsi="宋体" w:cs="宋体"/>
          <w:b/>
          <w:bCs/>
          <w:color w:val="000000"/>
          <w:kern w:val="0"/>
        </w:rPr>
      </w:pPr>
      <w:r>
        <w:rPr>
          <w:rFonts w:hint="eastAsia" w:ascii="宋体" w:hAnsi="宋体" w:cs="宋体"/>
          <w:b/>
          <w:bCs/>
          <w:color w:val="000000"/>
          <w:kern w:val="0"/>
          <w:sz w:val="52"/>
          <w:szCs w:val="52"/>
        </w:rPr>
        <w:t>广西元强建设项目管理有限公司</w:t>
      </w:r>
    </w:p>
    <w:tbl>
      <w:tblPr>
        <w:tblStyle w:val="36"/>
        <w:tblW w:w="9500" w:type="dxa"/>
        <w:tblInd w:w="3"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00"/>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00" w:type="dxa"/>
            <w:noWrap/>
          </w:tcPr>
          <w:p>
            <w:pPr>
              <w:pStyle w:val="20"/>
              <w:tabs>
                <w:tab w:val="left" w:pos="-30"/>
              </w:tabs>
              <w:spacing w:line="400" w:lineRule="exact"/>
              <w:jc w:val="center"/>
              <w:rPr>
                <w:rFonts w:hAnsi="宋体"/>
                <w:color w:val="000000"/>
                <w:sz w:val="24"/>
              </w:rPr>
            </w:pPr>
          </w:p>
        </w:tc>
      </w:tr>
    </w:tbl>
    <w:p>
      <w:pPr>
        <w:pStyle w:val="20"/>
        <w:ind w:firstLine="5"/>
        <w:jc w:val="center"/>
        <w:rPr>
          <w:rFonts w:hAnsi="宋体"/>
          <w:b/>
        </w:rPr>
      </w:pPr>
    </w:p>
    <w:p>
      <w:pPr>
        <w:pStyle w:val="20"/>
        <w:ind w:firstLine="5"/>
        <w:jc w:val="center"/>
        <w:rPr>
          <w:rFonts w:hAnsi="宋体"/>
          <w:b/>
        </w:rPr>
      </w:pPr>
    </w:p>
    <w:p>
      <w:pPr>
        <w:pStyle w:val="20"/>
        <w:ind w:firstLine="5"/>
        <w:jc w:val="center"/>
        <w:rPr>
          <w:rFonts w:hAnsi="宋体"/>
          <w:b/>
        </w:rPr>
      </w:pPr>
      <w:r>
        <w:rPr>
          <w:rFonts w:hAnsi="宋体" w:cs="宋体"/>
          <w:b/>
          <w:bCs/>
          <w:kern w:val="0"/>
        </w:rPr>
        <w:drawing>
          <wp:anchor distT="0" distB="0" distL="114300" distR="114300" simplePos="0" relativeHeight="251667456" behindDoc="0" locked="0" layoutInCell="1" allowOverlap="1">
            <wp:simplePos x="0" y="0"/>
            <wp:positionH relativeFrom="column">
              <wp:posOffset>1826260</wp:posOffset>
            </wp:positionH>
            <wp:positionV relativeFrom="paragraph">
              <wp:posOffset>36195</wp:posOffset>
            </wp:positionV>
            <wp:extent cx="2084070" cy="1471930"/>
            <wp:effectExtent l="0" t="0" r="11430" b="13970"/>
            <wp:wrapSquare wrapText="bothSides"/>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0"/>
                    <a:srcRect b="13757"/>
                    <a:stretch>
                      <a:fillRect/>
                    </a:stretch>
                  </pic:blipFill>
                  <pic:spPr>
                    <a:xfrm>
                      <a:off x="0" y="0"/>
                      <a:ext cx="2084070" cy="1471930"/>
                    </a:xfrm>
                    <a:prstGeom prst="rect">
                      <a:avLst/>
                    </a:prstGeom>
                    <a:noFill/>
                    <a:ln>
                      <a:noFill/>
                    </a:ln>
                  </pic:spPr>
                </pic:pic>
              </a:graphicData>
            </a:graphic>
          </wp:anchor>
        </w:drawing>
      </w:r>
    </w:p>
    <w:p>
      <w:pPr>
        <w:pStyle w:val="20"/>
        <w:ind w:firstLine="5"/>
        <w:jc w:val="center"/>
        <w:rPr>
          <w:rFonts w:hAnsi="宋体"/>
          <w:b/>
        </w:rPr>
      </w:pPr>
    </w:p>
    <w:p>
      <w:pPr>
        <w:pStyle w:val="20"/>
        <w:ind w:firstLine="5"/>
        <w:jc w:val="center"/>
        <w:rPr>
          <w:rFonts w:hAnsi="宋体"/>
          <w:b/>
        </w:rPr>
      </w:pPr>
    </w:p>
    <w:p>
      <w:pPr>
        <w:pStyle w:val="20"/>
        <w:ind w:firstLine="5"/>
        <w:jc w:val="center"/>
        <w:rPr>
          <w:rFonts w:hAnsi="宋体"/>
          <w:sz w:val="30"/>
          <w:szCs w:val="72"/>
        </w:rPr>
      </w:pPr>
    </w:p>
    <w:p>
      <w:pPr>
        <w:pStyle w:val="20"/>
        <w:jc w:val="center"/>
        <w:rPr>
          <w:rFonts w:hAnsi="宋体"/>
          <w:b/>
          <w:spacing w:val="-18"/>
          <w:sz w:val="96"/>
        </w:rPr>
      </w:pPr>
    </w:p>
    <w:p>
      <w:pPr>
        <w:pStyle w:val="20"/>
        <w:jc w:val="center"/>
        <w:outlineLvl w:val="0"/>
        <w:rPr>
          <w:rFonts w:hAnsi="宋体"/>
          <w:sz w:val="72"/>
          <w:szCs w:val="72"/>
        </w:rPr>
      </w:pPr>
      <w:r>
        <w:rPr>
          <w:rFonts w:hint="eastAsia" w:hAnsi="宋体"/>
          <w:sz w:val="72"/>
          <w:szCs w:val="72"/>
        </w:rPr>
        <w:t>竞争性谈判采购文件</w:t>
      </w: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rPr>
          <w:rFonts w:hAnsi="宋体"/>
          <w:b/>
        </w:rPr>
      </w:pPr>
    </w:p>
    <w:p>
      <w:pPr>
        <w:pStyle w:val="20"/>
        <w:ind w:firstLine="1958" w:firstLineChars="650"/>
        <w:rPr>
          <w:rFonts w:hAnsi="宋体"/>
          <w:b/>
          <w:sz w:val="30"/>
          <w:szCs w:val="72"/>
        </w:rPr>
      </w:pPr>
      <w:r>
        <w:rPr>
          <w:rFonts w:hint="eastAsia" w:hAnsi="宋体"/>
          <w:b/>
          <w:sz w:val="30"/>
          <w:szCs w:val="72"/>
        </w:rPr>
        <w:t>项目编号：QZZC2020-J1-000901-GXYQ</w:t>
      </w:r>
    </w:p>
    <w:p>
      <w:pPr>
        <w:pStyle w:val="20"/>
        <w:ind w:left="3439" w:leftChars="926" w:hanging="1494" w:hangingChars="496"/>
        <w:rPr>
          <w:rFonts w:hAnsi="宋体"/>
          <w:b/>
          <w:sz w:val="30"/>
          <w:szCs w:val="72"/>
        </w:rPr>
      </w:pPr>
      <w:r>
        <w:rPr>
          <w:rFonts w:hint="eastAsia" w:hAnsi="宋体"/>
          <w:b/>
          <w:sz w:val="30"/>
          <w:szCs w:val="72"/>
        </w:rPr>
        <w:t>项目名称： 医疗设备采购及安装</w:t>
      </w:r>
    </w:p>
    <w:p>
      <w:pPr>
        <w:pStyle w:val="20"/>
        <w:ind w:firstLine="1958" w:firstLineChars="650"/>
        <w:rPr>
          <w:rFonts w:hAnsi="宋体"/>
          <w:b/>
          <w:sz w:val="30"/>
          <w:szCs w:val="72"/>
        </w:rPr>
      </w:pPr>
      <w:r>
        <w:rPr>
          <w:rFonts w:hint="eastAsia" w:hAnsi="宋体"/>
          <w:b/>
          <w:sz w:val="30"/>
          <w:szCs w:val="72"/>
        </w:rPr>
        <w:t>采购单位：浦北县人民医院</w:t>
      </w:r>
    </w:p>
    <w:p>
      <w:pPr>
        <w:pStyle w:val="20"/>
        <w:ind w:firstLine="1958" w:firstLineChars="650"/>
        <w:rPr>
          <w:rFonts w:hAnsi="宋体"/>
          <w:b/>
          <w:sz w:val="30"/>
          <w:szCs w:val="72"/>
        </w:rPr>
      </w:pPr>
      <w:r>
        <w:rPr>
          <w:rFonts w:hint="eastAsia" w:hAnsi="宋体"/>
          <w:b/>
          <w:sz w:val="30"/>
          <w:szCs w:val="72"/>
        </w:rPr>
        <w:t xml:space="preserve">采购代理机构：广西元强建设项目管理有限公司 </w:t>
      </w:r>
    </w:p>
    <w:p>
      <w:pPr>
        <w:pStyle w:val="20"/>
        <w:ind w:firstLine="3313" w:firstLineChars="1100"/>
        <w:rPr>
          <w:rFonts w:hAnsi="宋体"/>
          <w:b/>
          <w:sz w:val="30"/>
          <w:szCs w:val="72"/>
        </w:rPr>
      </w:pPr>
      <w:r>
        <w:rPr>
          <w:rFonts w:hint="eastAsia" w:hAnsi="宋体"/>
          <w:b/>
          <w:sz w:val="30"/>
          <w:szCs w:val="72"/>
        </w:rPr>
        <w:t>2020年9月</w:t>
      </w:r>
    </w:p>
    <w:p>
      <w:pPr>
        <w:jc w:val="cente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18" w:right="1133" w:bottom="1418" w:left="1418" w:header="720" w:footer="720" w:gutter="0"/>
          <w:pgNumType w:start="0"/>
          <w:cols w:space="720" w:num="1"/>
          <w:titlePg/>
          <w:docGrid w:type="lines" w:linePitch="312" w:charSpace="0"/>
        </w:sectPr>
      </w:pPr>
    </w:p>
    <w:p>
      <w:pPr>
        <w:pStyle w:val="20"/>
        <w:snapToGrid w:val="0"/>
        <w:spacing w:line="360" w:lineRule="auto"/>
        <w:jc w:val="center"/>
        <w:rPr>
          <w:rFonts w:hAnsi="宋体"/>
          <w:b/>
          <w:sz w:val="44"/>
          <w:szCs w:val="44"/>
        </w:rPr>
      </w:pPr>
    </w:p>
    <w:p>
      <w:pPr>
        <w:pStyle w:val="20"/>
        <w:snapToGrid w:val="0"/>
        <w:spacing w:line="360" w:lineRule="auto"/>
        <w:jc w:val="center"/>
        <w:rPr>
          <w:rFonts w:hAnsi="宋体"/>
          <w:b/>
          <w:sz w:val="44"/>
          <w:szCs w:val="44"/>
        </w:rPr>
      </w:pPr>
      <w:r>
        <w:rPr>
          <w:rFonts w:hint="eastAsia" w:hAnsi="宋体"/>
          <w:b/>
          <w:sz w:val="44"/>
          <w:szCs w:val="44"/>
        </w:rPr>
        <w:t>目  录</w:t>
      </w:r>
    </w:p>
    <w:p>
      <w:pPr>
        <w:pStyle w:val="20"/>
        <w:ind w:firstLine="412"/>
        <w:rPr>
          <w:rFonts w:hAnsi="宋体"/>
          <w:b/>
          <w:sz w:val="32"/>
          <w:szCs w:val="32"/>
        </w:rPr>
      </w:pPr>
      <w:r>
        <w:rPr>
          <w:rFonts w:hint="eastAsia" w:hAnsi="宋体"/>
          <w:b/>
          <w:sz w:val="32"/>
          <w:szCs w:val="32"/>
        </w:rPr>
        <w:t>竞争性谈判采购公告................................2</w:t>
      </w:r>
    </w:p>
    <w:p>
      <w:pPr>
        <w:pStyle w:val="20"/>
        <w:ind w:firstLine="412"/>
        <w:rPr>
          <w:rFonts w:hAnsi="宋体"/>
          <w:b/>
          <w:sz w:val="32"/>
          <w:szCs w:val="32"/>
        </w:rPr>
      </w:pPr>
      <w:r>
        <w:rPr>
          <w:rFonts w:hint="eastAsia" w:hAnsi="宋体"/>
          <w:b/>
          <w:sz w:val="32"/>
          <w:szCs w:val="32"/>
        </w:rPr>
        <w:t>第一章：供应商须知前附表...........................5</w:t>
      </w:r>
    </w:p>
    <w:p>
      <w:pPr>
        <w:pStyle w:val="20"/>
        <w:ind w:firstLine="412"/>
        <w:rPr>
          <w:rFonts w:hAnsi="宋体"/>
          <w:b/>
          <w:sz w:val="32"/>
          <w:szCs w:val="32"/>
        </w:rPr>
      </w:pPr>
      <w:r>
        <w:rPr>
          <w:rFonts w:hint="eastAsia" w:hAnsi="宋体"/>
          <w:b/>
          <w:sz w:val="32"/>
          <w:szCs w:val="32"/>
        </w:rPr>
        <w:t>第二章：评标方法...................................14</w:t>
      </w:r>
    </w:p>
    <w:p>
      <w:pPr>
        <w:pStyle w:val="20"/>
        <w:ind w:firstLine="412"/>
        <w:rPr>
          <w:rFonts w:hAnsi="宋体"/>
          <w:b/>
          <w:sz w:val="32"/>
          <w:szCs w:val="32"/>
        </w:rPr>
      </w:pPr>
      <w:r>
        <w:rPr>
          <w:rFonts w:hint="eastAsia" w:hAnsi="宋体"/>
          <w:b/>
          <w:sz w:val="32"/>
          <w:szCs w:val="32"/>
        </w:rPr>
        <w:t>第三章：</w:t>
      </w:r>
      <w:r>
        <w:rPr>
          <w:rFonts w:hint="eastAsia" w:hAnsi="宋体"/>
          <w:b/>
          <w:sz w:val="32"/>
          <w:szCs w:val="32"/>
          <w:lang w:eastAsia="zh-CN"/>
        </w:rPr>
        <w:t>货物需求一览表</w:t>
      </w:r>
      <w:r>
        <w:rPr>
          <w:rFonts w:hint="eastAsia" w:hAnsi="宋体"/>
          <w:b/>
          <w:sz w:val="32"/>
          <w:szCs w:val="32"/>
        </w:rPr>
        <w:t xml:space="preserve"> ...........................15</w:t>
      </w:r>
    </w:p>
    <w:p>
      <w:pPr>
        <w:pStyle w:val="20"/>
        <w:ind w:left="409"/>
        <w:rPr>
          <w:rFonts w:hAnsi="宋体"/>
          <w:b/>
          <w:sz w:val="32"/>
          <w:szCs w:val="32"/>
        </w:rPr>
      </w:pPr>
      <w:r>
        <w:rPr>
          <w:rFonts w:hint="eastAsia" w:hAnsi="宋体"/>
          <w:b/>
          <w:sz w:val="32"/>
          <w:szCs w:val="32"/>
        </w:rPr>
        <w:t>第四章：谈判响应文件基本格式.......................18</w:t>
      </w:r>
    </w:p>
    <w:p>
      <w:pPr>
        <w:pStyle w:val="20"/>
        <w:ind w:left="409"/>
        <w:rPr>
          <w:rFonts w:hAnsi="宋体"/>
          <w:b/>
          <w:sz w:val="32"/>
          <w:szCs w:val="32"/>
        </w:rPr>
      </w:pPr>
      <w:r>
        <w:rPr>
          <w:rFonts w:hint="eastAsia" w:hAnsi="宋体"/>
          <w:b/>
          <w:sz w:val="32"/>
          <w:szCs w:val="32"/>
        </w:rPr>
        <w:t>第五章：政府采购合同（格式）.......................29</w:t>
      </w:r>
    </w:p>
    <w:p>
      <w:pPr>
        <w:spacing w:line="360" w:lineRule="auto"/>
        <w:jc w:val="left"/>
        <w:rPr>
          <w:rFonts w:ascii="宋体" w:hAnsi="宋体"/>
          <w:sz w:val="32"/>
        </w:rPr>
      </w:pPr>
    </w:p>
    <w:p>
      <w:pPr>
        <w:spacing w:line="360" w:lineRule="auto"/>
        <w:jc w:val="left"/>
        <w:rPr>
          <w:rFonts w:ascii="宋体" w:hAnsi="宋体"/>
          <w:sz w:val="32"/>
        </w:rPr>
      </w:pPr>
    </w:p>
    <w:p>
      <w:pPr>
        <w:spacing w:line="360" w:lineRule="auto"/>
        <w:ind w:firstLine="640" w:firstLineChars="200"/>
        <w:jc w:val="center"/>
        <w:rPr>
          <w:rFonts w:ascii="宋体" w:hAnsi="宋体"/>
          <w:b/>
          <w:sz w:val="36"/>
          <w:szCs w:val="36"/>
        </w:rPr>
      </w:pPr>
      <w:r>
        <w:rPr>
          <w:rFonts w:hint="eastAsia" w:ascii="宋体" w:hAnsi="宋体"/>
          <w:sz w:val="32"/>
        </w:rPr>
        <w:t>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r>
        <w:rPr>
          <w:rFonts w:ascii="宋体" w:hAnsi="宋体"/>
          <w:sz w:val="32"/>
        </w:rPr>
        <w:br w:type="page"/>
      </w:r>
      <w:r>
        <w:rPr>
          <w:rFonts w:hint="eastAsia" w:ascii="宋体" w:hAnsi="宋体"/>
          <w:b/>
          <w:sz w:val="36"/>
          <w:szCs w:val="36"/>
        </w:rPr>
        <w:t xml:space="preserve">广西元强建设项目管理有限公司 </w:t>
      </w:r>
    </w:p>
    <w:p>
      <w:pPr>
        <w:spacing w:line="400" w:lineRule="exact"/>
        <w:jc w:val="center"/>
        <w:outlineLvl w:val="0"/>
        <w:rPr>
          <w:rFonts w:ascii="宋体" w:hAnsi="宋体"/>
          <w:b/>
          <w:sz w:val="30"/>
          <w:szCs w:val="30"/>
        </w:rPr>
      </w:pPr>
      <w:r>
        <w:rPr>
          <w:rFonts w:hint="eastAsia" w:ascii="宋体" w:hAnsi="宋体"/>
          <w:b/>
          <w:sz w:val="30"/>
          <w:szCs w:val="30"/>
        </w:rPr>
        <w:t xml:space="preserve"> 医疗设备采购及安装(QZZC2020-J1-000901-GXYQ）</w:t>
      </w:r>
    </w:p>
    <w:p>
      <w:pPr>
        <w:spacing w:line="400" w:lineRule="exact"/>
        <w:jc w:val="center"/>
        <w:outlineLvl w:val="0"/>
        <w:rPr>
          <w:rFonts w:ascii="宋体" w:hAnsi="宋体"/>
          <w:b/>
          <w:sz w:val="30"/>
          <w:szCs w:val="30"/>
        </w:rPr>
      </w:pPr>
      <w:r>
        <w:rPr>
          <w:rFonts w:hint="eastAsia" w:ascii="宋体" w:hAnsi="宋体"/>
          <w:b/>
          <w:sz w:val="30"/>
          <w:szCs w:val="30"/>
        </w:rPr>
        <w:t>竞争性谈判采购公告</w:t>
      </w:r>
    </w:p>
    <w:p>
      <w:pPr>
        <w:snapToGrid w:val="0"/>
        <w:spacing w:line="340" w:lineRule="exact"/>
        <w:ind w:firstLine="422" w:firstLineChars="200"/>
        <w:rPr>
          <w:rFonts w:ascii="宋体" w:hAnsi="宋体"/>
          <w:b/>
          <w:szCs w:val="21"/>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0080" w:type="dxa"/>
          </w:tcPr>
          <w:p>
            <w:pPr>
              <w:snapToGrid w:val="0"/>
              <w:spacing w:line="460" w:lineRule="exact"/>
              <w:rPr>
                <w:rFonts w:ascii="宋体" w:hAnsi="宋体"/>
                <w:b/>
                <w:sz w:val="24"/>
              </w:rPr>
            </w:pPr>
            <w:r>
              <w:rPr>
                <w:rFonts w:hint="eastAsia" w:ascii="宋体" w:hAnsi="宋体"/>
                <w:b/>
                <w:sz w:val="24"/>
              </w:rPr>
              <w:t>项目概况</w:t>
            </w:r>
          </w:p>
          <w:p>
            <w:pPr>
              <w:snapToGrid w:val="0"/>
              <w:spacing w:line="460" w:lineRule="exact"/>
              <w:ind w:firstLine="361" w:firstLineChars="150"/>
              <w:rPr>
                <w:rFonts w:ascii="宋体" w:hAnsi="宋体"/>
                <w:sz w:val="24"/>
              </w:rPr>
            </w:pPr>
            <w:r>
              <w:rPr>
                <w:rFonts w:hint="eastAsia" w:ascii="宋体" w:hAnsi="宋体"/>
                <w:b/>
                <w:sz w:val="24"/>
              </w:rPr>
              <w:t xml:space="preserve"> 医疗设备采购及安装</w:t>
            </w:r>
            <w:r>
              <w:rPr>
                <w:rFonts w:hint="eastAsia" w:ascii="宋体" w:hAnsi="宋体"/>
                <w:sz w:val="24"/>
              </w:rPr>
              <w:t>项目的潜在供应商应在广西元强建设项目管理有限公司钦州分公司（广西钦州市钦北区子材西大街276号五楼）获取采购文件，并于</w:t>
            </w:r>
            <w:r>
              <w:rPr>
                <w:rFonts w:hint="eastAsia" w:ascii="宋体" w:hAnsi="宋体"/>
                <w:b/>
                <w:sz w:val="24"/>
                <w:lang w:eastAsia="zh-CN"/>
              </w:rPr>
              <w:t>2020年 10月15日10时</w:t>
            </w:r>
            <w:r>
              <w:rPr>
                <w:rFonts w:hint="eastAsia" w:ascii="宋体" w:hAnsi="宋体"/>
                <w:b/>
                <w:sz w:val="24"/>
                <w:lang w:val="en-US" w:eastAsia="zh-CN"/>
              </w:rPr>
              <w:t>0</w:t>
            </w:r>
            <w:r>
              <w:rPr>
                <w:rFonts w:hint="eastAsia" w:ascii="宋体" w:hAnsi="宋体"/>
                <w:b/>
                <w:sz w:val="24"/>
                <w:lang w:eastAsia="zh-CN"/>
              </w:rPr>
              <w:t>0分</w:t>
            </w:r>
            <w:r>
              <w:rPr>
                <w:rFonts w:hint="eastAsia" w:ascii="宋体" w:hAnsi="宋体"/>
                <w:sz w:val="24"/>
              </w:rPr>
              <w:t>（（北京时间）前提交响应文件。</w:t>
            </w:r>
          </w:p>
        </w:tc>
      </w:tr>
    </w:tbl>
    <w:p>
      <w:pPr>
        <w:snapToGrid w:val="0"/>
        <w:spacing w:line="460" w:lineRule="exact"/>
        <w:ind w:firstLine="482" w:firstLineChars="200"/>
        <w:rPr>
          <w:rFonts w:ascii="宋体" w:hAnsi="宋体"/>
          <w:b/>
          <w:sz w:val="24"/>
        </w:rPr>
      </w:pPr>
      <w:r>
        <w:rPr>
          <w:rFonts w:hint="eastAsia" w:ascii="宋体" w:hAnsi="宋体"/>
          <w:b/>
          <w:sz w:val="24"/>
        </w:rPr>
        <w:t>一、项目基本情况</w:t>
      </w:r>
    </w:p>
    <w:p>
      <w:pPr>
        <w:snapToGrid w:val="0"/>
        <w:spacing w:line="460" w:lineRule="exact"/>
        <w:ind w:firstLine="480" w:firstLineChars="200"/>
        <w:rPr>
          <w:rFonts w:ascii="宋体" w:hAnsi="宋体"/>
          <w:sz w:val="24"/>
        </w:rPr>
      </w:pPr>
      <w:r>
        <w:rPr>
          <w:rFonts w:hint="eastAsia" w:ascii="宋体" w:hAnsi="宋体"/>
          <w:sz w:val="24"/>
        </w:rPr>
        <w:t>1、项目编号：QZZC2020-J1-000901-GXYQ</w:t>
      </w:r>
    </w:p>
    <w:p>
      <w:pPr>
        <w:snapToGrid w:val="0"/>
        <w:spacing w:line="460" w:lineRule="exact"/>
        <w:ind w:firstLine="480" w:firstLineChars="200"/>
        <w:rPr>
          <w:rFonts w:ascii="宋体" w:hAnsi="宋体"/>
          <w:sz w:val="24"/>
        </w:rPr>
      </w:pPr>
      <w:r>
        <w:rPr>
          <w:rFonts w:hint="eastAsia" w:ascii="宋体" w:hAnsi="宋体"/>
          <w:sz w:val="24"/>
        </w:rPr>
        <w:t xml:space="preserve">2、政府采购计划编号：浦采监[2020]1652号-001 </w:t>
      </w:r>
    </w:p>
    <w:p>
      <w:pPr>
        <w:snapToGrid w:val="0"/>
        <w:spacing w:line="460" w:lineRule="exact"/>
        <w:ind w:firstLine="480" w:firstLineChars="200"/>
        <w:rPr>
          <w:rFonts w:ascii="宋体" w:hAnsi="宋体"/>
          <w:sz w:val="24"/>
        </w:rPr>
      </w:pPr>
      <w:r>
        <w:rPr>
          <w:rFonts w:hint="eastAsia" w:ascii="宋体" w:hAnsi="宋体"/>
          <w:sz w:val="24"/>
        </w:rPr>
        <w:t>3、项目名称：</w:t>
      </w:r>
      <w:r>
        <w:rPr>
          <w:rFonts w:hint="eastAsia" w:ascii="宋体" w:hAnsi="宋体"/>
          <w:b/>
          <w:sz w:val="24"/>
        </w:rPr>
        <w:t xml:space="preserve"> 医疗设备采购及安装</w:t>
      </w:r>
    </w:p>
    <w:p>
      <w:pPr>
        <w:snapToGrid w:val="0"/>
        <w:spacing w:line="460" w:lineRule="exact"/>
        <w:ind w:firstLine="480" w:firstLineChars="200"/>
        <w:rPr>
          <w:rFonts w:ascii="宋体" w:hAnsi="宋体"/>
          <w:sz w:val="24"/>
        </w:rPr>
      </w:pPr>
      <w:r>
        <w:rPr>
          <w:rFonts w:hint="eastAsia" w:ascii="宋体" w:hAnsi="宋体"/>
          <w:sz w:val="24"/>
        </w:rPr>
        <w:t>4、采购方式：竞争性谈判采购</w:t>
      </w:r>
    </w:p>
    <w:p>
      <w:pPr>
        <w:snapToGrid w:val="0"/>
        <w:spacing w:line="460" w:lineRule="exact"/>
        <w:ind w:firstLine="480" w:firstLineChars="200"/>
        <w:rPr>
          <w:rFonts w:ascii="宋体" w:hAnsi="宋体"/>
          <w:color w:val="FF0000"/>
          <w:sz w:val="24"/>
        </w:rPr>
      </w:pPr>
      <w:r>
        <w:rPr>
          <w:rFonts w:hint="eastAsia" w:ascii="宋体" w:hAnsi="宋体"/>
          <w:sz w:val="24"/>
        </w:rPr>
        <w:t>5、预算金额：</w:t>
      </w:r>
      <w:r>
        <w:rPr>
          <w:rFonts w:ascii="宋体" w:hAnsi="宋体"/>
          <w:color w:val="FF0000"/>
          <w:sz w:val="24"/>
        </w:rPr>
        <w:fldChar w:fldCharType="begin"/>
      </w:r>
      <w:r>
        <w:rPr>
          <w:rFonts w:hint="eastAsia" w:ascii="宋体" w:hAnsi="宋体"/>
          <w:color w:val="FF0000"/>
          <w:sz w:val="24"/>
        </w:rPr>
        <w:instrText xml:space="preserve">= 800000 \* CHINESENUM2</w:instrText>
      </w:r>
      <w:r>
        <w:rPr>
          <w:rFonts w:ascii="宋体" w:hAnsi="宋体"/>
          <w:color w:val="FF0000"/>
          <w:sz w:val="24"/>
        </w:rPr>
        <w:fldChar w:fldCharType="separate"/>
      </w:r>
      <w:r>
        <w:rPr>
          <w:rFonts w:hint="eastAsia" w:ascii="宋体" w:hAnsi="宋体"/>
          <w:color w:val="FF0000"/>
          <w:sz w:val="24"/>
        </w:rPr>
        <w:t>伍拾万</w:t>
      </w:r>
      <w:r>
        <w:rPr>
          <w:rFonts w:ascii="宋体" w:hAnsi="宋体"/>
          <w:color w:val="FF0000"/>
          <w:sz w:val="24"/>
        </w:rPr>
        <w:fldChar w:fldCharType="end"/>
      </w:r>
      <w:r>
        <w:rPr>
          <w:rFonts w:hint="eastAsia" w:ascii="宋体" w:hAnsi="宋体"/>
          <w:color w:val="FF0000"/>
          <w:sz w:val="24"/>
        </w:rPr>
        <w:t>元整（￥500,000.00）</w:t>
      </w:r>
    </w:p>
    <w:p>
      <w:pPr>
        <w:snapToGrid w:val="0"/>
        <w:spacing w:line="460" w:lineRule="exact"/>
        <w:ind w:firstLine="480" w:firstLineChars="200"/>
        <w:rPr>
          <w:rFonts w:ascii="宋体" w:hAnsi="宋体"/>
          <w:sz w:val="24"/>
        </w:rPr>
      </w:pPr>
      <w:r>
        <w:rPr>
          <w:rFonts w:hint="eastAsia" w:ascii="宋体" w:hAnsi="宋体"/>
          <w:sz w:val="24"/>
        </w:rPr>
        <w:t>6、最高限价：</w:t>
      </w:r>
      <w:r>
        <w:rPr>
          <w:rFonts w:ascii="宋体" w:hAnsi="宋体"/>
          <w:color w:val="FF0000"/>
          <w:sz w:val="24"/>
        </w:rPr>
        <w:fldChar w:fldCharType="begin"/>
      </w:r>
      <w:r>
        <w:rPr>
          <w:rFonts w:hint="eastAsia" w:ascii="宋体" w:hAnsi="宋体"/>
          <w:color w:val="FF0000"/>
          <w:sz w:val="24"/>
        </w:rPr>
        <w:instrText xml:space="preserve">= 800000 \* CHINESENUM2</w:instrText>
      </w:r>
      <w:r>
        <w:rPr>
          <w:rFonts w:ascii="宋体" w:hAnsi="宋体"/>
          <w:color w:val="FF0000"/>
          <w:sz w:val="24"/>
        </w:rPr>
        <w:fldChar w:fldCharType="separate"/>
      </w:r>
      <w:r>
        <w:rPr>
          <w:rFonts w:hint="eastAsia" w:ascii="宋体" w:hAnsi="宋体"/>
          <w:color w:val="FF0000"/>
          <w:sz w:val="24"/>
        </w:rPr>
        <w:t>伍拾万</w:t>
      </w:r>
      <w:r>
        <w:rPr>
          <w:rFonts w:ascii="宋体" w:hAnsi="宋体"/>
          <w:color w:val="FF0000"/>
          <w:sz w:val="24"/>
        </w:rPr>
        <w:fldChar w:fldCharType="end"/>
      </w:r>
      <w:r>
        <w:rPr>
          <w:rFonts w:hint="eastAsia" w:ascii="宋体" w:hAnsi="宋体"/>
          <w:color w:val="FF0000"/>
          <w:sz w:val="24"/>
        </w:rPr>
        <w:t>元整（￥500,000.00）</w:t>
      </w:r>
    </w:p>
    <w:p>
      <w:pPr>
        <w:snapToGrid w:val="0"/>
        <w:spacing w:line="460" w:lineRule="exact"/>
        <w:ind w:firstLine="480" w:firstLineChars="200"/>
        <w:rPr>
          <w:rFonts w:ascii="宋体" w:hAnsi="宋体"/>
          <w:sz w:val="24"/>
        </w:rPr>
      </w:pPr>
      <w:r>
        <w:rPr>
          <w:rFonts w:hint="eastAsia" w:ascii="宋体" w:hAnsi="宋体"/>
          <w:sz w:val="24"/>
        </w:rPr>
        <w:t>7、采购需求：</w:t>
      </w:r>
    </w:p>
    <w:tbl>
      <w:tblPr>
        <w:tblStyle w:val="36"/>
        <w:tblW w:w="10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727"/>
        <w:gridCol w:w="1512"/>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97"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序号</w:t>
            </w:r>
          </w:p>
        </w:tc>
        <w:tc>
          <w:tcPr>
            <w:tcW w:w="1727"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采购货物名称</w:t>
            </w:r>
          </w:p>
        </w:tc>
        <w:tc>
          <w:tcPr>
            <w:tcW w:w="1512"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数量（单位）</w:t>
            </w:r>
          </w:p>
        </w:tc>
        <w:tc>
          <w:tcPr>
            <w:tcW w:w="5902"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997"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1</w:t>
            </w:r>
          </w:p>
        </w:tc>
        <w:tc>
          <w:tcPr>
            <w:tcW w:w="1727"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 xml:space="preserve">口腔颌面锥型束计算机体层摄影设备 （口腔锥形束CT） </w:t>
            </w:r>
          </w:p>
        </w:tc>
        <w:tc>
          <w:tcPr>
            <w:tcW w:w="1512" w:type="dxa"/>
            <w:vAlign w:val="center"/>
          </w:tcPr>
          <w:p>
            <w:pPr>
              <w:snapToGrid w:val="0"/>
              <w:spacing w:after="50" w:line="460" w:lineRule="exact"/>
              <w:jc w:val="center"/>
              <w:rPr>
                <w:rFonts w:ascii="宋体" w:hAnsi="宋体" w:cs="Calibri"/>
                <w:kern w:val="0"/>
                <w:sz w:val="24"/>
              </w:rPr>
            </w:pPr>
            <w:r>
              <w:rPr>
                <w:rFonts w:hint="eastAsia" w:ascii="宋体" w:hAnsi="宋体" w:cs="Calibri"/>
                <w:kern w:val="0"/>
                <w:sz w:val="24"/>
              </w:rPr>
              <w:t>1套</w:t>
            </w:r>
          </w:p>
        </w:tc>
        <w:tc>
          <w:tcPr>
            <w:tcW w:w="5902" w:type="dxa"/>
            <w:vAlign w:val="center"/>
          </w:tcPr>
          <w:p>
            <w:pPr>
              <w:snapToGrid w:val="0"/>
              <w:spacing w:after="50" w:line="460" w:lineRule="exact"/>
              <w:rPr>
                <w:rFonts w:ascii="宋体" w:hAnsi="宋体" w:cs="Calibri"/>
                <w:kern w:val="0"/>
                <w:sz w:val="24"/>
              </w:rPr>
            </w:pPr>
            <w:r>
              <w:rPr>
                <w:rFonts w:ascii="宋体" w:hAnsi="宋体" w:cs="Calibri"/>
                <w:kern w:val="0"/>
                <w:sz w:val="24"/>
              </w:rPr>
              <w:t>CT、PA（全景）、CE（正畸侧位片）CBCT：20s(有效8s) 全景：17s 正畸侧位片：12s……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138" w:type="dxa"/>
            <w:gridSpan w:val="4"/>
          </w:tcPr>
          <w:p>
            <w:pPr>
              <w:snapToGrid w:val="0"/>
              <w:spacing w:line="460" w:lineRule="exact"/>
              <w:rPr>
                <w:rFonts w:ascii="宋体" w:hAnsi="宋体" w:cs="Arial"/>
                <w:sz w:val="24"/>
              </w:rPr>
            </w:pPr>
            <w:r>
              <w:rPr>
                <w:rFonts w:hint="eastAsia" w:ascii="宋体" w:hAnsi="宋体" w:cs="Arial"/>
                <w:sz w:val="24"/>
              </w:rPr>
              <w:t>如需进一步了解详细内容，详见采购文件。</w:t>
            </w:r>
          </w:p>
        </w:tc>
      </w:tr>
    </w:tbl>
    <w:p>
      <w:pPr>
        <w:snapToGrid w:val="0"/>
        <w:spacing w:after="50" w:line="460" w:lineRule="exact"/>
        <w:ind w:firstLine="480" w:firstLineChars="200"/>
        <w:rPr>
          <w:rFonts w:ascii="宋体" w:hAnsi="宋体" w:cs="Calibri"/>
          <w:kern w:val="0"/>
          <w:sz w:val="24"/>
        </w:rPr>
      </w:pPr>
      <w:r>
        <w:rPr>
          <w:rFonts w:hint="eastAsia" w:ascii="宋体" w:hAnsi="宋体" w:cs="Calibri"/>
          <w:kern w:val="0"/>
          <w:sz w:val="24"/>
        </w:rPr>
        <w:t>8、合同履行期限：自合同签订之日起30个日历天内完成安装、调试并通过验收。</w:t>
      </w:r>
    </w:p>
    <w:p>
      <w:pPr>
        <w:snapToGrid w:val="0"/>
        <w:spacing w:after="50" w:line="460" w:lineRule="exact"/>
        <w:ind w:firstLine="480" w:firstLineChars="200"/>
        <w:rPr>
          <w:rFonts w:ascii="宋体" w:hAnsi="宋体" w:cs="Calibri"/>
          <w:kern w:val="0"/>
          <w:sz w:val="24"/>
        </w:rPr>
      </w:pPr>
      <w:r>
        <w:rPr>
          <w:rFonts w:hint="eastAsia" w:ascii="宋体" w:hAnsi="宋体" w:cs="Calibri"/>
          <w:kern w:val="0"/>
          <w:sz w:val="24"/>
        </w:rPr>
        <w:t>9、本项目不接受联合体投标。</w:t>
      </w:r>
    </w:p>
    <w:p>
      <w:pPr>
        <w:spacing w:line="460" w:lineRule="exact"/>
        <w:ind w:firstLine="482" w:firstLineChars="200"/>
        <w:rPr>
          <w:rFonts w:ascii="宋体" w:hAnsi="宋体"/>
          <w:b/>
          <w:sz w:val="24"/>
        </w:rPr>
      </w:pPr>
      <w:r>
        <w:rPr>
          <w:rFonts w:hint="eastAsia" w:ascii="宋体" w:hAnsi="宋体"/>
          <w:b/>
          <w:kern w:val="0"/>
          <w:sz w:val="24"/>
        </w:rPr>
        <w:t>二、申请人的资格要求</w:t>
      </w:r>
      <w:r>
        <w:rPr>
          <w:rFonts w:hint="eastAsia" w:ascii="宋体" w:hAnsi="宋体"/>
          <w:b/>
          <w:sz w:val="24"/>
        </w:rPr>
        <w:t>：</w:t>
      </w:r>
    </w:p>
    <w:p>
      <w:pPr>
        <w:snapToGrid w:val="0"/>
        <w:spacing w:line="460" w:lineRule="exact"/>
        <w:ind w:firstLine="480" w:firstLineChars="200"/>
        <w:rPr>
          <w:rFonts w:ascii="宋体" w:hAnsi="宋体" w:cs="Arial"/>
          <w:sz w:val="24"/>
        </w:rPr>
      </w:pPr>
      <w:r>
        <w:rPr>
          <w:rFonts w:hint="eastAsia" w:ascii="宋体" w:hAnsi="宋体" w:cs="Arial"/>
          <w:sz w:val="24"/>
        </w:rPr>
        <w:t>1、满足《中华人民共和国政府采购法》第二十二条规定，具备合法资格的供应商；</w:t>
      </w:r>
    </w:p>
    <w:p>
      <w:pPr>
        <w:snapToGrid w:val="0"/>
        <w:spacing w:line="460" w:lineRule="exact"/>
        <w:ind w:firstLine="480" w:firstLineChars="200"/>
        <w:rPr>
          <w:rFonts w:ascii="宋体" w:hAnsi="宋体" w:cs="Calibri"/>
          <w:kern w:val="0"/>
          <w:sz w:val="24"/>
        </w:rPr>
      </w:pPr>
      <w:r>
        <w:rPr>
          <w:rFonts w:hint="eastAsia" w:ascii="宋体" w:hAnsi="宋体" w:cs="Arial"/>
          <w:sz w:val="24"/>
        </w:rPr>
        <w:t>2、落实政府采购政策需满足的资格要求：本项目适用政府采购促进中小企业、监狱企业发展、促进残疾人就业、节能环保及广西工业产品产销等有关政策，具体详见谈判文件</w:t>
      </w:r>
      <w:r>
        <w:rPr>
          <w:rFonts w:hint="eastAsia" w:ascii="宋体" w:hAnsi="宋体" w:cs="Calibri"/>
          <w:kern w:val="0"/>
          <w:sz w:val="24"/>
        </w:rPr>
        <w:t>；</w:t>
      </w:r>
    </w:p>
    <w:p>
      <w:pPr>
        <w:snapToGrid w:val="0"/>
        <w:spacing w:line="460" w:lineRule="exact"/>
        <w:ind w:firstLine="480" w:firstLineChars="200"/>
        <w:rPr>
          <w:rFonts w:ascii="宋体" w:hAnsi="宋体" w:cs="Arial"/>
          <w:sz w:val="24"/>
        </w:rPr>
      </w:pPr>
      <w:r>
        <w:rPr>
          <w:rFonts w:hint="eastAsia" w:ascii="宋体" w:hAnsi="宋体" w:cs="Arial"/>
          <w:sz w:val="24"/>
        </w:rPr>
        <w:t>3、本项目的特定资格要求：竞标人还须具有国家主管部门颁发的有效的医疗器械生产许可证，或按《医疗器械经营监督管理办法》（国家食品药品监督管理总局第8号令）医疗器械分类管理要求具有有效的医疗器械经营备案凭证或许可证；</w:t>
      </w:r>
    </w:p>
    <w:p>
      <w:pPr>
        <w:snapToGrid w:val="0"/>
        <w:spacing w:line="460" w:lineRule="exact"/>
        <w:ind w:firstLine="480" w:firstLineChars="200"/>
        <w:rPr>
          <w:rFonts w:ascii="宋体" w:hAnsi="宋体" w:cs="Arial"/>
          <w:sz w:val="24"/>
        </w:rPr>
      </w:pPr>
      <w:r>
        <w:rPr>
          <w:rFonts w:hint="eastAsia" w:ascii="宋体" w:hAnsi="宋体" w:cs="Arial"/>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60" w:lineRule="exact"/>
        <w:ind w:firstLine="480" w:firstLineChars="200"/>
        <w:rPr>
          <w:rFonts w:ascii="宋体" w:hAnsi="宋体" w:cs="Arial"/>
          <w:b/>
          <w:bCs/>
          <w:sz w:val="24"/>
        </w:rPr>
      </w:pPr>
      <w:r>
        <w:rPr>
          <w:rFonts w:hint="eastAsia" w:ascii="宋体" w:hAnsi="宋体" w:cs="Arial"/>
          <w:sz w:val="24"/>
        </w:rPr>
        <w:t>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460" w:lineRule="exact"/>
        <w:ind w:firstLine="480" w:firstLineChars="200"/>
        <w:rPr>
          <w:rFonts w:ascii="宋体" w:hAnsi="宋体" w:cs="Arial"/>
          <w:sz w:val="24"/>
        </w:rPr>
      </w:pPr>
      <w:r>
        <w:rPr>
          <w:rFonts w:hint="eastAsia" w:ascii="宋体" w:hAnsi="宋体" w:cs="Arial"/>
          <w:sz w:val="24"/>
        </w:rPr>
        <w:t>6、本项目不接受未购买本采购文件的供应商竞标。</w:t>
      </w:r>
    </w:p>
    <w:p>
      <w:pPr>
        <w:snapToGrid w:val="0"/>
        <w:spacing w:line="460" w:lineRule="exact"/>
        <w:ind w:firstLine="542" w:firstLineChars="225"/>
        <w:rPr>
          <w:rFonts w:ascii="宋体" w:hAnsi="宋体" w:cs="Arial"/>
          <w:sz w:val="24"/>
        </w:rPr>
      </w:pPr>
      <w:r>
        <w:rPr>
          <w:rFonts w:hint="eastAsia" w:ascii="宋体" w:hAnsi="宋体" w:cs="Arial"/>
          <w:b/>
          <w:bCs/>
          <w:sz w:val="24"/>
        </w:rPr>
        <w:t>三、获取招标文件</w:t>
      </w:r>
      <w:r>
        <w:rPr>
          <w:rFonts w:hint="eastAsia" w:ascii="宋体" w:hAnsi="宋体" w:cs="Arial"/>
          <w:sz w:val="24"/>
        </w:rPr>
        <w:t>：</w:t>
      </w:r>
    </w:p>
    <w:p>
      <w:pPr>
        <w:shd w:val="clear" w:color="auto" w:fill="FFFFFF"/>
        <w:snapToGrid w:val="0"/>
        <w:spacing w:line="460" w:lineRule="exact"/>
        <w:ind w:firstLine="540" w:firstLineChars="225"/>
        <w:rPr>
          <w:rFonts w:ascii="宋体" w:hAnsi="宋体" w:cs="Arial"/>
          <w:sz w:val="24"/>
        </w:rPr>
      </w:pPr>
      <w:r>
        <w:rPr>
          <w:rFonts w:hint="eastAsia" w:ascii="宋体" w:hAnsi="宋体" w:cs="Arial"/>
          <w:sz w:val="24"/>
        </w:rPr>
        <w:t>1、时间：2020年</w:t>
      </w:r>
      <w:r>
        <w:rPr>
          <w:rFonts w:hint="eastAsia" w:ascii="宋体" w:hAnsi="宋体" w:cs="Arial"/>
          <w:sz w:val="24"/>
          <w:lang w:val="en-US" w:eastAsia="zh-CN"/>
        </w:rPr>
        <w:t>9</w:t>
      </w:r>
      <w:r>
        <w:rPr>
          <w:rFonts w:hint="eastAsia" w:ascii="宋体" w:hAnsi="宋体" w:cs="Arial"/>
          <w:sz w:val="24"/>
        </w:rPr>
        <w:t>月</w:t>
      </w:r>
      <w:r>
        <w:rPr>
          <w:rFonts w:hint="eastAsia" w:ascii="宋体" w:hAnsi="宋体" w:cs="Arial"/>
          <w:sz w:val="24"/>
          <w:lang w:val="en-US" w:eastAsia="zh-CN"/>
        </w:rPr>
        <w:t>28</w:t>
      </w:r>
      <w:r>
        <w:rPr>
          <w:rFonts w:hint="eastAsia" w:ascii="宋体" w:hAnsi="宋体" w:cs="Arial"/>
          <w:sz w:val="24"/>
        </w:rPr>
        <w:t>日至2020年</w:t>
      </w:r>
      <w:r>
        <w:rPr>
          <w:rFonts w:hint="eastAsia" w:ascii="宋体" w:hAnsi="宋体" w:cs="Arial"/>
          <w:sz w:val="24"/>
          <w:lang w:val="en-US" w:eastAsia="zh-CN"/>
        </w:rPr>
        <w:t>9</w:t>
      </w:r>
      <w:r>
        <w:rPr>
          <w:rFonts w:hint="eastAsia" w:ascii="宋体" w:hAnsi="宋体" w:cs="Arial"/>
          <w:sz w:val="24"/>
        </w:rPr>
        <w:t>月</w:t>
      </w:r>
      <w:r>
        <w:rPr>
          <w:rFonts w:hint="eastAsia" w:ascii="宋体" w:hAnsi="宋体" w:cs="Arial"/>
          <w:sz w:val="24"/>
          <w:lang w:val="en-US" w:eastAsia="zh-CN"/>
        </w:rPr>
        <w:t>30</w:t>
      </w:r>
      <w:r>
        <w:rPr>
          <w:rFonts w:hint="eastAsia" w:ascii="宋体" w:hAnsi="宋体" w:cs="Arial"/>
          <w:sz w:val="24"/>
        </w:rPr>
        <w:t>日（工作日）上午9：00-12：00；下午15：00-17：30（北京时间，法定节假日除外）；</w:t>
      </w:r>
    </w:p>
    <w:p>
      <w:pPr>
        <w:snapToGrid w:val="0"/>
        <w:spacing w:line="460" w:lineRule="exact"/>
        <w:ind w:firstLine="540" w:firstLineChars="225"/>
        <w:rPr>
          <w:rFonts w:ascii="宋体" w:hAnsi="宋体" w:cs="Arial"/>
          <w:sz w:val="24"/>
        </w:rPr>
      </w:pPr>
      <w:r>
        <w:rPr>
          <w:rFonts w:hint="eastAsia" w:ascii="宋体" w:hAnsi="宋体" w:cs="Arial"/>
          <w:sz w:val="24"/>
        </w:rPr>
        <w:t>2、地点：广西元强建设项目管理有限公司钦州分公司（广西钦州市钦北区子材西大街276号五楼）；</w:t>
      </w:r>
    </w:p>
    <w:p>
      <w:pPr>
        <w:snapToGrid w:val="0"/>
        <w:spacing w:line="460" w:lineRule="exact"/>
        <w:ind w:firstLine="540" w:firstLineChars="225"/>
        <w:rPr>
          <w:rFonts w:ascii="宋体" w:hAnsi="宋体" w:cs="Arial"/>
          <w:sz w:val="24"/>
        </w:rPr>
      </w:pPr>
      <w:r>
        <w:rPr>
          <w:rFonts w:hint="eastAsia" w:ascii="宋体" w:hAnsi="宋体" w:cs="Arial"/>
          <w:sz w:val="24"/>
        </w:rPr>
        <w:t>3、方式：现场购买；</w:t>
      </w:r>
    </w:p>
    <w:p>
      <w:pPr>
        <w:snapToGrid w:val="0"/>
        <w:spacing w:line="460" w:lineRule="exact"/>
        <w:ind w:firstLine="540" w:firstLineChars="225"/>
        <w:rPr>
          <w:rFonts w:ascii="宋体" w:hAnsi="宋体" w:cs="Arial"/>
          <w:sz w:val="24"/>
        </w:rPr>
      </w:pPr>
      <w:r>
        <w:rPr>
          <w:rFonts w:hint="eastAsia" w:ascii="宋体" w:hAnsi="宋体" w:cs="Arial"/>
          <w:sz w:val="24"/>
        </w:rPr>
        <w:t>4、售价：每套250元，售后不退，不代办邮寄，不提供电子版。</w:t>
      </w:r>
    </w:p>
    <w:p>
      <w:pPr>
        <w:spacing w:line="460" w:lineRule="exact"/>
        <w:ind w:firstLine="482" w:firstLineChars="200"/>
        <w:rPr>
          <w:rFonts w:ascii="宋体" w:hAnsi="宋体"/>
          <w:b/>
          <w:sz w:val="24"/>
        </w:rPr>
      </w:pPr>
      <w:r>
        <w:rPr>
          <w:rFonts w:hint="eastAsia" w:ascii="宋体" w:hAnsi="宋体"/>
          <w:b/>
          <w:sz w:val="24"/>
        </w:rPr>
        <w:t>四、响应文件提交</w:t>
      </w:r>
    </w:p>
    <w:p>
      <w:pPr>
        <w:spacing w:line="460" w:lineRule="exact"/>
        <w:ind w:firstLine="482" w:firstLineChars="200"/>
        <w:rPr>
          <w:rFonts w:ascii="宋体" w:hAnsi="宋体"/>
          <w:b/>
          <w:sz w:val="24"/>
        </w:rPr>
      </w:pPr>
      <w:r>
        <w:rPr>
          <w:rFonts w:hint="eastAsia" w:ascii="宋体" w:hAnsi="宋体"/>
          <w:b/>
          <w:sz w:val="24"/>
        </w:rPr>
        <w:t xml:space="preserve">1、截止时间：2020年 </w:t>
      </w:r>
      <w:r>
        <w:rPr>
          <w:rFonts w:hint="eastAsia" w:ascii="宋体" w:hAnsi="宋体"/>
          <w:b/>
          <w:sz w:val="24"/>
          <w:lang w:val="en-US" w:eastAsia="zh-CN"/>
        </w:rPr>
        <w:t>10</w:t>
      </w:r>
      <w:r>
        <w:rPr>
          <w:rFonts w:hint="eastAsia" w:ascii="宋体" w:hAnsi="宋体"/>
          <w:b/>
          <w:sz w:val="24"/>
        </w:rPr>
        <w:t>月</w:t>
      </w:r>
      <w:r>
        <w:rPr>
          <w:rFonts w:hint="eastAsia" w:ascii="宋体" w:hAnsi="宋体"/>
          <w:b/>
          <w:sz w:val="24"/>
          <w:lang w:val="en-US" w:eastAsia="zh-CN"/>
        </w:rPr>
        <w:t>15</w:t>
      </w:r>
      <w:r>
        <w:rPr>
          <w:rFonts w:hint="eastAsia" w:ascii="宋体" w:hAnsi="宋体"/>
          <w:b/>
          <w:sz w:val="24"/>
        </w:rPr>
        <w:t>日1</w:t>
      </w:r>
      <w:r>
        <w:rPr>
          <w:rFonts w:hint="eastAsia" w:ascii="宋体" w:hAnsi="宋体"/>
          <w:b/>
          <w:sz w:val="24"/>
          <w:lang w:val="en-US" w:eastAsia="zh-CN"/>
        </w:rPr>
        <w:t>0</w:t>
      </w:r>
      <w:r>
        <w:rPr>
          <w:rFonts w:hint="eastAsia" w:ascii="宋体" w:hAnsi="宋体"/>
          <w:b/>
          <w:sz w:val="24"/>
        </w:rPr>
        <w:t>时</w:t>
      </w:r>
      <w:r>
        <w:rPr>
          <w:rFonts w:hint="eastAsia" w:ascii="宋体" w:hAnsi="宋体"/>
          <w:b/>
          <w:sz w:val="24"/>
          <w:lang w:val="en-US" w:eastAsia="zh-CN"/>
        </w:rPr>
        <w:t>0</w:t>
      </w:r>
      <w:r>
        <w:rPr>
          <w:rFonts w:hint="eastAsia" w:ascii="宋体" w:hAnsi="宋体"/>
          <w:b/>
          <w:sz w:val="24"/>
        </w:rPr>
        <w:t>0分（北京时间）</w:t>
      </w:r>
    </w:p>
    <w:p>
      <w:pPr>
        <w:snapToGrid w:val="0"/>
        <w:spacing w:line="460" w:lineRule="exact"/>
        <w:ind w:firstLine="482" w:firstLineChars="200"/>
        <w:rPr>
          <w:rFonts w:ascii="宋体" w:hAnsi="宋体" w:cs="Arial"/>
          <w:bCs/>
          <w:sz w:val="24"/>
        </w:rPr>
      </w:pPr>
      <w:r>
        <w:rPr>
          <w:rFonts w:hint="eastAsia" w:ascii="宋体" w:hAnsi="宋体" w:cs="Calibri"/>
          <w:b/>
          <w:sz w:val="24"/>
        </w:rPr>
        <w:t>2、地点：浦北县公共资源交易中心（总工会大楼三楼浦北县公共资源交易中心）</w:t>
      </w:r>
    </w:p>
    <w:p>
      <w:pPr>
        <w:snapToGrid w:val="0"/>
        <w:spacing w:line="460" w:lineRule="exact"/>
        <w:ind w:firstLine="480" w:firstLineChars="200"/>
        <w:rPr>
          <w:rFonts w:ascii="宋体" w:hAnsi="宋体"/>
          <w:sz w:val="24"/>
        </w:rPr>
      </w:pPr>
      <w:r>
        <w:rPr>
          <w:rFonts w:hint="eastAsia" w:ascii="宋体" w:hAnsi="宋体" w:cs="Arial"/>
          <w:bCs/>
          <w:sz w:val="24"/>
        </w:rPr>
        <w:t>3、</w:t>
      </w:r>
      <w:r>
        <w:rPr>
          <w:rFonts w:hint="eastAsia" w:ascii="宋体" w:hAnsi="宋体"/>
          <w:sz w:val="24"/>
        </w:rPr>
        <w:t>参加谈判的法定代表人或委托代理人必须持有效证件依时到达指定地点等候当面谈判。</w:t>
      </w:r>
    </w:p>
    <w:p>
      <w:pPr>
        <w:spacing w:line="460" w:lineRule="exact"/>
        <w:ind w:firstLine="482" w:firstLineChars="200"/>
        <w:rPr>
          <w:rFonts w:ascii="宋体" w:hAnsi="宋体"/>
          <w:sz w:val="24"/>
        </w:rPr>
      </w:pPr>
      <w:r>
        <w:rPr>
          <w:rFonts w:hint="eastAsia" w:ascii="宋体" w:hAnsi="宋体"/>
          <w:b/>
          <w:sz w:val="24"/>
        </w:rPr>
        <w:t>有效证件要求如下</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（1）被授权代表为法定代表人的，须出示其有效身份证原件及复印件、营业执照或事业单位法人证书复印件（加盖竞标单位公章）；</w:t>
      </w:r>
    </w:p>
    <w:p>
      <w:pPr>
        <w:spacing w:line="460" w:lineRule="exact"/>
        <w:ind w:firstLine="480" w:firstLineChars="200"/>
        <w:rPr>
          <w:rFonts w:ascii="宋体" w:hAnsi="宋体"/>
          <w:sz w:val="24"/>
        </w:rPr>
      </w:pPr>
      <w:r>
        <w:rPr>
          <w:rFonts w:hint="eastAsia" w:ascii="宋体" w:hAnsi="宋体"/>
          <w:sz w:val="24"/>
        </w:rPr>
        <w:t>（2）被授权代表为非法定代表人的，须出示其有效身份证原件及复印件、法定代表人授权委托书原件、营业执照或事业单位法人证书复印件（加盖竞标单位公章）。</w:t>
      </w:r>
    </w:p>
    <w:p>
      <w:pPr>
        <w:spacing w:line="460" w:lineRule="exact"/>
        <w:ind w:firstLine="482" w:firstLineChars="200"/>
        <w:rPr>
          <w:rFonts w:ascii="宋体" w:hAnsi="宋体"/>
          <w:b/>
          <w:sz w:val="24"/>
        </w:rPr>
      </w:pPr>
      <w:r>
        <w:rPr>
          <w:rFonts w:hint="eastAsia" w:ascii="宋体" w:hAnsi="宋体"/>
          <w:b/>
          <w:sz w:val="24"/>
        </w:rPr>
        <w:t>五、开启</w:t>
      </w:r>
    </w:p>
    <w:p>
      <w:pPr>
        <w:spacing w:line="460" w:lineRule="exact"/>
        <w:ind w:firstLine="482" w:firstLineChars="200"/>
        <w:rPr>
          <w:rFonts w:ascii="宋体" w:hAnsi="宋体"/>
          <w:sz w:val="24"/>
        </w:rPr>
      </w:pPr>
      <w:r>
        <w:rPr>
          <w:rFonts w:hint="eastAsia" w:ascii="宋体" w:hAnsi="宋体"/>
          <w:b/>
          <w:sz w:val="24"/>
        </w:rPr>
        <w:t>时间：2020年</w:t>
      </w:r>
      <w:r>
        <w:rPr>
          <w:rFonts w:hint="eastAsia" w:ascii="宋体" w:hAnsi="宋体"/>
          <w:b/>
          <w:sz w:val="24"/>
          <w:lang w:val="en-US" w:eastAsia="zh-CN"/>
        </w:rPr>
        <w:t>10</w:t>
      </w:r>
      <w:r>
        <w:rPr>
          <w:rFonts w:hint="eastAsia" w:ascii="宋体" w:hAnsi="宋体"/>
          <w:b/>
          <w:sz w:val="24"/>
        </w:rPr>
        <w:t>月</w:t>
      </w:r>
      <w:r>
        <w:rPr>
          <w:rFonts w:hint="eastAsia" w:ascii="宋体" w:hAnsi="宋体"/>
          <w:b/>
          <w:sz w:val="24"/>
          <w:lang w:val="en-US" w:eastAsia="zh-CN"/>
        </w:rPr>
        <w:t>15</w:t>
      </w:r>
      <w:r>
        <w:rPr>
          <w:rFonts w:hint="eastAsia" w:ascii="宋体" w:hAnsi="宋体"/>
          <w:b/>
          <w:sz w:val="24"/>
        </w:rPr>
        <w:t>日1</w:t>
      </w:r>
      <w:r>
        <w:rPr>
          <w:rFonts w:hint="eastAsia" w:ascii="宋体" w:hAnsi="宋体"/>
          <w:b/>
          <w:sz w:val="24"/>
          <w:lang w:val="en-US" w:eastAsia="zh-CN"/>
        </w:rPr>
        <w:t>0</w:t>
      </w:r>
      <w:r>
        <w:rPr>
          <w:rFonts w:hint="eastAsia" w:ascii="宋体" w:hAnsi="宋体"/>
          <w:b/>
          <w:sz w:val="24"/>
        </w:rPr>
        <w:t>时</w:t>
      </w:r>
      <w:r>
        <w:rPr>
          <w:rFonts w:hint="eastAsia" w:ascii="宋体" w:hAnsi="宋体"/>
          <w:b/>
          <w:sz w:val="24"/>
          <w:lang w:val="en-US" w:eastAsia="zh-CN"/>
        </w:rPr>
        <w:t>0</w:t>
      </w:r>
      <w:r>
        <w:rPr>
          <w:rFonts w:hint="eastAsia" w:ascii="宋体" w:hAnsi="宋体"/>
          <w:b/>
          <w:sz w:val="24"/>
        </w:rPr>
        <w:t>0分（北京时间）</w:t>
      </w:r>
      <w:r>
        <w:rPr>
          <w:rFonts w:hint="eastAsia" w:ascii="宋体" w:hAnsi="宋体"/>
          <w:sz w:val="24"/>
        </w:rPr>
        <w:t>（具体时间以评委到达评标现场并开始评标为准）</w:t>
      </w:r>
    </w:p>
    <w:p>
      <w:pPr>
        <w:snapToGrid w:val="0"/>
        <w:spacing w:line="460" w:lineRule="exact"/>
        <w:ind w:firstLine="480" w:firstLineChars="200"/>
        <w:rPr>
          <w:rFonts w:ascii="宋体" w:hAnsi="宋体" w:cs="Arial"/>
          <w:bCs/>
          <w:sz w:val="24"/>
        </w:rPr>
      </w:pPr>
      <w:r>
        <w:rPr>
          <w:rFonts w:hint="eastAsia" w:ascii="宋体" w:hAnsi="宋体"/>
          <w:sz w:val="24"/>
        </w:rPr>
        <w:t>地点：浦北县公共资源交易中心（总工会大楼三楼浦北县公共资源交易中心）</w:t>
      </w:r>
    </w:p>
    <w:p>
      <w:pPr>
        <w:spacing w:line="460" w:lineRule="exact"/>
        <w:ind w:firstLine="482" w:firstLineChars="200"/>
        <w:rPr>
          <w:rFonts w:ascii="宋体" w:hAnsi="宋体"/>
          <w:b/>
          <w:sz w:val="24"/>
        </w:rPr>
      </w:pPr>
      <w:r>
        <w:rPr>
          <w:rFonts w:hint="eastAsia" w:ascii="宋体" w:hAnsi="宋体"/>
          <w:b/>
          <w:sz w:val="24"/>
        </w:rPr>
        <w:t>六、公告期限：自本公告发布之日起3个工作日。</w:t>
      </w:r>
    </w:p>
    <w:p>
      <w:pPr>
        <w:spacing w:line="460" w:lineRule="exact"/>
        <w:ind w:firstLine="482" w:firstLineChars="200"/>
        <w:rPr>
          <w:rFonts w:ascii="宋体" w:hAnsi="宋体"/>
          <w:b/>
          <w:sz w:val="24"/>
        </w:rPr>
      </w:pPr>
      <w:r>
        <w:rPr>
          <w:rFonts w:hint="eastAsia" w:ascii="宋体" w:hAnsi="宋体"/>
          <w:b/>
          <w:sz w:val="24"/>
        </w:rPr>
        <w:t>七、其他补充事宜：</w:t>
      </w:r>
    </w:p>
    <w:p>
      <w:pPr>
        <w:snapToGrid w:val="0"/>
        <w:spacing w:line="460" w:lineRule="exact"/>
        <w:ind w:firstLine="480" w:firstLineChars="200"/>
        <w:rPr>
          <w:rFonts w:ascii="宋体" w:hAnsi="宋体"/>
          <w:sz w:val="24"/>
        </w:rPr>
      </w:pPr>
      <w:r>
        <w:rPr>
          <w:rFonts w:hint="eastAsia" w:ascii="宋体" w:hAnsi="宋体"/>
          <w:sz w:val="24"/>
        </w:rPr>
        <w:t>1.本项目需要落实的政府采购政策：</w:t>
      </w:r>
    </w:p>
    <w:p>
      <w:pPr>
        <w:snapToGrid w:val="0"/>
        <w:spacing w:line="460" w:lineRule="exact"/>
        <w:ind w:firstLine="480" w:firstLineChars="200"/>
        <w:rPr>
          <w:rFonts w:ascii="宋体" w:hAnsi="宋体"/>
          <w:sz w:val="24"/>
        </w:rPr>
      </w:pPr>
      <w:r>
        <w:rPr>
          <w:rFonts w:hint="eastAsia" w:ascii="宋体" w:hAnsi="宋体"/>
          <w:sz w:val="24"/>
        </w:rPr>
        <w:t>《政府采购非招标采购方式管理办法》；</w:t>
      </w:r>
    </w:p>
    <w:p>
      <w:pPr>
        <w:snapToGrid w:val="0"/>
        <w:spacing w:line="460" w:lineRule="exact"/>
        <w:ind w:firstLine="480" w:firstLineChars="200"/>
        <w:rPr>
          <w:rFonts w:ascii="宋体" w:hAnsi="宋体"/>
          <w:sz w:val="24"/>
        </w:rPr>
      </w:pPr>
      <w:r>
        <w:rPr>
          <w:rFonts w:hint="eastAsia" w:ascii="宋体" w:hAnsi="宋体"/>
          <w:sz w:val="24"/>
        </w:rPr>
        <w:t>《政府采购促进中小企业发展暂行办法》（财库[2011]181 号）；</w:t>
      </w:r>
    </w:p>
    <w:p>
      <w:pPr>
        <w:snapToGrid w:val="0"/>
        <w:spacing w:line="460" w:lineRule="exact"/>
        <w:ind w:firstLine="480" w:firstLineChars="200"/>
        <w:rPr>
          <w:rFonts w:ascii="宋体" w:hAnsi="宋体"/>
          <w:sz w:val="24"/>
        </w:rPr>
      </w:pPr>
      <w:r>
        <w:rPr>
          <w:rFonts w:hint="eastAsia" w:ascii="宋体" w:hAnsi="宋体"/>
          <w:sz w:val="24"/>
        </w:rPr>
        <w:t>《关于政府采购支持监狱企业发展有关问题的通知》(财库[2014]68 号)；</w:t>
      </w:r>
    </w:p>
    <w:p>
      <w:pPr>
        <w:snapToGrid w:val="0"/>
        <w:spacing w:line="460" w:lineRule="exact"/>
        <w:ind w:firstLine="480" w:firstLineChars="200"/>
        <w:rPr>
          <w:rFonts w:ascii="宋体" w:hAnsi="宋体"/>
          <w:sz w:val="24"/>
        </w:rPr>
      </w:pPr>
      <w:r>
        <w:rPr>
          <w:rFonts w:hint="eastAsia" w:ascii="宋体" w:hAnsi="宋体"/>
          <w:sz w:val="24"/>
        </w:rPr>
        <w:t>《关于促进残疾人就业政府采购政策的通知》（财库〔2017〕141 号）等。</w:t>
      </w:r>
    </w:p>
    <w:p>
      <w:pPr>
        <w:snapToGrid w:val="0"/>
        <w:spacing w:line="460" w:lineRule="exact"/>
        <w:ind w:firstLine="480" w:firstLineChars="200"/>
        <w:rPr>
          <w:rFonts w:ascii="宋体" w:hAnsi="宋体"/>
          <w:sz w:val="24"/>
        </w:rPr>
      </w:pPr>
      <w:r>
        <w:rPr>
          <w:rFonts w:hint="eastAsia" w:ascii="宋体" w:hAnsi="宋体"/>
          <w:sz w:val="24"/>
        </w:rPr>
        <w:t>2. 网上公告媒体查询：中国政府采购网、广西政府采购网、浦北县人民政府网及浦北县公共资源交易中心网。</w:t>
      </w:r>
    </w:p>
    <w:p>
      <w:pPr>
        <w:snapToGrid w:val="0"/>
        <w:spacing w:line="460" w:lineRule="exact"/>
        <w:ind w:firstLine="482" w:firstLineChars="200"/>
        <w:rPr>
          <w:rFonts w:ascii="宋体" w:hAnsi="宋体" w:cs="Arial"/>
          <w:b/>
          <w:bCs/>
          <w:sz w:val="24"/>
        </w:rPr>
      </w:pPr>
      <w:r>
        <w:rPr>
          <w:rFonts w:hint="eastAsia" w:ascii="宋体" w:hAnsi="宋体" w:cs="Arial"/>
          <w:b/>
          <w:bCs/>
          <w:sz w:val="24"/>
        </w:rPr>
        <w:t>八、对本次采购提出询问，请按以下方式联系</w:t>
      </w:r>
    </w:p>
    <w:p>
      <w:pPr>
        <w:snapToGrid w:val="0"/>
        <w:spacing w:line="460" w:lineRule="exact"/>
        <w:ind w:firstLine="480" w:firstLineChars="200"/>
        <w:rPr>
          <w:rFonts w:ascii="宋体" w:hAnsi="宋体" w:cs="Arial"/>
          <w:bCs/>
          <w:sz w:val="24"/>
        </w:rPr>
      </w:pPr>
      <w:r>
        <w:rPr>
          <w:rFonts w:hint="eastAsia" w:ascii="宋体" w:hAnsi="宋体" w:cs="Arial"/>
          <w:bCs/>
          <w:sz w:val="24"/>
        </w:rPr>
        <w:t>采购人信息</w:t>
      </w:r>
    </w:p>
    <w:p>
      <w:pPr>
        <w:snapToGrid w:val="0"/>
        <w:spacing w:line="460" w:lineRule="exact"/>
        <w:ind w:firstLine="480" w:firstLineChars="200"/>
        <w:rPr>
          <w:rFonts w:ascii="宋体" w:hAnsi="宋体" w:cs="Arial"/>
          <w:bCs/>
          <w:sz w:val="24"/>
        </w:rPr>
      </w:pPr>
      <w:r>
        <w:rPr>
          <w:rFonts w:hint="eastAsia" w:ascii="宋体" w:hAnsi="宋体" w:cs="Arial"/>
          <w:bCs/>
          <w:sz w:val="24"/>
        </w:rPr>
        <w:t>名 称：浦北县人民医院 </w:t>
      </w:r>
    </w:p>
    <w:p>
      <w:pPr>
        <w:snapToGrid w:val="0"/>
        <w:spacing w:line="460" w:lineRule="exact"/>
        <w:ind w:firstLine="480" w:firstLineChars="200"/>
        <w:rPr>
          <w:rFonts w:ascii="宋体" w:hAnsi="宋体" w:cs="Arial"/>
          <w:bCs/>
          <w:sz w:val="24"/>
        </w:rPr>
      </w:pPr>
      <w:r>
        <w:rPr>
          <w:rFonts w:hint="eastAsia" w:ascii="宋体" w:hAnsi="宋体" w:cs="Arial"/>
          <w:bCs/>
          <w:sz w:val="24"/>
        </w:rPr>
        <w:t>地址：浦北县城金浦大街177号</w:t>
      </w:r>
    </w:p>
    <w:p>
      <w:pPr>
        <w:snapToGrid w:val="0"/>
        <w:spacing w:line="460" w:lineRule="exact"/>
        <w:ind w:firstLine="480" w:firstLineChars="200"/>
        <w:rPr>
          <w:rFonts w:ascii="宋体" w:hAnsi="宋体" w:cs="Arial"/>
          <w:bCs/>
          <w:sz w:val="24"/>
        </w:rPr>
      </w:pPr>
      <w:r>
        <w:rPr>
          <w:rFonts w:hint="eastAsia" w:ascii="宋体" w:hAnsi="宋体" w:cs="Arial"/>
          <w:bCs/>
          <w:sz w:val="24"/>
        </w:rPr>
        <w:t>联系方式：</w:t>
      </w:r>
      <w:bookmarkStart w:id="0" w:name="_Toc28359009"/>
      <w:bookmarkStart w:id="1" w:name="_Toc28359086"/>
      <w:r>
        <w:rPr>
          <w:rFonts w:hint="eastAsia" w:ascii="宋体" w:hAnsi="宋体" w:cs="Arial"/>
          <w:bCs/>
          <w:sz w:val="24"/>
        </w:rPr>
        <w:t>李科长    0777-8318109</w:t>
      </w:r>
    </w:p>
    <w:p>
      <w:pPr>
        <w:snapToGrid w:val="0"/>
        <w:spacing w:line="460" w:lineRule="exact"/>
        <w:ind w:firstLine="480" w:firstLineChars="200"/>
        <w:rPr>
          <w:rFonts w:ascii="宋体" w:hAnsi="宋体" w:cs="Arial"/>
          <w:bCs/>
          <w:sz w:val="24"/>
        </w:rPr>
      </w:pPr>
      <w:r>
        <w:rPr>
          <w:rFonts w:hint="eastAsia" w:ascii="宋体" w:hAnsi="宋体" w:cs="Arial"/>
          <w:bCs/>
          <w:sz w:val="24"/>
        </w:rPr>
        <w:t>2.采购代理机构信息</w:t>
      </w:r>
      <w:bookmarkEnd w:id="0"/>
      <w:bookmarkEnd w:id="1"/>
    </w:p>
    <w:p>
      <w:pPr>
        <w:snapToGrid w:val="0"/>
        <w:spacing w:line="460" w:lineRule="exact"/>
        <w:ind w:firstLine="480" w:firstLineChars="200"/>
        <w:rPr>
          <w:rFonts w:ascii="宋体" w:hAnsi="宋体" w:cs="Arial"/>
          <w:bCs/>
          <w:sz w:val="24"/>
        </w:rPr>
      </w:pPr>
      <w:r>
        <w:rPr>
          <w:rFonts w:hint="eastAsia" w:ascii="宋体" w:hAnsi="宋体" w:cs="Arial"/>
          <w:bCs/>
          <w:sz w:val="24"/>
        </w:rPr>
        <w:t>名 称： 广西元强建设项目管理有限公司</w:t>
      </w:r>
    </w:p>
    <w:p>
      <w:pPr>
        <w:snapToGrid w:val="0"/>
        <w:spacing w:line="460" w:lineRule="exact"/>
        <w:ind w:firstLine="480" w:firstLineChars="200"/>
        <w:rPr>
          <w:rFonts w:ascii="宋体" w:hAnsi="宋体" w:cs="Arial"/>
          <w:bCs/>
          <w:sz w:val="24"/>
        </w:rPr>
      </w:pPr>
      <w:r>
        <w:rPr>
          <w:rFonts w:hint="eastAsia" w:ascii="宋体" w:hAnsi="宋体" w:cs="Arial"/>
          <w:bCs/>
          <w:sz w:val="24"/>
        </w:rPr>
        <w:t>地　址：广西钦州市钦北区子材西大街276号五楼</w:t>
      </w:r>
    </w:p>
    <w:p>
      <w:pPr>
        <w:snapToGrid w:val="0"/>
        <w:spacing w:line="460" w:lineRule="exact"/>
        <w:ind w:firstLine="480" w:firstLineChars="200"/>
        <w:rPr>
          <w:rFonts w:ascii="宋体" w:hAnsi="宋体" w:cs="Arial"/>
          <w:bCs/>
          <w:sz w:val="24"/>
        </w:rPr>
      </w:pPr>
      <w:r>
        <w:rPr>
          <w:rFonts w:hint="eastAsia" w:ascii="宋体" w:hAnsi="宋体" w:cs="Arial"/>
          <w:bCs/>
          <w:sz w:val="24"/>
        </w:rPr>
        <w:t>联系方式：</w:t>
      </w:r>
      <w:bookmarkStart w:id="2" w:name="_Toc28359010"/>
      <w:bookmarkStart w:id="3" w:name="_Toc28359087"/>
      <w:r>
        <w:rPr>
          <w:rFonts w:hint="eastAsia" w:ascii="宋体" w:hAnsi="宋体" w:cs="Arial"/>
          <w:bCs/>
          <w:sz w:val="24"/>
        </w:rPr>
        <w:t xml:space="preserve">韦怡  联系电话/传真:0777-3277999； </w:t>
      </w:r>
    </w:p>
    <w:p>
      <w:pPr>
        <w:snapToGrid w:val="0"/>
        <w:spacing w:line="460" w:lineRule="exact"/>
        <w:ind w:firstLine="480" w:firstLineChars="200"/>
        <w:rPr>
          <w:rFonts w:ascii="宋体" w:hAnsi="宋体" w:cs="Arial"/>
          <w:bCs/>
          <w:sz w:val="24"/>
        </w:rPr>
      </w:pPr>
      <w:r>
        <w:rPr>
          <w:rFonts w:hint="eastAsia" w:ascii="宋体" w:hAnsi="宋体" w:cs="Arial"/>
          <w:bCs/>
          <w:sz w:val="24"/>
        </w:rPr>
        <w:t>3.项目联系方式</w:t>
      </w:r>
      <w:bookmarkEnd w:id="2"/>
      <w:bookmarkEnd w:id="3"/>
    </w:p>
    <w:p>
      <w:pPr>
        <w:snapToGrid w:val="0"/>
        <w:spacing w:line="460" w:lineRule="exact"/>
        <w:ind w:firstLine="480" w:firstLineChars="200"/>
        <w:rPr>
          <w:rFonts w:ascii="宋体" w:hAnsi="宋体" w:cs="Arial"/>
          <w:bCs/>
          <w:sz w:val="24"/>
        </w:rPr>
      </w:pPr>
      <w:r>
        <w:rPr>
          <w:rFonts w:hint="eastAsia" w:ascii="宋体" w:hAnsi="宋体" w:cs="Arial"/>
          <w:bCs/>
          <w:sz w:val="24"/>
        </w:rPr>
        <w:t>项目联系人：韦怡</w:t>
      </w:r>
    </w:p>
    <w:p>
      <w:pPr>
        <w:snapToGrid w:val="0"/>
        <w:spacing w:line="460" w:lineRule="exact"/>
        <w:ind w:firstLine="480" w:firstLineChars="200"/>
        <w:rPr>
          <w:rFonts w:ascii="宋体" w:hAnsi="宋体" w:cs="Arial"/>
          <w:bCs/>
          <w:sz w:val="24"/>
        </w:rPr>
      </w:pPr>
      <w:r>
        <w:rPr>
          <w:rFonts w:hint="eastAsia" w:ascii="宋体" w:hAnsi="宋体" w:cs="Arial"/>
          <w:bCs/>
          <w:sz w:val="24"/>
        </w:rPr>
        <w:t>电　话：18777222651</w:t>
      </w:r>
    </w:p>
    <w:p>
      <w:pPr>
        <w:snapToGrid w:val="0"/>
        <w:spacing w:line="460" w:lineRule="exact"/>
        <w:ind w:firstLine="480" w:firstLineChars="200"/>
        <w:rPr>
          <w:rFonts w:ascii="宋体" w:hAnsi="宋体" w:cs="Arial"/>
          <w:bCs/>
          <w:sz w:val="24"/>
        </w:rPr>
      </w:pPr>
      <w:r>
        <w:rPr>
          <w:rFonts w:hint="eastAsia" w:ascii="宋体" w:hAnsi="宋体" w:cs="Arial"/>
          <w:bCs/>
          <w:sz w:val="24"/>
        </w:rPr>
        <w:t>4.监督部门: 浦北县政府采购监督管理部门</w:t>
      </w:r>
    </w:p>
    <w:p>
      <w:pPr>
        <w:snapToGrid w:val="0"/>
        <w:spacing w:line="460" w:lineRule="exact"/>
        <w:ind w:firstLine="480" w:firstLineChars="200"/>
        <w:rPr>
          <w:rFonts w:ascii="宋体" w:hAnsi="宋体" w:cs="Arial"/>
          <w:bCs/>
          <w:sz w:val="24"/>
        </w:rPr>
      </w:pPr>
      <w:r>
        <w:rPr>
          <w:rFonts w:hint="eastAsia" w:ascii="宋体" w:hAnsi="宋体" w:cs="Arial"/>
          <w:bCs/>
          <w:sz w:val="24"/>
        </w:rPr>
        <w:t>      电话: 0777-8314622</w:t>
      </w:r>
    </w:p>
    <w:p>
      <w:pPr>
        <w:snapToGrid w:val="0"/>
        <w:spacing w:line="460" w:lineRule="exact"/>
        <w:ind w:firstLine="480" w:firstLineChars="200"/>
        <w:rPr>
          <w:rFonts w:ascii="宋体" w:hAnsi="宋体" w:cs="Arial"/>
          <w:b/>
          <w:bCs/>
          <w:sz w:val="24"/>
        </w:rPr>
      </w:pPr>
      <w:r>
        <w:rPr>
          <w:rFonts w:hint="eastAsia" w:ascii="宋体" w:hAnsi="宋体" w:cs="Arial"/>
          <w:bCs/>
          <w:sz w:val="24"/>
        </w:rPr>
        <w:t>　　　　</w:t>
      </w:r>
      <w:r>
        <w:rPr>
          <w:rFonts w:hint="eastAsia" w:ascii="宋体" w:hAnsi="宋体" w:cs="Arial"/>
          <w:b/>
          <w:bCs/>
          <w:sz w:val="24"/>
        </w:rPr>
        <w:t>　　　　　　　　</w:t>
      </w:r>
    </w:p>
    <w:p>
      <w:pPr>
        <w:spacing w:line="460" w:lineRule="exact"/>
        <w:rPr>
          <w:rFonts w:ascii="宋体" w:hAnsi="宋体" w:cs="Arial"/>
          <w:sz w:val="24"/>
        </w:rPr>
      </w:pPr>
    </w:p>
    <w:p>
      <w:pPr>
        <w:spacing w:line="460" w:lineRule="exact"/>
        <w:ind w:firstLine="480" w:firstLineChars="200"/>
        <w:jc w:val="right"/>
        <w:rPr>
          <w:rFonts w:ascii="宋体" w:hAnsi="宋体" w:cs="Arial"/>
          <w:sz w:val="24"/>
        </w:rPr>
      </w:pPr>
    </w:p>
    <w:p>
      <w:pPr>
        <w:spacing w:line="460" w:lineRule="exact"/>
        <w:ind w:firstLine="480" w:firstLineChars="200"/>
        <w:jc w:val="right"/>
        <w:rPr>
          <w:rFonts w:ascii="宋体" w:hAnsi="宋体" w:cs="Arial"/>
          <w:sz w:val="24"/>
        </w:rPr>
      </w:pPr>
      <w:r>
        <w:rPr>
          <w:rFonts w:hint="eastAsia" w:ascii="宋体" w:hAnsi="宋体" w:cs="Arial"/>
          <w:sz w:val="24"/>
        </w:rPr>
        <w:t xml:space="preserve">广西元强建设项目管理有限公司                                         </w:t>
      </w:r>
    </w:p>
    <w:p>
      <w:pPr>
        <w:spacing w:line="460" w:lineRule="exact"/>
        <w:ind w:firstLine="480" w:firstLineChars="200"/>
        <w:jc w:val="right"/>
        <w:rPr>
          <w:rFonts w:ascii="宋体" w:hAnsi="宋体" w:cs="Arial"/>
          <w:sz w:val="24"/>
        </w:rPr>
      </w:pPr>
      <w:r>
        <w:rPr>
          <w:rFonts w:hint="eastAsia" w:ascii="宋体" w:hAnsi="宋体" w:cs="Arial"/>
          <w:sz w:val="24"/>
        </w:rPr>
        <w:t xml:space="preserve">           2020年9月</w:t>
      </w:r>
      <w:r>
        <w:rPr>
          <w:rFonts w:hint="eastAsia" w:ascii="宋体" w:hAnsi="宋体" w:cs="Arial"/>
          <w:sz w:val="24"/>
          <w:lang w:val="en-US" w:eastAsia="zh-CN"/>
        </w:rPr>
        <w:t>27</w:t>
      </w:r>
      <w:r>
        <w:rPr>
          <w:rFonts w:hint="eastAsia" w:ascii="宋体" w:hAnsi="宋体" w:cs="Arial"/>
          <w:sz w:val="24"/>
        </w:rPr>
        <w:t>日</w:t>
      </w:r>
    </w:p>
    <w:p>
      <w:pPr>
        <w:pStyle w:val="34"/>
        <w:ind w:firstLine="211"/>
        <w:rPr>
          <w:rFonts w:hAnsi="宋体"/>
          <w:b/>
          <w:szCs w:val="21"/>
        </w:rPr>
      </w:pPr>
    </w:p>
    <w:p>
      <w:pPr>
        <w:snapToGrid w:val="0"/>
        <w:spacing w:line="340" w:lineRule="exact"/>
        <w:ind w:firstLine="422" w:firstLineChars="200"/>
        <w:rPr>
          <w:rFonts w:ascii="宋体" w:hAnsi="宋体"/>
          <w:b/>
          <w:szCs w:val="21"/>
        </w:rPr>
      </w:pPr>
    </w:p>
    <w:p>
      <w:pPr>
        <w:pStyle w:val="34"/>
        <w:ind w:firstLine="211"/>
        <w:rPr>
          <w:rFonts w:hAnsi="宋体"/>
          <w:b/>
          <w:szCs w:val="21"/>
        </w:rPr>
      </w:pPr>
    </w:p>
    <w:p>
      <w:pPr>
        <w:pStyle w:val="34"/>
        <w:ind w:firstLine="211"/>
        <w:rPr>
          <w:rFonts w:hAnsi="宋体"/>
          <w:b/>
          <w:szCs w:val="21"/>
        </w:rPr>
      </w:pPr>
    </w:p>
    <w:p>
      <w:pPr>
        <w:pStyle w:val="34"/>
        <w:ind w:firstLine="211"/>
        <w:rPr>
          <w:rFonts w:hAnsi="宋体"/>
          <w:b/>
          <w:szCs w:val="21"/>
        </w:rPr>
      </w:pPr>
    </w:p>
    <w:p>
      <w:pPr>
        <w:pStyle w:val="34"/>
        <w:ind w:firstLine="211"/>
        <w:rPr>
          <w:rFonts w:hAnsi="宋体"/>
          <w:b/>
          <w:szCs w:val="21"/>
        </w:rPr>
      </w:pPr>
    </w:p>
    <w:p>
      <w:pPr>
        <w:pStyle w:val="34"/>
        <w:ind w:firstLine="211"/>
        <w:rPr>
          <w:rFonts w:hAnsi="宋体"/>
          <w:b/>
          <w:szCs w:val="21"/>
        </w:rPr>
      </w:pPr>
    </w:p>
    <w:p>
      <w:pPr>
        <w:pStyle w:val="34"/>
        <w:ind w:firstLine="211"/>
        <w:rPr>
          <w:rFonts w:hAnsi="宋体"/>
          <w:b/>
          <w:szCs w:val="21"/>
        </w:rPr>
      </w:pPr>
    </w:p>
    <w:p>
      <w:pPr>
        <w:spacing w:line="360" w:lineRule="auto"/>
        <w:jc w:val="center"/>
        <w:outlineLvl w:val="0"/>
        <w:rPr>
          <w:rFonts w:ascii="宋体" w:hAnsi="宋体"/>
          <w:b/>
          <w:sz w:val="32"/>
        </w:rPr>
      </w:pPr>
    </w:p>
    <w:p>
      <w:pPr>
        <w:spacing w:line="360" w:lineRule="auto"/>
        <w:jc w:val="center"/>
        <w:outlineLvl w:val="0"/>
        <w:rPr>
          <w:rFonts w:ascii="宋体" w:hAnsi="宋体"/>
          <w:b/>
          <w:sz w:val="32"/>
        </w:rPr>
      </w:pPr>
      <w:r>
        <w:rPr>
          <w:rFonts w:hint="eastAsia" w:ascii="宋体" w:hAnsi="宋体"/>
          <w:b/>
          <w:sz w:val="32"/>
        </w:rPr>
        <w:t>第一章　供应商须知前附表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tcPr>
          <w:p>
            <w:pPr>
              <w:spacing w:line="460" w:lineRule="exact"/>
              <w:jc w:val="center"/>
              <w:rPr>
                <w:rFonts w:ascii="宋体" w:hAnsi="宋体"/>
                <w:sz w:val="24"/>
              </w:rPr>
            </w:pPr>
            <w:r>
              <w:rPr>
                <w:rFonts w:hint="eastAsia" w:ascii="宋体" w:hAnsi="宋体"/>
                <w:sz w:val="24"/>
              </w:rPr>
              <w:t>序号</w:t>
            </w:r>
          </w:p>
        </w:tc>
        <w:tc>
          <w:tcPr>
            <w:tcW w:w="9103" w:type="dxa"/>
          </w:tcPr>
          <w:p>
            <w:pPr>
              <w:spacing w:line="4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1</w:t>
            </w:r>
          </w:p>
        </w:tc>
        <w:tc>
          <w:tcPr>
            <w:tcW w:w="9103" w:type="dxa"/>
            <w:vAlign w:val="center"/>
          </w:tcPr>
          <w:p>
            <w:pPr>
              <w:spacing w:line="460" w:lineRule="exact"/>
              <w:rPr>
                <w:rFonts w:ascii="宋体" w:hAnsi="宋体"/>
                <w:sz w:val="24"/>
              </w:rPr>
            </w:pPr>
            <w:r>
              <w:rPr>
                <w:rFonts w:hint="eastAsia" w:ascii="宋体" w:hAnsi="宋体"/>
                <w:sz w:val="24"/>
              </w:rPr>
              <w:t xml:space="preserve">项目名称： 医疗设备采购及安装 </w:t>
            </w:r>
          </w:p>
          <w:p>
            <w:pPr>
              <w:spacing w:line="460" w:lineRule="exact"/>
              <w:rPr>
                <w:rFonts w:ascii="宋体" w:hAnsi="宋体"/>
                <w:sz w:val="24"/>
                <w:u w:val="single"/>
              </w:rPr>
            </w:pPr>
            <w:r>
              <w:rPr>
                <w:rFonts w:hint="eastAsia" w:ascii="宋体" w:hAnsi="宋体"/>
                <w:sz w:val="24"/>
              </w:rPr>
              <w:t>项目编号：QZZC2020-J1-000901-GXYQ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2</w:t>
            </w:r>
          </w:p>
        </w:tc>
        <w:tc>
          <w:tcPr>
            <w:tcW w:w="9103" w:type="dxa"/>
            <w:vAlign w:val="center"/>
          </w:tcPr>
          <w:p>
            <w:pPr>
              <w:spacing w:line="460" w:lineRule="exact"/>
              <w:rPr>
                <w:rFonts w:ascii="宋体" w:hAnsi="宋体"/>
                <w:b/>
                <w:sz w:val="24"/>
              </w:rPr>
            </w:pPr>
            <w:r>
              <w:rPr>
                <w:rFonts w:hint="eastAsia" w:ascii="宋体" w:hAnsi="宋体"/>
                <w:b/>
                <w:sz w:val="24"/>
              </w:rPr>
              <w:t>申请人的资格：</w:t>
            </w:r>
          </w:p>
          <w:p>
            <w:pPr>
              <w:spacing w:line="460" w:lineRule="exact"/>
              <w:rPr>
                <w:rFonts w:ascii="宋体" w:hAnsi="宋体"/>
                <w:sz w:val="24"/>
              </w:rPr>
            </w:pPr>
            <w:r>
              <w:rPr>
                <w:rFonts w:hint="eastAsia" w:ascii="宋体" w:hAnsi="宋体"/>
                <w:sz w:val="24"/>
              </w:rPr>
              <w:t>1、满足《中华人民共和国政府采购法》第二十二条规定，具备合法资格的供应商；</w:t>
            </w:r>
          </w:p>
          <w:p>
            <w:pPr>
              <w:spacing w:line="460" w:lineRule="exact"/>
              <w:rPr>
                <w:rFonts w:ascii="宋体" w:hAnsi="宋体"/>
                <w:sz w:val="24"/>
              </w:rPr>
            </w:pPr>
            <w:r>
              <w:rPr>
                <w:rFonts w:hint="eastAsia" w:ascii="宋体" w:hAnsi="宋体"/>
                <w:sz w:val="24"/>
              </w:rPr>
              <w:t>2、落实政府采购政策需满足的资格要求：本项目适用政府采购促进中小企业、监狱企业发展、促进残疾人就业、节能环保及广西工业产品产销等有关政策，具体详见谈判文件；</w:t>
            </w:r>
          </w:p>
          <w:p>
            <w:pPr>
              <w:spacing w:line="460" w:lineRule="exact"/>
              <w:rPr>
                <w:rFonts w:ascii="宋体" w:hAnsi="宋体"/>
                <w:sz w:val="24"/>
              </w:rPr>
            </w:pPr>
            <w:r>
              <w:rPr>
                <w:rFonts w:hint="eastAsia" w:ascii="宋体" w:hAnsi="宋体"/>
                <w:sz w:val="24"/>
              </w:rPr>
              <w:t>3、本项目的特定资格要求：竞标人还须具有国家主管部门颁发的有效的医疗器械生产许可证，或按《医疗器械经营监督管理办法》（国家食品药品监督管理总局第8号令）医疗器械分类管理要求具有有效的医疗器械经营备案凭证或许可证；</w:t>
            </w:r>
          </w:p>
          <w:p>
            <w:pPr>
              <w:spacing w:line="460" w:lineRule="exact"/>
              <w:rPr>
                <w:rFonts w:ascii="宋体" w:hAnsi="宋体"/>
                <w:sz w:val="24"/>
              </w:rPr>
            </w:pPr>
            <w:r>
              <w:rPr>
                <w:rFonts w:hint="eastAsia" w:ascii="宋体" w:hAnsi="宋体"/>
                <w:sz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60" w:lineRule="exact"/>
              <w:rPr>
                <w:rFonts w:ascii="宋体" w:hAnsi="宋体"/>
                <w:sz w:val="24"/>
              </w:rPr>
            </w:pPr>
            <w:r>
              <w:rPr>
                <w:rFonts w:hint="eastAsia" w:ascii="宋体" w:hAnsi="宋体"/>
                <w:sz w:val="24"/>
              </w:rPr>
              <w:t>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460" w:lineRule="exact"/>
              <w:rPr>
                <w:rFonts w:ascii="宋体" w:hAnsi="宋体"/>
                <w:sz w:val="24"/>
              </w:rPr>
            </w:pPr>
            <w:r>
              <w:rPr>
                <w:rFonts w:hint="eastAsia" w:ascii="宋体" w:hAnsi="宋体"/>
                <w:sz w:val="24"/>
              </w:rPr>
              <w:t>6、本项目不接受未购买本采购文件的供应商竞标。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3</w:t>
            </w:r>
          </w:p>
        </w:tc>
        <w:tc>
          <w:tcPr>
            <w:tcW w:w="9103" w:type="dxa"/>
            <w:vAlign w:val="center"/>
          </w:tcPr>
          <w:p>
            <w:pPr>
              <w:pStyle w:val="20"/>
              <w:spacing w:line="460" w:lineRule="exact"/>
              <w:rPr>
                <w:rFonts w:hAnsi="宋体"/>
                <w:sz w:val="24"/>
                <w:szCs w:val="24"/>
              </w:rPr>
            </w:pPr>
            <w:r>
              <w:rPr>
                <w:rFonts w:hint="eastAsia" w:hAnsi="宋体"/>
                <w:sz w:val="24"/>
                <w:szCs w:val="24"/>
              </w:rPr>
              <w:t>竞标报价：竞标人须就《</w:t>
            </w:r>
            <w:r>
              <w:rPr>
                <w:rFonts w:hint="eastAsia" w:hAnsi="宋体"/>
                <w:sz w:val="24"/>
                <w:szCs w:val="24"/>
                <w:lang w:eastAsia="zh-CN"/>
              </w:rPr>
              <w:t>货物需求一览表</w:t>
            </w:r>
            <w:r>
              <w:rPr>
                <w:rFonts w:hint="eastAsia" w:hAnsi="宋体"/>
                <w:sz w:val="24"/>
                <w:szCs w:val="24"/>
              </w:rPr>
              <w:t>》中的货物和服务内容作完整唯一报价。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4</w:t>
            </w:r>
          </w:p>
        </w:tc>
        <w:tc>
          <w:tcPr>
            <w:tcW w:w="9103" w:type="dxa"/>
            <w:vAlign w:val="center"/>
          </w:tcPr>
          <w:p>
            <w:pPr>
              <w:spacing w:line="460" w:lineRule="exact"/>
              <w:rPr>
                <w:rFonts w:ascii="宋体" w:hAnsi="宋体"/>
                <w:sz w:val="24"/>
              </w:rPr>
            </w:pPr>
            <w:r>
              <w:rPr>
                <w:rFonts w:hint="eastAsia" w:ascii="宋体" w:hAnsi="宋体"/>
                <w:sz w:val="24"/>
              </w:rPr>
              <w:t>竞标文件份数：正本一份，副本四份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5</w:t>
            </w:r>
          </w:p>
        </w:tc>
        <w:tc>
          <w:tcPr>
            <w:tcW w:w="9103" w:type="dxa"/>
            <w:vAlign w:val="center"/>
          </w:tcPr>
          <w:p>
            <w:pPr>
              <w:spacing w:line="460" w:lineRule="exact"/>
              <w:rPr>
                <w:rFonts w:ascii="宋体" w:hAnsi="宋体"/>
                <w:sz w:val="24"/>
              </w:rPr>
            </w:pPr>
            <w:r>
              <w:rPr>
                <w:rFonts w:hint="eastAsia" w:ascii="宋体" w:hAnsi="宋体"/>
                <w:sz w:val="24"/>
              </w:rPr>
              <w:t>竞标有效期：竞标截止之日起60天。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6</w:t>
            </w:r>
          </w:p>
        </w:tc>
        <w:tc>
          <w:tcPr>
            <w:tcW w:w="9103" w:type="dxa"/>
            <w:vAlign w:val="center"/>
          </w:tcPr>
          <w:p>
            <w:pPr>
              <w:spacing w:line="460" w:lineRule="exact"/>
              <w:rPr>
                <w:rFonts w:ascii="宋体" w:hAnsi="宋体" w:cs="Calibri"/>
                <w:b/>
                <w:sz w:val="24"/>
              </w:rPr>
            </w:pPr>
            <w:r>
              <w:rPr>
                <w:rFonts w:hint="eastAsia" w:ascii="宋体" w:hAnsi="宋体" w:cs="Calibri"/>
                <w:b/>
                <w:sz w:val="24"/>
              </w:rPr>
              <w:t>竞标保证金（人民币）：无</w:t>
            </w:r>
          </w:p>
          <w:p>
            <w:pPr>
              <w:spacing w:line="460" w:lineRule="exact"/>
              <w:ind w:firstLine="480" w:firstLineChars="200"/>
              <w:rPr>
                <w:rFonts w:ascii="宋体" w:hAnsi="宋体"/>
                <w:sz w:val="24"/>
              </w:rPr>
            </w:pPr>
            <w:r>
              <w:rPr>
                <w:rFonts w:hint="eastAsia" w:ascii="宋体" w:hAnsi="宋体"/>
                <w:sz w:val="24"/>
              </w:rPr>
              <w:t>根据广西壮族自治区财政厅文件桂财采[2020]25号广西壮族自治区财政厅关于加强政府采购促进经济稳定发展有关事项的通知鼓励免收投标保证金，故该项目不收取投标保证金。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7</w:t>
            </w:r>
          </w:p>
        </w:tc>
        <w:tc>
          <w:tcPr>
            <w:tcW w:w="9103" w:type="dxa"/>
            <w:vAlign w:val="center"/>
          </w:tcPr>
          <w:p>
            <w:pPr>
              <w:pStyle w:val="20"/>
              <w:spacing w:line="460" w:lineRule="exact"/>
              <w:rPr>
                <w:rFonts w:hAnsi="宋体"/>
                <w:sz w:val="24"/>
                <w:szCs w:val="24"/>
              </w:rPr>
            </w:pPr>
            <w:r>
              <w:rPr>
                <w:rFonts w:hint="eastAsia" w:hAnsi="宋体"/>
                <w:sz w:val="24"/>
                <w:szCs w:val="24"/>
              </w:rPr>
              <w:t>竞标文件递交截止时间：</w:t>
            </w:r>
            <w:r>
              <w:rPr>
                <w:rFonts w:hint="eastAsia" w:hAnsi="宋体"/>
                <w:sz w:val="24"/>
                <w:szCs w:val="24"/>
                <w:u w:val="single"/>
                <w:lang w:eastAsia="zh-CN"/>
              </w:rPr>
              <w:t>2020年 10月15日10时</w:t>
            </w:r>
            <w:r>
              <w:rPr>
                <w:rFonts w:hint="eastAsia" w:hAnsi="宋体"/>
                <w:sz w:val="24"/>
                <w:szCs w:val="24"/>
                <w:u w:val="single"/>
                <w:lang w:val="en-US" w:eastAsia="zh-CN"/>
              </w:rPr>
              <w:t>0</w:t>
            </w:r>
            <w:r>
              <w:rPr>
                <w:rFonts w:hint="eastAsia" w:hAnsi="宋体"/>
                <w:sz w:val="24"/>
                <w:szCs w:val="24"/>
                <w:u w:val="single"/>
                <w:lang w:eastAsia="zh-CN"/>
              </w:rPr>
              <w:t>0分</w:t>
            </w:r>
            <w:r>
              <w:rPr>
                <w:rFonts w:hint="eastAsia" w:hAnsi="宋体"/>
                <w:sz w:val="24"/>
                <w:szCs w:val="24"/>
              </w:rPr>
              <w:t>（此为竞标截止日期）</w:t>
            </w:r>
          </w:p>
          <w:p>
            <w:pPr>
              <w:pStyle w:val="20"/>
              <w:spacing w:line="460" w:lineRule="exact"/>
              <w:rPr>
                <w:rFonts w:hAnsi="宋体"/>
                <w:sz w:val="24"/>
                <w:szCs w:val="24"/>
              </w:rPr>
            </w:pPr>
            <w:r>
              <w:rPr>
                <w:rFonts w:hint="eastAsia" w:hAnsi="宋体"/>
                <w:sz w:val="24"/>
                <w:szCs w:val="24"/>
              </w:rPr>
              <w:t>地址：浦北县公共资源交易中心（总工会大楼三楼浦北县公共资源交易中心）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8</w:t>
            </w:r>
          </w:p>
        </w:tc>
        <w:tc>
          <w:tcPr>
            <w:tcW w:w="9103" w:type="dxa"/>
            <w:vAlign w:val="center"/>
          </w:tcPr>
          <w:p>
            <w:pPr>
              <w:pStyle w:val="20"/>
              <w:spacing w:line="460" w:lineRule="exact"/>
              <w:rPr>
                <w:rFonts w:hAnsi="宋体"/>
                <w:b/>
                <w:sz w:val="24"/>
                <w:szCs w:val="24"/>
              </w:rPr>
            </w:pPr>
            <w:r>
              <w:rPr>
                <w:rFonts w:hint="eastAsia" w:hAnsi="宋体"/>
                <w:b/>
                <w:sz w:val="24"/>
                <w:szCs w:val="24"/>
              </w:rPr>
              <w:t>采购人或采购代理机构在对供应商资格审查时进行信用查询。</w:t>
            </w:r>
          </w:p>
          <w:p>
            <w:pPr>
              <w:pStyle w:val="20"/>
              <w:spacing w:line="460" w:lineRule="exact"/>
              <w:rPr>
                <w:rFonts w:hAnsi="宋体"/>
                <w:sz w:val="24"/>
                <w:szCs w:val="24"/>
              </w:rPr>
            </w:pPr>
            <w:r>
              <w:rPr>
                <w:rFonts w:hint="eastAsia" w:hAnsi="宋体"/>
                <w:sz w:val="24"/>
                <w:szCs w:val="24"/>
              </w:rPr>
              <w:t xml:space="preserve">1、查询渠道：“信用中国”网站(www.creditchina.gov.cn)、中国政府采购网(www.ccgp.gov.cn)等渠道 </w:t>
            </w:r>
          </w:p>
          <w:p>
            <w:pPr>
              <w:pStyle w:val="20"/>
              <w:spacing w:line="460" w:lineRule="exact"/>
              <w:rPr>
                <w:rFonts w:hAnsi="宋体"/>
                <w:sz w:val="24"/>
                <w:szCs w:val="24"/>
              </w:rPr>
            </w:pPr>
            <w:r>
              <w:rPr>
                <w:rFonts w:hint="eastAsia" w:hAnsi="宋体"/>
                <w:sz w:val="24"/>
                <w:szCs w:val="24"/>
              </w:rPr>
              <w:t>2、查询时间：首次提交响应文件截止时间前一个工作日内</w:t>
            </w:r>
          </w:p>
          <w:p>
            <w:pPr>
              <w:pStyle w:val="20"/>
              <w:spacing w:line="460" w:lineRule="exact"/>
              <w:rPr>
                <w:rFonts w:hAnsi="宋体"/>
                <w:sz w:val="24"/>
                <w:szCs w:val="24"/>
              </w:rPr>
            </w:pPr>
            <w:r>
              <w:rPr>
                <w:rFonts w:hint="eastAsia" w:hAnsi="宋体"/>
                <w:sz w:val="24"/>
                <w:szCs w:val="24"/>
              </w:rPr>
              <w:t>3、查询记录和证据留存方式：在查询网站中直接打印或截图查询记录，打印材料作为评审资料保存。</w:t>
            </w:r>
          </w:p>
          <w:p>
            <w:pPr>
              <w:pStyle w:val="20"/>
              <w:spacing w:line="460" w:lineRule="exact"/>
              <w:rPr>
                <w:rFonts w:hAnsi="宋体"/>
                <w:sz w:val="24"/>
                <w:szCs w:val="24"/>
              </w:rPr>
            </w:pPr>
            <w:r>
              <w:rPr>
                <w:rFonts w:hint="eastAsia" w:hAnsi="宋体"/>
                <w:sz w:val="24"/>
                <w:szCs w:val="24"/>
              </w:rPr>
              <w:t>4、信用信息使用规则：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9</w:t>
            </w:r>
          </w:p>
        </w:tc>
        <w:tc>
          <w:tcPr>
            <w:tcW w:w="9103" w:type="dxa"/>
            <w:vAlign w:val="center"/>
          </w:tcPr>
          <w:p>
            <w:pPr>
              <w:spacing w:line="460" w:lineRule="exact"/>
              <w:rPr>
                <w:rFonts w:ascii="宋体" w:hAnsi="宋体"/>
                <w:sz w:val="24"/>
              </w:rPr>
            </w:pPr>
            <w:r>
              <w:rPr>
                <w:rFonts w:hint="eastAsia" w:ascii="宋体" w:hAnsi="宋体"/>
                <w:sz w:val="24"/>
              </w:rPr>
              <w:t>谈判时间：</w:t>
            </w:r>
            <w:r>
              <w:rPr>
                <w:rFonts w:hint="eastAsia" w:ascii="宋体" w:hAnsi="宋体"/>
                <w:sz w:val="24"/>
                <w:u w:val="single"/>
                <w:lang w:eastAsia="zh-CN"/>
              </w:rPr>
              <w:t>2020年 10月15日10时</w:t>
            </w:r>
            <w:r>
              <w:rPr>
                <w:rFonts w:hint="eastAsia" w:ascii="宋体" w:hAnsi="宋体"/>
                <w:sz w:val="24"/>
                <w:u w:val="single"/>
                <w:lang w:val="en-US" w:eastAsia="zh-CN"/>
              </w:rPr>
              <w:t>0</w:t>
            </w:r>
            <w:r>
              <w:rPr>
                <w:rFonts w:hint="eastAsia" w:ascii="宋体" w:hAnsi="宋体"/>
                <w:sz w:val="24"/>
                <w:u w:val="single"/>
                <w:lang w:eastAsia="zh-CN"/>
              </w:rPr>
              <w:t>0分</w:t>
            </w:r>
            <w:r>
              <w:rPr>
                <w:rFonts w:hint="eastAsia" w:ascii="宋体" w:hAnsi="宋体"/>
                <w:sz w:val="24"/>
              </w:rPr>
              <w:t>截标后（具体时间由采购代理机构另行通知）</w:t>
            </w:r>
          </w:p>
          <w:p>
            <w:pPr>
              <w:spacing w:line="460" w:lineRule="exact"/>
              <w:rPr>
                <w:rFonts w:ascii="宋体" w:hAnsi="宋体"/>
                <w:sz w:val="24"/>
              </w:rPr>
            </w:pPr>
            <w:r>
              <w:rPr>
                <w:rFonts w:hint="eastAsia" w:ascii="宋体" w:hAnsi="宋体"/>
                <w:sz w:val="24"/>
              </w:rPr>
              <w:t>谈判地点：浦北县公共资源交易中心（总工会大楼三楼浦北县公共资源交易中心）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11</w:t>
            </w:r>
          </w:p>
        </w:tc>
        <w:tc>
          <w:tcPr>
            <w:tcW w:w="9103" w:type="dxa"/>
            <w:vAlign w:val="center"/>
          </w:tcPr>
          <w:p>
            <w:pPr>
              <w:spacing w:line="460" w:lineRule="exact"/>
              <w:rPr>
                <w:rFonts w:ascii="宋体" w:hAnsi="宋体"/>
                <w:sz w:val="24"/>
              </w:rPr>
            </w:pPr>
            <w:r>
              <w:rPr>
                <w:rFonts w:hint="eastAsia" w:ascii="宋体" w:hAnsi="宋体"/>
                <w:sz w:val="24"/>
              </w:rPr>
              <w:t>质疑：供应商认为采购文件、采购过程、中标或者成交结果使自己的权益受到损害的，可以在知道或者应知其权益受到损害之日起7个工作日内，以书面形式向采购人、采购代理机构提出质疑。供应商针对同一采购程序环节的质疑应在法定质疑期内一次性提出。</w:t>
            </w:r>
          </w:p>
          <w:p>
            <w:pPr>
              <w:spacing w:line="460" w:lineRule="exact"/>
              <w:rPr>
                <w:rFonts w:ascii="宋体" w:hAnsi="宋体"/>
                <w:sz w:val="24"/>
              </w:rPr>
            </w:pPr>
            <w:r>
              <w:rPr>
                <w:rFonts w:hint="eastAsia" w:ascii="宋体" w:hAnsi="宋体"/>
                <w:sz w:val="24"/>
              </w:rPr>
              <w:t>接收质疑函方式：以书面形式（原件）提交</w:t>
            </w:r>
          </w:p>
          <w:p>
            <w:pPr>
              <w:spacing w:line="460" w:lineRule="exact"/>
              <w:rPr>
                <w:rFonts w:ascii="宋体" w:hAnsi="宋体"/>
                <w:sz w:val="24"/>
              </w:rPr>
            </w:pPr>
            <w:r>
              <w:rPr>
                <w:rFonts w:hint="eastAsia" w:ascii="宋体" w:hAnsi="宋体"/>
                <w:sz w:val="24"/>
              </w:rPr>
              <w:t>质疑联系部门及联系方式：广西元强建设项目管理有限公司 ，联系电话：0777-3277999</w:t>
            </w:r>
          </w:p>
          <w:p>
            <w:pPr>
              <w:spacing w:line="460" w:lineRule="exact"/>
              <w:rPr>
                <w:rFonts w:ascii="宋体" w:hAnsi="宋体"/>
                <w:sz w:val="24"/>
              </w:rPr>
            </w:pPr>
            <w:r>
              <w:rPr>
                <w:rFonts w:hint="eastAsia" w:ascii="宋体" w:hAnsi="宋体"/>
                <w:sz w:val="24"/>
              </w:rPr>
              <w:t>通讯地址：广西元强建设项目管理有限公司钦州分公司（广西钦州市钦北区子材西大街276号五楼）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6" w:type="dxa"/>
            <w:vAlign w:val="center"/>
          </w:tcPr>
          <w:p>
            <w:pPr>
              <w:spacing w:line="460" w:lineRule="exact"/>
              <w:jc w:val="center"/>
              <w:rPr>
                <w:rFonts w:ascii="宋体" w:hAnsi="宋体"/>
                <w:sz w:val="24"/>
              </w:rPr>
            </w:pPr>
            <w:r>
              <w:rPr>
                <w:rFonts w:hint="eastAsia" w:ascii="宋体" w:hAnsi="宋体"/>
                <w:sz w:val="24"/>
              </w:rPr>
              <w:t>12</w:t>
            </w:r>
          </w:p>
        </w:tc>
        <w:tc>
          <w:tcPr>
            <w:tcW w:w="9103" w:type="dxa"/>
            <w:vAlign w:val="center"/>
          </w:tcPr>
          <w:p>
            <w:pPr>
              <w:spacing w:line="460" w:lineRule="exact"/>
              <w:rPr>
                <w:rFonts w:ascii="宋体" w:hAnsi="宋体"/>
                <w:sz w:val="24"/>
              </w:rPr>
            </w:pPr>
            <w:r>
              <w:rPr>
                <w:rFonts w:hint="eastAsia" w:ascii="宋体" w:hAnsi="宋体"/>
                <w:sz w:val="24"/>
              </w:rPr>
              <w:t>代理服务费参照国家发展计划委员会计价格[2002]1980号《招标代理服务费管理暂行办法》收费标准及[2011]534号文的规定（货物类）由成交供应商支付的，成交供应商应当在领取成交通知书前,由成交人向采购代理机构一次付清成交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26" w:type="dxa"/>
            <w:vAlign w:val="center"/>
          </w:tcPr>
          <w:p>
            <w:pPr>
              <w:spacing w:line="460" w:lineRule="exact"/>
              <w:rPr>
                <w:rFonts w:hint="default" w:ascii="宋体" w:hAnsi="宋体" w:eastAsia="宋体" w:cs="Times New Roman"/>
                <w:sz w:val="24"/>
                <w:lang w:val="en-US" w:eastAsia="zh-CN"/>
              </w:rPr>
            </w:pPr>
            <w:r>
              <w:rPr>
                <w:rFonts w:hint="eastAsia" w:ascii="宋体" w:hAnsi="宋体" w:eastAsia="宋体" w:cs="Times New Roman"/>
                <w:sz w:val="24"/>
                <w:lang w:val="en-US" w:eastAsia="zh-CN"/>
              </w:rPr>
              <w:t>13</w:t>
            </w:r>
          </w:p>
        </w:tc>
        <w:tc>
          <w:tcPr>
            <w:tcW w:w="9103" w:type="dxa"/>
            <w:vAlign w:val="center"/>
          </w:tcPr>
          <w:p>
            <w:pPr>
              <w:spacing w:line="460" w:lineRule="exact"/>
              <w:rPr>
                <w:rFonts w:hint="eastAsia" w:ascii="宋体" w:hAnsi="宋体" w:eastAsia="宋体" w:cs="Times New Roman"/>
                <w:sz w:val="24"/>
              </w:rPr>
            </w:pPr>
            <w:r>
              <w:rPr>
                <w:rFonts w:hint="eastAsia" w:ascii="宋体" w:hAnsi="宋体" w:eastAsia="宋体" w:cs="Times New Roman"/>
                <w:sz w:val="24"/>
              </w:rPr>
              <w:t>履约保证金金额：合同款总金额的</w:t>
            </w:r>
            <w:r>
              <w:rPr>
                <w:rFonts w:hint="eastAsia" w:ascii="宋体" w:hAnsi="宋体" w:eastAsia="宋体" w:cs="Times New Roman"/>
                <w:sz w:val="24"/>
                <w:lang w:val="en-US" w:eastAsia="zh-CN"/>
              </w:rPr>
              <w:t>5</w:t>
            </w:r>
            <w:r>
              <w:rPr>
                <w:rFonts w:hint="eastAsia" w:ascii="宋体" w:hAnsi="宋体" w:eastAsia="宋体" w:cs="Times New Roman"/>
                <w:sz w:val="24"/>
              </w:rPr>
              <w:t>%。</w:t>
            </w:r>
          </w:p>
          <w:p>
            <w:pPr>
              <w:spacing w:line="460" w:lineRule="exact"/>
              <w:rPr>
                <w:rFonts w:hint="eastAsia" w:ascii="宋体" w:hAnsi="宋体" w:eastAsia="宋体" w:cs="Times New Roman"/>
                <w:sz w:val="24"/>
              </w:rPr>
            </w:pPr>
            <w:r>
              <w:rPr>
                <w:rFonts w:hint="eastAsia" w:ascii="宋体" w:hAnsi="宋体" w:eastAsia="宋体" w:cs="Times New Roman"/>
                <w:sz w:val="24"/>
              </w:rPr>
              <w:t>履约保证金递交方式：银行转账、支票、汇票、本票或者银行、保险机构出具的保函等非现金方式。</w:t>
            </w:r>
          </w:p>
          <w:p>
            <w:pPr>
              <w:spacing w:line="460" w:lineRule="exact"/>
              <w:rPr>
                <w:rFonts w:hint="eastAsia" w:ascii="宋体" w:hAnsi="宋体" w:eastAsia="宋体" w:cs="Times New Roman"/>
                <w:sz w:val="24"/>
              </w:rPr>
            </w:pPr>
            <w:r>
              <w:rPr>
                <w:rFonts w:hint="eastAsia" w:ascii="宋体" w:hAnsi="宋体" w:eastAsia="宋体" w:cs="Times New Roman"/>
                <w:sz w:val="24"/>
              </w:rPr>
              <w:t>履约保证金指定账户：采购人在签订采购合同前向</w:t>
            </w:r>
            <w:r>
              <w:rPr>
                <w:rFonts w:hint="eastAsia" w:ascii="宋体" w:hAnsi="宋体" w:eastAsia="宋体" w:cs="Times New Roman"/>
                <w:sz w:val="24"/>
                <w:lang w:eastAsia="zh-CN"/>
              </w:rPr>
              <w:t>成交供应商</w:t>
            </w:r>
            <w:r>
              <w:rPr>
                <w:rFonts w:hint="eastAsia" w:ascii="宋体" w:hAnsi="宋体" w:eastAsia="宋体" w:cs="Times New Roman"/>
                <w:sz w:val="24"/>
              </w:rPr>
              <w:t>提供。</w:t>
            </w:r>
          </w:p>
        </w:tc>
      </w:tr>
    </w:tbl>
    <w:p>
      <w:pPr>
        <w:pStyle w:val="20"/>
        <w:jc w:val="center"/>
        <w:rPr>
          <w:rFonts w:hAnsi="宋体"/>
        </w:rPr>
      </w:pPr>
    </w:p>
    <w:p>
      <w:pPr>
        <w:spacing w:line="400" w:lineRule="exact"/>
        <w:jc w:val="center"/>
        <w:outlineLvl w:val="0"/>
        <w:rPr>
          <w:rFonts w:ascii="宋体" w:hAnsi="宋体"/>
          <w:b/>
          <w:sz w:val="32"/>
          <w:szCs w:val="32"/>
        </w:rPr>
      </w:pPr>
      <w:r>
        <w:rPr>
          <w:rFonts w:ascii="宋体" w:hAnsi="宋体"/>
          <w:b/>
          <w:sz w:val="32"/>
          <w:szCs w:val="32"/>
        </w:rPr>
        <w:br w:type="page"/>
      </w:r>
      <w:r>
        <w:rPr>
          <w:rFonts w:hint="eastAsia" w:ascii="宋体" w:hAnsi="宋体"/>
          <w:b/>
          <w:sz w:val="32"/>
          <w:szCs w:val="32"/>
        </w:rPr>
        <w:t>谈判须知</w:t>
      </w:r>
    </w:p>
    <w:p>
      <w:pPr>
        <w:spacing w:line="460" w:lineRule="exact"/>
        <w:ind w:firstLine="482" w:firstLineChars="200"/>
        <w:outlineLvl w:val="0"/>
        <w:rPr>
          <w:rFonts w:ascii="宋体" w:hAnsi="宋体"/>
          <w:b/>
          <w:sz w:val="24"/>
        </w:rPr>
      </w:pPr>
      <w:r>
        <w:rPr>
          <w:rFonts w:hint="eastAsia" w:ascii="宋体" w:hAnsi="宋体"/>
          <w:b/>
          <w:sz w:val="24"/>
        </w:rPr>
        <w:t>一、总　则</w:t>
      </w:r>
    </w:p>
    <w:p>
      <w:pPr>
        <w:spacing w:line="460" w:lineRule="exact"/>
        <w:ind w:firstLine="480" w:firstLineChars="200"/>
        <w:outlineLvl w:val="1"/>
        <w:rPr>
          <w:rFonts w:ascii="宋体" w:hAnsi="宋体"/>
          <w:sz w:val="24"/>
        </w:rPr>
      </w:pPr>
      <w:r>
        <w:rPr>
          <w:rFonts w:hint="eastAsia" w:ascii="宋体" w:hAnsi="宋体"/>
          <w:sz w:val="24"/>
        </w:rPr>
        <w:t>1. 适用范围</w:t>
      </w:r>
    </w:p>
    <w:p>
      <w:pPr>
        <w:spacing w:line="460" w:lineRule="exact"/>
        <w:ind w:firstLine="480" w:firstLineChars="200"/>
        <w:rPr>
          <w:rFonts w:ascii="宋体" w:hAnsi="宋体"/>
          <w:sz w:val="24"/>
        </w:rPr>
      </w:pPr>
      <w:r>
        <w:rPr>
          <w:rFonts w:hint="eastAsia" w:ascii="宋体" w:hAnsi="宋体"/>
          <w:sz w:val="24"/>
        </w:rPr>
        <w:t>1.1 本文件仅适用于本文件中所叙述的货物、服务类政府采购项目。</w:t>
      </w:r>
    </w:p>
    <w:p>
      <w:pPr>
        <w:spacing w:line="460" w:lineRule="exact"/>
        <w:ind w:firstLine="480" w:firstLineChars="200"/>
        <w:outlineLvl w:val="1"/>
        <w:rPr>
          <w:rFonts w:ascii="宋体" w:hAnsi="宋体"/>
          <w:sz w:val="24"/>
        </w:rPr>
      </w:pPr>
      <w:r>
        <w:rPr>
          <w:rFonts w:hint="eastAsia" w:ascii="宋体" w:hAnsi="宋体"/>
          <w:sz w:val="24"/>
        </w:rPr>
        <w:t>2. 定义</w:t>
      </w:r>
    </w:p>
    <w:p>
      <w:pPr>
        <w:spacing w:line="460" w:lineRule="exact"/>
        <w:ind w:firstLine="480" w:firstLineChars="200"/>
        <w:rPr>
          <w:rFonts w:ascii="宋体" w:hAnsi="宋体"/>
          <w:sz w:val="24"/>
        </w:rPr>
      </w:pPr>
      <w:r>
        <w:rPr>
          <w:rFonts w:hint="eastAsia" w:ascii="宋体" w:hAnsi="宋体"/>
          <w:sz w:val="24"/>
        </w:rPr>
        <w:t>2.1“采购人”是指：浦北县人民医院。</w:t>
      </w:r>
    </w:p>
    <w:p>
      <w:pPr>
        <w:spacing w:line="460" w:lineRule="exact"/>
        <w:ind w:firstLine="480" w:firstLineChars="200"/>
        <w:rPr>
          <w:rFonts w:ascii="宋体" w:hAnsi="宋体"/>
          <w:sz w:val="24"/>
        </w:rPr>
      </w:pPr>
      <w:r>
        <w:rPr>
          <w:rFonts w:hint="eastAsia" w:ascii="宋体" w:hAnsi="宋体"/>
          <w:sz w:val="24"/>
        </w:rPr>
        <w:t>2.2“采购代理机构”是指：广西元强建设项目管理有限公司 。</w:t>
      </w:r>
    </w:p>
    <w:p>
      <w:pPr>
        <w:spacing w:line="460" w:lineRule="exact"/>
        <w:ind w:firstLine="480" w:firstLineChars="200"/>
        <w:rPr>
          <w:rFonts w:ascii="宋体" w:hAnsi="宋体"/>
          <w:sz w:val="24"/>
        </w:rPr>
      </w:pPr>
      <w:r>
        <w:rPr>
          <w:rFonts w:hint="eastAsia" w:ascii="宋体" w:hAnsi="宋体"/>
          <w:sz w:val="24"/>
        </w:rPr>
        <w:t>2.3“谈判供应商”是指购买了谈判采购文件，响应本文件要求，参加谈判的法人或者其他组织，即“供应商”。如果该供应商在本次谈判中成交，即成为“成交供应商”。</w:t>
      </w:r>
    </w:p>
    <w:p>
      <w:pPr>
        <w:spacing w:line="460" w:lineRule="exact"/>
        <w:ind w:firstLine="480" w:firstLineChars="200"/>
        <w:rPr>
          <w:rFonts w:ascii="宋体" w:hAnsi="宋体"/>
          <w:sz w:val="24"/>
        </w:rPr>
      </w:pPr>
      <w:r>
        <w:rPr>
          <w:rFonts w:hint="eastAsia" w:ascii="宋体" w:hAnsi="宋体"/>
          <w:sz w:val="24"/>
        </w:rPr>
        <w:t>2.4“货物”是指各种形态和种类的物品，包括原材料、燃料、设备、产品等。</w:t>
      </w:r>
    </w:p>
    <w:p>
      <w:pPr>
        <w:spacing w:line="460" w:lineRule="exact"/>
        <w:ind w:firstLine="480" w:firstLineChars="200"/>
        <w:rPr>
          <w:rFonts w:ascii="宋体" w:hAnsi="宋体"/>
          <w:sz w:val="24"/>
        </w:rPr>
      </w:pPr>
      <w:r>
        <w:rPr>
          <w:rFonts w:hint="eastAsia" w:ascii="宋体" w:hAnsi="宋体"/>
          <w:sz w:val="24"/>
        </w:rPr>
        <w:t>2.5“服务”是指除货物和工程以外的其他政府采购对象。</w:t>
      </w:r>
    </w:p>
    <w:p>
      <w:pPr>
        <w:spacing w:line="460" w:lineRule="exact"/>
        <w:ind w:firstLine="480" w:firstLineChars="200"/>
        <w:rPr>
          <w:rFonts w:ascii="宋体" w:hAnsi="宋体"/>
          <w:sz w:val="24"/>
        </w:rPr>
      </w:pPr>
      <w:r>
        <w:rPr>
          <w:rFonts w:hint="eastAsia" w:ascii="宋体" w:hAnsi="宋体"/>
          <w:sz w:val="24"/>
        </w:rPr>
        <w:t>2.6“竞争性谈判响应文件”是指：供应商根据本文件要求，编制包含报价、技术和服务等所有内容的文件，即“竞标文件”。</w:t>
      </w:r>
    </w:p>
    <w:p>
      <w:pPr>
        <w:spacing w:line="460" w:lineRule="exact"/>
        <w:ind w:firstLine="480" w:firstLineChars="200"/>
        <w:outlineLvl w:val="1"/>
        <w:rPr>
          <w:rFonts w:ascii="宋体" w:hAnsi="宋体"/>
          <w:sz w:val="24"/>
        </w:rPr>
      </w:pPr>
      <w:r>
        <w:rPr>
          <w:rFonts w:hint="eastAsia" w:ascii="宋体" w:hAnsi="宋体"/>
          <w:sz w:val="24"/>
        </w:rPr>
        <w:t>3. 谈判供应商的基本条件</w:t>
      </w:r>
    </w:p>
    <w:p>
      <w:pPr>
        <w:spacing w:line="460" w:lineRule="exact"/>
        <w:ind w:firstLine="480" w:firstLineChars="200"/>
        <w:rPr>
          <w:rFonts w:ascii="宋体" w:hAnsi="宋体"/>
          <w:sz w:val="24"/>
        </w:rPr>
      </w:pPr>
      <w:r>
        <w:rPr>
          <w:rFonts w:hint="eastAsia" w:ascii="宋体" w:hAnsi="宋体"/>
          <w:sz w:val="24"/>
        </w:rPr>
        <w:t>3.1满足《中华人民共和国政府采购法》第二十二条规定，具备合法资格的供应商；</w:t>
      </w:r>
    </w:p>
    <w:p>
      <w:pPr>
        <w:spacing w:line="460" w:lineRule="exact"/>
        <w:ind w:firstLine="480" w:firstLineChars="200"/>
        <w:rPr>
          <w:rFonts w:ascii="宋体" w:hAnsi="宋体"/>
          <w:sz w:val="24"/>
        </w:rPr>
      </w:pPr>
      <w:r>
        <w:rPr>
          <w:rFonts w:hint="eastAsia" w:ascii="宋体" w:hAnsi="宋体"/>
          <w:sz w:val="24"/>
        </w:rPr>
        <w:t>3.2落实政府采购政策需满足的资格要求：本项目适用政府采购促进中小企业、监狱企业发展、促进残疾人就业、节能环保及广西工业产品产销等有关政策，具体详见谈判文件；</w:t>
      </w:r>
    </w:p>
    <w:p>
      <w:pPr>
        <w:spacing w:line="460" w:lineRule="exact"/>
        <w:ind w:firstLine="480" w:firstLineChars="200"/>
        <w:rPr>
          <w:rFonts w:ascii="宋体" w:hAnsi="宋体"/>
          <w:sz w:val="24"/>
        </w:rPr>
      </w:pPr>
      <w:r>
        <w:rPr>
          <w:rFonts w:hint="eastAsia" w:ascii="宋体" w:hAnsi="宋体"/>
          <w:sz w:val="24"/>
        </w:rPr>
        <w:t>3.3本项目的特定资格要求：竞标人还须具有国家主管部门颁发的有效的医疗器械生产许可证，或按《医疗器械经营监督管理办法》（国家食品药品监督管理总局第8号令）医疗器械分类管理要求具有有效的医疗器械经营备案凭证或许可证；</w:t>
      </w:r>
    </w:p>
    <w:p>
      <w:pPr>
        <w:spacing w:line="460" w:lineRule="exact"/>
        <w:ind w:firstLine="480" w:firstLineChars="200"/>
        <w:rPr>
          <w:rFonts w:ascii="宋体" w:hAnsi="宋体"/>
          <w:sz w:val="24"/>
        </w:rPr>
      </w:pPr>
      <w:r>
        <w:rPr>
          <w:rFonts w:hint="eastAsia" w:ascii="宋体" w:hAnsi="宋体"/>
          <w:sz w:val="24"/>
        </w:rPr>
        <w:t>3.4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60" w:lineRule="exact"/>
        <w:ind w:firstLine="480" w:firstLineChars="200"/>
        <w:rPr>
          <w:rFonts w:ascii="宋体" w:hAnsi="宋体"/>
          <w:sz w:val="24"/>
        </w:rPr>
      </w:pPr>
      <w:r>
        <w:rPr>
          <w:rFonts w:hint="eastAsia" w:ascii="宋体" w:hAnsi="宋体"/>
          <w:sz w:val="24"/>
        </w:rPr>
        <w:t>3.5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460" w:lineRule="exact"/>
        <w:ind w:firstLine="480" w:firstLineChars="200"/>
        <w:rPr>
          <w:rFonts w:ascii="宋体" w:hAnsi="宋体"/>
          <w:sz w:val="24"/>
        </w:rPr>
      </w:pPr>
      <w:r>
        <w:rPr>
          <w:rFonts w:hint="eastAsia" w:ascii="宋体" w:hAnsi="宋体"/>
          <w:sz w:val="24"/>
        </w:rPr>
        <w:t>3.6本项目不接受未购买本采购文件的供应商竞标。</w:t>
      </w:r>
    </w:p>
    <w:p>
      <w:pPr>
        <w:spacing w:line="460" w:lineRule="exact"/>
        <w:ind w:firstLine="480" w:firstLineChars="200"/>
        <w:outlineLvl w:val="1"/>
        <w:rPr>
          <w:rFonts w:ascii="宋体" w:hAnsi="宋体"/>
          <w:sz w:val="24"/>
        </w:rPr>
      </w:pPr>
      <w:r>
        <w:rPr>
          <w:rFonts w:hint="eastAsia" w:ascii="宋体" w:hAnsi="宋体"/>
          <w:sz w:val="24"/>
        </w:rPr>
        <w:t>4. 谈判费用</w:t>
      </w:r>
    </w:p>
    <w:p>
      <w:pPr>
        <w:spacing w:line="460" w:lineRule="exact"/>
        <w:ind w:firstLine="480" w:firstLineChars="200"/>
        <w:rPr>
          <w:rFonts w:ascii="宋体" w:hAnsi="宋体"/>
          <w:sz w:val="24"/>
        </w:rPr>
      </w:pPr>
      <w:r>
        <w:rPr>
          <w:rFonts w:hint="eastAsia" w:ascii="宋体" w:hAnsi="宋体"/>
          <w:sz w:val="24"/>
        </w:rPr>
        <w:t>4.1 谈判供应商应自行承担所有与编写和提交竞争性谈判响应文件有关的费用，不论谈判结果如何，采购人和广西元强建设项目管理有限公司 在任何情况下无义务和责任承担此类费用。</w:t>
      </w:r>
    </w:p>
    <w:p>
      <w:pPr>
        <w:spacing w:line="460" w:lineRule="exact"/>
        <w:ind w:firstLine="482" w:firstLineChars="200"/>
        <w:outlineLvl w:val="0"/>
        <w:rPr>
          <w:rFonts w:ascii="宋体" w:hAnsi="宋体"/>
          <w:b/>
          <w:sz w:val="24"/>
        </w:rPr>
      </w:pPr>
      <w:r>
        <w:rPr>
          <w:rFonts w:hint="eastAsia" w:ascii="宋体" w:hAnsi="宋体"/>
          <w:b/>
          <w:sz w:val="24"/>
        </w:rPr>
        <w:t>二、竞争性谈判响应文件的编制</w:t>
      </w:r>
    </w:p>
    <w:p>
      <w:pPr>
        <w:spacing w:line="460" w:lineRule="exact"/>
        <w:ind w:firstLine="480" w:firstLineChars="200"/>
        <w:outlineLvl w:val="1"/>
        <w:rPr>
          <w:rFonts w:ascii="宋体" w:hAnsi="宋体"/>
          <w:sz w:val="24"/>
        </w:rPr>
      </w:pPr>
      <w:r>
        <w:rPr>
          <w:rFonts w:hint="eastAsia" w:ascii="宋体" w:hAnsi="宋体"/>
          <w:sz w:val="24"/>
        </w:rPr>
        <w:t>5. 竞争性谈判响应文件编制基本要求</w:t>
      </w:r>
    </w:p>
    <w:p>
      <w:pPr>
        <w:spacing w:line="460" w:lineRule="exact"/>
        <w:ind w:firstLine="480" w:firstLineChars="200"/>
        <w:rPr>
          <w:rFonts w:ascii="宋体" w:hAnsi="宋体"/>
          <w:sz w:val="24"/>
        </w:rPr>
      </w:pPr>
      <w:r>
        <w:rPr>
          <w:rFonts w:hint="eastAsia" w:ascii="宋体" w:hAnsi="宋体"/>
          <w:sz w:val="24"/>
        </w:rPr>
        <w:t>5.1谈判供应商对竞争性谈判响应文件的编制应按要求装订和封装。</w:t>
      </w:r>
    </w:p>
    <w:p>
      <w:pPr>
        <w:spacing w:line="460" w:lineRule="exact"/>
        <w:ind w:firstLine="480" w:firstLineChars="200"/>
        <w:rPr>
          <w:rFonts w:ascii="宋体" w:hAnsi="宋体"/>
          <w:sz w:val="24"/>
        </w:rPr>
      </w:pPr>
      <w:r>
        <w:rPr>
          <w:rFonts w:hint="eastAsia" w:ascii="宋体" w:hAnsi="宋体"/>
          <w:sz w:val="24"/>
        </w:rPr>
        <w:t>5.2谈判供应商提交的竞争性谈判响应文件以及谈判供应商与广西元强建设项目管理有限公司 和采购人就有关谈判的所有来往函电均应使用中文。谈判供应商提交的支持文件和印刷的文献可以使用别的语言，但其相应内容必须附有中文翻译文本，在解释竞争性谈判响应文件时以翻译文本为主。</w:t>
      </w:r>
    </w:p>
    <w:p>
      <w:pPr>
        <w:spacing w:line="460" w:lineRule="exact"/>
        <w:ind w:firstLine="480" w:firstLineChars="200"/>
        <w:rPr>
          <w:rFonts w:ascii="宋体" w:hAnsi="宋体"/>
          <w:sz w:val="24"/>
        </w:rPr>
      </w:pPr>
      <w:r>
        <w:rPr>
          <w:rFonts w:hint="eastAsia" w:ascii="宋体" w:hAnsi="宋体"/>
          <w:sz w:val="24"/>
        </w:rPr>
        <w:t>5.3谈判供应商应认真阅读、并充分理解本文件的全部内容（包括所有的补充、修改内容），承诺并履行本文件中各项条款规定及要求。</w:t>
      </w:r>
    </w:p>
    <w:p>
      <w:pPr>
        <w:spacing w:line="460" w:lineRule="exact"/>
        <w:ind w:firstLine="480" w:firstLineChars="200"/>
        <w:rPr>
          <w:rFonts w:ascii="宋体" w:hAnsi="宋体"/>
          <w:sz w:val="24"/>
        </w:rPr>
      </w:pPr>
      <w:r>
        <w:rPr>
          <w:rFonts w:hint="eastAsia" w:ascii="宋体" w:hAnsi="宋体"/>
          <w:sz w:val="24"/>
        </w:rPr>
        <w:t>5.4竞争性谈判响应文件必须按本文件的全部内容，包括所有的补充通知及附件进行编制。</w:t>
      </w:r>
    </w:p>
    <w:p>
      <w:pPr>
        <w:spacing w:line="460" w:lineRule="exact"/>
        <w:ind w:firstLine="480" w:firstLineChars="200"/>
        <w:rPr>
          <w:rFonts w:ascii="宋体" w:hAnsi="宋体"/>
          <w:sz w:val="24"/>
        </w:rPr>
      </w:pPr>
      <w:r>
        <w:rPr>
          <w:rFonts w:hint="eastAsia" w:ascii="宋体" w:hAnsi="宋体"/>
          <w:sz w:val="24"/>
        </w:rPr>
        <w:t>5.5如因谈判供应商只填写和提供了本文件要求的部分内容和附件，而给评审造成困难，其可能导致的结果和责任由谈判供应商自行承担。</w:t>
      </w:r>
    </w:p>
    <w:p>
      <w:pPr>
        <w:spacing w:line="460" w:lineRule="exact"/>
        <w:ind w:firstLine="480" w:firstLineChars="200"/>
        <w:rPr>
          <w:rFonts w:ascii="宋体" w:hAnsi="宋体"/>
          <w:sz w:val="24"/>
        </w:rPr>
      </w:pPr>
      <w:r>
        <w:rPr>
          <w:rFonts w:hint="eastAsia" w:ascii="宋体" w:hAnsi="宋体"/>
          <w:sz w:val="24"/>
        </w:rPr>
        <w:t>5.6竞争性谈判响应文件的组成竞争性谈判响应文件应分为价格文件和商务技术文件两个部分组成。（标注“必须提供”的文件均必须提供，如未提供，谈判小组将拒绝其谈判）</w:t>
      </w:r>
    </w:p>
    <w:p>
      <w:pPr>
        <w:spacing w:line="460" w:lineRule="exact"/>
        <w:ind w:firstLine="482" w:firstLineChars="200"/>
        <w:outlineLvl w:val="2"/>
        <w:rPr>
          <w:rFonts w:ascii="宋体" w:hAnsi="宋体"/>
          <w:b/>
          <w:sz w:val="24"/>
        </w:rPr>
      </w:pPr>
      <w:r>
        <w:rPr>
          <w:rFonts w:hint="eastAsia" w:ascii="宋体" w:hAnsi="宋体"/>
          <w:b/>
          <w:sz w:val="24"/>
        </w:rPr>
        <w:t>5.6.1价格文件</w:t>
      </w:r>
    </w:p>
    <w:p>
      <w:pPr>
        <w:spacing w:line="460" w:lineRule="exact"/>
        <w:ind w:firstLine="482" w:firstLineChars="200"/>
        <w:rPr>
          <w:rFonts w:ascii="宋体" w:hAnsi="宋体"/>
          <w:b/>
          <w:sz w:val="24"/>
        </w:rPr>
      </w:pPr>
      <w:r>
        <w:rPr>
          <w:rFonts w:hint="eastAsia" w:ascii="宋体" w:hAnsi="宋体"/>
          <w:b/>
          <w:sz w:val="24"/>
        </w:rPr>
        <w:t>1）谈判报价表（附件三）；（必须提供，否则竞标无效）</w:t>
      </w:r>
    </w:p>
    <w:p>
      <w:pPr>
        <w:spacing w:line="460" w:lineRule="exact"/>
        <w:ind w:firstLine="482" w:firstLineChars="200"/>
        <w:rPr>
          <w:rFonts w:ascii="宋体" w:hAnsi="宋体"/>
          <w:b/>
          <w:sz w:val="24"/>
        </w:rPr>
      </w:pPr>
      <w:r>
        <w:rPr>
          <w:rFonts w:hint="eastAsia" w:ascii="宋体" w:hAnsi="宋体"/>
          <w:b/>
          <w:sz w:val="24"/>
        </w:rPr>
        <w:t>2）中小企业声明函（竞标人如为中小微型企业的请按格式内容填写，否则不予享受优惠政策）；</w:t>
      </w:r>
    </w:p>
    <w:p>
      <w:pPr>
        <w:spacing w:line="460" w:lineRule="exact"/>
        <w:ind w:firstLine="482" w:firstLineChars="200"/>
        <w:rPr>
          <w:rFonts w:ascii="宋体" w:hAnsi="宋体"/>
          <w:b/>
          <w:sz w:val="24"/>
        </w:rPr>
      </w:pPr>
      <w:r>
        <w:rPr>
          <w:rFonts w:hint="eastAsia" w:ascii="宋体" w:hAnsi="宋体"/>
          <w:b/>
          <w:sz w:val="24"/>
        </w:rPr>
        <w:t>3）监狱企业由省级以上监狱管理局、戒毒管理局（含新疆生产建设兵团）出具的属于监狱企业的证明文件；</w:t>
      </w:r>
    </w:p>
    <w:p>
      <w:pPr>
        <w:spacing w:line="460" w:lineRule="exact"/>
        <w:ind w:firstLine="482" w:firstLineChars="200"/>
        <w:rPr>
          <w:rFonts w:ascii="宋体" w:hAnsi="宋体"/>
          <w:b/>
          <w:sz w:val="24"/>
        </w:rPr>
      </w:pPr>
      <w:r>
        <w:rPr>
          <w:rFonts w:hint="eastAsia" w:ascii="宋体" w:hAnsi="宋体"/>
          <w:b/>
          <w:sz w:val="24"/>
        </w:rPr>
        <w:t>4）残疾人福利性单位声明函（竞标人如为残疾人福利性单位的请按格式内容填写，否则不予享受优惠政策）；</w:t>
      </w:r>
    </w:p>
    <w:p>
      <w:pPr>
        <w:spacing w:line="460" w:lineRule="exact"/>
        <w:ind w:firstLine="482" w:firstLineChars="200"/>
        <w:outlineLvl w:val="2"/>
        <w:rPr>
          <w:rFonts w:ascii="宋体" w:hAnsi="宋体"/>
          <w:b/>
          <w:sz w:val="24"/>
        </w:rPr>
      </w:pPr>
      <w:r>
        <w:rPr>
          <w:rFonts w:hint="eastAsia" w:ascii="宋体" w:hAnsi="宋体"/>
          <w:b/>
          <w:sz w:val="24"/>
        </w:rPr>
        <w:t>5.6.2 商务技术文件</w:t>
      </w:r>
    </w:p>
    <w:p>
      <w:pPr>
        <w:spacing w:line="460" w:lineRule="exact"/>
        <w:ind w:firstLine="482" w:firstLineChars="200"/>
        <w:rPr>
          <w:rFonts w:ascii="宋体" w:hAnsi="宋体"/>
          <w:b/>
          <w:sz w:val="24"/>
        </w:rPr>
      </w:pPr>
      <w:r>
        <w:rPr>
          <w:rFonts w:hint="eastAsia" w:ascii="宋体" w:hAnsi="宋体"/>
          <w:b/>
          <w:sz w:val="24"/>
        </w:rPr>
        <w:t>1）竞标声明书（附件一）；（必须提供，否则竞标无效）</w:t>
      </w:r>
    </w:p>
    <w:p>
      <w:pPr>
        <w:spacing w:line="460" w:lineRule="exact"/>
        <w:ind w:firstLine="482" w:firstLineChars="200"/>
        <w:rPr>
          <w:rFonts w:ascii="宋体" w:hAnsi="宋体"/>
          <w:b/>
          <w:sz w:val="24"/>
        </w:rPr>
      </w:pPr>
      <w:r>
        <w:rPr>
          <w:rFonts w:hint="eastAsia" w:ascii="宋体" w:hAnsi="宋体"/>
          <w:b/>
          <w:sz w:val="24"/>
        </w:rPr>
        <w:t>2）谈判书（附件二）；（必须提供，否则竞标无效）</w:t>
      </w:r>
    </w:p>
    <w:p>
      <w:pPr>
        <w:spacing w:line="460" w:lineRule="exact"/>
        <w:ind w:firstLine="482" w:firstLineChars="200"/>
        <w:rPr>
          <w:rFonts w:ascii="宋体" w:hAnsi="宋体"/>
          <w:b/>
          <w:sz w:val="24"/>
        </w:rPr>
      </w:pPr>
      <w:r>
        <w:rPr>
          <w:rFonts w:hint="eastAsia" w:ascii="宋体" w:hAnsi="宋体"/>
          <w:b/>
          <w:sz w:val="24"/>
        </w:rPr>
        <w:t>3）技术响应、偏离情况说明表（附件四）；（必须提供，否则竞标无效）</w:t>
      </w:r>
    </w:p>
    <w:p>
      <w:pPr>
        <w:spacing w:line="460" w:lineRule="exact"/>
        <w:ind w:firstLine="482" w:firstLineChars="200"/>
        <w:rPr>
          <w:rFonts w:ascii="宋体" w:hAnsi="宋体"/>
          <w:b/>
          <w:sz w:val="24"/>
        </w:rPr>
      </w:pPr>
      <w:r>
        <w:rPr>
          <w:rFonts w:hint="eastAsia" w:ascii="宋体" w:hAnsi="宋体"/>
          <w:b/>
          <w:sz w:val="24"/>
        </w:rPr>
        <w:t>4）商务响应表（附件五）；（必须提供，否则竞标无效）</w:t>
      </w:r>
    </w:p>
    <w:p>
      <w:pPr>
        <w:spacing w:line="460" w:lineRule="exact"/>
        <w:ind w:firstLine="482" w:firstLineChars="200"/>
        <w:rPr>
          <w:rFonts w:ascii="宋体" w:hAnsi="宋体"/>
          <w:b/>
          <w:sz w:val="24"/>
        </w:rPr>
      </w:pPr>
      <w:r>
        <w:rPr>
          <w:rFonts w:hint="eastAsia" w:ascii="宋体" w:hAnsi="宋体"/>
          <w:b/>
          <w:sz w:val="24"/>
        </w:rPr>
        <w:t>5）售后服务承诺方案；（由供应商按本项目竞争性谈判文件第三章“</w:t>
      </w:r>
      <w:r>
        <w:rPr>
          <w:rFonts w:hint="eastAsia" w:ascii="宋体" w:hAnsi="宋体"/>
          <w:b/>
          <w:sz w:val="24"/>
          <w:lang w:eastAsia="zh-CN"/>
        </w:rPr>
        <w:t>货物需求一览表</w:t>
      </w:r>
      <w:r>
        <w:rPr>
          <w:rFonts w:hint="eastAsia" w:ascii="宋体" w:hAnsi="宋体"/>
          <w:b/>
          <w:sz w:val="24"/>
        </w:rPr>
        <w:t>”要求自行编制）</w:t>
      </w:r>
    </w:p>
    <w:p>
      <w:pPr>
        <w:spacing w:line="460" w:lineRule="exact"/>
        <w:ind w:firstLine="482" w:firstLineChars="200"/>
        <w:rPr>
          <w:rFonts w:ascii="宋体" w:hAnsi="宋体" w:cs="Calibri"/>
          <w:b/>
          <w:sz w:val="24"/>
        </w:rPr>
      </w:pPr>
      <w:r>
        <w:rPr>
          <w:rFonts w:hint="eastAsia" w:ascii="宋体" w:hAnsi="宋体"/>
          <w:b/>
          <w:sz w:val="24"/>
        </w:rPr>
        <w:t>6）供应商有效的加载统一社会信用代码的营业执照或事业单位法人证书等主体资格证明副本和</w:t>
      </w:r>
      <w:r>
        <w:rPr>
          <w:rFonts w:hint="eastAsia" w:ascii="宋体" w:hAnsi="宋体" w:cs="Calibri"/>
          <w:b/>
          <w:sz w:val="24"/>
        </w:rPr>
        <w:t>竞标人有效的医疗器械经营许可证或生产许可证复印件（涉及医疗设备类的必须提供，否则竞标无效）</w:t>
      </w:r>
    </w:p>
    <w:p>
      <w:pPr>
        <w:spacing w:line="460" w:lineRule="exact"/>
        <w:ind w:firstLine="482" w:firstLineChars="200"/>
        <w:rPr>
          <w:rFonts w:ascii="宋体" w:hAnsi="宋体"/>
          <w:b/>
          <w:sz w:val="24"/>
        </w:rPr>
      </w:pPr>
      <w:r>
        <w:rPr>
          <w:rFonts w:hint="eastAsia" w:ascii="宋体" w:hAnsi="宋体"/>
          <w:b/>
          <w:sz w:val="24"/>
        </w:rPr>
        <w:t>7）响应文件递交截止之日前竞标供应商最近一个季度或近期连续三个月的依法缴纳税费或依法免缴税费（包括无纳税记录或零报税）的证明（新成立的且不足一个月的企业按实际提供），证明材料可以是：银行已缴纳税费凭证复印件或第三方有效的相关业务托缴凭证或其他有效证明，或竞标供应商所在地税务部门出具的有效证明（复印件）；（必须提供）</w:t>
      </w:r>
    </w:p>
    <w:p>
      <w:pPr>
        <w:spacing w:line="460" w:lineRule="exact"/>
        <w:ind w:firstLine="482" w:firstLineChars="200"/>
        <w:rPr>
          <w:rFonts w:ascii="宋体" w:hAnsi="宋体"/>
          <w:b/>
          <w:sz w:val="24"/>
        </w:rPr>
      </w:pPr>
      <w:r>
        <w:rPr>
          <w:rFonts w:hint="eastAsia" w:ascii="宋体" w:hAnsi="宋体"/>
          <w:b/>
          <w:sz w:val="24"/>
        </w:rPr>
        <w:t>8）响应文件递交截止之日前竞标供应商最近一个季度或近期连续三个月的依法缴纳社会保险费或依法免缴社保费的相关证明（新成立的且不足一个月的企业按实际提供），证明材料可以是：银行已缴纳税费凭证复印件或第三方有效的相关业务托缴凭证或其他有效证明；不需要缴纳社会保险金的应提供供应商所在地有关行政主管部门出具相应的文件证明（复印件）；（必须提供）</w:t>
      </w:r>
    </w:p>
    <w:p>
      <w:pPr>
        <w:spacing w:line="460" w:lineRule="exact"/>
        <w:ind w:firstLine="482" w:firstLineChars="200"/>
        <w:rPr>
          <w:rFonts w:ascii="宋体" w:hAnsi="宋体"/>
          <w:b/>
          <w:sz w:val="24"/>
        </w:rPr>
      </w:pPr>
      <w:r>
        <w:rPr>
          <w:rFonts w:hint="eastAsia" w:ascii="宋体" w:hAnsi="宋体"/>
          <w:b/>
          <w:sz w:val="24"/>
        </w:rPr>
        <w:t>9)供应商2018或2019年度财务报表复印件【①可以是经会计师事务所审计的财务报告，或是本公司出具的财务报表；②新近成立不足半年的公司可根据其成立的时间提交财务报表；③公司出具的财务报表至少包含资产负债表、利润表、现金流量表，未按要求提供材料的，谈判小组将取消其竞标资格】，或供应商其基本开户银行出具的资信证明（复印件）；（必须提供）（说明：供应商其基本开户银行出具的资信证明指：反映供应商资金结算无异常，无违规透支，无理拒付、无逾期（垫款）和欠息等不良记录，结算纪律良好的相关证明，并非指存款证明。如所提供该证明仅为存款数额信息的将作无效证明处理，并按无效竞标处理）</w:t>
      </w:r>
    </w:p>
    <w:p>
      <w:pPr>
        <w:spacing w:line="460" w:lineRule="exact"/>
        <w:ind w:firstLine="482" w:firstLineChars="200"/>
        <w:rPr>
          <w:rFonts w:ascii="宋体" w:hAnsi="宋体"/>
          <w:b/>
          <w:sz w:val="24"/>
        </w:rPr>
      </w:pPr>
      <w:r>
        <w:rPr>
          <w:rFonts w:hint="eastAsia" w:ascii="宋体" w:hAnsi="宋体"/>
          <w:b/>
          <w:sz w:val="24"/>
        </w:rPr>
        <w:t>10）在“信用中国”网站(www.creditchina.gov.cn)、中国政府采购网(www.ccgp.gov.cn)等渠道被列入失信被执行人、重大税收违法案件当事人名单、政府采购严重违法失信行为记录名单的。</w:t>
      </w:r>
    </w:p>
    <w:p>
      <w:pPr>
        <w:spacing w:line="460" w:lineRule="exact"/>
        <w:ind w:firstLine="482" w:firstLineChars="200"/>
        <w:rPr>
          <w:rFonts w:ascii="宋体" w:hAnsi="宋体"/>
          <w:b/>
          <w:sz w:val="24"/>
        </w:rPr>
      </w:pPr>
      <w:r>
        <w:rPr>
          <w:rFonts w:hint="eastAsia" w:ascii="宋体" w:hAnsi="宋体"/>
          <w:b/>
          <w:sz w:val="24"/>
        </w:rPr>
        <w:t>根据财政部《关于在政府采购活动中查询及使用信用记录有关问题的通知》（财库〔2016〕125号）的规定，供应商在“信用中国”网站（www.creditchina.gov.cn）、中国政府采购网（www.ccgp.gov.cn）中被列入失信被执行人、重大税收违法案件当事人名单、政府采购严重违法失信行为记录名单及其他不符合《中华人民共和国政府采购法》第二十二条规定条件的，其响应文件将被拒绝（以本项目评审时采购人或采购代理机构在上述网站的查询结果截图为准，同时将查询结果截图作为证据留存）</w:t>
      </w:r>
    </w:p>
    <w:p>
      <w:pPr>
        <w:spacing w:line="460" w:lineRule="exact"/>
        <w:ind w:firstLine="482" w:firstLineChars="200"/>
        <w:rPr>
          <w:rFonts w:ascii="宋体" w:hAnsi="宋体"/>
          <w:b/>
          <w:sz w:val="24"/>
        </w:rPr>
      </w:pPr>
      <w:r>
        <w:rPr>
          <w:rFonts w:hint="eastAsia" w:ascii="宋体" w:hAnsi="宋体"/>
          <w:b/>
          <w:bCs/>
          <w:sz w:val="24"/>
        </w:rPr>
        <w:t>11）法定代表人身份证复印件，委托代理时还须提供法定代表人授权委托书原件及被授权人身份证复印件</w:t>
      </w:r>
      <w:r>
        <w:rPr>
          <w:rFonts w:hint="eastAsia" w:ascii="宋体" w:hAnsi="宋体"/>
          <w:b/>
          <w:sz w:val="24"/>
        </w:rPr>
        <w:t>；（必须提供，否则竞标无效）；</w:t>
      </w:r>
    </w:p>
    <w:p>
      <w:pPr>
        <w:spacing w:line="460" w:lineRule="exact"/>
        <w:ind w:firstLine="482" w:firstLineChars="200"/>
        <w:rPr>
          <w:rFonts w:ascii="宋体" w:hAnsi="宋体"/>
          <w:b/>
          <w:sz w:val="24"/>
        </w:rPr>
      </w:pPr>
      <w:r>
        <w:rPr>
          <w:rFonts w:hint="eastAsia" w:ascii="宋体" w:hAnsi="宋体"/>
          <w:b/>
          <w:sz w:val="24"/>
        </w:rPr>
        <w:t>12）货物制造、检验、产品销售许可证等；</w:t>
      </w:r>
    </w:p>
    <w:p>
      <w:pPr>
        <w:spacing w:line="460" w:lineRule="exact"/>
        <w:ind w:firstLine="482" w:firstLineChars="200"/>
        <w:rPr>
          <w:rFonts w:ascii="宋体" w:hAnsi="宋体"/>
          <w:b/>
          <w:sz w:val="24"/>
        </w:rPr>
      </w:pPr>
      <w:r>
        <w:rPr>
          <w:rFonts w:hint="eastAsia" w:ascii="宋体" w:hAnsi="宋体"/>
          <w:b/>
          <w:sz w:val="24"/>
        </w:rPr>
        <w:t>13）货物认证、检测报告、鉴定证书等；</w:t>
      </w:r>
    </w:p>
    <w:p>
      <w:pPr>
        <w:spacing w:line="460" w:lineRule="exact"/>
        <w:ind w:firstLine="482" w:firstLineChars="200"/>
        <w:rPr>
          <w:rFonts w:ascii="宋体" w:hAnsi="宋体"/>
          <w:b/>
          <w:sz w:val="24"/>
        </w:rPr>
      </w:pPr>
      <w:r>
        <w:rPr>
          <w:rFonts w:hint="eastAsia" w:ascii="宋体" w:hAnsi="宋体"/>
          <w:b/>
          <w:sz w:val="24"/>
        </w:rPr>
        <w:t>14）产品获奖证书；</w:t>
      </w:r>
    </w:p>
    <w:p>
      <w:pPr>
        <w:spacing w:line="460" w:lineRule="exact"/>
        <w:ind w:firstLine="482" w:firstLineChars="200"/>
        <w:rPr>
          <w:rFonts w:ascii="宋体" w:hAnsi="宋体"/>
          <w:b/>
          <w:sz w:val="24"/>
        </w:rPr>
      </w:pPr>
      <w:r>
        <w:rPr>
          <w:rFonts w:hint="eastAsia" w:ascii="宋体" w:hAnsi="宋体"/>
          <w:b/>
          <w:sz w:val="24"/>
        </w:rPr>
        <w:t>15）货物名称、型号、规格、数量、性能、内部配置、引进新技术、新工艺、新材料的等情况；</w:t>
      </w:r>
    </w:p>
    <w:p>
      <w:pPr>
        <w:spacing w:line="460" w:lineRule="exact"/>
        <w:ind w:firstLine="482" w:firstLineChars="200"/>
        <w:rPr>
          <w:rFonts w:ascii="宋体" w:hAnsi="宋体"/>
          <w:b/>
          <w:sz w:val="24"/>
        </w:rPr>
      </w:pPr>
      <w:r>
        <w:rPr>
          <w:rFonts w:hint="eastAsia" w:ascii="宋体" w:hAnsi="宋体"/>
          <w:b/>
          <w:sz w:val="24"/>
        </w:rPr>
        <w:t>16）节能环保等方面的资质证书；</w:t>
      </w:r>
    </w:p>
    <w:p>
      <w:pPr>
        <w:spacing w:line="460" w:lineRule="exact"/>
        <w:ind w:firstLine="482" w:firstLineChars="200"/>
        <w:rPr>
          <w:rFonts w:ascii="宋体" w:hAnsi="宋体"/>
          <w:b/>
          <w:sz w:val="24"/>
        </w:rPr>
      </w:pPr>
      <w:r>
        <w:rPr>
          <w:rFonts w:hint="eastAsia" w:ascii="宋体" w:hAnsi="宋体"/>
          <w:b/>
          <w:sz w:val="24"/>
        </w:rPr>
        <w:t>17）提供的切实可行优惠承诺；</w:t>
      </w:r>
    </w:p>
    <w:p>
      <w:pPr>
        <w:spacing w:line="460" w:lineRule="exact"/>
        <w:ind w:firstLine="482" w:firstLineChars="200"/>
        <w:rPr>
          <w:rFonts w:ascii="宋体" w:hAnsi="宋体"/>
          <w:b/>
          <w:sz w:val="24"/>
        </w:rPr>
      </w:pPr>
      <w:r>
        <w:rPr>
          <w:rFonts w:hint="eastAsia" w:ascii="宋体" w:hAnsi="宋体"/>
          <w:b/>
          <w:sz w:val="24"/>
        </w:rPr>
        <w:t>18）类似案例成功的业绩；</w:t>
      </w:r>
    </w:p>
    <w:p>
      <w:pPr>
        <w:spacing w:line="460" w:lineRule="exact"/>
        <w:ind w:firstLine="482" w:firstLineChars="200"/>
        <w:rPr>
          <w:rFonts w:ascii="宋体" w:hAnsi="宋体"/>
          <w:b/>
          <w:sz w:val="24"/>
        </w:rPr>
      </w:pPr>
      <w:r>
        <w:rPr>
          <w:rFonts w:hint="eastAsia" w:ascii="宋体" w:hAnsi="宋体"/>
          <w:b/>
          <w:sz w:val="24"/>
        </w:rPr>
        <w:t>19）谈判供应商认为需要提供的有关资料。</w:t>
      </w:r>
    </w:p>
    <w:p>
      <w:pPr>
        <w:spacing w:line="460" w:lineRule="exact"/>
        <w:ind w:firstLine="480" w:firstLineChars="200"/>
        <w:outlineLvl w:val="1"/>
        <w:rPr>
          <w:rFonts w:ascii="宋体" w:hAnsi="宋体"/>
          <w:sz w:val="24"/>
        </w:rPr>
      </w:pPr>
      <w:r>
        <w:rPr>
          <w:rFonts w:hint="eastAsia" w:ascii="宋体" w:hAnsi="宋体"/>
          <w:sz w:val="24"/>
        </w:rPr>
        <w:t>6. 计量单位</w:t>
      </w:r>
    </w:p>
    <w:p>
      <w:pPr>
        <w:spacing w:line="460" w:lineRule="exact"/>
        <w:ind w:firstLine="480" w:firstLineChars="200"/>
        <w:rPr>
          <w:rFonts w:ascii="宋体" w:hAnsi="宋体"/>
          <w:sz w:val="24"/>
        </w:rPr>
      </w:pPr>
      <w:r>
        <w:rPr>
          <w:rFonts w:hint="eastAsia" w:ascii="宋体" w:hAnsi="宋体"/>
          <w:sz w:val="24"/>
        </w:rPr>
        <w:t>6.1除技术要求中另有规定外，本文件所要求使用的计量单位均应采用国家法定计量单位。</w:t>
      </w:r>
    </w:p>
    <w:p>
      <w:pPr>
        <w:spacing w:line="460" w:lineRule="exact"/>
        <w:ind w:firstLine="482" w:firstLineChars="200"/>
        <w:outlineLvl w:val="0"/>
        <w:rPr>
          <w:rFonts w:ascii="宋体" w:hAnsi="宋体"/>
          <w:b/>
          <w:sz w:val="24"/>
        </w:rPr>
      </w:pPr>
      <w:r>
        <w:rPr>
          <w:rFonts w:hint="eastAsia" w:ascii="宋体" w:hAnsi="宋体"/>
          <w:b/>
          <w:sz w:val="24"/>
        </w:rPr>
        <w:t>三、谈判报价要求</w:t>
      </w:r>
    </w:p>
    <w:p>
      <w:pPr>
        <w:spacing w:line="460" w:lineRule="exact"/>
        <w:ind w:firstLine="480" w:firstLineChars="200"/>
        <w:rPr>
          <w:rFonts w:ascii="宋体" w:hAnsi="宋体"/>
          <w:sz w:val="24"/>
        </w:rPr>
      </w:pPr>
      <w:r>
        <w:rPr>
          <w:rFonts w:hint="eastAsia" w:ascii="宋体" w:hAnsi="宋体"/>
          <w:sz w:val="24"/>
        </w:rPr>
        <w:t>7.1对于本文件中未列明，而谈判供应商认为必需的费用也需列入总报价。在合同实施时，采购人将不予支付成交供应商没有列入的项目费用，并认为此项目的费用已包括在总报价中。</w:t>
      </w:r>
    </w:p>
    <w:p>
      <w:pPr>
        <w:spacing w:line="460" w:lineRule="exact"/>
        <w:ind w:firstLine="480" w:firstLineChars="200"/>
        <w:rPr>
          <w:rFonts w:ascii="宋体" w:hAnsi="宋体"/>
          <w:sz w:val="24"/>
        </w:rPr>
      </w:pPr>
      <w:r>
        <w:rPr>
          <w:rFonts w:hint="eastAsia" w:ascii="宋体" w:hAnsi="宋体"/>
          <w:sz w:val="24"/>
        </w:rPr>
        <w:t>7.2成交供应商负责本项目所需货物的供货、运输、安装、售后服务等全部工作。</w:t>
      </w:r>
    </w:p>
    <w:p>
      <w:pPr>
        <w:spacing w:line="460" w:lineRule="exact"/>
        <w:ind w:firstLine="480" w:firstLineChars="200"/>
        <w:rPr>
          <w:rFonts w:ascii="宋体" w:hAnsi="宋体"/>
          <w:sz w:val="24"/>
        </w:rPr>
      </w:pPr>
      <w:r>
        <w:rPr>
          <w:rFonts w:hint="eastAsia" w:ascii="宋体" w:hAnsi="宋体"/>
          <w:sz w:val="24"/>
        </w:rPr>
        <w:t>7.3供应商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p>
    <w:p>
      <w:pPr>
        <w:spacing w:line="460" w:lineRule="exact"/>
        <w:ind w:firstLine="480" w:firstLineChars="200"/>
        <w:rPr>
          <w:rFonts w:ascii="宋体" w:hAnsi="宋体"/>
          <w:sz w:val="24"/>
        </w:rPr>
      </w:pPr>
      <w:r>
        <w:rPr>
          <w:rFonts w:hint="eastAsia" w:ascii="宋体" w:hAnsi="宋体"/>
          <w:sz w:val="24"/>
        </w:rPr>
        <w:t>7.4供应商</w:t>
      </w:r>
      <w:r>
        <w:rPr>
          <w:rFonts w:hint="eastAsia" w:ascii="宋体" w:hAnsi="宋体"/>
          <w:bCs/>
          <w:sz w:val="24"/>
        </w:rPr>
        <w:t>须</w:t>
      </w:r>
      <w:r>
        <w:rPr>
          <w:rFonts w:hint="eastAsia" w:ascii="宋体" w:hAnsi="宋体"/>
          <w:sz w:val="24"/>
        </w:rPr>
        <w:t>就</w:t>
      </w:r>
      <w:r>
        <w:rPr>
          <w:rFonts w:hint="eastAsia" w:ascii="宋体" w:hAnsi="宋体"/>
          <w:sz w:val="24"/>
          <w:lang w:eastAsia="zh-CN"/>
        </w:rPr>
        <w:t>货物需求一览表</w:t>
      </w:r>
      <w:r>
        <w:rPr>
          <w:rFonts w:hint="eastAsia" w:ascii="宋体" w:hAnsi="宋体"/>
          <w:sz w:val="24"/>
        </w:rPr>
        <w:t>中货物和服务内容作完整唯一报价。</w:t>
      </w:r>
    </w:p>
    <w:p>
      <w:pPr>
        <w:spacing w:line="460" w:lineRule="exact"/>
        <w:ind w:firstLine="482" w:firstLineChars="200"/>
        <w:outlineLvl w:val="0"/>
        <w:rPr>
          <w:rFonts w:ascii="宋体" w:hAnsi="宋体"/>
          <w:b/>
          <w:sz w:val="24"/>
        </w:rPr>
      </w:pPr>
      <w:r>
        <w:rPr>
          <w:rFonts w:hint="eastAsia" w:ascii="宋体" w:hAnsi="宋体"/>
          <w:b/>
          <w:sz w:val="24"/>
        </w:rPr>
        <w:t>四、竞争性谈判响应文件的份数、封装和递交</w:t>
      </w:r>
    </w:p>
    <w:p>
      <w:pPr>
        <w:spacing w:line="460" w:lineRule="exact"/>
        <w:ind w:firstLine="480" w:firstLineChars="200"/>
        <w:outlineLvl w:val="1"/>
        <w:rPr>
          <w:rFonts w:ascii="宋体" w:hAnsi="宋体"/>
          <w:sz w:val="24"/>
        </w:rPr>
      </w:pPr>
      <w:r>
        <w:rPr>
          <w:rFonts w:hint="eastAsia" w:ascii="宋体" w:hAnsi="宋体"/>
          <w:sz w:val="24"/>
        </w:rPr>
        <w:t>8. 谈判响应文件的份数和封装</w:t>
      </w:r>
    </w:p>
    <w:p>
      <w:pPr>
        <w:spacing w:line="460" w:lineRule="exact"/>
        <w:ind w:firstLine="480" w:firstLineChars="200"/>
        <w:rPr>
          <w:rFonts w:ascii="宋体" w:hAnsi="宋体"/>
          <w:sz w:val="24"/>
        </w:rPr>
      </w:pPr>
      <w:r>
        <w:rPr>
          <w:rFonts w:hint="eastAsia" w:ascii="宋体" w:hAnsi="宋体"/>
          <w:sz w:val="24"/>
        </w:rPr>
        <w:t>8.1谈判供应商应将竞争性谈判响应文件正本一份、副本四份密封在信封（包装袋或包装箱）中。</w:t>
      </w:r>
    </w:p>
    <w:p>
      <w:pPr>
        <w:spacing w:line="460" w:lineRule="exact"/>
        <w:ind w:firstLine="480" w:firstLineChars="200"/>
        <w:rPr>
          <w:rFonts w:ascii="宋体" w:hAnsi="宋体"/>
          <w:sz w:val="24"/>
        </w:rPr>
      </w:pPr>
      <w:r>
        <w:rPr>
          <w:rFonts w:hint="eastAsia" w:ascii="宋体" w:hAnsi="宋体"/>
          <w:sz w:val="24"/>
        </w:rPr>
        <w:t>8.2竞争性谈判响应文件的信封（或包装袋或包装箱）封面上应写明：</w:t>
      </w:r>
    </w:p>
    <w:p>
      <w:pPr>
        <w:spacing w:line="460" w:lineRule="exact"/>
        <w:ind w:firstLine="480" w:firstLineChars="200"/>
        <w:outlineLvl w:val="2"/>
        <w:rPr>
          <w:rFonts w:ascii="宋体" w:hAnsi="宋体"/>
          <w:sz w:val="24"/>
        </w:rPr>
      </w:pPr>
      <w:r>
        <w:rPr>
          <w:rFonts w:hint="eastAsia" w:ascii="宋体" w:hAnsi="宋体"/>
          <w:sz w:val="24"/>
        </w:rPr>
        <w:t>1）竞争性谈判项目编号；</w:t>
      </w:r>
    </w:p>
    <w:p>
      <w:pPr>
        <w:spacing w:line="460" w:lineRule="exact"/>
        <w:ind w:firstLine="480" w:firstLineChars="200"/>
        <w:outlineLvl w:val="2"/>
        <w:rPr>
          <w:rFonts w:ascii="宋体" w:hAnsi="宋体"/>
          <w:sz w:val="24"/>
        </w:rPr>
      </w:pPr>
      <w:r>
        <w:rPr>
          <w:rFonts w:hint="eastAsia" w:ascii="宋体" w:hAnsi="宋体"/>
          <w:sz w:val="24"/>
        </w:rPr>
        <w:t>2）竞争性谈判项目名称；</w:t>
      </w:r>
    </w:p>
    <w:p>
      <w:pPr>
        <w:spacing w:line="460" w:lineRule="exact"/>
        <w:ind w:firstLine="480" w:firstLineChars="200"/>
        <w:outlineLvl w:val="2"/>
        <w:rPr>
          <w:rFonts w:ascii="宋体" w:hAnsi="宋体"/>
          <w:sz w:val="24"/>
        </w:rPr>
      </w:pPr>
      <w:r>
        <w:rPr>
          <w:rFonts w:hint="eastAsia" w:ascii="宋体" w:hAnsi="宋体"/>
          <w:sz w:val="24"/>
        </w:rPr>
        <w:t>3）谈判货物、服务名称；</w:t>
      </w:r>
    </w:p>
    <w:p>
      <w:pPr>
        <w:spacing w:line="460" w:lineRule="exact"/>
        <w:ind w:firstLine="480" w:firstLineChars="200"/>
        <w:outlineLvl w:val="2"/>
        <w:rPr>
          <w:rFonts w:ascii="宋体" w:hAnsi="宋体"/>
          <w:sz w:val="24"/>
        </w:rPr>
      </w:pPr>
      <w:r>
        <w:rPr>
          <w:rFonts w:hint="eastAsia" w:ascii="宋体" w:hAnsi="宋体"/>
          <w:sz w:val="24"/>
        </w:rPr>
        <w:t>4）谈判供应商名称。</w:t>
      </w:r>
    </w:p>
    <w:p>
      <w:pPr>
        <w:spacing w:line="460" w:lineRule="exact"/>
        <w:ind w:firstLine="480" w:firstLineChars="200"/>
        <w:outlineLvl w:val="1"/>
        <w:rPr>
          <w:rFonts w:ascii="宋体" w:hAnsi="宋体"/>
          <w:sz w:val="24"/>
        </w:rPr>
      </w:pPr>
      <w:r>
        <w:rPr>
          <w:rFonts w:hint="eastAsia" w:ascii="宋体" w:hAnsi="宋体"/>
          <w:sz w:val="24"/>
        </w:rPr>
        <w:t>9. 竞争性谈判响应文件的递交</w:t>
      </w:r>
    </w:p>
    <w:p>
      <w:pPr>
        <w:spacing w:line="460" w:lineRule="exact"/>
        <w:ind w:firstLine="480" w:firstLineChars="200"/>
        <w:rPr>
          <w:rFonts w:ascii="宋体" w:hAnsi="宋体"/>
          <w:sz w:val="24"/>
        </w:rPr>
      </w:pPr>
      <w:r>
        <w:rPr>
          <w:rFonts w:hint="eastAsia" w:ascii="宋体" w:hAnsi="宋体"/>
          <w:sz w:val="24"/>
        </w:rPr>
        <w:t>9.1所有竞争性谈判竞争性响应文件应于“第一章 供应商须知前附表”中规定的时间前递交到规定地点。</w:t>
      </w:r>
    </w:p>
    <w:p>
      <w:pPr>
        <w:spacing w:line="460" w:lineRule="exact"/>
        <w:ind w:firstLine="480" w:firstLineChars="200"/>
        <w:outlineLvl w:val="1"/>
        <w:rPr>
          <w:rFonts w:ascii="宋体" w:hAnsi="宋体"/>
          <w:sz w:val="24"/>
        </w:rPr>
      </w:pPr>
      <w:r>
        <w:rPr>
          <w:rFonts w:hint="eastAsia" w:ascii="宋体" w:hAnsi="宋体"/>
          <w:sz w:val="24"/>
        </w:rPr>
        <w:t>10.迟交的竞争性谈判响应文件</w:t>
      </w:r>
    </w:p>
    <w:p>
      <w:pPr>
        <w:spacing w:line="460" w:lineRule="exact"/>
        <w:ind w:firstLine="480" w:firstLineChars="200"/>
        <w:rPr>
          <w:rFonts w:ascii="宋体" w:hAnsi="宋体"/>
          <w:sz w:val="24"/>
        </w:rPr>
      </w:pPr>
      <w:r>
        <w:rPr>
          <w:rFonts w:hint="eastAsia" w:ascii="宋体" w:hAnsi="宋体"/>
          <w:sz w:val="24"/>
        </w:rPr>
        <w:t>按《中华人民共和国政府采购法》的规定，广西元强建设项目管理有限公司 将拒绝或原封退回在其规定的递交竞争性谈判响应文件截止时间之后收到的任何竞争性谈判响应文件。</w:t>
      </w:r>
    </w:p>
    <w:p>
      <w:pPr>
        <w:spacing w:line="460" w:lineRule="exact"/>
        <w:ind w:firstLine="482" w:firstLineChars="200"/>
        <w:outlineLvl w:val="0"/>
        <w:rPr>
          <w:rFonts w:ascii="宋体" w:hAnsi="宋体"/>
          <w:b/>
          <w:sz w:val="24"/>
        </w:rPr>
      </w:pPr>
      <w:r>
        <w:rPr>
          <w:rFonts w:hint="eastAsia" w:ascii="宋体" w:hAnsi="宋体"/>
          <w:b/>
          <w:sz w:val="24"/>
        </w:rPr>
        <w:t>五、谈判的步骤</w:t>
      </w:r>
    </w:p>
    <w:p>
      <w:pPr>
        <w:spacing w:line="460" w:lineRule="exact"/>
        <w:ind w:firstLine="480" w:firstLineChars="200"/>
        <w:outlineLvl w:val="1"/>
        <w:rPr>
          <w:rFonts w:ascii="宋体" w:hAnsi="宋体"/>
          <w:sz w:val="24"/>
        </w:rPr>
      </w:pPr>
      <w:r>
        <w:rPr>
          <w:rFonts w:hint="eastAsia" w:ascii="宋体" w:hAnsi="宋体"/>
          <w:sz w:val="24"/>
        </w:rPr>
        <w:t>11.1</w:t>
      </w:r>
      <w:r>
        <w:rPr>
          <w:rFonts w:hint="eastAsia" w:ascii="宋体" w:hAnsi="宋体"/>
          <w:b/>
          <w:bCs/>
          <w:sz w:val="24"/>
        </w:rPr>
        <w:t>实质审查</w:t>
      </w:r>
    </w:p>
    <w:p>
      <w:pPr>
        <w:snapToGrid w:val="0"/>
        <w:spacing w:line="460" w:lineRule="exact"/>
        <w:ind w:firstLine="480" w:firstLineChars="200"/>
        <w:rPr>
          <w:rFonts w:ascii="宋体" w:hAnsi="宋体"/>
          <w:sz w:val="24"/>
        </w:rPr>
      </w:pPr>
      <w:r>
        <w:rPr>
          <w:rFonts w:hint="eastAsia" w:ascii="宋体" w:hAnsi="宋体"/>
          <w:sz w:val="24"/>
        </w:rPr>
        <w:t>（1）谈判小组审查谈判响应文件的资格、符合性是否符合谈判采购文件的实质性要求。</w:t>
      </w:r>
    </w:p>
    <w:p>
      <w:pPr>
        <w:snapToGrid w:val="0"/>
        <w:spacing w:line="460" w:lineRule="exact"/>
        <w:ind w:firstLine="480" w:firstLineChars="200"/>
        <w:rPr>
          <w:rFonts w:ascii="宋体" w:hAnsi="宋体"/>
          <w:sz w:val="24"/>
        </w:rPr>
      </w:pPr>
      <w:r>
        <w:rPr>
          <w:rFonts w:hint="eastAsia" w:ascii="宋体" w:hAnsi="宋体"/>
          <w:sz w:val="24"/>
        </w:rPr>
        <w:t>（2）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sz w:val="24"/>
        </w:rPr>
        <w:br w:type="textWrapping"/>
      </w:r>
      <w:r>
        <w:rPr>
          <w:rFonts w:hint="eastAsia" w:ascii="宋体" w:hAnsi="宋体"/>
          <w:sz w:val="24"/>
        </w:rPr>
        <w:t>　　谈判小组要求供应商澄清、说明或者更正响应文件以书面形式作出。供应商的澄清、说明或者更正应当由法定代表人或其授权代表签字或者加盖公章。</w:t>
      </w:r>
    </w:p>
    <w:p>
      <w:pPr>
        <w:widowControl/>
        <w:snapToGrid w:val="0"/>
        <w:spacing w:line="460" w:lineRule="exact"/>
        <w:ind w:firstLine="480" w:firstLineChars="200"/>
        <w:jc w:val="left"/>
        <w:rPr>
          <w:rFonts w:ascii="宋体" w:hAnsi="宋体" w:cs="宋体"/>
          <w:color w:val="FF0000"/>
          <w:kern w:val="0"/>
          <w:sz w:val="24"/>
        </w:rPr>
      </w:pPr>
      <w:r>
        <w:rPr>
          <w:rFonts w:hint="eastAsia" w:ascii="宋体" w:hAnsi="宋体" w:cs="宋体"/>
          <w:color w:val="FF0000"/>
          <w:kern w:val="0"/>
          <w:sz w:val="24"/>
        </w:rPr>
        <w:t>第三章采购</w:t>
      </w:r>
      <w:r>
        <w:rPr>
          <w:rFonts w:hint="eastAsia" w:ascii="宋体" w:hAnsi="宋体"/>
          <w:color w:val="FF0000"/>
          <w:sz w:val="24"/>
          <w:lang w:eastAsia="zh-CN"/>
        </w:rPr>
        <w:t>货物需求一览表</w:t>
      </w:r>
      <w:r>
        <w:rPr>
          <w:rFonts w:hint="eastAsia" w:ascii="宋体" w:hAnsi="宋体" w:cs="宋体"/>
          <w:color w:val="FF0000"/>
          <w:kern w:val="0"/>
          <w:sz w:val="24"/>
        </w:rPr>
        <w:t>中标注“▲”号的条款为实质性条款或关键性指标要求，必须满足或优于，否则竞标无效；非“▲”号的要求或技术指标发生负偏离或不响应达5项（含5）以上的竞标无效。</w:t>
      </w:r>
    </w:p>
    <w:p>
      <w:pPr>
        <w:widowControl/>
        <w:spacing w:line="460" w:lineRule="exact"/>
        <w:ind w:firstLine="480" w:firstLineChars="200"/>
        <w:jc w:val="left"/>
        <w:outlineLvl w:val="1"/>
        <w:rPr>
          <w:rFonts w:ascii="宋体" w:hAnsi="宋体"/>
          <w:sz w:val="24"/>
        </w:rPr>
      </w:pPr>
      <w:r>
        <w:rPr>
          <w:rFonts w:hint="eastAsia" w:ascii="宋体" w:hAnsi="宋体"/>
          <w:sz w:val="24"/>
        </w:rPr>
        <w:t>11.2谈判文件修正</w:t>
      </w:r>
    </w:p>
    <w:p>
      <w:pPr>
        <w:widowControl/>
        <w:spacing w:line="460" w:lineRule="exact"/>
        <w:ind w:firstLine="480" w:firstLineChars="200"/>
        <w:jc w:val="left"/>
        <w:rPr>
          <w:rFonts w:ascii="宋体" w:hAnsi="宋体"/>
          <w:sz w:val="24"/>
        </w:rPr>
      </w:pPr>
      <w:r>
        <w:rPr>
          <w:rFonts w:hint="eastAsia" w:ascii="宋体" w:hAnsi="宋体"/>
          <w:sz w:val="24"/>
        </w:rPr>
        <w:t>（1）谈判小组根据与供应商谈判情况可能实质性变动的内容包括采购需求中的技术、服务要求。实质性变动的内容，须经采购人代表确认。</w:t>
      </w:r>
    </w:p>
    <w:p>
      <w:pPr>
        <w:widowControl/>
        <w:spacing w:line="460" w:lineRule="exact"/>
        <w:ind w:firstLine="480" w:firstLineChars="200"/>
        <w:jc w:val="left"/>
        <w:rPr>
          <w:rFonts w:ascii="宋体" w:hAnsi="宋体"/>
          <w:sz w:val="24"/>
        </w:rPr>
      </w:pPr>
      <w:r>
        <w:rPr>
          <w:rFonts w:hint="eastAsia" w:ascii="宋体" w:hAnsi="宋体"/>
          <w:sz w:val="24"/>
        </w:rPr>
        <w:t>（2）对谈判文件作出的实质性变动是谈判文件的有效组成部分，谈判小组应当及时以书面形式同时通知所有参加谈判的供应商。</w:t>
      </w:r>
      <w:r>
        <w:rPr>
          <w:rFonts w:hint="eastAsia" w:ascii="宋体" w:hAnsi="宋体"/>
          <w:sz w:val="24"/>
        </w:rPr>
        <w:br w:type="textWrapping"/>
      </w:r>
      <w:r>
        <w:rPr>
          <w:rFonts w:hint="eastAsia" w:ascii="宋体" w:hAnsi="宋体"/>
          <w:sz w:val="24"/>
        </w:rPr>
        <w:t>　　供应商应当按照谈判文件的变动情况和谈判小组的要求重新提交响应文件，并由其法定代表人或授权代表签字或者加盖公章。由授权代表签字的，应当附法定代表人授权书。逾时不交的，视同放弃谈判。修正文件与响应文件同具法律效力。</w:t>
      </w:r>
    </w:p>
    <w:p>
      <w:pPr>
        <w:widowControl/>
        <w:tabs>
          <w:tab w:val="left" w:pos="540"/>
        </w:tabs>
        <w:spacing w:line="460" w:lineRule="exact"/>
        <w:ind w:firstLine="480" w:firstLineChars="200"/>
        <w:jc w:val="left"/>
        <w:outlineLvl w:val="1"/>
        <w:rPr>
          <w:rFonts w:ascii="宋体" w:hAnsi="宋体"/>
          <w:sz w:val="24"/>
        </w:rPr>
      </w:pPr>
      <w:r>
        <w:rPr>
          <w:rFonts w:hint="eastAsia" w:ascii="宋体" w:hAnsi="宋体"/>
          <w:sz w:val="24"/>
        </w:rPr>
        <w:t>11.3最后报价</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谈判小组只要求商务评审和技术（服务）评审合格的谈判供应商在规定的时间内进行最后报价，密封递交谈判小组。谈判小组按报价从低到高排序，推荐成交候选人顺序，形成评审报告。</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11.5响应供应商的最后报价均超过了政府采购预算，采购人不能支付的，谈判活动终止；终止后，采购人需要采取调整采购预算或项目配置标准等，或采取其他采购方式的，应当在采购活动开始前获得财政部门批准。</w:t>
      </w:r>
    </w:p>
    <w:p>
      <w:pPr>
        <w:spacing w:line="460" w:lineRule="exact"/>
        <w:ind w:firstLine="482" w:firstLineChars="200"/>
        <w:outlineLvl w:val="0"/>
        <w:rPr>
          <w:rFonts w:ascii="宋体" w:hAnsi="宋体"/>
          <w:b/>
          <w:sz w:val="24"/>
        </w:rPr>
      </w:pPr>
      <w:r>
        <w:rPr>
          <w:rFonts w:hint="eastAsia" w:ascii="宋体" w:hAnsi="宋体"/>
          <w:b/>
          <w:sz w:val="24"/>
        </w:rPr>
        <w:t>六、确定成交供应商办法</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12.1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12.2采购代理机构应当在成交供应商确定后2个工作日内，在省级以上财政部门指定的媒体上公告成交结果，同时向成交供应商发出成交通知书。采购人或采购代理机构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排名第二的成交候选人因前款规定的同样原因被取消成交资格的，采购人可以确定排名第三的成交候选人为成交人。</w:t>
      </w:r>
    </w:p>
    <w:p>
      <w:pPr>
        <w:widowControl/>
        <w:tabs>
          <w:tab w:val="left" w:pos="540"/>
        </w:tabs>
        <w:spacing w:line="460" w:lineRule="exact"/>
        <w:ind w:firstLine="480" w:firstLineChars="200"/>
        <w:jc w:val="left"/>
        <w:rPr>
          <w:rFonts w:hint="eastAsia" w:ascii="宋体" w:hAnsi="宋体"/>
          <w:sz w:val="24"/>
        </w:rPr>
      </w:pPr>
      <w:r>
        <w:rPr>
          <w:rFonts w:hint="eastAsia" w:ascii="宋体" w:hAnsi="宋体"/>
          <w:sz w:val="24"/>
        </w:rPr>
        <w:t>以上信息查询记录及相关证据与采购文件一并保存。</w:t>
      </w:r>
    </w:p>
    <w:p>
      <w:pPr>
        <w:snapToGrid w:val="0"/>
        <w:ind w:firstLine="482" w:firstLineChars="200"/>
        <w:rPr>
          <w:rFonts w:hint="eastAsia" w:ascii="宋体" w:hAnsi="宋体" w:eastAsia="宋体"/>
          <w:color w:val="000000"/>
          <w:sz w:val="21"/>
          <w:szCs w:val="21"/>
          <w:lang w:eastAsia="zh-CN"/>
        </w:rPr>
      </w:pPr>
      <w:r>
        <w:rPr>
          <w:rFonts w:hint="eastAsia" w:ascii="宋体" w:hAnsi="宋体"/>
          <w:b/>
          <w:sz w:val="24"/>
        </w:rPr>
        <w:t>七、</w:t>
      </w:r>
      <w:r>
        <w:rPr>
          <w:rFonts w:hint="eastAsia" w:ascii="宋体" w:hAnsi="宋体" w:eastAsia="宋体" w:cs="Times New Roman"/>
          <w:b/>
          <w:sz w:val="24"/>
        </w:rPr>
        <w:t>履约保证金</w:t>
      </w:r>
      <w:r>
        <w:rPr>
          <w:rFonts w:hint="eastAsia" w:ascii="宋体" w:hAnsi="宋体" w:eastAsia="宋体" w:cs="Times New Roman"/>
          <w:b/>
          <w:sz w:val="24"/>
          <w:lang w:eastAsia="zh-CN"/>
        </w:rPr>
        <w:t>：</w:t>
      </w:r>
    </w:p>
    <w:p>
      <w:pPr>
        <w:widowControl/>
        <w:tabs>
          <w:tab w:val="left" w:pos="540"/>
        </w:tabs>
        <w:spacing w:line="460" w:lineRule="exact"/>
        <w:ind w:firstLine="480" w:firstLineChars="200"/>
        <w:jc w:val="left"/>
        <w:rPr>
          <w:rFonts w:hint="default" w:ascii="宋体" w:hAnsi="宋体" w:eastAsia="宋体"/>
          <w:sz w:val="24"/>
          <w:lang w:val="en-US" w:eastAsia="zh-CN"/>
        </w:rPr>
      </w:pPr>
      <w:r>
        <w:rPr>
          <w:rFonts w:hint="eastAsia" w:ascii="宋体" w:hAnsi="宋体"/>
          <w:sz w:val="24"/>
          <w:lang w:val="en-US" w:eastAsia="zh-CN"/>
        </w:rPr>
        <w:t>13</w:t>
      </w:r>
      <w:r>
        <w:rPr>
          <w:rFonts w:hint="eastAsia" w:ascii="宋体" w:hAnsi="宋体"/>
          <w:sz w:val="24"/>
        </w:rPr>
        <w:t>.1成交供应商须于</w:t>
      </w:r>
      <w:r>
        <w:rPr>
          <w:rFonts w:hint="eastAsia" w:ascii="宋体" w:hAnsi="宋体"/>
          <w:sz w:val="24"/>
          <w:lang w:eastAsia="zh-CN"/>
        </w:rPr>
        <w:t>在收到成交通知书后</w:t>
      </w:r>
      <w:r>
        <w:rPr>
          <w:rFonts w:hint="eastAsia" w:ascii="宋体" w:hAnsi="宋体"/>
          <w:sz w:val="24"/>
          <w:lang w:val="en-US" w:eastAsia="zh-CN"/>
        </w:rPr>
        <w:t>25日内</w:t>
      </w:r>
      <w:r>
        <w:rPr>
          <w:rFonts w:hint="eastAsia" w:ascii="宋体" w:hAnsi="宋体"/>
          <w:sz w:val="24"/>
        </w:rPr>
        <w:t>按供应商须知前附表规定方式提交，否则采购人不与其签订合同</w:t>
      </w:r>
      <w:r>
        <w:rPr>
          <w:rFonts w:hint="eastAsia" w:ascii="宋体" w:hAnsi="宋体"/>
          <w:sz w:val="24"/>
          <w:lang w:eastAsia="zh-CN"/>
        </w:rPr>
        <w:t>，履约保证金不得超过政府采购合同金额的</w:t>
      </w:r>
      <w:r>
        <w:rPr>
          <w:rFonts w:hint="eastAsia" w:ascii="宋体" w:hAnsi="宋体"/>
          <w:sz w:val="24"/>
          <w:lang w:val="en-US" w:eastAsia="zh-CN"/>
        </w:rPr>
        <w:t>5%。</w:t>
      </w:r>
    </w:p>
    <w:p>
      <w:pPr>
        <w:widowControl/>
        <w:tabs>
          <w:tab w:val="left" w:pos="540"/>
        </w:tabs>
        <w:spacing w:line="460" w:lineRule="exact"/>
        <w:ind w:firstLine="480" w:firstLineChars="200"/>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13</w:t>
      </w:r>
      <w:r>
        <w:rPr>
          <w:rFonts w:hint="eastAsia" w:ascii="宋体" w:hAnsi="宋体"/>
          <w:sz w:val="24"/>
        </w:rPr>
        <w:t>.2签订合同后，如成交供应商不按双方签订的合同规定履约，依法追究其违约责任，没收其全部履约保证金，履约保证金不足以赔偿损失的，按实际损失赔偿。</w:t>
      </w:r>
    </w:p>
    <w:p>
      <w:pPr>
        <w:widowControl/>
        <w:tabs>
          <w:tab w:val="left" w:pos="540"/>
        </w:tabs>
        <w:spacing w:line="460" w:lineRule="exact"/>
        <w:ind w:firstLine="480" w:firstLineChars="200"/>
        <w:jc w:val="left"/>
        <w:rPr>
          <w:rFonts w:hint="eastAsia" w:ascii="宋体" w:hAnsi="宋体"/>
          <w:sz w:val="24"/>
        </w:rPr>
      </w:pPr>
      <w:r>
        <w:rPr>
          <w:rFonts w:hint="eastAsia" w:ascii="宋体" w:hAnsi="宋体"/>
          <w:sz w:val="24"/>
          <w:lang w:val="en-US" w:eastAsia="zh-CN"/>
        </w:rPr>
        <w:t>13</w:t>
      </w:r>
      <w:r>
        <w:rPr>
          <w:rFonts w:hint="eastAsia" w:ascii="宋体" w:hAnsi="宋体"/>
          <w:sz w:val="24"/>
        </w:rPr>
        <w:t>.3履约保证金按供应商须知前附表规定的时间和条件退付。</w:t>
      </w:r>
    </w:p>
    <w:p>
      <w:pPr>
        <w:widowControl/>
        <w:tabs>
          <w:tab w:val="left" w:pos="540"/>
        </w:tabs>
        <w:spacing w:line="460" w:lineRule="exact"/>
        <w:ind w:firstLine="480" w:firstLineChars="200"/>
        <w:jc w:val="left"/>
      </w:pPr>
      <w:r>
        <w:rPr>
          <w:rFonts w:hint="eastAsia" w:ascii="宋体" w:hAnsi="宋体"/>
          <w:sz w:val="24"/>
          <w:lang w:val="en-US" w:eastAsia="zh-CN"/>
        </w:rPr>
        <w:t>13</w:t>
      </w:r>
      <w:r>
        <w:rPr>
          <w:rFonts w:hint="eastAsia" w:ascii="宋体" w:hAnsi="宋体"/>
          <w:sz w:val="24"/>
        </w:rPr>
        <w:t>.4在履约保证金退还日期前，若成交供应商的开户名称、开户银行、帐号有变动的，请以书面形式通知履约保证金收取单位，否则由此产生的后果由成交供应商自负。</w:t>
      </w:r>
    </w:p>
    <w:p>
      <w:pPr>
        <w:widowControl/>
        <w:tabs>
          <w:tab w:val="left" w:pos="540"/>
        </w:tabs>
        <w:spacing w:line="460" w:lineRule="exact"/>
        <w:ind w:firstLine="482" w:firstLineChars="200"/>
        <w:jc w:val="left"/>
        <w:outlineLvl w:val="0"/>
        <w:rPr>
          <w:rFonts w:ascii="宋体" w:hAnsi="宋体"/>
          <w:b/>
          <w:sz w:val="24"/>
        </w:rPr>
      </w:pPr>
      <w:r>
        <w:rPr>
          <w:rFonts w:hint="eastAsia" w:ascii="宋体" w:hAnsi="宋体"/>
          <w:b/>
          <w:sz w:val="24"/>
          <w:lang w:eastAsia="zh-CN"/>
        </w:rPr>
        <w:t>八</w:t>
      </w:r>
      <w:r>
        <w:rPr>
          <w:rFonts w:hint="eastAsia" w:ascii="宋体" w:hAnsi="宋体"/>
          <w:b/>
          <w:sz w:val="24"/>
        </w:rPr>
        <w:t>、签订合同</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.1成交供应商在收到成交通知书后，按须知前附表规定向采购人出示相关资格证件，经采购人核验合格后方可签订合同。</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.2签订合同时间：采购人与成交人自成交通知书发出之日起15个工作日内按采购文件要求和成交人响应文件承诺签订政府采购合同，但不得超出采购文件和成交人响应文件的范围， 也不得再自行订立背离合同实质性内容的其他协议。</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sz w:val="24"/>
        </w:rPr>
        <w:t>.3成交供应商拒绝签订政府采购合同的，采购人可以按本项目确定成交供应商办法确定其他供应商作为成交供应商并签订政府采购合同，也可以重新开展采购活动。拒绝签订政府采购合同的成交供应商不得参加对该项目重新开展的采购活动。</w:t>
      </w:r>
    </w:p>
    <w:p>
      <w:pPr>
        <w:spacing w:line="460" w:lineRule="exact"/>
        <w:ind w:left="420" w:leftChars="200" w:firstLine="120" w:firstLineChars="50"/>
        <w:outlineLvl w:val="0"/>
        <w:rPr>
          <w:rFonts w:ascii="宋体" w:hAnsi="宋体"/>
          <w:b/>
          <w:sz w:val="24"/>
        </w:rPr>
      </w:pPr>
      <w:r>
        <w:rPr>
          <w:rFonts w:hint="eastAsia" w:ascii="宋体" w:hAnsi="宋体"/>
          <w:b/>
          <w:sz w:val="24"/>
          <w:lang w:eastAsia="zh-CN"/>
        </w:rPr>
        <w:t>九</w:t>
      </w:r>
      <w:r>
        <w:rPr>
          <w:rFonts w:hint="eastAsia" w:ascii="宋体" w:hAnsi="宋体"/>
          <w:b/>
          <w:sz w:val="24"/>
        </w:rPr>
        <w:t>、政府采购合同公告</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460" w:lineRule="exact"/>
        <w:ind w:left="420" w:leftChars="200" w:firstLine="120" w:firstLineChars="50"/>
        <w:outlineLvl w:val="0"/>
        <w:rPr>
          <w:rFonts w:ascii="宋体" w:hAnsi="宋体"/>
          <w:b/>
          <w:sz w:val="24"/>
        </w:rPr>
      </w:pPr>
      <w:r>
        <w:rPr>
          <w:rFonts w:hint="eastAsia" w:ascii="宋体" w:hAnsi="宋体"/>
          <w:b/>
          <w:sz w:val="24"/>
          <w:lang w:eastAsia="zh-CN"/>
        </w:rPr>
        <w:t>十</w:t>
      </w:r>
      <w:r>
        <w:rPr>
          <w:rFonts w:hint="eastAsia" w:ascii="宋体" w:hAnsi="宋体"/>
          <w:b/>
          <w:sz w:val="24"/>
        </w:rPr>
        <w:t>、适用法律</w:t>
      </w:r>
    </w:p>
    <w:p>
      <w:pPr>
        <w:widowControl/>
        <w:tabs>
          <w:tab w:val="left" w:pos="540"/>
        </w:tabs>
        <w:spacing w:line="460" w:lineRule="exact"/>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 采购当事人的一切活动均适用于《中华人民共和国政府采购法》、《中华人民共和国政府采购法实施条例》、《政府采购非招标采购方式管理办法》及相关规定。</w:t>
      </w:r>
    </w:p>
    <w:p>
      <w:pPr>
        <w:widowControl/>
        <w:tabs>
          <w:tab w:val="left" w:pos="540"/>
        </w:tabs>
        <w:spacing w:line="460" w:lineRule="exact"/>
        <w:ind w:firstLine="482" w:firstLineChars="200"/>
        <w:jc w:val="left"/>
        <w:outlineLvl w:val="0"/>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、其他事项</w:t>
      </w:r>
    </w:p>
    <w:p>
      <w:pPr>
        <w:pStyle w:val="20"/>
        <w:spacing w:line="460" w:lineRule="exact"/>
        <w:ind w:firstLine="480" w:firstLineChars="200"/>
        <w:rPr>
          <w:rFonts w:hAnsi="宋体"/>
          <w:b/>
          <w:sz w:val="24"/>
          <w:szCs w:val="24"/>
        </w:rPr>
      </w:pPr>
      <w:r>
        <w:rPr>
          <w:rFonts w:hint="eastAsia" w:hAnsi="宋体"/>
          <w:sz w:val="24"/>
          <w:szCs w:val="24"/>
        </w:rPr>
        <w:t>1</w:t>
      </w:r>
      <w:r>
        <w:rPr>
          <w:rFonts w:hint="eastAsia" w:hAnsi="宋体"/>
          <w:sz w:val="24"/>
          <w:szCs w:val="24"/>
          <w:lang w:val="en-US" w:eastAsia="zh-CN"/>
        </w:rPr>
        <w:t>7</w:t>
      </w:r>
      <w:r>
        <w:rPr>
          <w:rFonts w:hint="eastAsia" w:hAnsi="宋体"/>
          <w:sz w:val="24"/>
          <w:szCs w:val="24"/>
        </w:rPr>
        <w:t>.</w:t>
      </w:r>
      <w:r>
        <w:rPr>
          <w:rFonts w:hint="eastAsia" w:hAnsi="宋体"/>
          <w:b/>
          <w:sz w:val="24"/>
          <w:szCs w:val="24"/>
        </w:rPr>
        <w:t>代理服务费</w:t>
      </w:r>
    </w:p>
    <w:p>
      <w:pPr>
        <w:pStyle w:val="20"/>
        <w:spacing w:line="460" w:lineRule="exact"/>
        <w:ind w:firstLine="480" w:firstLineChars="200"/>
        <w:rPr>
          <w:rFonts w:hAnsi="宋体"/>
          <w:sz w:val="24"/>
          <w:szCs w:val="24"/>
        </w:rPr>
      </w:pPr>
      <w:r>
        <w:rPr>
          <w:rFonts w:hint="eastAsia" w:hAnsi="宋体"/>
          <w:sz w:val="24"/>
          <w:szCs w:val="24"/>
        </w:rPr>
        <w:t>1</w:t>
      </w:r>
      <w:r>
        <w:rPr>
          <w:rFonts w:hint="eastAsia" w:hAnsi="宋体"/>
          <w:sz w:val="24"/>
          <w:szCs w:val="24"/>
          <w:lang w:val="en-US" w:eastAsia="zh-CN"/>
        </w:rPr>
        <w:t>7</w:t>
      </w:r>
      <w:r>
        <w:rPr>
          <w:rFonts w:hint="eastAsia" w:hAnsi="宋体"/>
          <w:sz w:val="24"/>
          <w:szCs w:val="24"/>
        </w:rPr>
        <w:t>.1代理服务费参照国家发展计划委员会计价格[2002]1980号《招标代理服务费管理暂行办法》收费标准及[2011]534号文的规定（货物类）由成交供应商支付的，成交供应商应当在领取成交通知书前,由成交人向采购代理机构一次付清中标服务费。</w:t>
      </w:r>
    </w:p>
    <w:p>
      <w:pPr>
        <w:pStyle w:val="20"/>
        <w:spacing w:line="460" w:lineRule="exact"/>
        <w:ind w:firstLine="480" w:firstLineChars="200"/>
        <w:rPr>
          <w:rFonts w:hAnsi="宋体"/>
          <w:sz w:val="24"/>
          <w:szCs w:val="24"/>
        </w:rPr>
      </w:pPr>
      <w:r>
        <w:rPr>
          <w:rFonts w:hint="eastAsia" w:hAnsi="宋体"/>
          <w:sz w:val="24"/>
          <w:szCs w:val="24"/>
        </w:rPr>
        <w:t>1</w:t>
      </w:r>
      <w:r>
        <w:rPr>
          <w:rFonts w:hint="eastAsia" w:hAnsi="宋体"/>
          <w:sz w:val="24"/>
          <w:szCs w:val="24"/>
          <w:lang w:val="en-US" w:eastAsia="zh-CN"/>
        </w:rPr>
        <w:t>7</w:t>
      </w:r>
      <w:r>
        <w:rPr>
          <w:rFonts w:hint="eastAsia" w:hAnsi="宋体"/>
          <w:sz w:val="24"/>
          <w:szCs w:val="24"/>
        </w:rPr>
        <w:t>.2代理服务收费标准：</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2164"/>
        <w:gridCol w:w="1966"/>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655" w:type="dxa"/>
          </w:tcPr>
          <w:p>
            <w:pPr>
              <w:pStyle w:val="20"/>
              <w:spacing w:line="460" w:lineRule="exact"/>
              <w:rPr>
                <w:rFonts w:hAnsi="宋体"/>
                <w:sz w:val="24"/>
                <w:szCs w:val="24"/>
              </w:rPr>
            </w:pPr>
            <w:r>
              <w:rPr>
                <w:rFonts w:hAnsi="宋体"/>
                <w:sz w:val="24"/>
                <w:szCs w:val="24"/>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-1270</wp:posOffset>
                      </wp:positionV>
                      <wp:extent cx="1489075" cy="698500"/>
                      <wp:effectExtent l="1905" t="4445" r="13970" b="20955"/>
                      <wp:wrapNone/>
                      <wp:docPr id="1" name="直线 40"/>
                      <wp:cNvGraphicFramePr/>
                      <a:graphic xmlns:a="http://schemas.openxmlformats.org/drawingml/2006/main">
                        <a:graphicData uri="http://schemas.microsoft.com/office/word/2010/wordprocessingShape">
                          <wps:wsp>
                            <wps:cNvCnPr/>
                            <wps:spPr>
                              <a:xfrm>
                                <a:off x="0" y="0"/>
                                <a:ext cx="1489075" cy="6985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0" o:spid="_x0000_s1026" o:spt="20" style="position:absolute;left:0pt;margin-left:12.6pt;margin-top:-0.1pt;height:55pt;width:117.25pt;z-index:251657216;mso-width-relative:page;mso-height-relative:page;" filled="f" stroked="t" coordsize="21600,21600" o:gfxdata="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hiaH1wAAAAgBAAAPAAAAAAAAAAEA&#10;IAAAACIAAABkcnMvZG93bnJldi54bWxQSwECFAAUAAAACACHTuJAoesTQdcBAAChAwAADgAAAAAA&#10;AAABACAAAAAmAQAAZHJzL2Uyb0RvYy54bWxQSwUGAAAAAAYABgBZAQAAbwUAAAAA&#10;">
                      <v:fill on="f" focussize="0,0"/>
                      <v:stroke color="#000000" joinstyle="round"/>
                      <v:imagedata o:title=""/>
                      <o:lock v:ext="edit" aspectratio="f"/>
                    </v:line>
                  </w:pict>
                </mc:Fallback>
              </mc:AlternateContent>
            </w:r>
            <w:r>
              <w:rPr>
                <w:rFonts w:hint="eastAsia" w:hAnsi="宋体"/>
                <w:sz w:val="24"/>
                <w:szCs w:val="24"/>
              </w:rPr>
              <w:t>费率        服务类型</w:t>
            </w:r>
          </w:p>
          <w:p>
            <w:pPr>
              <w:pStyle w:val="20"/>
              <w:spacing w:line="460" w:lineRule="exact"/>
              <w:rPr>
                <w:rFonts w:hAnsi="宋体"/>
                <w:sz w:val="24"/>
                <w:szCs w:val="24"/>
              </w:rPr>
            </w:pPr>
            <w:r>
              <w:rPr>
                <w:rFonts w:hAnsi="宋体"/>
                <w:sz w:val="24"/>
                <w:szCs w:val="24"/>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59690</wp:posOffset>
                      </wp:positionV>
                      <wp:extent cx="1714500" cy="396240"/>
                      <wp:effectExtent l="1270" t="4445" r="17780" b="18415"/>
                      <wp:wrapNone/>
                      <wp:docPr id="2" name="直线 41"/>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1" o:spid="_x0000_s1026" o:spt="20" style="position:absolute;left:0pt;margin-left:-5.4pt;margin-top:4.7pt;height:31.2pt;width:135pt;z-index:251658240;mso-width-relative:page;mso-height-relative:page;" filled="f" stroked="t" coordsize="21600,21600" o:gfxdata="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8R/FjXAAAACAEAAA8AAAAAAAAA&#10;AQAgAAAAIgAAAGRycy9kb3ducmV2LnhtbFBLAQIUABQAAAAIAIdO4kCuLdBP2QEAAKEDAAAOAAAA&#10;AAAAAAEAIAAAACYBAABkcnMvZTJvRG9jLnhtbFBLBQYAAAAABgAGAFkBAABxBQAAAAA=&#10;">
                      <v:fill on="f" focussize="0,0"/>
                      <v:stroke color="#000000" joinstyle="round"/>
                      <v:imagedata o:title=""/>
                      <o:lock v:ext="edit" aspectratio="f"/>
                    </v:line>
                  </w:pict>
                </mc:Fallback>
              </mc:AlternateContent>
            </w:r>
          </w:p>
          <w:p>
            <w:pPr>
              <w:pStyle w:val="20"/>
              <w:spacing w:line="460" w:lineRule="exact"/>
              <w:rPr>
                <w:rFonts w:hAnsi="宋体"/>
                <w:sz w:val="24"/>
                <w:szCs w:val="24"/>
              </w:rPr>
            </w:pPr>
            <w:r>
              <w:rPr>
                <w:rFonts w:hint="eastAsia" w:hAnsi="宋体"/>
                <w:sz w:val="24"/>
                <w:szCs w:val="24"/>
              </w:rPr>
              <w:t>成交金额（万元）</w:t>
            </w:r>
          </w:p>
        </w:tc>
        <w:tc>
          <w:tcPr>
            <w:tcW w:w="2164" w:type="dxa"/>
            <w:vAlign w:val="center"/>
          </w:tcPr>
          <w:p>
            <w:pPr>
              <w:pStyle w:val="20"/>
              <w:spacing w:line="460" w:lineRule="exact"/>
              <w:jc w:val="center"/>
              <w:rPr>
                <w:rFonts w:hAnsi="宋体"/>
                <w:sz w:val="24"/>
                <w:szCs w:val="24"/>
              </w:rPr>
            </w:pPr>
            <w:r>
              <w:rPr>
                <w:rFonts w:hint="eastAsia" w:hAnsi="宋体"/>
                <w:sz w:val="24"/>
                <w:szCs w:val="24"/>
              </w:rPr>
              <w:t>货物招标</w:t>
            </w:r>
          </w:p>
        </w:tc>
        <w:tc>
          <w:tcPr>
            <w:tcW w:w="1966" w:type="dxa"/>
            <w:vAlign w:val="center"/>
          </w:tcPr>
          <w:p>
            <w:pPr>
              <w:pStyle w:val="20"/>
              <w:spacing w:line="460" w:lineRule="exact"/>
              <w:jc w:val="center"/>
              <w:rPr>
                <w:rFonts w:hAnsi="宋体"/>
                <w:sz w:val="24"/>
                <w:szCs w:val="24"/>
              </w:rPr>
            </w:pPr>
            <w:r>
              <w:rPr>
                <w:rFonts w:hint="eastAsia" w:hAnsi="宋体"/>
                <w:sz w:val="24"/>
                <w:szCs w:val="24"/>
              </w:rPr>
              <w:t>服务招标</w:t>
            </w:r>
          </w:p>
        </w:tc>
        <w:tc>
          <w:tcPr>
            <w:tcW w:w="1966" w:type="dxa"/>
            <w:vAlign w:val="center"/>
          </w:tcPr>
          <w:p>
            <w:pPr>
              <w:pStyle w:val="20"/>
              <w:spacing w:line="460" w:lineRule="exact"/>
              <w:jc w:val="center"/>
              <w:rPr>
                <w:rFonts w:hAnsi="宋体"/>
                <w:sz w:val="24"/>
                <w:szCs w:val="24"/>
              </w:rPr>
            </w:pPr>
            <w:r>
              <w:rPr>
                <w:rFonts w:hint="eastAsia" w:hAnsi="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5" w:type="dxa"/>
          </w:tcPr>
          <w:p>
            <w:pPr>
              <w:pStyle w:val="20"/>
              <w:spacing w:line="460" w:lineRule="exact"/>
              <w:rPr>
                <w:rFonts w:hAnsi="宋体"/>
                <w:sz w:val="24"/>
                <w:szCs w:val="24"/>
              </w:rPr>
            </w:pPr>
            <w:r>
              <w:rPr>
                <w:rFonts w:hint="eastAsia" w:hAnsi="宋体"/>
                <w:sz w:val="24"/>
                <w:szCs w:val="24"/>
              </w:rPr>
              <w:t>100以下</w:t>
            </w:r>
          </w:p>
        </w:tc>
        <w:tc>
          <w:tcPr>
            <w:tcW w:w="2164" w:type="dxa"/>
          </w:tcPr>
          <w:p>
            <w:pPr>
              <w:pStyle w:val="20"/>
              <w:spacing w:line="460" w:lineRule="exact"/>
              <w:jc w:val="center"/>
              <w:rPr>
                <w:rFonts w:hAnsi="宋体"/>
                <w:sz w:val="24"/>
                <w:szCs w:val="24"/>
              </w:rPr>
            </w:pPr>
            <w:r>
              <w:rPr>
                <w:rFonts w:hint="eastAsia" w:hAnsi="宋体"/>
                <w:sz w:val="24"/>
                <w:szCs w:val="24"/>
              </w:rPr>
              <w:t>1.5%</w:t>
            </w:r>
          </w:p>
        </w:tc>
        <w:tc>
          <w:tcPr>
            <w:tcW w:w="1966" w:type="dxa"/>
          </w:tcPr>
          <w:p>
            <w:pPr>
              <w:pStyle w:val="20"/>
              <w:spacing w:line="460" w:lineRule="exact"/>
              <w:jc w:val="center"/>
              <w:rPr>
                <w:rFonts w:hAnsi="宋体"/>
                <w:sz w:val="24"/>
                <w:szCs w:val="24"/>
              </w:rPr>
            </w:pPr>
            <w:r>
              <w:rPr>
                <w:rFonts w:hint="eastAsia" w:hAnsi="宋体"/>
                <w:sz w:val="24"/>
                <w:szCs w:val="24"/>
              </w:rPr>
              <w:t>1.5%</w:t>
            </w:r>
          </w:p>
        </w:tc>
        <w:tc>
          <w:tcPr>
            <w:tcW w:w="1966" w:type="dxa"/>
          </w:tcPr>
          <w:p>
            <w:pPr>
              <w:pStyle w:val="20"/>
              <w:spacing w:line="460" w:lineRule="exact"/>
              <w:jc w:val="center"/>
              <w:rPr>
                <w:rFonts w:hAnsi="宋体"/>
                <w:sz w:val="24"/>
                <w:szCs w:val="24"/>
              </w:rPr>
            </w:pPr>
            <w:r>
              <w:rPr>
                <w:rFonts w:hint="eastAsia"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5" w:type="dxa"/>
          </w:tcPr>
          <w:p>
            <w:pPr>
              <w:pStyle w:val="20"/>
              <w:spacing w:line="460" w:lineRule="exact"/>
              <w:rPr>
                <w:rFonts w:hAnsi="宋体"/>
                <w:sz w:val="24"/>
                <w:szCs w:val="24"/>
              </w:rPr>
            </w:pPr>
            <w:r>
              <w:rPr>
                <w:rFonts w:hint="eastAsia" w:hAnsi="宋体"/>
                <w:sz w:val="24"/>
                <w:szCs w:val="24"/>
              </w:rPr>
              <w:t>100-500</w:t>
            </w:r>
          </w:p>
        </w:tc>
        <w:tc>
          <w:tcPr>
            <w:tcW w:w="2164" w:type="dxa"/>
          </w:tcPr>
          <w:p>
            <w:pPr>
              <w:pStyle w:val="20"/>
              <w:spacing w:line="460" w:lineRule="exact"/>
              <w:jc w:val="center"/>
              <w:rPr>
                <w:rFonts w:hAnsi="宋体"/>
                <w:sz w:val="24"/>
                <w:szCs w:val="24"/>
              </w:rPr>
            </w:pPr>
            <w:r>
              <w:rPr>
                <w:rFonts w:hint="eastAsia" w:hAnsi="宋体"/>
                <w:sz w:val="24"/>
                <w:szCs w:val="24"/>
              </w:rPr>
              <w:t>1.1%</w:t>
            </w:r>
          </w:p>
        </w:tc>
        <w:tc>
          <w:tcPr>
            <w:tcW w:w="1966" w:type="dxa"/>
          </w:tcPr>
          <w:p>
            <w:pPr>
              <w:pStyle w:val="20"/>
              <w:spacing w:line="460" w:lineRule="exact"/>
              <w:jc w:val="center"/>
              <w:rPr>
                <w:rFonts w:hAnsi="宋体"/>
                <w:sz w:val="24"/>
                <w:szCs w:val="24"/>
              </w:rPr>
            </w:pPr>
            <w:r>
              <w:rPr>
                <w:rFonts w:hint="eastAsia" w:hAnsi="宋体"/>
                <w:sz w:val="24"/>
                <w:szCs w:val="24"/>
              </w:rPr>
              <w:t>0.8%</w:t>
            </w:r>
          </w:p>
        </w:tc>
        <w:tc>
          <w:tcPr>
            <w:tcW w:w="1966" w:type="dxa"/>
          </w:tcPr>
          <w:p>
            <w:pPr>
              <w:pStyle w:val="20"/>
              <w:spacing w:line="460" w:lineRule="exact"/>
              <w:jc w:val="center"/>
              <w:rPr>
                <w:rFonts w:hAnsi="宋体"/>
                <w:sz w:val="24"/>
                <w:szCs w:val="24"/>
              </w:rPr>
            </w:pPr>
            <w:r>
              <w:rPr>
                <w:rFonts w:hint="eastAsia" w:hAnsi="宋体"/>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5" w:type="dxa"/>
          </w:tcPr>
          <w:p>
            <w:pPr>
              <w:pStyle w:val="20"/>
              <w:spacing w:line="460" w:lineRule="exact"/>
              <w:rPr>
                <w:rFonts w:hAnsi="宋体"/>
                <w:sz w:val="24"/>
                <w:szCs w:val="24"/>
              </w:rPr>
            </w:pPr>
            <w:r>
              <w:rPr>
                <w:rFonts w:hint="eastAsia" w:hAnsi="宋体"/>
                <w:sz w:val="24"/>
                <w:szCs w:val="24"/>
              </w:rPr>
              <w:t>500-1000</w:t>
            </w:r>
          </w:p>
        </w:tc>
        <w:tc>
          <w:tcPr>
            <w:tcW w:w="2164" w:type="dxa"/>
          </w:tcPr>
          <w:p>
            <w:pPr>
              <w:pStyle w:val="20"/>
              <w:spacing w:line="460" w:lineRule="exact"/>
              <w:jc w:val="center"/>
              <w:rPr>
                <w:rFonts w:hAnsi="宋体"/>
                <w:sz w:val="24"/>
                <w:szCs w:val="24"/>
              </w:rPr>
            </w:pPr>
            <w:r>
              <w:rPr>
                <w:rFonts w:hint="eastAsia" w:hAnsi="宋体"/>
                <w:sz w:val="24"/>
                <w:szCs w:val="24"/>
              </w:rPr>
              <w:t>0.8%</w:t>
            </w:r>
          </w:p>
        </w:tc>
        <w:tc>
          <w:tcPr>
            <w:tcW w:w="1966" w:type="dxa"/>
          </w:tcPr>
          <w:p>
            <w:pPr>
              <w:pStyle w:val="20"/>
              <w:spacing w:line="460" w:lineRule="exact"/>
              <w:jc w:val="center"/>
              <w:rPr>
                <w:rFonts w:hAnsi="宋体"/>
                <w:sz w:val="24"/>
                <w:szCs w:val="24"/>
              </w:rPr>
            </w:pPr>
            <w:r>
              <w:rPr>
                <w:rFonts w:hint="eastAsia" w:hAnsi="宋体"/>
                <w:sz w:val="24"/>
                <w:szCs w:val="24"/>
              </w:rPr>
              <w:t>0.45%</w:t>
            </w:r>
          </w:p>
        </w:tc>
        <w:tc>
          <w:tcPr>
            <w:tcW w:w="1966" w:type="dxa"/>
          </w:tcPr>
          <w:p>
            <w:pPr>
              <w:pStyle w:val="20"/>
              <w:spacing w:line="460" w:lineRule="exact"/>
              <w:jc w:val="center"/>
              <w:rPr>
                <w:rFonts w:hAnsi="宋体"/>
                <w:sz w:val="24"/>
                <w:szCs w:val="24"/>
              </w:rPr>
            </w:pPr>
            <w:r>
              <w:rPr>
                <w:rFonts w:hint="eastAsia" w:hAnsi="宋体"/>
                <w:sz w:val="24"/>
                <w:szCs w:val="24"/>
              </w:rPr>
              <w:t>0.55%</w:t>
            </w:r>
          </w:p>
        </w:tc>
      </w:tr>
    </w:tbl>
    <w:p>
      <w:pPr>
        <w:pStyle w:val="20"/>
        <w:spacing w:line="460" w:lineRule="exact"/>
        <w:ind w:firstLine="420"/>
        <w:rPr>
          <w:rFonts w:hAnsi="宋体"/>
          <w:sz w:val="24"/>
          <w:szCs w:val="24"/>
        </w:rPr>
      </w:pPr>
      <w:r>
        <w:rPr>
          <w:rFonts w:hint="eastAsia" w:hAnsi="宋体"/>
          <w:sz w:val="24"/>
          <w:szCs w:val="24"/>
        </w:rPr>
        <w:t>注：招标代理服务收费按差额定率累进法计算。</w:t>
      </w:r>
    </w:p>
    <w:p>
      <w:pPr>
        <w:pStyle w:val="20"/>
        <w:spacing w:line="460" w:lineRule="exact"/>
        <w:ind w:firstLine="480" w:firstLineChars="200"/>
        <w:rPr>
          <w:rFonts w:hAnsi="宋体"/>
          <w:sz w:val="24"/>
          <w:szCs w:val="24"/>
        </w:rPr>
      </w:pPr>
      <w:r>
        <w:rPr>
          <w:rFonts w:hint="eastAsia" w:hAnsi="宋体"/>
          <w:sz w:val="24"/>
          <w:szCs w:val="24"/>
        </w:rPr>
        <w:t>1</w:t>
      </w:r>
      <w:r>
        <w:rPr>
          <w:rFonts w:hint="eastAsia" w:hAnsi="宋体"/>
          <w:sz w:val="24"/>
          <w:szCs w:val="24"/>
          <w:lang w:val="en-US" w:eastAsia="zh-CN"/>
        </w:rPr>
        <w:t>8</w:t>
      </w:r>
      <w:r>
        <w:rPr>
          <w:rFonts w:hint="eastAsia" w:hAnsi="宋体"/>
          <w:sz w:val="24"/>
          <w:szCs w:val="24"/>
        </w:rPr>
        <w:t>. 询问、质疑和投诉</w:t>
      </w:r>
    </w:p>
    <w:p>
      <w:pPr>
        <w:pStyle w:val="20"/>
        <w:spacing w:line="460" w:lineRule="exact"/>
        <w:ind w:firstLine="480" w:firstLineChars="200"/>
        <w:rPr>
          <w:rFonts w:hAnsi="宋体"/>
          <w:sz w:val="24"/>
          <w:szCs w:val="24"/>
        </w:rPr>
      </w:pPr>
      <w:r>
        <w:rPr>
          <w:rFonts w:hint="eastAsia" w:hAnsi="宋体"/>
          <w:sz w:val="24"/>
          <w:szCs w:val="24"/>
        </w:rPr>
        <w:t>1</w:t>
      </w:r>
      <w:r>
        <w:rPr>
          <w:rFonts w:hint="eastAsia" w:hAnsi="宋体"/>
          <w:sz w:val="24"/>
          <w:szCs w:val="24"/>
          <w:lang w:val="en-US" w:eastAsia="zh-CN"/>
        </w:rPr>
        <w:t>8</w:t>
      </w:r>
      <w:r>
        <w:rPr>
          <w:rFonts w:hint="eastAsia" w:hAnsi="宋体"/>
          <w:sz w:val="24"/>
          <w:szCs w:val="24"/>
        </w:rPr>
        <w:t>.1供应商对政府采购活动事项有疑问的，可以向采购人、采购代理机构提出询问。</w:t>
      </w:r>
    </w:p>
    <w:p>
      <w:pPr>
        <w:pStyle w:val="20"/>
        <w:spacing w:line="460" w:lineRule="exact"/>
        <w:ind w:firstLine="480" w:firstLineChars="200"/>
        <w:rPr>
          <w:rFonts w:hAnsi="宋体"/>
          <w:sz w:val="24"/>
          <w:szCs w:val="24"/>
        </w:rPr>
      </w:pPr>
      <w:r>
        <w:rPr>
          <w:rFonts w:hint="eastAsia" w:hAnsi="宋体"/>
          <w:sz w:val="24"/>
          <w:szCs w:val="24"/>
        </w:rPr>
        <w:t>1</w:t>
      </w:r>
      <w:r>
        <w:rPr>
          <w:rFonts w:hint="eastAsia" w:hAnsi="宋体"/>
          <w:sz w:val="24"/>
          <w:szCs w:val="24"/>
          <w:lang w:val="en-US" w:eastAsia="zh-CN"/>
        </w:rPr>
        <w:t>8</w:t>
      </w:r>
      <w:r>
        <w:rPr>
          <w:rFonts w:hint="eastAsia" w:hAnsi="宋体"/>
          <w:sz w:val="24"/>
          <w:szCs w:val="24"/>
        </w:rPr>
        <w:t>.2供应商认为采购文件、采购过程或成交结果使自己的合法权益受到损害的，应当在知道或者应知其权益受到损害之日起七个工作日内，以书面形式向采购人、采购代理机构提出质疑。具体计算时间如下：</w:t>
      </w:r>
    </w:p>
    <w:p>
      <w:pPr>
        <w:pStyle w:val="20"/>
        <w:spacing w:line="460" w:lineRule="exact"/>
        <w:ind w:firstLine="480" w:firstLineChars="200"/>
        <w:outlineLvl w:val="1"/>
        <w:rPr>
          <w:rFonts w:hAnsi="宋体"/>
          <w:sz w:val="24"/>
          <w:szCs w:val="24"/>
        </w:rPr>
      </w:pPr>
      <w:r>
        <w:rPr>
          <w:rFonts w:hint="eastAsia" w:hAnsi="宋体"/>
          <w:sz w:val="24"/>
          <w:szCs w:val="24"/>
        </w:rPr>
        <w:t>（一）对可以质疑的采购文件提出质疑的，为收到采购文件之日；</w:t>
      </w:r>
    </w:p>
    <w:p>
      <w:pPr>
        <w:pStyle w:val="20"/>
        <w:spacing w:line="460" w:lineRule="exact"/>
        <w:ind w:firstLine="480" w:firstLineChars="200"/>
        <w:outlineLvl w:val="1"/>
        <w:rPr>
          <w:rFonts w:hAnsi="宋体"/>
          <w:sz w:val="24"/>
          <w:szCs w:val="24"/>
        </w:rPr>
      </w:pPr>
      <w:r>
        <w:rPr>
          <w:rFonts w:hint="eastAsia" w:hAnsi="宋体"/>
          <w:sz w:val="24"/>
          <w:szCs w:val="24"/>
        </w:rPr>
        <w:t>（二）对采购过程提出质疑的，为各采购程序环节结束之日；</w:t>
      </w:r>
    </w:p>
    <w:p>
      <w:pPr>
        <w:pStyle w:val="20"/>
        <w:spacing w:line="460" w:lineRule="exact"/>
        <w:ind w:firstLine="480" w:firstLineChars="200"/>
        <w:outlineLvl w:val="1"/>
        <w:rPr>
          <w:rFonts w:hAnsi="宋体"/>
          <w:sz w:val="24"/>
          <w:szCs w:val="24"/>
        </w:rPr>
      </w:pPr>
      <w:r>
        <w:rPr>
          <w:rFonts w:hint="eastAsia" w:hAnsi="宋体"/>
          <w:sz w:val="24"/>
          <w:szCs w:val="24"/>
        </w:rPr>
        <w:t>（三）对成交结果提出质疑的，为成交结果公告期限届满之日。</w:t>
      </w:r>
    </w:p>
    <w:p>
      <w:pPr>
        <w:pStyle w:val="20"/>
        <w:spacing w:line="460" w:lineRule="exact"/>
        <w:ind w:firstLine="480" w:firstLineChars="200"/>
        <w:rPr>
          <w:rFonts w:hAnsi="宋体"/>
          <w:sz w:val="24"/>
          <w:szCs w:val="24"/>
        </w:rPr>
      </w:pPr>
      <w:r>
        <w:rPr>
          <w:rFonts w:hint="eastAsia" w:hAnsi="宋体"/>
          <w:sz w:val="24"/>
          <w:szCs w:val="24"/>
        </w:rPr>
        <w:t>供应商对采购人或采购代理机构的质疑答复不满意或者采购人或采购代理机构未在规定时间内作出答复的，可以在答复期满后十五个工作日内向同级采购监管部门投诉。</w:t>
      </w:r>
    </w:p>
    <w:p>
      <w:pPr>
        <w:pStyle w:val="20"/>
        <w:spacing w:line="460" w:lineRule="exact"/>
        <w:ind w:firstLine="480" w:firstLineChars="200"/>
        <w:rPr>
          <w:rFonts w:hAnsi="宋体"/>
          <w:sz w:val="24"/>
          <w:szCs w:val="24"/>
        </w:rPr>
      </w:pPr>
      <w:r>
        <w:rPr>
          <w:rFonts w:hint="eastAsia" w:hAnsi="宋体"/>
          <w:sz w:val="24"/>
          <w:szCs w:val="24"/>
        </w:rPr>
        <w:t>1</w:t>
      </w:r>
      <w:r>
        <w:rPr>
          <w:rFonts w:hint="eastAsia" w:hAnsi="宋体"/>
          <w:sz w:val="24"/>
          <w:szCs w:val="24"/>
          <w:lang w:val="en-US" w:eastAsia="zh-CN"/>
        </w:rPr>
        <w:t>8</w:t>
      </w:r>
      <w:r>
        <w:rPr>
          <w:rFonts w:hint="eastAsia" w:hAnsi="宋体"/>
          <w:sz w:val="24"/>
          <w:szCs w:val="24"/>
        </w:rPr>
        <w:t>.3质疑、投诉应当采用书面形式，质疑书、投诉书均应明确阐述采购文件、采购过程、成交结果中使自己合法权益受到损害的实质性内容，提供相关事实、明确的请求、必要的证明材料，便于有关单位调查、答复和处理。</w:t>
      </w:r>
    </w:p>
    <w:p>
      <w:pPr>
        <w:pStyle w:val="20"/>
        <w:spacing w:line="460" w:lineRule="exact"/>
        <w:ind w:firstLine="480" w:firstLineChars="200"/>
        <w:rPr>
          <w:rFonts w:hAnsi="宋体"/>
          <w:sz w:val="24"/>
          <w:szCs w:val="24"/>
        </w:rPr>
      </w:pPr>
      <w:r>
        <w:rPr>
          <w:rFonts w:hint="eastAsia" w:hAnsi="宋体"/>
          <w:sz w:val="24"/>
          <w:szCs w:val="24"/>
        </w:rPr>
        <w:t>供应商提出质疑应当提交质疑函和必要的证明材料，针对同一采购程序环节的质疑必须在法定质疑期内一次性提出。质疑函应当包括下列内容：</w:t>
      </w:r>
    </w:p>
    <w:p>
      <w:pPr>
        <w:pStyle w:val="20"/>
        <w:spacing w:line="460" w:lineRule="exact"/>
        <w:ind w:firstLine="480" w:firstLineChars="200"/>
        <w:outlineLvl w:val="2"/>
        <w:rPr>
          <w:rFonts w:hAnsi="宋体"/>
          <w:sz w:val="24"/>
          <w:szCs w:val="24"/>
        </w:rPr>
      </w:pPr>
      <w:r>
        <w:rPr>
          <w:rFonts w:hint="eastAsia" w:hAnsi="宋体"/>
          <w:sz w:val="24"/>
          <w:szCs w:val="24"/>
        </w:rPr>
        <w:t>（1）供应商的姓名或者名称、地址、邮编、联系人及联系电话；</w:t>
      </w:r>
    </w:p>
    <w:p>
      <w:pPr>
        <w:pStyle w:val="20"/>
        <w:spacing w:line="460" w:lineRule="exact"/>
        <w:ind w:firstLine="480" w:firstLineChars="200"/>
        <w:outlineLvl w:val="2"/>
        <w:rPr>
          <w:rFonts w:hAnsi="宋体"/>
          <w:sz w:val="24"/>
          <w:szCs w:val="24"/>
        </w:rPr>
      </w:pPr>
      <w:r>
        <w:rPr>
          <w:rFonts w:hint="eastAsia" w:hAnsi="宋体"/>
          <w:sz w:val="24"/>
          <w:szCs w:val="24"/>
        </w:rPr>
        <w:t>（2）质疑项目的名称、编号；</w:t>
      </w:r>
    </w:p>
    <w:p>
      <w:pPr>
        <w:pStyle w:val="20"/>
        <w:spacing w:line="460" w:lineRule="exact"/>
        <w:ind w:firstLine="480" w:firstLineChars="200"/>
        <w:outlineLvl w:val="2"/>
        <w:rPr>
          <w:rFonts w:hAnsi="宋体"/>
          <w:sz w:val="24"/>
          <w:szCs w:val="24"/>
        </w:rPr>
      </w:pPr>
      <w:r>
        <w:rPr>
          <w:rFonts w:hint="eastAsia" w:hAnsi="宋体"/>
          <w:sz w:val="24"/>
          <w:szCs w:val="24"/>
        </w:rPr>
        <w:t>（3）具体、明确的质疑事项和与质疑事项相关的请求；</w:t>
      </w:r>
    </w:p>
    <w:p>
      <w:pPr>
        <w:pStyle w:val="20"/>
        <w:spacing w:line="460" w:lineRule="exact"/>
        <w:ind w:firstLine="480" w:firstLineChars="200"/>
        <w:outlineLvl w:val="2"/>
        <w:rPr>
          <w:rFonts w:hAnsi="宋体"/>
          <w:sz w:val="24"/>
          <w:szCs w:val="24"/>
        </w:rPr>
      </w:pPr>
      <w:r>
        <w:rPr>
          <w:rFonts w:hint="eastAsia" w:hAnsi="宋体"/>
          <w:sz w:val="24"/>
          <w:szCs w:val="24"/>
        </w:rPr>
        <w:t>（4）事实依据；</w:t>
      </w:r>
    </w:p>
    <w:p>
      <w:pPr>
        <w:pStyle w:val="20"/>
        <w:spacing w:line="460" w:lineRule="exact"/>
        <w:ind w:firstLine="480" w:firstLineChars="200"/>
        <w:outlineLvl w:val="2"/>
        <w:rPr>
          <w:rFonts w:hAnsi="宋体"/>
          <w:sz w:val="24"/>
          <w:szCs w:val="24"/>
        </w:rPr>
      </w:pPr>
      <w:r>
        <w:rPr>
          <w:rFonts w:hint="eastAsia" w:hAnsi="宋体"/>
          <w:sz w:val="24"/>
          <w:szCs w:val="24"/>
        </w:rPr>
        <w:t>（5）必要的法律依据；</w:t>
      </w:r>
    </w:p>
    <w:p>
      <w:pPr>
        <w:pStyle w:val="20"/>
        <w:spacing w:line="460" w:lineRule="exact"/>
        <w:ind w:firstLine="480" w:firstLineChars="200"/>
        <w:outlineLvl w:val="2"/>
        <w:rPr>
          <w:rFonts w:hAnsi="宋体"/>
          <w:sz w:val="24"/>
          <w:szCs w:val="24"/>
        </w:rPr>
      </w:pPr>
      <w:r>
        <w:rPr>
          <w:rFonts w:hint="eastAsia" w:hAnsi="宋体"/>
          <w:sz w:val="24"/>
          <w:szCs w:val="24"/>
        </w:rPr>
        <w:t>（6）提出质疑的日期。</w:t>
      </w:r>
    </w:p>
    <w:p>
      <w:pPr>
        <w:pStyle w:val="20"/>
        <w:spacing w:line="460" w:lineRule="exact"/>
        <w:ind w:firstLine="480" w:firstLineChars="200"/>
        <w:rPr>
          <w:rFonts w:hint="eastAsia" w:hAnsi="宋体"/>
          <w:sz w:val="24"/>
          <w:szCs w:val="24"/>
        </w:rPr>
      </w:pPr>
      <w:r>
        <w:rPr>
          <w:rFonts w:hint="eastAsia" w:hAnsi="宋体"/>
          <w:sz w:val="24"/>
          <w:szCs w:val="24"/>
        </w:rPr>
        <w:t>供应商为自然人的，应当由本人签字；供应商为法人或者其他组织的，应当由法定代表人、主要负责人，或者其授权代表签字或者盖章，并加盖公章。</w:t>
      </w:r>
    </w:p>
    <w:p>
      <w:pPr>
        <w:rPr>
          <w:rFonts w:hint="eastAsia" w:hAnsi="宋体"/>
          <w:sz w:val="24"/>
          <w:szCs w:val="24"/>
        </w:rPr>
      </w:pPr>
      <w:r>
        <w:rPr>
          <w:rFonts w:hint="eastAsia" w:hAnsi="宋体"/>
          <w:sz w:val="24"/>
          <w:szCs w:val="24"/>
        </w:rPr>
        <w:br w:type="page"/>
      </w:r>
    </w:p>
    <w:p>
      <w:pPr>
        <w:pStyle w:val="20"/>
        <w:snapToGrid w:val="0"/>
        <w:ind w:firstLine="420" w:firstLineChars="200"/>
        <w:rPr>
          <w:rFonts w:hint="eastAsia" w:hAnsi="宋体"/>
          <w:color w:val="000000"/>
        </w:rPr>
      </w:pPr>
      <w:r>
        <w:rPr>
          <w:rFonts w:hint="eastAsia" w:hAnsi="宋体"/>
          <w:color w:val="000000"/>
        </w:rPr>
        <w:t>附件1：</w:t>
      </w:r>
    </w:p>
    <w:p>
      <w:pPr>
        <w:widowControl/>
        <w:shd w:val="clear" w:color="auto" w:fill="FFFFFF"/>
        <w:spacing w:line="480" w:lineRule="atLeast"/>
        <w:jc w:val="center"/>
        <w:rPr>
          <w:rFonts w:hint="eastAsia" w:ascii="仿宋" w:hAnsi="仿宋" w:eastAsia="仿宋" w:cs="宋体"/>
          <w:color w:val="000000"/>
          <w:kern w:val="0"/>
          <w:sz w:val="32"/>
          <w:szCs w:val="32"/>
        </w:rPr>
      </w:pPr>
      <w:r>
        <w:rPr>
          <w:rFonts w:hint="eastAsia" w:ascii="黑体" w:hAnsi="黑体" w:eastAsia="黑体" w:cs="黑体"/>
          <w:color w:val="000000"/>
          <w:kern w:val="0"/>
          <w:sz w:val="32"/>
          <w:szCs w:val="32"/>
        </w:rPr>
        <w:t>广西壮族自治区政府采购项目合同验收书</w:t>
      </w:r>
      <w:r>
        <w:rPr>
          <w:rFonts w:hint="eastAsia" w:ascii="仿宋" w:hAnsi="仿宋" w:eastAsia="仿宋" w:cs="宋体"/>
          <w:color w:val="000000"/>
          <w:kern w:val="0"/>
          <w:sz w:val="32"/>
          <w:szCs w:val="32"/>
        </w:rPr>
        <w:t>（格式）</w:t>
      </w:r>
    </w:p>
    <w:p>
      <w:pPr>
        <w:widowControl/>
        <w:shd w:val="clear" w:color="auto" w:fill="FFFFFF"/>
        <w:spacing w:line="480" w:lineRule="atLeast"/>
        <w:jc w:val="center"/>
        <w:rPr>
          <w:rFonts w:hint="eastAsia" w:ascii="仿宋" w:hAnsi="仿宋" w:eastAsia="仿宋" w:cs="宋体"/>
          <w:color w:val="000000"/>
          <w:kern w:val="0"/>
          <w:sz w:val="32"/>
          <w:szCs w:val="32"/>
        </w:rPr>
      </w:pPr>
    </w:p>
    <w:p>
      <w:pPr>
        <w:widowControl/>
        <w:shd w:val="clear" w:color="auto" w:fill="FFFFFF"/>
        <w:snapToGrid w:val="0"/>
        <w:spacing w:line="320" w:lineRule="atLeast"/>
        <w:ind w:firstLine="480"/>
        <w:jc w:val="left"/>
        <w:rPr>
          <w:rFonts w:hint="eastAsia" w:ascii="宋体" w:hAnsi="宋体" w:cs="宋体"/>
          <w:color w:val="000000"/>
          <w:kern w:val="0"/>
          <w:szCs w:val="21"/>
        </w:rPr>
      </w:pPr>
      <w:r>
        <w:rPr>
          <w:rFonts w:hint="eastAsia" w:ascii="宋体" w:hAnsi="宋体" w:cs="宋体"/>
          <w:color w:val="000000"/>
          <w:kern w:val="0"/>
          <w:szCs w:val="21"/>
        </w:rPr>
        <w:t>根据政府采购项目（</w:t>
      </w:r>
      <w:r>
        <w:rPr>
          <w:rFonts w:hint="eastAsia" w:ascii="宋体" w:hAnsi="宋体" w:cs="宋体"/>
          <w:color w:val="000000"/>
          <w:kern w:val="0"/>
          <w:szCs w:val="21"/>
          <w:u w:val="single"/>
        </w:rPr>
        <w:t>采购合同编号：</w:t>
      </w:r>
      <w:r>
        <w:rPr>
          <w:rFonts w:hint="eastAsia" w:ascii="宋体" w:hAnsi="宋体" w:cs="宋体"/>
          <w:color w:val="000000"/>
          <w:kern w:val="0"/>
          <w:szCs w:val="21"/>
          <w:u w:val="single"/>
        </w:rPr>
        <w:softHyphen/>
      </w:r>
      <w:r>
        <w:rPr>
          <w:rFonts w:hint="eastAsia" w:ascii="宋体" w:hAnsi="宋体" w:cs="宋体"/>
          <w:color w:val="000000"/>
          <w:kern w:val="0"/>
          <w:szCs w:val="21"/>
          <w:u w:val="single"/>
        </w:rPr>
        <w:t xml:space="preserve"> </w:t>
      </w:r>
      <w:r>
        <w:rPr>
          <w:rFonts w:hint="eastAsia" w:ascii="宋体" w:hAnsi="宋体" w:cs="宋体"/>
          <w:color w:val="000000"/>
          <w:kern w:val="0"/>
          <w:szCs w:val="21"/>
        </w:rPr>
        <w:t>）的约定，我单位对（</w:t>
      </w:r>
      <w:r>
        <w:rPr>
          <w:rFonts w:hint="eastAsia" w:ascii="宋体" w:hAnsi="宋体" w:cs="宋体"/>
          <w:color w:val="000000"/>
          <w:kern w:val="0"/>
          <w:szCs w:val="21"/>
          <w:u w:val="single"/>
        </w:rPr>
        <w:t xml:space="preserve"> 项目名称 </w:t>
      </w:r>
      <w:r>
        <w:rPr>
          <w:rFonts w:hint="eastAsia" w:ascii="宋体" w:hAnsi="宋体" w:cs="宋体"/>
          <w:color w:val="000000"/>
          <w:kern w:val="0"/>
          <w:szCs w:val="21"/>
        </w:rPr>
        <w:t>） 政府采购项目中标（或成交）供应商（</w:t>
      </w:r>
      <w:r>
        <w:rPr>
          <w:rFonts w:hint="eastAsia" w:ascii="宋体" w:hAnsi="宋体" w:cs="宋体"/>
          <w:color w:val="000000"/>
          <w:kern w:val="0"/>
          <w:szCs w:val="21"/>
          <w:u w:val="single"/>
        </w:rPr>
        <w:t xml:space="preserve"> 公司名称 </w:t>
      </w:r>
      <w:r>
        <w:rPr>
          <w:rFonts w:hint="eastAsia" w:ascii="宋体" w:hAnsi="宋体" w:cs="宋体"/>
          <w:color w:val="000000"/>
          <w:kern w:val="0"/>
          <w:szCs w:val="21"/>
        </w:rPr>
        <w:t>） 提供的货物（或工程、服务）进行了验收，验收情况如下：</w:t>
      </w:r>
    </w:p>
    <w:tbl>
      <w:tblPr>
        <w:tblStyle w:val="36"/>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80"/>
              <w:jc w:val="center"/>
              <w:rPr>
                <w:rFonts w:ascii="Verdana" w:hAnsi="Verdana" w:cs="宋体"/>
                <w:color w:val="000000"/>
                <w:kern w:val="0"/>
                <w:szCs w:val="21"/>
              </w:rPr>
            </w:pPr>
            <w:r>
              <w:rPr>
                <w:rFonts w:ascii="Verdana" w:hAnsi="Verdana" w:cs="宋体"/>
                <w:color w:val="000000"/>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序号</w:t>
            </w:r>
          </w:p>
        </w:tc>
        <w:tc>
          <w:tcPr>
            <w:tcW w:w="1921"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名 称</w:t>
            </w:r>
          </w:p>
        </w:tc>
        <w:tc>
          <w:tcPr>
            <w:tcW w:w="290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color w:val="000000"/>
                <w:kern w:val="0"/>
                <w:szCs w:val="21"/>
              </w:rPr>
            </w:pPr>
            <w:r>
              <w:rPr>
                <w:rFonts w:ascii="Verdana" w:hAnsi="Verdana" w:cs="宋体"/>
                <w:color w:val="000000"/>
                <w:kern w:val="0"/>
                <w:szCs w:val="21"/>
              </w:rPr>
              <w:t>数量</w:t>
            </w:r>
          </w:p>
        </w:tc>
        <w:tc>
          <w:tcPr>
            <w:tcW w:w="2354"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合 计</w:t>
            </w: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left"/>
              <w:rPr>
                <w:rFonts w:ascii="Verdana" w:hAnsi="Verdana" w:cs="宋体"/>
                <w:color w:val="000000"/>
                <w:kern w:val="0"/>
                <w:szCs w:val="21"/>
              </w:rPr>
            </w:pPr>
            <w:r>
              <w:rPr>
                <w:rFonts w:ascii="Verdana" w:hAnsi="Verdana" w:cs="宋体"/>
                <w:color w:val="000000"/>
                <w:kern w:val="0"/>
                <w:szCs w:val="21"/>
              </w:rPr>
              <w:t xml:space="preserve">合计大写金额： </w:t>
            </w:r>
            <w:r>
              <w:rPr>
                <w:rFonts w:hint="eastAsia" w:ascii="Verdana" w:hAnsi="Verdana" w:cs="宋体"/>
                <w:color w:val="000000"/>
                <w:kern w:val="0"/>
                <w:szCs w:val="21"/>
              </w:rPr>
              <w:t xml:space="preserve">亿 </w:t>
            </w:r>
            <w:r>
              <w:rPr>
                <w:rFonts w:ascii="Verdana" w:hAnsi="Verdana" w:cs="宋体"/>
                <w:color w:val="000000"/>
                <w:kern w:val="0"/>
                <w:szCs w:val="21"/>
              </w:rPr>
              <w:t>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实际供货日期</w:t>
            </w:r>
          </w:p>
        </w:tc>
        <w:tc>
          <w:tcPr>
            <w:tcW w:w="2719"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6"/>
              <w:jc w:val="center"/>
              <w:rPr>
                <w:rFonts w:ascii="Verdana" w:hAnsi="Verdana" w:cs="宋体"/>
                <w:color w:val="000000"/>
                <w:kern w:val="0"/>
                <w:szCs w:val="21"/>
              </w:rPr>
            </w:pPr>
            <w:r>
              <w:rPr>
                <w:rFonts w:ascii="Verdana" w:hAnsi="Verdana" w:cs="宋体"/>
                <w:color w:val="000000"/>
                <w:kern w:val="0"/>
                <w:szCs w:val="21"/>
              </w:rPr>
              <w:t>合同交货验收日期</w:t>
            </w:r>
          </w:p>
        </w:tc>
        <w:tc>
          <w:tcPr>
            <w:tcW w:w="3039"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719"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c>
          <w:tcPr>
            <w:tcW w:w="3039"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color w:val="000000"/>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验收小组意见</w:t>
            </w:r>
          </w:p>
        </w:tc>
        <w:tc>
          <w:tcPr>
            <w:tcW w:w="8040"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Verdana" w:hAnsi="Verdana" w:cs="宋体"/>
                <w:color w:val="000000"/>
                <w:kern w:val="0"/>
                <w:szCs w:val="21"/>
              </w:rPr>
            </w:pPr>
          </w:p>
        </w:tc>
        <w:tc>
          <w:tcPr>
            <w:tcW w:w="8040" w:type="dxa"/>
            <w:gridSpan w:val="7"/>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ind w:firstLine="96"/>
              <w:jc w:val="left"/>
              <w:rPr>
                <w:rFonts w:ascii="Verdana" w:hAnsi="Verdana" w:cs="宋体"/>
                <w:color w:val="000000"/>
                <w:kern w:val="0"/>
                <w:szCs w:val="21"/>
              </w:rPr>
            </w:pPr>
            <w:r>
              <w:rPr>
                <w:rFonts w:ascii="Verdana" w:hAnsi="Verdana" w:cs="宋体"/>
                <w:color w:val="000000"/>
                <w:kern w:val="0"/>
                <w:szCs w:val="21"/>
              </w:rPr>
              <w:t>有异议的意见和说明理由：</w:t>
            </w: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监督人员或其他相关人员签字：</w:t>
            </w:r>
          </w:p>
          <w:p>
            <w:pPr>
              <w:widowControl/>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noWrap w:val="0"/>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中标或者成交供应商负责人签字或盖章：</w:t>
            </w: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 年 月 日</w:t>
            </w:r>
          </w:p>
        </w:tc>
        <w:tc>
          <w:tcPr>
            <w:tcW w:w="5219"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采购人或受托机构的意见（盖章）：</w:t>
            </w:r>
          </w:p>
          <w:p>
            <w:pPr>
              <w:widowControl/>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 年 月 日</w:t>
            </w:r>
          </w:p>
        </w:tc>
      </w:tr>
    </w:tbl>
    <w:p>
      <w:pPr>
        <w:jc w:val="left"/>
        <w:rPr>
          <w:rFonts w:hint="eastAsia" w:hAnsi="宋体"/>
          <w:color w:val="000000"/>
        </w:rPr>
      </w:pPr>
      <w:r>
        <w:rPr>
          <w:rFonts w:hAnsi="宋体"/>
          <w:color w:val="000000"/>
        </w:rPr>
        <w:br w:type="page"/>
      </w:r>
      <w:r>
        <w:rPr>
          <w:rFonts w:hint="eastAsia" w:hAnsi="宋体"/>
          <w:color w:val="000000"/>
        </w:rPr>
        <w:t>附件2：</w:t>
      </w:r>
    </w:p>
    <w:p>
      <w:pPr>
        <w:jc w:val="center"/>
        <w:rPr>
          <w:rFonts w:hint="eastAsia" w:ascii="黑体" w:hAnsi="黑体" w:eastAsia="黑体"/>
          <w:color w:val="000000"/>
          <w:sz w:val="32"/>
          <w:szCs w:val="32"/>
        </w:rPr>
      </w:pPr>
      <w:r>
        <w:rPr>
          <w:rFonts w:hint="eastAsia" w:ascii="黑体" w:hAnsi="黑体" w:eastAsia="黑体"/>
          <w:color w:val="000000"/>
          <w:sz w:val="32"/>
          <w:szCs w:val="32"/>
        </w:rPr>
        <w:t>政府采购项目履约保证金退付意见书（参考）</w:t>
      </w:r>
    </w:p>
    <w:p>
      <w:pPr>
        <w:jc w:val="center"/>
        <w:rPr>
          <w:rFonts w:hint="eastAsia" w:ascii="黑体" w:hAnsi="黑体" w:eastAsia="黑体"/>
          <w:color w:val="000000"/>
          <w:sz w:val="36"/>
          <w:szCs w:val="36"/>
        </w:rPr>
      </w:pP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noWrap w:val="0"/>
            <w:vAlign w:val="center"/>
          </w:tcPr>
          <w:p>
            <w:pPr>
              <w:jc w:val="center"/>
              <w:rPr>
                <w:rFonts w:hint="eastAsia"/>
                <w:color w:val="000000"/>
                <w:sz w:val="24"/>
              </w:rPr>
            </w:pPr>
            <w:r>
              <w:rPr>
                <w:rFonts w:hint="eastAsia"/>
                <w:color w:val="000000"/>
                <w:sz w:val="24"/>
              </w:rPr>
              <w:t>供</w:t>
            </w:r>
          </w:p>
          <w:p>
            <w:pPr>
              <w:jc w:val="center"/>
              <w:rPr>
                <w:rFonts w:hint="eastAsia"/>
                <w:color w:val="000000"/>
                <w:sz w:val="24"/>
              </w:rPr>
            </w:pPr>
            <w:r>
              <w:rPr>
                <w:rFonts w:hint="eastAsia"/>
                <w:color w:val="000000"/>
                <w:sz w:val="24"/>
              </w:rPr>
              <w:t>应</w:t>
            </w:r>
          </w:p>
          <w:p>
            <w:pPr>
              <w:jc w:val="center"/>
              <w:rPr>
                <w:rFonts w:hint="eastAsia"/>
                <w:color w:val="000000"/>
                <w:sz w:val="24"/>
              </w:rPr>
            </w:pPr>
            <w:r>
              <w:rPr>
                <w:rFonts w:hint="eastAsia"/>
                <w:color w:val="000000"/>
                <w:sz w:val="24"/>
              </w:rPr>
              <w:t>商</w:t>
            </w:r>
          </w:p>
          <w:p>
            <w:pPr>
              <w:jc w:val="center"/>
              <w:rPr>
                <w:rFonts w:hint="eastAsia"/>
                <w:color w:val="000000"/>
                <w:sz w:val="24"/>
              </w:rPr>
            </w:pPr>
            <w:r>
              <w:rPr>
                <w:rFonts w:hint="eastAsia"/>
                <w:color w:val="000000"/>
                <w:sz w:val="24"/>
              </w:rPr>
              <w:t>申</w:t>
            </w:r>
          </w:p>
          <w:p>
            <w:pPr>
              <w:jc w:val="center"/>
              <w:rPr>
                <w:rFonts w:hint="eastAsia"/>
                <w:color w:val="000000"/>
                <w:sz w:val="24"/>
              </w:rPr>
            </w:pPr>
            <w:r>
              <w:rPr>
                <w:rFonts w:hint="eastAsia"/>
                <w:color w:val="000000"/>
                <w:sz w:val="24"/>
              </w:rPr>
              <w:t>请</w:t>
            </w:r>
          </w:p>
        </w:tc>
        <w:tc>
          <w:tcPr>
            <w:tcW w:w="8456" w:type="dxa"/>
            <w:noWrap w:val="0"/>
            <w:vAlign w:val="center"/>
          </w:tcPr>
          <w:p>
            <w:pPr>
              <w:rPr>
                <w:rFonts w:hint="eastAsia"/>
                <w:color w:val="000000"/>
                <w:sz w:val="24"/>
              </w:rPr>
            </w:pPr>
            <w:r>
              <w:rPr>
                <w:rFonts w:hint="eastAsia"/>
                <w:color w:val="000000"/>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noWrap w:val="0"/>
            <w:vAlign w:val="center"/>
          </w:tcPr>
          <w:p>
            <w:pPr>
              <w:rPr>
                <w:rFonts w:hint="eastAsia"/>
                <w:color w:val="000000"/>
                <w:sz w:val="24"/>
              </w:rPr>
            </w:pPr>
          </w:p>
        </w:tc>
        <w:tc>
          <w:tcPr>
            <w:tcW w:w="8456" w:type="dxa"/>
            <w:noWrap w:val="0"/>
            <w:vAlign w:val="center"/>
          </w:tcPr>
          <w:p>
            <w:pPr>
              <w:rPr>
                <w:rFonts w:hint="eastAsia"/>
                <w:color w:val="000000"/>
                <w:sz w:val="24"/>
              </w:rPr>
            </w:pPr>
            <w:r>
              <w:rPr>
                <w:rFonts w:hint="eastAsia"/>
                <w:color w:val="00000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rPr>
                <w:rFonts w:hint="eastAsia"/>
                <w:color w:val="000000"/>
                <w:sz w:val="24"/>
              </w:rPr>
            </w:pPr>
          </w:p>
        </w:tc>
        <w:tc>
          <w:tcPr>
            <w:tcW w:w="8456" w:type="dxa"/>
            <w:noWrap w:val="0"/>
            <w:vAlign w:val="top"/>
          </w:tcPr>
          <w:p>
            <w:pPr>
              <w:rPr>
                <w:rFonts w:hint="eastAsia"/>
                <w:color w:val="000000"/>
                <w:sz w:val="24"/>
              </w:rPr>
            </w:pPr>
            <w:r>
              <w:rPr>
                <w:rFonts w:hint="eastAsia"/>
                <w:color w:val="000000"/>
                <w:sz w:val="24"/>
              </w:rPr>
              <w:t xml:space="preserve">  </w:t>
            </w:r>
          </w:p>
          <w:p>
            <w:pPr>
              <w:spacing w:line="400" w:lineRule="exact"/>
              <w:ind w:firstLine="480" w:firstLineChars="200"/>
              <w:rPr>
                <w:rFonts w:hint="eastAsia"/>
                <w:color w:val="000000"/>
                <w:sz w:val="24"/>
              </w:rPr>
            </w:pPr>
            <w:r>
              <w:rPr>
                <w:rFonts w:hint="eastAsia"/>
                <w:color w:val="000000"/>
                <w:sz w:val="24"/>
              </w:rPr>
              <w:t>该项目已于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日验收并交付使用。根据合同规定，该项目的履约保证金期限于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日已满，请将履约保证金</w:t>
            </w:r>
          </w:p>
          <w:p>
            <w:pPr>
              <w:spacing w:line="400" w:lineRule="exact"/>
              <w:rPr>
                <w:rFonts w:hint="eastAsia"/>
                <w:color w:val="000000"/>
                <w:sz w:val="24"/>
              </w:rPr>
            </w:pPr>
            <w:r>
              <w:rPr>
                <w:rFonts w:hint="eastAsia"/>
                <w:color w:val="000000"/>
                <w:sz w:val="24"/>
                <w:u w:val="single"/>
              </w:rPr>
              <w:t xml:space="preserve">                                        </w:t>
            </w:r>
            <w:r>
              <w:rPr>
                <w:rFonts w:hint="eastAsia"/>
                <w:color w:val="000000"/>
                <w:sz w:val="24"/>
              </w:rPr>
              <w:t>（大写）￥</w:t>
            </w:r>
            <w:r>
              <w:rPr>
                <w:rFonts w:hint="eastAsia"/>
                <w:color w:val="000000"/>
                <w:sz w:val="24"/>
                <w:u w:val="single"/>
              </w:rPr>
              <w:t xml:space="preserve">          </w:t>
            </w:r>
            <w:r>
              <w:rPr>
                <w:rFonts w:hint="eastAsia"/>
                <w:color w:val="000000"/>
                <w:sz w:val="24"/>
              </w:rPr>
              <w:t>（小写）退付到达以下帐户。</w:t>
            </w:r>
          </w:p>
          <w:p>
            <w:pPr>
              <w:spacing w:line="400" w:lineRule="exact"/>
              <w:ind w:firstLine="705"/>
              <w:rPr>
                <w:rFonts w:hint="eastAsia"/>
                <w:color w:val="000000"/>
                <w:sz w:val="24"/>
              </w:rPr>
            </w:pPr>
            <w:r>
              <w:rPr>
                <w:rFonts w:hint="eastAsia"/>
                <w:color w:val="000000"/>
                <w:sz w:val="24"/>
              </w:rPr>
              <w:t>单位名称：</w:t>
            </w:r>
          </w:p>
          <w:p>
            <w:pPr>
              <w:spacing w:line="400" w:lineRule="exact"/>
              <w:ind w:firstLine="705"/>
              <w:rPr>
                <w:rFonts w:hint="eastAsia"/>
                <w:color w:val="000000"/>
                <w:sz w:val="24"/>
              </w:rPr>
            </w:pPr>
            <w:r>
              <w:rPr>
                <w:rFonts w:hint="eastAsia"/>
                <w:color w:val="000000"/>
                <w:sz w:val="24"/>
              </w:rPr>
              <w:t>开户银行：</w:t>
            </w:r>
          </w:p>
          <w:p>
            <w:pPr>
              <w:spacing w:line="400" w:lineRule="exact"/>
              <w:ind w:firstLine="705"/>
              <w:rPr>
                <w:rFonts w:hint="eastAsia"/>
                <w:color w:val="000000"/>
                <w:sz w:val="24"/>
              </w:rPr>
            </w:pPr>
            <w:r>
              <w:rPr>
                <w:rFonts w:hint="eastAsia"/>
                <w:color w:val="000000"/>
                <w:sz w:val="24"/>
              </w:rPr>
              <w:t>帐   号：</w:t>
            </w:r>
          </w:p>
          <w:p>
            <w:pPr>
              <w:spacing w:line="400" w:lineRule="exact"/>
              <w:rPr>
                <w:rFonts w:hint="eastAsia"/>
                <w:color w:val="000000"/>
                <w:sz w:val="24"/>
              </w:rPr>
            </w:pPr>
            <w:r>
              <w:rPr>
                <w:rFonts w:hint="eastAsia"/>
                <w:color w:val="000000"/>
                <w:sz w:val="24"/>
              </w:rPr>
              <w:t>联系人及电话：</w:t>
            </w:r>
          </w:p>
          <w:p>
            <w:pPr>
              <w:spacing w:line="400" w:lineRule="exact"/>
              <w:rPr>
                <w:rFonts w:hint="eastAsia"/>
                <w:color w:val="000000"/>
                <w:sz w:val="24"/>
              </w:rPr>
            </w:pPr>
          </w:p>
          <w:p>
            <w:pPr>
              <w:spacing w:line="520" w:lineRule="exact"/>
              <w:jc w:val="center"/>
              <w:rPr>
                <w:rFonts w:hint="eastAsia"/>
                <w:color w:val="000000"/>
                <w:sz w:val="24"/>
              </w:rPr>
            </w:pPr>
            <w:r>
              <w:rPr>
                <w:rFonts w:hint="eastAsia"/>
                <w:color w:val="000000"/>
                <w:sz w:val="24"/>
              </w:rPr>
              <w:t xml:space="preserve">         供应商签章：</w:t>
            </w:r>
          </w:p>
          <w:p>
            <w:pPr>
              <w:spacing w:line="520" w:lineRule="exact"/>
              <w:jc w:val="center"/>
              <w:rPr>
                <w:rFonts w:hint="eastAsia"/>
                <w:color w:val="000000"/>
                <w:sz w:val="24"/>
              </w:rPr>
            </w:pPr>
            <w:r>
              <w:rPr>
                <w:rFonts w:hint="eastAsia"/>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noWrap w:val="0"/>
            <w:vAlign w:val="center"/>
          </w:tcPr>
          <w:p>
            <w:pPr>
              <w:jc w:val="center"/>
              <w:rPr>
                <w:rFonts w:hint="eastAsia"/>
                <w:color w:val="000000"/>
                <w:sz w:val="24"/>
              </w:rPr>
            </w:pPr>
            <w:r>
              <w:rPr>
                <w:rFonts w:hint="eastAsia"/>
                <w:color w:val="000000"/>
                <w:sz w:val="24"/>
              </w:rPr>
              <w:t>采</w:t>
            </w:r>
          </w:p>
          <w:p>
            <w:pPr>
              <w:jc w:val="center"/>
              <w:rPr>
                <w:rFonts w:hint="eastAsia"/>
                <w:color w:val="000000"/>
                <w:sz w:val="24"/>
              </w:rPr>
            </w:pPr>
            <w:r>
              <w:rPr>
                <w:rFonts w:hint="eastAsia"/>
                <w:color w:val="000000"/>
                <w:sz w:val="24"/>
              </w:rPr>
              <w:t>购</w:t>
            </w:r>
          </w:p>
          <w:p>
            <w:pPr>
              <w:jc w:val="center"/>
              <w:rPr>
                <w:rFonts w:hint="eastAsia"/>
                <w:color w:val="000000"/>
                <w:sz w:val="24"/>
              </w:rPr>
            </w:pPr>
            <w:r>
              <w:rPr>
                <w:rFonts w:hint="eastAsia"/>
                <w:color w:val="000000"/>
                <w:sz w:val="24"/>
              </w:rPr>
              <w:t>人</w:t>
            </w:r>
          </w:p>
          <w:p>
            <w:pPr>
              <w:jc w:val="center"/>
              <w:rPr>
                <w:rFonts w:hint="eastAsia"/>
                <w:color w:val="000000"/>
                <w:sz w:val="24"/>
              </w:rPr>
            </w:pPr>
            <w:r>
              <w:rPr>
                <w:rFonts w:hint="eastAsia"/>
                <w:color w:val="000000"/>
                <w:sz w:val="24"/>
              </w:rPr>
              <w:t>意</w:t>
            </w:r>
          </w:p>
          <w:p>
            <w:pPr>
              <w:jc w:val="center"/>
              <w:rPr>
                <w:rFonts w:hint="eastAsia"/>
                <w:color w:val="000000"/>
                <w:sz w:val="24"/>
              </w:rPr>
            </w:pPr>
            <w:r>
              <w:rPr>
                <w:rFonts w:hint="eastAsia"/>
                <w:color w:val="000000"/>
                <w:sz w:val="24"/>
              </w:rPr>
              <w:t>见</w:t>
            </w:r>
          </w:p>
        </w:tc>
        <w:tc>
          <w:tcPr>
            <w:tcW w:w="8456" w:type="dxa"/>
            <w:noWrap w:val="0"/>
            <w:vAlign w:val="top"/>
          </w:tcPr>
          <w:p>
            <w:pPr>
              <w:rPr>
                <w:rFonts w:hint="eastAsia"/>
                <w:color w:val="000000"/>
                <w:sz w:val="24"/>
              </w:rPr>
            </w:pPr>
          </w:p>
          <w:p>
            <w:pPr>
              <w:rPr>
                <w:rFonts w:hint="eastAsia"/>
                <w:color w:val="000000"/>
                <w:sz w:val="24"/>
              </w:rPr>
            </w:pPr>
            <w:r>
              <w:rPr>
                <w:rFonts w:hint="eastAsia"/>
                <w:color w:val="000000"/>
                <w:sz w:val="24"/>
              </w:rPr>
              <w:t>退付意见：（是否同意退付履约保证金及退付金额）</w:t>
            </w: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spacing w:line="520" w:lineRule="exact"/>
              <w:rPr>
                <w:rFonts w:hint="eastAsia"/>
                <w:color w:val="000000"/>
                <w:sz w:val="24"/>
              </w:rPr>
            </w:pPr>
            <w:r>
              <w:rPr>
                <w:rFonts w:hint="eastAsia"/>
                <w:color w:val="000000"/>
                <w:sz w:val="24"/>
              </w:rPr>
              <w:t>联系人及电话：                         采购人签章</w:t>
            </w:r>
          </w:p>
          <w:p>
            <w:pPr>
              <w:spacing w:line="520" w:lineRule="exact"/>
              <w:jc w:val="center"/>
              <w:rPr>
                <w:rFonts w:hint="eastAsia"/>
                <w:color w:val="000000"/>
                <w:sz w:val="24"/>
              </w:rPr>
            </w:pPr>
            <w:r>
              <w:rPr>
                <w:rFonts w:hint="eastAsia"/>
                <w:color w:val="000000"/>
                <w:sz w:val="24"/>
              </w:rPr>
              <w:t xml:space="preserve">                                        年    月     日</w:t>
            </w:r>
          </w:p>
          <w:p>
            <w:pPr>
              <w:spacing w:line="520" w:lineRule="exact"/>
              <w:jc w:val="center"/>
              <w:rPr>
                <w:rFonts w:hint="eastAsia"/>
                <w:color w:val="000000"/>
                <w:sz w:val="24"/>
              </w:rPr>
            </w:pPr>
          </w:p>
        </w:tc>
      </w:tr>
    </w:tbl>
    <w:p>
      <w:pPr>
        <w:pStyle w:val="17"/>
        <w:ind w:left="420" w:leftChars="114" w:hanging="181" w:hangingChars="100"/>
        <w:rPr>
          <w:rFonts w:hint="eastAsia" w:ascii="宋体"/>
          <w:b/>
          <w:bCs/>
          <w:color w:val="000000"/>
          <w:sz w:val="18"/>
        </w:rPr>
      </w:pPr>
      <w:r>
        <w:rPr>
          <w:rFonts w:hint="eastAsia" w:ascii="宋体"/>
          <w:b/>
          <w:bCs/>
          <w:color w:val="000000"/>
          <w:sz w:val="18"/>
        </w:rPr>
        <w:t>注：供应商凭经采购人审批的退付意见书到保证金收取单位办理履约保证金退付事宜。</w:t>
      </w:r>
    </w:p>
    <w:p>
      <w:pPr>
        <w:pStyle w:val="20"/>
        <w:snapToGrid w:val="0"/>
        <w:spacing w:before="120" w:after="120"/>
        <w:rPr>
          <w:rFonts w:hint="eastAsia" w:hAnsi="宋体"/>
          <w:color w:val="000000"/>
        </w:rPr>
      </w:pPr>
    </w:p>
    <w:p>
      <w:pPr>
        <w:pStyle w:val="20"/>
        <w:spacing w:line="460" w:lineRule="exact"/>
        <w:ind w:firstLine="480" w:firstLineChars="200"/>
        <w:rPr>
          <w:rFonts w:hAnsi="宋体"/>
          <w:sz w:val="24"/>
          <w:szCs w:val="24"/>
        </w:rPr>
      </w:pPr>
      <w:r>
        <w:rPr>
          <w:rFonts w:hAnsi="宋体"/>
          <w:sz w:val="24"/>
          <w:szCs w:val="24"/>
        </w:rPr>
        <w:br w:type="page"/>
      </w:r>
    </w:p>
    <w:p>
      <w:pPr>
        <w:pStyle w:val="20"/>
        <w:spacing w:line="380" w:lineRule="exact"/>
        <w:rPr>
          <w:rFonts w:hAnsi="宋体"/>
          <w:sz w:val="24"/>
          <w:szCs w:val="24"/>
        </w:rPr>
      </w:pPr>
    </w:p>
    <w:p>
      <w:pPr>
        <w:pStyle w:val="20"/>
        <w:spacing w:line="380" w:lineRule="exact"/>
        <w:jc w:val="center"/>
        <w:rPr>
          <w:rFonts w:hAnsi="宋体"/>
          <w:b/>
          <w:sz w:val="32"/>
          <w:szCs w:val="32"/>
        </w:rPr>
      </w:pPr>
      <w:r>
        <w:rPr>
          <w:rFonts w:hint="eastAsia" w:hAnsi="宋体"/>
          <w:b/>
          <w:sz w:val="32"/>
          <w:szCs w:val="32"/>
        </w:rPr>
        <w:t>第二章  评标方法</w:t>
      </w:r>
    </w:p>
    <w:p>
      <w:pPr>
        <w:spacing w:line="360" w:lineRule="auto"/>
        <w:ind w:firstLine="480" w:firstLineChars="200"/>
        <w:outlineLvl w:val="0"/>
        <w:rPr>
          <w:rFonts w:ascii="宋体" w:hAnsi="宋体"/>
          <w:sz w:val="24"/>
        </w:rPr>
      </w:pPr>
      <w:r>
        <w:rPr>
          <w:rFonts w:hint="eastAsia" w:ascii="宋体" w:hAnsi="宋体"/>
          <w:sz w:val="24"/>
        </w:rPr>
        <w:t>一、评标原则：</w:t>
      </w:r>
    </w:p>
    <w:p>
      <w:pPr>
        <w:spacing w:line="360" w:lineRule="auto"/>
        <w:ind w:firstLine="480" w:firstLineChars="200"/>
        <w:rPr>
          <w:rFonts w:ascii="宋体" w:hAnsi="宋体"/>
          <w:sz w:val="24"/>
        </w:rPr>
      </w:pPr>
      <w:r>
        <w:rPr>
          <w:rFonts w:hint="eastAsia" w:ascii="宋体" w:hAnsi="宋体"/>
          <w:sz w:val="24"/>
        </w:rPr>
        <w:t>（一）谈判小组的构成：本采购项目的谈判小组分别由依法组成的评审专家、采购人代表等三人组成，其中专家人数不少于成员总数的三分之二。</w:t>
      </w:r>
    </w:p>
    <w:p>
      <w:pPr>
        <w:spacing w:line="360" w:lineRule="auto"/>
        <w:ind w:firstLine="480" w:firstLineChars="200"/>
        <w:rPr>
          <w:rFonts w:ascii="宋体" w:hAnsi="宋体"/>
          <w:sz w:val="24"/>
        </w:rPr>
      </w:pPr>
      <w:r>
        <w:rPr>
          <w:rFonts w:hint="eastAsia" w:ascii="宋体" w:hAnsi="宋体"/>
          <w:sz w:val="24"/>
        </w:rPr>
        <w:t>（二）评标依据：以谈判采购文件、竞标文件为评定依据。</w:t>
      </w:r>
    </w:p>
    <w:p>
      <w:pPr>
        <w:spacing w:line="360" w:lineRule="auto"/>
        <w:ind w:firstLine="480" w:firstLineChars="200"/>
        <w:rPr>
          <w:rFonts w:ascii="宋体" w:hAnsi="宋体"/>
          <w:sz w:val="24"/>
        </w:rPr>
      </w:pPr>
      <w:r>
        <w:rPr>
          <w:rFonts w:hint="eastAsia" w:ascii="宋体" w:hAnsi="宋体"/>
          <w:sz w:val="24"/>
        </w:rPr>
        <w:t>（三）评标方法：根据质量和服务均能满足谈判采购文件实质性响应要求且最后评标报价最低的原则确定成交供应商。</w:t>
      </w:r>
    </w:p>
    <w:p>
      <w:pPr>
        <w:spacing w:line="360" w:lineRule="auto"/>
        <w:ind w:firstLine="360" w:firstLineChars="150"/>
        <w:rPr>
          <w:rFonts w:ascii="宋体" w:hAnsi="宋体"/>
          <w:sz w:val="24"/>
        </w:rPr>
      </w:pPr>
      <w:r>
        <w:rPr>
          <w:rFonts w:hint="eastAsia" w:ascii="宋体" w:hAnsi="宋体"/>
          <w:sz w:val="24"/>
        </w:rPr>
        <w:t xml:space="preserve"> （四）按照《政府采购促进中小企业发展暂行办法》（财库[2011]181号），谈判供应商认定为小型和微型企业的（以响应文件提供的小微企业声明函为准），对竞标价给予</w:t>
      </w:r>
      <w:r>
        <w:rPr>
          <w:rFonts w:hint="eastAsia" w:ascii="宋体" w:hAnsi="宋体"/>
          <w:sz w:val="24"/>
          <w:lang w:val="en-US" w:eastAsia="zh-CN"/>
        </w:rPr>
        <w:t>6</w:t>
      </w:r>
      <w:r>
        <w:rPr>
          <w:rFonts w:hint="eastAsia" w:ascii="宋体" w:hAnsi="宋体"/>
          <w:sz w:val="24"/>
        </w:rPr>
        <w:t>%的扣除，扣除后的价格为评标报价，即评标报价=最终竞标报价×（1-</w:t>
      </w:r>
      <w:r>
        <w:rPr>
          <w:rFonts w:hint="eastAsia" w:ascii="宋体" w:hAnsi="宋体"/>
          <w:sz w:val="24"/>
          <w:lang w:val="en-US" w:eastAsia="zh-CN"/>
        </w:rPr>
        <w:t>6</w:t>
      </w:r>
      <w:r>
        <w:rPr>
          <w:rFonts w:hint="eastAsia" w:ascii="宋体" w:hAnsi="宋体"/>
          <w:sz w:val="24"/>
        </w:rPr>
        <w:t>%）；大中型企业与小型、微型企业组成联合体竞标，其中小型、微型企业的协议合同金额占到联合体协议合同总金额30%以上的，联合体竞标价给予</w:t>
      </w:r>
      <w:r>
        <w:rPr>
          <w:rFonts w:hint="eastAsia" w:ascii="宋体" w:hAnsi="宋体"/>
          <w:sz w:val="24"/>
          <w:lang w:val="en-US" w:eastAsia="zh-CN"/>
        </w:rPr>
        <w:t>2</w:t>
      </w:r>
      <w:r>
        <w:rPr>
          <w:rFonts w:hint="eastAsia" w:ascii="宋体" w:hAnsi="宋体"/>
          <w:sz w:val="24"/>
        </w:rPr>
        <w:t>%的扣除，扣除后的价格为评标价，即评标报价=最终竞标报价×（1-</w:t>
      </w:r>
      <w:r>
        <w:rPr>
          <w:rFonts w:hint="eastAsia" w:ascii="宋体" w:hAnsi="宋体"/>
          <w:sz w:val="24"/>
          <w:lang w:val="en-US" w:eastAsia="zh-CN"/>
        </w:rPr>
        <w:t>2</w:t>
      </w:r>
      <w:r>
        <w:rPr>
          <w:rFonts w:hint="eastAsia" w:ascii="宋体" w:hAnsi="宋体"/>
          <w:sz w:val="24"/>
        </w:rPr>
        <w:t>%）；除上述情况外，评标报价=最终竞标报价。</w:t>
      </w:r>
    </w:p>
    <w:p>
      <w:pPr>
        <w:spacing w:line="360" w:lineRule="auto"/>
        <w:ind w:firstLine="480" w:firstLineChars="200"/>
        <w:rPr>
          <w:rFonts w:ascii="宋体" w:hAnsi="宋体"/>
          <w:sz w:val="24"/>
        </w:rPr>
      </w:pPr>
      <w:r>
        <w:rPr>
          <w:rFonts w:hint="eastAsia" w:ascii="宋体" w:hAnsi="宋体"/>
          <w:sz w:val="24"/>
        </w:rPr>
        <w:t>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sz w:val="24"/>
        </w:rPr>
      </w:pPr>
      <w:r>
        <w:rPr>
          <w:rFonts w:hint="eastAsia" w:ascii="宋体" w:hAnsi="宋体"/>
          <w:sz w:val="24"/>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tabs>
          <w:tab w:val="left" w:pos="567"/>
        </w:tabs>
        <w:spacing w:line="360" w:lineRule="auto"/>
        <w:ind w:firstLine="360" w:firstLineChars="150"/>
        <w:outlineLvl w:val="0"/>
        <w:rPr>
          <w:rFonts w:ascii="宋体" w:hAnsi="宋体"/>
          <w:sz w:val="24"/>
        </w:rPr>
      </w:pPr>
      <w:r>
        <w:rPr>
          <w:rFonts w:hint="eastAsia" w:ascii="宋体" w:hAnsi="宋体"/>
          <w:sz w:val="24"/>
        </w:rPr>
        <w:t>二、成交候选供应商推荐原则</w:t>
      </w:r>
    </w:p>
    <w:p>
      <w:pPr>
        <w:spacing w:line="360" w:lineRule="auto"/>
        <w:ind w:firstLine="600" w:firstLineChars="250"/>
        <w:rPr>
          <w:rFonts w:ascii="宋体" w:hAnsi="宋体"/>
          <w:sz w:val="24"/>
        </w:rPr>
      </w:pPr>
      <w:r>
        <w:rPr>
          <w:rFonts w:hint="eastAsia" w:ascii="宋体" w:hAnsi="宋体"/>
          <w:sz w:val="24"/>
        </w:rPr>
        <w:t xml:space="preserve">(一) 谈判小组应当从质量和服务均能满足采购文件实质性响应要求的供应商中，按照最后评标报价由低到高的顺序提出成交候选人(评标（最终）报价相同时，按技术指标，强制、节能产品、售后服务优劣顺序排列)。采购单位应当确定谈判小组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其余以此类推。    </w:t>
      </w:r>
    </w:p>
    <w:p>
      <w:pPr>
        <w:spacing w:line="360" w:lineRule="auto"/>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rPr>
          <w:rFonts w:ascii="宋体" w:hAnsi="宋体"/>
          <w:b/>
          <w:sz w:val="32"/>
          <w:szCs w:val="32"/>
        </w:rPr>
      </w:pPr>
      <w:r>
        <w:rPr>
          <w:rFonts w:ascii="宋体" w:hAnsi="宋体"/>
          <w:b/>
          <w:sz w:val="32"/>
          <w:szCs w:val="32"/>
        </w:rPr>
        <w:br w:type="page"/>
      </w:r>
    </w:p>
    <w:p>
      <w:pPr>
        <w:spacing w:line="440" w:lineRule="exact"/>
        <w:jc w:val="center"/>
        <w:rPr>
          <w:rFonts w:ascii="宋体" w:hAnsi="宋体"/>
          <w:b/>
          <w:sz w:val="32"/>
          <w:szCs w:val="32"/>
        </w:rPr>
      </w:pPr>
    </w:p>
    <w:p>
      <w:pPr>
        <w:spacing w:line="440" w:lineRule="exact"/>
        <w:jc w:val="center"/>
        <w:outlineLvl w:val="0"/>
        <w:rPr>
          <w:rFonts w:hint="eastAsia" w:ascii="宋体" w:hAnsi="宋体" w:eastAsia="宋体"/>
          <w:b/>
          <w:sz w:val="32"/>
          <w:szCs w:val="32"/>
          <w:lang w:eastAsia="zh-CN"/>
        </w:rPr>
      </w:pPr>
      <w:r>
        <w:rPr>
          <w:rFonts w:hint="eastAsia" w:ascii="宋体" w:hAnsi="宋体"/>
          <w:b/>
          <w:sz w:val="32"/>
          <w:szCs w:val="32"/>
        </w:rPr>
        <w:t xml:space="preserve">第三章  </w:t>
      </w:r>
      <w:r>
        <w:rPr>
          <w:rFonts w:hint="eastAsia" w:ascii="宋体" w:hAnsi="宋体"/>
          <w:b/>
          <w:sz w:val="32"/>
          <w:szCs w:val="32"/>
          <w:lang w:eastAsia="zh-CN"/>
        </w:rPr>
        <w:t>货物需求一览表</w:t>
      </w:r>
    </w:p>
    <w:p>
      <w:pPr>
        <w:spacing w:line="360" w:lineRule="auto"/>
        <w:rPr>
          <w:rFonts w:ascii="宋体" w:hAnsi="宋体"/>
          <w:szCs w:val="21"/>
        </w:rPr>
      </w:pPr>
      <w:bookmarkStart w:id="4" w:name="_Toc254970631"/>
      <w:bookmarkStart w:id="5" w:name="_Toc254970490"/>
      <w:r>
        <w:rPr>
          <w:rFonts w:hint="eastAsia" w:ascii="宋体" w:hAnsi="宋体"/>
          <w:szCs w:val="21"/>
        </w:rPr>
        <w:t>说明：</w:t>
      </w:r>
    </w:p>
    <w:p>
      <w:pPr>
        <w:spacing w:line="360" w:lineRule="auto"/>
        <w:ind w:firstLine="420" w:firstLineChars="200"/>
        <w:rPr>
          <w:rFonts w:ascii="宋体" w:hAnsi="宋体"/>
          <w:szCs w:val="21"/>
        </w:rPr>
      </w:pPr>
      <w:r>
        <w:rPr>
          <w:rFonts w:hint="eastAsia" w:ascii="宋体" w:hAnsi="宋体"/>
          <w:szCs w:val="21"/>
        </w:rPr>
        <w:t>1、本项目需求表中技术参数及要求不明确或有误的，请以详细正确的技术参数进行响应并承诺，同时填写“技术响应、偏离情况说明表”。</w:t>
      </w:r>
    </w:p>
    <w:p>
      <w:pPr>
        <w:spacing w:line="360" w:lineRule="auto"/>
        <w:ind w:firstLine="420" w:firstLineChars="200"/>
        <w:rPr>
          <w:rFonts w:ascii="宋体" w:hAnsi="宋体"/>
          <w:szCs w:val="21"/>
        </w:rPr>
      </w:pPr>
      <w:r>
        <w:rPr>
          <w:rFonts w:hint="eastAsia" w:ascii="宋体" w:hAnsi="宋体"/>
          <w:szCs w:val="21"/>
        </w:rPr>
        <w:t>2、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b/>
          <w:szCs w:val="21"/>
          <w:u w:val="single"/>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竞标货物必须使用政府强制采购的节能产品，供应商必须在响应文件中提供由国家确定的认证机构出具的处于有效期之内的节能产品认证证书（加盖供应商公章），否则竞标无效。</w:t>
      </w:r>
    </w:p>
    <w:p>
      <w:pPr>
        <w:spacing w:line="360" w:lineRule="auto"/>
        <w:ind w:firstLine="422" w:firstLineChars="200"/>
        <w:rPr>
          <w:rFonts w:ascii="宋体" w:hAnsi="宋体"/>
          <w:b/>
          <w:szCs w:val="21"/>
        </w:rPr>
      </w:pPr>
      <w:r>
        <w:rPr>
          <w:rFonts w:hint="eastAsia" w:ascii="宋体" w:hAnsi="宋体"/>
          <w:b/>
          <w:szCs w:val="21"/>
        </w:rPr>
        <w:t>4、本项目货物需求一览表中所列的品牌、型号仅起参考作用，供应商可选用其他品牌、型号替代，但替代的品牌、型号在实质性要求和条件上要相当于或优于参考品牌、型号。</w:t>
      </w:r>
    </w:p>
    <w:p>
      <w:pPr>
        <w:spacing w:line="360" w:lineRule="auto"/>
        <w:ind w:firstLine="426" w:firstLineChars="202"/>
        <w:jc w:val="left"/>
        <w:rPr>
          <w:rFonts w:ascii="宋体" w:hAnsi="宋体"/>
          <w:b/>
          <w:szCs w:val="21"/>
        </w:rPr>
      </w:pPr>
      <w:r>
        <w:rPr>
          <w:rFonts w:hint="eastAsia" w:ascii="宋体" w:hAnsi="宋体"/>
          <w:b/>
          <w:szCs w:val="21"/>
        </w:rPr>
        <w:t>5、竞争性谈判文件中所要求提供的证明材料，如为英文文本的请同时提供中文译本。</w:t>
      </w:r>
    </w:p>
    <w:p>
      <w:pPr>
        <w:spacing w:line="360" w:lineRule="auto"/>
        <w:ind w:firstLine="422" w:firstLineChars="200"/>
        <w:rPr>
          <w:rFonts w:ascii="宋体" w:hAnsi="宋体"/>
          <w:b/>
          <w:color w:val="FF0000"/>
        </w:rPr>
      </w:pPr>
      <w:r>
        <w:rPr>
          <w:rFonts w:hint="eastAsia" w:ascii="宋体" w:hAnsi="宋体"/>
          <w:b/>
          <w:color w:val="FF0000"/>
        </w:rPr>
        <w:t>6、竞争性谈判文件中标注“▲”号的条款为实质性条款或关键性指标要求，必须满足或优于，否则竞标无效；非“▲”号的要求或技术指标发生负偏离或不响应达5项（含5）以上的竞标无效。</w:t>
      </w:r>
    </w:p>
    <w:tbl>
      <w:tblPr>
        <w:tblStyle w:val="36"/>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9"/>
        <w:gridCol w:w="1069"/>
        <w:gridCol w:w="83"/>
        <w:gridCol w:w="713"/>
        <w:gridCol w:w="7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443" w:type="dxa"/>
            <w:gridSpan w:val="5"/>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exact"/>
              <w:rPr>
                <w:rFonts w:hAnsi="宋体"/>
                <w:b/>
                <w:szCs w:val="21"/>
              </w:rPr>
            </w:pPr>
            <w:r>
              <w:rPr>
                <w:rFonts w:hint="eastAsia" w:hAnsi="宋体"/>
                <w:b/>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99" w:type="dxa"/>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exact"/>
              <w:jc w:val="center"/>
              <w:rPr>
                <w:rFonts w:hAnsi="宋体"/>
                <w:szCs w:val="21"/>
              </w:rPr>
            </w:pPr>
            <w:r>
              <w:rPr>
                <w:rFonts w:hint="eastAsia" w:hAnsi="宋体"/>
                <w:szCs w:val="21"/>
              </w:rPr>
              <w:t>序号</w:t>
            </w:r>
          </w:p>
        </w:tc>
        <w:tc>
          <w:tcPr>
            <w:tcW w:w="1069" w:type="dxa"/>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exact"/>
              <w:jc w:val="center"/>
              <w:rPr>
                <w:rFonts w:hAnsi="宋体"/>
                <w:szCs w:val="21"/>
              </w:rPr>
            </w:pPr>
            <w:r>
              <w:rPr>
                <w:rFonts w:hint="eastAsia" w:hAnsi="宋体"/>
                <w:szCs w:val="21"/>
              </w:rPr>
              <w:t>采购内容</w:t>
            </w:r>
          </w:p>
        </w:tc>
        <w:tc>
          <w:tcPr>
            <w:tcW w:w="796" w:type="dxa"/>
            <w:gridSpan w:val="2"/>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exact"/>
              <w:jc w:val="center"/>
              <w:rPr>
                <w:rFonts w:hAnsi="宋体"/>
                <w:szCs w:val="21"/>
              </w:rPr>
            </w:pPr>
            <w:r>
              <w:rPr>
                <w:rFonts w:hint="eastAsia" w:hAnsi="宋体"/>
                <w:szCs w:val="21"/>
              </w:rPr>
              <w:t>数量</w:t>
            </w:r>
          </w:p>
        </w:tc>
        <w:tc>
          <w:tcPr>
            <w:tcW w:w="7779" w:type="dxa"/>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exact"/>
              <w:jc w:val="center"/>
              <w:rPr>
                <w:rFonts w:hAnsi="宋体"/>
                <w:szCs w:val="21"/>
              </w:rPr>
            </w:pPr>
            <w:r>
              <w:rPr>
                <w:rFonts w:hint="eastAsia" w:hAnsi="宋体"/>
                <w:szCs w:val="21"/>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Cs w:val="21"/>
              </w:rPr>
            </w:pPr>
            <w:r>
              <w:rPr>
                <w:rFonts w:ascii="宋体" w:hAnsi="宋体"/>
                <w:color w:val="000000"/>
                <w:kern w:val="0"/>
                <w:szCs w:val="21"/>
              </w:rPr>
              <w:t>1</w:t>
            </w: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 xml:space="preserve">口腔颌面锥型束计算机体层摄影设备 （口腔锥形束CT） </w:t>
            </w:r>
          </w:p>
          <w:p>
            <w:pPr>
              <w:jc w:val="center"/>
              <w:rPr>
                <w:rFonts w:ascii="宋体" w:hAnsi="宋体" w:cs="宋体"/>
                <w:szCs w:val="21"/>
              </w:rPr>
            </w:pPr>
          </w:p>
        </w:tc>
        <w:tc>
          <w:tcPr>
            <w:tcW w:w="7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1套</w:t>
            </w:r>
          </w:p>
        </w:tc>
        <w:tc>
          <w:tcPr>
            <w:tcW w:w="7779" w:type="dxa"/>
            <w:tcBorders>
              <w:top w:val="single" w:color="auto" w:sz="4" w:space="0"/>
              <w:left w:val="single" w:color="auto" w:sz="4" w:space="0"/>
              <w:bottom w:val="single" w:color="auto" w:sz="4" w:space="0"/>
              <w:right w:val="single" w:color="auto" w:sz="4" w:space="0"/>
            </w:tcBorders>
            <w:vAlign w:val="center"/>
          </w:tcPr>
          <w:tbl>
            <w:tblPr>
              <w:tblStyle w:val="36"/>
              <w:tblW w:w="7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766"/>
              <w:gridCol w:w="3207"/>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9" w:type="dxa"/>
                </w:tcPr>
                <w:p>
                  <w:pPr>
                    <w:rPr>
                      <w:szCs w:val="21"/>
                    </w:rPr>
                  </w:pPr>
                  <w:r>
                    <w:rPr>
                      <w:rFonts w:hint="eastAsia"/>
                      <w:szCs w:val="21"/>
                    </w:rPr>
                    <w:t>编号</w:t>
                  </w:r>
                </w:p>
              </w:tc>
              <w:tc>
                <w:tcPr>
                  <w:tcW w:w="1766" w:type="dxa"/>
                </w:tcPr>
                <w:p>
                  <w:pPr>
                    <w:rPr>
                      <w:szCs w:val="21"/>
                    </w:rPr>
                  </w:pPr>
                  <w:r>
                    <w:rPr>
                      <w:rFonts w:hint="eastAsia"/>
                      <w:szCs w:val="21"/>
                    </w:rPr>
                    <w:t>技术参数名称</w:t>
                  </w:r>
                </w:p>
              </w:tc>
              <w:tc>
                <w:tcPr>
                  <w:tcW w:w="3207" w:type="dxa"/>
                </w:tcPr>
                <w:p>
                  <w:pPr>
                    <w:rPr>
                      <w:szCs w:val="21"/>
                    </w:rPr>
                  </w:pPr>
                  <w:r>
                    <w:rPr>
                      <w:rFonts w:hint="eastAsia"/>
                      <w:szCs w:val="21"/>
                    </w:rPr>
                    <w:t>参数要求</w:t>
                  </w:r>
                </w:p>
              </w:tc>
              <w:tc>
                <w:tcPr>
                  <w:tcW w:w="1881" w:type="dxa"/>
                </w:tcPr>
                <w:p>
                  <w:pP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9" w:type="dxa"/>
                </w:tcPr>
                <w:p>
                  <w:pPr>
                    <w:rPr>
                      <w:szCs w:val="21"/>
                    </w:rPr>
                  </w:pPr>
                  <w:r>
                    <w:rPr>
                      <w:rFonts w:hint="eastAsia"/>
                      <w:szCs w:val="21"/>
                    </w:rPr>
                    <w:t>一、</w:t>
                  </w:r>
                </w:p>
              </w:tc>
              <w:tc>
                <w:tcPr>
                  <w:tcW w:w="1766" w:type="dxa"/>
                </w:tcPr>
                <w:p>
                  <w:pPr>
                    <w:rPr>
                      <w:szCs w:val="21"/>
                    </w:rPr>
                  </w:pPr>
                  <w:r>
                    <w:rPr>
                      <w:rFonts w:hint="eastAsia"/>
                      <w:szCs w:val="21"/>
                    </w:rPr>
                    <w:t>功能描述</w:t>
                  </w:r>
                </w:p>
              </w:tc>
              <w:tc>
                <w:tcPr>
                  <w:tcW w:w="3207" w:type="dxa"/>
                </w:tcPr>
                <w:p>
                  <w:pPr>
                    <w:rPr>
                      <w:szCs w:val="21"/>
                    </w:rPr>
                  </w:pP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39" w:type="dxa"/>
                </w:tcPr>
                <w:p>
                  <w:pPr>
                    <w:numPr>
                      <w:ilvl w:val="0"/>
                      <w:numId w:val="1"/>
                    </w:numPr>
                    <w:jc w:val="center"/>
                    <w:rPr>
                      <w:szCs w:val="21"/>
                    </w:rPr>
                  </w:pPr>
                </w:p>
              </w:tc>
              <w:tc>
                <w:tcPr>
                  <w:tcW w:w="1766" w:type="dxa"/>
                </w:tcPr>
                <w:p>
                  <w:pPr>
                    <w:rPr>
                      <w:szCs w:val="21"/>
                    </w:rPr>
                  </w:pPr>
                  <w:r>
                    <w:rPr>
                      <w:rFonts w:hint="eastAsia"/>
                      <w:szCs w:val="21"/>
                    </w:rPr>
                    <w:t>设备需求</w:t>
                  </w:r>
                </w:p>
              </w:tc>
              <w:tc>
                <w:tcPr>
                  <w:tcW w:w="3207" w:type="dxa"/>
                </w:tcPr>
                <w:p>
                  <w:pPr>
                    <w:rPr>
                      <w:szCs w:val="21"/>
                    </w:rPr>
                  </w:pPr>
                  <w:r>
                    <w:rPr>
                      <w:rFonts w:hint="eastAsia"/>
                      <w:szCs w:val="21"/>
                    </w:rPr>
                    <w:t>要求三合一机型，可采取立式和坐式拍摄两种模式。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1"/>
                    </w:numPr>
                    <w:jc w:val="center"/>
                    <w:rPr>
                      <w:szCs w:val="21"/>
                    </w:rPr>
                  </w:pPr>
                </w:p>
              </w:tc>
              <w:tc>
                <w:tcPr>
                  <w:tcW w:w="1766" w:type="dxa"/>
                </w:tcPr>
                <w:p>
                  <w:pPr>
                    <w:rPr>
                      <w:szCs w:val="21"/>
                    </w:rPr>
                  </w:pPr>
                  <w:r>
                    <w:rPr>
                      <w:rFonts w:hint="eastAsia"/>
                      <w:szCs w:val="21"/>
                    </w:rPr>
                    <w:t>拍摄CBCT影像</w:t>
                  </w:r>
                </w:p>
              </w:tc>
              <w:tc>
                <w:tcPr>
                  <w:tcW w:w="3207" w:type="dxa"/>
                </w:tcPr>
                <w:p>
                  <w:pPr>
                    <w:rPr>
                      <w:szCs w:val="21"/>
                    </w:rPr>
                  </w:pPr>
                  <w:r>
                    <w:rPr>
                      <w:rFonts w:hint="eastAsia"/>
                      <w:szCs w:val="21"/>
                    </w:rPr>
                    <w:t>拍摄患者口腔三维数字化影像，能够清晰显示患者口腔组织位置关系。</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1"/>
                    </w:numPr>
                    <w:jc w:val="center"/>
                    <w:rPr>
                      <w:szCs w:val="21"/>
                    </w:rPr>
                  </w:pPr>
                </w:p>
              </w:tc>
              <w:tc>
                <w:tcPr>
                  <w:tcW w:w="1766" w:type="dxa"/>
                </w:tcPr>
                <w:p>
                  <w:pPr>
                    <w:rPr>
                      <w:szCs w:val="21"/>
                    </w:rPr>
                  </w:pPr>
                  <w:r>
                    <w:rPr>
                      <w:rFonts w:hint="eastAsia"/>
                      <w:szCs w:val="21"/>
                    </w:rPr>
                    <w:t>拍摄全景（曲面断层）影像</w:t>
                  </w:r>
                </w:p>
              </w:tc>
              <w:tc>
                <w:tcPr>
                  <w:tcW w:w="3207" w:type="dxa"/>
                </w:tcPr>
                <w:p>
                  <w:pPr>
                    <w:rPr>
                      <w:szCs w:val="21"/>
                    </w:rPr>
                  </w:pPr>
                  <w:r>
                    <w:rPr>
                      <w:rFonts w:hint="eastAsia"/>
                      <w:szCs w:val="21"/>
                    </w:rPr>
                    <w:t>拍摄患者牙列的数字化曲面断层影像。</w:t>
                  </w:r>
                </w:p>
              </w:tc>
              <w:tc>
                <w:tcPr>
                  <w:tcW w:w="1881" w:type="dxa"/>
                </w:tcPr>
                <w:p>
                  <w:pPr>
                    <w:rPr>
                      <w:szCs w:val="21"/>
                    </w:rPr>
                  </w:pPr>
                  <w:r>
                    <w:rPr>
                      <w:rFonts w:hint="eastAsia"/>
                      <w:szCs w:val="21"/>
                    </w:rPr>
                    <w:t>要求能独立拍摄，</w:t>
                  </w:r>
                </w:p>
                <w:p>
                  <w:pPr>
                    <w:rPr>
                      <w:szCs w:val="21"/>
                    </w:rPr>
                  </w:pPr>
                  <w:r>
                    <w:rPr>
                      <w:rFonts w:hint="eastAsia"/>
                      <w:szCs w:val="21"/>
                    </w:rPr>
                    <w:t>非CBCT数据合成。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1"/>
                    </w:numPr>
                    <w:jc w:val="center"/>
                    <w:rPr>
                      <w:szCs w:val="21"/>
                    </w:rPr>
                  </w:pPr>
                </w:p>
              </w:tc>
              <w:tc>
                <w:tcPr>
                  <w:tcW w:w="1766" w:type="dxa"/>
                </w:tcPr>
                <w:p>
                  <w:pPr>
                    <w:rPr>
                      <w:szCs w:val="21"/>
                    </w:rPr>
                  </w:pPr>
                  <w:r>
                    <w:rPr>
                      <w:rFonts w:hint="eastAsia"/>
                      <w:szCs w:val="21"/>
                    </w:rPr>
                    <w:t>拍摄正/侧位影像</w:t>
                  </w:r>
                </w:p>
              </w:tc>
              <w:tc>
                <w:tcPr>
                  <w:tcW w:w="3207" w:type="dxa"/>
                </w:tcPr>
                <w:p>
                  <w:pPr>
                    <w:rPr>
                      <w:szCs w:val="21"/>
                    </w:rPr>
                  </w:pPr>
                  <w:r>
                    <w:rPr>
                      <w:rFonts w:hint="eastAsia"/>
                      <w:szCs w:val="21"/>
                    </w:rPr>
                    <w:t>配置侧位摄影装置，用以拍摄标准的数字化头影测量影像。</w:t>
                  </w:r>
                </w:p>
              </w:tc>
              <w:tc>
                <w:tcPr>
                  <w:tcW w:w="1881" w:type="dxa"/>
                </w:tcPr>
                <w:p>
                  <w:pPr>
                    <w:rPr>
                      <w:szCs w:val="21"/>
                    </w:rPr>
                  </w:pPr>
                  <w:r>
                    <w:rPr>
                      <w:rFonts w:hint="eastAsia"/>
                      <w:szCs w:val="21"/>
                    </w:rPr>
                    <w:t>要求能独立拍摄，</w:t>
                  </w:r>
                </w:p>
                <w:p>
                  <w:pPr>
                    <w:rPr>
                      <w:szCs w:val="21"/>
                    </w:rPr>
                  </w:pPr>
                  <w:r>
                    <w:rPr>
                      <w:rFonts w:hint="eastAsia"/>
                      <w:szCs w:val="21"/>
                    </w:rPr>
                    <w:t>非CBCT数据合成。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rPr>
                      <w:szCs w:val="21"/>
                    </w:rPr>
                  </w:pPr>
                  <w:r>
                    <w:rPr>
                      <w:rFonts w:hint="eastAsia"/>
                      <w:szCs w:val="21"/>
                    </w:rPr>
                    <w:t>二、</w:t>
                  </w:r>
                </w:p>
              </w:tc>
              <w:tc>
                <w:tcPr>
                  <w:tcW w:w="1766" w:type="dxa"/>
                </w:tcPr>
                <w:p>
                  <w:pPr>
                    <w:rPr>
                      <w:szCs w:val="21"/>
                    </w:rPr>
                  </w:pPr>
                  <w:r>
                    <w:rPr>
                      <w:rFonts w:hint="eastAsia"/>
                      <w:szCs w:val="21"/>
                    </w:rPr>
                    <w:t>具体参数名称</w:t>
                  </w:r>
                </w:p>
              </w:tc>
              <w:tc>
                <w:tcPr>
                  <w:tcW w:w="3207" w:type="dxa"/>
                </w:tcPr>
                <w:p>
                  <w:pPr>
                    <w:rPr>
                      <w:szCs w:val="21"/>
                    </w:rPr>
                  </w:pP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电源输入</w:t>
                  </w:r>
                </w:p>
              </w:tc>
              <w:tc>
                <w:tcPr>
                  <w:tcW w:w="3207" w:type="dxa"/>
                </w:tcPr>
                <w:p>
                  <w:pPr>
                    <w:rPr>
                      <w:szCs w:val="21"/>
                    </w:rPr>
                  </w:pPr>
                  <w:r>
                    <w:rPr>
                      <w:rFonts w:hint="eastAsia"/>
                      <w:szCs w:val="21"/>
                    </w:rPr>
                    <w:t>220AC, 50Hz</w:t>
                  </w:r>
                </w:p>
              </w:tc>
              <w:tc>
                <w:tcPr>
                  <w:tcW w:w="1881" w:type="dxa"/>
                </w:tcPr>
                <w:p>
                  <w:pPr>
                    <w:rPr>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ascii="宋体" w:hAnsi="宋体"/>
                      <w:b/>
                      <w:color w:val="FF0000"/>
                      <w:szCs w:val="21"/>
                    </w:rPr>
                    <w:t>▲</w:t>
                  </w:r>
                  <w:r>
                    <w:rPr>
                      <w:rFonts w:hint="eastAsia"/>
                      <w:szCs w:val="21"/>
                    </w:rPr>
                    <w:t>拍摄模式</w:t>
                  </w:r>
                </w:p>
              </w:tc>
              <w:tc>
                <w:tcPr>
                  <w:tcW w:w="3207" w:type="dxa"/>
                </w:tcPr>
                <w:p>
                  <w:pPr>
                    <w:rPr>
                      <w:szCs w:val="21"/>
                    </w:rPr>
                  </w:pPr>
                  <w:r>
                    <w:rPr>
                      <w:rFonts w:hint="eastAsia"/>
                      <w:szCs w:val="21"/>
                    </w:rPr>
                    <w:t>CT、PA（全景）、CE（正畸侧位片）</w:t>
                  </w:r>
                </w:p>
              </w:tc>
              <w:tc>
                <w:tcPr>
                  <w:tcW w:w="1881" w:type="dxa"/>
                </w:tcPr>
                <w:p>
                  <w:pPr>
                    <w:rPr>
                      <w:szCs w:val="21"/>
                    </w:rPr>
                  </w:pPr>
                  <w:r>
                    <w:rPr>
                      <w:rFonts w:hint="eastAsia"/>
                      <w:szCs w:val="21"/>
                    </w:rPr>
                    <w:t>三个模式可独立设置拍摄，</w:t>
                  </w:r>
                </w:p>
                <w:p>
                  <w:pPr>
                    <w:rPr>
                      <w:szCs w:val="21"/>
                    </w:rPr>
                  </w:pPr>
                  <w:r>
                    <w:rPr>
                      <w:rFonts w:hint="eastAsia"/>
                      <w:szCs w:val="21"/>
                    </w:rPr>
                    <w:t>全景片与正畸侧位片非CBCT数据合成。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射线管电流</w:t>
                  </w:r>
                </w:p>
              </w:tc>
              <w:tc>
                <w:tcPr>
                  <w:tcW w:w="3207" w:type="dxa"/>
                </w:tcPr>
                <w:p>
                  <w:pPr>
                    <w:rPr>
                      <w:szCs w:val="21"/>
                    </w:rPr>
                  </w:pPr>
                  <w:r>
                    <w:rPr>
                      <w:rFonts w:hint="eastAsia"/>
                      <w:szCs w:val="21"/>
                    </w:rPr>
                    <w:t>2~10mA，1mA可调</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射线管电压</w:t>
                  </w:r>
                </w:p>
              </w:tc>
              <w:tc>
                <w:tcPr>
                  <w:tcW w:w="3207" w:type="dxa"/>
                </w:tcPr>
                <w:p>
                  <w:pPr>
                    <w:rPr>
                      <w:szCs w:val="21"/>
                    </w:rPr>
                  </w:pPr>
                  <w:r>
                    <w:rPr>
                      <w:rFonts w:hint="eastAsia"/>
                      <w:szCs w:val="21"/>
                    </w:rPr>
                    <w:t>50~90kV，1kV可调</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曝光时间</w:t>
                  </w:r>
                </w:p>
              </w:tc>
              <w:tc>
                <w:tcPr>
                  <w:tcW w:w="3207" w:type="dxa"/>
                </w:tcPr>
                <w:p>
                  <w:pPr>
                    <w:rPr>
                      <w:szCs w:val="21"/>
                    </w:rPr>
                  </w:pPr>
                  <w:r>
                    <w:rPr>
                      <w:rFonts w:hint="eastAsia"/>
                      <w:szCs w:val="21"/>
                    </w:rPr>
                    <w:t>CBCT：20s(有效8s)</w:t>
                  </w:r>
                </w:p>
                <w:p>
                  <w:pPr>
                    <w:rPr>
                      <w:szCs w:val="21"/>
                    </w:rPr>
                  </w:pPr>
                  <w:r>
                    <w:rPr>
                      <w:rFonts w:hint="eastAsia"/>
                      <w:szCs w:val="21"/>
                    </w:rPr>
                    <w:t>全景：17s</w:t>
                  </w:r>
                </w:p>
                <w:p>
                  <w:pPr>
                    <w:rPr>
                      <w:szCs w:val="21"/>
                    </w:rPr>
                  </w:pPr>
                  <w:r>
                    <w:rPr>
                      <w:rFonts w:hint="eastAsia"/>
                      <w:szCs w:val="21"/>
                    </w:rPr>
                    <w:t>正畸侧位片：12s</w:t>
                  </w:r>
                </w:p>
              </w:tc>
              <w:tc>
                <w:tcPr>
                  <w:tcW w:w="1881" w:type="dxa"/>
                </w:tcPr>
                <w:p>
                  <w:pPr>
                    <w:rPr>
                      <w:szCs w:val="21"/>
                    </w:rPr>
                  </w:pPr>
                  <w:r>
                    <w:rPr>
                      <w:rFonts w:hint="eastAsia"/>
                      <w:szCs w:val="21"/>
                    </w:rPr>
                    <w:t>要求混合脉冲射源。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射线管焦点大小</w:t>
                  </w:r>
                </w:p>
              </w:tc>
              <w:tc>
                <w:tcPr>
                  <w:tcW w:w="3207" w:type="dxa"/>
                </w:tcPr>
                <w:p>
                  <w:pPr>
                    <w:rPr>
                      <w:szCs w:val="21"/>
                    </w:rPr>
                  </w:pPr>
                  <w:r>
                    <w:rPr>
                      <w:rFonts w:hint="eastAsia"/>
                      <w:szCs w:val="21"/>
                    </w:rPr>
                    <w:t>0.5mm</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患者站位</w:t>
                  </w:r>
                </w:p>
              </w:tc>
              <w:tc>
                <w:tcPr>
                  <w:tcW w:w="3207" w:type="dxa"/>
                </w:tcPr>
                <w:p>
                  <w:pPr>
                    <w:rPr>
                      <w:szCs w:val="21"/>
                    </w:rPr>
                  </w:pPr>
                  <w:r>
                    <w:rPr>
                      <w:rFonts w:hint="eastAsia"/>
                      <w:szCs w:val="21"/>
                    </w:rPr>
                    <w:t>立式和坐式均可拍摄。</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拍摄臂升降距离</w:t>
                  </w:r>
                </w:p>
              </w:tc>
              <w:tc>
                <w:tcPr>
                  <w:tcW w:w="3207" w:type="dxa"/>
                </w:tcPr>
                <w:p>
                  <w:pPr>
                    <w:rPr>
                      <w:szCs w:val="21"/>
                    </w:rPr>
                  </w:pPr>
                  <w:r>
                    <w:rPr>
                      <w:rFonts w:hint="eastAsia"/>
                      <w:szCs w:val="21"/>
                    </w:rPr>
                    <w:t>≥730mm</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传感器有效成像区域</w:t>
                  </w:r>
                </w:p>
              </w:tc>
              <w:tc>
                <w:tcPr>
                  <w:tcW w:w="3207" w:type="dxa"/>
                </w:tcPr>
                <w:p>
                  <w:pPr>
                    <w:rPr>
                      <w:szCs w:val="21"/>
                    </w:rPr>
                  </w:pPr>
                  <w:r>
                    <w:rPr>
                      <w:rFonts w:hint="eastAsia"/>
                      <w:szCs w:val="21"/>
                    </w:rPr>
                    <w:t>CBCT：≥12.4</w:t>
                  </w:r>
                  <w:r>
                    <w:rPr>
                      <w:rFonts w:hint="eastAsia" w:ascii="宋体" w:hAnsi="宋体"/>
                      <w:szCs w:val="21"/>
                    </w:rPr>
                    <w:t>×</w:t>
                  </w:r>
                  <w:r>
                    <w:rPr>
                      <w:rFonts w:hint="eastAsia"/>
                      <w:szCs w:val="21"/>
                    </w:rPr>
                    <w:t>12.4cm</w:t>
                  </w:r>
                </w:p>
                <w:p>
                  <w:pPr>
                    <w:rPr>
                      <w:szCs w:val="21"/>
                    </w:rPr>
                  </w:pPr>
                </w:p>
              </w:tc>
              <w:tc>
                <w:tcPr>
                  <w:tcW w:w="1881" w:type="dxa"/>
                </w:tcPr>
                <w:p>
                  <w:pPr>
                    <w:rPr>
                      <w:szCs w:val="21"/>
                    </w:rPr>
                  </w:pPr>
                  <w:r>
                    <w:rPr>
                      <w:rFonts w:hint="eastAsia"/>
                      <w:szCs w:val="21"/>
                    </w:rPr>
                    <w:t>配置两块独立探测器，要求不可插拔。CT探测器要求平板探测器。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ascii="宋体" w:hAnsi="宋体"/>
                      <w:b/>
                      <w:color w:val="FF0000"/>
                      <w:szCs w:val="21"/>
                    </w:rPr>
                    <w:t>▲</w:t>
                  </w:r>
                  <w:r>
                    <w:rPr>
                      <w:rFonts w:hint="eastAsia"/>
                      <w:szCs w:val="21"/>
                    </w:rPr>
                    <w:t>CBCT成像视野（FOV）</w:t>
                  </w:r>
                </w:p>
              </w:tc>
              <w:tc>
                <w:tcPr>
                  <w:tcW w:w="3207" w:type="dxa"/>
                </w:tcPr>
                <w:p>
                  <w:pPr>
                    <w:rPr>
                      <w:szCs w:val="21"/>
                    </w:rPr>
                  </w:pPr>
                  <w:r>
                    <w:rPr>
                      <w:rFonts w:hint="eastAsia"/>
                      <w:szCs w:val="21"/>
                    </w:rPr>
                    <w:t>15</w:t>
                  </w:r>
                  <w:r>
                    <w:rPr>
                      <w:rFonts w:hint="eastAsia" w:ascii="宋体" w:hAnsi="宋体"/>
                      <w:szCs w:val="21"/>
                    </w:rPr>
                    <w:t>×</w:t>
                  </w:r>
                  <w:r>
                    <w:rPr>
                      <w:rFonts w:hint="eastAsia"/>
                      <w:szCs w:val="21"/>
                    </w:rPr>
                    <w:t>9cm(</w:t>
                  </w:r>
                  <w:r>
                    <w:rPr>
                      <w:rFonts w:hint="eastAsia" w:ascii="宋体" w:hAnsi="宋体"/>
                      <w:szCs w:val="21"/>
                    </w:rPr>
                    <w:t>Φ × H</w:t>
                  </w:r>
                  <w:r>
                    <w:rPr>
                      <w:rFonts w:hint="eastAsia"/>
                      <w:szCs w:val="21"/>
                    </w:rPr>
                    <w:t>)</w:t>
                  </w:r>
                </w:p>
              </w:tc>
              <w:tc>
                <w:tcPr>
                  <w:tcW w:w="1881" w:type="dxa"/>
                </w:tcPr>
                <w:p>
                  <w:pPr>
                    <w:rPr>
                      <w:szCs w:val="21"/>
                    </w:rPr>
                  </w:pPr>
                  <w:r>
                    <w:rPr>
                      <w:rFonts w:hint="eastAsia"/>
                      <w:szCs w:val="21"/>
                    </w:rPr>
                    <w:t>要求一次拍摄成像视野，非融合数据。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多平面重建</w:t>
                  </w:r>
                </w:p>
              </w:tc>
              <w:tc>
                <w:tcPr>
                  <w:tcW w:w="3207" w:type="dxa"/>
                </w:tcPr>
                <w:p>
                  <w:pPr>
                    <w:rPr>
                      <w:szCs w:val="21"/>
                    </w:rPr>
                  </w:pPr>
                  <w:r>
                    <w:rPr>
                      <w:rFonts w:hint="eastAsia"/>
                      <w:szCs w:val="21"/>
                    </w:rPr>
                    <w:t>任意位置、任意方向观察患者切片影像。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可选择三维显示模式</w:t>
                  </w:r>
                </w:p>
              </w:tc>
              <w:tc>
                <w:tcPr>
                  <w:tcW w:w="3207" w:type="dxa"/>
                </w:tcPr>
                <w:p>
                  <w:pPr>
                    <w:rPr>
                      <w:szCs w:val="21"/>
                    </w:rPr>
                  </w:pPr>
                  <w:r>
                    <w:rPr>
                      <w:rFonts w:hint="eastAsia"/>
                      <w:szCs w:val="21"/>
                    </w:rPr>
                    <w:t>两种成像模式：VR(容积漫游成像）能显示成像轮廓和边缘，成像空间立体感强；MIP（最大密度投影），可以透明观察内部结构。</w:t>
                  </w:r>
                </w:p>
              </w:tc>
              <w:tc>
                <w:tcPr>
                  <w:tcW w:w="1881" w:type="dxa"/>
                </w:tcPr>
                <w:p>
                  <w:pPr>
                    <w:rPr>
                      <w:szCs w:val="21"/>
                    </w:rPr>
                  </w:pPr>
                  <w:r>
                    <w:rPr>
                      <w:rFonts w:hint="eastAsia"/>
                      <w:szCs w:val="21"/>
                    </w:rPr>
                    <w:t>成像模式可一键切换。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距离测量</w:t>
                  </w:r>
                </w:p>
              </w:tc>
              <w:tc>
                <w:tcPr>
                  <w:tcW w:w="3207" w:type="dxa"/>
                </w:tcPr>
                <w:p>
                  <w:pPr>
                    <w:rPr>
                      <w:szCs w:val="21"/>
                    </w:rPr>
                  </w:pPr>
                  <w:r>
                    <w:rPr>
                      <w:rFonts w:hint="eastAsia"/>
                      <w:szCs w:val="21"/>
                    </w:rPr>
                    <w:t>可测量直线距离、折线距离、曲线距离。</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三维距离测量</w:t>
                  </w:r>
                </w:p>
              </w:tc>
              <w:tc>
                <w:tcPr>
                  <w:tcW w:w="3207" w:type="dxa"/>
                </w:tcPr>
                <w:p>
                  <w:pPr>
                    <w:rPr>
                      <w:szCs w:val="21"/>
                    </w:rPr>
                  </w:pPr>
                  <w:r>
                    <w:rPr>
                      <w:rFonts w:hint="eastAsia"/>
                      <w:szCs w:val="21"/>
                    </w:rPr>
                    <w:t>在三维图像上直接测量距离。</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角度测量</w:t>
                  </w:r>
                </w:p>
              </w:tc>
              <w:tc>
                <w:tcPr>
                  <w:tcW w:w="3207" w:type="dxa"/>
                </w:tcPr>
                <w:p>
                  <w:pPr>
                    <w:rPr>
                      <w:szCs w:val="21"/>
                    </w:rPr>
                  </w:pPr>
                  <w:r>
                    <w:rPr>
                      <w:rFonts w:hint="eastAsia"/>
                      <w:szCs w:val="21"/>
                    </w:rPr>
                    <w:t>可测量三点间的角度值。</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三维角度测量</w:t>
                  </w:r>
                </w:p>
              </w:tc>
              <w:tc>
                <w:tcPr>
                  <w:tcW w:w="3207" w:type="dxa"/>
                </w:tcPr>
                <w:p>
                  <w:pPr>
                    <w:rPr>
                      <w:szCs w:val="21"/>
                    </w:rPr>
                  </w:pPr>
                  <w:r>
                    <w:rPr>
                      <w:rFonts w:hint="eastAsia"/>
                      <w:szCs w:val="21"/>
                    </w:rPr>
                    <w:t>在三维图像上直接测量角度。</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面积测量</w:t>
                  </w:r>
                </w:p>
              </w:tc>
              <w:tc>
                <w:tcPr>
                  <w:tcW w:w="3207" w:type="dxa"/>
                </w:tcPr>
                <w:p>
                  <w:pPr>
                    <w:rPr>
                      <w:szCs w:val="21"/>
                    </w:rPr>
                  </w:pPr>
                  <w:r>
                    <w:rPr>
                      <w:rFonts w:hint="eastAsia"/>
                      <w:szCs w:val="21"/>
                    </w:rPr>
                    <w:t>测量任意区域（多边形、曲线）的面积。</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灰度（CT值）图</w:t>
                  </w:r>
                </w:p>
              </w:tc>
              <w:tc>
                <w:tcPr>
                  <w:tcW w:w="3207" w:type="dxa"/>
                </w:tcPr>
                <w:p>
                  <w:pPr>
                    <w:rPr>
                      <w:szCs w:val="21"/>
                    </w:rPr>
                  </w:pPr>
                  <w:r>
                    <w:rPr>
                      <w:rFonts w:hint="eastAsia"/>
                      <w:szCs w:val="21"/>
                    </w:rPr>
                    <w:t>可以波形图方式显示任意折线上的灰度（CT值）分布情况。</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标注</w:t>
                  </w:r>
                </w:p>
              </w:tc>
              <w:tc>
                <w:tcPr>
                  <w:tcW w:w="3207" w:type="dxa"/>
                </w:tcPr>
                <w:p>
                  <w:pPr>
                    <w:rPr>
                      <w:szCs w:val="21"/>
                    </w:rPr>
                  </w:pPr>
                  <w:r>
                    <w:rPr>
                      <w:rFonts w:hint="eastAsia"/>
                      <w:szCs w:val="21"/>
                    </w:rPr>
                    <w:t>对测量动作进行标记，可检索。</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测量方案存储/加载</w:t>
                  </w:r>
                </w:p>
              </w:tc>
              <w:tc>
                <w:tcPr>
                  <w:tcW w:w="3207" w:type="dxa"/>
                </w:tcPr>
                <w:p>
                  <w:pPr>
                    <w:rPr>
                      <w:szCs w:val="21"/>
                    </w:rPr>
                  </w:pPr>
                  <w:r>
                    <w:rPr>
                      <w:rFonts w:hint="eastAsia"/>
                      <w:szCs w:val="21"/>
                    </w:rPr>
                    <w:t>本次测量方案可选择保存，下次打开该患者时可自动加载。可选择多种测量方案保存方式。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图像格式</w:t>
                  </w:r>
                </w:p>
              </w:tc>
              <w:tc>
                <w:tcPr>
                  <w:tcW w:w="3207" w:type="dxa"/>
                </w:tcPr>
                <w:p>
                  <w:pPr>
                    <w:rPr>
                      <w:szCs w:val="21"/>
                    </w:rPr>
                  </w:pPr>
                  <w:r>
                    <w:rPr>
                      <w:rFonts w:hint="eastAsia"/>
                      <w:szCs w:val="21"/>
                    </w:rPr>
                    <w:t>DICOM3.0，兼容符合此标准的PACS系统。可选择自带图象管理软件。</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局部切片</w:t>
                  </w:r>
                </w:p>
              </w:tc>
              <w:tc>
                <w:tcPr>
                  <w:tcW w:w="3207" w:type="dxa"/>
                </w:tcPr>
                <w:p>
                  <w:pPr>
                    <w:rPr>
                      <w:szCs w:val="21"/>
                    </w:rPr>
                  </w:pPr>
                  <w:r>
                    <w:rPr>
                      <w:rFonts w:hint="eastAsia"/>
                      <w:szCs w:val="21"/>
                    </w:rPr>
                    <w:t>可绘制任意曲线，显示该曲线上的连续切片，切片数据可随意调节。同时显示该曲线上的全景图像。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局部切片方案</w:t>
                  </w:r>
                </w:p>
              </w:tc>
              <w:tc>
                <w:tcPr>
                  <w:tcW w:w="3207" w:type="dxa"/>
                </w:tcPr>
                <w:p>
                  <w:pPr>
                    <w:rPr>
                      <w:szCs w:val="21"/>
                    </w:rPr>
                  </w:pPr>
                  <w:r>
                    <w:rPr>
                      <w:rFonts w:hint="eastAsia"/>
                      <w:szCs w:val="21"/>
                    </w:rPr>
                    <w:t>可自动记录局部切片方案，可检索，可添加、删除方案。</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切片图像处理</w:t>
                  </w:r>
                </w:p>
              </w:tc>
              <w:tc>
                <w:tcPr>
                  <w:tcW w:w="3207" w:type="dxa"/>
                </w:tcPr>
                <w:p>
                  <w:pPr>
                    <w:rPr>
                      <w:szCs w:val="21"/>
                    </w:rPr>
                  </w:pPr>
                  <w:r>
                    <w:rPr>
                      <w:rFonts w:hint="eastAsia"/>
                      <w:szCs w:val="21"/>
                    </w:rPr>
                    <w:t>可随时进行锐化、降噪操作。方便医生观察。</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虚拟种植</w:t>
                  </w:r>
                </w:p>
              </w:tc>
              <w:tc>
                <w:tcPr>
                  <w:tcW w:w="3207" w:type="dxa"/>
                </w:tcPr>
                <w:p>
                  <w:pPr>
                    <w:rPr>
                      <w:szCs w:val="21"/>
                    </w:rPr>
                  </w:pPr>
                  <w:r>
                    <w:rPr>
                      <w:rFonts w:hint="eastAsia"/>
                      <w:szCs w:val="21"/>
                    </w:rPr>
                    <w:t>可选择需要的品牌、长度的种植体进行虚拟种植，评估种植方案。</w:t>
                  </w:r>
                </w:p>
              </w:tc>
              <w:tc>
                <w:tcPr>
                  <w:tcW w:w="1881" w:type="dxa"/>
                </w:tcPr>
                <w:p>
                  <w:pPr>
                    <w:rPr>
                      <w:szCs w:val="21"/>
                    </w:rPr>
                  </w:pPr>
                  <w:r>
                    <w:rPr>
                      <w:rFonts w:hint="eastAsia"/>
                      <w:szCs w:val="21"/>
                    </w:rPr>
                    <w:t>可以在任意切片图上调节种植体位置，包括曲面断层图。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种植体库管理</w:t>
                  </w:r>
                </w:p>
              </w:tc>
              <w:tc>
                <w:tcPr>
                  <w:tcW w:w="3207" w:type="dxa"/>
                </w:tcPr>
                <w:p>
                  <w:pPr>
                    <w:rPr>
                      <w:szCs w:val="21"/>
                    </w:rPr>
                  </w:pPr>
                  <w:r>
                    <w:rPr>
                      <w:rFonts w:hint="eastAsia"/>
                      <w:szCs w:val="21"/>
                    </w:rPr>
                    <w:t>免费升级种植体库，可依据医院需求添加所需要的品牌、系列种植体模型。</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ascii="宋体" w:hAnsi="宋体"/>
                      <w:b/>
                      <w:color w:val="FF0000"/>
                      <w:szCs w:val="21"/>
                    </w:rPr>
                    <w:t>▲</w:t>
                  </w:r>
                  <w:r>
                    <w:rPr>
                      <w:rFonts w:hint="eastAsia"/>
                      <w:szCs w:val="21"/>
                    </w:rPr>
                    <w:t>种植体定位观察</w:t>
                  </w:r>
                </w:p>
              </w:tc>
              <w:tc>
                <w:tcPr>
                  <w:tcW w:w="3207" w:type="dxa"/>
                </w:tcPr>
                <w:p>
                  <w:pPr>
                    <w:rPr>
                      <w:szCs w:val="21"/>
                    </w:rPr>
                  </w:pPr>
                  <w:r>
                    <w:rPr>
                      <w:rFonts w:hint="eastAsia"/>
                      <w:szCs w:val="21"/>
                    </w:rPr>
                    <w:t>可设置种植体作为观察中心，旋转操作轴，可方便观察种植体周围360度的切片影像。</w:t>
                  </w:r>
                </w:p>
              </w:tc>
              <w:tc>
                <w:tcPr>
                  <w:tcW w:w="1881" w:type="dxa"/>
                </w:tcPr>
                <w:p>
                  <w:pPr>
                    <w:rPr>
                      <w:szCs w:val="21"/>
                    </w:rPr>
                  </w:pPr>
                  <w:r>
                    <w:rPr>
                      <w:rFonts w:hint="eastAsia"/>
                      <w:szCs w:val="21"/>
                    </w:rPr>
                    <w:t>调节种植体位置、方向时，相应切片位置跟随变化。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ascii="宋体" w:hAnsi="宋体"/>
                      <w:b/>
                      <w:color w:val="FF0000"/>
                      <w:szCs w:val="21"/>
                    </w:rPr>
                    <w:t>▲</w:t>
                  </w:r>
                  <w:r>
                    <w:rPr>
                      <w:rFonts w:hint="eastAsia"/>
                      <w:szCs w:val="21"/>
                    </w:rPr>
                    <w:t>定点观察</w:t>
                  </w:r>
                </w:p>
              </w:tc>
              <w:tc>
                <w:tcPr>
                  <w:tcW w:w="3207" w:type="dxa"/>
                </w:tcPr>
                <w:p>
                  <w:pPr>
                    <w:rPr>
                      <w:szCs w:val="21"/>
                    </w:rPr>
                  </w:pPr>
                  <w:r>
                    <w:rPr>
                      <w:rFonts w:hint="eastAsia"/>
                      <w:szCs w:val="21"/>
                    </w:rPr>
                    <w:t>可设置切片影像观察中心。观察感兴趣区域的360度切片影像。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三维渲染参数设置</w:t>
                  </w:r>
                </w:p>
              </w:tc>
              <w:tc>
                <w:tcPr>
                  <w:tcW w:w="3207" w:type="dxa"/>
                </w:tcPr>
                <w:p>
                  <w:pPr>
                    <w:rPr>
                      <w:szCs w:val="21"/>
                    </w:rPr>
                  </w:pPr>
                  <w:r>
                    <w:rPr>
                      <w:rFonts w:hint="eastAsia"/>
                      <w:szCs w:val="21"/>
                    </w:rPr>
                    <w:t>可设置光照、反射系数、散射系数、颜色及透明度等三维显示参数。</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三维渲染模式保存</w:t>
                  </w:r>
                </w:p>
              </w:tc>
              <w:tc>
                <w:tcPr>
                  <w:tcW w:w="3207" w:type="dxa"/>
                </w:tcPr>
                <w:p>
                  <w:pPr>
                    <w:rPr>
                      <w:szCs w:val="21"/>
                    </w:rPr>
                  </w:pPr>
                  <w:r>
                    <w:rPr>
                      <w:rFonts w:hint="eastAsia"/>
                      <w:szCs w:val="21"/>
                    </w:rPr>
                    <w:t>可保存当前的三维渲染模式。系统提供4种默认模式。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金属重建模式</w:t>
                  </w:r>
                </w:p>
              </w:tc>
              <w:tc>
                <w:tcPr>
                  <w:tcW w:w="3207" w:type="dxa"/>
                </w:tcPr>
                <w:p>
                  <w:pPr>
                    <w:rPr>
                      <w:szCs w:val="21"/>
                    </w:rPr>
                  </w:pPr>
                  <w:r>
                    <w:rPr>
                      <w:rFonts w:hint="eastAsia"/>
                      <w:szCs w:val="21"/>
                    </w:rPr>
                    <w:t>提供可选择的金属重建模式。大幅降低患者口内金属及高密度物体的伪影。</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刻录功能</w:t>
                  </w:r>
                </w:p>
              </w:tc>
              <w:tc>
                <w:tcPr>
                  <w:tcW w:w="3207" w:type="dxa"/>
                </w:tcPr>
                <w:p>
                  <w:pPr>
                    <w:rPr>
                      <w:szCs w:val="21"/>
                    </w:rPr>
                  </w:pPr>
                  <w:r>
                    <w:rPr>
                      <w:rFonts w:hint="eastAsia"/>
                      <w:szCs w:val="21"/>
                    </w:rPr>
                    <w:t>可以将患者数据和配套影像浏览程序导出到输出介质（光碟、U盘等）中。</w:t>
                  </w:r>
                </w:p>
              </w:tc>
              <w:tc>
                <w:tcPr>
                  <w:tcW w:w="1881" w:type="dxa"/>
                </w:tcPr>
                <w:p>
                  <w:pPr>
                    <w:rPr>
                      <w:szCs w:val="21"/>
                    </w:rPr>
                  </w:pPr>
                  <w:r>
                    <w:rPr>
                      <w:rFonts w:hint="eastAsia"/>
                      <w:szCs w:val="21"/>
                    </w:rPr>
                    <w:t>可导出到不同存储介质中。以方便使用。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胶片打印排版</w:t>
                  </w:r>
                </w:p>
              </w:tc>
              <w:tc>
                <w:tcPr>
                  <w:tcW w:w="3207" w:type="dxa"/>
                </w:tcPr>
                <w:p>
                  <w:pPr>
                    <w:rPr>
                      <w:szCs w:val="21"/>
                    </w:rPr>
                  </w:pPr>
                  <w:r>
                    <w:rPr>
                      <w:rFonts w:hint="eastAsia"/>
                      <w:szCs w:val="21"/>
                    </w:rPr>
                    <w:t>提供排版模式以方便医生组织胶片。后期可根据医生需求添加模板。</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胶片输出</w:t>
                  </w:r>
                </w:p>
              </w:tc>
              <w:tc>
                <w:tcPr>
                  <w:tcW w:w="3207" w:type="dxa"/>
                </w:tcPr>
                <w:p>
                  <w:pPr>
                    <w:rPr>
                      <w:szCs w:val="21"/>
                    </w:rPr>
                  </w:pPr>
                  <w:r>
                    <w:rPr>
                      <w:rFonts w:hint="eastAsia"/>
                      <w:szCs w:val="21"/>
                    </w:rPr>
                    <w:t>可输出到支持DICOM3.0的打印机上打印胶片。支持排版好的胶片导出BMP图片。</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患者数据管理</w:t>
                  </w:r>
                </w:p>
              </w:tc>
              <w:tc>
                <w:tcPr>
                  <w:tcW w:w="3207" w:type="dxa"/>
                </w:tcPr>
                <w:p>
                  <w:pPr>
                    <w:rPr>
                      <w:szCs w:val="21"/>
                    </w:rPr>
                  </w:pPr>
                  <w:r>
                    <w:rPr>
                      <w:rFonts w:hint="eastAsia"/>
                      <w:szCs w:val="21"/>
                    </w:rPr>
                    <w:t>可添加、检索、删除病人信息。</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操作医生数据管理</w:t>
                  </w:r>
                </w:p>
              </w:tc>
              <w:tc>
                <w:tcPr>
                  <w:tcW w:w="3207" w:type="dxa"/>
                </w:tcPr>
                <w:p>
                  <w:pPr>
                    <w:rPr>
                      <w:szCs w:val="21"/>
                    </w:rPr>
                  </w:pPr>
                  <w:r>
                    <w:rPr>
                      <w:rFonts w:hint="eastAsia"/>
                      <w:szCs w:val="21"/>
                    </w:rPr>
                    <w:t>可添加、检索、删除操作医生信息。支持操作医生设置操作密码。</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影像管理</w:t>
                  </w:r>
                </w:p>
              </w:tc>
              <w:tc>
                <w:tcPr>
                  <w:tcW w:w="3207" w:type="dxa"/>
                </w:tcPr>
                <w:p>
                  <w:pPr>
                    <w:rPr>
                      <w:szCs w:val="21"/>
                    </w:rPr>
                  </w:pPr>
                  <w:r>
                    <w:rPr>
                      <w:rFonts w:hint="eastAsia"/>
                      <w:szCs w:val="21"/>
                    </w:rPr>
                    <w:t>自带影像管理器。支持PACS系统（兼容DICOM3.0）。</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头影测量</w:t>
                  </w:r>
                </w:p>
              </w:tc>
              <w:tc>
                <w:tcPr>
                  <w:tcW w:w="3207" w:type="dxa"/>
                </w:tcPr>
                <w:p>
                  <w:pPr>
                    <w:rPr>
                      <w:szCs w:val="21"/>
                    </w:rPr>
                  </w:pPr>
                  <w:r>
                    <w:rPr>
                      <w:rFonts w:hint="eastAsia"/>
                      <w:szCs w:val="21"/>
                    </w:rPr>
                    <w:t>支持头影测量软件进行头影测量。</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头影测量功能描述</w:t>
                  </w:r>
                </w:p>
              </w:tc>
              <w:tc>
                <w:tcPr>
                  <w:tcW w:w="3207" w:type="dxa"/>
                </w:tcPr>
                <w:p>
                  <w:pPr>
                    <w:rPr>
                      <w:szCs w:val="21"/>
                    </w:rPr>
                  </w:pPr>
                  <w:r>
                    <w:rPr>
                      <w:rFonts w:hint="eastAsia"/>
                      <w:szCs w:val="21"/>
                    </w:rPr>
                    <w:t>在头颅影像上描图，确定一些标志点，然后对根据这些标志点描绘出的一定的线距、角度及线距比进行测量，用以了解颅、颌、面、牙软硬组织的结构情况及其相互间关系，使我们能从牙、颌、面的表面形态了解内部结构。</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图像格式</w:t>
                  </w:r>
                </w:p>
              </w:tc>
              <w:tc>
                <w:tcPr>
                  <w:tcW w:w="3207" w:type="dxa"/>
                </w:tcPr>
                <w:p>
                  <w:pPr>
                    <w:rPr>
                      <w:szCs w:val="21"/>
                    </w:rPr>
                  </w:pPr>
                  <w:r>
                    <w:rPr>
                      <w:rFonts w:hint="eastAsia"/>
                      <w:szCs w:val="21"/>
                    </w:rPr>
                    <w:t>DICOM 3.0，自带图像管理程序。同时具备数据输出接口。可兼容符合DICOM3.0标准的PACS系统。</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病人信息管理功能</w:t>
                  </w:r>
                </w:p>
              </w:tc>
              <w:tc>
                <w:tcPr>
                  <w:tcW w:w="3207" w:type="dxa"/>
                </w:tcPr>
                <w:p>
                  <w:pPr>
                    <w:rPr>
                      <w:szCs w:val="21"/>
                    </w:rPr>
                  </w:pPr>
                  <w:r>
                    <w:rPr>
                      <w:rFonts w:hint="eastAsia"/>
                      <w:szCs w:val="21"/>
                    </w:rPr>
                    <w:t>具备</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数据采集功能</w:t>
                  </w:r>
                </w:p>
              </w:tc>
              <w:tc>
                <w:tcPr>
                  <w:tcW w:w="3207" w:type="dxa"/>
                </w:tcPr>
                <w:p>
                  <w:pPr>
                    <w:rPr>
                      <w:szCs w:val="21"/>
                    </w:rPr>
                  </w:pPr>
                  <w:r>
                    <w:rPr>
                      <w:rFonts w:hint="eastAsia"/>
                      <w:szCs w:val="21"/>
                    </w:rPr>
                    <w:t>软件登陆、连接服务器IP信息设置、查询、查看病人账户信息、配置、语言切换、采集模式选择和采集功能。</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图像浏览功能</w:t>
                  </w:r>
                </w:p>
              </w:tc>
              <w:tc>
                <w:tcPr>
                  <w:tcW w:w="3207" w:type="dxa"/>
                </w:tcPr>
                <w:p>
                  <w:pPr>
                    <w:numPr>
                      <w:ilvl w:val="0"/>
                      <w:numId w:val="3"/>
                    </w:numPr>
                    <w:rPr>
                      <w:szCs w:val="21"/>
                    </w:rPr>
                  </w:pPr>
                  <w:r>
                    <w:rPr>
                      <w:rFonts w:hint="eastAsia" w:ascii="宋体" w:hAnsi="宋体"/>
                      <w:szCs w:val="21"/>
                    </w:rPr>
                    <w:t>浏览功能：包括图像平移、图像旋转、图像缩放、图像反色、病人信息注释和隐藏定位线功能；</w:t>
                  </w:r>
                </w:p>
                <w:p>
                  <w:pPr>
                    <w:numPr>
                      <w:ilvl w:val="0"/>
                      <w:numId w:val="3"/>
                    </w:numPr>
                    <w:rPr>
                      <w:szCs w:val="21"/>
                    </w:rPr>
                  </w:pPr>
                  <w:r>
                    <w:rPr>
                      <w:rFonts w:hint="eastAsia" w:ascii="宋体" w:hAnsi="宋体"/>
                      <w:szCs w:val="21"/>
                    </w:rPr>
                    <w:t>三维观察功能：包括三维模型开窗、三维模型VOI调节、三平面标识控制开关、观察角度方位设置和三维模型恢复功能；</w:t>
                  </w:r>
                </w:p>
                <w:p>
                  <w:pPr>
                    <w:numPr>
                      <w:ilvl w:val="0"/>
                      <w:numId w:val="3"/>
                    </w:numPr>
                    <w:rPr>
                      <w:szCs w:val="21"/>
                    </w:rPr>
                  </w:pPr>
                  <w:r>
                    <w:rPr>
                      <w:rFonts w:hint="eastAsia" w:ascii="宋体" w:hAnsi="宋体"/>
                      <w:szCs w:val="21"/>
                    </w:rPr>
                    <w:t>测量功能：包括直线测量、多线段测量和曲线测量、角度测量、直方图统计、面积测量和3D直线和角度测量功能；</w:t>
                  </w:r>
                </w:p>
                <w:p>
                  <w:pPr>
                    <w:numPr>
                      <w:ilvl w:val="0"/>
                      <w:numId w:val="3"/>
                    </w:numPr>
                    <w:rPr>
                      <w:szCs w:val="21"/>
                    </w:rPr>
                  </w:pPr>
                  <w:r>
                    <w:rPr>
                      <w:rFonts w:hint="eastAsia" w:ascii="宋体" w:hAnsi="宋体"/>
                      <w:szCs w:val="21"/>
                    </w:rPr>
                    <w:t>全景功能：包括全景生成、调整全景曲线、删除全景曲线和选择历史全景曲线列表功能；</w:t>
                  </w:r>
                </w:p>
                <w:p>
                  <w:pPr>
                    <w:numPr>
                      <w:ilvl w:val="0"/>
                      <w:numId w:val="3"/>
                    </w:numPr>
                    <w:rPr>
                      <w:szCs w:val="21"/>
                    </w:rPr>
                  </w:pPr>
                  <w:r>
                    <w:rPr>
                      <w:rFonts w:hint="eastAsia" w:ascii="宋体" w:hAnsi="宋体"/>
                      <w:szCs w:val="21"/>
                    </w:rPr>
                    <w:t>神经标记功能：包括添加下颌神经线标记、删除下颌神经线标记、调整下颌神经线标记和选择当前各条下颌神经线标记功能；</w:t>
                  </w:r>
                </w:p>
                <w:p>
                  <w:pPr>
                    <w:numPr>
                      <w:ilvl w:val="0"/>
                      <w:numId w:val="3"/>
                    </w:numPr>
                    <w:rPr>
                      <w:szCs w:val="21"/>
                    </w:rPr>
                  </w:pPr>
                  <w:r>
                    <w:rPr>
                      <w:rFonts w:hint="eastAsia" w:ascii="宋体" w:hAnsi="宋体"/>
                      <w:szCs w:val="21"/>
                    </w:rPr>
                    <w:t>种植功能：包括添加三维种植牙模型、删除三维种植牙模型、当前种植牙模型列表选择、种植牙模型库选择、定点旋转观察、牙模型观察和牙模型自绘功能。</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2"/>
                    </w:numPr>
                    <w:jc w:val="center"/>
                    <w:rPr>
                      <w:szCs w:val="21"/>
                    </w:rPr>
                  </w:pPr>
                </w:p>
              </w:tc>
              <w:tc>
                <w:tcPr>
                  <w:tcW w:w="1766" w:type="dxa"/>
                </w:tcPr>
                <w:p>
                  <w:pPr>
                    <w:rPr>
                      <w:szCs w:val="21"/>
                    </w:rPr>
                  </w:pPr>
                  <w:r>
                    <w:rPr>
                      <w:rFonts w:hint="eastAsia"/>
                      <w:szCs w:val="21"/>
                    </w:rPr>
                    <w:t>智能移动终端读片系统</w:t>
                  </w:r>
                </w:p>
              </w:tc>
              <w:tc>
                <w:tcPr>
                  <w:tcW w:w="3207" w:type="dxa"/>
                </w:tcPr>
                <w:p>
                  <w:pPr>
                    <w:rPr>
                      <w:rFonts w:ascii="宋体" w:hAnsi="宋体"/>
                      <w:szCs w:val="21"/>
                    </w:rPr>
                  </w:pPr>
                  <w:r>
                    <w:rPr>
                      <w:rFonts w:hint="eastAsia" w:ascii="宋体" w:hAnsi="宋体"/>
                      <w:szCs w:val="21"/>
                    </w:rPr>
                    <w:t>可实现在智能终端如平板等进行拍摄影像的读取浏览等功能，方便医患沟通。</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rPr>
                      <w:szCs w:val="21"/>
                    </w:rPr>
                  </w:pPr>
                  <w:r>
                    <w:rPr>
                      <w:rFonts w:hint="eastAsia"/>
                      <w:szCs w:val="21"/>
                    </w:rPr>
                    <w:t>三、</w:t>
                  </w:r>
                </w:p>
              </w:tc>
              <w:tc>
                <w:tcPr>
                  <w:tcW w:w="1766" w:type="dxa"/>
                </w:tcPr>
                <w:p>
                  <w:pPr>
                    <w:rPr>
                      <w:szCs w:val="21"/>
                    </w:rPr>
                  </w:pPr>
                  <w:r>
                    <w:rPr>
                      <w:rFonts w:hint="eastAsia"/>
                      <w:szCs w:val="21"/>
                    </w:rPr>
                    <w:t>配置要求</w:t>
                  </w:r>
                </w:p>
              </w:tc>
              <w:tc>
                <w:tcPr>
                  <w:tcW w:w="3207" w:type="dxa"/>
                </w:tcPr>
                <w:p>
                  <w:pPr>
                    <w:rPr>
                      <w:szCs w:val="21"/>
                    </w:rPr>
                  </w:pP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numPr>
                      <w:ilvl w:val="0"/>
                      <w:numId w:val="4"/>
                    </w:numPr>
                    <w:jc w:val="center"/>
                    <w:rPr>
                      <w:szCs w:val="21"/>
                    </w:rPr>
                  </w:pPr>
                </w:p>
              </w:tc>
              <w:tc>
                <w:tcPr>
                  <w:tcW w:w="1766" w:type="dxa"/>
                </w:tcPr>
                <w:p>
                  <w:pPr>
                    <w:rPr>
                      <w:szCs w:val="21"/>
                    </w:rPr>
                  </w:pPr>
                  <w:r>
                    <w:rPr>
                      <w:rFonts w:hint="eastAsia"/>
                      <w:szCs w:val="21"/>
                    </w:rPr>
                    <w:t>主机</w:t>
                  </w:r>
                </w:p>
              </w:tc>
              <w:tc>
                <w:tcPr>
                  <w:tcW w:w="3207" w:type="dxa"/>
                </w:tcPr>
                <w:p>
                  <w:pPr>
                    <w:rPr>
                      <w:szCs w:val="21"/>
                    </w:rPr>
                  </w:pPr>
                  <w:r>
                    <w:rPr>
                      <w:rFonts w:hint="eastAsia"/>
                      <w:szCs w:val="21"/>
                    </w:rPr>
                    <w:t>具备</w:t>
                  </w:r>
                </w:p>
              </w:tc>
              <w:tc>
                <w:tcPr>
                  <w:tcW w:w="1881"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39" w:type="dxa"/>
                </w:tcPr>
                <w:p>
                  <w:pPr>
                    <w:numPr>
                      <w:ilvl w:val="0"/>
                      <w:numId w:val="4"/>
                    </w:numPr>
                    <w:jc w:val="center"/>
                    <w:rPr>
                      <w:szCs w:val="21"/>
                    </w:rPr>
                  </w:pPr>
                </w:p>
              </w:tc>
              <w:tc>
                <w:tcPr>
                  <w:tcW w:w="1766" w:type="dxa"/>
                </w:tcPr>
                <w:p>
                  <w:pPr>
                    <w:rPr>
                      <w:szCs w:val="21"/>
                    </w:rPr>
                  </w:pPr>
                  <w:r>
                    <w:rPr>
                      <w:rFonts w:hint="eastAsia"/>
                      <w:szCs w:val="21"/>
                    </w:rPr>
                    <w:t>计算机最低配置</w:t>
                  </w:r>
                </w:p>
              </w:tc>
              <w:tc>
                <w:tcPr>
                  <w:tcW w:w="3207" w:type="dxa"/>
                </w:tcPr>
                <w:p>
                  <w:pPr>
                    <w:rPr>
                      <w:szCs w:val="21"/>
                    </w:rPr>
                  </w:pPr>
                  <w:r>
                    <w:rPr>
                      <w:rFonts w:hint="eastAsia"/>
                      <w:szCs w:val="21"/>
                    </w:rPr>
                    <w:t>配套计算机  不低于以下配置：</w:t>
                  </w:r>
                </w:p>
                <w:p>
                  <w:pPr>
                    <w:rPr>
                      <w:szCs w:val="21"/>
                    </w:rPr>
                  </w:pPr>
                  <w:r>
                    <w:rPr>
                      <w:rFonts w:hint="eastAsia"/>
                      <w:szCs w:val="21"/>
                    </w:rPr>
                    <w:t>CPU:Intel core i5 3470  4核</w:t>
                  </w:r>
                </w:p>
                <w:p>
                  <w:pPr>
                    <w:rPr>
                      <w:szCs w:val="21"/>
                    </w:rPr>
                  </w:pPr>
                  <w:r>
                    <w:rPr>
                      <w:rFonts w:hint="eastAsia"/>
                      <w:szCs w:val="21"/>
                    </w:rPr>
                    <w:t xml:space="preserve">GPU: GTX640 1G </w:t>
                  </w:r>
                </w:p>
                <w:p>
                  <w:pPr>
                    <w:rPr>
                      <w:szCs w:val="21"/>
                    </w:rPr>
                  </w:pPr>
                  <w:r>
                    <w:rPr>
                      <w:rFonts w:hint="eastAsia"/>
                      <w:szCs w:val="21"/>
                    </w:rPr>
                    <w:t>内存:4G</w:t>
                  </w:r>
                </w:p>
                <w:p>
                  <w:pPr>
                    <w:rPr>
                      <w:szCs w:val="21"/>
                    </w:rPr>
                  </w:pPr>
                  <w:r>
                    <w:rPr>
                      <w:rFonts w:hint="eastAsia"/>
                      <w:szCs w:val="21"/>
                    </w:rPr>
                    <w:t>显示器：22“彩色显示器</w:t>
                  </w:r>
                </w:p>
              </w:tc>
              <w:tc>
                <w:tcPr>
                  <w:tcW w:w="1881" w:type="dxa"/>
                </w:tcPr>
                <w:p>
                  <w:pPr>
                    <w:rPr>
                      <w:szCs w:val="21"/>
                    </w:rPr>
                  </w:pPr>
                </w:p>
              </w:tc>
            </w:tr>
          </w:tbl>
          <w:p>
            <w:pPr>
              <w:widowControl/>
              <w:spacing w:line="360" w:lineRule="exact"/>
              <w:jc w:val="left"/>
              <w:textAlignment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43" w:type="dxa"/>
            <w:gridSpan w:val="5"/>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auto"/>
              <w:rPr>
                <w:rFonts w:hAnsi="宋体"/>
                <w:b/>
                <w:sz w:val="24"/>
                <w:szCs w:val="24"/>
              </w:rPr>
            </w:pPr>
            <w:r>
              <w:rPr>
                <w:rFonts w:hint="eastAsia" w:hAnsi="宋体"/>
                <w:b/>
                <w:sz w:val="24"/>
                <w:szCs w:val="24"/>
              </w:rPr>
              <w:t>二、商务要求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质保期</w:t>
            </w:r>
          </w:p>
        </w:tc>
        <w:tc>
          <w:tcPr>
            <w:tcW w:w="8492" w:type="dxa"/>
            <w:gridSpan w:val="2"/>
            <w:tcBorders>
              <w:top w:val="single" w:color="auto" w:sz="4" w:space="0"/>
              <w:left w:val="single" w:color="auto" w:sz="4" w:space="0"/>
              <w:bottom w:val="single" w:color="auto" w:sz="4" w:space="0"/>
              <w:right w:val="single" w:color="auto" w:sz="4" w:space="0"/>
            </w:tcBorders>
          </w:tcPr>
          <w:p>
            <w:pPr>
              <w:pStyle w:val="20"/>
              <w:snapToGrid w:val="0"/>
              <w:spacing w:line="360" w:lineRule="auto"/>
              <w:rPr>
                <w:rFonts w:hAnsi="宋体"/>
                <w:sz w:val="24"/>
                <w:szCs w:val="24"/>
              </w:rPr>
            </w:pPr>
            <w:r>
              <w:rPr>
                <w:rFonts w:hint="eastAsia" w:hAnsi="宋体"/>
                <w:sz w:val="24"/>
                <w:szCs w:val="24"/>
              </w:rPr>
              <w:t>1、竞标人应明确承诺：按国家有关产品“三包”规定执行“三包”，</w:t>
            </w:r>
            <w:r>
              <w:rPr>
                <w:rFonts w:hint="eastAsia" w:hAnsi="宋体"/>
                <w:b/>
                <w:sz w:val="24"/>
                <w:szCs w:val="24"/>
              </w:rPr>
              <w:t>货物验收合格后，自验收合格之日起质量保修期≥1年</w:t>
            </w:r>
            <w:r>
              <w:rPr>
                <w:rFonts w:hint="eastAsia" w:hAnsi="宋体"/>
                <w:sz w:val="24"/>
                <w:szCs w:val="24"/>
              </w:rPr>
              <w:t>，保修期内免费更换所有故障零配件，并免费提供设备的系统软件及硬件的安全性改版升级和技术支持，确保设备正常运行。</w:t>
            </w:r>
          </w:p>
          <w:p>
            <w:pPr>
              <w:pStyle w:val="20"/>
              <w:snapToGrid w:val="0"/>
              <w:spacing w:line="360" w:lineRule="auto"/>
              <w:rPr>
                <w:rFonts w:hAnsi="宋体"/>
                <w:sz w:val="24"/>
                <w:szCs w:val="24"/>
              </w:rPr>
            </w:pPr>
            <w:r>
              <w:rPr>
                <w:rFonts w:hint="eastAsia" w:hAnsi="宋体"/>
                <w:sz w:val="24"/>
                <w:szCs w:val="24"/>
              </w:rPr>
              <w:t>2、质保期所更换的零配件必须是原厂全新的零配件，满足设备运行要求。</w:t>
            </w:r>
          </w:p>
          <w:p>
            <w:pPr>
              <w:pStyle w:val="20"/>
              <w:snapToGrid w:val="0"/>
              <w:spacing w:line="360" w:lineRule="auto"/>
              <w:rPr>
                <w:rFonts w:hAnsi="宋体"/>
                <w:sz w:val="24"/>
                <w:szCs w:val="24"/>
              </w:rPr>
            </w:pPr>
            <w:r>
              <w:rPr>
                <w:rFonts w:hint="eastAsia" w:hAnsi="宋体"/>
                <w:sz w:val="24"/>
                <w:szCs w:val="24"/>
              </w:rPr>
              <w:t>3、质保期内每年提供2次设备检查保养服务(使用专业检测设备)，每次保养及维修均需提供双方签字确认的保养服务工单或维修工单。</w:t>
            </w:r>
          </w:p>
          <w:p>
            <w:pPr>
              <w:pStyle w:val="20"/>
              <w:snapToGrid w:val="0"/>
              <w:spacing w:line="360" w:lineRule="auto"/>
              <w:rPr>
                <w:rFonts w:hAnsi="宋体"/>
                <w:sz w:val="24"/>
                <w:szCs w:val="24"/>
              </w:rPr>
            </w:pPr>
            <w:r>
              <w:rPr>
                <w:rFonts w:hint="eastAsia" w:hAnsi="宋体"/>
                <w:sz w:val="24"/>
                <w:szCs w:val="24"/>
              </w:rPr>
              <w:t>4、质量保证期承诺优于国家“三包”规定的，或优于采购文件规定的，按竞标人实际承诺执行。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交货时间及地点</w:t>
            </w:r>
          </w:p>
        </w:tc>
        <w:tc>
          <w:tcPr>
            <w:tcW w:w="8492" w:type="dxa"/>
            <w:gridSpan w:val="2"/>
            <w:tcBorders>
              <w:top w:val="single" w:color="auto" w:sz="4" w:space="0"/>
              <w:left w:val="single" w:color="auto" w:sz="4" w:space="0"/>
              <w:bottom w:val="single" w:color="auto" w:sz="4" w:space="0"/>
              <w:right w:val="single" w:color="auto" w:sz="4" w:space="0"/>
            </w:tcBorders>
          </w:tcPr>
          <w:p>
            <w:pPr>
              <w:pStyle w:val="20"/>
              <w:snapToGrid w:val="0"/>
              <w:spacing w:line="360" w:lineRule="auto"/>
              <w:rPr>
                <w:rFonts w:hAnsi="宋体"/>
                <w:sz w:val="24"/>
                <w:szCs w:val="24"/>
              </w:rPr>
            </w:pPr>
            <w:r>
              <w:rPr>
                <w:rFonts w:hint="eastAsia" w:hAnsi="宋体" w:cs="Calibri"/>
                <w:kern w:val="0"/>
                <w:sz w:val="24"/>
                <w:szCs w:val="24"/>
              </w:rPr>
              <w:t>交货时间：自合同签订之日起30个日历天内完成安装、调试并通过验收</w:t>
            </w:r>
            <w:r>
              <w:rPr>
                <w:rFonts w:hint="eastAsia" w:hAnsi="宋体"/>
                <w:sz w:val="24"/>
                <w:szCs w:val="24"/>
              </w:rPr>
              <w:t>。</w:t>
            </w:r>
          </w:p>
          <w:p>
            <w:pPr>
              <w:pStyle w:val="20"/>
              <w:snapToGrid w:val="0"/>
              <w:spacing w:line="360" w:lineRule="auto"/>
              <w:rPr>
                <w:rFonts w:hAnsi="宋体"/>
                <w:b/>
                <w:sz w:val="24"/>
                <w:szCs w:val="24"/>
              </w:rPr>
            </w:pPr>
            <w:r>
              <w:rPr>
                <w:rFonts w:hint="eastAsia" w:hAnsi="宋体"/>
                <w:sz w:val="24"/>
                <w:szCs w:val="24"/>
              </w:rPr>
              <w:t>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color w:val="000000"/>
                <w:sz w:val="24"/>
              </w:rPr>
            </w:pPr>
            <w:r>
              <w:rPr>
                <w:rFonts w:hint="eastAsia" w:ascii="宋体" w:hAnsi="宋体"/>
                <w:color w:val="000000"/>
                <w:sz w:val="24"/>
              </w:rPr>
              <w:t>签订合同日期</w:t>
            </w:r>
          </w:p>
        </w:tc>
        <w:tc>
          <w:tcPr>
            <w:tcW w:w="84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b/>
                <w:color w:val="000000"/>
                <w:sz w:val="24"/>
              </w:rPr>
            </w:pPr>
            <w:r>
              <w:rPr>
                <w:rFonts w:hint="eastAsia" w:ascii="宋体" w:hAnsi="宋体"/>
                <w:sz w:val="24"/>
              </w:rPr>
              <w:t>自成交通知书发出之日起15日内。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FF0000"/>
                <w:sz w:val="24"/>
              </w:rPr>
            </w:pPr>
            <w:r>
              <w:rPr>
                <w:rFonts w:hint="eastAsia" w:ascii="宋体" w:hAnsi="宋体"/>
                <w:color w:val="FF0000"/>
                <w:sz w:val="24"/>
              </w:rPr>
              <w:t>付款条件</w:t>
            </w:r>
          </w:p>
        </w:tc>
        <w:tc>
          <w:tcPr>
            <w:tcW w:w="8492" w:type="dxa"/>
            <w:gridSpan w:val="2"/>
            <w:tcBorders>
              <w:top w:val="single" w:color="auto" w:sz="4" w:space="0"/>
              <w:left w:val="single" w:color="auto" w:sz="4" w:space="0"/>
              <w:bottom w:val="single" w:color="auto" w:sz="4" w:space="0"/>
              <w:right w:val="single" w:color="auto" w:sz="4" w:space="0"/>
            </w:tcBorders>
          </w:tcPr>
          <w:p>
            <w:pPr>
              <w:rPr>
                <w:rFonts w:hAnsi="宋体"/>
                <w:b/>
                <w:color w:val="FF0000"/>
                <w:sz w:val="24"/>
                <w:szCs w:val="24"/>
              </w:rPr>
            </w:pPr>
            <w:r>
              <w:rPr>
                <w:rFonts w:hint="eastAsia" w:hAnsi="宋体"/>
                <w:color w:val="FF0000"/>
                <w:sz w:val="24"/>
              </w:rPr>
              <w:t>银行转账，</w:t>
            </w:r>
            <w:r>
              <w:rPr>
                <w:rFonts w:ascii="宋体" w:hAnsi="宋体" w:cs="宋体"/>
                <w:bCs/>
                <w:color w:val="FF0000"/>
                <w:kern w:val="0"/>
                <w:sz w:val="24"/>
              </w:rPr>
              <w:t>自设备安装调试验收合格交付使用后，支付合同款总金额的60%,合同款总金额的35%一年内无息付清，合同款总金额的5%作为履约保证金，质保期满后无息付清。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▲医疗器械注册证</w:t>
            </w:r>
          </w:p>
        </w:tc>
        <w:tc>
          <w:tcPr>
            <w:tcW w:w="84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以上货物供应商所投产品属医疗器械管理范畴的，投标产品属第二、三类医疗器械产品的，投标文件中须按《医疗器械注册管理办法》（国家食品药品监督管理总局令第4号）提供该设备有效的医疗器械注册证复印件加盖投标单位公章，否则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▲售后服务</w:t>
            </w:r>
          </w:p>
          <w:p>
            <w:pPr>
              <w:snapToGrid w:val="0"/>
              <w:spacing w:line="360" w:lineRule="auto"/>
              <w:jc w:val="center"/>
              <w:rPr>
                <w:rFonts w:ascii="宋体" w:hAnsi="宋体"/>
                <w:sz w:val="24"/>
              </w:rPr>
            </w:pPr>
            <w:r>
              <w:rPr>
                <w:rFonts w:hint="eastAsia" w:ascii="宋体" w:hAnsi="宋体"/>
                <w:sz w:val="24"/>
              </w:rPr>
              <w:t>要求</w:t>
            </w:r>
          </w:p>
        </w:tc>
        <w:tc>
          <w:tcPr>
            <w:tcW w:w="8492" w:type="dxa"/>
            <w:gridSpan w:val="2"/>
            <w:tcBorders>
              <w:top w:val="single" w:color="auto" w:sz="4" w:space="0"/>
              <w:left w:val="single" w:color="auto" w:sz="4" w:space="0"/>
              <w:bottom w:val="single" w:color="auto" w:sz="4" w:space="0"/>
              <w:right w:val="single" w:color="auto" w:sz="4" w:space="0"/>
            </w:tcBorders>
            <w:vAlign w:val="center"/>
          </w:tcPr>
          <w:p>
            <w:pPr>
              <w:pStyle w:val="20"/>
              <w:snapToGrid w:val="0"/>
              <w:spacing w:line="360" w:lineRule="auto"/>
              <w:rPr>
                <w:rFonts w:hAnsi="宋体"/>
                <w:sz w:val="24"/>
                <w:szCs w:val="24"/>
              </w:rPr>
            </w:pPr>
            <w:r>
              <w:rPr>
                <w:rFonts w:hint="eastAsia" w:hAnsi="宋体"/>
                <w:sz w:val="24"/>
                <w:szCs w:val="24"/>
              </w:rPr>
              <w:t>1、免费送货上门、安装调试，免费培训，验收后产生的木箱等垃圾由中标人负责清理；</w:t>
            </w:r>
          </w:p>
          <w:p>
            <w:pPr>
              <w:pStyle w:val="20"/>
              <w:snapToGrid w:val="0"/>
              <w:spacing w:line="360" w:lineRule="auto"/>
              <w:rPr>
                <w:rFonts w:hAnsi="宋体"/>
                <w:sz w:val="24"/>
                <w:szCs w:val="24"/>
              </w:rPr>
            </w:pPr>
            <w:r>
              <w:rPr>
                <w:rFonts w:hint="eastAsia" w:hAnsi="宋体"/>
                <w:sz w:val="24"/>
                <w:szCs w:val="24"/>
              </w:rPr>
              <w:t>2、竞标人应提出可行的售后服务承诺书；</w:t>
            </w:r>
          </w:p>
          <w:p>
            <w:pPr>
              <w:pStyle w:val="20"/>
              <w:snapToGrid w:val="0"/>
              <w:spacing w:line="360" w:lineRule="auto"/>
              <w:rPr>
                <w:rFonts w:hAnsi="宋体"/>
                <w:sz w:val="24"/>
                <w:szCs w:val="24"/>
              </w:rPr>
            </w:pPr>
            <w:r>
              <w:rPr>
                <w:rFonts w:hint="eastAsia" w:hAnsi="宋体"/>
                <w:sz w:val="24"/>
                <w:szCs w:val="24"/>
              </w:rPr>
              <w:t>3、按厂家承诺实行“三包”；</w:t>
            </w:r>
          </w:p>
          <w:p>
            <w:pPr>
              <w:pStyle w:val="20"/>
              <w:snapToGrid w:val="0"/>
              <w:spacing w:line="360" w:lineRule="auto"/>
              <w:rPr>
                <w:rFonts w:hAnsi="宋体"/>
                <w:sz w:val="24"/>
                <w:szCs w:val="24"/>
              </w:rPr>
            </w:pPr>
            <w:r>
              <w:rPr>
                <w:rFonts w:hint="eastAsia" w:hAnsi="宋体"/>
                <w:sz w:val="24"/>
                <w:szCs w:val="24"/>
              </w:rPr>
              <w:t>4、投标报价包括货物的所有费用，包括采购、运输、安装、劳务、管理、利润、税金、保险、协调、培训、售后服务、配送产品以及所有的不定因素的风险等；</w:t>
            </w:r>
          </w:p>
          <w:p>
            <w:pPr>
              <w:pStyle w:val="20"/>
              <w:snapToGrid w:val="0"/>
              <w:spacing w:line="360" w:lineRule="auto"/>
              <w:rPr>
                <w:rFonts w:hAnsi="宋体"/>
                <w:sz w:val="24"/>
                <w:szCs w:val="24"/>
              </w:rPr>
            </w:pPr>
            <w:r>
              <w:rPr>
                <w:rFonts w:hint="eastAsia" w:hAnsi="宋体"/>
                <w:sz w:val="24"/>
                <w:szCs w:val="24"/>
              </w:rPr>
              <w:t>5、备件、技术及维修服务，培训要求及其它：</w:t>
            </w:r>
          </w:p>
          <w:p>
            <w:pPr>
              <w:pStyle w:val="20"/>
              <w:snapToGrid w:val="0"/>
              <w:spacing w:line="360" w:lineRule="auto"/>
              <w:rPr>
                <w:rFonts w:hAnsi="宋体"/>
                <w:sz w:val="24"/>
                <w:szCs w:val="24"/>
              </w:rPr>
            </w:pPr>
            <w:r>
              <w:rPr>
                <w:rFonts w:hint="eastAsia" w:hAnsi="宋体"/>
                <w:sz w:val="24"/>
                <w:szCs w:val="24"/>
              </w:rPr>
              <w:t>（1）备件要求：竞标人或厂家应在用户当地或省会中心城市设置备件库，存入所有必须的备件，保证必要时可以及时供应；</w:t>
            </w:r>
          </w:p>
          <w:p>
            <w:pPr>
              <w:pStyle w:val="20"/>
              <w:snapToGrid w:val="0"/>
              <w:spacing w:line="360" w:lineRule="auto"/>
              <w:rPr>
                <w:rFonts w:hAnsi="宋体"/>
                <w:sz w:val="24"/>
                <w:szCs w:val="24"/>
              </w:rPr>
            </w:pPr>
            <w:r>
              <w:rPr>
                <w:rFonts w:hint="eastAsia" w:hAnsi="宋体"/>
                <w:sz w:val="24"/>
                <w:szCs w:val="24"/>
              </w:rPr>
              <w:t>（2）技术及维修服务：在用户当地或省会中心城市，竞标人或厂家应配置多名工程技术人员，随时提供开箱验货、安装、调试或维修等服务；</w:t>
            </w:r>
          </w:p>
          <w:p>
            <w:pPr>
              <w:pStyle w:val="20"/>
              <w:snapToGrid w:val="0"/>
              <w:spacing w:line="360" w:lineRule="auto"/>
              <w:rPr>
                <w:rFonts w:hAnsi="宋体"/>
                <w:sz w:val="24"/>
                <w:szCs w:val="24"/>
              </w:rPr>
            </w:pPr>
            <w:r>
              <w:rPr>
                <w:rFonts w:hint="eastAsia" w:hAnsi="宋体"/>
                <w:sz w:val="24"/>
                <w:szCs w:val="24"/>
              </w:rPr>
              <w:t>（3）技术培训要求：在用户当地或省会中心城市，竞标人或厂家应配置专业技术人员提供现场技术培训，保证使用人员正常操作设备的各种功能；</w:t>
            </w:r>
          </w:p>
          <w:p>
            <w:pPr>
              <w:pStyle w:val="20"/>
              <w:snapToGrid w:val="0"/>
              <w:spacing w:line="360" w:lineRule="auto"/>
              <w:rPr>
                <w:rFonts w:hAnsi="宋体"/>
                <w:sz w:val="24"/>
                <w:szCs w:val="24"/>
              </w:rPr>
            </w:pPr>
            <w:r>
              <w:rPr>
                <w:rFonts w:hint="eastAsia" w:hAnsi="宋体"/>
                <w:sz w:val="24"/>
                <w:szCs w:val="24"/>
              </w:rPr>
              <w:t>（4）质保期内设备发生故障时，现场响应时间2小时以内，特殊情况无法到达须提前与科室或设备主管科室沟通。当配件等待周期大于7个工作日时，中标人应按照科室要求提供备用机。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其它要求</w:t>
            </w:r>
          </w:p>
        </w:tc>
        <w:tc>
          <w:tcPr>
            <w:tcW w:w="8492" w:type="dxa"/>
            <w:gridSpan w:val="2"/>
            <w:tcBorders>
              <w:top w:val="single" w:color="auto" w:sz="4" w:space="0"/>
              <w:left w:val="single" w:color="auto" w:sz="4" w:space="0"/>
              <w:bottom w:val="single" w:color="auto" w:sz="4" w:space="0"/>
              <w:right w:val="single" w:color="auto" w:sz="4" w:space="0"/>
            </w:tcBorders>
          </w:tcPr>
          <w:p>
            <w:pPr>
              <w:pStyle w:val="20"/>
              <w:snapToGrid w:val="0"/>
              <w:spacing w:line="360" w:lineRule="auto"/>
              <w:rPr>
                <w:sz w:val="24"/>
                <w:szCs w:val="24"/>
              </w:rPr>
            </w:pPr>
            <w:r>
              <w:rPr>
                <w:rFonts w:hint="eastAsia"/>
                <w:sz w:val="24"/>
                <w:szCs w:val="24"/>
              </w:rPr>
              <w:t>▲1、、成交供应商提交的竞标产品必须是全新且没有使用过的，品种、型号、规格、技 术参数、质量不符合合同规定及采购文件规定标准的，采购人有权拒收该货物，成交供 应商愿意更换货物但逾期交货的，按竞标逾期交货处理。成交供应商拒绝更换货物的， 采购人可单方面解除合同，并有权要求乙方赔偿经济损失。</w:t>
            </w:r>
            <w:bookmarkStart w:id="105" w:name="_GoBack"/>
            <w:bookmarkEnd w:id="105"/>
          </w:p>
          <w:p>
            <w:pPr>
              <w:pStyle w:val="20"/>
              <w:snapToGrid w:val="0"/>
              <w:spacing w:line="360" w:lineRule="auto"/>
              <w:rPr>
                <w:sz w:val="24"/>
                <w:szCs w:val="24"/>
              </w:rPr>
            </w:pPr>
            <w:r>
              <w:rPr>
                <w:rFonts w:hint="eastAsia"/>
                <w:sz w:val="24"/>
                <w:szCs w:val="24"/>
              </w:rPr>
              <w:t>2、竞标时提供投标产品彩色图片或说明书（标明主要技术参数）。</w:t>
            </w:r>
          </w:p>
          <w:p>
            <w:pPr>
              <w:pStyle w:val="20"/>
              <w:snapToGrid w:val="0"/>
              <w:spacing w:line="360" w:lineRule="auto"/>
              <w:rPr>
                <w:sz w:val="24"/>
                <w:szCs w:val="24"/>
              </w:rPr>
            </w:pPr>
            <w:r>
              <w:rPr>
                <w:rFonts w:hint="eastAsia"/>
                <w:sz w:val="24"/>
                <w:szCs w:val="24"/>
              </w:rPr>
              <w:t>▲3、竞标人中标后，采购人在货物验收阶段发现货物的技术参数指标达不到招标文件该货物技术参数要求的，属虚假应标行为，采购人将终止合同拒收货物，追究该中标单位违约责任，赔偿采购人因采购时间延长造成采购人经济等方面损失，视情况采购人将违约情况上报政府采购监督管理部门。</w:t>
            </w:r>
          </w:p>
          <w:p>
            <w:pPr>
              <w:pStyle w:val="20"/>
              <w:snapToGrid w:val="0"/>
              <w:spacing w:line="360" w:lineRule="auto"/>
              <w:rPr>
                <w:sz w:val="24"/>
                <w:szCs w:val="24"/>
              </w:rPr>
            </w:pPr>
            <w:r>
              <w:rPr>
                <w:rFonts w:hint="eastAsia"/>
                <w:sz w:val="24"/>
                <w:szCs w:val="24"/>
              </w:rPr>
              <w:t>4.包装要求：根据《财政部等三部门联合印发商品包装和快递包装政府采购需求标准（试行）》财办库【2020】123 号文规定，若投标产品使用塑料、纸质、木质等包装材料时应满足《商 品包装政府采购需求标准（试行）》要求，若投标产品需要快递包装，快递封装材料应满足《快递包装政府采购需求标准（试行）》要求。</w:t>
            </w:r>
          </w:p>
          <w:p>
            <w:pPr>
              <w:spacing w:line="360" w:lineRule="auto"/>
              <w:rPr>
                <w:sz w:val="24"/>
              </w:rPr>
            </w:pPr>
          </w:p>
        </w:tc>
      </w:tr>
    </w:tbl>
    <w:p>
      <w:pPr>
        <w:tabs>
          <w:tab w:val="left" w:pos="180"/>
          <w:tab w:val="left" w:pos="1620"/>
        </w:tabs>
        <w:spacing w:line="360" w:lineRule="exact"/>
        <w:ind w:firstLine="420" w:firstLineChars="200"/>
        <w:rPr>
          <w:rFonts w:ascii="宋体" w:hAnsi="宋体"/>
          <w:szCs w:val="21"/>
        </w:rPr>
      </w:pPr>
    </w:p>
    <w:p>
      <w:pPr>
        <w:tabs>
          <w:tab w:val="left" w:pos="180"/>
          <w:tab w:val="left" w:pos="1620"/>
        </w:tabs>
        <w:spacing w:line="360" w:lineRule="exact"/>
        <w:ind w:firstLine="422" w:firstLineChars="200"/>
        <w:rPr>
          <w:rFonts w:ascii="宋体" w:hAnsi="宋体"/>
          <w:b/>
          <w:szCs w:val="21"/>
        </w:rPr>
      </w:pPr>
    </w:p>
    <w:bookmarkEnd w:id="4"/>
    <w:bookmarkEnd w:id="5"/>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p>
    <w:p>
      <w:pPr>
        <w:spacing w:line="500" w:lineRule="exact"/>
        <w:rPr>
          <w:rFonts w:ascii="宋体" w:hAnsi="宋体"/>
          <w:b/>
          <w:sz w:val="32"/>
          <w:szCs w:val="32"/>
        </w:rPr>
      </w:pPr>
    </w:p>
    <w:p>
      <w:pPr>
        <w:spacing w:line="500" w:lineRule="exact"/>
        <w:jc w:val="center"/>
        <w:outlineLvl w:val="0"/>
        <w:rPr>
          <w:rFonts w:ascii="宋体" w:hAnsi="宋体"/>
          <w:b/>
          <w:sz w:val="32"/>
          <w:szCs w:val="32"/>
        </w:rPr>
      </w:pPr>
      <w:r>
        <w:rPr>
          <w:rFonts w:hint="eastAsia" w:ascii="宋体" w:hAnsi="宋体"/>
          <w:b/>
          <w:sz w:val="32"/>
          <w:szCs w:val="32"/>
        </w:rPr>
        <w:t>第四章   谈判响应文件基本格式</w:t>
      </w:r>
    </w:p>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outlineLvl w:val="0"/>
        <w:rPr>
          <w:rFonts w:ascii="宋体" w:hAnsi="宋体"/>
          <w:b/>
          <w:sz w:val="32"/>
          <w:szCs w:val="32"/>
        </w:rPr>
      </w:pPr>
    </w:p>
    <w:p>
      <w:pPr>
        <w:spacing w:line="500" w:lineRule="exact"/>
        <w:jc w:val="center"/>
        <w:outlineLvl w:val="0"/>
        <w:rPr>
          <w:rFonts w:ascii="宋体" w:hAnsi="宋体"/>
          <w:b/>
          <w:sz w:val="32"/>
          <w:szCs w:val="32"/>
        </w:rPr>
      </w:pPr>
    </w:p>
    <w:p>
      <w:pPr>
        <w:spacing w:line="500" w:lineRule="exact"/>
        <w:jc w:val="center"/>
        <w:outlineLvl w:val="0"/>
        <w:rPr>
          <w:rFonts w:ascii="宋体" w:hAnsi="宋体"/>
          <w:b/>
          <w:sz w:val="32"/>
          <w:szCs w:val="32"/>
        </w:rPr>
      </w:pPr>
    </w:p>
    <w:p>
      <w:pPr>
        <w:spacing w:line="500" w:lineRule="exact"/>
        <w:jc w:val="center"/>
        <w:outlineLvl w:val="0"/>
        <w:rPr>
          <w:rFonts w:ascii="宋体" w:hAnsi="宋体"/>
          <w:b/>
          <w:sz w:val="32"/>
          <w:szCs w:val="32"/>
        </w:rPr>
      </w:pPr>
      <w:r>
        <w:rPr>
          <w:rFonts w:hint="eastAsia" w:ascii="宋体" w:hAnsi="宋体"/>
          <w:b/>
          <w:sz w:val="32"/>
          <w:szCs w:val="32"/>
        </w:rPr>
        <w:t>竞争性谈判响应文件（封面）</w:t>
      </w:r>
    </w:p>
    <w:p>
      <w:pPr>
        <w:spacing w:line="500" w:lineRule="exact"/>
        <w:jc w:val="center"/>
        <w:rPr>
          <w:rFonts w:ascii="宋体" w:hAnsi="宋体"/>
          <w:sz w:val="28"/>
          <w:szCs w:val="28"/>
        </w:rPr>
      </w:pPr>
    </w:p>
    <w:p>
      <w:pPr>
        <w:pStyle w:val="34"/>
        <w:ind w:firstLine="280"/>
        <w:rPr>
          <w:rFonts w:hAnsi="宋体"/>
          <w:sz w:val="28"/>
          <w:szCs w:val="28"/>
        </w:rPr>
      </w:pPr>
    </w:p>
    <w:p>
      <w:pPr>
        <w:pStyle w:val="34"/>
        <w:ind w:firstLine="280"/>
        <w:rPr>
          <w:rFonts w:hAnsi="宋体"/>
          <w:sz w:val="28"/>
          <w:szCs w:val="28"/>
        </w:rPr>
      </w:pPr>
    </w:p>
    <w:p>
      <w:pPr>
        <w:pStyle w:val="34"/>
        <w:ind w:firstLine="280"/>
        <w:rPr>
          <w:rFonts w:hAnsi="宋体"/>
          <w:sz w:val="28"/>
          <w:szCs w:val="28"/>
        </w:rPr>
      </w:pPr>
    </w:p>
    <w:p>
      <w:pPr>
        <w:pStyle w:val="34"/>
        <w:ind w:firstLine="280"/>
        <w:rPr>
          <w:rFonts w:hAnsi="宋体"/>
          <w:sz w:val="28"/>
          <w:szCs w:val="28"/>
        </w:rPr>
      </w:pPr>
    </w:p>
    <w:p>
      <w:pPr>
        <w:pStyle w:val="34"/>
        <w:ind w:firstLine="280"/>
        <w:rPr>
          <w:rFonts w:hAnsi="宋体"/>
          <w:sz w:val="28"/>
          <w:szCs w:val="28"/>
        </w:rPr>
      </w:pPr>
    </w:p>
    <w:p>
      <w:pPr>
        <w:spacing w:line="500" w:lineRule="exact"/>
        <w:jc w:val="center"/>
        <w:rPr>
          <w:rFonts w:ascii="宋体" w:hAnsi="宋体"/>
          <w:sz w:val="28"/>
          <w:szCs w:val="28"/>
        </w:rPr>
      </w:pPr>
    </w:p>
    <w:p>
      <w:pPr>
        <w:spacing w:line="500" w:lineRule="exact"/>
        <w:ind w:firstLine="555"/>
        <w:rPr>
          <w:rFonts w:ascii="宋体" w:hAnsi="宋体"/>
          <w:sz w:val="28"/>
          <w:szCs w:val="28"/>
          <w:u w:val="single"/>
        </w:rPr>
      </w:pPr>
      <w:r>
        <w:rPr>
          <w:rFonts w:hint="eastAsia" w:ascii="宋体" w:hAnsi="宋体"/>
          <w:sz w:val="28"/>
          <w:szCs w:val="28"/>
        </w:rPr>
        <w:t>采购项目编号：</w:t>
      </w:r>
    </w:p>
    <w:p>
      <w:pPr>
        <w:tabs>
          <w:tab w:val="left" w:pos="3240"/>
        </w:tabs>
        <w:spacing w:line="500" w:lineRule="exact"/>
        <w:ind w:firstLine="560" w:firstLineChars="200"/>
        <w:rPr>
          <w:rFonts w:ascii="宋体" w:hAnsi="宋体"/>
          <w:sz w:val="28"/>
          <w:szCs w:val="28"/>
          <w:u w:val="single"/>
        </w:rPr>
      </w:pPr>
      <w:r>
        <w:rPr>
          <w:rFonts w:hint="eastAsia" w:ascii="宋体" w:hAnsi="宋体"/>
          <w:sz w:val="28"/>
          <w:szCs w:val="28"/>
        </w:rPr>
        <w:t>采购项目名称：</w:t>
      </w:r>
    </w:p>
    <w:p>
      <w:pPr>
        <w:tabs>
          <w:tab w:val="left" w:pos="3240"/>
        </w:tabs>
        <w:spacing w:line="500" w:lineRule="exact"/>
        <w:ind w:firstLine="560" w:firstLineChars="200"/>
        <w:rPr>
          <w:rFonts w:ascii="宋体" w:hAnsi="宋体"/>
          <w:sz w:val="28"/>
          <w:szCs w:val="28"/>
        </w:rPr>
      </w:pPr>
      <w:r>
        <w:rPr>
          <w:rFonts w:hint="eastAsia" w:ascii="宋体" w:hAnsi="宋体"/>
          <w:sz w:val="28"/>
          <w:szCs w:val="28"/>
        </w:rPr>
        <w:t>分标号：</w:t>
      </w:r>
      <w:r>
        <w:rPr>
          <w:rFonts w:hint="eastAsia" w:ascii="宋体" w:hAnsi="宋体"/>
          <w:sz w:val="28"/>
          <w:szCs w:val="28"/>
          <w:u w:val="single"/>
        </w:rPr>
        <w:t>（如有）</w:t>
      </w:r>
    </w:p>
    <w:p>
      <w:pPr>
        <w:tabs>
          <w:tab w:val="left" w:pos="2625"/>
        </w:tabs>
        <w:spacing w:line="500" w:lineRule="exact"/>
        <w:jc w:val="center"/>
        <w:rPr>
          <w:rFonts w:ascii="宋体" w:hAnsi="宋体"/>
          <w:sz w:val="28"/>
          <w:szCs w:val="28"/>
        </w:rPr>
      </w:pPr>
    </w:p>
    <w:p>
      <w:pPr>
        <w:tabs>
          <w:tab w:val="left" w:pos="2625"/>
        </w:tabs>
        <w:spacing w:line="500" w:lineRule="exact"/>
        <w:jc w:val="center"/>
        <w:rPr>
          <w:rFonts w:ascii="宋体" w:hAnsi="宋体"/>
          <w:sz w:val="28"/>
          <w:szCs w:val="28"/>
        </w:rPr>
      </w:pPr>
    </w:p>
    <w:p>
      <w:pPr>
        <w:tabs>
          <w:tab w:val="left" w:pos="2625"/>
        </w:tabs>
        <w:spacing w:line="500" w:lineRule="exact"/>
        <w:jc w:val="center"/>
        <w:rPr>
          <w:rFonts w:ascii="宋体" w:hAnsi="宋体"/>
          <w:sz w:val="28"/>
          <w:szCs w:val="28"/>
        </w:rPr>
      </w:pPr>
    </w:p>
    <w:p>
      <w:pPr>
        <w:spacing w:line="500" w:lineRule="exact"/>
        <w:jc w:val="center"/>
        <w:outlineLvl w:val="1"/>
        <w:rPr>
          <w:rFonts w:ascii="宋体" w:hAnsi="宋体"/>
          <w:sz w:val="28"/>
          <w:szCs w:val="28"/>
        </w:rPr>
      </w:pPr>
      <w:r>
        <w:rPr>
          <w:rFonts w:hint="eastAsia" w:ascii="宋体" w:hAnsi="宋体"/>
          <w:sz w:val="28"/>
          <w:szCs w:val="28"/>
        </w:rPr>
        <w:t xml:space="preserve">                                        （谈判供应商名称）</w:t>
      </w:r>
    </w:p>
    <w:p>
      <w:pPr>
        <w:spacing w:line="500" w:lineRule="exact"/>
        <w:ind w:firstLine="6440" w:firstLineChars="2300"/>
        <w:rPr>
          <w:rFonts w:ascii="宋体" w:hAnsi="宋体"/>
          <w:szCs w:val="21"/>
        </w:rPr>
        <w:sectPr>
          <w:pgSz w:w="11906" w:h="16838"/>
          <w:pgMar w:top="850" w:right="850" w:bottom="850" w:left="850" w:header="720" w:footer="720" w:gutter="0"/>
          <w:cols w:space="720" w:num="1"/>
          <w:titlePg/>
          <w:docGrid w:type="lines" w:linePitch="312" w:charSpace="0"/>
        </w:sectPr>
      </w:pPr>
      <w:r>
        <w:rPr>
          <w:rFonts w:hint="eastAsia" w:ascii="宋体" w:hAnsi="宋体"/>
          <w:sz w:val="28"/>
          <w:szCs w:val="28"/>
        </w:rPr>
        <w:t>年月    日</w:t>
      </w:r>
    </w:p>
    <w:p>
      <w:pPr>
        <w:rPr>
          <w:rFonts w:ascii="宋体" w:hAnsi="宋体"/>
          <w:sz w:val="28"/>
          <w:szCs w:val="28"/>
        </w:rPr>
      </w:pPr>
      <w:r>
        <w:rPr>
          <w:rFonts w:hint="eastAsia" w:ascii="宋体" w:hAnsi="宋体"/>
          <w:sz w:val="28"/>
          <w:szCs w:val="28"/>
        </w:rPr>
        <w:t xml:space="preserve">附件一：                    </w:t>
      </w:r>
    </w:p>
    <w:p>
      <w:pPr>
        <w:spacing w:line="520" w:lineRule="exact"/>
        <w:jc w:val="center"/>
        <w:outlineLvl w:val="2"/>
        <w:rPr>
          <w:rFonts w:ascii="宋体" w:hAnsi="宋体"/>
          <w:b/>
          <w:sz w:val="28"/>
          <w:szCs w:val="28"/>
        </w:rPr>
      </w:pPr>
      <w:r>
        <w:rPr>
          <w:rFonts w:hint="eastAsia" w:ascii="宋体" w:hAnsi="宋体"/>
          <w:b/>
          <w:sz w:val="28"/>
          <w:szCs w:val="28"/>
        </w:rPr>
        <w:t>竞标声明书</w:t>
      </w:r>
    </w:p>
    <w:p>
      <w:pPr>
        <w:spacing w:line="320" w:lineRule="exact"/>
        <w:jc w:val="center"/>
        <w:rPr>
          <w:rFonts w:ascii="宋体" w:hAnsi="宋体"/>
          <w:szCs w:val="21"/>
        </w:rPr>
      </w:pPr>
    </w:p>
    <w:p>
      <w:pPr>
        <w:snapToGrid w:val="0"/>
        <w:spacing w:beforeLines="50" w:after="50" w:line="360" w:lineRule="auto"/>
        <w:rPr>
          <w:rFonts w:ascii="宋体" w:hAnsi="宋体"/>
          <w:sz w:val="24"/>
        </w:rPr>
      </w:pPr>
      <w:r>
        <w:rPr>
          <w:rFonts w:hint="eastAsia" w:ascii="宋体" w:hAnsi="宋体"/>
          <w:sz w:val="24"/>
        </w:rPr>
        <w:t>致：（招标采购单位名称）：</w:t>
      </w:r>
    </w:p>
    <w:p>
      <w:pPr>
        <w:snapToGrid w:val="0"/>
        <w:spacing w:beforeLines="50" w:after="50" w:line="420" w:lineRule="exact"/>
        <w:ind w:firstLine="480" w:firstLineChars="200"/>
        <w:rPr>
          <w:rFonts w:ascii="宋体" w:hAnsi="宋体"/>
          <w:sz w:val="24"/>
        </w:rPr>
      </w:pPr>
      <w:r>
        <w:rPr>
          <w:rFonts w:hint="eastAsia" w:ascii="宋体" w:hAnsi="宋体"/>
          <w:sz w:val="24"/>
        </w:rPr>
        <w:t>（供应商名称）系中华人民共和国合法企业，经营地址。</w:t>
      </w:r>
    </w:p>
    <w:p>
      <w:pPr>
        <w:snapToGrid w:val="0"/>
        <w:spacing w:beforeLines="50" w:line="420" w:lineRule="exact"/>
        <w:ind w:firstLine="480" w:firstLineChars="200"/>
        <w:rPr>
          <w:rFonts w:ascii="宋体" w:hAnsi="宋体"/>
          <w:sz w:val="24"/>
          <w:u w:val="single"/>
        </w:rPr>
      </w:pPr>
      <w:r>
        <w:rPr>
          <w:rFonts w:hint="eastAsia" w:ascii="宋体" w:hAnsi="宋体"/>
          <w:sz w:val="24"/>
        </w:rPr>
        <w:t>我（姓名）系（供应商名称）的法定代表人，我方愿意参加贵方组织的</w:t>
      </w:r>
    </w:p>
    <w:p>
      <w:pPr>
        <w:snapToGrid w:val="0"/>
        <w:spacing w:beforeLines="50" w:line="420" w:lineRule="exact"/>
        <w:rPr>
          <w:rFonts w:ascii="宋体" w:hAnsi="宋体"/>
          <w:sz w:val="24"/>
        </w:rPr>
      </w:pPr>
      <w:r>
        <w:rPr>
          <w:rFonts w:hint="eastAsia" w:ascii="宋体" w:hAnsi="宋体"/>
          <w:sz w:val="24"/>
        </w:rPr>
        <w:t>项目的竞标，为便于贵方公正、择优地确定成交供应商及其竞标产品和服务，我方就本次竞标有关事项郑重声明如下：</w:t>
      </w:r>
    </w:p>
    <w:p>
      <w:pPr>
        <w:snapToGrid w:val="0"/>
        <w:spacing w:beforeLines="50" w:line="420" w:lineRule="exact"/>
        <w:ind w:firstLine="480" w:firstLineChars="200"/>
        <w:rPr>
          <w:rFonts w:ascii="宋体" w:hAnsi="宋体"/>
          <w:sz w:val="24"/>
        </w:rPr>
      </w:pPr>
      <w:r>
        <w:rPr>
          <w:rFonts w:hint="eastAsia" w:ascii="宋体" w:hAnsi="宋体"/>
          <w:sz w:val="24"/>
        </w:rPr>
        <w:t>1.我方向贵方提交的所有响应文件、资料都是准确的和真实的。</w:t>
      </w:r>
    </w:p>
    <w:p>
      <w:pPr>
        <w:snapToGrid w:val="0"/>
        <w:spacing w:beforeLines="50" w:line="420" w:lineRule="exact"/>
        <w:ind w:firstLine="480" w:firstLineChars="200"/>
        <w:rPr>
          <w:rFonts w:ascii="宋体" w:hAnsi="宋体"/>
          <w:sz w:val="24"/>
        </w:rPr>
      </w:pPr>
      <w:r>
        <w:rPr>
          <w:rFonts w:hint="eastAsia" w:ascii="宋体" w:hAnsi="宋体"/>
          <w:sz w:val="24"/>
        </w:rPr>
        <w:t>2.我方不是采购人的附属机构；在获知本项目采购信息后，与采购人聘请的为此项目提供咨询服务的公司及其附属机构没有任何联系。</w:t>
      </w:r>
    </w:p>
    <w:p>
      <w:pPr>
        <w:snapToGrid w:val="0"/>
        <w:spacing w:beforeLines="50" w:line="420" w:lineRule="exact"/>
        <w:ind w:firstLine="480" w:firstLineChars="200"/>
        <w:rPr>
          <w:rFonts w:ascii="宋体" w:hAnsi="宋体"/>
          <w:sz w:val="24"/>
        </w:rPr>
      </w:pPr>
      <w:r>
        <w:rPr>
          <w:rFonts w:hint="eastAsia" w:ascii="宋体" w:hAnsi="宋体"/>
          <w:sz w:val="24"/>
        </w:rPr>
        <w:t>3.我方此次向贵方提供的产品名称为：；规格型号：；该型号产品我方有现货可供，并已于年月生产完工或向</w:t>
      </w:r>
      <w:r>
        <w:rPr>
          <w:rFonts w:hint="eastAsia" w:ascii="宋体" w:hAnsi="宋体"/>
          <w:sz w:val="24"/>
          <w:u w:val="single"/>
        </w:rPr>
        <w:t xml:space="preserve">　　           </w:t>
      </w:r>
      <w:r>
        <w:rPr>
          <w:rFonts w:hint="eastAsia" w:ascii="宋体" w:hAnsi="宋体"/>
          <w:sz w:val="24"/>
        </w:rPr>
        <w:t>（原厂商名称）购进［</w:t>
      </w:r>
      <w:r>
        <w:rPr>
          <w:rFonts w:hint="eastAsia" w:ascii="宋体" w:hAnsi="宋体"/>
          <w:bCs/>
          <w:sz w:val="24"/>
        </w:rPr>
        <w:t>或</w:t>
      </w:r>
      <w:r>
        <w:rPr>
          <w:rFonts w:hint="eastAsia" w:ascii="宋体" w:hAnsi="宋体"/>
          <w:sz w:val="24"/>
        </w:rPr>
        <w:t>需在中标后向订购］。</w:t>
      </w:r>
    </w:p>
    <w:p>
      <w:pPr>
        <w:snapToGrid w:val="0"/>
        <w:spacing w:beforeLines="50" w:line="420" w:lineRule="exact"/>
        <w:ind w:firstLine="480" w:firstLineChars="200"/>
        <w:rPr>
          <w:rFonts w:ascii="宋体" w:hAnsi="宋体"/>
          <w:sz w:val="24"/>
          <w:u w:val="single"/>
        </w:rPr>
      </w:pPr>
      <w:r>
        <w:rPr>
          <w:rFonts w:hint="eastAsia" w:ascii="宋体" w:hAnsi="宋体"/>
          <w:sz w:val="24"/>
        </w:rPr>
        <w:t>4.我方诚意提请贵方关注：近期有关该型号产品的生产、供货、售后服务以及性能等方面的重大决策和事项有：</w:t>
      </w:r>
      <w:r>
        <w:rPr>
          <w:rFonts w:hint="eastAsia" w:ascii="宋体" w:hAnsi="宋体"/>
          <w:sz w:val="24"/>
          <w:u w:val="single"/>
        </w:rPr>
        <w:t>　　　　　　　　　　　　　　　　　　　　　　　　　　　</w:t>
      </w:r>
    </w:p>
    <w:p>
      <w:pPr>
        <w:pStyle w:val="18"/>
        <w:snapToGrid w:val="0"/>
        <w:spacing w:line="420" w:lineRule="exact"/>
        <w:ind w:firstLine="464" w:firstLineChars="200"/>
        <w:rPr>
          <w:rFonts w:hAnsi="宋体"/>
          <w:sz w:val="24"/>
          <w:szCs w:val="24"/>
          <w:u w:val="single"/>
        </w:rPr>
      </w:pPr>
      <w:r>
        <w:rPr>
          <w:rFonts w:hint="eastAsia" w:hAnsi="宋体"/>
          <w:sz w:val="24"/>
          <w:szCs w:val="24"/>
        </w:rPr>
        <w:t>5. 以上事项如有虚假或隐瞒，我方愿意承担一切后果，并不再寻求任何旨在减轻或免除法律责任的辩解。</w:t>
      </w:r>
    </w:p>
    <w:p>
      <w:pPr>
        <w:spacing w:line="420" w:lineRule="exact"/>
        <w:ind w:firstLine="480" w:firstLineChars="200"/>
        <w:rPr>
          <w:rFonts w:ascii="宋体" w:hAnsi="宋体"/>
          <w:sz w:val="24"/>
        </w:rPr>
      </w:pPr>
      <w:r>
        <w:rPr>
          <w:rFonts w:hint="eastAsia" w:ascii="宋体" w:hAnsi="宋体"/>
          <w:sz w:val="24"/>
        </w:rPr>
        <w:t>6. 根据</w:t>
      </w:r>
      <w:r>
        <w:rPr>
          <w:rFonts w:ascii="宋体" w:hAnsi="宋体"/>
          <w:sz w:val="24"/>
        </w:rPr>
        <w:t>《中华人民共和国政府采购法实施条例》第五十条要求对政府采购合同进行公告</w:t>
      </w:r>
      <w:r>
        <w:rPr>
          <w:rFonts w:hint="eastAsia" w:ascii="宋体" w:hAnsi="宋体"/>
          <w:sz w:val="24"/>
        </w:rPr>
        <w:t>，</w:t>
      </w:r>
      <w:r>
        <w:rPr>
          <w:rFonts w:ascii="宋体" w:hAnsi="宋体"/>
          <w:sz w:val="24"/>
        </w:rPr>
        <w:t>但政府采购合同中涉及国家秘密、商业秘密的内容除外。</w:t>
      </w:r>
      <w:r>
        <w:rPr>
          <w:rFonts w:hint="eastAsia" w:ascii="宋体" w:hAnsi="宋体"/>
          <w:sz w:val="24"/>
        </w:rPr>
        <w:t>我方就对本次响应文件进行注明如下：（两项内容中必须选择一项）</w:t>
      </w:r>
    </w:p>
    <w:p>
      <w:pPr>
        <w:spacing w:line="420" w:lineRule="exact"/>
        <w:ind w:firstLine="480" w:firstLineChars="200"/>
        <w:rPr>
          <w:rFonts w:ascii="宋体" w:hAnsi="宋体"/>
          <w:sz w:val="24"/>
        </w:rPr>
      </w:pPr>
      <w:r>
        <w:rPr>
          <w:rFonts w:hint="eastAsia" w:ascii="宋体" w:hAnsi="宋体"/>
          <w:sz w:val="24"/>
        </w:rPr>
        <w:t>□我方本次响应文件</w:t>
      </w:r>
      <w:r>
        <w:rPr>
          <w:rFonts w:ascii="宋体" w:hAnsi="宋体" w:cs="宋体"/>
          <w:kern w:val="0"/>
          <w:sz w:val="24"/>
        </w:rPr>
        <w:t>内容中</w:t>
      </w:r>
      <w:r>
        <w:rPr>
          <w:rFonts w:hint="eastAsia" w:ascii="宋体" w:hAnsi="宋体"/>
          <w:sz w:val="24"/>
        </w:rPr>
        <w:t>未</w:t>
      </w:r>
      <w:r>
        <w:rPr>
          <w:rFonts w:ascii="宋体" w:hAnsi="宋体" w:cs="宋体"/>
          <w:kern w:val="0"/>
          <w:sz w:val="24"/>
        </w:rPr>
        <w:t>涉及商业秘密</w:t>
      </w:r>
      <w:r>
        <w:rPr>
          <w:rFonts w:hint="eastAsia" w:ascii="宋体" w:hAnsi="宋体" w:cs="宋体"/>
          <w:kern w:val="0"/>
          <w:sz w:val="24"/>
        </w:rPr>
        <w:t>；</w:t>
      </w:r>
    </w:p>
    <w:p>
      <w:pPr>
        <w:spacing w:line="420" w:lineRule="exact"/>
        <w:ind w:firstLine="480" w:firstLineChars="200"/>
        <w:rPr>
          <w:rFonts w:ascii="宋体" w:hAnsi="宋体"/>
          <w:sz w:val="24"/>
          <w:u w:val="single"/>
        </w:rPr>
      </w:pPr>
      <w:r>
        <w:rPr>
          <w:rFonts w:hint="eastAsia" w:ascii="宋体" w:hAnsi="宋体"/>
          <w:sz w:val="24"/>
        </w:rPr>
        <w:t>□我方本次响应文件</w:t>
      </w:r>
      <w:r>
        <w:rPr>
          <w:rFonts w:ascii="宋体" w:hAnsi="宋体" w:cs="宋体"/>
          <w:kern w:val="0"/>
          <w:sz w:val="24"/>
        </w:rPr>
        <w:t>涉及商业秘密</w:t>
      </w:r>
      <w:r>
        <w:rPr>
          <w:rFonts w:hint="eastAsia" w:ascii="宋体" w:hAnsi="宋体" w:cs="宋体"/>
          <w:kern w:val="0"/>
          <w:sz w:val="24"/>
        </w:rPr>
        <w:t>的</w:t>
      </w:r>
      <w:r>
        <w:rPr>
          <w:rFonts w:ascii="宋体" w:hAnsi="宋体" w:cs="宋体"/>
          <w:kern w:val="0"/>
          <w:sz w:val="24"/>
        </w:rPr>
        <w:t>内容</w:t>
      </w:r>
      <w:r>
        <w:rPr>
          <w:rFonts w:hint="eastAsia" w:ascii="宋体" w:hAnsi="宋体" w:cs="宋体"/>
          <w:kern w:val="0"/>
          <w:sz w:val="24"/>
        </w:rPr>
        <w:t>有：；</w:t>
      </w:r>
    </w:p>
    <w:p>
      <w:pPr>
        <w:pStyle w:val="19"/>
        <w:tabs>
          <w:tab w:val="left" w:pos="939"/>
        </w:tabs>
        <w:snapToGrid w:val="0"/>
        <w:spacing w:line="420" w:lineRule="exact"/>
        <w:ind w:left="2" w:leftChars="1" w:firstLine="480" w:firstLineChars="200"/>
        <w:rPr>
          <w:rFonts w:ascii="宋体" w:hAnsi="宋体"/>
          <w:sz w:val="24"/>
        </w:rPr>
      </w:pPr>
      <w:r>
        <w:rPr>
          <w:rFonts w:hint="eastAsia" w:ascii="宋体" w:hAnsi="宋体"/>
          <w:sz w:val="24"/>
        </w:rPr>
        <w:t>7.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Lines="50" w:line="360" w:lineRule="auto"/>
        <w:ind w:right="480" w:firstLine="6196" w:firstLineChars="2582"/>
        <w:rPr>
          <w:rFonts w:ascii="宋体" w:hAnsi="宋体"/>
          <w:sz w:val="24"/>
          <w:u w:val="single"/>
        </w:rPr>
      </w:pPr>
      <w:r>
        <w:rPr>
          <w:rFonts w:hint="eastAsia" w:ascii="宋体" w:hAnsi="宋体"/>
          <w:sz w:val="24"/>
        </w:rPr>
        <w:t>法定代表人签字：</w:t>
      </w:r>
    </w:p>
    <w:p>
      <w:pPr>
        <w:snapToGrid w:val="0"/>
        <w:spacing w:beforeLines="50" w:after="50" w:line="360" w:lineRule="auto"/>
        <w:ind w:right="480" w:firstLine="6120" w:firstLineChars="2550"/>
        <w:rPr>
          <w:rFonts w:ascii="宋体" w:hAnsi="宋体"/>
          <w:sz w:val="24"/>
        </w:rPr>
      </w:pPr>
      <w:r>
        <w:rPr>
          <w:rFonts w:hint="eastAsia" w:ascii="宋体" w:hAnsi="宋体"/>
          <w:sz w:val="24"/>
        </w:rPr>
        <w:t>供应商公章：</w:t>
      </w:r>
    </w:p>
    <w:p>
      <w:pPr>
        <w:snapToGrid w:val="0"/>
        <w:spacing w:beforeLines="50" w:after="50" w:line="360" w:lineRule="auto"/>
        <w:ind w:right="480" w:firstLine="240" w:firstLineChars="100"/>
        <w:jc w:val="left"/>
        <w:rPr>
          <w:rFonts w:ascii="宋体" w:hAnsi="宋体"/>
          <w:sz w:val="28"/>
          <w:szCs w:val="28"/>
        </w:rPr>
      </w:pPr>
      <w:r>
        <w:rPr>
          <w:rFonts w:hint="eastAsia" w:ascii="宋体" w:hAnsi="宋体"/>
          <w:sz w:val="24"/>
        </w:rPr>
        <w:t xml:space="preserve"> 年    月    日</w:t>
      </w:r>
      <w:r>
        <w:rPr>
          <w:rFonts w:ascii="宋体" w:hAnsi="宋体"/>
          <w:szCs w:val="21"/>
        </w:rPr>
        <w:br w:type="page"/>
      </w:r>
      <w:r>
        <w:rPr>
          <w:rFonts w:hint="eastAsia" w:ascii="宋体" w:hAnsi="宋体"/>
          <w:sz w:val="28"/>
          <w:szCs w:val="28"/>
        </w:rPr>
        <w:t>附件二：</w:t>
      </w:r>
    </w:p>
    <w:p>
      <w:pPr>
        <w:spacing w:line="520" w:lineRule="exact"/>
        <w:jc w:val="center"/>
        <w:outlineLvl w:val="0"/>
        <w:rPr>
          <w:rFonts w:ascii="宋体" w:hAnsi="宋体"/>
          <w:b/>
          <w:sz w:val="32"/>
          <w:szCs w:val="32"/>
        </w:rPr>
      </w:pPr>
      <w:r>
        <w:rPr>
          <w:rFonts w:hint="eastAsia" w:ascii="宋体" w:hAnsi="宋体"/>
          <w:b/>
          <w:sz w:val="32"/>
          <w:szCs w:val="32"/>
        </w:rPr>
        <w:t>谈  判  书</w:t>
      </w:r>
    </w:p>
    <w:p>
      <w:pPr>
        <w:pStyle w:val="20"/>
        <w:spacing w:line="520" w:lineRule="exact"/>
        <w:rPr>
          <w:rFonts w:hAnsi="宋体"/>
          <w:sz w:val="24"/>
          <w:szCs w:val="24"/>
        </w:rPr>
      </w:pPr>
      <w:r>
        <w:rPr>
          <w:rFonts w:hint="eastAsia" w:hAnsi="宋体"/>
          <w:sz w:val="24"/>
          <w:szCs w:val="24"/>
          <w:u w:val="single"/>
        </w:rPr>
        <w:t xml:space="preserve">广西元强建设项目管理有限公司 </w:t>
      </w:r>
      <w:r>
        <w:rPr>
          <w:rFonts w:hint="eastAsia" w:hAnsi="宋体"/>
          <w:sz w:val="24"/>
          <w:szCs w:val="24"/>
        </w:rPr>
        <w:t>：</w:t>
      </w:r>
    </w:p>
    <w:p>
      <w:pPr>
        <w:pStyle w:val="20"/>
        <w:spacing w:line="520" w:lineRule="exact"/>
        <w:ind w:firstLine="480"/>
        <w:rPr>
          <w:rFonts w:hAnsi="宋体"/>
          <w:sz w:val="24"/>
          <w:szCs w:val="24"/>
        </w:rPr>
      </w:pPr>
      <w:r>
        <w:rPr>
          <w:rFonts w:hint="eastAsia" w:hAnsi="宋体"/>
          <w:sz w:val="24"/>
          <w:szCs w:val="24"/>
        </w:rPr>
        <w:t>依据贵方</w:t>
      </w:r>
      <w:r>
        <w:rPr>
          <w:rFonts w:hint="eastAsia" w:hAnsi="宋体"/>
          <w:sz w:val="24"/>
          <w:szCs w:val="24"/>
          <w:u w:val="single"/>
        </w:rPr>
        <w:t>[ 医疗设备采购及安装/项目编号QZZC2020-J1-000901-GXYQ]</w:t>
      </w:r>
      <w:r>
        <w:rPr>
          <w:rFonts w:hint="eastAsia" w:hAnsi="宋体"/>
          <w:sz w:val="24"/>
          <w:szCs w:val="24"/>
        </w:rPr>
        <w:t>项目政府采购的竞争性谈判采购文件，我方</w:t>
      </w:r>
      <w:r>
        <w:rPr>
          <w:rFonts w:hint="eastAsia" w:hAnsi="宋体"/>
          <w:sz w:val="24"/>
          <w:szCs w:val="24"/>
          <w:u w:val="single"/>
        </w:rPr>
        <w:t>（姓名和职务）</w:t>
      </w:r>
      <w:r>
        <w:rPr>
          <w:rFonts w:hint="eastAsia" w:hAnsi="宋体"/>
          <w:sz w:val="24"/>
          <w:szCs w:val="24"/>
        </w:rPr>
        <w:t>经正式授权并代表谈判供应商</w:t>
      </w:r>
      <w:r>
        <w:rPr>
          <w:rFonts w:hint="eastAsia" w:hAnsi="宋体"/>
          <w:sz w:val="24"/>
          <w:szCs w:val="24"/>
          <w:u w:val="single"/>
        </w:rPr>
        <w:t>（谈判供应商名称、地址）</w:t>
      </w:r>
      <w:r>
        <w:rPr>
          <w:rFonts w:hint="eastAsia" w:hAnsi="宋体"/>
          <w:sz w:val="24"/>
          <w:szCs w:val="24"/>
        </w:rPr>
        <w:t>提交下述竞争性谈判响应文件价格文件、技术服务文件正本一份和副本</w:t>
      </w:r>
      <w:r>
        <w:rPr>
          <w:rFonts w:hint="eastAsia" w:hAnsi="宋体"/>
          <w:sz w:val="24"/>
          <w:szCs w:val="24"/>
          <w:u w:val="single"/>
        </w:rPr>
        <w:t>四</w:t>
      </w:r>
      <w:r>
        <w:rPr>
          <w:rFonts w:hint="eastAsia" w:hAnsi="宋体"/>
          <w:sz w:val="24"/>
          <w:szCs w:val="24"/>
        </w:rPr>
        <w:t>份。</w:t>
      </w:r>
    </w:p>
    <w:p>
      <w:pPr>
        <w:pStyle w:val="20"/>
        <w:spacing w:line="520" w:lineRule="exact"/>
        <w:ind w:firstLine="480"/>
        <w:outlineLvl w:val="0"/>
        <w:rPr>
          <w:rFonts w:hAnsi="宋体"/>
          <w:sz w:val="24"/>
          <w:szCs w:val="24"/>
        </w:rPr>
      </w:pPr>
      <w:r>
        <w:rPr>
          <w:rFonts w:hint="eastAsia" w:hAnsi="宋体"/>
          <w:sz w:val="24"/>
          <w:szCs w:val="24"/>
        </w:rPr>
        <w:t>1. 谈判书；</w:t>
      </w:r>
    </w:p>
    <w:p>
      <w:pPr>
        <w:pStyle w:val="20"/>
        <w:spacing w:line="520" w:lineRule="exact"/>
        <w:ind w:firstLine="480"/>
        <w:outlineLvl w:val="0"/>
        <w:rPr>
          <w:rFonts w:hAnsi="宋体"/>
          <w:sz w:val="24"/>
          <w:szCs w:val="24"/>
        </w:rPr>
      </w:pPr>
      <w:r>
        <w:rPr>
          <w:rFonts w:hint="eastAsia" w:hAnsi="宋体"/>
          <w:sz w:val="24"/>
          <w:szCs w:val="24"/>
        </w:rPr>
        <w:t>2. 谈判报价表；</w:t>
      </w:r>
    </w:p>
    <w:p>
      <w:pPr>
        <w:pStyle w:val="20"/>
        <w:spacing w:line="520" w:lineRule="exact"/>
        <w:ind w:firstLine="480"/>
        <w:outlineLvl w:val="0"/>
        <w:rPr>
          <w:rFonts w:hAnsi="宋体"/>
          <w:sz w:val="24"/>
          <w:szCs w:val="24"/>
        </w:rPr>
      </w:pPr>
      <w:r>
        <w:rPr>
          <w:rFonts w:hint="eastAsia" w:hAnsi="宋体"/>
          <w:sz w:val="24"/>
          <w:szCs w:val="24"/>
        </w:rPr>
        <w:t>3. 供货范围一览表；</w:t>
      </w:r>
    </w:p>
    <w:p>
      <w:pPr>
        <w:pStyle w:val="20"/>
        <w:spacing w:line="520" w:lineRule="exact"/>
        <w:ind w:firstLine="480"/>
        <w:outlineLvl w:val="0"/>
        <w:rPr>
          <w:rFonts w:hAnsi="宋体"/>
          <w:sz w:val="24"/>
          <w:szCs w:val="24"/>
        </w:rPr>
      </w:pPr>
      <w:r>
        <w:rPr>
          <w:rFonts w:hint="eastAsia" w:hAnsi="宋体"/>
          <w:sz w:val="24"/>
          <w:szCs w:val="24"/>
        </w:rPr>
        <w:t>4. 技术规格响应、偏离情况说明表；</w:t>
      </w:r>
    </w:p>
    <w:p>
      <w:pPr>
        <w:pStyle w:val="20"/>
        <w:spacing w:line="520" w:lineRule="exact"/>
        <w:ind w:firstLine="480"/>
        <w:outlineLvl w:val="0"/>
        <w:rPr>
          <w:rFonts w:hAnsi="宋体"/>
          <w:sz w:val="24"/>
          <w:szCs w:val="24"/>
        </w:rPr>
      </w:pPr>
      <w:r>
        <w:rPr>
          <w:rFonts w:hint="eastAsia" w:hAnsi="宋体"/>
          <w:sz w:val="24"/>
          <w:szCs w:val="24"/>
        </w:rPr>
        <w:t>5. 按竞争性谈判文件谈判须知和技术规格要求提供的有关文件；</w:t>
      </w:r>
    </w:p>
    <w:p>
      <w:pPr>
        <w:pStyle w:val="20"/>
        <w:spacing w:line="520" w:lineRule="exact"/>
        <w:ind w:firstLine="480"/>
        <w:outlineLvl w:val="0"/>
        <w:rPr>
          <w:rFonts w:hAnsi="宋体"/>
          <w:sz w:val="24"/>
          <w:szCs w:val="24"/>
        </w:rPr>
      </w:pPr>
      <w:r>
        <w:rPr>
          <w:rFonts w:hint="eastAsia" w:hAnsi="宋体"/>
          <w:sz w:val="24"/>
          <w:szCs w:val="24"/>
        </w:rPr>
        <w:t>6. 资格证明文件；</w:t>
      </w:r>
    </w:p>
    <w:p>
      <w:pPr>
        <w:pStyle w:val="20"/>
        <w:spacing w:line="520" w:lineRule="exact"/>
        <w:rPr>
          <w:rFonts w:hint="eastAsia" w:hAnsi="宋体"/>
          <w:sz w:val="24"/>
          <w:szCs w:val="24"/>
        </w:rPr>
      </w:pPr>
      <w:r>
        <w:rPr>
          <w:rFonts w:hint="eastAsia" w:hAnsi="宋体"/>
          <w:sz w:val="24"/>
          <w:szCs w:val="24"/>
        </w:rPr>
        <w:t>在此，授权代表宣布同意如下：</w:t>
      </w:r>
    </w:p>
    <w:p>
      <w:pPr>
        <w:ind w:left="719" w:leftChars="228" w:hanging="240" w:hangingChars="100"/>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1.</w:t>
      </w:r>
      <w:r>
        <w:rPr>
          <w:rFonts w:hint="eastAsia" w:ascii="宋体" w:hAnsi="宋体" w:eastAsia="宋体" w:cs="Times New Roman"/>
          <w:kern w:val="2"/>
          <w:sz w:val="24"/>
          <w:szCs w:val="24"/>
          <w:lang w:val="en-US" w:eastAsia="zh-CN" w:bidi="ar-SA"/>
        </w:rPr>
        <w:t>按竞争性谈判采购条件书</w:t>
      </w:r>
      <w:r>
        <w:rPr>
          <w:rFonts w:hint="eastAsia" w:ascii="宋体" w:hAnsi="宋体" w:cs="Times New Roman"/>
          <w:kern w:val="2"/>
          <w:sz w:val="24"/>
          <w:szCs w:val="24"/>
          <w:lang w:val="en-US" w:eastAsia="zh-CN" w:bidi="ar-SA"/>
        </w:rPr>
        <w:t>货物需求一览表</w:t>
      </w:r>
      <w:r>
        <w:rPr>
          <w:rFonts w:hint="eastAsia" w:ascii="宋体" w:hAnsi="宋体" w:eastAsia="宋体" w:cs="Times New Roman"/>
          <w:kern w:val="2"/>
          <w:sz w:val="24"/>
          <w:szCs w:val="24"/>
          <w:lang w:val="en-US" w:eastAsia="zh-CN" w:bidi="ar-SA"/>
        </w:rPr>
        <w:t>和竞标报价表，竞标总报价人民币（大写）</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元 (￥</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)，交货期：</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w:t>
      </w:r>
    </w:p>
    <w:p>
      <w:pPr>
        <w:pStyle w:val="20"/>
        <w:spacing w:line="520" w:lineRule="exact"/>
        <w:ind w:firstLine="480"/>
        <w:rPr>
          <w:rFonts w:hAnsi="宋体"/>
          <w:sz w:val="24"/>
          <w:szCs w:val="24"/>
        </w:rPr>
      </w:pPr>
      <w:r>
        <w:rPr>
          <w:rFonts w:hint="eastAsia" w:hAnsi="宋体"/>
          <w:sz w:val="24"/>
          <w:szCs w:val="24"/>
          <w:lang w:val="en-US" w:eastAsia="zh-CN"/>
        </w:rPr>
        <w:t>2</w:t>
      </w:r>
      <w:r>
        <w:rPr>
          <w:rFonts w:hint="eastAsia" w:hAnsi="宋体"/>
          <w:sz w:val="24"/>
          <w:szCs w:val="24"/>
        </w:rPr>
        <w:t>. 将按竞争性谈判文件的约定履行合同责任和义务；</w:t>
      </w:r>
    </w:p>
    <w:p>
      <w:pPr>
        <w:pStyle w:val="20"/>
        <w:spacing w:line="520" w:lineRule="exact"/>
        <w:ind w:left="840" w:hanging="360"/>
        <w:rPr>
          <w:rFonts w:hAnsi="宋体"/>
          <w:sz w:val="24"/>
          <w:szCs w:val="24"/>
        </w:rPr>
      </w:pPr>
      <w:r>
        <w:rPr>
          <w:rFonts w:hint="eastAsia" w:hAnsi="宋体"/>
          <w:sz w:val="24"/>
          <w:szCs w:val="24"/>
          <w:lang w:val="en-US" w:eastAsia="zh-CN"/>
        </w:rPr>
        <w:t>3</w:t>
      </w:r>
      <w:r>
        <w:rPr>
          <w:rFonts w:hint="eastAsia" w:hAnsi="宋体"/>
          <w:sz w:val="24"/>
          <w:szCs w:val="24"/>
        </w:rPr>
        <w:t>. 已详细审查全部竞争性谈判文件，包括</w:t>
      </w:r>
      <w:r>
        <w:rPr>
          <w:rFonts w:hint="eastAsia" w:hAnsi="宋体"/>
          <w:sz w:val="24"/>
          <w:szCs w:val="24"/>
          <w:u w:val="single"/>
        </w:rPr>
        <w:t>（补遗书）（如果有的话）</w:t>
      </w:r>
      <w:r>
        <w:rPr>
          <w:rFonts w:hint="eastAsia" w:hAnsi="宋体"/>
          <w:sz w:val="24"/>
          <w:szCs w:val="24"/>
        </w:rPr>
        <w:t>；我们完全理解并同意放弃对这方面有不明及误解的权力；</w:t>
      </w:r>
    </w:p>
    <w:p>
      <w:pPr>
        <w:pStyle w:val="20"/>
        <w:spacing w:line="520" w:lineRule="exact"/>
        <w:ind w:left="840" w:hanging="360"/>
        <w:rPr>
          <w:rFonts w:hAnsi="宋体"/>
          <w:sz w:val="24"/>
          <w:szCs w:val="24"/>
        </w:rPr>
      </w:pPr>
      <w:r>
        <w:rPr>
          <w:rFonts w:hint="eastAsia" w:hAnsi="宋体"/>
          <w:sz w:val="24"/>
          <w:szCs w:val="24"/>
          <w:lang w:val="en-US" w:eastAsia="zh-CN"/>
        </w:rPr>
        <w:t>4</w:t>
      </w:r>
      <w:r>
        <w:rPr>
          <w:rFonts w:hint="eastAsia" w:hAnsi="宋体"/>
          <w:sz w:val="24"/>
          <w:szCs w:val="24"/>
        </w:rPr>
        <w:t>. 同意提供按照贵方可能要求的与其谈判有关的一切数据或资料；</w:t>
      </w:r>
    </w:p>
    <w:p>
      <w:pPr>
        <w:pStyle w:val="20"/>
        <w:spacing w:line="520" w:lineRule="exact"/>
        <w:ind w:firstLine="480"/>
        <w:rPr>
          <w:rFonts w:hAnsi="宋体"/>
          <w:sz w:val="24"/>
          <w:szCs w:val="24"/>
          <w:u w:val="single"/>
        </w:rPr>
      </w:pPr>
      <w:r>
        <w:rPr>
          <w:rFonts w:hint="eastAsia" w:hAnsi="宋体"/>
          <w:sz w:val="24"/>
          <w:szCs w:val="24"/>
          <w:lang w:val="en-US" w:eastAsia="zh-CN"/>
        </w:rPr>
        <w:t>5</w:t>
      </w:r>
      <w:r>
        <w:rPr>
          <w:rFonts w:hint="eastAsia" w:hAnsi="宋体"/>
          <w:sz w:val="24"/>
          <w:szCs w:val="24"/>
        </w:rPr>
        <w:t>. 与本谈判有关的一切正式往来信函请寄：</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地址：</w:t>
      </w:r>
      <w:r>
        <w:rPr>
          <w:rFonts w:hint="eastAsia" w:hAnsi="宋体"/>
          <w:b w:val="0"/>
          <w:bCs/>
          <w:color w:val="000000"/>
          <w:sz w:val="22"/>
          <w:szCs w:val="21"/>
          <w:u w:val="single"/>
        </w:rPr>
        <w:t xml:space="preserve">                               </w:t>
      </w:r>
      <w:r>
        <w:rPr>
          <w:rFonts w:hint="eastAsia" w:hAnsi="宋体"/>
          <w:b w:val="0"/>
          <w:bCs/>
          <w:color w:val="000000"/>
          <w:sz w:val="22"/>
          <w:szCs w:val="21"/>
        </w:rPr>
        <w:t xml:space="preserve">  邮政编码： </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电话、电报、传真或电传：</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开户名称：</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开户银行：</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账号：</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法定代表人或委托代理人签名：</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竞标人（公章）：</w:t>
      </w:r>
      <w:r>
        <w:rPr>
          <w:rFonts w:hint="eastAsia" w:hAnsi="宋体"/>
          <w:b w:val="0"/>
          <w:bCs/>
          <w:color w:val="000000"/>
          <w:sz w:val="22"/>
          <w:szCs w:val="21"/>
          <w:u w:val="single"/>
        </w:rPr>
        <w:t xml:space="preserve">                                               </w:t>
      </w:r>
    </w:p>
    <w:p>
      <w:pPr>
        <w:pStyle w:val="20"/>
        <w:spacing w:line="420" w:lineRule="exact"/>
        <w:ind w:left="100" w:firstLine="420"/>
        <w:rPr>
          <w:rFonts w:hint="eastAsia" w:hAnsi="宋体"/>
          <w:b w:val="0"/>
          <w:bCs/>
          <w:color w:val="000000"/>
          <w:sz w:val="22"/>
          <w:szCs w:val="21"/>
        </w:rPr>
      </w:pPr>
      <w:r>
        <w:rPr>
          <w:rFonts w:hint="eastAsia" w:hAnsi="宋体"/>
          <w:b w:val="0"/>
          <w:bCs/>
          <w:color w:val="000000"/>
          <w:sz w:val="22"/>
          <w:szCs w:val="21"/>
        </w:rPr>
        <w:t>竞标日期：</w:t>
      </w:r>
      <w:r>
        <w:rPr>
          <w:rFonts w:hint="eastAsia" w:hAnsi="宋体"/>
          <w:b w:val="0"/>
          <w:bCs/>
          <w:color w:val="000000"/>
          <w:sz w:val="22"/>
          <w:szCs w:val="21"/>
          <w:u w:val="single"/>
        </w:rPr>
        <w:t xml:space="preserve">                                                    </w:t>
      </w:r>
    </w:p>
    <w:p>
      <w:pPr>
        <w:spacing w:line="300" w:lineRule="auto"/>
        <w:rPr>
          <w:rFonts w:ascii="宋体" w:hAnsi="宋体"/>
          <w:szCs w:val="21"/>
        </w:rPr>
      </w:pPr>
    </w:p>
    <w:p>
      <w:pPr>
        <w:pStyle w:val="34"/>
        <w:ind w:firstLine="210"/>
        <w:rPr>
          <w:rFonts w:hAnsi="宋体"/>
          <w:szCs w:val="21"/>
        </w:rPr>
      </w:pPr>
    </w:p>
    <w:p>
      <w:pPr>
        <w:pStyle w:val="34"/>
        <w:ind w:firstLine="210"/>
        <w:rPr>
          <w:rFonts w:hAnsi="宋体"/>
          <w:szCs w:val="21"/>
        </w:rPr>
      </w:pPr>
    </w:p>
    <w:p>
      <w:pPr>
        <w:spacing w:line="500" w:lineRule="exact"/>
        <w:rPr>
          <w:rFonts w:ascii="宋体" w:hAnsi="宋体"/>
          <w:sz w:val="28"/>
          <w:szCs w:val="28"/>
        </w:rPr>
      </w:pPr>
    </w:p>
    <w:p>
      <w:pPr>
        <w:pStyle w:val="34"/>
        <w:ind w:firstLine="210"/>
      </w:pPr>
    </w:p>
    <w:p>
      <w:pPr>
        <w:spacing w:line="500" w:lineRule="exact"/>
        <w:outlineLvl w:val="1"/>
        <w:rPr>
          <w:rFonts w:ascii="宋体" w:hAnsi="宋体"/>
          <w:sz w:val="28"/>
          <w:szCs w:val="28"/>
        </w:rPr>
      </w:pPr>
      <w:r>
        <w:rPr>
          <w:rFonts w:hint="eastAsia" w:ascii="宋体" w:hAnsi="宋体"/>
          <w:sz w:val="28"/>
          <w:szCs w:val="28"/>
        </w:rPr>
        <w:t xml:space="preserve">附件三：             </w:t>
      </w:r>
    </w:p>
    <w:p>
      <w:pPr>
        <w:spacing w:line="500" w:lineRule="exact"/>
        <w:jc w:val="center"/>
        <w:outlineLvl w:val="0"/>
        <w:rPr>
          <w:rFonts w:ascii="宋体" w:hAnsi="宋体"/>
          <w:b/>
          <w:sz w:val="32"/>
          <w:szCs w:val="32"/>
        </w:rPr>
      </w:pPr>
      <w:r>
        <w:rPr>
          <w:rFonts w:hint="eastAsia" w:ascii="宋体" w:hAnsi="宋体"/>
          <w:b/>
          <w:sz w:val="32"/>
          <w:szCs w:val="32"/>
        </w:rPr>
        <w:t>谈判报价表</w:t>
      </w:r>
    </w:p>
    <w:p>
      <w:pPr>
        <w:spacing w:line="500" w:lineRule="exact"/>
        <w:jc w:val="center"/>
        <w:rPr>
          <w:rFonts w:ascii="宋体" w:hAnsi="宋体"/>
          <w:b/>
          <w:sz w:val="32"/>
          <w:szCs w:val="32"/>
        </w:rPr>
      </w:pPr>
    </w:p>
    <w:p>
      <w:pPr>
        <w:spacing w:line="500" w:lineRule="exact"/>
        <w:rPr>
          <w:rFonts w:ascii="宋体" w:hAnsi="宋体"/>
          <w:sz w:val="24"/>
          <w:u w:val="single"/>
        </w:rPr>
      </w:pPr>
      <w:r>
        <w:rPr>
          <w:rFonts w:hint="eastAsia" w:ascii="宋体" w:hAnsi="宋体"/>
          <w:sz w:val="24"/>
        </w:rPr>
        <w:t>采购项目编号：</w:t>
      </w:r>
    </w:p>
    <w:p>
      <w:pPr>
        <w:spacing w:line="500" w:lineRule="exact"/>
        <w:rPr>
          <w:rFonts w:ascii="宋体" w:hAnsi="宋体"/>
          <w:sz w:val="24"/>
        </w:rPr>
      </w:pPr>
      <w:r>
        <w:rPr>
          <w:rFonts w:hint="eastAsia" w:ascii="宋体" w:hAnsi="宋体"/>
          <w:sz w:val="24"/>
        </w:rPr>
        <w:t>采购项目名称：</w:t>
      </w:r>
    </w:p>
    <w:p>
      <w:pPr>
        <w:spacing w:line="500" w:lineRule="exact"/>
        <w:rPr>
          <w:rFonts w:ascii="宋体" w:hAnsi="宋体"/>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85"/>
        <w:gridCol w:w="1185"/>
        <w:gridCol w:w="1187"/>
        <w:gridCol w:w="1450"/>
        <w:gridCol w:w="922"/>
        <w:gridCol w:w="118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序号</w:t>
            </w:r>
          </w:p>
        </w:tc>
        <w:tc>
          <w:tcPr>
            <w:tcW w:w="1185" w:type="dxa"/>
            <w:vAlign w:val="center"/>
          </w:tcPr>
          <w:p>
            <w:pPr>
              <w:spacing w:line="360" w:lineRule="exact"/>
              <w:jc w:val="center"/>
              <w:rPr>
                <w:rFonts w:ascii="宋体" w:hAnsi="宋体"/>
                <w:sz w:val="24"/>
              </w:rPr>
            </w:pPr>
            <w:r>
              <w:rPr>
                <w:rFonts w:hint="eastAsia" w:ascii="宋体" w:hAnsi="宋体"/>
                <w:sz w:val="24"/>
              </w:rPr>
              <w:t>货物名称</w:t>
            </w:r>
          </w:p>
        </w:tc>
        <w:tc>
          <w:tcPr>
            <w:tcW w:w="1185" w:type="dxa"/>
            <w:vAlign w:val="center"/>
          </w:tcPr>
          <w:p>
            <w:pPr>
              <w:spacing w:line="360" w:lineRule="exact"/>
              <w:jc w:val="center"/>
              <w:rPr>
                <w:rFonts w:ascii="宋体" w:hAnsi="宋体"/>
                <w:sz w:val="24"/>
              </w:rPr>
            </w:pPr>
            <w:r>
              <w:rPr>
                <w:rFonts w:hint="eastAsia" w:ascii="宋体" w:hAnsi="宋体"/>
                <w:sz w:val="24"/>
              </w:rPr>
              <w:t>数量①</w:t>
            </w:r>
          </w:p>
        </w:tc>
        <w:tc>
          <w:tcPr>
            <w:tcW w:w="1187" w:type="dxa"/>
            <w:vAlign w:val="center"/>
          </w:tcPr>
          <w:p>
            <w:pPr>
              <w:spacing w:line="360" w:lineRule="exact"/>
              <w:jc w:val="center"/>
              <w:rPr>
                <w:rFonts w:ascii="宋体" w:hAnsi="宋体"/>
                <w:sz w:val="24"/>
              </w:rPr>
            </w:pPr>
            <w:r>
              <w:rPr>
                <w:rFonts w:hint="eastAsia" w:ascii="宋体" w:hAnsi="宋体"/>
                <w:sz w:val="24"/>
              </w:rPr>
              <w:t>品牌及规格型号</w:t>
            </w:r>
          </w:p>
        </w:tc>
        <w:tc>
          <w:tcPr>
            <w:tcW w:w="1450" w:type="dxa"/>
            <w:vAlign w:val="center"/>
          </w:tcPr>
          <w:p>
            <w:pPr>
              <w:spacing w:line="360" w:lineRule="exact"/>
              <w:jc w:val="center"/>
              <w:rPr>
                <w:rFonts w:ascii="宋体" w:hAnsi="宋体"/>
                <w:sz w:val="24"/>
              </w:rPr>
            </w:pPr>
            <w:r>
              <w:rPr>
                <w:rFonts w:hint="eastAsia" w:ascii="宋体" w:hAnsi="宋体"/>
                <w:sz w:val="24"/>
              </w:rPr>
              <w:t>生产厂家及国别</w:t>
            </w:r>
          </w:p>
        </w:tc>
        <w:tc>
          <w:tcPr>
            <w:tcW w:w="922" w:type="dxa"/>
            <w:vAlign w:val="center"/>
          </w:tcPr>
          <w:p>
            <w:pPr>
              <w:spacing w:line="360" w:lineRule="exact"/>
              <w:jc w:val="center"/>
              <w:rPr>
                <w:rFonts w:ascii="宋体" w:hAnsi="宋体"/>
                <w:sz w:val="24"/>
              </w:rPr>
            </w:pPr>
            <w:r>
              <w:rPr>
                <w:rFonts w:hint="eastAsia" w:ascii="宋体" w:hAnsi="宋体"/>
                <w:sz w:val="24"/>
              </w:rPr>
              <w:t>质保期</w:t>
            </w:r>
          </w:p>
        </w:tc>
        <w:tc>
          <w:tcPr>
            <w:tcW w:w="1185" w:type="dxa"/>
            <w:vAlign w:val="center"/>
          </w:tcPr>
          <w:p>
            <w:pPr>
              <w:spacing w:line="360" w:lineRule="exact"/>
              <w:jc w:val="center"/>
              <w:rPr>
                <w:rFonts w:ascii="宋体" w:hAnsi="宋体"/>
                <w:sz w:val="24"/>
              </w:rPr>
            </w:pPr>
            <w:r>
              <w:rPr>
                <w:rFonts w:hint="eastAsia" w:ascii="宋体" w:hAnsi="宋体"/>
                <w:sz w:val="24"/>
              </w:rPr>
              <w:t>单价（元）</w:t>
            </w:r>
          </w:p>
          <w:p>
            <w:pPr>
              <w:spacing w:line="360" w:lineRule="exact"/>
              <w:jc w:val="center"/>
              <w:rPr>
                <w:rFonts w:ascii="宋体" w:hAnsi="宋体"/>
                <w:sz w:val="24"/>
              </w:rPr>
            </w:pPr>
            <w:r>
              <w:rPr>
                <w:rFonts w:hint="eastAsia" w:ascii="宋体" w:hAnsi="宋体"/>
                <w:sz w:val="24"/>
              </w:rPr>
              <w:t>②</w:t>
            </w:r>
          </w:p>
        </w:tc>
        <w:tc>
          <w:tcPr>
            <w:tcW w:w="1393" w:type="dxa"/>
            <w:vAlign w:val="center"/>
          </w:tcPr>
          <w:p>
            <w:pPr>
              <w:spacing w:line="360" w:lineRule="exact"/>
              <w:jc w:val="center"/>
              <w:rPr>
                <w:rFonts w:ascii="宋体" w:hAnsi="宋体"/>
                <w:sz w:val="24"/>
              </w:rPr>
            </w:pPr>
            <w:r>
              <w:rPr>
                <w:rFonts w:hint="eastAsia" w:ascii="宋体" w:hAnsi="宋体"/>
                <w:sz w:val="24"/>
              </w:rPr>
              <w:t>单项合价（元）</w:t>
            </w:r>
          </w:p>
          <w:p>
            <w:pPr>
              <w:spacing w:line="360" w:lineRule="exact"/>
              <w:rPr>
                <w:rFonts w:ascii="宋体" w:hAnsi="宋体"/>
                <w:sz w:val="24"/>
              </w:rPr>
            </w:pPr>
            <w:r>
              <w:rPr>
                <w:rFonts w:hint="eastAsia" w:ascii="宋体" w:hAnsi="宋体"/>
                <w:sz w:val="24"/>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1</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2</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3</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4</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5</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40" w:type="dxa"/>
            <w:vAlign w:val="center"/>
          </w:tcPr>
          <w:p>
            <w:pPr>
              <w:spacing w:line="360" w:lineRule="exact"/>
              <w:jc w:val="center"/>
              <w:rPr>
                <w:rFonts w:ascii="宋体" w:hAnsi="宋体"/>
                <w:sz w:val="24"/>
              </w:rPr>
            </w:pPr>
            <w:r>
              <w:rPr>
                <w:rFonts w:hint="eastAsia" w:ascii="宋体" w:hAnsi="宋体"/>
                <w:sz w:val="24"/>
              </w:rPr>
              <w:t>N</w:t>
            </w:r>
          </w:p>
        </w:tc>
        <w:tc>
          <w:tcPr>
            <w:tcW w:w="1185"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187" w:type="dxa"/>
            <w:vAlign w:val="center"/>
          </w:tcPr>
          <w:p>
            <w:pPr>
              <w:spacing w:line="360" w:lineRule="exact"/>
              <w:jc w:val="center"/>
              <w:rPr>
                <w:rFonts w:ascii="宋体" w:hAnsi="宋体"/>
                <w:sz w:val="24"/>
              </w:rPr>
            </w:pPr>
          </w:p>
        </w:tc>
        <w:tc>
          <w:tcPr>
            <w:tcW w:w="1450" w:type="dxa"/>
            <w:vAlign w:val="center"/>
          </w:tcPr>
          <w:p>
            <w:pPr>
              <w:spacing w:line="360" w:lineRule="exact"/>
              <w:jc w:val="center"/>
              <w:rPr>
                <w:rFonts w:ascii="宋体" w:hAnsi="宋体"/>
                <w:sz w:val="24"/>
              </w:rPr>
            </w:pPr>
          </w:p>
        </w:tc>
        <w:tc>
          <w:tcPr>
            <w:tcW w:w="922" w:type="dxa"/>
            <w:vAlign w:val="center"/>
          </w:tcPr>
          <w:p>
            <w:pPr>
              <w:spacing w:line="360" w:lineRule="exact"/>
              <w:jc w:val="center"/>
              <w:rPr>
                <w:rFonts w:ascii="宋体" w:hAnsi="宋体"/>
                <w:sz w:val="24"/>
              </w:rPr>
            </w:pPr>
          </w:p>
        </w:tc>
        <w:tc>
          <w:tcPr>
            <w:tcW w:w="1185" w:type="dxa"/>
            <w:vAlign w:val="center"/>
          </w:tcPr>
          <w:p>
            <w:pPr>
              <w:spacing w:line="360" w:lineRule="exact"/>
              <w:jc w:val="center"/>
              <w:rPr>
                <w:rFonts w:ascii="宋体" w:hAnsi="宋体"/>
                <w:sz w:val="24"/>
              </w:rPr>
            </w:pPr>
          </w:p>
        </w:tc>
        <w:tc>
          <w:tcPr>
            <w:tcW w:w="1393"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147" w:type="dxa"/>
            <w:gridSpan w:val="8"/>
            <w:vAlign w:val="center"/>
          </w:tcPr>
          <w:p>
            <w:pPr>
              <w:spacing w:line="360" w:lineRule="exact"/>
              <w:rPr>
                <w:rFonts w:ascii="宋体" w:hAnsi="宋体"/>
                <w:sz w:val="24"/>
              </w:rPr>
            </w:pPr>
            <w:r>
              <w:rPr>
                <w:rFonts w:hint="eastAsia" w:ascii="宋体" w:hAnsi="宋体"/>
                <w:sz w:val="24"/>
              </w:rPr>
              <w:t>总报价（人民币）：</w:t>
            </w:r>
            <w:r>
              <w:rPr>
                <w:rFonts w:hint="eastAsia" w:ascii="宋体" w:hAnsi="宋体"/>
                <w:sz w:val="24"/>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147" w:type="dxa"/>
            <w:gridSpan w:val="8"/>
            <w:vAlign w:val="center"/>
          </w:tcPr>
          <w:p>
            <w:pPr>
              <w:spacing w:line="360" w:lineRule="exact"/>
              <w:rPr>
                <w:rFonts w:ascii="宋体" w:hAnsi="宋体"/>
                <w:sz w:val="24"/>
              </w:rPr>
            </w:pPr>
            <w:r>
              <w:rPr>
                <w:rFonts w:hint="eastAsia" w:ascii="宋体" w:hAnsi="宋体"/>
                <w:sz w:val="24"/>
              </w:rPr>
              <w:t>交货时间：</w:t>
            </w:r>
          </w:p>
        </w:tc>
      </w:tr>
    </w:tbl>
    <w:p>
      <w:pPr>
        <w:spacing w:line="500" w:lineRule="exact"/>
        <w:rPr>
          <w:rFonts w:ascii="宋体" w:hAnsi="宋体"/>
          <w:sz w:val="24"/>
        </w:rPr>
      </w:pPr>
    </w:p>
    <w:p>
      <w:pPr>
        <w:pStyle w:val="20"/>
        <w:jc w:val="center"/>
        <w:rPr>
          <w:rFonts w:hAnsi="宋体"/>
          <w:sz w:val="24"/>
          <w:szCs w:val="24"/>
        </w:rPr>
      </w:pPr>
    </w:p>
    <w:p>
      <w:pPr>
        <w:pStyle w:val="20"/>
        <w:spacing w:line="360" w:lineRule="auto"/>
        <w:rPr>
          <w:rFonts w:hAnsi="宋体"/>
          <w:sz w:val="24"/>
          <w:szCs w:val="24"/>
          <w:u w:val="single"/>
        </w:rPr>
      </w:pPr>
      <w:r>
        <w:rPr>
          <w:rFonts w:hint="eastAsia" w:hAnsi="宋体"/>
          <w:sz w:val="24"/>
          <w:szCs w:val="24"/>
        </w:rPr>
        <w:t>法定代表人或法定代表人授权代表签字：</w:t>
      </w:r>
    </w:p>
    <w:p>
      <w:pPr>
        <w:pStyle w:val="20"/>
        <w:spacing w:line="360" w:lineRule="auto"/>
        <w:rPr>
          <w:rFonts w:hAnsi="宋体"/>
          <w:sz w:val="24"/>
          <w:szCs w:val="24"/>
          <w:u w:val="single"/>
        </w:rPr>
      </w:pPr>
      <w:r>
        <w:rPr>
          <w:rFonts w:hint="eastAsia" w:hAnsi="宋体"/>
          <w:sz w:val="24"/>
          <w:szCs w:val="24"/>
        </w:rPr>
        <w:t>谈判供应商名称（盖章）：</w:t>
      </w:r>
    </w:p>
    <w:p>
      <w:pPr>
        <w:adjustRightInd w:val="0"/>
        <w:snapToGrid w:val="0"/>
        <w:spacing w:line="360" w:lineRule="auto"/>
        <w:ind w:left="-88" w:leftChars="-42" w:firstLine="120" w:firstLineChars="50"/>
        <w:rPr>
          <w:rFonts w:ascii="宋体" w:hAnsi="宋体"/>
          <w:sz w:val="24"/>
        </w:rPr>
      </w:pPr>
      <w:r>
        <w:rPr>
          <w:rFonts w:hint="eastAsia" w:ascii="宋体" w:hAnsi="宋体"/>
          <w:sz w:val="24"/>
        </w:rPr>
        <w:t>日   期：</w:t>
      </w: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pStyle w:val="34"/>
        <w:ind w:firstLine="210"/>
      </w:pPr>
    </w:p>
    <w:p>
      <w:pPr>
        <w:spacing w:line="300" w:lineRule="auto"/>
        <w:outlineLvl w:val="0"/>
        <w:rPr>
          <w:rFonts w:ascii="宋体" w:hAnsi="宋体"/>
          <w:sz w:val="28"/>
          <w:szCs w:val="28"/>
        </w:rPr>
      </w:pPr>
    </w:p>
    <w:p>
      <w:pPr>
        <w:spacing w:line="300" w:lineRule="auto"/>
        <w:outlineLvl w:val="0"/>
        <w:rPr>
          <w:rFonts w:ascii="宋体" w:hAnsi="宋体"/>
          <w:sz w:val="24"/>
        </w:rPr>
      </w:pPr>
      <w:r>
        <w:rPr>
          <w:rFonts w:hint="eastAsia" w:ascii="宋体" w:hAnsi="宋体"/>
          <w:sz w:val="24"/>
        </w:rPr>
        <w:t>附件四：</w:t>
      </w:r>
    </w:p>
    <w:p>
      <w:pPr>
        <w:spacing w:line="300" w:lineRule="auto"/>
        <w:jc w:val="center"/>
        <w:outlineLvl w:val="0"/>
        <w:rPr>
          <w:rFonts w:ascii="宋体" w:hAnsi="宋体"/>
          <w:b/>
          <w:sz w:val="32"/>
          <w:szCs w:val="32"/>
        </w:rPr>
      </w:pPr>
      <w:r>
        <w:rPr>
          <w:rFonts w:hint="eastAsia" w:ascii="宋体" w:hAnsi="宋体"/>
          <w:b/>
          <w:sz w:val="32"/>
          <w:szCs w:val="32"/>
        </w:rPr>
        <w:t>技术响应、偏离情况说明表</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采购项目编号：</w:t>
      </w:r>
    </w:p>
    <w:p>
      <w:pPr>
        <w:spacing w:line="360" w:lineRule="auto"/>
        <w:rPr>
          <w:rFonts w:ascii="宋体" w:hAnsi="宋体"/>
          <w:sz w:val="24"/>
        </w:rPr>
      </w:pPr>
      <w:r>
        <w:rPr>
          <w:rFonts w:hint="eastAsia" w:ascii="宋体" w:hAnsi="宋体"/>
          <w:sz w:val="24"/>
        </w:rPr>
        <w:t>采购项目名称：</w:t>
      </w:r>
    </w:p>
    <w:p>
      <w:pPr>
        <w:spacing w:line="360" w:lineRule="auto"/>
        <w:rPr>
          <w:rFonts w:ascii="宋体" w:hAnsi="宋体"/>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313"/>
        <w:gridCol w:w="2409"/>
        <w:gridCol w:w="2688"/>
        <w:gridCol w:w="1423"/>
        <w:gridCol w:w="11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6" w:name="_Toc373333689"/>
            <w:bookmarkStart w:id="7" w:name="_Toc254970588"/>
            <w:bookmarkStart w:id="8" w:name="_Toc173066401"/>
            <w:bookmarkStart w:id="9" w:name="_Toc254970729"/>
            <w:bookmarkStart w:id="10" w:name="_Toc173211900"/>
            <w:bookmarkStart w:id="11" w:name="_Toc301781611"/>
            <w:bookmarkStart w:id="12" w:name="_Toc383699906"/>
            <w:bookmarkStart w:id="13" w:name="_Toc297193185"/>
            <w:bookmarkStart w:id="14" w:name="_Toc295404981"/>
            <w:r>
              <w:rPr>
                <w:rFonts w:hint="eastAsia" w:ascii="宋体" w:hAnsi="宋体"/>
                <w:sz w:val="24"/>
              </w:rPr>
              <w:t>序号</w:t>
            </w:r>
            <w:bookmarkEnd w:id="6"/>
            <w:bookmarkEnd w:id="7"/>
            <w:bookmarkEnd w:id="8"/>
            <w:bookmarkEnd w:id="9"/>
            <w:bookmarkEnd w:id="10"/>
            <w:bookmarkEnd w:id="11"/>
            <w:bookmarkEnd w:id="12"/>
            <w:bookmarkEnd w:id="13"/>
            <w:bookmarkEnd w:id="14"/>
          </w:p>
        </w:tc>
        <w:tc>
          <w:tcPr>
            <w:tcW w:w="1313" w:type="dxa"/>
            <w:vAlign w:val="center"/>
          </w:tcPr>
          <w:p>
            <w:pPr>
              <w:adjustRightInd w:val="0"/>
              <w:snapToGrid w:val="0"/>
              <w:spacing w:line="360" w:lineRule="auto"/>
              <w:jc w:val="center"/>
              <w:rPr>
                <w:rFonts w:ascii="宋体" w:hAnsi="宋体"/>
                <w:sz w:val="24"/>
              </w:rPr>
            </w:pPr>
            <w:r>
              <w:rPr>
                <w:rFonts w:hint="eastAsia" w:ascii="宋体" w:hAnsi="宋体"/>
                <w:sz w:val="24"/>
              </w:rPr>
              <w:t>采购内容</w:t>
            </w:r>
          </w:p>
        </w:tc>
        <w:tc>
          <w:tcPr>
            <w:tcW w:w="2409" w:type="dxa"/>
            <w:vAlign w:val="center"/>
          </w:tcPr>
          <w:p>
            <w:pPr>
              <w:adjustRightInd w:val="0"/>
              <w:snapToGrid w:val="0"/>
              <w:spacing w:line="360" w:lineRule="auto"/>
              <w:jc w:val="center"/>
              <w:rPr>
                <w:rFonts w:ascii="宋体" w:hAnsi="宋体"/>
                <w:sz w:val="24"/>
              </w:rPr>
            </w:pPr>
            <w:bookmarkStart w:id="15" w:name="_Toc297193186"/>
            <w:bookmarkStart w:id="16" w:name="_Toc173211901"/>
            <w:bookmarkStart w:id="17" w:name="_Toc301781612"/>
            <w:bookmarkStart w:id="18" w:name="_Toc254970589"/>
            <w:bookmarkStart w:id="19" w:name="_Toc173066402"/>
            <w:bookmarkStart w:id="20" w:name="_Toc373333690"/>
            <w:bookmarkStart w:id="21" w:name="_Toc295404982"/>
            <w:bookmarkStart w:id="22" w:name="_Toc254970730"/>
            <w:bookmarkStart w:id="23" w:name="_Toc383699907"/>
            <w:r>
              <w:rPr>
                <w:rFonts w:hint="eastAsia" w:ascii="宋体" w:hAnsi="宋体"/>
                <w:sz w:val="24"/>
              </w:rPr>
              <w:t>竞争性谈判文件要求</w:t>
            </w:r>
            <w:bookmarkEnd w:id="15"/>
            <w:bookmarkEnd w:id="16"/>
            <w:bookmarkEnd w:id="17"/>
            <w:bookmarkEnd w:id="18"/>
            <w:bookmarkEnd w:id="19"/>
            <w:bookmarkEnd w:id="20"/>
            <w:bookmarkEnd w:id="21"/>
            <w:bookmarkEnd w:id="22"/>
            <w:bookmarkEnd w:id="23"/>
          </w:p>
        </w:tc>
        <w:tc>
          <w:tcPr>
            <w:tcW w:w="2688" w:type="dxa"/>
            <w:vAlign w:val="center"/>
          </w:tcPr>
          <w:p>
            <w:pPr>
              <w:adjustRightInd w:val="0"/>
              <w:snapToGrid w:val="0"/>
              <w:spacing w:line="360" w:lineRule="auto"/>
              <w:jc w:val="center"/>
              <w:rPr>
                <w:rFonts w:ascii="宋体" w:hAnsi="宋体"/>
                <w:sz w:val="24"/>
              </w:rPr>
            </w:pPr>
            <w:bookmarkStart w:id="24" w:name="_Toc301781613"/>
            <w:bookmarkStart w:id="25" w:name="_Toc297193187"/>
            <w:bookmarkStart w:id="26" w:name="_Toc373333691"/>
            <w:bookmarkStart w:id="27" w:name="_Toc383699908"/>
            <w:bookmarkStart w:id="28" w:name="_Toc254970731"/>
            <w:bookmarkStart w:id="29" w:name="_Toc295404983"/>
            <w:bookmarkStart w:id="30" w:name="_Toc173211902"/>
            <w:bookmarkStart w:id="31" w:name="_Toc254970590"/>
            <w:bookmarkStart w:id="32" w:name="_Toc173066403"/>
            <w:r>
              <w:rPr>
                <w:rFonts w:hint="eastAsia" w:ascii="宋体" w:hAnsi="宋体"/>
                <w:sz w:val="24"/>
              </w:rPr>
              <w:t>响应文件具体响应</w:t>
            </w:r>
            <w:bookmarkEnd w:id="24"/>
            <w:bookmarkEnd w:id="25"/>
            <w:bookmarkEnd w:id="26"/>
            <w:bookmarkEnd w:id="27"/>
            <w:bookmarkEnd w:id="28"/>
            <w:bookmarkEnd w:id="29"/>
            <w:bookmarkEnd w:id="30"/>
            <w:bookmarkEnd w:id="31"/>
            <w:bookmarkEnd w:id="32"/>
          </w:p>
        </w:tc>
        <w:tc>
          <w:tcPr>
            <w:tcW w:w="1423" w:type="dxa"/>
            <w:vAlign w:val="center"/>
          </w:tcPr>
          <w:p>
            <w:pPr>
              <w:adjustRightInd w:val="0"/>
              <w:snapToGrid w:val="0"/>
              <w:spacing w:line="360" w:lineRule="auto"/>
              <w:jc w:val="center"/>
              <w:rPr>
                <w:rFonts w:ascii="宋体" w:hAnsi="宋体"/>
                <w:sz w:val="24"/>
              </w:rPr>
            </w:pPr>
            <w:bookmarkStart w:id="33" w:name="_Toc173211903"/>
            <w:bookmarkStart w:id="34" w:name="_Toc254970732"/>
            <w:bookmarkStart w:id="35" w:name="_Toc254970591"/>
            <w:bookmarkStart w:id="36" w:name="_Toc297193188"/>
            <w:bookmarkStart w:id="37" w:name="_Toc295404984"/>
            <w:bookmarkStart w:id="38" w:name="_Toc173066404"/>
            <w:bookmarkStart w:id="39" w:name="_Toc373333692"/>
            <w:bookmarkStart w:id="40" w:name="_Toc383699909"/>
            <w:bookmarkStart w:id="41" w:name="_Toc301781614"/>
            <w:r>
              <w:rPr>
                <w:rFonts w:hint="eastAsia" w:ascii="宋体" w:hAnsi="宋体"/>
                <w:sz w:val="24"/>
              </w:rPr>
              <w:t>响应/偏离</w:t>
            </w:r>
            <w:bookmarkEnd w:id="33"/>
            <w:bookmarkEnd w:id="34"/>
            <w:bookmarkEnd w:id="35"/>
            <w:bookmarkEnd w:id="36"/>
            <w:bookmarkEnd w:id="37"/>
            <w:bookmarkEnd w:id="38"/>
            <w:bookmarkEnd w:id="39"/>
            <w:bookmarkEnd w:id="40"/>
            <w:bookmarkEnd w:id="41"/>
          </w:p>
        </w:tc>
        <w:tc>
          <w:tcPr>
            <w:tcW w:w="1116" w:type="dxa"/>
            <w:vAlign w:val="center"/>
          </w:tcPr>
          <w:p>
            <w:pPr>
              <w:adjustRightInd w:val="0"/>
              <w:snapToGrid w:val="0"/>
              <w:spacing w:line="360" w:lineRule="auto"/>
              <w:jc w:val="center"/>
              <w:rPr>
                <w:rFonts w:ascii="宋体" w:hAnsi="宋体"/>
                <w:sz w:val="24"/>
              </w:rPr>
            </w:pPr>
            <w:bookmarkStart w:id="42" w:name="_Toc254970592"/>
            <w:bookmarkStart w:id="43" w:name="_Toc383699910"/>
            <w:bookmarkStart w:id="44" w:name="_Toc254970733"/>
            <w:bookmarkStart w:id="45" w:name="_Toc373333693"/>
            <w:bookmarkStart w:id="46" w:name="_Toc297193189"/>
            <w:bookmarkStart w:id="47" w:name="_Toc173066405"/>
            <w:bookmarkStart w:id="48" w:name="_Toc301781615"/>
            <w:bookmarkStart w:id="49" w:name="_Toc295404985"/>
            <w:bookmarkStart w:id="50" w:name="_Toc173211904"/>
            <w:r>
              <w:rPr>
                <w:rFonts w:hint="eastAsia" w:ascii="宋体" w:hAnsi="宋体"/>
                <w:sz w:val="24"/>
              </w:rPr>
              <w:t>说明</w:t>
            </w:r>
            <w:bookmarkEnd w:id="42"/>
            <w:bookmarkEnd w:id="43"/>
            <w:bookmarkEnd w:id="44"/>
            <w:bookmarkEnd w:id="45"/>
            <w:bookmarkEnd w:id="46"/>
            <w:bookmarkEnd w:id="47"/>
            <w:bookmarkEnd w:id="48"/>
            <w:bookmarkEnd w:id="49"/>
            <w:bookmarkEnd w:id="5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51" w:name="_Toc297193190"/>
            <w:bookmarkStart w:id="52" w:name="_Toc373333694"/>
            <w:bookmarkStart w:id="53" w:name="_Toc254970593"/>
            <w:bookmarkStart w:id="54" w:name="_Toc254970734"/>
            <w:bookmarkStart w:id="55" w:name="_Toc383699911"/>
            <w:bookmarkStart w:id="56" w:name="_Toc301781616"/>
            <w:bookmarkStart w:id="57" w:name="_Toc173211905"/>
            <w:bookmarkStart w:id="58" w:name="_Toc295404986"/>
            <w:bookmarkStart w:id="59" w:name="_Toc173066406"/>
            <w:r>
              <w:rPr>
                <w:rFonts w:hint="eastAsia" w:ascii="宋体" w:hAnsi="宋体"/>
                <w:sz w:val="24"/>
              </w:rPr>
              <w:t>1</w:t>
            </w:r>
            <w:bookmarkEnd w:id="51"/>
            <w:bookmarkEnd w:id="52"/>
            <w:bookmarkEnd w:id="53"/>
            <w:bookmarkEnd w:id="54"/>
            <w:bookmarkEnd w:id="55"/>
            <w:bookmarkEnd w:id="56"/>
            <w:bookmarkEnd w:id="57"/>
            <w:bookmarkEnd w:id="58"/>
            <w:bookmarkEnd w:id="59"/>
          </w:p>
        </w:tc>
        <w:tc>
          <w:tcPr>
            <w:tcW w:w="1313" w:type="dxa"/>
          </w:tcPr>
          <w:p>
            <w:pPr>
              <w:adjustRightInd w:val="0"/>
              <w:snapToGrid w:val="0"/>
              <w:spacing w:line="360" w:lineRule="auto"/>
              <w:jc w:val="center"/>
              <w:rPr>
                <w:rFonts w:ascii="宋体" w:hAnsi="宋体"/>
                <w:sz w:val="24"/>
              </w:rPr>
            </w:pPr>
          </w:p>
        </w:tc>
        <w:tc>
          <w:tcPr>
            <w:tcW w:w="2409" w:type="dxa"/>
            <w:vAlign w:val="center"/>
          </w:tcPr>
          <w:p>
            <w:pPr>
              <w:adjustRightInd w:val="0"/>
              <w:snapToGrid w:val="0"/>
              <w:spacing w:line="360" w:lineRule="auto"/>
              <w:jc w:val="center"/>
              <w:rPr>
                <w:rFonts w:ascii="宋体" w:hAnsi="宋体"/>
                <w:sz w:val="24"/>
              </w:rPr>
            </w:pPr>
          </w:p>
        </w:tc>
        <w:tc>
          <w:tcPr>
            <w:tcW w:w="2688" w:type="dxa"/>
            <w:vAlign w:val="center"/>
          </w:tcPr>
          <w:p>
            <w:pPr>
              <w:adjustRightInd w:val="0"/>
              <w:snapToGrid w:val="0"/>
              <w:spacing w:line="360" w:lineRule="auto"/>
              <w:jc w:val="center"/>
              <w:rPr>
                <w:rFonts w:ascii="宋体" w:hAnsi="宋体"/>
                <w:sz w:val="24"/>
              </w:rPr>
            </w:pPr>
          </w:p>
        </w:tc>
        <w:tc>
          <w:tcPr>
            <w:tcW w:w="1423" w:type="dxa"/>
            <w:vAlign w:val="center"/>
          </w:tcPr>
          <w:p>
            <w:pPr>
              <w:adjustRightInd w:val="0"/>
              <w:snapToGrid w:val="0"/>
              <w:spacing w:line="360" w:lineRule="auto"/>
              <w:jc w:val="center"/>
              <w:rPr>
                <w:rFonts w:ascii="宋体" w:hAnsi="宋体"/>
                <w:sz w:val="24"/>
              </w:rPr>
            </w:pPr>
          </w:p>
        </w:tc>
        <w:tc>
          <w:tcPr>
            <w:tcW w:w="1116"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60" w:name="_Toc383699912"/>
            <w:bookmarkStart w:id="61" w:name="_Toc254970735"/>
            <w:bookmarkStart w:id="62" w:name="_Toc297193191"/>
            <w:bookmarkStart w:id="63" w:name="_Toc295404987"/>
            <w:bookmarkStart w:id="64" w:name="_Toc301781617"/>
            <w:bookmarkStart w:id="65" w:name="_Toc173066407"/>
            <w:bookmarkStart w:id="66" w:name="_Toc254970594"/>
            <w:bookmarkStart w:id="67" w:name="_Toc173211906"/>
            <w:bookmarkStart w:id="68" w:name="_Toc373333695"/>
            <w:r>
              <w:rPr>
                <w:rFonts w:hint="eastAsia" w:ascii="宋体" w:hAnsi="宋体"/>
                <w:sz w:val="24"/>
              </w:rPr>
              <w:t>2</w:t>
            </w:r>
            <w:bookmarkEnd w:id="60"/>
            <w:bookmarkEnd w:id="61"/>
            <w:bookmarkEnd w:id="62"/>
            <w:bookmarkEnd w:id="63"/>
            <w:bookmarkEnd w:id="64"/>
            <w:bookmarkEnd w:id="65"/>
            <w:bookmarkEnd w:id="66"/>
            <w:bookmarkEnd w:id="67"/>
            <w:bookmarkEnd w:id="68"/>
          </w:p>
        </w:tc>
        <w:tc>
          <w:tcPr>
            <w:tcW w:w="1313" w:type="dxa"/>
          </w:tcPr>
          <w:p>
            <w:pPr>
              <w:adjustRightInd w:val="0"/>
              <w:snapToGrid w:val="0"/>
              <w:spacing w:line="360" w:lineRule="auto"/>
              <w:jc w:val="center"/>
              <w:rPr>
                <w:rFonts w:ascii="宋体" w:hAnsi="宋体"/>
                <w:sz w:val="24"/>
              </w:rPr>
            </w:pPr>
          </w:p>
        </w:tc>
        <w:tc>
          <w:tcPr>
            <w:tcW w:w="2409" w:type="dxa"/>
            <w:vAlign w:val="center"/>
          </w:tcPr>
          <w:p>
            <w:pPr>
              <w:adjustRightInd w:val="0"/>
              <w:snapToGrid w:val="0"/>
              <w:spacing w:line="360" w:lineRule="auto"/>
              <w:jc w:val="center"/>
              <w:rPr>
                <w:rFonts w:ascii="宋体" w:hAnsi="宋体"/>
                <w:sz w:val="24"/>
              </w:rPr>
            </w:pPr>
          </w:p>
        </w:tc>
        <w:tc>
          <w:tcPr>
            <w:tcW w:w="2688" w:type="dxa"/>
            <w:vAlign w:val="center"/>
          </w:tcPr>
          <w:p>
            <w:pPr>
              <w:adjustRightInd w:val="0"/>
              <w:snapToGrid w:val="0"/>
              <w:spacing w:line="360" w:lineRule="auto"/>
              <w:jc w:val="center"/>
              <w:rPr>
                <w:rFonts w:ascii="宋体" w:hAnsi="宋体"/>
                <w:sz w:val="24"/>
              </w:rPr>
            </w:pPr>
          </w:p>
        </w:tc>
        <w:tc>
          <w:tcPr>
            <w:tcW w:w="1423" w:type="dxa"/>
            <w:vAlign w:val="center"/>
          </w:tcPr>
          <w:p>
            <w:pPr>
              <w:adjustRightInd w:val="0"/>
              <w:snapToGrid w:val="0"/>
              <w:spacing w:line="360" w:lineRule="auto"/>
              <w:jc w:val="center"/>
              <w:rPr>
                <w:rFonts w:ascii="宋体" w:hAnsi="宋体"/>
                <w:sz w:val="24"/>
              </w:rPr>
            </w:pPr>
          </w:p>
        </w:tc>
        <w:tc>
          <w:tcPr>
            <w:tcW w:w="1116"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69" w:name="_Toc373333696"/>
            <w:bookmarkStart w:id="70" w:name="_Toc295404988"/>
            <w:bookmarkStart w:id="71" w:name="_Toc297193192"/>
            <w:bookmarkStart w:id="72" w:name="_Toc383699913"/>
            <w:bookmarkStart w:id="73" w:name="_Toc254970595"/>
            <w:bookmarkStart w:id="74" w:name="_Toc173066408"/>
            <w:bookmarkStart w:id="75" w:name="_Toc254970736"/>
            <w:bookmarkStart w:id="76" w:name="_Toc173211907"/>
            <w:bookmarkStart w:id="77" w:name="_Toc301781618"/>
            <w:r>
              <w:rPr>
                <w:rFonts w:hint="eastAsia" w:ascii="宋体" w:hAnsi="宋体"/>
                <w:sz w:val="24"/>
              </w:rPr>
              <w:t>3</w:t>
            </w:r>
            <w:bookmarkEnd w:id="69"/>
            <w:bookmarkEnd w:id="70"/>
            <w:bookmarkEnd w:id="71"/>
            <w:bookmarkEnd w:id="72"/>
            <w:bookmarkEnd w:id="73"/>
            <w:bookmarkEnd w:id="74"/>
            <w:bookmarkEnd w:id="75"/>
            <w:bookmarkEnd w:id="76"/>
            <w:bookmarkEnd w:id="77"/>
          </w:p>
        </w:tc>
        <w:tc>
          <w:tcPr>
            <w:tcW w:w="1313" w:type="dxa"/>
          </w:tcPr>
          <w:p>
            <w:pPr>
              <w:adjustRightInd w:val="0"/>
              <w:snapToGrid w:val="0"/>
              <w:spacing w:line="360" w:lineRule="auto"/>
              <w:jc w:val="center"/>
              <w:rPr>
                <w:rFonts w:ascii="宋体" w:hAnsi="宋体"/>
                <w:sz w:val="24"/>
              </w:rPr>
            </w:pPr>
          </w:p>
        </w:tc>
        <w:tc>
          <w:tcPr>
            <w:tcW w:w="2409" w:type="dxa"/>
            <w:vAlign w:val="center"/>
          </w:tcPr>
          <w:p>
            <w:pPr>
              <w:adjustRightInd w:val="0"/>
              <w:snapToGrid w:val="0"/>
              <w:spacing w:line="360" w:lineRule="auto"/>
              <w:jc w:val="center"/>
              <w:rPr>
                <w:rFonts w:ascii="宋体" w:hAnsi="宋体"/>
                <w:sz w:val="24"/>
              </w:rPr>
            </w:pPr>
          </w:p>
        </w:tc>
        <w:tc>
          <w:tcPr>
            <w:tcW w:w="2688" w:type="dxa"/>
            <w:vAlign w:val="center"/>
          </w:tcPr>
          <w:p>
            <w:pPr>
              <w:adjustRightInd w:val="0"/>
              <w:snapToGrid w:val="0"/>
              <w:spacing w:line="360" w:lineRule="auto"/>
              <w:jc w:val="center"/>
              <w:rPr>
                <w:rFonts w:ascii="宋体" w:hAnsi="宋体"/>
                <w:sz w:val="24"/>
              </w:rPr>
            </w:pPr>
          </w:p>
        </w:tc>
        <w:tc>
          <w:tcPr>
            <w:tcW w:w="1423" w:type="dxa"/>
            <w:vAlign w:val="center"/>
          </w:tcPr>
          <w:p>
            <w:pPr>
              <w:adjustRightInd w:val="0"/>
              <w:snapToGrid w:val="0"/>
              <w:spacing w:line="360" w:lineRule="auto"/>
              <w:jc w:val="center"/>
              <w:rPr>
                <w:rFonts w:ascii="宋体" w:hAnsi="宋体"/>
                <w:sz w:val="24"/>
              </w:rPr>
            </w:pPr>
          </w:p>
        </w:tc>
        <w:tc>
          <w:tcPr>
            <w:tcW w:w="1116"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78" w:name="_Toc254970596"/>
            <w:bookmarkStart w:id="79" w:name="_Toc373333697"/>
            <w:bookmarkStart w:id="80" w:name="_Toc301781619"/>
            <w:bookmarkStart w:id="81" w:name="_Toc383699914"/>
            <w:bookmarkStart w:id="82" w:name="_Toc173066409"/>
            <w:bookmarkStart w:id="83" w:name="_Toc173211908"/>
            <w:bookmarkStart w:id="84" w:name="_Toc295404989"/>
            <w:bookmarkStart w:id="85" w:name="_Toc254970737"/>
            <w:bookmarkStart w:id="86" w:name="_Toc297193193"/>
            <w:r>
              <w:rPr>
                <w:rFonts w:hint="eastAsia" w:ascii="宋体" w:hAnsi="宋体"/>
                <w:sz w:val="24"/>
              </w:rPr>
              <w:t>4</w:t>
            </w:r>
            <w:bookmarkEnd w:id="78"/>
            <w:bookmarkEnd w:id="79"/>
            <w:bookmarkEnd w:id="80"/>
            <w:bookmarkEnd w:id="81"/>
            <w:bookmarkEnd w:id="82"/>
            <w:bookmarkEnd w:id="83"/>
            <w:bookmarkEnd w:id="84"/>
            <w:bookmarkEnd w:id="85"/>
            <w:bookmarkEnd w:id="86"/>
          </w:p>
        </w:tc>
        <w:tc>
          <w:tcPr>
            <w:tcW w:w="1313" w:type="dxa"/>
          </w:tcPr>
          <w:p>
            <w:pPr>
              <w:adjustRightInd w:val="0"/>
              <w:snapToGrid w:val="0"/>
              <w:spacing w:line="360" w:lineRule="auto"/>
              <w:jc w:val="center"/>
              <w:rPr>
                <w:rFonts w:ascii="宋体" w:hAnsi="宋体"/>
                <w:sz w:val="24"/>
              </w:rPr>
            </w:pPr>
          </w:p>
        </w:tc>
        <w:tc>
          <w:tcPr>
            <w:tcW w:w="2409" w:type="dxa"/>
            <w:vAlign w:val="center"/>
          </w:tcPr>
          <w:p>
            <w:pPr>
              <w:adjustRightInd w:val="0"/>
              <w:snapToGrid w:val="0"/>
              <w:spacing w:line="360" w:lineRule="auto"/>
              <w:jc w:val="center"/>
              <w:rPr>
                <w:rFonts w:ascii="宋体" w:hAnsi="宋体"/>
                <w:sz w:val="24"/>
              </w:rPr>
            </w:pPr>
          </w:p>
        </w:tc>
        <w:tc>
          <w:tcPr>
            <w:tcW w:w="2688" w:type="dxa"/>
            <w:vAlign w:val="center"/>
          </w:tcPr>
          <w:p>
            <w:pPr>
              <w:adjustRightInd w:val="0"/>
              <w:snapToGrid w:val="0"/>
              <w:spacing w:line="360" w:lineRule="auto"/>
              <w:jc w:val="center"/>
              <w:rPr>
                <w:rFonts w:ascii="宋体" w:hAnsi="宋体"/>
                <w:sz w:val="24"/>
              </w:rPr>
            </w:pPr>
          </w:p>
        </w:tc>
        <w:tc>
          <w:tcPr>
            <w:tcW w:w="1423" w:type="dxa"/>
            <w:vAlign w:val="center"/>
          </w:tcPr>
          <w:p>
            <w:pPr>
              <w:adjustRightInd w:val="0"/>
              <w:snapToGrid w:val="0"/>
              <w:spacing w:line="360" w:lineRule="auto"/>
              <w:jc w:val="center"/>
              <w:rPr>
                <w:rFonts w:ascii="宋体" w:hAnsi="宋体"/>
                <w:sz w:val="24"/>
              </w:rPr>
            </w:pPr>
          </w:p>
        </w:tc>
        <w:tc>
          <w:tcPr>
            <w:tcW w:w="1116"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87" w:name="_Toc254970597"/>
            <w:bookmarkStart w:id="88" w:name="_Toc173066410"/>
            <w:bookmarkStart w:id="89" w:name="_Toc295404990"/>
            <w:bookmarkStart w:id="90" w:name="_Toc297193194"/>
            <w:bookmarkStart w:id="91" w:name="_Toc173211909"/>
            <w:bookmarkStart w:id="92" w:name="_Toc301781620"/>
            <w:bookmarkStart w:id="93" w:name="_Toc254970738"/>
            <w:bookmarkStart w:id="94" w:name="_Toc383699915"/>
            <w:bookmarkStart w:id="95" w:name="_Toc373333698"/>
            <w:r>
              <w:rPr>
                <w:rFonts w:hint="eastAsia" w:ascii="宋体" w:hAnsi="宋体"/>
                <w:sz w:val="24"/>
              </w:rPr>
              <w:t>5</w:t>
            </w:r>
            <w:bookmarkEnd w:id="87"/>
            <w:bookmarkEnd w:id="88"/>
            <w:bookmarkEnd w:id="89"/>
            <w:bookmarkEnd w:id="90"/>
            <w:bookmarkEnd w:id="91"/>
            <w:bookmarkEnd w:id="92"/>
            <w:bookmarkEnd w:id="93"/>
            <w:bookmarkEnd w:id="94"/>
            <w:bookmarkEnd w:id="95"/>
          </w:p>
        </w:tc>
        <w:tc>
          <w:tcPr>
            <w:tcW w:w="1313" w:type="dxa"/>
          </w:tcPr>
          <w:p>
            <w:pPr>
              <w:adjustRightInd w:val="0"/>
              <w:snapToGrid w:val="0"/>
              <w:spacing w:line="360" w:lineRule="auto"/>
              <w:jc w:val="center"/>
              <w:rPr>
                <w:rFonts w:ascii="宋体" w:hAnsi="宋体"/>
                <w:sz w:val="24"/>
              </w:rPr>
            </w:pPr>
          </w:p>
        </w:tc>
        <w:tc>
          <w:tcPr>
            <w:tcW w:w="2409" w:type="dxa"/>
            <w:vAlign w:val="center"/>
          </w:tcPr>
          <w:p>
            <w:pPr>
              <w:adjustRightInd w:val="0"/>
              <w:snapToGrid w:val="0"/>
              <w:spacing w:line="360" w:lineRule="auto"/>
              <w:jc w:val="center"/>
              <w:rPr>
                <w:rFonts w:ascii="宋体" w:hAnsi="宋体"/>
                <w:sz w:val="24"/>
              </w:rPr>
            </w:pPr>
          </w:p>
        </w:tc>
        <w:tc>
          <w:tcPr>
            <w:tcW w:w="2688" w:type="dxa"/>
            <w:vAlign w:val="center"/>
          </w:tcPr>
          <w:p>
            <w:pPr>
              <w:adjustRightInd w:val="0"/>
              <w:snapToGrid w:val="0"/>
              <w:spacing w:line="360" w:lineRule="auto"/>
              <w:jc w:val="center"/>
              <w:rPr>
                <w:rFonts w:ascii="宋体" w:hAnsi="宋体"/>
                <w:sz w:val="24"/>
              </w:rPr>
            </w:pPr>
          </w:p>
        </w:tc>
        <w:tc>
          <w:tcPr>
            <w:tcW w:w="1423" w:type="dxa"/>
            <w:vAlign w:val="center"/>
          </w:tcPr>
          <w:p>
            <w:pPr>
              <w:adjustRightInd w:val="0"/>
              <w:snapToGrid w:val="0"/>
              <w:spacing w:line="360" w:lineRule="auto"/>
              <w:jc w:val="center"/>
              <w:rPr>
                <w:rFonts w:ascii="宋体" w:hAnsi="宋体"/>
                <w:sz w:val="24"/>
              </w:rPr>
            </w:pPr>
          </w:p>
        </w:tc>
        <w:tc>
          <w:tcPr>
            <w:tcW w:w="1116" w:type="dxa"/>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51" w:type="dxa"/>
            <w:vAlign w:val="center"/>
          </w:tcPr>
          <w:p>
            <w:pPr>
              <w:adjustRightInd w:val="0"/>
              <w:snapToGrid w:val="0"/>
              <w:spacing w:line="360" w:lineRule="auto"/>
              <w:jc w:val="center"/>
              <w:rPr>
                <w:rFonts w:ascii="宋体" w:hAnsi="宋体"/>
                <w:sz w:val="24"/>
              </w:rPr>
            </w:pPr>
            <w:bookmarkStart w:id="96" w:name="_Toc295404991"/>
            <w:bookmarkStart w:id="97" w:name="_Toc254970743"/>
            <w:bookmarkStart w:id="98" w:name="_Toc373333699"/>
            <w:bookmarkStart w:id="99" w:name="_Toc173211914"/>
            <w:bookmarkStart w:id="100" w:name="_Toc254970602"/>
            <w:bookmarkStart w:id="101" w:name="_Toc301781621"/>
            <w:bookmarkStart w:id="102" w:name="_Toc297193195"/>
            <w:bookmarkStart w:id="103" w:name="_Toc383699916"/>
            <w:bookmarkStart w:id="104" w:name="_Toc173066415"/>
            <w:r>
              <w:rPr>
                <w:rFonts w:hint="eastAsia" w:ascii="宋体" w:hAnsi="宋体"/>
                <w:sz w:val="24"/>
              </w:rPr>
              <w:t>…</w:t>
            </w:r>
            <w:bookmarkEnd w:id="96"/>
            <w:bookmarkEnd w:id="97"/>
            <w:bookmarkEnd w:id="98"/>
            <w:bookmarkEnd w:id="99"/>
            <w:bookmarkEnd w:id="100"/>
            <w:bookmarkEnd w:id="101"/>
            <w:bookmarkEnd w:id="102"/>
            <w:bookmarkEnd w:id="103"/>
            <w:bookmarkEnd w:id="104"/>
          </w:p>
        </w:tc>
        <w:tc>
          <w:tcPr>
            <w:tcW w:w="1313" w:type="dxa"/>
          </w:tcPr>
          <w:p>
            <w:pPr>
              <w:adjustRightInd w:val="0"/>
              <w:snapToGrid w:val="0"/>
              <w:spacing w:line="360" w:lineRule="auto"/>
              <w:jc w:val="center"/>
              <w:rPr>
                <w:rFonts w:ascii="宋体" w:hAnsi="宋体"/>
                <w:sz w:val="24"/>
              </w:rPr>
            </w:pPr>
          </w:p>
        </w:tc>
        <w:tc>
          <w:tcPr>
            <w:tcW w:w="2409" w:type="dxa"/>
            <w:vAlign w:val="center"/>
          </w:tcPr>
          <w:p>
            <w:pPr>
              <w:adjustRightInd w:val="0"/>
              <w:snapToGrid w:val="0"/>
              <w:spacing w:line="360" w:lineRule="auto"/>
              <w:jc w:val="center"/>
              <w:rPr>
                <w:rFonts w:ascii="宋体" w:hAnsi="宋体"/>
                <w:sz w:val="24"/>
              </w:rPr>
            </w:pPr>
          </w:p>
        </w:tc>
        <w:tc>
          <w:tcPr>
            <w:tcW w:w="2688" w:type="dxa"/>
            <w:vAlign w:val="center"/>
          </w:tcPr>
          <w:p>
            <w:pPr>
              <w:adjustRightInd w:val="0"/>
              <w:snapToGrid w:val="0"/>
              <w:spacing w:line="360" w:lineRule="auto"/>
              <w:jc w:val="center"/>
              <w:rPr>
                <w:rFonts w:ascii="宋体" w:hAnsi="宋体"/>
                <w:sz w:val="24"/>
              </w:rPr>
            </w:pPr>
          </w:p>
        </w:tc>
        <w:tc>
          <w:tcPr>
            <w:tcW w:w="1423" w:type="dxa"/>
            <w:tcBorders>
              <w:right w:val="single" w:color="auto" w:sz="4" w:space="0"/>
            </w:tcBorders>
            <w:vAlign w:val="center"/>
          </w:tcPr>
          <w:p>
            <w:pPr>
              <w:adjustRightInd w:val="0"/>
              <w:snapToGrid w:val="0"/>
              <w:spacing w:line="360" w:lineRule="auto"/>
              <w:jc w:val="center"/>
              <w:rPr>
                <w:rFonts w:ascii="宋体" w:hAnsi="宋体"/>
                <w:sz w:val="24"/>
              </w:rPr>
            </w:pPr>
          </w:p>
        </w:tc>
        <w:tc>
          <w:tcPr>
            <w:tcW w:w="1116" w:type="dxa"/>
            <w:tcBorders>
              <w:left w:val="single" w:color="auto" w:sz="4" w:space="0"/>
            </w:tcBorders>
            <w:vAlign w:val="center"/>
          </w:tcPr>
          <w:p>
            <w:pPr>
              <w:adjustRightInd w:val="0"/>
              <w:snapToGrid w:val="0"/>
              <w:spacing w:line="360" w:lineRule="auto"/>
              <w:jc w:val="center"/>
              <w:rPr>
                <w:rFonts w:ascii="宋体" w:hAnsi="宋体"/>
                <w:sz w:val="24"/>
              </w:rPr>
            </w:pPr>
          </w:p>
        </w:tc>
      </w:tr>
    </w:tbl>
    <w:p>
      <w:pPr>
        <w:pStyle w:val="20"/>
        <w:spacing w:line="360" w:lineRule="auto"/>
        <w:ind w:firstLine="360" w:firstLineChars="150"/>
        <w:rPr>
          <w:rFonts w:hAnsi="宋体"/>
          <w:sz w:val="24"/>
          <w:szCs w:val="24"/>
        </w:rPr>
      </w:pPr>
    </w:p>
    <w:p>
      <w:pPr>
        <w:pStyle w:val="20"/>
        <w:spacing w:line="360" w:lineRule="auto"/>
        <w:ind w:firstLine="360" w:firstLineChars="150"/>
        <w:rPr>
          <w:rFonts w:hAnsi="宋体"/>
          <w:sz w:val="24"/>
          <w:szCs w:val="24"/>
        </w:rPr>
      </w:pPr>
      <w:r>
        <w:rPr>
          <w:rFonts w:hint="eastAsia" w:hAnsi="宋体"/>
          <w:sz w:val="24"/>
          <w:szCs w:val="24"/>
        </w:rPr>
        <w:t xml:space="preserve">说明：应对照竞争性谈判文件“第三章 </w:t>
      </w:r>
      <w:r>
        <w:rPr>
          <w:rFonts w:hint="eastAsia" w:hAnsi="宋体"/>
          <w:sz w:val="24"/>
          <w:szCs w:val="24"/>
          <w:lang w:eastAsia="zh-CN"/>
        </w:rPr>
        <w:t>货物需求一览表</w:t>
      </w:r>
      <w:r>
        <w:rPr>
          <w:rFonts w:hint="eastAsia" w:hAnsi="宋体"/>
          <w:sz w:val="24"/>
          <w:szCs w:val="24"/>
        </w:rPr>
        <w:t>”，逐条说明所提供货物和服务已对竞争性谈判文件的技术规格做出了实质性的响应，并申明与技术规格条文的响应和偏离。特别对有具体参数要求的指标，谈判供应商必须提供所供设备的具体参数值。如果仅注明“符合”、“满足”或简单复制竞争性谈判文件要求，将导致谈判被拒绝。</w:t>
      </w:r>
    </w:p>
    <w:p>
      <w:pPr>
        <w:pStyle w:val="20"/>
        <w:spacing w:line="360" w:lineRule="auto"/>
        <w:rPr>
          <w:rFonts w:hAnsi="宋体"/>
          <w:sz w:val="24"/>
          <w:szCs w:val="24"/>
        </w:rPr>
      </w:pPr>
    </w:p>
    <w:p>
      <w:pPr>
        <w:pStyle w:val="20"/>
        <w:spacing w:line="360" w:lineRule="auto"/>
        <w:rPr>
          <w:rFonts w:hAnsi="宋体"/>
          <w:sz w:val="24"/>
          <w:szCs w:val="24"/>
          <w:u w:val="single"/>
        </w:rPr>
      </w:pPr>
      <w:r>
        <w:rPr>
          <w:rFonts w:hint="eastAsia" w:hAnsi="宋体"/>
          <w:sz w:val="24"/>
          <w:szCs w:val="24"/>
        </w:rPr>
        <w:t>法定代表人或法定代表人授权代表签字：</w:t>
      </w:r>
    </w:p>
    <w:p>
      <w:pPr>
        <w:pStyle w:val="20"/>
        <w:spacing w:line="360" w:lineRule="auto"/>
        <w:rPr>
          <w:rFonts w:hAnsi="宋体"/>
          <w:sz w:val="24"/>
          <w:szCs w:val="24"/>
          <w:u w:val="single"/>
        </w:rPr>
      </w:pPr>
      <w:r>
        <w:rPr>
          <w:rFonts w:hint="eastAsia" w:hAnsi="宋体"/>
          <w:sz w:val="24"/>
          <w:szCs w:val="24"/>
        </w:rPr>
        <w:t>谈判供应商名称（盖章）：</w:t>
      </w:r>
    </w:p>
    <w:p>
      <w:pPr>
        <w:pStyle w:val="20"/>
        <w:spacing w:line="360" w:lineRule="auto"/>
        <w:rPr>
          <w:rFonts w:hAnsi="宋体"/>
          <w:sz w:val="24"/>
          <w:szCs w:val="24"/>
          <w:u w:val="single"/>
        </w:rPr>
      </w:pPr>
      <w:r>
        <w:rPr>
          <w:rFonts w:hint="eastAsia" w:hAnsi="宋体"/>
          <w:sz w:val="24"/>
          <w:szCs w:val="24"/>
        </w:rPr>
        <w:t>日   期：</w:t>
      </w: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pStyle w:val="34"/>
        <w:ind w:firstLine="280"/>
        <w:rPr>
          <w:rFonts w:hAnsi="宋体"/>
          <w:sz w:val="28"/>
          <w:szCs w:val="28"/>
        </w:rPr>
      </w:pPr>
    </w:p>
    <w:p>
      <w:pPr>
        <w:pStyle w:val="34"/>
        <w:ind w:firstLine="280"/>
        <w:rPr>
          <w:rFonts w:hAnsi="宋体"/>
          <w:sz w:val="28"/>
          <w:szCs w:val="28"/>
        </w:rPr>
      </w:pPr>
    </w:p>
    <w:p>
      <w:pPr>
        <w:spacing w:line="300" w:lineRule="auto"/>
        <w:rPr>
          <w:rFonts w:ascii="宋体" w:hAnsi="宋体"/>
          <w:sz w:val="28"/>
          <w:szCs w:val="28"/>
        </w:rPr>
      </w:pPr>
    </w:p>
    <w:p>
      <w:pPr>
        <w:spacing w:line="300" w:lineRule="auto"/>
        <w:outlineLvl w:val="1"/>
        <w:rPr>
          <w:rFonts w:ascii="宋体" w:hAnsi="宋体"/>
          <w:sz w:val="28"/>
          <w:szCs w:val="28"/>
        </w:rPr>
      </w:pPr>
      <w:r>
        <w:rPr>
          <w:rFonts w:hint="eastAsia" w:ascii="宋体" w:hAnsi="宋体"/>
          <w:sz w:val="28"/>
          <w:szCs w:val="28"/>
        </w:rPr>
        <w:t>附件五：</w:t>
      </w:r>
    </w:p>
    <w:p>
      <w:pPr>
        <w:spacing w:line="300" w:lineRule="auto"/>
        <w:jc w:val="center"/>
        <w:outlineLvl w:val="0"/>
        <w:rPr>
          <w:rFonts w:ascii="宋体" w:hAnsi="宋体"/>
          <w:b/>
          <w:sz w:val="32"/>
          <w:szCs w:val="32"/>
        </w:rPr>
      </w:pPr>
      <w:r>
        <w:rPr>
          <w:rFonts w:hint="eastAsia" w:ascii="宋体" w:hAnsi="宋体"/>
          <w:b/>
          <w:sz w:val="32"/>
          <w:szCs w:val="32"/>
        </w:rPr>
        <w:t>商务响应表格式</w:t>
      </w:r>
    </w:p>
    <w:p>
      <w:pPr>
        <w:spacing w:line="300" w:lineRule="auto"/>
        <w:rPr>
          <w:rFonts w:ascii="宋体" w:hAnsi="宋体"/>
          <w:sz w:val="24"/>
          <w:u w:val="single"/>
        </w:rPr>
      </w:pPr>
      <w:r>
        <w:rPr>
          <w:rFonts w:hint="eastAsia" w:ascii="宋体" w:hAnsi="宋体"/>
          <w:sz w:val="24"/>
        </w:rPr>
        <w:t>采购项目编号：</w:t>
      </w:r>
    </w:p>
    <w:p>
      <w:pPr>
        <w:spacing w:line="500" w:lineRule="exact"/>
        <w:rPr>
          <w:rFonts w:ascii="宋体" w:hAnsi="宋体"/>
          <w:sz w:val="24"/>
        </w:rPr>
      </w:pPr>
      <w:r>
        <w:rPr>
          <w:rFonts w:hint="eastAsia" w:ascii="宋体" w:hAnsi="宋体"/>
          <w:sz w:val="24"/>
        </w:rPr>
        <w:t>采购项目名称：</w:t>
      </w:r>
    </w:p>
    <w:p>
      <w:pPr>
        <w:spacing w:line="500" w:lineRule="exact"/>
        <w:rPr>
          <w:rFonts w:ascii="宋体" w:hAnsi="宋体"/>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487"/>
        <w:gridCol w:w="1434"/>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03" w:type="dxa"/>
            <w:vAlign w:val="center"/>
          </w:tcPr>
          <w:p>
            <w:pPr>
              <w:pStyle w:val="26"/>
              <w:spacing w:line="400" w:lineRule="exact"/>
              <w:jc w:val="center"/>
              <w:rPr>
                <w:rFonts w:ascii="宋体" w:hAnsi="宋体"/>
                <w:sz w:val="24"/>
              </w:rPr>
            </w:pPr>
            <w:r>
              <w:rPr>
                <w:rFonts w:hint="eastAsia" w:ascii="宋体" w:hAnsi="宋体"/>
                <w:sz w:val="24"/>
              </w:rPr>
              <w:t>商务条款要求</w:t>
            </w:r>
          </w:p>
        </w:tc>
        <w:tc>
          <w:tcPr>
            <w:tcW w:w="2487" w:type="dxa"/>
            <w:vAlign w:val="center"/>
          </w:tcPr>
          <w:p>
            <w:pPr>
              <w:pStyle w:val="26"/>
              <w:spacing w:line="400" w:lineRule="exact"/>
              <w:jc w:val="center"/>
              <w:rPr>
                <w:rFonts w:ascii="宋体" w:hAnsi="宋体"/>
                <w:sz w:val="24"/>
              </w:rPr>
            </w:pPr>
            <w:r>
              <w:rPr>
                <w:rFonts w:hint="eastAsia" w:ascii="宋体" w:hAnsi="宋体"/>
                <w:sz w:val="24"/>
              </w:rPr>
              <w:t>竞争性谈判文件要求</w:t>
            </w:r>
          </w:p>
        </w:tc>
        <w:tc>
          <w:tcPr>
            <w:tcW w:w="1434" w:type="dxa"/>
            <w:vAlign w:val="center"/>
          </w:tcPr>
          <w:p>
            <w:pPr>
              <w:pStyle w:val="26"/>
              <w:spacing w:line="400" w:lineRule="exact"/>
              <w:jc w:val="center"/>
              <w:rPr>
                <w:rFonts w:ascii="宋体" w:hAnsi="宋体"/>
                <w:sz w:val="24"/>
              </w:rPr>
            </w:pPr>
            <w:r>
              <w:rPr>
                <w:rFonts w:hint="eastAsia" w:ascii="宋体" w:hAnsi="宋体"/>
                <w:sz w:val="24"/>
              </w:rPr>
              <w:t>响应/偏离</w:t>
            </w:r>
          </w:p>
        </w:tc>
        <w:tc>
          <w:tcPr>
            <w:tcW w:w="2818" w:type="dxa"/>
            <w:vAlign w:val="center"/>
          </w:tcPr>
          <w:p>
            <w:pPr>
              <w:adjustRightInd w:val="0"/>
              <w:snapToGrid w:val="0"/>
              <w:spacing w:line="300" w:lineRule="auto"/>
              <w:jc w:val="center"/>
              <w:rPr>
                <w:rFonts w:ascii="宋体" w:hAnsi="宋体"/>
                <w:sz w:val="24"/>
              </w:rPr>
            </w:pPr>
            <w:r>
              <w:rPr>
                <w:rFonts w:hint="eastAsia" w:ascii="宋体" w:hAnsi="宋体"/>
                <w:sz w:val="24"/>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snapToGrid w:val="0"/>
              <w:spacing w:line="360" w:lineRule="exact"/>
              <w:jc w:val="center"/>
              <w:rPr>
                <w:rFonts w:hAnsi="宋体" w:cs="Courier New"/>
                <w:sz w:val="24"/>
                <w:szCs w:val="24"/>
              </w:rPr>
            </w:pPr>
          </w:p>
        </w:tc>
        <w:tc>
          <w:tcPr>
            <w:tcW w:w="2487" w:type="dxa"/>
            <w:vAlign w:val="center"/>
          </w:tcPr>
          <w:p>
            <w:pPr>
              <w:pStyle w:val="7"/>
              <w:spacing w:line="600" w:lineRule="exact"/>
              <w:jc w:val="center"/>
              <w:rPr>
                <w:rFonts w:ascii="宋体" w:hAnsi="宋体"/>
                <w:sz w:val="24"/>
                <w:szCs w:val="24"/>
              </w:rPr>
            </w:pPr>
          </w:p>
        </w:tc>
        <w:tc>
          <w:tcPr>
            <w:tcW w:w="1434" w:type="dxa"/>
            <w:vAlign w:val="center"/>
          </w:tcPr>
          <w:p>
            <w:pPr>
              <w:pStyle w:val="7"/>
              <w:spacing w:line="600" w:lineRule="exact"/>
              <w:jc w:val="center"/>
              <w:rPr>
                <w:rFonts w:ascii="宋体" w:hAnsi="宋体"/>
                <w:sz w:val="24"/>
                <w:szCs w:val="24"/>
              </w:rPr>
            </w:pPr>
          </w:p>
        </w:tc>
        <w:tc>
          <w:tcPr>
            <w:tcW w:w="2818" w:type="dxa"/>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cs="Courier New"/>
                <w:bCs/>
                <w:sz w:val="24"/>
                <w:szCs w:val="24"/>
              </w:rPr>
            </w:pPr>
          </w:p>
        </w:tc>
        <w:tc>
          <w:tcPr>
            <w:tcW w:w="2487" w:type="dxa"/>
          </w:tcPr>
          <w:p>
            <w:pPr>
              <w:pStyle w:val="7"/>
              <w:spacing w:line="600" w:lineRule="exact"/>
              <w:rPr>
                <w:rFonts w:ascii="宋体" w:hAnsi="宋体"/>
                <w:sz w:val="24"/>
                <w:szCs w:val="24"/>
              </w:rPr>
            </w:pPr>
          </w:p>
        </w:tc>
        <w:tc>
          <w:tcPr>
            <w:tcW w:w="1434" w:type="dxa"/>
          </w:tcPr>
          <w:p>
            <w:pPr>
              <w:pStyle w:val="7"/>
              <w:spacing w:line="600" w:lineRule="exact"/>
              <w:rPr>
                <w:rFonts w:ascii="宋体" w:hAnsi="宋体"/>
                <w:sz w:val="24"/>
                <w:szCs w:val="24"/>
              </w:rPr>
            </w:pPr>
          </w:p>
        </w:tc>
        <w:tc>
          <w:tcPr>
            <w:tcW w:w="2818" w:type="dxa"/>
          </w:tcPr>
          <w:p>
            <w:pPr>
              <w:pStyle w:val="7"/>
              <w:spacing w:line="6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sz w:val="24"/>
                <w:szCs w:val="24"/>
              </w:rPr>
            </w:pPr>
          </w:p>
        </w:tc>
        <w:tc>
          <w:tcPr>
            <w:tcW w:w="2487" w:type="dxa"/>
          </w:tcPr>
          <w:p>
            <w:pPr>
              <w:pStyle w:val="7"/>
              <w:spacing w:line="600" w:lineRule="exact"/>
              <w:rPr>
                <w:rFonts w:ascii="宋体" w:hAnsi="宋体"/>
                <w:sz w:val="24"/>
                <w:szCs w:val="24"/>
              </w:rPr>
            </w:pPr>
          </w:p>
        </w:tc>
        <w:tc>
          <w:tcPr>
            <w:tcW w:w="1434" w:type="dxa"/>
          </w:tcPr>
          <w:p>
            <w:pPr>
              <w:pStyle w:val="7"/>
              <w:spacing w:line="600" w:lineRule="exact"/>
              <w:rPr>
                <w:rFonts w:ascii="宋体" w:hAnsi="宋体"/>
                <w:sz w:val="24"/>
                <w:szCs w:val="24"/>
              </w:rPr>
            </w:pPr>
          </w:p>
        </w:tc>
        <w:tc>
          <w:tcPr>
            <w:tcW w:w="2818" w:type="dxa"/>
          </w:tcPr>
          <w:p>
            <w:pPr>
              <w:pStyle w:val="7"/>
              <w:spacing w:line="6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sz w:val="24"/>
                <w:szCs w:val="24"/>
              </w:rPr>
            </w:pPr>
          </w:p>
        </w:tc>
        <w:tc>
          <w:tcPr>
            <w:tcW w:w="2487" w:type="dxa"/>
          </w:tcPr>
          <w:p>
            <w:pPr>
              <w:pStyle w:val="7"/>
              <w:spacing w:line="600" w:lineRule="exact"/>
              <w:rPr>
                <w:rFonts w:ascii="宋体" w:hAnsi="宋体"/>
                <w:sz w:val="24"/>
                <w:szCs w:val="24"/>
              </w:rPr>
            </w:pPr>
          </w:p>
        </w:tc>
        <w:tc>
          <w:tcPr>
            <w:tcW w:w="1434" w:type="dxa"/>
          </w:tcPr>
          <w:p>
            <w:pPr>
              <w:pStyle w:val="7"/>
              <w:spacing w:line="600" w:lineRule="exact"/>
              <w:rPr>
                <w:rFonts w:ascii="宋体" w:hAnsi="宋体"/>
                <w:sz w:val="24"/>
                <w:szCs w:val="24"/>
              </w:rPr>
            </w:pPr>
          </w:p>
        </w:tc>
        <w:tc>
          <w:tcPr>
            <w:tcW w:w="2818" w:type="dxa"/>
          </w:tcPr>
          <w:p>
            <w:pPr>
              <w:pStyle w:val="7"/>
              <w:spacing w:line="6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sz w:val="24"/>
                <w:szCs w:val="24"/>
              </w:rPr>
            </w:pPr>
          </w:p>
        </w:tc>
        <w:tc>
          <w:tcPr>
            <w:tcW w:w="2487" w:type="dxa"/>
          </w:tcPr>
          <w:p>
            <w:pPr>
              <w:pStyle w:val="7"/>
              <w:spacing w:line="600" w:lineRule="exact"/>
              <w:rPr>
                <w:rFonts w:ascii="宋体" w:hAnsi="宋体"/>
                <w:sz w:val="24"/>
                <w:szCs w:val="24"/>
              </w:rPr>
            </w:pPr>
          </w:p>
        </w:tc>
        <w:tc>
          <w:tcPr>
            <w:tcW w:w="1434" w:type="dxa"/>
          </w:tcPr>
          <w:p>
            <w:pPr>
              <w:pStyle w:val="7"/>
              <w:spacing w:line="600" w:lineRule="exact"/>
              <w:rPr>
                <w:rFonts w:ascii="宋体" w:hAnsi="宋体"/>
                <w:sz w:val="24"/>
                <w:szCs w:val="24"/>
              </w:rPr>
            </w:pPr>
          </w:p>
        </w:tc>
        <w:tc>
          <w:tcPr>
            <w:tcW w:w="2818" w:type="dxa"/>
          </w:tcPr>
          <w:p>
            <w:pPr>
              <w:pStyle w:val="7"/>
              <w:spacing w:line="6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sz w:val="24"/>
                <w:szCs w:val="24"/>
              </w:rPr>
            </w:pPr>
          </w:p>
        </w:tc>
        <w:tc>
          <w:tcPr>
            <w:tcW w:w="2487" w:type="dxa"/>
          </w:tcPr>
          <w:p>
            <w:pPr>
              <w:pStyle w:val="7"/>
              <w:spacing w:line="600" w:lineRule="exact"/>
              <w:rPr>
                <w:rFonts w:ascii="宋体" w:hAnsi="宋体"/>
                <w:sz w:val="24"/>
                <w:szCs w:val="24"/>
              </w:rPr>
            </w:pPr>
          </w:p>
        </w:tc>
        <w:tc>
          <w:tcPr>
            <w:tcW w:w="1434" w:type="dxa"/>
          </w:tcPr>
          <w:p>
            <w:pPr>
              <w:pStyle w:val="7"/>
              <w:spacing w:line="600" w:lineRule="exact"/>
              <w:rPr>
                <w:rFonts w:ascii="宋体" w:hAnsi="宋体"/>
                <w:sz w:val="24"/>
                <w:szCs w:val="24"/>
              </w:rPr>
            </w:pPr>
          </w:p>
        </w:tc>
        <w:tc>
          <w:tcPr>
            <w:tcW w:w="2818" w:type="dxa"/>
          </w:tcPr>
          <w:p>
            <w:pPr>
              <w:pStyle w:val="7"/>
              <w:spacing w:line="6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sz w:val="24"/>
                <w:szCs w:val="24"/>
              </w:rPr>
            </w:pPr>
          </w:p>
        </w:tc>
        <w:tc>
          <w:tcPr>
            <w:tcW w:w="2487" w:type="dxa"/>
          </w:tcPr>
          <w:p>
            <w:pPr>
              <w:pStyle w:val="7"/>
              <w:spacing w:line="600" w:lineRule="exact"/>
              <w:rPr>
                <w:rFonts w:ascii="宋体" w:hAnsi="宋体"/>
                <w:sz w:val="24"/>
                <w:szCs w:val="24"/>
              </w:rPr>
            </w:pPr>
          </w:p>
        </w:tc>
        <w:tc>
          <w:tcPr>
            <w:tcW w:w="1434" w:type="dxa"/>
          </w:tcPr>
          <w:p>
            <w:pPr>
              <w:pStyle w:val="7"/>
              <w:spacing w:line="600" w:lineRule="exact"/>
              <w:rPr>
                <w:rFonts w:ascii="宋体" w:hAnsi="宋体"/>
                <w:sz w:val="24"/>
                <w:szCs w:val="24"/>
              </w:rPr>
            </w:pPr>
          </w:p>
        </w:tc>
        <w:tc>
          <w:tcPr>
            <w:tcW w:w="2818" w:type="dxa"/>
          </w:tcPr>
          <w:p>
            <w:pPr>
              <w:pStyle w:val="7"/>
              <w:spacing w:line="6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vAlign w:val="center"/>
          </w:tcPr>
          <w:p>
            <w:pPr>
              <w:pStyle w:val="20"/>
              <w:adjustRightInd w:val="0"/>
              <w:snapToGrid w:val="0"/>
              <w:jc w:val="center"/>
              <w:rPr>
                <w:rFonts w:hAnsi="宋体"/>
                <w:sz w:val="24"/>
                <w:szCs w:val="24"/>
              </w:rPr>
            </w:pPr>
          </w:p>
        </w:tc>
        <w:tc>
          <w:tcPr>
            <w:tcW w:w="2487" w:type="dxa"/>
          </w:tcPr>
          <w:p>
            <w:pPr>
              <w:pStyle w:val="20"/>
              <w:spacing w:line="600" w:lineRule="exact"/>
              <w:rPr>
                <w:rFonts w:hAnsi="宋体" w:cs="Courier New"/>
                <w:sz w:val="24"/>
                <w:szCs w:val="24"/>
              </w:rPr>
            </w:pPr>
          </w:p>
        </w:tc>
        <w:tc>
          <w:tcPr>
            <w:tcW w:w="1434" w:type="dxa"/>
          </w:tcPr>
          <w:p>
            <w:pPr>
              <w:pStyle w:val="20"/>
              <w:spacing w:line="600" w:lineRule="exact"/>
              <w:rPr>
                <w:rFonts w:hAnsi="宋体" w:cs="Courier New"/>
                <w:sz w:val="24"/>
                <w:szCs w:val="24"/>
              </w:rPr>
            </w:pPr>
          </w:p>
        </w:tc>
        <w:tc>
          <w:tcPr>
            <w:tcW w:w="2818" w:type="dxa"/>
          </w:tcPr>
          <w:p>
            <w:pPr>
              <w:pStyle w:val="20"/>
              <w:spacing w:line="600" w:lineRule="exact"/>
              <w:rPr>
                <w:rFonts w:hAnsi="宋体" w:cs="Courier New"/>
                <w:sz w:val="24"/>
                <w:szCs w:val="24"/>
              </w:rPr>
            </w:pPr>
          </w:p>
        </w:tc>
      </w:tr>
    </w:tbl>
    <w:p>
      <w:pPr>
        <w:pStyle w:val="20"/>
        <w:spacing w:line="300" w:lineRule="auto"/>
        <w:ind w:firstLine="360" w:firstLineChars="150"/>
        <w:rPr>
          <w:rFonts w:hAnsi="宋体"/>
          <w:sz w:val="24"/>
          <w:szCs w:val="24"/>
        </w:rPr>
      </w:pPr>
    </w:p>
    <w:p>
      <w:pPr>
        <w:pStyle w:val="20"/>
        <w:spacing w:line="300" w:lineRule="auto"/>
        <w:ind w:firstLine="360" w:firstLineChars="150"/>
        <w:rPr>
          <w:rFonts w:hAnsi="宋体"/>
          <w:sz w:val="24"/>
          <w:szCs w:val="24"/>
        </w:rPr>
      </w:pPr>
      <w:r>
        <w:rPr>
          <w:rFonts w:hint="eastAsia" w:hAnsi="宋体"/>
          <w:sz w:val="24"/>
          <w:szCs w:val="24"/>
        </w:rPr>
        <w:t xml:space="preserve">说明：应对照竞争性谈判文件“第三章 </w:t>
      </w:r>
      <w:r>
        <w:rPr>
          <w:rFonts w:hint="eastAsia" w:hAnsi="宋体"/>
          <w:sz w:val="24"/>
          <w:szCs w:val="24"/>
          <w:lang w:eastAsia="zh-CN"/>
        </w:rPr>
        <w:t>货物需求一览表</w:t>
      </w:r>
      <w:r>
        <w:rPr>
          <w:rFonts w:hint="eastAsia" w:hAnsi="宋体"/>
          <w:sz w:val="24"/>
          <w:szCs w:val="24"/>
        </w:rPr>
        <w:t xml:space="preserve"> 商务要求”，逐条对应商务基本要求进行承诺，并申明与商务条款要求各条文的响应和偏离。</w:t>
      </w:r>
    </w:p>
    <w:p>
      <w:pPr>
        <w:pStyle w:val="20"/>
        <w:spacing w:line="300" w:lineRule="auto"/>
        <w:rPr>
          <w:rFonts w:hAnsi="宋体"/>
          <w:sz w:val="24"/>
          <w:szCs w:val="24"/>
        </w:rPr>
      </w:pPr>
    </w:p>
    <w:p>
      <w:pPr>
        <w:pStyle w:val="20"/>
        <w:spacing w:line="360" w:lineRule="auto"/>
        <w:rPr>
          <w:rFonts w:hAnsi="宋体"/>
          <w:sz w:val="24"/>
          <w:szCs w:val="24"/>
          <w:u w:val="single"/>
        </w:rPr>
      </w:pPr>
      <w:r>
        <w:rPr>
          <w:rFonts w:hint="eastAsia" w:hAnsi="宋体"/>
          <w:sz w:val="24"/>
          <w:szCs w:val="24"/>
        </w:rPr>
        <w:t>法定代表人或法定代表人授权代表签字：</w:t>
      </w:r>
    </w:p>
    <w:p>
      <w:pPr>
        <w:pStyle w:val="20"/>
        <w:spacing w:line="360" w:lineRule="auto"/>
        <w:rPr>
          <w:rFonts w:hAnsi="宋体"/>
          <w:sz w:val="24"/>
          <w:szCs w:val="24"/>
          <w:u w:val="single"/>
        </w:rPr>
      </w:pPr>
      <w:r>
        <w:rPr>
          <w:rFonts w:hint="eastAsia" w:hAnsi="宋体"/>
          <w:sz w:val="24"/>
          <w:szCs w:val="24"/>
        </w:rPr>
        <w:t>谈判供应商名称（盖章）：</w:t>
      </w:r>
    </w:p>
    <w:p>
      <w:pPr>
        <w:pStyle w:val="20"/>
        <w:spacing w:line="360" w:lineRule="auto"/>
        <w:rPr>
          <w:rFonts w:hAnsi="宋体"/>
          <w:sz w:val="24"/>
          <w:szCs w:val="24"/>
          <w:u w:val="single"/>
        </w:rPr>
      </w:pPr>
      <w:r>
        <w:rPr>
          <w:rFonts w:hint="eastAsia" w:hAnsi="宋体"/>
          <w:sz w:val="24"/>
          <w:szCs w:val="24"/>
        </w:rPr>
        <w:t>日   期：</w:t>
      </w:r>
    </w:p>
    <w:p>
      <w:pPr>
        <w:adjustRightInd w:val="0"/>
        <w:snapToGrid w:val="0"/>
        <w:spacing w:line="360" w:lineRule="auto"/>
        <w:ind w:right="120"/>
        <w:jc w:val="right"/>
        <w:rPr>
          <w:rFonts w:ascii="宋体" w:hAnsi="宋体"/>
          <w:szCs w:val="21"/>
          <w:u w:val="single"/>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pStyle w:val="34"/>
        <w:ind w:firstLine="210"/>
      </w:pPr>
    </w:p>
    <w:p>
      <w:pPr>
        <w:spacing w:line="300" w:lineRule="auto"/>
        <w:rPr>
          <w:rFonts w:ascii="宋体" w:hAnsi="宋体"/>
          <w:sz w:val="28"/>
          <w:szCs w:val="28"/>
        </w:rPr>
      </w:pPr>
    </w:p>
    <w:p>
      <w:pPr>
        <w:spacing w:line="360" w:lineRule="auto"/>
        <w:ind w:firstLine="360" w:firstLineChars="150"/>
        <w:rPr>
          <w:rFonts w:ascii="宋体" w:hAnsi="宋体"/>
          <w:sz w:val="24"/>
        </w:rPr>
      </w:pPr>
      <w:r>
        <w:rPr>
          <w:rFonts w:hint="eastAsia" w:ascii="宋体" w:hAnsi="宋体"/>
          <w:sz w:val="24"/>
        </w:rPr>
        <w:t>售后服务承诺方案；（格式自拟）</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r>
        <w:rPr>
          <w:rFonts w:hint="eastAsia" w:ascii="宋体" w:hAnsi="宋体"/>
          <w:sz w:val="24"/>
        </w:rPr>
        <w:t>供应商有效的加载统一社会信用代码的营业执照或事业单位法人证书等主体资格证明副本和竞标人有效的医疗器械经营许可证或生产许可证复印件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信用记录查询结果截图（评审时采购人或采购代理机构在网站的查询结果截图为准，同时将查询结果截图作为证据留存）</w:t>
      </w:r>
    </w:p>
    <w:p>
      <w:pPr>
        <w:adjustRightInd w:val="0"/>
        <w:snapToGrid w:val="0"/>
        <w:spacing w:line="360" w:lineRule="auto"/>
        <w:jc w:val="center"/>
        <w:rPr>
          <w:rFonts w:ascii="宋体" w:hAnsi="宋体"/>
          <w:b/>
          <w:sz w:val="24"/>
        </w:rPr>
      </w:pPr>
    </w:p>
    <w:p>
      <w:pPr>
        <w:spacing w:line="360" w:lineRule="auto"/>
        <w:ind w:firstLine="360" w:firstLineChars="150"/>
        <w:rPr>
          <w:rFonts w:ascii="宋体" w:hAnsi="宋体"/>
          <w:sz w:val="24"/>
        </w:rPr>
      </w:pPr>
      <w:r>
        <w:rPr>
          <w:rFonts w:hint="eastAsia" w:ascii="宋体" w:hAnsi="宋体"/>
          <w:sz w:val="24"/>
        </w:rPr>
        <w:t xml:space="preserve">响应文件递交截止之日前竞标供应商最近一个季度或近期连续三个月的依法缴纳税费或依法免缴税费（包括无纳税记录或零报税）的证明  </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r>
        <w:rPr>
          <w:rFonts w:hint="eastAsia" w:ascii="宋体" w:hAnsi="宋体"/>
          <w:sz w:val="24"/>
        </w:rPr>
        <w:t>响应文件递交截止之日前竞标供应商最近一个季度或近期连续三个月的依法缴纳社会保险费或依法免缴社保费的相关证明</w:t>
      </w:r>
    </w:p>
    <w:p>
      <w:pPr>
        <w:adjustRightInd w:val="0"/>
        <w:snapToGrid w:val="0"/>
        <w:spacing w:line="360" w:lineRule="auto"/>
        <w:jc w:val="center"/>
        <w:rPr>
          <w:rFonts w:ascii="宋体" w:hAnsi="宋体"/>
          <w:b/>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r>
        <w:rPr>
          <w:rFonts w:hint="eastAsia" w:ascii="宋体" w:hAnsi="宋体"/>
          <w:sz w:val="24"/>
        </w:rPr>
        <w:t>供应商2018或2019年度财务报表复印件</w:t>
      </w:r>
    </w:p>
    <w:p>
      <w:pPr>
        <w:adjustRightInd w:val="0"/>
        <w:snapToGrid w:val="0"/>
        <w:spacing w:line="360" w:lineRule="auto"/>
        <w:jc w:val="center"/>
        <w:rPr>
          <w:rFonts w:ascii="宋体" w:hAnsi="宋体"/>
          <w:b/>
          <w:sz w:val="24"/>
        </w:rPr>
      </w:pPr>
    </w:p>
    <w:p>
      <w:pPr>
        <w:adjustRightInd w:val="0"/>
        <w:snapToGrid w:val="0"/>
        <w:spacing w:line="300" w:lineRule="auto"/>
        <w:jc w:val="center"/>
        <w:rPr>
          <w:rFonts w:ascii="宋体" w:hAnsi="宋体"/>
          <w:b/>
          <w:sz w:val="32"/>
          <w:szCs w:val="32"/>
        </w:rPr>
      </w:pPr>
    </w:p>
    <w:p>
      <w:pPr>
        <w:adjustRightInd w:val="0"/>
        <w:snapToGrid w:val="0"/>
        <w:spacing w:line="300" w:lineRule="auto"/>
        <w:jc w:val="center"/>
        <w:rPr>
          <w:rFonts w:ascii="宋体" w:hAnsi="宋体"/>
          <w:b/>
          <w:sz w:val="32"/>
          <w:szCs w:val="32"/>
        </w:rPr>
      </w:pPr>
    </w:p>
    <w:p>
      <w:pPr>
        <w:adjustRightInd w:val="0"/>
        <w:snapToGrid w:val="0"/>
        <w:spacing w:line="300" w:lineRule="auto"/>
        <w:jc w:val="center"/>
        <w:rPr>
          <w:rFonts w:ascii="宋体" w:hAnsi="宋体"/>
          <w:b/>
          <w:sz w:val="32"/>
          <w:szCs w:val="32"/>
        </w:rPr>
      </w:pPr>
    </w:p>
    <w:p>
      <w:pPr>
        <w:adjustRightInd w:val="0"/>
        <w:snapToGrid w:val="0"/>
        <w:spacing w:line="300" w:lineRule="auto"/>
        <w:jc w:val="center"/>
        <w:rPr>
          <w:rFonts w:ascii="宋体" w:hAnsi="宋体"/>
          <w:b/>
          <w:sz w:val="32"/>
          <w:szCs w:val="32"/>
        </w:rPr>
      </w:pPr>
    </w:p>
    <w:p>
      <w:pPr>
        <w:adjustRightInd w:val="0"/>
        <w:snapToGrid w:val="0"/>
        <w:spacing w:line="300" w:lineRule="auto"/>
        <w:jc w:val="center"/>
        <w:rPr>
          <w:rFonts w:ascii="宋体" w:hAnsi="宋体"/>
          <w:b/>
          <w:sz w:val="32"/>
          <w:szCs w:val="32"/>
        </w:rPr>
      </w:pPr>
    </w:p>
    <w:p>
      <w:pPr>
        <w:adjustRightInd w:val="0"/>
        <w:snapToGrid w:val="0"/>
        <w:spacing w:line="300" w:lineRule="auto"/>
        <w:jc w:val="center"/>
        <w:rPr>
          <w:rFonts w:ascii="宋体"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adjustRightInd w:val="0"/>
        <w:snapToGrid w:val="0"/>
        <w:spacing w:line="300" w:lineRule="auto"/>
        <w:jc w:val="center"/>
        <w:rPr>
          <w:rFonts w:ascii="宋体" w:hAnsi="宋体"/>
          <w:b/>
          <w:sz w:val="32"/>
          <w:szCs w:val="32"/>
        </w:rPr>
      </w:pPr>
    </w:p>
    <w:p>
      <w:pPr>
        <w:adjustRightInd w:val="0"/>
        <w:snapToGrid w:val="0"/>
        <w:spacing w:line="300" w:lineRule="auto"/>
        <w:jc w:val="center"/>
        <w:outlineLvl w:val="0"/>
        <w:rPr>
          <w:rFonts w:ascii="宋体" w:hAnsi="宋体"/>
          <w:b/>
          <w:sz w:val="32"/>
          <w:szCs w:val="32"/>
        </w:rPr>
      </w:pPr>
      <w:r>
        <w:rPr>
          <w:rFonts w:hint="eastAsia" w:ascii="宋体" w:hAnsi="宋体"/>
          <w:b/>
          <w:sz w:val="32"/>
          <w:szCs w:val="32"/>
        </w:rPr>
        <w:t>法定代表人授权书</w:t>
      </w:r>
    </w:p>
    <w:p>
      <w:pPr>
        <w:adjustRightInd w:val="0"/>
        <w:snapToGrid w:val="0"/>
        <w:spacing w:line="520" w:lineRule="exact"/>
        <w:rPr>
          <w:rFonts w:ascii="宋体" w:hAnsi="宋体"/>
          <w:sz w:val="28"/>
          <w:szCs w:val="28"/>
        </w:rPr>
      </w:pPr>
    </w:p>
    <w:p>
      <w:pPr>
        <w:spacing w:line="520" w:lineRule="exact"/>
        <w:rPr>
          <w:rFonts w:ascii="宋体" w:hAnsi="宋体"/>
          <w:sz w:val="24"/>
        </w:rPr>
      </w:pPr>
      <w:r>
        <w:rPr>
          <w:rFonts w:hint="eastAsia" w:ascii="宋体" w:hAnsi="宋体"/>
          <w:sz w:val="24"/>
          <w:u w:val="single"/>
        </w:rPr>
        <w:t xml:space="preserve">广西元强建设项目管理有限公司 </w:t>
      </w:r>
      <w:r>
        <w:rPr>
          <w:rFonts w:hint="eastAsia" w:ascii="宋体" w:hAnsi="宋体"/>
          <w:sz w:val="24"/>
        </w:rPr>
        <w:t>：</w:t>
      </w:r>
    </w:p>
    <w:p>
      <w:pPr>
        <w:spacing w:line="520" w:lineRule="exact"/>
        <w:ind w:firstLine="480" w:firstLineChars="200"/>
        <w:rPr>
          <w:rFonts w:ascii="宋体" w:hAnsi="宋体"/>
          <w:sz w:val="24"/>
          <w:u w:val="single"/>
        </w:rPr>
      </w:pPr>
      <w:r>
        <w:rPr>
          <w:rFonts w:hint="eastAsia" w:ascii="宋体" w:hAnsi="宋体"/>
          <w:sz w:val="24"/>
        </w:rPr>
        <w:t>兹授权同志为我公司参加贵单位组织的</w:t>
      </w:r>
      <w:r>
        <w:rPr>
          <w:rFonts w:hint="eastAsia" w:ascii="宋体" w:hAnsi="宋体"/>
          <w:sz w:val="24"/>
          <w:u w:val="single"/>
        </w:rPr>
        <w:t>（项目名称及项目编号）</w:t>
      </w:r>
    </w:p>
    <w:p>
      <w:pPr>
        <w:spacing w:line="520" w:lineRule="exact"/>
        <w:rPr>
          <w:rFonts w:ascii="宋体" w:hAnsi="宋体"/>
          <w:sz w:val="24"/>
        </w:rPr>
      </w:pPr>
      <w:r>
        <w:rPr>
          <w:rFonts w:hint="eastAsia" w:ascii="宋体" w:hAnsi="宋体"/>
          <w:sz w:val="24"/>
        </w:rPr>
        <w:t xml:space="preserve">采购活动的竞标代表人，全权代表我公司处理在该项目活动中的一切事宜。代理期限从年月日起至年月日止。 </w:t>
      </w:r>
    </w:p>
    <w:p>
      <w:pPr>
        <w:spacing w:line="520" w:lineRule="exact"/>
        <w:rPr>
          <w:rFonts w:ascii="宋体" w:hAnsi="宋体"/>
          <w:sz w:val="24"/>
        </w:rPr>
      </w:pPr>
    </w:p>
    <w:p>
      <w:pPr>
        <w:spacing w:line="520" w:lineRule="exact"/>
        <w:ind w:firstLine="360" w:firstLineChars="150"/>
        <w:rPr>
          <w:rFonts w:ascii="宋体" w:hAnsi="宋体"/>
          <w:sz w:val="24"/>
        </w:rPr>
      </w:pPr>
      <w:r>
        <w:rPr>
          <w:rFonts w:hint="eastAsia" w:ascii="宋体" w:hAnsi="宋体"/>
          <w:sz w:val="24"/>
        </w:rPr>
        <w:t>授权单位（签章）：</w:t>
      </w:r>
    </w:p>
    <w:p>
      <w:pPr>
        <w:spacing w:line="520" w:lineRule="exact"/>
        <w:ind w:firstLine="360" w:firstLineChars="150"/>
        <w:rPr>
          <w:rFonts w:ascii="宋体" w:hAnsi="宋体"/>
          <w:sz w:val="24"/>
        </w:rPr>
      </w:pPr>
      <w:r>
        <w:rPr>
          <w:rFonts w:hint="eastAsia" w:ascii="宋体" w:hAnsi="宋体"/>
          <w:sz w:val="24"/>
        </w:rPr>
        <w:t>法定代表人（签字或盖章）：</w:t>
      </w:r>
    </w:p>
    <w:p>
      <w:pPr>
        <w:spacing w:line="520" w:lineRule="exact"/>
        <w:ind w:firstLine="360" w:firstLineChars="150"/>
        <w:rPr>
          <w:rFonts w:ascii="宋体" w:hAnsi="宋体"/>
          <w:sz w:val="24"/>
        </w:rPr>
      </w:pPr>
      <w:r>
        <w:rPr>
          <w:rFonts w:hint="eastAsia" w:ascii="宋体" w:hAnsi="宋体"/>
          <w:sz w:val="24"/>
        </w:rPr>
        <w:t>签发日期：年月日</w:t>
      </w:r>
    </w:p>
    <w:p>
      <w:pPr>
        <w:spacing w:line="520" w:lineRule="exact"/>
        <w:rPr>
          <w:rFonts w:ascii="宋体" w:hAnsi="宋体"/>
          <w:sz w:val="24"/>
        </w:rPr>
      </w:pPr>
    </w:p>
    <w:p>
      <w:pPr>
        <w:spacing w:line="520" w:lineRule="exact"/>
        <w:ind w:firstLine="480" w:firstLineChars="200"/>
        <w:rPr>
          <w:rFonts w:ascii="宋体" w:hAnsi="宋体"/>
          <w:sz w:val="24"/>
        </w:rPr>
      </w:pPr>
      <w:r>
        <w:rPr>
          <w:rFonts w:hint="eastAsia" w:ascii="宋体" w:hAnsi="宋体"/>
          <w:sz w:val="24"/>
        </w:rPr>
        <w:t>附：代理人工作单位：</w:t>
      </w:r>
    </w:p>
    <w:p>
      <w:pPr>
        <w:spacing w:line="520" w:lineRule="exact"/>
        <w:ind w:firstLine="480" w:firstLineChars="200"/>
        <w:rPr>
          <w:rFonts w:ascii="宋体" w:hAnsi="宋体"/>
          <w:sz w:val="24"/>
        </w:rPr>
      </w:pPr>
      <w:r>
        <w:rPr>
          <w:rFonts w:hint="eastAsia" w:ascii="宋体" w:hAnsi="宋体"/>
          <w:sz w:val="24"/>
        </w:rPr>
        <w:t>职务：   性别：</w:t>
      </w:r>
    </w:p>
    <w:p>
      <w:pPr>
        <w:adjustRightInd w:val="0"/>
        <w:snapToGrid w:val="0"/>
        <w:spacing w:line="520" w:lineRule="exact"/>
        <w:ind w:firstLine="480" w:firstLineChars="200"/>
        <w:rPr>
          <w:rFonts w:ascii="宋体" w:hAnsi="宋体"/>
          <w:sz w:val="24"/>
          <w:u w:val="single"/>
        </w:rPr>
      </w:pPr>
      <w:r>
        <w:rPr>
          <w:rFonts w:hint="eastAsia" w:ascii="宋体" w:hAnsi="宋体"/>
          <w:sz w:val="24"/>
        </w:rPr>
        <w:t>身份证号码：</w:t>
      </w:r>
    </w:p>
    <w:p>
      <w:pPr>
        <w:adjustRightInd w:val="0"/>
        <w:snapToGrid w:val="0"/>
        <w:spacing w:line="520" w:lineRule="exact"/>
        <w:ind w:firstLine="480" w:firstLineChars="200"/>
        <w:rPr>
          <w:rFonts w:ascii="宋体" w:hAnsi="宋体"/>
          <w:sz w:val="24"/>
          <w:u w:val="single"/>
        </w:rPr>
      </w:pPr>
    </w:p>
    <w:p>
      <w:pPr>
        <w:autoSpaceDE w:val="0"/>
        <w:autoSpaceDN w:val="0"/>
        <w:spacing w:line="300" w:lineRule="auto"/>
        <w:ind w:left="480" w:hanging="480"/>
        <w:rPr>
          <w:rFonts w:ascii="宋体" w:hAnsi="宋体"/>
          <w:b/>
          <w:sz w:val="24"/>
        </w:rPr>
      </w:pPr>
      <w:r>
        <w:rPr>
          <w:rFonts w:hint="eastAsia" w:ascii="宋体" w:hAnsi="宋体"/>
          <w:b/>
          <w:sz w:val="24"/>
        </w:rPr>
        <w:t xml:space="preserve">备注：附被授权人身份证及法定代表人身份证复印件 </w:t>
      </w:r>
    </w:p>
    <w:p>
      <w:pPr>
        <w:autoSpaceDE w:val="0"/>
        <w:autoSpaceDN w:val="0"/>
        <w:spacing w:line="300" w:lineRule="auto"/>
        <w:ind w:left="480" w:hanging="480"/>
        <w:rPr>
          <w:rFonts w:ascii="宋体" w:hAnsi="宋体"/>
          <w:sz w:val="28"/>
          <w:szCs w:val="28"/>
        </w:rPr>
      </w:pPr>
    </w:p>
    <w:p>
      <w:pPr>
        <w:autoSpaceDE w:val="0"/>
        <w:autoSpaceDN w:val="0"/>
        <w:spacing w:line="300" w:lineRule="auto"/>
        <w:ind w:left="480" w:hanging="480"/>
        <w:rPr>
          <w:rFonts w:ascii="宋体" w:hAnsi="宋体"/>
          <w:sz w:val="28"/>
          <w:szCs w:val="28"/>
        </w:rPr>
      </w:pPr>
    </w:p>
    <w:p>
      <w:pPr>
        <w:autoSpaceDE w:val="0"/>
        <w:autoSpaceDN w:val="0"/>
        <w:spacing w:line="300" w:lineRule="auto"/>
        <w:ind w:left="480" w:hanging="480"/>
        <w:rPr>
          <w:rFonts w:ascii="宋体" w:hAnsi="宋体"/>
          <w:sz w:val="28"/>
          <w:szCs w:val="28"/>
        </w:rPr>
      </w:pPr>
    </w:p>
    <w:p>
      <w:pPr>
        <w:autoSpaceDE w:val="0"/>
        <w:autoSpaceDN w:val="0"/>
        <w:spacing w:line="300" w:lineRule="auto"/>
        <w:ind w:left="480" w:hanging="480"/>
        <w:rPr>
          <w:rFonts w:ascii="宋体" w:hAnsi="宋体"/>
          <w:sz w:val="28"/>
          <w:szCs w:val="28"/>
        </w:rPr>
      </w:pPr>
    </w:p>
    <w:p>
      <w:pPr>
        <w:autoSpaceDE w:val="0"/>
        <w:autoSpaceDN w:val="0"/>
        <w:spacing w:line="300" w:lineRule="auto"/>
        <w:ind w:left="480" w:hanging="480"/>
        <w:rPr>
          <w:rFonts w:ascii="宋体" w:hAnsi="宋体"/>
          <w:sz w:val="28"/>
          <w:szCs w:val="28"/>
        </w:rPr>
      </w:pPr>
    </w:p>
    <w:p>
      <w:pPr>
        <w:pStyle w:val="34"/>
        <w:ind w:firstLine="210"/>
      </w:pPr>
    </w:p>
    <w:p>
      <w:pPr>
        <w:pStyle w:val="20"/>
        <w:spacing w:line="300" w:lineRule="auto"/>
        <w:rPr>
          <w:rFonts w:hAnsi="宋体"/>
          <w:sz w:val="28"/>
          <w:szCs w:val="28"/>
        </w:rPr>
      </w:pPr>
    </w:p>
    <w:p>
      <w:pPr>
        <w:shd w:val="clear" w:color="auto" w:fill="FFFFFF"/>
        <w:spacing w:after="240" w:line="360" w:lineRule="atLeast"/>
        <w:ind w:firstLine="480"/>
        <w:jc w:val="center"/>
        <w:rPr>
          <w:rFonts w:ascii="宋体" w:hAnsi="宋体" w:cs="宋体"/>
          <w:kern w:val="0"/>
          <w:sz w:val="28"/>
          <w:szCs w:val="28"/>
        </w:rPr>
      </w:pPr>
    </w:p>
    <w:p>
      <w:pPr>
        <w:shd w:val="clear" w:color="auto" w:fill="FFFFFF"/>
        <w:spacing w:after="240" w:line="360" w:lineRule="atLeast"/>
        <w:ind w:firstLine="480"/>
        <w:jc w:val="center"/>
        <w:rPr>
          <w:rFonts w:ascii="宋体" w:hAnsi="宋体" w:cs="宋体"/>
          <w:kern w:val="0"/>
          <w:sz w:val="28"/>
          <w:szCs w:val="28"/>
        </w:rPr>
      </w:pPr>
    </w:p>
    <w:p>
      <w:pPr>
        <w:shd w:val="clear" w:color="auto" w:fill="FFFFFF"/>
        <w:spacing w:after="240" w:line="360" w:lineRule="atLeast"/>
        <w:ind w:firstLine="480"/>
        <w:jc w:val="center"/>
        <w:outlineLvl w:val="1"/>
        <w:rPr>
          <w:rFonts w:ascii="宋体" w:hAnsi="宋体" w:cs="宋体"/>
          <w:b/>
          <w:bCs/>
          <w:kern w:val="0"/>
          <w:sz w:val="28"/>
          <w:szCs w:val="28"/>
        </w:rPr>
      </w:pPr>
      <w:r>
        <w:rPr>
          <w:rFonts w:hint="eastAsia" w:ascii="宋体" w:hAnsi="宋体" w:cs="宋体"/>
          <w:b/>
          <w:bCs/>
          <w:kern w:val="0"/>
          <w:sz w:val="28"/>
          <w:szCs w:val="28"/>
        </w:rPr>
        <w:t>中小企业声明函（格式）</w:t>
      </w:r>
    </w:p>
    <w:p>
      <w:pPr>
        <w:widowControl/>
        <w:shd w:val="clear" w:color="auto" w:fill="FFFFFF"/>
        <w:spacing w:after="240" w:line="360" w:lineRule="exact"/>
        <w:ind w:firstLine="482"/>
        <w:jc w:val="left"/>
        <w:rPr>
          <w:rFonts w:ascii="宋体" w:hAnsi="宋体" w:cs="宋体"/>
          <w:kern w:val="0"/>
          <w:sz w:val="24"/>
        </w:rPr>
      </w:pPr>
      <w:r>
        <w:rPr>
          <w:rFonts w:hint="eastAsia" w:ascii="宋体" w:hAnsi="宋体" w:cs="宋体"/>
          <w:kern w:val="0"/>
          <w:sz w:val="28"/>
          <w:szCs w:val="28"/>
        </w:rPr>
        <w:t> </w:t>
      </w:r>
      <w:r>
        <w:rPr>
          <w:rFonts w:hint="eastAsia" w:ascii="宋体" w:hAnsi="宋体" w:cs="宋体"/>
          <w:kern w:val="0"/>
          <w:sz w:val="24"/>
        </w:rPr>
        <w:t>本公司郑重声明，根据《政府采购促进中小企业发展暂行办法》（财库[2011]181号）的规定，本公司为（请填写：中型、小型、微型）企业。即，本公司同时满足以下条件：</w:t>
      </w:r>
    </w:p>
    <w:p>
      <w:pPr>
        <w:widowControl/>
        <w:shd w:val="clear" w:color="auto" w:fill="FFFFFF"/>
        <w:spacing w:after="240" w:line="360" w:lineRule="exact"/>
        <w:ind w:firstLine="482"/>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1.根据《工业和信息化部、国家统计局、国家发展和改革委员会、财政部关于印发中小企业划型标准规定的通知》（工信部联企业[2011]300号）规定的划分标准，本公司为（请填写：中型、小型、微型）企业。</w:t>
      </w:r>
    </w:p>
    <w:p>
      <w:pPr>
        <w:widowControl/>
        <w:shd w:val="clear" w:color="auto" w:fill="FFFFFF"/>
        <w:spacing w:after="240" w:line="360" w:lineRule="exact"/>
        <w:ind w:firstLine="482"/>
        <w:jc w:val="left"/>
        <w:rPr>
          <w:rFonts w:ascii="宋体" w:hAnsi="宋体" w:cs="宋体"/>
          <w:kern w:val="0"/>
          <w:sz w:val="24"/>
        </w:rPr>
      </w:pPr>
      <w:r>
        <w:rPr>
          <w:rFonts w:hint="eastAsia" w:ascii="宋体" w:hAnsi="宋体" w:cs="宋体"/>
          <w:kern w:val="0"/>
          <w:sz w:val="24"/>
        </w:rPr>
        <w:t>2.本公司参加单位的项目采购活动提供本企业制造的货物，由本企业承担工程、提供服务，或者提供其他（请填写：中型、小型、微型）企业制造的货物。本条所称货物不包括使用大型企业注册商标的货物。</w:t>
      </w:r>
    </w:p>
    <w:p>
      <w:pPr>
        <w:widowControl/>
        <w:shd w:val="clear" w:color="auto" w:fill="FFFFFF"/>
        <w:spacing w:after="240" w:line="360" w:lineRule="exact"/>
        <w:ind w:firstLine="482"/>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after="240" w:line="360" w:lineRule="atLeast"/>
        <w:ind w:firstLine="480"/>
        <w:jc w:val="left"/>
        <w:rPr>
          <w:rFonts w:ascii="宋体" w:hAnsi="宋体" w:cs="宋体"/>
          <w:kern w:val="0"/>
          <w:sz w:val="28"/>
          <w:szCs w:val="28"/>
        </w:rPr>
      </w:pPr>
    </w:p>
    <w:p>
      <w:pPr>
        <w:widowControl/>
        <w:shd w:val="clear" w:color="auto" w:fill="FFFFFF"/>
        <w:spacing w:after="240" w:line="360" w:lineRule="atLeast"/>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after="240" w:line="360" w:lineRule="atLeast"/>
        <w:ind w:firstLine="480"/>
        <w:jc w:val="left"/>
        <w:rPr>
          <w:rFonts w:ascii="宋体" w:hAnsi="宋体" w:cs="宋体"/>
          <w:kern w:val="0"/>
          <w:sz w:val="24"/>
        </w:rPr>
      </w:pPr>
      <w:r>
        <w:rPr>
          <w:rFonts w:hint="eastAsia" w:ascii="宋体" w:hAnsi="宋体" w:cs="宋体"/>
          <w:kern w:val="0"/>
          <w:sz w:val="24"/>
        </w:rPr>
        <w:t> 日期</w:t>
      </w:r>
    </w:p>
    <w:p>
      <w:pPr>
        <w:spacing w:line="440" w:lineRule="exact"/>
        <w:ind w:firstLine="482" w:firstLineChars="200"/>
        <w:rPr>
          <w:rFonts w:ascii="宋体" w:hAnsi="宋体"/>
          <w:b/>
          <w:sz w:val="24"/>
        </w:rPr>
      </w:pPr>
      <w:r>
        <w:rPr>
          <w:rFonts w:hint="eastAsia" w:ascii="宋体" w:hAnsi="宋体"/>
          <w:b/>
          <w:sz w:val="24"/>
        </w:rPr>
        <w:t>备注：享受政府采购支持政策的中小企业（含中型、小型、微型企业，下同）应当同时符合以下条件：</w:t>
      </w:r>
    </w:p>
    <w:p>
      <w:pPr>
        <w:spacing w:line="440" w:lineRule="exact"/>
        <w:ind w:firstLine="482" w:firstLineChars="200"/>
        <w:rPr>
          <w:rFonts w:ascii="宋体" w:hAnsi="宋体"/>
          <w:b/>
          <w:sz w:val="24"/>
        </w:rPr>
      </w:pPr>
      <w:r>
        <w:rPr>
          <w:rFonts w:hint="eastAsia" w:ascii="宋体" w:hAnsi="宋体"/>
          <w:b/>
          <w:sz w:val="24"/>
        </w:rPr>
        <w:t>（一）符合中小企业划分标准；</w:t>
      </w:r>
    </w:p>
    <w:p>
      <w:pPr>
        <w:spacing w:line="440" w:lineRule="exact"/>
        <w:ind w:firstLine="482" w:firstLineChars="200"/>
        <w:rPr>
          <w:rFonts w:ascii="宋体" w:hAnsi="宋体"/>
          <w:b/>
          <w:sz w:val="24"/>
        </w:rPr>
      </w:pPr>
      <w:r>
        <w:rPr>
          <w:rFonts w:hint="eastAsia" w:ascii="宋体" w:hAnsi="宋体"/>
          <w:b/>
          <w:sz w:val="24"/>
        </w:rPr>
        <w:t>（二）提供本企业制造的货物、承担的工程或者服务，或者提供其他中小企业制造的货物。本项所称货物不包括使用大型企业注册商标的货物。</w:t>
      </w:r>
    </w:p>
    <w:p>
      <w:pPr>
        <w:spacing w:line="440" w:lineRule="exact"/>
        <w:ind w:firstLine="482" w:firstLineChars="200"/>
        <w:rPr>
          <w:rFonts w:ascii="宋体" w:hAnsi="宋体"/>
          <w:b/>
          <w:sz w:val="24"/>
        </w:rPr>
      </w:pPr>
      <w:r>
        <w:rPr>
          <w:rFonts w:hint="eastAsia" w:ascii="宋体" w:hAnsi="宋体"/>
          <w:b/>
          <w:sz w:val="24"/>
        </w:rPr>
        <w:t>中小企业划分标准，是指国务院有关部门根据企业从业人员、营业收入、资产总额等指标制定的中小企业划型标准。</w:t>
      </w:r>
    </w:p>
    <w:p>
      <w:pPr>
        <w:spacing w:line="440" w:lineRule="exact"/>
        <w:ind w:firstLine="482" w:firstLineChars="200"/>
        <w:rPr>
          <w:rFonts w:ascii="宋体" w:hAnsi="宋体"/>
          <w:b/>
          <w:sz w:val="24"/>
        </w:rPr>
      </w:pPr>
      <w:r>
        <w:rPr>
          <w:rFonts w:hint="eastAsia" w:ascii="宋体" w:hAnsi="宋体"/>
          <w:b/>
          <w:sz w:val="24"/>
        </w:rPr>
        <w:t>小型、微型企业提供中型企业制造的货物的，视同为中型企业。</w:t>
      </w:r>
    </w:p>
    <w:p>
      <w:pPr>
        <w:snapToGrid w:val="0"/>
        <w:spacing w:line="400" w:lineRule="exact"/>
        <w:jc w:val="left"/>
        <w:outlineLvl w:val="1"/>
        <w:rPr>
          <w:rFonts w:ascii="宋体" w:hAnsi="宋体"/>
          <w:b/>
          <w:sz w:val="28"/>
          <w:szCs w:val="28"/>
        </w:rPr>
      </w:pPr>
    </w:p>
    <w:p>
      <w:pPr>
        <w:snapToGrid w:val="0"/>
        <w:spacing w:line="400" w:lineRule="exact"/>
        <w:jc w:val="left"/>
        <w:outlineLvl w:val="1"/>
        <w:rPr>
          <w:rFonts w:ascii="宋体" w:hAnsi="宋体"/>
          <w:b/>
          <w:sz w:val="28"/>
          <w:szCs w:val="28"/>
        </w:rPr>
      </w:pPr>
    </w:p>
    <w:p>
      <w:pPr>
        <w:snapToGrid w:val="0"/>
        <w:spacing w:line="400" w:lineRule="exact"/>
        <w:jc w:val="left"/>
        <w:outlineLvl w:val="1"/>
        <w:rPr>
          <w:rFonts w:ascii="宋体" w:hAnsi="宋体"/>
          <w:b/>
          <w:sz w:val="28"/>
          <w:szCs w:val="28"/>
        </w:rPr>
      </w:pPr>
    </w:p>
    <w:p>
      <w:pPr>
        <w:snapToGrid w:val="0"/>
        <w:spacing w:line="400" w:lineRule="exact"/>
        <w:jc w:val="left"/>
        <w:outlineLvl w:val="1"/>
        <w:rPr>
          <w:rFonts w:ascii="宋体" w:hAnsi="宋体"/>
          <w:b/>
          <w:sz w:val="28"/>
          <w:szCs w:val="28"/>
        </w:rPr>
      </w:pPr>
    </w:p>
    <w:p>
      <w:pPr>
        <w:snapToGrid w:val="0"/>
        <w:spacing w:line="400" w:lineRule="exact"/>
        <w:jc w:val="left"/>
        <w:outlineLvl w:val="1"/>
        <w:rPr>
          <w:rFonts w:ascii="宋体" w:hAnsi="宋体"/>
          <w:b/>
          <w:sz w:val="28"/>
          <w:szCs w:val="28"/>
        </w:rPr>
      </w:pPr>
    </w:p>
    <w:p>
      <w:pPr>
        <w:pStyle w:val="34"/>
        <w:ind w:firstLine="281"/>
        <w:rPr>
          <w:rFonts w:hAnsi="宋体"/>
          <w:b/>
          <w:sz w:val="28"/>
          <w:szCs w:val="28"/>
        </w:rPr>
      </w:pPr>
    </w:p>
    <w:p>
      <w:pPr>
        <w:pStyle w:val="34"/>
        <w:ind w:firstLine="281"/>
        <w:rPr>
          <w:rFonts w:hAnsi="宋体"/>
          <w:b/>
          <w:sz w:val="28"/>
          <w:szCs w:val="28"/>
        </w:rPr>
      </w:pPr>
    </w:p>
    <w:p>
      <w:pPr>
        <w:snapToGrid w:val="0"/>
        <w:spacing w:line="400" w:lineRule="exact"/>
        <w:jc w:val="left"/>
        <w:outlineLvl w:val="1"/>
        <w:rPr>
          <w:rFonts w:ascii="宋体" w:hAnsi="宋体"/>
          <w:b/>
          <w:sz w:val="28"/>
          <w:szCs w:val="28"/>
        </w:rPr>
      </w:pPr>
    </w:p>
    <w:p>
      <w:pPr>
        <w:snapToGrid w:val="0"/>
        <w:spacing w:line="400" w:lineRule="exact"/>
        <w:jc w:val="left"/>
        <w:outlineLvl w:val="1"/>
        <w:rPr>
          <w:rFonts w:ascii="宋体" w:hAnsi="宋体"/>
          <w:b/>
          <w:sz w:val="28"/>
          <w:szCs w:val="28"/>
        </w:rPr>
      </w:pPr>
      <w:r>
        <w:rPr>
          <w:rFonts w:hint="eastAsia" w:ascii="宋体" w:hAnsi="宋体"/>
          <w:b/>
          <w:sz w:val="28"/>
          <w:szCs w:val="28"/>
        </w:rPr>
        <w:t>监狱企业证明文件</w:t>
      </w:r>
    </w:p>
    <w:p>
      <w:pPr>
        <w:snapToGrid w:val="0"/>
        <w:spacing w:before="50"/>
        <w:jc w:val="left"/>
        <w:rPr>
          <w:rFonts w:ascii="宋体" w:hAnsi="宋体"/>
          <w:b/>
          <w:sz w:val="28"/>
          <w:szCs w:val="28"/>
        </w:rPr>
      </w:pPr>
    </w:p>
    <w:p>
      <w:pPr>
        <w:snapToGrid w:val="0"/>
        <w:spacing w:before="50"/>
        <w:jc w:val="left"/>
        <w:rPr>
          <w:rFonts w:ascii="宋体" w:hAnsi="宋体"/>
          <w:b/>
          <w:sz w:val="28"/>
          <w:szCs w:val="28"/>
        </w:rPr>
      </w:pPr>
    </w:p>
    <w:p>
      <w:pPr>
        <w:snapToGrid w:val="0"/>
        <w:spacing w:before="50"/>
        <w:jc w:val="left"/>
        <w:outlineLvl w:val="1"/>
        <w:rPr>
          <w:rFonts w:ascii="宋体" w:hAnsi="宋体"/>
          <w:b/>
          <w:sz w:val="28"/>
          <w:szCs w:val="28"/>
        </w:rPr>
      </w:pPr>
      <w:r>
        <w:rPr>
          <w:rFonts w:hint="eastAsia" w:ascii="宋体" w:hAnsi="宋体"/>
          <w:b/>
          <w:sz w:val="28"/>
          <w:szCs w:val="28"/>
        </w:rPr>
        <w:t>残疾人福利性单位声明函</w:t>
      </w:r>
    </w:p>
    <w:p>
      <w:pPr>
        <w:snapToGrid w:val="0"/>
        <w:spacing w:before="50"/>
        <w:jc w:val="left"/>
        <w:rPr>
          <w:rFonts w:ascii="宋体" w:hAnsi="宋体"/>
          <w:b/>
          <w:sz w:val="28"/>
          <w:szCs w:val="28"/>
        </w:rPr>
      </w:pPr>
    </w:p>
    <w:p>
      <w:pPr>
        <w:spacing w:line="588" w:lineRule="exact"/>
        <w:jc w:val="center"/>
        <w:rPr>
          <w:rFonts w:ascii="宋体" w:hAnsi="宋体" w:cs="宋体"/>
          <w:b/>
          <w:kern w:val="0"/>
          <w:sz w:val="24"/>
        </w:rPr>
      </w:pPr>
      <w:r>
        <w:rPr>
          <w:rFonts w:hint="eastAsia" w:ascii="宋体" w:hAnsi="宋体" w:cs="宋体"/>
          <w:b/>
          <w:kern w:val="0"/>
          <w:sz w:val="24"/>
        </w:rPr>
        <w:t>残疾人福利性单位声明函</w:t>
      </w:r>
    </w:p>
    <w:p>
      <w:pPr>
        <w:spacing w:line="588" w:lineRule="exact"/>
        <w:rPr>
          <w:rFonts w:ascii="宋体" w:hAnsi="宋体"/>
          <w:spacing w:val="6"/>
          <w:sz w:val="24"/>
        </w:rPr>
      </w:pPr>
    </w:p>
    <w:p>
      <w:pPr>
        <w:widowControl/>
        <w:shd w:val="clear" w:color="auto" w:fill="FFFFFF"/>
        <w:spacing w:after="240" w:line="480" w:lineRule="auto"/>
        <w:ind w:firstLine="480"/>
        <w:jc w:val="left"/>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hd w:val="clear" w:color="auto" w:fill="FFFFFF"/>
        <w:spacing w:after="240" w:line="480" w:lineRule="auto"/>
        <w:ind w:firstLine="480"/>
        <w:jc w:val="left"/>
        <w:rPr>
          <w:rFonts w:ascii="宋体" w:hAnsi="宋体" w:cs="宋体"/>
          <w:kern w:val="0"/>
          <w:sz w:val="24"/>
        </w:rPr>
      </w:pPr>
      <w:r>
        <w:rPr>
          <w:rFonts w:hint="eastAsia" w:ascii="宋体" w:hAnsi="宋体" w:cs="宋体"/>
          <w:kern w:val="0"/>
          <w:sz w:val="24"/>
        </w:rPr>
        <w:t>本单位对上述声明的真实性负责。如有虚假，将依法承担相应责任。</w:t>
      </w:r>
    </w:p>
    <w:p>
      <w:pPr>
        <w:tabs>
          <w:tab w:val="left" w:pos="4860"/>
        </w:tabs>
        <w:spacing w:line="480" w:lineRule="auto"/>
        <w:ind w:right="1560" w:firstLine="504" w:firstLineChars="200"/>
        <w:jc w:val="center"/>
        <w:outlineLvl w:val="1"/>
        <w:rPr>
          <w:rFonts w:ascii="宋体" w:hAnsi="宋体"/>
          <w:spacing w:val="6"/>
          <w:sz w:val="24"/>
        </w:rPr>
      </w:pPr>
      <w:r>
        <w:rPr>
          <w:rFonts w:hint="eastAsia" w:ascii="宋体" w:hAnsi="宋体"/>
          <w:spacing w:val="6"/>
          <w:sz w:val="24"/>
        </w:rPr>
        <w:t xml:space="preserve">               单位名称（盖章）：</w:t>
      </w:r>
    </w:p>
    <w:p>
      <w:pPr>
        <w:tabs>
          <w:tab w:val="left" w:pos="4860"/>
        </w:tabs>
        <w:spacing w:line="480" w:lineRule="auto"/>
        <w:ind w:right="1560" w:firstLine="504" w:firstLineChars="200"/>
        <w:jc w:val="center"/>
        <w:outlineLvl w:val="1"/>
        <w:rPr>
          <w:rFonts w:ascii="宋体" w:hAnsi="宋体"/>
          <w:spacing w:val="6"/>
          <w:sz w:val="24"/>
        </w:rPr>
      </w:pPr>
      <w:r>
        <w:rPr>
          <w:rFonts w:hint="eastAsia" w:ascii="宋体" w:hAnsi="宋体"/>
          <w:spacing w:val="6"/>
          <w:sz w:val="24"/>
        </w:rPr>
        <w:t xml:space="preserve">       日  期：</w:t>
      </w:r>
    </w:p>
    <w:p>
      <w:pPr>
        <w:spacing w:line="380" w:lineRule="exact"/>
        <w:ind w:firstLine="482" w:firstLineChars="200"/>
        <w:rPr>
          <w:rFonts w:ascii="宋体" w:hAnsi="宋体"/>
          <w:b/>
          <w:sz w:val="24"/>
        </w:rPr>
      </w:pPr>
      <w:r>
        <w:rPr>
          <w:rFonts w:hint="eastAsia" w:ascii="宋体" w:hAnsi="宋体"/>
          <w:b/>
          <w:sz w:val="24"/>
        </w:rPr>
        <w:t>供应商2018或2019年度财务报表复印件【①可以是经会计师事务所审计的财务报告，或是本公司出具的财务报表；②新近成立不足半年的公司可根据其成立的时间提交财务报表；③公司出具的财务报表至少包含资产负债表、利润表、现金流量表，未按要求提供材料的，谈判小组将取消其竞标资格】，或供应商其基本开户银行出具的资信证明（复印件）；（必须提供）（说明：供应商其基本开户银行出具的资信证明指：反映供应商资金结算无异常，无违规透支，无理拒付、无逾期（垫款）和欠息等不良记录，结算纪律良好的相关证明，并非指存款证明。如所提供该证明仅为存款数额信息的将作无效证明处理，并按无效竞标处理）；</w:t>
      </w:r>
    </w:p>
    <w:p>
      <w:pPr>
        <w:spacing w:line="380" w:lineRule="exact"/>
        <w:ind w:firstLine="482" w:firstLineChars="200"/>
        <w:rPr>
          <w:rFonts w:ascii="宋体" w:hAnsi="宋体"/>
          <w:b/>
          <w:sz w:val="24"/>
        </w:rPr>
      </w:pPr>
      <w:r>
        <w:rPr>
          <w:rFonts w:hint="eastAsia" w:ascii="宋体" w:hAnsi="宋体"/>
          <w:b/>
          <w:sz w:val="24"/>
        </w:rPr>
        <w:t>货物制造、检验、验收执行的标准；</w:t>
      </w:r>
    </w:p>
    <w:p>
      <w:pPr>
        <w:spacing w:line="380" w:lineRule="exact"/>
        <w:ind w:firstLine="482" w:firstLineChars="200"/>
        <w:rPr>
          <w:rFonts w:ascii="宋体" w:hAnsi="宋体"/>
          <w:b/>
          <w:sz w:val="24"/>
        </w:rPr>
      </w:pPr>
      <w:r>
        <w:rPr>
          <w:rFonts w:hint="eastAsia" w:ascii="宋体" w:hAnsi="宋体"/>
          <w:b/>
          <w:sz w:val="24"/>
        </w:rPr>
        <w:t>货物认证、检测报告、鉴定证书等；</w:t>
      </w:r>
    </w:p>
    <w:p>
      <w:pPr>
        <w:spacing w:line="380" w:lineRule="exact"/>
        <w:ind w:firstLine="482" w:firstLineChars="200"/>
        <w:rPr>
          <w:rFonts w:ascii="宋体" w:hAnsi="宋体"/>
          <w:b/>
          <w:sz w:val="24"/>
        </w:rPr>
      </w:pPr>
      <w:r>
        <w:rPr>
          <w:rFonts w:hint="eastAsia" w:ascii="宋体" w:hAnsi="宋体"/>
          <w:b/>
          <w:sz w:val="24"/>
        </w:rPr>
        <w:t>产品获奖证书；</w:t>
      </w:r>
    </w:p>
    <w:p>
      <w:pPr>
        <w:spacing w:line="380" w:lineRule="exact"/>
        <w:ind w:firstLine="482" w:firstLineChars="200"/>
        <w:rPr>
          <w:rFonts w:ascii="宋体" w:hAnsi="宋体"/>
          <w:b/>
          <w:sz w:val="24"/>
        </w:rPr>
      </w:pPr>
      <w:r>
        <w:rPr>
          <w:rFonts w:hint="eastAsia" w:ascii="宋体" w:hAnsi="宋体"/>
          <w:b/>
          <w:sz w:val="24"/>
        </w:rPr>
        <w:t>货物名称、型号、规格、数量、性能、内部配置、引进新技术、新工艺、新材料的等情况；</w:t>
      </w:r>
    </w:p>
    <w:p>
      <w:pPr>
        <w:spacing w:line="380" w:lineRule="exact"/>
        <w:ind w:firstLine="482" w:firstLineChars="200"/>
        <w:rPr>
          <w:rFonts w:ascii="宋体" w:hAnsi="宋体"/>
          <w:b/>
          <w:sz w:val="24"/>
        </w:rPr>
      </w:pPr>
      <w:r>
        <w:rPr>
          <w:rFonts w:hint="eastAsia" w:ascii="宋体" w:hAnsi="宋体"/>
          <w:b/>
          <w:sz w:val="24"/>
        </w:rPr>
        <w:t>质量保证措施；</w:t>
      </w:r>
    </w:p>
    <w:p>
      <w:pPr>
        <w:spacing w:line="380" w:lineRule="exact"/>
        <w:ind w:firstLine="482" w:firstLineChars="200"/>
        <w:rPr>
          <w:rFonts w:ascii="宋体" w:hAnsi="宋体"/>
          <w:b/>
          <w:sz w:val="24"/>
        </w:rPr>
      </w:pPr>
      <w:r>
        <w:rPr>
          <w:rFonts w:hint="eastAsia" w:ascii="宋体" w:hAnsi="宋体"/>
          <w:b/>
          <w:sz w:val="24"/>
        </w:rPr>
        <w:t>产品样本、使用保养说明书；</w:t>
      </w:r>
    </w:p>
    <w:p>
      <w:pPr>
        <w:spacing w:line="380" w:lineRule="exact"/>
        <w:ind w:firstLine="482" w:firstLineChars="200"/>
        <w:rPr>
          <w:rFonts w:ascii="宋体" w:hAnsi="宋体"/>
          <w:b/>
          <w:sz w:val="24"/>
        </w:rPr>
      </w:pPr>
      <w:r>
        <w:rPr>
          <w:rFonts w:hint="eastAsia" w:ascii="宋体" w:hAnsi="宋体"/>
          <w:b/>
          <w:sz w:val="24"/>
        </w:rPr>
        <w:t>提供的切实可行优惠承诺；</w:t>
      </w:r>
    </w:p>
    <w:p>
      <w:pPr>
        <w:spacing w:line="380" w:lineRule="exact"/>
        <w:ind w:firstLine="482" w:firstLineChars="200"/>
        <w:rPr>
          <w:rFonts w:ascii="宋体" w:hAnsi="宋体"/>
          <w:b/>
          <w:sz w:val="24"/>
        </w:rPr>
      </w:pPr>
      <w:r>
        <w:rPr>
          <w:rFonts w:hint="eastAsia" w:ascii="宋体" w:hAnsi="宋体"/>
          <w:b/>
          <w:sz w:val="24"/>
        </w:rPr>
        <w:t>谈判供应商认为需要提供的有关资料。</w:t>
      </w:r>
    </w:p>
    <w:p>
      <w:pPr>
        <w:snapToGrid w:val="0"/>
        <w:spacing w:line="400" w:lineRule="exact"/>
        <w:jc w:val="center"/>
        <w:outlineLvl w:val="0"/>
        <w:rPr>
          <w:rFonts w:ascii="宋体" w:hAnsi="宋体"/>
          <w:b/>
          <w:bCs/>
          <w:sz w:val="32"/>
          <w:szCs w:val="32"/>
        </w:rPr>
      </w:pPr>
    </w:p>
    <w:p>
      <w:pPr>
        <w:snapToGrid w:val="0"/>
        <w:spacing w:line="400" w:lineRule="exact"/>
        <w:jc w:val="center"/>
        <w:outlineLvl w:val="0"/>
        <w:rPr>
          <w:rFonts w:ascii="宋体" w:hAnsi="宋体"/>
          <w:b/>
          <w:bCs/>
          <w:sz w:val="32"/>
          <w:szCs w:val="32"/>
        </w:rPr>
      </w:pPr>
    </w:p>
    <w:p>
      <w:pPr>
        <w:snapToGrid w:val="0"/>
        <w:spacing w:line="400" w:lineRule="exact"/>
        <w:jc w:val="center"/>
        <w:outlineLvl w:val="0"/>
        <w:rPr>
          <w:rFonts w:ascii="宋体" w:hAnsi="宋体"/>
          <w:b/>
          <w:bCs/>
          <w:sz w:val="32"/>
          <w:szCs w:val="32"/>
        </w:rPr>
      </w:pPr>
    </w:p>
    <w:p>
      <w:pPr>
        <w:snapToGrid w:val="0"/>
        <w:spacing w:line="400" w:lineRule="exact"/>
        <w:jc w:val="center"/>
        <w:outlineLvl w:val="0"/>
        <w:rPr>
          <w:rFonts w:ascii="宋体" w:hAnsi="宋体"/>
          <w:b/>
          <w:bCs/>
          <w:sz w:val="32"/>
          <w:szCs w:val="32"/>
        </w:rPr>
      </w:pPr>
    </w:p>
    <w:p>
      <w:pPr>
        <w:snapToGrid w:val="0"/>
        <w:spacing w:line="400" w:lineRule="exact"/>
        <w:jc w:val="center"/>
        <w:outlineLvl w:val="0"/>
        <w:rPr>
          <w:rFonts w:ascii="宋体" w:hAnsi="宋体"/>
          <w:b/>
          <w:bCs/>
          <w:sz w:val="32"/>
          <w:szCs w:val="32"/>
        </w:rPr>
      </w:pPr>
      <w:r>
        <w:rPr>
          <w:rFonts w:hint="eastAsia" w:ascii="宋体" w:hAnsi="宋体"/>
          <w:b/>
          <w:bCs/>
          <w:sz w:val="32"/>
          <w:szCs w:val="32"/>
        </w:rPr>
        <w:t>第五章    广西壮族自治区政府采购合同格式</w:t>
      </w:r>
    </w:p>
    <w:p>
      <w:pPr>
        <w:snapToGrid w:val="0"/>
        <w:spacing w:line="400" w:lineRule="exact"/>
        <w:jc w:val="center"/>
        <w:rPr>
          <w:rFonts w:ascii="宋体" w:hAnsi="宋体"/>
          <w:b/>
          <w:bCs/>
          <w:sz w:val="28"/>
          <w:szCs w:val="28"/>
        </w:rPr>
      </w:pPr>
    </w:p>
    <w:p>
      <w:pPr>
        <w:wordWrap w:val="0"/>
        <w:snapToGrid w:val="0"/>
        <w:spacing w:line="400" w:lineRule="exact"/>
        <w:ind w:right="360"/>
        <w:jc w:val="center"/>
        <w:rPr>
          <w:rFonts w:ascii="宋体" w:hAnsi="宋体"/>
          <w:bCs/>
          <w:sz w:val="24"/>
          <w:u w:val="single"/>
        </w:rPr>
      </w:pPr>
    </w:p>
    <w:p>
      <w:pPr>
        <w:snapToGrid w:val="0"/>
        <w:spacing w:line="400" w:lineRule="exact"/>
        <w:rPr>
          <w:rFonts w:ascii="宋体" w:hAnsi="宋体"/>
          <w:sz w:val="24"/>
          <w:u w:val="single"/>
        </w:rPr>
      </w:pPr>
      <w:r>
        <w:rPr>
          <w:rFonts w:hint="eastAsia" w:ascii="宋体" w:hAnsi="宋体"/>
          <w:sz w:val="24"/>
        </w:rPr>
        <w:t>采购单位（甲方）</w:t>
      </w:r>
      <w:r>
        <w:rPr>
          <w:rFonts w:hint="eastAsia" w:ascii="宋体" w:hAnsi="宋体"/>
          <w:sz w:val="24"/>
          <w:u w:val="single"/>
        </w:rPr>
        <w:t>浦北县人民医院</w:t>
      </w:r>
      <w:r>
        <w:rPr>
          <w:rFonts w:hint="eastAsia" w:ascii="宋体" w:hAnsi="宋体"/>
          <w:sz w:val="24"/>
        </w:rPr>
        <w:t xml:space="preserve">            采购计划号</w:t>
      </w:r>
      <w:r>
        <w:rPr>
          <w:rFonts w:hint="eastAsia" w:ascii="宋体" w:hAnsi="宋体"/>
          <w:spacing w:val="-20"/>
          <w:sz w:val="24"/>
        </w:rPr>
        <w:t>：</w:t>
      </w:r>
      <w:r>
        <w:rPr>
          <w:rFonts w:hint="eastAsia" w:ascii="宋体" w:hAnsi="宋体"/>
          <w:sz w:val="24"/>
          <w:u w:val="single"/>
        </w:rPr>
        <w:t xml:space="preserve"> 浦采监[2020]1652号-001 </w:t>
      </w:r>
    </w:p>
    <w:p>
      <w:pPr>
        <w:snapToGrid w:val="0"/>
        <w:spacing w:line="400" w:lineRule="exact"/>
        <w:rPr>
          <w:rFonts w:ascii="宋体" w:hAnsi="宋体"/>
          <w:sz w:val="24"/>
          <w:u w:val="single"/>
        </w:rPr>
      </w:pPr>
      <w:r>
        <w:rPr>
          <w:rFonts w:hint="eastAsia" w:ascii="宋体" w:hAnsi="宋体"/>
          <w:sz w:val="24"/>
        </w:rPr>
        <w:t>供 应 商（乙方）     项目编号</w:t>
      </w:r>
      <w:r>
        <w:rPr>
          <w:rFonts w:hint="eastAsia" w:ascii="宋体" w:hAnsi="宋体"/>
          <w:spacing w:val="-20"/>
          <w:sz w:val="24"/>
        </w:rPr>
        <w:t>：</w:t>
      </w:r>
      <w:r>
        <w:rPr>
          <w:rFonts w:hint="eastAsia" w:ascii="宋体" w:hAnsi="宋体"/>
          <w:sz w:val="24"/>
          <w:u w:val="single"/>
        </w:rPr>
        <w:t>QZZC2020-J1-000901-GXYQ</w:t>
      </w:r>
    </w:p>
    <w:p>
      <w:pPr>
        <w:snapToGrid w:val="0"/>
        <w:spacing w:line="400" w:lineRule="exact"/>
        <w:rPr>
          <w:rFonts w:ascii="宋体" w:hAnsi="宋体"/>
          <w:sz w:val="24"/>
          <w:u w:val="single"/>
        </w:rPr>
      </w:pPr>
      <w:r>
        <w:rPr>
          <w:rFonts w:hint="eastAsia" w:ascii="宋体" w:hAnsi="宋体"/>
          <w:sz w:val="24"/>
        </w:rPr>
        <w:t>签  订  地  点       签订时间：</w:t>
      </w:r>
    </w:p>
    <w:p>
      <w:pPr>
        <w:snapToGrid w:val="0"/>
        <w:spacing w:line="400" w:lineRule="exact"/>
        <w:ind w:firstLine="480" w:firstLineChars="200"/>
        <w:rPr>
          <w:rFonts w:ascii="宋体" w:hAnsi="宋体"/>
          <w:sz w:val="24"/>
        </w:rPr>
      </w:pPr>
    </w:p>
    <w:p>
      <w:pPr>
        <w:snapToGrid w:val="0"/>
        <w:spacing w:line="400" w:lineRule="exact"/>
        <w:ind w:firstLine="480" w:firstLineChars="200"/>
        <w:rPr>
          <w:rFonts w:ascii="宋体" w:hAnsi="宋体"/>
          <w:sz w:val="24"/>
        </w:rPr>
      </w:pPr>
      <w:r>
        <w:rPr>
          <w:rFonts w:hint="eastAsia" w:ascii="宋体" w:hAnsi="宋体"/>
          <w:sz w:val="24"/>
        </w:rPr>
        <w:t>根据《中华人民共和国政府采购法》、《中华人民共和国合同法》等法律、法规规定，按照竞标文件（采购文件）规定条款和成交（成交）供应商承诺，甲乙双方签订本合同。</w:t>
      </w:r>
    </w:p>
    <w:p>
      <w:pPr>
        <w:snapToGrid w:val="0"/>
        <w:spacing w:line="400" w:lineRule="exact"/>
        <w:ind w:firstLine="482" w:firstLineChars="200"/>
        <w:rPr>
          <w:rFonts w:ascii="宋体" w:hAnsi="宋体"/>
          <w:b/>
          <w:sz w:val="24"/>
        </w:rPr>
      </w:pPr>
      <w:r>
        <w:rPr>
          <w:rFonts w:hint="eastAsia" w:ascii="宋体" w:hAnsi="宋体"/>
          <w:b/>
          <w:sz w:val="24"/>
        </w:rPr>
        <w:t>第一条　合同标的</w:t>
      </w:r>
    </w:p>
    <w:p>
      <w:pPr>
        <w:snapToGrid w:val="0"/>
        <w:spacing w:line="400" w:lineRule="exact"/>
        <w:ind w:firstLine="480" w:firstLineChars="200"/>
        <w:rPr>
          <w:rFonts w:ascii="宋体" w:hAnsi="宋体"/>
          <w:sz w:val="24"/>
        </w:rPr>
      </w:pPr>
      <w:r>
        <w:rPr>
          <w:rFonts w:hint="eastAsia" w:ascii="宋体" w:hAnsi="宋体"/>
          <w:sz w:val="24"/>
        </w:rPr>
        <w:t>1、供货一览表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9"/>
        <w:gridCol w:w="2203"/>
        <w:gridCol w:w="1342"/>
        <w:gridCol w:w="800"/>
        <w:gridCol w:w="132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696" w:type="dxa"/>
            <w:vAlign w:val="center"/>
          </w:tcPr>
          <w:p>
            <w:pPr>
              <w:snapToGrid w:val="0"/>
              <w:spacing w:line="400" w:lineRule="exact"/>
              <w:jc w:val="center"/>
              <w:rPr>
                <w:rFonts w:ascii="宋体" w:hAnsi="宋体"/>
                <w:sz w:val="24"/>
              </w:rPr>
            </w:pPr>
            <w:r>
              <w:rPr>
                <w:rFonts w:hint="eastAsia" w:ascii="宋体" w:hAnsi="宋体"/>
                <w:sz w:val="24"/>
              </w:rPr>
              <w:t>序号</w:t>
            </w:r>
          </w:p>
        </w:tc>
        <w:tc>
          <w:tcPr>
            <w:tcW w:w="1259" w:type="dxa"/>
            <w:vAlign w:val="center"/>
          </w:tcPr>
          <w:p>
            <w:pPr>
              <w:snapToGrid w:val="0"/>
              <w:spacing w:line="400" w:lineRule="exact"/>
              <w:jc w:val="center"/>
              <w:rPr>
                <w:rFonts w:ascii="宋体" w:hAnsi="宋体"/>
                <w:sz w:val="24"/>
              </w:rPr>
            </w:pPr>
            <w:r>
              <w:rPr>
                <w:rFonts w:hint="eastAsia" w:ascii="宋体" w:hAnsi="宋体"/>
                <w:sz w:val="24"/>
              </w:rPr>
              <w:t>货物名称</w:t>
            </w:r>
          </w:p>
        </w:tc>
        <w:tc>
          <w:tcPr>
            <w:tcW w:w="2203" w:type="dxa"/>
            <w:vAlign w:val="center"/>
          </w:tcPr>
          <w:p>
            <w:pPr>
              <w:snapToGrid w:val="0"/>
              <w:spacing w:line="400" w:lineRule="exact"/>
              <w:jc w:val="center"/>
              <w:rPr>
                <w:rFonts w:ascii="宋体" w:hAnsi="宋体"/>
                <w:sz w:val="24"/>
              </w:rPr>
            </w:pPr>
            <w:r>
              <w:rPr>
                <w:rFonts w:hint="eastAsia" w:ascii="宋体" w:hAnsi="宋体"/>
                <w:sz w:val="24"/>
              </w:rPr>
              <w:t>品牌、规格型号</w:t>
            </w:r>
          </w:p>
        </w:tc>
        <w:tc>
          <w:tcPr>
            <w:tcW w:w="1342" w:type="dxa"/>
            <w:vAlign w:val="center"/>
          </w:tcPr>
          <w:p>
            <w:pPr>
              <w:snapToGrid w:val="0"/>
              <w:spacing w:line="400" w:lineRule="exact"/>
              <w:jc w:val="center"/>
              <w:rPr>
                <w:rFonts w:ascii="宋体" w:hAnsi="宋体"/>
                <w:sz w:val="24"/>
              </w:rPr>
            </w:pPr>
            <w:r>
              <w:rPr>
                <w:rFonts w:hint="eastAsia" w:ascii="宋体" w:hAnsi="宋体"/>
                <w:sz w:val="24"/>
              </w:rPr>
              <w:t>生产厂家</w:t>
            </w:r>
          </w:p>
        </w:tc>
        <w:tc>
          <w:tcPr>
            <w:tcW w:w="800" w:type="dxa"/>
            <w:vAlign w:val="center"/>
          </w:tcPr>
          <w:p>
            <w:pPr>
              <w:snapToGrid w:val="0"/>
              <w:spacing w:line="400" w:lineRule="exact"/>
              <w:jc w:val="center"/>
              <w:rPr>
                <w:rFonts w:ascii="宋体" w:hAnsi="宋体"/>
                <w:sz w:val="24"/>
              </w:rPr>
            </w:pPr>
            <w:r>
              <w:rPr>
                <w:rFonts w:hint="eastAsia" w:ascii="宋体" w:hAnsi="宋体"/>
                <w:sz w:val="24"/>
              </w:rPr>
              <w:t>数量</w:t>
            </w:r>
          </w:p>
        </w:tc>
        <w:tc>
          <w:tcPr>
            <w:tcW w:w="1326" w:type="dxa"/>
            <w:vAlign w:val="center"/>
          </w:tcPr>
          <w:p>
            <w:pPr>
              <w:snapToGrid w:val="0"/>
              <w:spacing w:line="400" w:lineRule="exact"/>
              <w:jc w:val="center"/>
              <w:rPr>
                <w:rFonts w:ascii="宋体" w:hAnsi="宋体"/>
                <w:sz w:val="24"/>
              </w:rPr>
            </w:pPr>
            <w:r>
              <w:rPr>
                <w:rFonts w:hint="eastAsia" w:ascii="宋体" w:hAnsi="宋体"/>
                <w:sz w:val="24"/>
              </w:rPr>
              <w:t>单价（元）</w:t>
            </w:r>
          </w:p>
        </w:tc>
        <w:tc>
          <w:tcPr>
            <w:tcW w:w="1388" w:type="dxa"/>
            <w:vAlign w:val="center"/>
          </w:tcPr>
          <w:p>
            <w:pPr>
              <w:snapToGrid w:val="0"/>
              <w:spacing w:line="400" w:lineRule="exact"/>
              <w:jc w:val="center"/>
              <w:rPr>
                <w:rFonts w:ascii="宋体" w:hAnsi="宋体"/>
                <w:sz w:val="24"/>
              </w:rPr>
            </w:pPr>
            <w:r>
              <w:rPr>
                <w:rFonts w:hint="eastAsia" w:ascii="宋体" w:hAnsi="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96" w:type="dxa"/>
            <w:vAlign w:val="center"/>
          </w:tcPr>
          <w:p>
            <w:pPr>
              <w:snapToGrid w:val="0"/>
              <w:spacing w:line="400" w:lineRule="exact"/>
              <w:jc w:val="center"/>
              <w:rPr>
                <w:rFonts w:ascii="宋体" w:hAnsi="宋体"/>
                <w:sz w:val="24"/>
              </w:rPr>
            </w:pPr>
            <w:r>
              <w:rPr>
                <w:rFonts w:hint="eastAsia" w:ascii="宋体" w:hAnsi="宋体"/>
                <w:sz w:val="24"/>
              </w:rPr>
              <w:t>1</w:t>
            </w:r>
          </w:p>
        </w:tc>
        <w:tc>
          <w:tcPr>
            <w:tcW w:w="1259" w:type="dxa"/>
            <w:vAlign w:val="center"/>
          </w:tcPr>
          <w:p>
            <w:pPr>
              <w:snapToGrid w:val="0"/>
              <w:spacing w:line="400" w:lineRule="exact"/>
              <w:jc w:val="center"/>
              <w:rPr>
                <w:rFonts w:ascii="宋体" w:hAnsi="宋体"/>
                <w:sz w:val="24"/>
              </w:rPr>
            </w:pPr>
          </w:p>
        </w:tc>
        <w:tc>
          <w:tcPr>
            <w:tcW w:w="2203" w:type="dxa"/>
            <w:vAlign w:val="center"/>
          </w:tcPr>
          <w:p>
            <w:pPr>
              <w:snapToGrid w:val="0"/>
              <w:spacing w:line="400" w:lineRule="exact"/>
              <w:jc w:val="center"/>
              <w:rPr>
                <w:rFonts w:ascii="宋体" w:hAnsi="宋体"/>
                <w:sz w:val="24"/>
              </w:rPr>
            </w:pPr>
          </w:p>
        </w:tc>
        <w:tc>
          <w:tcPr>
            <w:tcW w:w="1342" w:type="dxa"/>
          </w:tcPr>
          <w:p>
            <w:pPr>
              <w:snapToGrid w:val="0"/>
              <w:spacing w:line="400" w:lineRule="exact"/>
              <w:jc w:val="center"/>
              <w:rPr>
                <w:rFonts w:ascii="宋体" w:hAnsi="宋体"/>
                <w:sz w:val="24"/>
              </w:rPr>
            </w:pPr>
          </w:p>
        </w:tc>
        <w:tc>
          <w:tcPr>
            <w:tcW w:w="800" w:type="dxa"/>
          </w:tcPr>
          <w:p>
            <w:pPr>
              <w:snapToGrid w:val="0"/>
              <w:spacing w:line="400" w:lineRule="exact"/>
              <w:jc w:val="center"/>
              <w:rPr>
                <w:rFonts w:ascii="宋体" w:hAnsi="宋体"/>
                <w:sz w:val="24"/>
              </w:rPr>
            </w:pPr>
          </w:p>
        </w:tc>
        <w:tc>
          <w:tcPr>
            <w:tcW w:w="1326" w:type="dxa"/>
            <w:vAlign w:val="center"/>
          </w:tcPr>
          <w:p>
            <w:pPr>
              <w:snapToGrid w:val="0"/>
              <w:spacing w:line="400" w:lineRule="exact"/>
              <w:jc w:val="center"/>
              <w:rPr>
                <w:rFonts w:ascii="宋体" w:hAnsi="宋体"/>
                <w:sz w:val="24"/>
              </w:rPr>
            </w:pPr>
          </w:p>
        </w:tc>
        <w:tc>
          <w:tcPr>
            <w:tcW w:w="1388" w:type="dxa"/>
            <w:vAlign w:val="center"/>
          </w:tcPr>
          <w:p>
            <w:pPr>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96" w:type="dxa"/>
            <w:vAlign w:val="center"/>
          </w:tcPr>
          <w:p>
            <w:pPr>
              <w:snapToGrid w:val="0"/>
              <w:spacing w:line="400" w:lineRule="exact"/>
              <w:jc w:val="center"/>
              <w:rPr>
                <w:rFonts w:ascii="宋体" w:hAnsi="宋体"/>
                <w:sz w:val="24"/>
              </w:rPr>
            </w:pPr>
            <w:r>
              <w:rPr>
                <w:rFonts w:hint="eastAsia" w:ascii="宋体" w:hAnsi="宋体"/>
                <w:sz w:val="24"/>
              </w:rPr>
              <w:t>2</w:t>
            </w:r>
          </w:p>
        </w:tc>
        <w:tc>
          <w:tcPr>
            <w:tcW w:w="1259" w:type="dxa"/>
            <w:vAlign w:val="center"/>
          </w:tcPr>
          <w:p>
            <w:pPr>
              <w:snapToGrid w:val="0"/>
              <w:spacing w:line="400" w:lineRule="exact"/>
              <w:jc w:val="center"/>
              <w:rPr>
                <w:rFonts w:ascii="宋体" w:hAnsi="宋体"/>
                <w:sz w:val="24"/>
              </w:rPr>
            </w:pPr>
          </w:p>
        </w:tc>
        <w:tc>
          <w:tcPr>
            <w:tcW w:w="2203" w:type="dxa"/>
            <w:vAlign w:val="center"/>
          </w:tcPr>
          <w:p>
            <w:pPr>
              <w:snapToGrid w:val="0"/>
              <w:spacing w:line="400" w:lineRule="exact"/>
              <w:jc w:val="center"/>
              <w:rPr>
                <w:rFonts w:ascii="宋体" w:hAnsi="宋体"/>
                <w:sz w:val="24"/>
              </w:rPr>
            </w:pPr>
          </w:p>
        </w:tc>
        <w:tc>
          <w:tcPr>
            <w:tcW w:w="1342" w:type="dxa"/>
          </w:tcPr>
          <w:p>
            <w:pPr>
              <w:snapToGrid w:val="0"/>
              <w:spacing w:line="400" w:lineRule="exact"/>
              <w:jc w:val="center"/>
              <w:rPr>
                <w:rFonts w:ascii="宋体" w:hAnsi="宋体"/>
                <w:sz w:val="24"/>
              </w:rPr>
            </w:pPr>
          </w:p>
        </w:tc>
        <w:tc>
          <w:tcPr>
            <w:tcW w:w="800" w:type="dxa"/>
          </w:tcPr>
          <w:p>
            <w:pPr>
              <w:snapToGrid w:val="0"/>
              <w:spacing w:line="400" w:lineRule="exact"/>
              <w:jc w:val="center"/>
              <w:rPr>
                <w:rFonts w:ascii="宋体" w:hAnsi="宋体"/>
                <w:sz w:val="24"/>
              </w:rPr>
            </w:pPr>
          </w:p>
        </w:tc>
        <w:tc>
          <w:tcPr>
            <w:tcW w:w="1326" w:type="dxa"/>
            <w:vAlign w:val="center"/>
          </w:tcPr>
          <w:p>
            <w:pPr>
              <w:snapToGrid w:val="0"/>
              <w:spacing w:line="400" w:lineRule="exact"/>
              <w:jc w:val="center"/>
              <w:rPr>
                <w:rFonts w:ascii="宋体" w:hAnsi="宋体"/>
                <w:sz w:val="24"/>
              </w:rPr>
            </w:pPr>
          </w:p>
        </w:tc>
        <w:tc>
          <w:tcPr>
            <w:tcW w:w="1388" w:type="dxa"/>
            <w:vAlign w:val="center"/>
          </w:tcPr>
          <w:p>
            <w:pPr>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96" w:type="dxa"/>
            <w:vAlign w:val="center"/>
          </w:tcPr>
          <w:p>
            <w:pPr>
              <w:snapToGrid w:val="0"/>
              <w:spacing w:line="400" w:lineRule="exact"/>
              <w:jc w:val="center"/>
              <w:rPr>
                <w:rFonts w:ascii="宋体" w:hAnsi="宋体"/>
                <w:sz w:val="24"/>
              </w:rPr>
            </w:pPr>
            <w:r>
              <w:rPr>
                <w:rFonts w:hint="eastAsia" w:ascii="宋体" w:hAnsi="宋体"/>
                <w:sz w:val="24"/>
              </w:rPr>
              <w:t>……</w:t>
            </w:r>
          </w:p>
        </w:tc>
        <w:tc>
          <w:tcPr>
            <w:tcW w:w="1259" w:type="dxa"/>
            <w:vAlign w:val="center"/>
          </w:tcPr>
          <w:p>
            <w:pPr>
              <w:snapToGrid w:val="0"/>
              <w:spacing w:line="400" w:lineRule="exact"/>
              <w:jc w:val="center"/>
              <w:rPr>
                <w:rFonts w:ascii="宋体" w:hAnsi="宋体"/>
                <w:sz w:val="24"/>
              </w:rPr>
            </w:pPr>
          </w:p>
        </w:tc>
        <w:tc>
          <w:tcPr>
            <w:tcW w:w="2203" w:type="dxa"/>
            <w:vAlign w:val="center"/>
          </w:tcPr>
          <w:p>
            <w:pPr>
              <w:snapToGrid w:val="0"/>
              <w:spacing w:line="400" w:lineRule="exact"/>
              <w:jc w:val="center"/>
              <w:rPr>
                <w:rFonts w:ascii="宋体" w:hAnsi="宋体"/>
                <w:sz w:val="24"/>
              </w:rPr>
            </w:pPr>
          </w:p>
        </w:tc>
        <w:tc>
          <w:tcPr>
            <w:tcW w:w="1342" w:type="dxa"/>
          </w:tcPr>
          <w:p>
            <w:pPr>
              <w:snapToGrid w:val="0"/>
              <w:spacing w:line="400" w:lineRule="exact"/>
              <w:jc w:val="center"/>
              <w:rPr>
                <w:rFonts w:ascii="宋体" w:hAnsi="宋体"/>
                <w:sz w:val="24"/>
              </w:rPr>
            </w:pPr>
          </w:p>
        </w:tc>
        <w:tc>
          <w:tcPr>
            <w:tcW w:w="800" w:type="dxa"/>
          </w:tcPr>
          <w:p>
            <w:pPr>
              <w:snapToGrid w:val="0"/>
              <w:spacing w:line="400" w:lineRule="exact"/>
              <w:jc w:val="center"/>
              <w:rPr>
                <w:rFonts w:ascii="宋体" w:hAnsi="宋体"/>
                <w:sz w:val="24"/>
              </w:rPr>
            </w:pPr>
          </w:p>
        </w:tc>
        <w:tc>
          <w:tcPr>
            <w:tcW w:w="1326" w:type="dxa"/>
            <w:vAlign w:val="center"/>
          </w:tcPr>
          <w:p>
            <w:pPr>
              <w:snapToGrid w:val="0"/>
              <w:spacing w:line="400" w:lineRule="exact"/>
              <w:jc w:val="center"/>
              <w:rPr>
                <w:rFonts w:ascii="宋体" w:hAnsi="宋体"/>
                <w:sz w:val="24"/>
              </w:rPr>
            </w:pPr>
          </w:p>
        </w:tc>
        <w:tc>
          <w:tcPr>
            <w:tcW w:w="1388" w:type="dxa"/>
            <w:vAlign w:val="center"/>
          </w:tcPr>
          <w:p>
            <w:pPr>
              <w:snapToGrid w:val="0"/>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14" w:type="dxa"/>
            <w:gridSpan w:val="7"/>
            <w:vAlign w:val="center"/>
          </w:tcPr>
          <w:p>
            <w:pPr>
              <w:snapToGrid w:val="0"/>
              <w:spacing w:line="400" w:lineRule="exact"/>
              <w:rPr>
                <w:rFonts w:ascii="宋体" w:hAnsi="宋体"/>
                <w:sz w:val="24"/>
              </w:rPr>
            </w:pPr>
            <w:r>
              <w:rPr>
                <w:rFonts w:hint="eastAsia" w:ascii="宋体" w:hAnsi="宋体"/>
                <w:sz w:val="24"/>
              </w:rPr>
              <w:t xml:space="preserve">人民币合计金额（大写）                          （小写）                 </w:t>
            </w:r>
          </w:p>
        </w:tc>
      </w:tr>
    </w:tbl>
    <w:p>
      <w:pPr>
        <w:snapToGrid w:val="0"/>
        <w:spacing w:line="400" w:lineRule="exact"/>
        <w:ind w:right="420" w:firstLine="480" w:firstLineChars="200"/>
        <w:rPr>
          <w:rFonts w:ascii="宋体" w:hAnsi="宋体" w:cs="Calibri"/>
          <w:sz w:val="24"/>
        </w:rPr>
      </w:pPr>
      <w:r>
        <w:rPr>
          <w:rFonts w:hint="eastAsia" w:ascii="宋体" w:hAnsi="宋体" w:cs="Calibri"/>
          <w:sz w:val="24"/>
        </w:rPr>
        <w:t>2、合同合计金额包括货物价款，备件、专用工具、安装、调试、检验、技术培训及技术资料和包装、运输等全部费用。如竞标文件对其另有规定的，从其规定。</w:t>
      </w:r>
    </w:p>
    <w:p>
      <w:pPr>
        <w:snapToGrid w:val="0"/>
        <w:spacing w:line="400" w:lineRule="exact"/>
        <w:ind w:firstLine="482" w:firstLineChars="200"/>
        <w:rPr>
          <w:rFonts w:ascii="宋体" w:hAnsi="宋体" w:cs="Calibri"/>
          <w:sz w:val="24"/>
        </w:rPr>
      </w:pPr>
      <w:r>
        <w:rPr>
          <w:rFonts w:hint="eastAsia" w:ascii="宋体" w:hAnsi="宋体" w:cs="Calibri"/>
          <w:b/>
          <w:sz w:val="24"/>
        </w:rPr>
        <w:t>第二条　质量保证</w:t>
      </w:r>
    </w:p>
    <w:p>
      <w:pPr>
        <w:snapToGrid w:val="0"/>
        <w:spacing w:line="400" w:lineRule="exact"/>
        <w:ind w:firstLine="480" w:firstLineChars="200"/>
        <w:rPr>
          <w:rFonts w:ascii="宋体" w:hAnsi="宋体" w:cs="Calibri"/>
          <w:sz w:val="24"/>
        </w:rPr>
      </w:pPr>
      <w:r>
        <w:rPr>
          <w:rFonts w:hint="eastAsia" w:ascii="宋体" w:hAnsi="宋体" w:cs="Calibri"/>
          <w:sz w:val="24"/>
        </w:rPr>
        <w:t>1、乙方所提供的货物型号、技术规格、技术参数等质量必须与竞标文件和承诺相一致。乙方提供的自主创新产品、节能和环保产品必须是列入政府采购清单的产品。</w:t>
      </w:r>
    </w:p>
    <w:p>
      <w:pPr>
        <w:snapToGrid w:val="0"/>
        <w:spacing w:line="400" w:lineRule="exact"/>
        <w:ind w:firstLine="480" w:firstLineChars="200"/>
        <w:rPr>
          <w:rFonts w:ascii="宋体" w:hAnsi="宋体" w:cs="Calibri"/>
          <w:sz w:val="24"/>
          <w:u w:val="single"/>
        </w:rPr>
      </w:pPr>
      <w:r>
        <w:rPr>
          <w:rFonts w:hint="eastAsia" w:ascii="宋体" w:hAnsi="宋体" w:cs="Calibri"/>
          <w:sz w:val="24"/>
        </w:rPr>
        <w:t>2、乙方所提供的货物必须是全新、未使用的原装产品，且在正常安装、使用和保养条件下，其使用寿命期内各项指标均达到质量要求。</w:t>
      </w:r>
    </w:p>
    <w:p>
      <w:pPr>
        <w:snapToGrid w:val="0"/>
        <w:spacing w:line="400" w:lineRule="exact"/>
        <w:ind w:firstLine="482" w:firstLineChars="200"/>
        <w:rPr>
          <w:rFonts w:ascii="宋体" w:hAnsi="宋体" w:cs="Calibri"/>
          <w:sz w:val="24"/>
        </w:rPr>
      </w:pPr>
      <w:r>
        <w:rPr>
          <w:rFonts w:hint="eastAsia" w:ascii="宋体" w:hAnsi="宋体" w:cs="Calibri"/>
          <w:b/>
          <w:sz w:val="24"/>
        </w:rPr>
        <w:t>第三条　权力保证</w:t>
      </w:r>
    </w:p>
    <w:p>
      <w:pPr>
        <w:snapToGrid w:val="0"/>
        <w:spacing w:line="400" w:lineRule="exact"/>
        <w:ind w:firstLine="480" w:firstLineChars="200"/>
        <w:rPr>
          <w:rFonts w:ascii="宋体" w:hAnsi="宋体" w:cs="Calibri"/>
          <w:sz w:val="24"/>
        </w:rPr>
      </w:pPr>
      <w:r>
        <w:rPr>
          <w:rFonts w:hint="eastAsia" w:ascii="宋体" w:hAnsi="宋体" w:cs="Calibri"/>
          <w:sz w:val="24"/>
        </w:rPr>
        <w:t>乙方应保证所提供货物在使用时不会侵犯任何第三方的专利权、商标权、工业设计权或其他权利。</w:t>
      </w:r>
    </w:p>
    <w:p>
      <w:pPr>
        <w:snapToGrid w:val="0"/>
        <w:spacing w:line="400" w:lineRule="exact"/>
        <w:ind w:firstLine="480" w:firstLineChars="200"/>
        <w:rPr>
          <w:rFonts w:ascii="宋体" w:hAnsi="宋体" w:cs="Calibri"/>
          <w:sz w:val="24"/>
        </w:rPr>
      </w:pPr>
      <w:r>
        <w:rPr>
          <w:rFonts w:hint="eastAsia" w:ascii="宋体" w:hAnsi="宋体" w:cs="Calibri"/>
          <w:sz w:val="24"/>
        </w:rPr>
        <w:t>乙方应按采购文件规定的时间向甲方提供使用货物的有关技术资料。</w:t>
      </w:r>
    </w:p>
    <w:p>
      <w:pPr>
        <w:snapToGrid w:val="0"/>
        <w:spacing w:line="400" w:lineRule="exact"/>
        <w:ind w:firstLine="480" w:firstLineChars="200"/>
        <w:rPr>
          <w:rFonts w:ascii="宋体" w:hAnsi="宋体" w:cs="Calibri"/>
          <w:sz w:val="24"/>
        </w:rPr>
      </w:pPr>
      <w:r>
        <w:rPr>
          <w:rFonts w:hint="eastAsia" w:ascii="宋体" w:hAnsi="宋体" w:cs="Calibri"/>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80" w:firstLineChars="200"/>
        <w:rPr>
          <w:rFonts w:ascii="宋体" w:hAnsi="宋体" w:cs="Calibri"/>
          <w:sz w:val="24"/>
        </w:rPr>
      </w:pPr>
      <w:r>
        <w:rPr>
          <w:rFonts w:hint="eastAsia" w:ascii="宋体" w:hAnsi="宋体" w:cs="Calibri"/>
          <w:sz w:val="24"/>
        </w:rPr>
        <w:t>乙方保证所交付的货物的所有权完全属于乙方且无任何抵押、质押、查封等产权瑕疵。</w:t>
      </w:r>
    </w:p>
    <w:p>
      <w:pPr>
        <w:snapToGrid w:val="0"/>
        <w:spacing w:line="400" w:lineRule="exact"/>
        <w:ind w:firstLine="482" w:firstLineChars="200"/>
        <w:rPr>
          <w:rFonts w:ascii="宋体" w:hAnsi="宋体" w:cs="Calibri"/>
          <w:b/>
          <w:sz w:val="24"/>
        </w:rPr>
      </w:pPr>
      <w:r>
        <w:rPr>
          <w:rFonts w:hint="eastAsia" w:ascii="宋体" w:hAnsi="宋体" w:cs="Calibri"/>
          <w:b/>
          <w:sz w:val="24"/>
        </w:rPr>
        <w:t>第四条　包装和运输</w:t>
      </w:r>
    </w:p>
    <w:p>
      <w:pPr>
        <w:snapToGrid w:val="0"/>
        <w:spacing w:line="400" w:lineRule="exact"/>
        <w:ind w:firstLine="480" w:firstLineChars="200"/>
        <w:rPr>
          <w:rFonts w:ascii="宋体" w:hAnsi="宋体" w:cs="Calibri"/>
          <w:sz w:val="24"/>
        </w:rPr>
      </w:pPr>
      <w:r>
        <w:rPr>
          <w:rFonts w:hint="eastAsia" w:ascii="宋体" w:hAnsi="宋体" w:cs="Calibri"/>
          <w:sz w:val="24"/>
        </w:rPr>
        <w:t>1、乙方提供的货物均应按竞标文件要求的包装材料、包装标准、包装方式进行包装，每一包装单元内应附详细的装箱单和质量合格证。</w:t>
      </w:r>
    </w:p>
    <w:p>
      <w:pPr>
        <w:snapToGrid w:val="0"/>
        <w:spacing w:line="400" w:lineRule="exact"/>
        <w:ind w:firstLine="480" w:firstLineChars="200"/>
        <w:rPr>
          <w:rFonts w:ascii="宋体" w:hAnsi="宋体" w:cs="Calibri"/>
          <w:sz w:val="24"/>
        </w:rPr>
      </w:pPr>
      <w:r>
        <w:rPr>
          <w:rFonts w:hint="eastAsia" w:ascii="宋体" w:hAnsi="宋体" w:cs="Calibri"/>
          <w:sz w:val="24"/>
        </w:rPr>
        <w:t>2、货物的运输方式：</w:t>
      </w:r>
      <w:r>
        <w:rPr>
          <w:rFonts w:hint="eastAsia" w:ascii="宋体" w:hAnsi="宋体" w:cs="Calibri"/>
          <w:sz w:val="24"/>
          <w:u w:val="single"/>
        </w:rPr>
        <w:t>由乙方按采购文件要求自定</w:t>
      </w:r>
      <w:r>
        <w:rPr>
          <w:rFonts w:hint="eastAsia" w:ascii="宋体" w:hAnsi="宋体" w:cs="Calibri"/>
          <w:sz w:val="24"/>
        </w:rPr>
        <w:t>。</w:t>
      </w:r>
    </w:p>
    <w:p>
      <w:pPr>
        <w:snapToGrid w:val="0"/>
        <w:spacing w:line="400" w:lineRule="exact"/>
        <w:ind w:firstLine="480" w:firstLineChars="200"/>
        <w:rPr>
          <w:rFonts w:ascii="宋体" w:hAnsi="宋体" w:cs="Calibri"/>
          <w:sz w:val="24"/>
          <w:u w:val="single"/>
        </w:rPr>
      </w:pPr>
      <w:r>
        <w:rPr>
          <w:rFonts w:hint="eastAsia" w:ascii="宋体" w:hAnsi="宋体" w:cs="Calibri"/>
          <w:sz w:val="24"/>
        </w:rPr>
        <w:t>3、乙方负责货物运输，货物运输合理损耗及计算方法：</w:t>
      </w:r>
      <w:r>
        <w:rPr>
          <w:rFonts w:hint="eastAsia" w:ascii="宋体" w:hAnsi="宋体" w:cs="Calibri"/>
          <w:sz w:val="24"/>
          <w:u w:val="single"/>
        </w:rPr>
        <w:t>无。</w:t>
      </w:r>
    </w:p>
    <w:p>
      <w:pPr>
        <w:snapToGrid w:val="0"/>
        <w:spacing w:line="400" w:lineRule="exact"/>
        <w:ind w:firstLine="482" w:firstLineChars="200"/>
        <w:rPr>
          <w:rFonts w:ascii="宋体" w:hAnsi="宋体" w:cs="Calibri"/>
          <w:sz w:val="24"/>
        </w:rPr>
      </w:pPr>
      <w:r>
        <w:rPr>
          <w:rFonts w:hint="eastAsia" w:ascii="宋体" w:hAnsi="宋体" w:cs="Calibri"/>
          <w:b/>
          <w:sz w:val="24"/>
        </w:rPr>
        <w:t>第五条　交付和验收</w:t>
      </w:r>
    </w:p>
    <w:p>
      <w:pPr>
        <w:snapToGrid w:val="0"/>
        <w:spacing w:line="400" w:lineRule="exact"/>
        <w:ind w:firstLine="480" w:firstLineChars="200"/>
        <w:rPr>
          <w:rFonts w:ascii="宋体" w:hAnsi="宋体" w:cs="Calibri"/>
          <w:sz w:val="24"/>
        </w:rPr>
      </w:pPr>
      <w:r>
        <w:rPr>
          <w:rFonts w:hint="eastAsia" w:ascii="宋体" w:hAnsi="宋体" w:cs="Calibri"/>
          <w:sz w:val="24"/>
        </w:rPr>
        <w:t>1、交货时间：、地点：</w:t>
      </w:r>
    </w:p>
    <w:p>
      <w:pPr>
        <w:snapToGrid w:val="0"/>
        <w:spacing w:line="400" w:lineRule="exact"/>
        <w:ind w:firstLine="480" w:firstLineChars="200"/>
        <w:rPr>
          <w:rFonts w:ascii="宋体" w:hAnsi="宋体" w:cs="Calibri"/>
          <w:sz w:val="24"/>
        </w:rPr>
      </w:pPr>
      <w:r>
        <w:rPr>
          <w:rFonts w:hint="eastAsia" w:ascii="宋体" w:hAnsi="宋体" w:cs="Calibri"/>
          <w:sz w:val="24"/>
        </w:rPr>
        <w:t>2、乙方提供不符合竞标文件和本合同规定的货物，甲方有权拒绝接受。</w:t>
      </w:r>
    </w:p>
    <w:p>
      <w:pPr>
        <w:snapToGrid w:val="0"/>
        <w:spacing w:line="400" w:lineRule="exact"/>
        <w:ind w:firstLine="480" w:firstLineChars="200"/>
        <w:rPr>
          <w:rFonts w:ascii="宋体" w:hAnsi="宋体" w:cs="Calibri"/>
          <w:sz w:val="24"/>
        </w:rPr>
      </w:pPr>
      <w:r>
        <w:rPr>
          <w:rFonts w:hint="eastAsia" w:ascii="宋体" w:hAnsi="宋体" w:cs="Calibri"/>
          <w:sz w:val="24"/>
        </w:rPr>
        <w:t>3、乙方应将所提供货物的装箱清单、用户手册、原厂保修卡、随机资料、工具和备品、备件等交付给甲方，如有缺失应及时补齐，否则视为逾期交货。</w:t>
      </w:r>
    </w:p>
    <w:p>
      <w:pPr>
        <w:snapToGrid w:val="0"/>
        <w:spacing w:line="400" w:lineRule="exact"/>
        <w:ind w:firstLine="480" w:firstLineChars="200"/>
        <w:rPr>
          <w:rFonts w:ascii="宋体" w:hAnsi="宋体" w:cs="Calibri"/>
          <w:sz w:val="24"/>
        </w:rPr>
      </w:pPr>
      <w:r>
        <w:rPr>
          <w:rFonts w:hint="eastAsia" w:ascii="宋体" w:hAnsi="宋体" w:cs="Calibri"/>
          <w:sz w:val="24"/>
        </w:rPr>
        <w:t>4、甲方应当在到货（安装、调试完）后7个工作日内进行验收，逾期不验收的，乙方可视同验收合格。验收合格后由甲乙双方签署货物验收单并加盖采购单位公章，甲乙双方各执一份。</w:t>
      </w:r>
    </w:p>
    <w:p>
      <w:pPr>
        <w:snapToGrid w:val="0"/>
        <w:spacing w:line="400" w:lineRule="exact"/>
        <w:ind w:firstLine="480" w:firstLineChars="200"/>
        <w:rPr>
          <w:rFonts w:ascii="宋体" w:hAnsi="宋体" w:cs="Calibri"/>
          <w:sz w:val="24"/>
        </w:rPr>
      </w:pPr>
      <w:r>
        <w:rPr>
          <w:rFonts w:hint="eastAsia" w:ascii="宋体" w:hAnsi="宋体" w:cs="Calibri"/>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80" w:firstLineChars="200"/>
        <w:rPr>
          <w:rFonts w:ascii="宋体" w:hAnsi="宋体" w:cs="Calibri"/>
          <w:sz w:val="24"/>
        </w:rPr>
      </w:pPr>
      <w:r>
        <w:rPr>
          <w:rFonts w:hint="eastAsia" w:ascii="宋体" w:hAnsi="宋体" w:cs="Calibri"/>
          <w:sz w:val="24"/>
        </w:rPr>
        <w:t>6、甲方对验收有异议的，在验收后5个工作日内以书面形式向乙方提出，乙方应自收到甲方书面异议后</w:t>
      </w:r>
      <w:r>
        <w:rPr>
          <w:rFonts w:hint="eastAsia" w:ascii="宋体" w:hAnsi="宋体" w:cs="Calibri"/>
          <w:sz w:val="24"/>
          <w:u w:val="single"/>
        </w:rPr>
        <w:t>10</w:t>
      </w:r>
      <w:r>
        <w:rPr>
          <w:rFonts w:hint="eastAsia" w:ascii="宋体" w:hAnsi="宋体" w:cs="Calibri"/>
          <w:sz w:val="24"/>
        </w:rPr>
        <w:t>日内及时予以解决。</w:t>
      </w:r>
    </w:p>
    <w:p>
      <w:pPr>
        <w:snapToGrid w:val="0"/>
        <w:spacing w:line="400" w:lineRule="exact"/>
        <w:ind w:firstLine="482" w:firstLineChars="200"/>
        <w:rPr>
          <w:rFonts w:ascii="宋体" w:hAnsi="宋体" w:cs="Calibri"/>
          <w:b/>
          <w:sz w:val="24"/>
        </w:rPr>
      </w:pPr>
      <w:r>
        <w:rPr>
          <w:rFonts w:hint="eastAsia" w:ascii="宋体" w:hAnsi="宋体" w:cs="Calibri"/>
          <w:b/>
          <w:sz w:val="24"/>
        </w:rPr>
        <w:t>第六条　安装和培训</w:t>
      </w:r>
    </w:p>
    <w:p>
      <w:pPr>
        <w:snapToGrid w:val="0"/>
        <w:spacing w:line="400" w:lineRule="exact"/>
        <w:ind w:firstLine="480" w:firstLineChars="200"/>
        <w:rPr>
          <w:rFonts w:ascii="宋体" w:hAnsi="宋体" w:cs="Calibri"/>
          <w:sz w:val="24"/>
        </w:rPr>
      </w:pPr>
      <w:r>
        <w:rPr>
          <w:rFonts w:hint="eastAsia" w:ascii="宋体" w:hAnsi="宋体" w:cs="Calibri"/>
          <w:sz w:val="24"/>
        </w:rPr>
        <w:t>1、甲方应提供必要安装条件（如场地、电源、水源等）。</w:t>
      </w:r>
    </w:p>
    <w:p>
      <w:pPr>
        <w:snapToGrid w:val="0"/>
        <w:spacing w:line="400" w:lineRule="exact"/>
        <w:ind w:firstLine="480" w:firstLineChars="200"/>
        <w:rPr>
          <w:rFonts w:ascii="宋体" w:hAnsi="宋体" w:cs="Calibri"/>
          <w:sz w:val="24"/>
          <w:u w:val="single"/>
        </w:rPr>
      </w:pPr>
      <w:r>
        <w:rPr>
          <w:rFonts w:hint="eastAsia" w:ascii="宋体" w:hAnsi="宋体" w:cs="Calibri"/>
          <w:sz w:val="24"/>
        </w:rPr>
        <w:t>2、乙方负责甲方有关人员的培训。培训时间、地点：</w:t>
      </w:r>
      <w:r>
        <w:rPr>
          <w:rFonts w:hint="eastAsia" w:ascii="宋体" w:hAnsi="宋体" w:cs="Calibri"/>
          <w:sz w:val="24"/>
          <w:u w:val="single"/>
        </w:rPr>
        <w:t>按乙方竞标文件承诺。</w:t>
      </w:r>
    </w:p>
    <w:p>
      <w:pPr>
        <w:snapToGrid w:val="0"/>
        <w:spacing w:line="400" w:lineRule="exact"/>
        <w:ind w:firstLine="482" w:firstLineChars="200"/>
        <w:rPr>
          <w:rFonts w:ascii="宋体" w:hAnsi="宋体" w:cs="Calibri"/>
          <w:b/>
          <w:sz w:val="24"/>
        </w:rPr>
      </w:pPr>
      <w:r>
        <w:rPr>
          <w:rFonts w:hint="eastAsia" w:ascii="宋体" w:hAnsi="宋体" w:cs="Calibri"/>
          <w:b/>
          <w:sz w:val="24"/>
        </w:rPr>
        <w:t>第七条  售后服务、保修期</w:t>
      </w:r>
    </w:p>
    <w:p>
      <w:pPr>
        <w:snapToGrid w:val="0"/>
        <w:spacing w:line="400" w:lineRule="exact"/>
        <w:ind w:firstLine="480" w:firstLineChars="200"/>
        <w:rPr>
          <w:rFonts w:ascii="宋体" w:hAnsi="宋体" w:cs="Calibri"/>
          <w:sz w:val="24"/>
        </w:rPr>
      </w:pPr>
      <w:r>
        <w:rPr>
          <w:rFonts w:hint="eastAsia" w:ascii="宋体" w:hAnsi="宋体" w:cs="Calibri"/>
          <w:sz w:val="24"/>
        </w:rPr>
        <w:t>1、乙方应按照国家有关法律法规和“三包”规定以及竞标文件和本合同所附的《服务承诺》，为甲方提供售后服务。</w:t>
      </w:r>
    </w:p>
    <w:p>
      <w:pPr>
        <w:snapToGrid w:val="0"/>
        <w:spacing w:line="400" w:lineRule="exact"/>
        <w:ind w:firstLine="480" w:firstLineChars="200"/>
        <w:rPr>
          <w:rFonts w:ascii="宋体" w:hAnsi="宋体" w:cs="Calibri"/>
          <w:sz w:val="24"/>
          <w:u w:val="single"/>
        </w:rPr>
      </w:pPr>
      <w:r>
        <w:rPr>
          <w:rFonts w:hint="eastAsia" w:ascii="宋体" w:hAnsi="宋体" w:cs="Calibri"/>
          <w:sz w:val="24"/>
        </w:rPr>
        <w:t>2、货物保修期：</w:t>
      </w:r>
    </w:p>
    <w:p>
      <w:pPr>
        <w:snapToGrid w:val="0"/>
        <w:spacing w:line="400" w:lineRule="exact"/>
        <w:ind w:firstLine="480" w:firstLineChars="200"/>
        <w:rPr>
          <w:rFonts w:ascii="宋体" w:hAnsi="宋体" w:cs="Calibri"/>
          <w:sz w:val="24"/>
          <w:u w:val="single"/>
        </w:rPr>
      </w:pPr>
      <w:r>
        <w:rPr>
          <w:rFonts w:hint="eastAsia" w:ascii="宋体" w:hAnsi="宋体" w:cs="Calibri"/>
          <w:sz w:val="24"/>
        </w:rPr>
        <w:t>3、乙方提供的服务承诺和售后服务及保修期责任等其它具体约定事项。（见合同附件）</w:t>
      </w:r>
    </w:p>
    <w:p>
      <w:pPr>
        <w:snapToGrid w:val="0"/>
        <w:spacing w:line="400" w:lineRule="exact"/>
        <w:ind w:firstLine="482" w:firstLineChars="200"/>
        <w:rPr>
          <w:rFonts w:ascii="宋体" w:hAnsi="宋体" w:cs="Calibri"/>
          <w:b/>
          <w:sz w:val="24"/>
        </w:rPr>
      </w:pPr>
      <w:r>
        <w:rPr>
          <w:rFonts w:hint="eastAsia" w:ascii="宋体" w:hAnsi="宋体" w:cs="Calibri"/>
          <w:b/>
          <w:sz w:val="24"/>
        </w:rPr>
        <w:t>第八条　付款方式和保证金</w:t>
      </w:r>
    </w:p>
    <w:p>
      <w:pPr>
        <w:snapToGrid w:val="0"/>
        <w:spacing w:line="400" w:lineRule="exact"/>
        <w:ind w:firstLine="480" w:firstLineChars="200"/>
        <w:rPr>
          <w:rFonts w:ascii="宋体" w:hAnsi="宋体" w:cs="Calibri"/>
          <w:sz w:val="24"/>
        </w:rPr>
      </w:pPr>
      <w:r>
        <w:rPr>
          <w:rFonts w:hint="eastAsia" w:ascii="宋体" w:hAnsi="宋体" w:cs="Calibri"/>
          <w:sz w:val="24"/>
        </w:rPr>
        <w:t>1、当采购数量与实际使用数量不一致时，乙方应根据实际使用量供货，合同的最终结算金额按实际使用量乘以成交单价进行计算,且最终结算金额不能超过合同总价10%。</w:t>
      </w:r>
    </w:p>
    <w:p>
      <w:pPr>
        <w:snapToGrid w:val="0"/>
        <w:spacing w:line="400" w:lineRule="exact"/>
        <w:ind w:firstLine="480" w:firstLineChars="200"/>
        <w:rPr>
          <w:rFonts w:ascii="宋体" w:hAnsi="宋体" w:cs="Calibri"/>
          <w:sz w:val="24"/>
        </w:rPr>
      </w:pPr>
      <w:r>
        <w:rPr>
          <w:rFonts w:hint="eastAsia" w:ascii="宋体" w:hAnsi="宋体" w:cs="Calibri"/>
          <w:sz w:val="24"/>
        </w:rPr>
        <w:t>2、资金性质：其他财政性资金。</w:t>
      </w:r>
    </w:p>
    <w:p>
      <w:pPr>
        <w:snapToGrid w:val="0"/>
        <w:spacing w:line="400" w:lineRule="exact"/>
        <w:ind w:firstLine="480" w:firstLineChars="200"/>
        <w:rPr>
          <w:rFonts w:ascii="宋体" w:hAnsi="宋体" w:cs="Calibri"/>
          <w:color w:val="FF0000"/>
          <w:szCs w:val="21"/>
        </w:rPr>
      </w:pPr>
      <w:r>
        <w:rPr>
          <w:rFonts w:hint="eastAsia" w:ascii="宋体" w:hAnsi="宋体" w:cs="Calibri"/>
          <w:sz w:val="24"/>
        </w:rPr>
        <w:t>3、付款方式：</w:t>
      </w:r>
      <w:r>
        <w:rPr>
          <w:rFonts w:hint="eastAsia" w:hAnsi="宋体"/>
          <w:color w:val="FF0000"/>
          <w:sz w:val="24"/>
        </w:rPr>
        <w:t>银行转账，</w:t>
      </w:r>
      <w:r>
        <w:rPr>
          <w:rFonts w:ascii="宋体" w:hAnsi="宋体" w:cs="宋体"/>
          <w:bCs/>
          <w:color w:val="FF0000"/>
          <w:kern w:val="0"/>
          <w:sz w:val="24"/>
        </w:rPr>
        <w:t>自设备安装调试验收合格交付使用后，支付合同款总金额的60%,合同款总金额的35%一年内无息付清，合同款总金额的5%作为履约保证金，质保期满后无息付清</w:t>
      </w:r>
      <w:r>
        <w:rPr>
          <w:rFonts w:hint="eastAsia" w:ascii="宋体" w:hAnsi="宋体" w:cs="Calibri"/>
          <w:b/>
          <w:color w:val="FF0000"/>
          <w:sz w:val="24"/>
        </w:rPr>
        <w:t>。</w:t>
      </w:r>
    </w:p>
    <w:p>
      <w:pPr>
        <w:snapToGrid w:val="0"/>
        <w:spacing w:line="400" w:lineRule="exact"/>
        <w:ind w:firstLine="482" w:firstLineChars="200"/>
        <w:rPr>
          <w:rFonts w:ascii="宋体" w:hAnsi="宋体" w:cs="Calibri"/>
          <w:b/>
          <w:sz w:val="24"/>
          <w:u w:val="single"/>
        </w:rPr>
      </w:pPr>
      <w:r>
        <w:rPr>
          <w:rFonts w:hint="eastAsia" w:ascii="宋体" w:hAnsi="宋体" w:cs="Calibri"/>
          <w:b/>
          <w:sz w:val="24"/>
        </w:rPr>
        <w:t>第九条　保证金：</w:t>
      </w:r>
      <w:r>
        <w:rPr>
          <w:rFonts w:hint="eastAsia" w:ascii="宋体" w:hAnsi="宋体" w:cs="Calibri"/>
          <w:b/>
          <w:sz w:val="24"/>
          <w:u w:val="single"/>
        </w:rPr>
        <w:t xml:space="preserve"> 无 </w:t>
      </w:r>
    </w:p>
    <w:p>
      <w:pPr>
        <w:snapToGrid w:val="0"/>
        <w:spacing w:line="400" w:lineRule="exact"/>
        <w:ind w:firstLine="482" w:firstLineChars="200"/>
        <w:rPr>
          <w:rFonts w:ascii="宋体" w:hAnsi="宋体" w:cs="Calibri"/>
          <w:b/>
          <w:sz w:val="24"/>
        </w:rPr>
      </w:pPr>
      <w:r>
        <w:rPr>
          <w:rFonts w:hint="eastAsia" w:ascii="宋体" w:hAnsi="宋体" w:cs="Calibri"/>
          <w:b/>
          <w:sz w:val="24"/>
        </w:rPr>
        <w:t>第十条、税费本合同执行中相关的一切税费均由乙方负担。</w:t>
      </w:r>
    </w:p>
    <w:p>
      <w:pPr>
        <w:snapToGrid w:val="0"/>
        <w:spacing w:line="400" w:lineRule="exact"/>
        <w:ind w:firstLine="482" w:firstLineChars="200"/>
        <w:rPr>
          <w:rFonts w:ascii="宋体" w:hAnsi="宋体" w:cs="Calibri"/>
          <w:b/>
          <w:sz w:val="24"/>
        </w:rPr>
      </w:pPr>
      <w:r>
        <w:rPr>
          <w:rFonts w:hint="eastAsia" w:ascii="宋体" w:hAnsi="宋体" w:cs="Calibri"/>
          <w:b/>
          <w:sz w:val="24"/>
        </w:rPr>
        <w:t>第十一条、质量保证及售后服务</w:t>
      </w:r>
    </w:p>
    <w:p>
      <w:pPr>
        <w:snapToGrid w:val="0"/>
        <w:spacing w:line="400" w:lineRule="exact"/>
        <w:ind w:firstLine="480" w:firstLineChars="200"/>
        <w:rPr>
          <w:rFonts w:ascii="宋体" w:hAnsi="宋体" w:cs="Calibri"/>
          <w:sz w:val="24"/>
        </w:rPr>
      </w:pPr>
      <w:r>
        <w:rPr>
          <w:rFonts w:hint="eastAsia" w:ascii="宋体" w:hAnsi="宋体" w:cs="Calibri"/>
          <w:sz w:val="24"/>
        </w:rPr>
        <w:t>1、乙方应按采购文件规定的货物性能、技术要求、质量标准向甲方提供未经使用的全新产品。不符合要求者，根据实际情况，经双方协商，可按以下办法处理：</w:t>
      </w:r>
    </w:p>
    <w:p>
      <w:pPr>
        <w:snapToGrid w:val="0"/>
        <w:spacing w:line="400" w:lineRule="exact"/>
        <w:ind w:firstLine="480" w:firstLineChars="200"/>
        <w:rPr>
          <w:rFonts w:ascii="宋体" w:hAnsi="宋体" w:cs="Calibri"/>
          <w:sz w:val="24"/>
        </w:rPr>
      </w:pPr>
      <w:r>
        <w:rPr>
          <w:rFonts w:hint="eastAsia" w:ascii="宋体" w:hAnsi="宋体" w:cs="Calibri"/>
          <w:sz w:val="24"/>
        </w:rPr>
        <w:t>⑴更换：由乙方承担所发生的全部费用。</w:t>
      </w:r>
    </w:p>
    <w:p>
      <w:pPr>
        <w:snapToGrid w:val="0"/>
        <w:spacing w:line="400" w:lineRule="exact"/>
        <w:ind w:firstLine="480" w:firstLineChars="200"/>
        <w:rPr>
          <w:rFonts w:ascii="宋体" w:hAnsi="宋体" w:cs="Calibri"/>
          <w:sz w:val="24"/>
        </w:rPr>
      </w:pPr>
      <w:r>
        <w:rPr>
          <w:rFonts w:hint="eastAsia" w:ascii="宋体" w:hAnsi="宋体" w:cs="Calibri"/>
          <w:sz w:val="24"/>
        </w:rPr>
        <w:t>⑵贬值处理：由甲乙双方合议定价。</w:t>
      </w:r>
    </w:p>
    <w:p>
      <w:pPr>
        <w:snapToGrid w:val="0"/>
        <w:spacing w:line="400" w:lineRule="exact"/>
        <w:ind w:firstLine="480" w:firstLineChars="200"/>
        <w:rPr>
          <w:rFonts w:ascii="宋体" w:hAnsi="宋体" w:cs="Calibri"/>
          <w:sz w:val="24"/>
        </w:rPr>
      </w:pPr>
      <w:r>
        <w:rPr>
          <w:rFonts w:hint="eastAsia" w:ascii="宋体" w:hAnsi="宋体" w:cs="Calibri"/>
          <w:sz w:val="24"/>
        </w:rPr>
        <w:t>⑶退货处理：乙方应退还甲方支付的合同款，同时应承担该货物的直接费用（运输、保险、检验、货款利息及银行手续费等）。</w:t>
      </w:r>
    </w:p>
    <w:p>
      <w:pPr>
        <w:snapToGrid w:val="0"/>
        <w:spacing w:line="400" w:lineRule="exact"/>
        <w:ind w:firstLine="480" w:firstLineChars="200"/>
        <w:rPr>
          <w:rFonts w:ascii="宋体" w:hAnsi="宋体" w:cs="Calibri"/>
          <w:sz w:val="24"/>
        </w:rPr>
      </w:pPr>
      <w:r>
        <w:rPr>
          <w:rFonts w:hint="eastAsia" w:ascii="宋体" w:hAnsi="宋体" w:cs="Calibri"/>
          <w:sz w:val="24"/>
        </w:rPr>
        <w:t>2、如在使用过程中发生质量问题，乙方在接到甲方通知后在6小时内到达甲方现场。</w:t>
      </w:r>
    </w:p>
    <w:p>
      <w:pPr>
        <w:snapToGrid w:val="0"/>
        <w:spacing w:line="400" w:lineRule="exact"/>
        <w:ind w:firstLine="480" w:firstLineChars="200"/>
        <w:rPr>
          <w:rFonts w:ascii="宋体" w:hAnsi="宋体" w:cs="Calibri"/>
          <w:sz w:val="24"/>
        </w:rPr>
      </w:pPr>
      <w:r>
        <w:rPr>
          <w:rFonts w:hint="eastAsia" w:ascii="宋体" w:hAnsi="宋体" w:cs="Calibri"/>
          <w:sz w:val="24"/>
        </w:rPr>
        <w:t>3、在质保期内，乙方应对货物出现的质量及安全问题负责处理解决并承担一切费用。</w:t>
      </w:r>
    </w:p>
    <w:p>
      <w:pPr>
        <w:snapToGrid w:val="0"/>
        <w:spacing w:line="400" w:lineRule="exact"/>
        <w:ind w:firstLine="480" w:firstLineChars="200"/>
        <w:rPr>
          <w:rFonts w:ascii="宋体" w:hAnsi="宋体" w:cs="Calibri"/>
          <w:sz w:val="24"/>
        </w:rPr>
      </w:pPr>
      <w:r>
        <w:rPr>
          <w:rFonts w:hint="eastAsia" w:ascii="宋体" w:hAnsi="宋体" w:cs="Calibri"/>
          <w:sz w:val="24"/>
        </w:rPr>
        <w:t>4、上述的货物免费保修期为</w:t>
      </w:r>
      <w:r>
        <w:rPr>
          <w:rFonts w:hint="eastAsia" w:ascii="宋体" w:hAnsi="宋体" w:cs="Calibri"/>
          <w:b/>
          <w:sz w:val="24"/>
          <w:u w:val="single"/>
        </w:rPr>
        <w:t>（按竞标文件承诺填写）</w:t>
      </w:r>
      <w:r>
        <w:rPr>
          <w:rFonts w:hint="eastAsia" w:ascii="宋体" w:hAnsi="宋体" w:cs="Calibri"/>
          <w:b/>
          <w:sz w:val="24"/>
        </w:rPr>
        <w:t>年</w:t>
      </w:r>
      <w:r>
        <w:rPr>
          <w:rFonts w:hint="eastAsia" w:ascii="宋体" w:hAnsi="宋体" w:cs="Calibri"/>
          <w:sz w:val="24"/>
        </w:rPr>
        <w:t>，因人为因素出现的故障不在免费保修范围内。超过保修期的机器设备，终生维修，维修时只收部件成本费。</w:t>
      </w:r>
    </w:p>
    <w:p>
      <w:pPr>
        <w:snapToGrid w:val="0"/>
        <w:spacing w:line="400" w:lineRule="exact"/>
        <w:ind w:firstLine="482" w:firstLineChars="200"/>
        <w:rPr>
          <w:rFonts w:ascii="宋体" w:hAnsi="宋体" w:cs="Calibri"/>
          <w:b/>
          <w:sz w:val="24"/>
        </w:rPr>
      </w:pPr>
      <w:r>
        <w:rPr>
          <w:rFonts w:hint="eastAsia" w:ascii="宋体" w:hAnsi="宋体" w:cs="Calibri"/>
          <w:b/>
          <w:sz w:val="24"/>
        </w:rPr>
        <w:t>第十二条、调试和验收</w:t>
      </w:r>
    </w:p>
    <w:p>
      <w:pPr>
        <w:snapToGrid w:val="0"/>
        <w:spacing w:line="400" w:lineRule="exact"/>
        <w:ind w:firstLine="480" w:firstLineChars="200"/>
        <w:rPr>
          <w:rFonts w:ascii="宋体" w:hAnsi="宋体" w:cs="Calibri"/>
          <w:sz w:val="24"/>
        </w:rPr>
      </w:pPr>
      <w:r>
        <w:rPr>
          <w:rFonts w:hint="eastAsia" w:ascii="宋体" w:hAnsi="宋体" w:cs="Calibri"/>
          <w:sz w:val="24"/>
        </w:rPr>
        <w:t>1、甲方对乙方提交的货物依据采购文件上的技术规格要求和国家有关质量标准进行现场初步验收，外观、说明书符合采购文件技术要求的，给予签收，初步验收不合格的不予签收。货到后，甲方应当在到货（安装、调试完）后7个工作日内进行验收。</w:t>
      </w:r>
    </w:p>
    <w:p>
      <w:pPr>
        <w:snapToGrid w:val="0"/>
        <w:spacing w:line="400" w:lineRule="exact"/>
        <w:ind w:firstLine="480" w:firstLineChars="200"/>
        <w:rPr>
          <w:rFonts w:ascii="宋体" w:hAnsi="宋体" w:cs="Calibri"/>
          <w:sz w:val="24"/>
        </w:rPr>
      </w:pPr>
      <w:r>
        <w:rPr>
          <w:rFonts w:hint="eastAsia" w:ascii="宋体" w:hAnsi="宋体" w:cs="Calibri"/>
          <w:sz w:val="24"/>
        </w:rPr>
        <w:t>2、乙方交货前应对产品作出全面检查和对验收文件进行整理，并列出清单，作为甲方收货验收和使用的技术条件依据，检验的结果应随货物交甲方。</w:t>
      </w:r>
    </w:p>
    <w:p>
      <w:pPr>
        <w:snapToGrid w:val="0"/>
        <w:spacing w:line="400" w:lineRule="exact"/>
        <w:ind w:firstLine="480" w:firstLineChars="200"/>
        <w:rPr>
          <w:rFonts w:ascii="宋体" w:hAnsi="宋体" w:cs="Calibri"/>
          <w:sz w:val="24"/>
        </w:rPr>
      </w:pPr>
      <w:r>
        <w:rPr>
          <w:rFonts w:hint="eastAsia" w:ascii="宋体" w:hAnsi="宋体" w:cs="Calibri"/>
          <w:sz w:val="24"/>
        </w:rPr>
        <w:t>3、甲方对乙方提供的货物在使用前进行调试时，乙方需负责安装并培训甲方的使用操作人员，并协助甲方一起调试，直到符合技术要求，甲方才做最终验收。</w:t>
      </w:r>
    </w:p>
    <w:p>
      <w:pPr>
        <w:snapToGrid w:val="0"/>
        <w:spacing w:line="400" w:lineRule="exact"/>
        <w:ind w:firstLine="480" w:firstLineChars="200"/>
        <w:rPr>
          <w:rFonts w:ascii="宋体" w:hAnsi="宋体" w:cs="Calibri"/>
          <w:sz w:val="24"/>
        </w:rPr>
      </w:pPr>
      <w:r>
        <w:rPr>
          <w:rFonts w:hint="eastAsia" w:ascii="宋体" w:hAnsi="宋体" w:cs="Calibri"/>
          <w:sz w:val="24"/>
        </w:rPr>
        <w:t>4、对技术复杂的货物，甲方应请国家认可的专业检测机构参与初步验收及最终验收，并由其出具质量检测报告。</w:t>
      </w:r>
    </w:p>
    <w:p>
      <w:pPr>
        <w:snapToGrid w:val="0"/>
        <w:spacing w:line="400" w:lineRule="exact"/>
        <w:ind w:firstLine="480" w:firstLineChars="200"/>
        <w:rPr>
          <w:rFonts w:ascii="宋体" w:hAnsi="宋体" w:cs="Calibri"/>
          <w:sz w:val="24"/>
        </w:rPr>
      </w:pPr>
      <w:r>
        <w:rPr>
          <w:rFonts w:hint="eastAsia" w:ascii="宋体" w:hAnsi="宋体" w:cs="Calibri"/>
          <w:sz w:val="24"/>
        </w:rPr>
        <w:t>5、验收时乙方必须在现场，验收完毕后作出验收结果报告；验收费用由乙方负责。</w:t>
      </w:r>
    </w:p>
    <w:p>
      <w:pPr>
        <w:snapToGrid w:val="0"/>
        <w:spacing w:line="400" w:lineRule="exact"/>
        <w:ind w:firstLine="482" w:firstLineChars="200"/>
        <w:rPr>
          <w:rFonts w:ascii="宋体" w:hAnsi="宋体" w:cs="Calibri"/>
          <w:b/>
          <w:sz w:val="24"/>
        </w:rPr>
      </w:pPr>
      <w:r>
        <w:rPr>
          <w:rFonts w:hint="eastAsia" w:ascii="宋体" w:hAnsi="宋体" w:cs="Calibri"/>
          <w:b/>
          <w:sz w:val="24"/>
        </w:rPr>
        <w:t>第十三条、货物包装、发运及运输</w:t>
      </w:r>
    </w:p>
    <w:p>
      <w:pPr>
        <w:snapToGrid w:val="0"/>
        <w:spacing w:line="400" w:lineRule="exact"/>
        <w:ind w:firstLine="480" w:firstLineChars="200"/>
        <w:rPr>
          <w:rFonts w:ascii="宋体" w:hAnsi="宋体" w:cs="Calibri"/>
          <w:sz w:val="24"/>
        </w:rPr>
      </w:pPr>
      <w:r>
        <w:rPr>
          <w:rFonts w:hint="eastAsia" w:ascii="宋体" w:hAnsi="宋体" w:cs="Calibri"/>
          <w:sz w:val="24"/>
        </w:rPr>
        <w:t>1、乙方应在货物发运前对其进行满足运输距离、防潮、防震、防锈和防破损装卸等要求包装，以保证货物安全运达甲方指定地点。</w:t>
      </w:r>
    </w:p>
    <w:p>
      <w:pPr>
        <w:snapToGrid w:val="0"/>
        <w:spacing w:line="400" w:lineRule="exact"/>
        <w:ind w:firstLine="480" w:firstLineChars="200"/>
        <w:rPr>
          <w:rFonts w:ascii="宋体" w:hAnsi="宋体" w:cs="Calibri"/>
          <w:sz w:val="24"/>
        </w:rPr>
      </w:pPr>
      <w:r>
        <w:rPr>
          <w:rFonts w:hint="eastAsia" w:ascii="宋体" w:hAnsi="宋体" w:cs="Calibri"/>
          <w:sz w:val="24"/>
        </w:rPr>
        <w:t>2、使用说明书、质量检验证明书、随配附件和工具以及清单一并附于货物内。</w:t>
      </w:r>
    </w:p>
    <w:p>
      <w:pPr>
        <w:snapToGrid w:val="0"/>
        <w:spacing w:line="400" w:lineRule="exact"/>
        <w:ind w:firstLine="480" w:firstLineChars="200"/>
        <w:rPr>
          <w:rFonts w:ascii="宋体" w:hAnsi="宋体" w:cs="Calibri"/>
          <w:sz w:val="24"/>
        </w:rPr>
      </w:pPr>
      <w:r>
        <w:rPr>
          <w:rFonts w:hint="eastAsia" w:ascii="宋体" w:hAnsi="宋体" w:cs="Calibri"/>
          <w:sz w:val="24"/>
        </w:rPr>
        <w:t>3、乙方在货物发运手续办理完毕后24小时内或货到甲方48小时前通知甲方，以准备接货。</w:t>
      </w:r>
    </w:p>
    <w:p>
      <w:pPr>
        <w:snapToGrid w:val="0"/>
        <w:spacing w:line="400" w:lineRule="exact"/>
        <w:ind w:firstLine="480" w:firstLineChars="200"/>
        <w:rPr>
          <w:rFonts w:ascii="宋体" w:hAnsi="宋体" w:cs="Calibri"/>
          <w:sz w:val="24"/>
        </w:rPr>
      </w:pPr>
      <w:r>
        <w:rPr>
          <w:rFonts w:hint="eastAsia" w:ascii="宋体" w:hAnsi="宋体" w:cs="Calibri"/>
          <w:sz w:val="24"/>
        </w:rPr>
        <w:t>4、货物在交付甲方前发生的风险均由乙方负责。</w:t>
      </w:r>
    </w:p>
    <w:p>
      <w:pPr>
        <w:snapToGrid w:val="0"/>
        <w:spacing w:line="400" w:lineRule="exact"/>
        <w:ind w:firstLine="480" w:firstLineChars="200"/>
        <w:rPr>
          <w:rFonts w:ascii="宋体" w:hAnsi="宋体" w:cs="Calibri"/>
          <w:sz w:val="24"/>
        </w:rPr>
      </w:pPr>
      <w:r>
        <w:rPr>
          <w:rFonts w:hint="eastAsia" w:ascii="宋体" w:hAnsi="宋体" w:cs="Calibri"/>
          <w:sz w:val="24"/>
        </w:rPr>
        <w:t>5、货物在规定的交付期限内由乙方送达甲方指定的地点视为交付，乙方同时需通知甲方货物已送达。</w:t>
      </w:r>
    </w:p>
    <w:p>
      <w:pPr>
        <w:snapToGrid w:val="0"/>
        <w:spacing w:line="400" w:lineRule="exact"/>
        <w:ind w:firstLine="482" w:firstLineChars="200"/>
        <w:rPr>
          <w:rFonts w:ascii="宋体" w:hAnsi="宋体" w:cs="Calibri"/>
          <w:b/>
          <w:sz w:val="24"/>
        </w:rPr>
      </w:pPr>
      <w:r>
        <w:rPr>
          <w:rFonts w:hint="eastAsia" w:ascii="宋体" w:hAnsi="宋体" w:cs="Calibri"/>
          <w:b/>
          <w:sz w:val="24"/>
        </w:rPr>
        <w:t>第十四条　违约责任</w:t>
      </w:r>
    </w:p>
    <w:p>
      <w:pPr>
        <w:snapToGrid w:val="0"/>
        <w:spacing w:line="400" w:lineRule="exact"/>
        <w:ind w:firstLine="480" w:firstLineChars="200"/>
        <w:rPr>
          <w:rFonts w:ascii="宋体" w:hAnsi="宋体" w:cs="Calibri"/>
          <w:sz w:val="24"/>
        </w:rPr>
      </w:pPr>
      <w:r>
        <w:rPr>
          <w:rFonts w:hint="eastAsia" w:ascii="宋体" w:hAnsi="宋体" w:cs="Calibri"/>
          <w:sz w:val="24"/>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400" w:lineRule="exact"/>
        <w:ind w:firstLine="480" w:firstLineChars="200"/>
        <w:rPr>
          <w:rFonts w:ascii="宋体" w:hAnsi="宋体" w:cs="Calibri"/>
          <w:sz w:val="24"/>
        </w:rPr>
      </w:pPr>
      <w:r>
        <w:rPr>
          <w:rFonts w:hint="eastAsia" w:ascii="宋体" w:hAnsi="宋体" w:cs="Calibri"/>
          <w:sz w:val="24"/>
        </w:rPr>
        <w:t>2、乙方提供的货物如侵犯了第三方合法权益而引发的任何纠纷或诉讼，均由乙方负责交涉并承担全部责任。</w:t>
      </w:r>
    </w:p>
    <w:p>
      <w:pPr>
        <w:snapToGrid w:val="0"/>
        <w:spacing w:line="400" w:lineRule="exact"/>
        <w:ind w:firstLine="480" w:firstLineChars="200"/>
        <w:rPr>
          <w:rFonts w:ascii="宋体" w:hAnsi="宋体" w:cs="Calibri"/>
          <w:sz w:val="24"/>
        </w:rPr>
      </w:pPr>
      <w:r>
        <w:rPr>
          <w:rFonts w:hint="eastAsia" w:ascii="宋体" w:hAnsi="宋体" w:cs="Calibri"/>
          <w:sz w:val="24"/>
        </w:rPr>
        <w:t>3、因包装、运输引起的货物损坏，按质量不合格处罚。</w:t>
      </w:r>
    </w:p>
    <w:p>
      <w:pPr>
        <w:snapToGrid w:val="0"/>
        <w:spacing w:line="400" w:lineRule="exact"/>
        <w:ind w:firstLine="480" w:firstLineChars="200"/>
        <w:rPr>
          <w:rFonts w:ascii="宋体" w:hAnsi="宋体" w:cs="Calibri"/>
          <w:sz w:val="24"/>
        </w:rPr>
      </w:pPr>
      <w:r>
        <w:rPr>
          <w:rFonts w:hint="eastAsia" w:ascii="宋体" w:hAnsi="宋体" w:cs="Calibri"/>
          <w:sz w:val="24"/>
        </w:rPr>
        <w:t>4、甲方无故延期接收货物、乙方逾期交货的，每天向对方偿付违约货款额3‰违约金，但违约金累计不得超过违约货款额5%，超过</w:t>
      </w:r>
      <w:r>
        <w:rPr>
          <w:rFonts w:hint="eastAsia" w:ascii="宋体" w:hAnsi="宋体" w:cs="Calibri"/>
          <w:sz w:val="24"/>
          <w:u w:val="single"/>
        </w:rPr>
        <w:t>20</w:t>
      </w:r>
      <w:r>
        <w:rPr>
          <w:rFonts w:hint="eastAsia" w:ascii="宋体" w:hAnsi="宋体" w:cs="Calibri"/>
          <w:sz w:val="24"/>
        </w:rPr>
        <w:t>天对方有权解除合同，违约方承担因此给对方造成经济损失；甲方延期付货款的，每天向乙方偿付延期货款额3‰滞纳金，但滞纳金累计不得超过延期货款额5%。</w:t>
      </w:r>
    </w:p>
    <w:p>
      <w:pPr>
        <w:snapToGrid w:val="0"/>
        <w:spacing w:line="400" w:lineRule="exact"/>
        <w:ind w:firstLine="480" w:firstLineChars="200"/>
        <w:rPr>
          <w:rFonts w:ascii="宋体" w:hAnsi="宋体" w:cs="Calibri"/>
          <w:sz w:val="24"/>
        </w:rPr>
      </w:pPr>
      <w:r>
        <w:rPr>
          <w:rFonts w:hint="eastAsia" w:ascii="宋体" w:hAnsi="宋体" w:cs="Calibri"/>
          <w:sz w:val="24"/>
        </w:rPr>
        <w:t>5、乙方未按本合同和竞标文件中规定的服务承诺提供售后服务的，乙方应按本合同合计金额 5%向甲方支付违约金。</w:t>
      </w:r>
    </w:p>
    <w:p>
      <w:pPr>
        <w:snapToGrid w:val="0"/>
        <w:spacing w:line="400" w:lineRule="exact"/>
        <w:ind w:firstLine="480" w:firstLineChars="200"/>
        <w:rPr>
          <w:rFonts w:ascii="宋体" w:hAnsi="宋体" w:cs="Calibri"/>
          <w:sz w:val="24"/>
        </w:rPr>
      </w:pPr>
      <w:r>
        <w:rPr>
          <w:rFonts w:hint="eastAsia" w:ascii="宋体" w:hAnsi="宋体" w:cs="Calibri"/>
          <w:sz w:val="24"/>
        </w:rPr>
        <w:t>6、乙方提供的货物在质量保证期内，因设计、工艺或材料的缺陷和其它质量原因造成的问题，由乙方负责，费用从质量保证金中扣除，不足另补。</w:t>
      </w:r>
    </w:p>
    <w:p>
      <w:pPr>
        <w:snapToGrid w:val="0"/>
        <w:spacing w:line="400" w:lineRule="exact"/>
        <w:ind w:firstLine="480" w:firstLineChars="200"/>
        <w:rPr>
          <w:rFonts w:ascii="宋体" w:hAnsi="宋体" w:cs="Calibri"/>
          <w:sz w:val="24"/>
        </w:rPr>
      </w:pPr>
      <w:r>
        <w:rPr>
          <w:rFonts w:hint="eastAsia" w:ascii="宋体" w:hAnsi="宋体" w:cs="Calibri"/>
          <w:sz w:val="24"/>
        </w:rPr>
        <w:t>7、其它违约行为按违约货款额5%收取违约金并赔偿经济损失。</w:t>
      </w:r>
    </w:p>
    <w:p>
      <w:pPr>
        <w:snapToGrid w:val="0"/>
        <w:spacing w:line="400" w:lineRule="exact"/>
        <w:ind w:firstLine="482" w:firstLineChars="200"/>
        <w:rPr>
          <w:rFonts w:ascii="宋体" w:hAnsi="宋体" w:cs="Calibri"/>
          <w:b/>
          <w:sz w:val="24"/>
        </w:rPr>
      </w:pPr>
      <w:r>
        <w:rPr>
          <w:rFonts w:hint="eastAsia" w:ascii="宋体" w:hAnsi="宋体" w:cs="Calibri"/>
          <w:b/>
          <w:sz w:val="24"/>
        </w:rPr>
        <w:t>第十五条、不可抗力事件处理</w:t>
      </w:r>
    </w:p>
    <w:p>
      <w:pPr>
        <w:snapToGrid w:val="0"/>
        <w:spacing w:line="400" w:lineRule="exact"/>
        <w:ind w:firstLine="480" w:firstLineChars="200"/>
        <w:rPr>
          <w:rFonts w:ascii="宋体" w:hAnsi="宋体" w:cs="Calibri"/>
          <w:sz w:val="24"/>
        </w:rPr>
      </w:pPr>
      <w:r>
        <w:rPr>
          <w:rFonts w:hint="eastAsia" w:ascii="宋体" w:hAnsi="宋体" w:cs="Calibri"/>
          <w:sz w:val="24"/>
        </w:rPr>
        <w:t>1、在合同有效期内，任何一方因不可抗力事件导致不能履行合同，则合同履行期可延长，其延长期与不可抗力影响期相同。</w:t>
      </w:r>
    </w:p>
    <w:p>
      <w:pPr>
        <w:snapToGrid w:val="0"/>
        <w:spacing w:line="400" w:lineRule="exact"/>
        <w:ind w:firstLine="480" w:firstLineChars="200"/>
        <w:rPr>
          <w:rFonts w:ascii="宋体" w:hAnsi="宋体" w:cs="Calibri"/>
          <w:sz w:val="24"/>
        </w:rPr>
      </w:pPr>
      <w:r>
        <w:rPr>
          <w:rFonts w:hint="eastAsia" w:ascii="宋体" w:hAnsi="宋体" w:cs="Calibri"/>
          <w:sz w:val="24"/>
        </w:rPr>
        <w:t>2、不可抗力事件发生后，应立即通知对方，并寄送有关权威机构出具的证明。</w:t>
      </w:r>
    </w:p>
    <w:p>
      <w:pPr>
        <w:snapToGrid w:val="0"/>
        <w:spacing w:line="400" w:lineRule="exact"/>
        <w:ind w:firstLine="480" w:firstLineChars="200"/>
        <w:rPr>
          <w:rFonts w:ascii="宋体" w:hAnsi="宋体" w:cs="Calibri"/>
          <w:sz w:val="24"/>
        </w:rPr>
      </w:pPr>
      <w:r>
        <w:rPr>
          <w:rFonts w:hint="eastAsia" w:ascii="宋体" w:hAnsi="宋体" w:cs="Calibri"/>
          <w:sz w:val="24"/>
        </w:rPr>
        <w:t>3、不可抗力事件延续120天以上，双方应通过友好协商，确定是否继续履行合同。</w:t>
      </w:r>
    </w:p>
    <w:p>
      <w:pPr>
        <w:snapToGrid w:val="0"/>
        <w:spacing w:line="400" w:lineRule="exact"/>
        <w:ind w:firstLine="482" w:firstLineChars="200"/>
        <w:rPr>
          <w:rFonts w:ascii="宋体" w:hAnsi="宋体" w:cs="Calibri"/>
          <w:b/>
          <w:sz w:val="24"/>
        </w:rPr>
      </w:pPr>
      <w:r>
        <w:rPr>
          <w:rFonts w:hint="eastAsia" w:ascii="宋体" w:hAnsi="宋体" w:cs="Calibri"/>
          <w:b/>
          <w:sz w:val="24"/>
        </w:rPr>
        <w:t>第十六条  合同争议解决</w:t>
      </w:r>
    </w:p>
    <w:p>
      <w:pPr>
        <w:snapToGrid w:val="0"/>
        <w:spacing w:line="400" w:lineRule="exact"/>
        <w:ind w:firstLine="480" w:firstLineChars="200"/>
        <w:rPr>
          <w:rFonts w:ascii="宋体" w:hAnsi="宋体" w:cs="Calibri"/>
          <w:sz w:val="24"/>
        </w:rPr>
      </w:pPr>
      <w:r>
        <w:rPr>
          <w:rFonts w:hint="eastAsia" w:ascii="宋体" w:hAnsi="宋体" w:cs="Calibri"/>
          <w:sz w:val="24"/>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80" w:firstLineChars="200"/>
        <w:rPr>
          <w:rFonts w:ascii="宋体" w:hAnsi="宋体" w:cs="Calibri"/>
          <w:sz w:val="24"/>
        </w:rPr>
      </w:pPr>
      <w:r>
        <w:rPr>
          <w:rFonts w:hint="eastAsia" w:ascii="宋体" w:hAnsi="宋体" w:cs="Calibri"/>
          <w:sz w:val="24"/>
        </w:rPr>
        <w:t>2、因履行本合同引起的或与本合同有关的争议，甲乙双方应首先通过友好协商解决，如果协商不能解决，可向仲裁委员会申请仲裁或向甲方所在地人民法院提起诉讼。</w:t>
      </w:r>
    </w:p>
    <w:p>
      <w:pPr>
        <w:snapToGrid w:val="0"/>
        <w:spacing w:line="400" w:lineRule="exact"/>
        <w:ind w:firstLine="480" w:firstLineChars="200"/>
        <w:rPr>
          <w:rFonts w:ascii="宋体" w:hAnsi="宋体" w:cs="Calibri"/>
          <w:sz w:val="24"/>
        </w:rPr>
      </w:pPr>
      <w:r>
        <w:rPr>
          <w:rFonts w:hint="eastAsia" w:ascii="宋体" w:hAnsi="宋体" w:cs="Calibri"/>
          <w:sz w:val="24"/>
        </w:rPr>
        <w:t>3、诉讼期间，本合同继续履行。</w:t>
      </w:r>
    </w:p>
    <w:p>
      <w:pPr>
        <w:snapToGrid w:val="0"/>
        <w:spacing w:line="400" w:lineRule="exact"/>
        <w:ind w:firstLine="482" w:firstLineChars="200"/>
        <w:rPr>
          <w:rFonts w:ascii="宋体" w:hAnsi="宋体" w:cs="Calibri"/>
          <w:b/>
          <w:sz w:val="24"/>
        </w:rPr>
      </w:pPr>
      <w:r>
        <w:rPr>
          <w:rFonts w:hint="eastAsia" w:ascii="宋体" w:hAnsi="宋体" w:cs="Calibri"/>
          <w:b/>
          <w:sz w:val="24"/>
        </w:rPr>
        <w:t>第十七条、诉讼</w:t>
      </w:r>
    </w:p>
    <w:p>
      <w:pPr>
        <w:snapToGrid w:val="0"/>
        <w:spacing w:line="400" w:lineRule="exact"/>
        <w:ind w:firstLine="480" w:firstLineChars="200"/>
        <w:rPr>
          <w:rFonts w:ascii="宋体" w:hAnsi="宋体" w:cs="Calibri"/>
          <w:sz w:val="24"/>
        </w:rPr>
      </w:pPr>
      <w:r>
        <w:rPr>
          <w:rFonts w:hint="eastAsia" w:ascii="宋体" w:hAnsi="宋体" w:cs="Calibri"/>
          <w:sz w:val="24"/>
        </w:rPr>
        <w:t>双方在执行合同中所发生的一切争议，应通过协商解决。如果协商不能解决，可向仲裁委员会申请仲裁或向人民法院提起诉讼。</w:t>
      </w:r>
    </w:p>
    <w:p>
      <w:pPr>
        <w:snapToGrid w:val="0"/>
        <w:spacing w:line="400" w:lineRule="exact"/>
        <w:ind w:firstLine="482" w:firstLineChars="200"/>
        <w:rPr>
          <w:rFonts w:ascii="宋体" w:hAnsi="宋体" w:cs="Calibri"/>
          <w:b/>
          <w:sz w:val="24"/>
        </w:rPr>
      </w:pPr>
      <w:r>
        <w:rPr>
          <w:rFonts w:hint="eastAsia" w:ascii="宋体" w:hAnsi="宋体" w:cs="Calibri"/>
          <w:b/>
          <w:sz w:val="24"/>
        </w:rPr>
        <w:t>第十八条、合同生效及其它</w:t>
      </w:r>
    </w:p>
    <w:p>
      <w:pPr>
        <w:snapToGrid w:val="0"/>
        <w:spacing w:line="400" w:lineRule="exact"/>
        <w:ind w:firstLine="480" w:firstLineChars="200"/>
        <w:rPr>
          <w:rFonts w:ascii="宋体" w:hAnsi="宋体" w:cs="Calibri"/>
          <w:sz w:val="24"/>
        </w:rPr>
      </w:pPr>
      <w:r>
        <w:rPr>
          <w:rFonts w:hint="eastAsia" w:ascii="宋体" w:hAnsi="宋体" w:cs="Calibri"/>
          <w:sz w:val="24"/>
        </w:rPr>
        <w:t>1、合同经双方法定代表人或授权代表签字并加盖单位公章后生效。</w:t>
      </w:r>
    </w:p>
    <w:p>
      <w:pPr>
        <w:snapToGrid w:val="0"/>
        <w:spacing w:line="400" w:lineRule="exact"/>
        <w:ind w:firstLine="480" w:firstLineChars="200"/>
        <w:rPr>
          <w:rFonts w:ascii="宋体" w:hAnsi="宋体" w:cs="Calibri"/>
          <w:sz w:val="24"/>
        </w:rPr>
      </w:pPr>
      <w:r>
        <w:rPr>
          <w:rFonts w:hint="eastAsia" w:ascii="宋体" w:hAnsi="宋体" w:cs="Calibri"/>
          <w:sz w:val="24"/>
        </w:rPr>
        <w:t>2、合同执行中涉及采购资金和采购内容修改或补充的，须经财政部门审批，并签书面补充协议报财政部门备案，方可作为主合同不可分割的一部分。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ascii="宋体" w:hAnsi="宋体" w:cs="Calibri"/>
          <w:sz w:val="24"/>
        </w:rPr>
      </w:pPr>
      <w:r>
        <w:rPr>
          <w:rFonts w:hint="eastAsia" w:ascii="宋体" w:hAnsi="宋体" w:cs="Calibri"/>
          <w:sz w:val="24"/>
        </w:rPr>
        <w:t>3、本合同未尽事宜，遵照《合同法》有关条文执行。</w:t>
      </w:r>
    </w:p>
    <w:p>
      <w:pPr>
        <w:snapToGrid w:val="0"/>
        <w:spacing w:line="400" w:lineRule="exact"/>
        <w:ind w:firstLine="482" w:firstLineChars="200"/>
        <w:rPr>
          <w:rFonts w:ascii="宋体" w:hAnsi="宋体" w:cs="Calibri"/>
          <w:b/>
          <w:sz w:val="24"/>
        </w:rPr>
      </w:pPr>
      <w:r>
        <w:rPr>
          <w:rFonts w:hint="eastAsia" w:ascii="宋体" w:hAnsi="宋体" w:cs="Calibri"/>
          <w:b/>
          <w:sz w:val="24"/>
        </w:rPr>
        <w:t>第十九条　合同的变更、终止与转让</w:t>
      </w:r>
    </w:p>
    <w:p>
      <w:pPr>
        <w:snapToGrid w:val="0"/>
        <w:spacing w:line="400" w:lineRule="exact"/>
        <w:ind w:firstLine="480" w:firstLineChars="200"/>
        <w:rPr>
          <w:rFonts w:ascii="宋体" w:hAnsi="宋体" w:cs="Calibri"/>
          <w:sz w:val="24"/>
        </w:rPr>
      </w:pPr>
      <w:r>
        <w:rPr>
          <w:rFonts w:hint="eastAsia" w:ascii="宋体" w:hAnsi="宋体" w:cs="Calibri"/>
          <w:sz w:val="24"/>
        </w:rPr>
        <w:t>1、除《中华人民共和国政府采购法》第50条规定的情形外，本合同一经签订，甲乙双方不得擅自变更、中止或终止。</w:t>
      </w:r>
    </w:p>
    <w:p>
      <w:pPr>
        <w:snapToGrid w:val="0"/>
        <w:spacing w:line="400" w:lineRule="exact"/>
        <w:ind w:firstLine="480" w:firstLineChars="200"/>
        <w:rPr>
          <w:rFonts w:ascii="宋体" w:hAnsi="宋体" w:cs="Calibri"/>
          <w:sz w:val="24"/>
        </w:rPr>
      </w:pPr>
      <w:r>
        <w:rPr>
          <w:rFonts w:hint="eastAsia" w:ascii="宋体" w:hAnsi="宋体" w:cs="Calibri"/>
          <w:sz w:val="24"/>
        </w:rPr>
        <w:t>2、乙方不得擅自转让（无进口资格的供应商委托进口货物除外）其应履行的合同义务。</w:t>
      </w:r>
    </w:p>
    <w:p>
      <w:pPr>
        <w:snapToGrid w:val="0"/>
        <w:spacing w:line="400" w:lineRule="exact"/>
        <w:ind w:firstLine="480" w:firstLineChars="200"/>
        <w:rPr>
          <w:rFonts w:ascii="宋体" w:hAnsi="宋体" w:cs="Calibri"/>
          <w:sz w:val="24"/>
        </w:rPr>
      </w:pPr>
      <w:r>
        <w:rPr>
          <w:rFonts w:hint="eastAsia" w:ascii="宋体" w:hAnsi="宋体" w:cs="Calibri"/>
          <w:sz w:val="24"/>
        </w:rPr>
        <w:t>3、合同经双方法定代表人或授权代表签字并加盖单位公章后生效。</w:t>
      </w:r>
    </w:p>
    <w:p>
      <w:pPr>
        <w:snapToGrid w:val="0"/>
        <w:spacing w:line="400" w:lineRule="exact"/>
        <w:ind w:firstLine="480" w:firstLineChars="200"/>
        <w:rPr>
          <w:rFonts w:ascii="宋体" w:hAnsi="宋体" w:cs="Calibri"/>
          <w:sz w:val="24"/>
        </w:rPr>
      </w:pPr>
      <w:r>
        <w:rPr>
          <w:rFonts w:hint="eastAsia" w:ascii="宋体" w:hAnsi="宋体" w:cs="Calibri"/>
          <w:sz w:val="24"/>
        </w:rPr>
        <w:t>4、合同执行中涉及采购资金和采购内容修改或补充的，须经财政部门审批，并签书面补充协议报财政部门备案，方可作为主合同不可分割的一部分。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ascii="宋体" w:hAnsi="宋体" w:cs="Calibri"/>
          <w:sz w:val="24"/>
        </w:rPr>
      </w:pPr>
      <w:r>
        <w:rPr>
          <w:rFonts w:hint="eastAsia" w:ascii="宋体" w:hAnsi="宋体" w:cs="Calibri"/>
          <w:sz w:val="24"/>
        </w:rPr>
        <w:t>5、本合同未尽事宜，遵照《合同法》有关条文执行。</w:t>
      </w:r>
    </w:p>
    <w:p>
      <w:pPr>
        <w:snapToGrid w:val="0"/>
        <w:spacing w:line="400" w:lineRule="exact"/>
        <w:ind w:firstLine="482" w:firstLineChars="200"/>
        <w:rPr>
          <w:rFonts w:ascii="宋体" w:hAnsi="宋体" w:cs="Calibri"/>
          <w:b/>
          <w:sz w:val="24"/>
        </w:rPr>
      </w:pPr>
      <w:r>
        <w:rPr>
          <w:rFonts w:hint="eastAsia" w:ascii="宋体" w:hAnsi="宋体" w:cs="Calibri"/>
          <w:b/>
          <w:sz w:val="24"/>
        </w:rPr>
        <w:t>第二十条　签订本合同依据</w:t>
      </w:r>
    </w:p>
    <w:p>
      <w:pPr>
        <w:snapToGrid w:val="0"/>
        <w:spacing w:line="400" w:lineRule="exact"/>
        <w:ind w:firstLine="480" w:firstLineChars="200"/>
        <w:rPr>
          <w:rFonts w:ascii="宋体" w:hAnsi="宋体" w:cs="Calibri"/>
          <w:sz w:val="24"/>
        </w:rPr>
      </w:pPr>
      <w:r>
        <w:rPr>
          <w:rFonts w:hint="eastAsia" w:ascii="宋体" w:hAnsi="宋体" w:cs="Calibri"/>
          <w:sz w:val="24"/>
        </w:rPr>
        <w:t>1、政府采购采购文件；2、乙方提供的竞标文件；3、竞标承诺书；4、成交或成交通知书。</w:t>
      </w:r>
    </w:p>
    <w:p>
      <w:pPr>
        <w:snapToGrid w:val="0"/>
        <w:spacing w:line="400" w:lineRule="exact"/>
        <w:ind w:firstLine="482" w:firstLineChars="200"/>
        <w:rPr>
          <w:rFonts w:ascii="宋体" w:hAnsi="宋体" w:cs="Calibri"/>
          <w:sz w:val="24"/>
        </w:rPr>
      </w:pPr>
      <w:r>
        <w:rPr>
          <w:rFonts w:hint="eastAsia" w:ascii="宋体" w:hAnsi="宋体" w:cs="Calibri"/>
          <w:b/>
          <w:sz w:val="24"/>
        </w:rPr>
        <w:t>第二十一条　</w:t>
      </w:r>
      <w:r>
        <w:rPr>
          <w:rFonts w:hint="eastAsia" w:ascii="宋体" w:hAnsi="宋体" w:cs="Calibri"/>
          <w:sz w:val="24"/>
        </w:rPr>
        <w:t>本合同一式六份，具有同等法律效力。财政部门(政府采购监督管理部门)、采购代理机构各一份，甲乙双方各执二份（可根据需要另增加）。</w:t>
      </w:r>
    </w:p>
    <w:p>
      <w:pPr>
        <w:snapToGrid w:val="0"/>
        <w:spacing w:line="400" w:lineRule="exact"/>
        <w:ind w:firstLine="480" w:firstLineChars="200"/>
        <w:rPr>
          <w:rFonts w:ascii="宋体" w:hAnsi="宋体" w:cs="Calibri"/>
          <w:sz w:val="24"/>
        </w:rPr>
      </w:pPr>
      <w:r>
        <w:rPr>
          <w:rFonts w:hint="eastAsia" w:ascii="宋体" w:hAnsi="宋体" w:cs="Calibri"/>
          <w:sz w:val="24"/>
        </w:rPr>
        <w:t>本合同甲乙双方签字盖章后生效，自签订之日起七个工作日内，采购人或采购代理机构应当将合同副本报同级财政部门备案。</w:t>
      </w:r>
    </w:p>
    <w:p>
      <w:pPr>
        <w:snapToGrid w:val="0"/>
        <w:spacing w:line="400" w:lineRule="exact"/>
        <w:ind w:right="420" w:firstLine="480" w:firstLineChars="200"/>
        <w:rPr>
          <w:rFonts w:ascii="宋体" w:hAnsi="宋体"/>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 xml:space="preserve">甲方（章）           </w:t>
            </w:r>
          </w:p>
          <w:p>
            <w:pPr>
              <w:snapToGrid w:val="0"/>
              <w:spacing w:line="400" w:lineRule="exact"/>
              <w:rPr>
                <w:rFonts w:ascii="宋体" w:hAnsi="宋体"/>
                <w:sz w:val="24"/>
              </w:rPr>
            </w:pPr>
          </w:p>
          <w:p>
            <w:pPr>
              <w:snapToGrid w:val="0"/>
              <w:spacing w:line="400" w:lineRule="exact"/>
              <w:ind w:firstLine="1080" w:firstLineChars="450"/>
              <w:jc w:val="right"/>
              <w:rPr>
                <w:rFonts w:ascii="宋体" w:hAnsi="宋体"/>
                <w:sz w:val="24"/>
              </w:rPr>
            </w:pPr>
            <w:r>
              <w:rPr>
                <w:rFonts w:hint="eastAsia" w:ascii="宋体" w:hAnsi="宋体"/>
                <w:sz w:val="24"/>
              </w:rPr>
              <w:t>年   月   日</w:t>
            </w:r>
          </w:p>
        </w:tc>
        <w:tc>
          <w:tcPr>
            <w:tcW w:w="4517" w:type="dxa"/>
            <w:vAlign w:val="center"/>
          </w:tcPr>
          <w:p>
            <w:pPr>
              <w:snapToGrid w:val="0"/>
              <w:spacing w:line="400" w:lineRule="exact"/>
              <w:rPr>
                <w:rFonts w:ascii="宋体" w:hAnsi="宋体"/>
                <w:sz w:val="24"/>
              </w:rPr>
            </w:pPr>
            <w:r>
              <w:rPr>
                <w:rFonts w:hint="eastAsia" w:ascii="宋体" w:hAnsi="宋体"/>
                <w:sz w:val="24"/>
              </w:rPr>
              <w:t xml:space="preserve">乙方（章）              </w:t>
            </w:r>
          </w:p>
          <w:p>
            <w:pPr>
              <w:snapToGrid w:val="0"/>
              <w:spacing w:line="400" w:lineRule="exact"/>
              <w:rPr>
                <w:rFonts w:ascii="宋体" w:hAnsi="宋体"/>
                <w:sz w:val="24"/>
              </w:rPr>
            </w:pPr>
          </w:p>
          <w:p>
            <w:pPr>
              <w:snapToGrid w:val="0"/>
              <w:spacing w:line="400" w:lineRule="exact"/>
              <w:jc w:val="right"/>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单位地址：</w:t>
            </w:r>
          </w:p>
        </w:tc>
        <w:tc>
          <w:tcPr>
            <w:tcW w:w="4517" w:type="dxa"/>
            <w:vAlign w:val="center"/>
          </w:tcPr>
          <w:p>
            <w:pPr>
              <w:snapToGrid w:val="0"/>
              <w:spacing w:line="400" w:lineRule="exact"/>
              <w:rPr>
                <w:rFonts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法定代表或授权代表：</w:t>
            </w:r>
          </w:p>
        </w:tc>
        <w:tc>
          <w:tcPr>
            <w:tcW w:w="4517" w:type="dxa"/>
            <w:vAlign w:val="center"/>
          </w:tcPr>
          <w:p>
            <w:pPr>
              <w:snapToGrid w:val="0"/>
              <w:spacing w:line="400" w:lineRule="exact"/>
              <w:rPr>
                <w:rFonts w:ascii="宋体" w:hAnsi="宋体"/>
                <w:sz w:val="24"/>
              </w:rPr>
            </w:pPr>
            <w:r>
              <w:rPr>
                <w:rFonts w:hint="eastAsia" w:ascii="宋体" w:hAnsi="宋体"/>
                <w:sz w:val="24"/>
              </w:rPr>
              <w:t>法定代表或授权代表：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签约代表：</w:t>
            </w:r>
          </w:p>
        </w:tc>
        <w:tc>
          <w:tcPr>
            <w:tcW w:w="4517" w:type="dxa"/>
            <w:vAlign w:val="center"/>
          </w:tcPr>
          <w:p>
            <w:pPr>
              <w:snapToGrid w:val="0"/>
              <w:spacing w:line="400" w:lineRule="exact"/>
              <w:rPr>
                <w:rFonts w:ascii="宋体" w:hAnsi="宋体"/>
                <w:sz w:val="24"/>
              </w:rPr>
            </w:pPr>
            <w:r>
              <w:rPr>
                <w:rFonts w:hint="eastAsia" w:ascii="宋体" w:hAnsi="宋体"/>
                <w:sz w:val="24"/>
              </w:rPr>
              <w:t>签约代表：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联系人及电话：</w:t>
            </w:r>
          </w:p>
        </w:tc>
        <w:tc>
          <w:tcPr>
            <w:tcW w:w="4517" w:type="dxa"/>
            <w:vAlign w:val="center"/>
          </w:tcPr>
          <w:p>
            <w:pPr>
              <w:snapToGrid w:val="0"/>
              <w:spacing w:line="400" w:lineRule="exact"/>
              <w:rPr>
                <w:rFonts w:ascii="宋体" w:hAnsi="宋体"/>
                <w:sz w:val="24"/>
              </w:rPr>
            </w:pPr>
            <w:r>
              <w:rPr>
                <w:rFonts w:hint="eastAsia" w:ascii="宋体" w:hAnsi="宋体"/>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电子邮箱：</w:t>
            </w:r>
          </w:p>
        </w:tc>
        <w:tc>
          <w:tcPr>
            <w:tcW w:w="4517" w:type="dxa"/>
            <w:vAlign w:val="center"/>
          </w:tcPr>
          <w:p>
            <w:pPr>
              <w:snapToGrid w:val="0"/>
              <w:spacing w:line="400" w:lineRule="exact"/>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开户银行：</w:t>
            </w:r>
          </w:p>
        </w:tc>
        <w:tc>
          <w:tcPr>
            <w:tcW w:w="4517" w:type="dxa"/>
            <w:vAlign w:val="center"/>
          </w:tcPr>
          <w:p>
            <w:pPr>
              <w:snapToGrid w:val="0"/>
              <w:spacing w:line="400" w:lineRule="exact"/>
              <w:rPr>
                <w:rFonts w:ascii="宋体" w:hAnsi="宋体"/>
                <w:sz w:val="24"/>
              </w:rPr>
            </w:pPr>
            <w:r>
              <w:rPr>
                <w:rFonts w:hint="eastAsia" w:ascii="宋体" w:hAnsi="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账号：</w:t>
            </w:r>
          </w:p>
        </w:tc>
        <w:tc>
          <w:tcPr>
            <w:tcW w:w="4517" w:type="dxa"/>
            <w:vAlign w:val="center"/>
          </w:tcPr>
          <w:p>
            <w:pPr>
              <w:snapToGrid w:val="0"/>
              <w:spacing w:line="400" w:lineRule="exact"/>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邮政编码：</w:t>
            </w:r>
          </w:p>
        </w:tc>
        <w:tc>
          <w:tcPr>
            <w:tcW w:w="4517" w:type="dxa"/>
            <w:vAlign w:val="center"/>
          </w:tcPr>
          <w:p>
            <w:pPr>
              <w:snapToGrid w:val="0"/>
              <w:spacing w:line="400" w:lineRule="exact"/>
              <w:rPr>
                <w:rFonts w:ascii="宋体" w:hAnsi="宋体"/>
                <w:sz w:val="24"/>
              </w:rPr>
            </w:pPr>
            <w:r>
              <w:rPr>
                <w:rFonts w:hint="eastAsia" w:ascii="宋体" w:hAnsi="宋体"/>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sz w:val="24"/>
              </w:rPr>
            </w:pPr>
            <w:r>
              <w:rPr>
                <w:rFonts w:hint="eastAsia" w:ascii="宋体" w:hAnsi="宋体"/>
                <w:sz w:val="24"/>
              </w:rPr>
              <w:t>统一社会信用代码：</w:t>
            </w:r>
          </w:p>
        </w:tc>
        <w:tc>
          <w:tcPr>
            <w:tcW w:w="4517" w:type="dxa"/>
            <w:vAlign w:val="center"/>
          </w:tcPr>
          <w:p>
            <w:pPr>
              <w:snapToGrid w:val="0"/>
              <w:spacing w:line="400" w:lineRule="exact"/>
              <w:rPr>
                <w:rFonts w:ascii="宋体" w:hAnsi="宋体"/>
                <w:sz w:val="24"/>
              </w:rPr>
            </w:pPr>
            <w:r>
              <w:rPr>
                <w:rFonts w:hint="eastAsia" w:ascii="宋体" w:hAnsi="宋体"/>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9033" w:type="dxa"/>
            <w:gridSpan w:val="2"/>
          </w:tcPr>
          <w:p>
            <w:pPr>
              <w:snapToGrid w:val="0"/>
              <w:spacing w:line="400" w:lineRule="exact"/>
              <w:ind w:right="660"/>
              <w:rPr>
                <w:rFonts w:ascii="宋体" w:hAnsi="宋体"/>
                <w:szCs w:val="21"/>
              </w:rPr>
            </w:pPr>
            <w:r>
              <w:rPr>
                <w:rFonts w:hint="eastAsia" w:ascii="宋体" w:hAnsi="宋体"/>
                <w:szCs w:val="21"/>
              </w:rPr>
              <w:t>经办人：                                                        年    月    日</w:t>
            </w:r>
          </w:p>
        </w:tc>
      </w:tr>
    </w:tbl>
    <w:p>
      <w:pPr>
        <w:snapToGrid w:val="0"/>
        <w:ind w:left="420" w:hanging="420" w:hangingChars="200"/>
        <w:rPr>
          <w:rFonts w:ascii="宋体" w:hAnsi="宋体"/>
          <w:szCs w:val="21"/>
        </w:rPr>
      </w:pPr>
    </w:p>
    <w:p>
      <w:pPr>
        <w:snapToGrid w:val="0"/>
        <w:spacing w:line="360" w:lineRule="auto"/>
        <w:jc w:val="center"/>
        <w:rPr>
          <w:rFonts w:ascii="宋体" w:hAnsi="宋体"/>
          <w:b/>
          <w:sz w:val="32"/>
          <w:szCs w:val="32"/>
        </w:rPr>
      </w:pPr>
    </w:p>
    <w:p>
      <w:pPr>
        <w:snapToGrid w:val="0"/>
        <w:spacing w:line="360" w:lineRule="auto"/>
        <w:jc w:val="center"/>
        <w:rPr>
          <w:rFonts w:ascii="宋体" w:hAnsi="宋体"/>
          <w:b/>
          <w:sz w:val="32"/>
          <w:szCs w:val="32"/>
        </w:rPr>
      </w:pPr>
    </w:p>
    <w:p>
      <w:pPr>
        <w:snapToGrid w:val="0"/>
        <w:spacing w:line="360" w:lineRule="auto"/>
        <w:jc w:val="center"/>
        <w:outlineLvl w:val="0"/>
        <w:rPr>
          <w:rFonts w:ascii="宋体" w:hAnsi="宋体"/>
          <w:b/>
          <w:sz w:val="32"/>
          <w:szCs w:val="32"/>
        </w:rPr>
      </w:pPr>
    </w:p>
    <w:p>
      <w:pPr>
        <w:snapToGrid w:val="0"/>
        <w:spacing w:line="360" w:lineRule="auto"/>
        <w:jc w:val="center"/>
        <w:outlineLvl w:val="0"/>
        <w:rPr>
          <w:rFonts w:ascii="宋体"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pStyle w:val="34"/>
        <w:ind w:firstLine="321"/>
        <w:rPr>
          <w:rFonts w:hAnsi="宋体"/>
          <w:b/>
          <w:sz w:val="32"/>
          <w:szCs w:val="32"/>
        </w:rPr>
      </w:pPr>
    </w:p>
    <w:p>
      <w:pPr>
        <w:snapToGrid w:val="0"/>
        <w:spacing w:line="360" w:lineRule="auto"/>
        <w:jc w:val="center"/>
        <w:outlineLvl w:val="0"/>
        <w:rPr>
          <w:rFonts w:ascii="宋体" w:hAnsi="宋体"/>
          <w:b/>
          <w:sz w:val="32"/>
          <w:szCs w:val="32"/>
        </w:rPr>
      </w:pPr>
      <w:r>
        <w:rPr>
          <w:rFonts w:hint="eastAsia" w:ascii="宋体" w:hAnsi="宋体"/>
          <w:b/>
          <w:sz w:val="32"/>
          <w:szCs w:val="32"/>
        </w:rPr>
        <w:t>合 同 附 件</w:t>
      </w:r>
    </w:p>
    <w:p>
      <w:pPr>
        <w:snapToGrid w:val="0"/>
        <w:rPr>
          <w:rFonts w:ascii="宋体" w:hAnsi="宋体"/>
          <w:sz w:val="24"/>
        </w:rPr>
      </w:pPr>
      <w:r>
        <w:rPr>
          <w:rFonts w:hint="eastAsia" w:ascii="宋体" w:hAnsi="宋体"/>
          <w:sz w:val="24"/>
        </w:rPr>
        <w:t>一般货物类</w:t>
      </w:r>
    </w:p>
    <w:tbl>
      <w:tblPr>
        <w:tblStyle w:val="36"/>
        <w:tblW w:w="0" w:type="auto"/>
        <w:jc w:val="center"/>
        <w:tblLayout w:type="fixed"/>
        <w:tblCellMar>
          <w:top w:w="0" w:type="dxa"/>
          <w:left w:w="108" w:type="dxa"/>
          <w:bottom w:w="0" w:type="dxa"/>
          <w:right w:w="108" w:type="dxa"/>
        </w:tblCellMar>
      </w:tblPr>
      <w:tblGrid>
        <w:gridCol w:w="4504"/>
        <w:gridCol w:w="4504"/>
      </w:tblGrid>
      <w:tr>
        <w:tblPrEx>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sz w:val="24"/>
              </w:rPr>
            </w:pPr>
            <w:r>
              <w:rPr>
                <w:rFonts w:hint="eastAsia" w:ascii="宋体" w:hAnsi="宋体"/>
                <w:sz w:val="24"/>
              </w:rPr>
              <w:t>1、供应商承诺具体事项：</w:t>
            </w: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sz w:val="24"/>
              </w:rPr>
            </w:pPr>
            <w:r>
              <w:rPr>
                <w:rFonts w:hint="eastAsia" w:ascii="宋体" w:hAnsi="宋体"/>
                <w:sz w:val="24"/>
              </w:rPr>
              <w:t>2、售后服务具体事项：</w:t>
            </w: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sz w:val="24"/>
              </w:rPr>
            </w:pPr>
            <w:r>
              <w:rPr>
                <w:rFonts w:hint="eastAsia" w:ascii="宋体" w:hAnsi="宋体"/>
                <w:sz w:val="24"/>
              </w:rPr>
              <w:t>3、保修期责任：</w:t>
            </w: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sz w:val="24"/>
              </w:rPr>
            </w:pPr>
            <w:r>
              <w:rPr>
                <w:rFonts w:hint="eastAsia" w:ascii="宋体" w:hAnsi="宋体"/>
                <w:sz w:val="24"/>
              </w:rPr>
              <w:t>4、其他具体事项：</w:t>
            </w: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454" w:hRule="exact"/>
          <w:jc w:val="center"/>
        </w:trPr>
        <w:tc>
          <w:tcPr>
            <w:tcW w:w="9008" w:type="dxa"/>
            <w:gridSpan w:val="2"/>
            <w:tcBorders>
              <w:left w:val="single" w:color="auto" w:sz="4" w:space="0"/>
              <w:bottom w:val="single" w:color="auto" w:sz="4" w:space="0"/>
              <w:right w:val="single" w:color="auto" w:sz="4" w:space="0"/>
            </w:tcBorders>
            <w:vAlign w:val="center"/>
          </w:tcPr>
          <w:p>
            <w:pPr>
              <w:snapToGrid w:val="0"/>
              <w:ind w:firstLine="482"/>
              <w:rPr>
                <w:rFonts w:ascii="宋体" w:hAnsi="宋体"/>
                <w:sz w:val="24"/>
              </w:rPr>
            </w:pPr>
          </w:p>
        </w:tc>
      </w:tr>
      <w:tr>
        <w:tblPrEx>
          <w:tblCellMar>
            <w:top w:w="0" w:type="dxa"/>
            <w:left w:w="108" w:type="dxa"/>
            <w:bottom w:w="0" w:type="dxa"/>
            <w:right w:w="108" w:type="dxa"/>
          </w:tblCellMar>
        </w:tblPrEx>
        <w:trPr>
          <w:trHeight w:val="2577" w:hRule="atLeast"/>
          <w:jc w:val="center"/>
        </w:trPr>
        <w:tc>
          <w:tcPr>
            <w:tcW w:w="4504"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sz w:val="24"/>
              </w:rPr>
            </w:pPr>
            <w:r>
              <w:rPr>
                <w:rFonts w:hint="eastAsia" w:ascii="宋体" w:hAnsi="宋体"/>
                <w:sz w:val="24"/>
              </w:rPr>
              <w:t>甲方（章）</w:t>
            </w: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r>
              <w:rPr>
                <w:rFonts w:hint="eastAsia" w:ascii="宋体" w:hAnsi="宋体"/>
                <w:sz w:val="24"/>
              </w:rPr>
              <w:t xml:space="preserve">                 年   月   日 </w:t>
            </w:r>
          </w:p>
        </w:tc>
        <w:tc>
          <w:tcPr>
            <w:tcW w:w="4504"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sz w:val="24"/>
              </w:rPr>
            </w:pPr>
            <w:r>
              <w:rPr>
                <w:rFonts w:hint="eastAsia" w:ascii="宋体" w:hAnsi="宋体"/>
                <w:sz w:val="24"/>
              </w:rPr>
              <w:t>乙方（章）</w:t>
            </w: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p>
          <w:p>
            <w:pPr>
              <w:snapToGrid w:val="0"/>
              <w:ind w:firstLine="482"/>
              <w:rPr>
                <w:rFonts w:ascii="宋体" w:hAnsi="宋体"/>
                <w:sz w:val="24"/>
              </w:rPr>
            </w:pPr>
            <w:r>
              <w:rPr>
                <w:rFonts w:hint="eastAsia" w:ascii="宋体" w:hAnsi="宋体"/>
                <w:sz w:val="24"/>
              </w:rPr>
              <w:t xml:space="preserve">                年   月   日</w:t>
            </w:r>
          </w:p>
        </w:tc>
      </w:tr>
    </w:tbl>
    <w:p>
      <w:pPr>
        <w:snapToGrid w:val="0"/>
        <w:rPr>
          <w:rFonts w:ascii="宋体" w:hAnsi="宋体"/>
          <w:szCs w:val="21"/>
        </w:rPr>
      </w:pPr>
      <w:r>
        <w:rPr>
          <w:rFonts w:hint="eastAsia" w:ascii="宋体" w:hAnsi="宋体"/>
          <w:szCs w:val="21"/>
        </w:rPr>
        <w:t xml:space="preserve"> 注：售后服务事项填不下时可另加附页</w:t>
      </w:r>
    </w:p>
    <w:p>
      <w:pPr>
        <w:rPr>
          <w:rFonts w:ascii="宋体" w:hAnsi="宋体"/>
          <w:szCs w:val="21"/>
        </w:rPr>
      </w:pPr>
    </w:p>
    <w:p>
      <w:pPr>
        <w:rPr>
          <w:rFonts w:ascii="宋体" w:hAnsi="宋体"/>
          <w:sz w:val="28"/>
          <w:szCs w:val="28"/>
        </w:rPr>
      </w:pPr>
    </w:p>
    <w:p>
      <w:pPr>
        <w:rPr>
          <w:rFonts w:ascii="宋体" w:hAnsi="宋体"/>
          <w:sz w:val="28"/>
          <w:szCs w:val="28"/>
        </w:rPr>
      </w:pPr>
    </w:p>
    <w:sectPr>
      <w:pgSz w:w="11906" w:h="16838"/>
      <w:pgMar w:top="850" w:right="850" w:bottom="850" w:left="850"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jc w:val="center"/>
      <w:rPr>
        <w:rStyle w:val="40"/>
      </w:rPr>
    </w:pPr>
    <w:r>
      <w:fldChar w:fldCharType="begin"/>
    </w:r>
    <w:r>
      <w:rPr>
        <w:rStyle w:val="40"/>
      </w:rPr>
      <w:instrText xml:space="preserve">PAGE  </w:instrText>
    </w:r>
    <w:r>
      <w:fldChar w:fldCharType="separate"/>
    </w:r>
    <w:r>
      <w:rPr>
        <w:rStyle w:val="40"/>
      </w:rPr>
      <w:t>20</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lvlText w:val="%1"/>
      <w:lvlJc w:val="left"/>
      <w:pPr>
        <w:tabs>
          <w:tab w:val="left" w:pos="425"/>
        </w:tabs>
        <w:ind w:left="425" w:hanging="425"/>
      </w:pPr>
      <w:rPr>
        <w:rFonts w:hint="default"/>
      </w:rPr>
    </w:lvl>
  </w:abstractNum>
  <w:abstractNum w:abstractNumId="1">
    <w:nsid w:val="0000000C"/>
    <w:multiLevelType w:val="multilevel"/>
    <w:tmpl w:val="000000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D"/>
    <w:multiLevelType w:val="singleLevel"/>
    <w:tmpl w:val="0000000D"/>
    <w:lvl w:ilvl="0" w:tentative="0">
      <w:start w:val="1"/>
      <w:numFmt w:val="decimal"/>
      <w:lvlText w:val="%1"/>
      <w:lvlJc w:val="left"/>
      <w:pPr>
        <w:tabs>
          <w:tab w:val="left" w:pos="425"/>
        </w:tabs>
        <w:ind w:left="425" w:hanging="425"/>
      </w:pPr>
      <w:rPr>
        <w:rFonts w:hint="default"/>
      </w:rPr>
    </w:lvl>
  </w:abstractNum>
  <w:abstractNum w:abstractNumId="3">
    <w:nsid w:val="42CC4597"/>
    <w:multiLevelType w:val="multilevel"/>
    <w:tmpl w:val="42CC459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D7"/>
    <w:rsid w:val="00000A20"/>
    <w:rsid w:val="000047E9"/>
    <w:rsid w:val="00005551"/>
    <w:rsid w:val="000074A6"/>
    <w:rsid w:val="000112BE"/>
    <w:rsid w:val="00014617"/>
    <w:rsid w:val="00014AF3"/>
    <w:rsid w:val="00014B11"/>
    <w:rsid w:val="00014F98"/>
    <w:rsid w:val="00015ADE"/>
    <w:rsid w:val="00017EE0"/>
    <w:rsid w:val="0002071F"/>
    <w:rsid w:val="00020DB0"/>
    <w:rsid w:val="00021EE3"/>
    <w:rsid w:val="00022545"/>
    <w:rsid w:val="00022D34"/>
    <w:rsid w:val="0002312F"/>
    <w:rsid w:val="00023995"/>
    <w:rsid w:val="00023C95"/>
    <w:rsid w:val="000243E9"/>
    <w:rsid w:val="000248D8"/>
    <w:rsid w:val="00024D1D"/>
    <w:rsid w:val="00026AAD"/>
    <w:rsid w:val="000301E6"/>
    <w:rsid w:val="00031769"/>
    <w:rsid w:val="000318DD"/>
    <w:rsid w:val="00031B55"/>
    <w:rsid w:val="00033844"/>
    <w:rsid w:val="00034827"/>
    <w:rsid w:val="0003583E"/>
    <w:rsid w:val="0003586A"/>
    <w:rsid w:val="0003780E"/>
    <w:rsid w:val="00037AB3"/>
    <w:rsid w:val="00037CE7"/>
    <w:rsid w:val="00040A09"/>
    <w:rsid w:val="000426C5"/>
    <w:rsid w:val="000428B7"/>
    <w:rsid w:val="000449BD"/>
    <w:rsid w:val="00046CFA"/>
    <w:rsid w:val="00047B43"/>
    <w:rsid w:val="00050381"/>
    <w:rsid w:val="00050B60"/>
    <w:rsid w:val="00051881"/>
    <w:rsid w:val="00051D5A"/>
    <w:rsid w:val="00051E19"/>
    <w:rsid w:val="00051F17"/>
    <w:rsid w:val="000529C8"/>
    <w:rsid w:val="00054169"/>
    <w:rsid w:val="000549A2"/>
    <w:rsid w:val="00054B65"/>
    <w:rsid w:val="00054F7E"/>
    <w:rsid w:val="00056B40"/>
    <w:rsid w:val="00057D60"/>
    <w:rsid w:val="00060F2A"/>
    <w:rsid w:val="00062450"/>
    <w:rsid w:val="00063AAE"/>
    <w:rsid w:val="00063C4D"/>
    <w:rsid w:val="00064380"/>
    <w:rsid w:val="0006607E"/>
    <w:rsid w:val="000666E5"/>
    <w:rsid w:val="00066F7B"/>
    <w:rsid w:val="000674CF"/>
    <w:rsid w:val="000702E6"/>
    <w:rsid w:val="000709C2"/>
    <w:rsid w:val="00070C70"/>
    <w:rsid w:val="00071364"/>
    <w:rsid w:val="00071ADB"/>
    <w:rsid w:val="00071C4E"/>
    <w:rsid w:val="00072DBD"/>
    <w:rsid w:val="00072F95"/>
    <w:rsid w:val="000736F5"/>
    <w:rsid w:val="00073E70"/>
    <w:rsid w:val="000742D2"/>
    <w:rsid w:val="00074B34"/>
    <w:rsid w:val="0007537E"/>
    <w:rsid w:val="00075AD0"/>
    <w:rsid w:val="000760E0"/>
    <w:rsid w:val="000761AF"/>
    <w:rsid w:val="00076885"/>
    <w:rsid w:val="00076A45"/>
    <w:rsid w:val="00077F90"/>
    <w:rsid w:val="00080423"/>
    <w:rsid w:val="00081F23"/>
    <w:rsid w:val="00083DAA"/>
    <w:rsid w:val="00084500"/>
    <w:rsid w:val="00084B3D"/>
    <w:rsid w:val="00084DB5"/>
    <w:rsid w:val="00084DDD"/>
    <w:rsid w:val="000851E5"/>
    <w:rsid w:val="00085638"/>
    <w:rsid w:val="000869F7"/>
    <w:rsid w:val="00086B89"/>
    <w:rsid w:val="00086F41"/>
    <w:rsid w:val="00087AC2"/>
    <w:rsid w:val="00087CB5"/>
    <w:rsid w:val="00090E4A"/>
    <w:rsid w:val="000910D3"/>
    <w:rsid w:val="000917F6"/>
    <w:rsid w:val="00091C20"/>
    <w:rsid w:val="00091C74"/>
    <w:rsid w:val="00091CC8"/>
    <w:rsid w:val="00091FE1"/>
    <w:rsid w:val="0009201F"/>
    <w:rsid w:val="00092473"/>
    <w:rsid w:val="00092BA8"/>
    <w:rsid w:val="0009354F"/>
    <w:rsid w:val="0009452D"/>
    <w:rsid w:val="000945DF"/>
    <w:rsid w:val="00094931"/>
    <w:rsid w:val="00095B0F"/>
    <w:rsid w:val="00095CD2"/>
    <w:rsid w:val="00096716"/>
    <w:rsid w:val="000A0C14"/>
    <w:rsid w:val="000A0C44"/>
    <w:rsid w:val="000A1B0C"/>
    <w:rsid w:val="000A2560"/>
    <w:rsid w:val="000A2D1F"/>
    <w:rsid w:val="000A4667"/>
    <w:rsid w:val="000A544A"/>
    <w:rsid w:val="000A64EC"/>
    <w:rsid w:val="000A76CA"/>
    <w:rsid w:val="000A7AB0"/>
    <w:rsid w:val="000B04F2"/>
    <w:rsid w:val="000B0BDE"/>
    <w:rsid w:val="000B2396"/>
    <w:rsid w:val="000B351F"/>
    <w:rsid w:val="000B3909"/>
    <w:rsid w:val="000B3FE3"/>
    <w:rsid w:val="000B52D8"/>
    <w:rsid w:val="000B6A77"/>
    <w:rsid w:val="000B6FED"/>
    <w:rsid w:val="000B7346"/>
    <w:rsid w:val="000C084A"/>
    <w:rsid w:val="000C1809"/>
    <w:rsid w:val="000C2B9B"/>
    <w:rsid w:val="000C2C35"/>
    <w:rsid w:val="000C4901"/>
    <w:rsid w:val="000C5341"/>
    <w:rsid w:val="000C5A96"/>
    <w:rsid w:val="000D1805"/>
    <w:rsid w:val="000D29DC"/>
    <w:rsid w:val="000D3BC1"/>
    <w:rsid w:val="000D42EE"/>
    <w:rsid w:val="000D4669"/>
    <w:rsid w:val="000D4AA8"/>
    <w:rsid w:val="000D4BA8"/>
    <w:rsid w:val="000D4CD9"/>
    <w:rsid w:val="000D502E"/>
    <w:rsid w:val="000D5351"/>
    <w:rsid w:val="000D59B1"/>
    <w:rsid w:val="000D63EB"/>
    <w:rsid w:val="000D6803"/>
    <w:rsid w:val="000D6FF7"/>
    <w:rsid w:val="000D7612"/>
    <w:rsid w:val="000D76B7"/>
    <w:rsid w:val="000D7FCA"/>
    <w:rsid w:val="000E0E85"/>
    <w:rsid w:val="000E4398"/>
    <w:rsid w:val="000E5FCD"/>
    <w:rsid w:val="000E6FB7"/>
    <w:rsid w:val="000E7988"/>
    <w:rsid w:val="000E7EC9"/>
    <w:rsid w:val="000F12D2"/>
    <w:rsid w:val="000F13EA"/>
    <w:rsid w:val="000F1931"/>
    <w:rsid w:val="000F1AED"/>
    <w:rsid w:val="000F395E"/>
    <w:rsid w:val="000F399E"/>
    <w:rsid w:val="000F3F28"/>
    <w:rsid w:val="000F4854"/>
    <w:rsid w:val="000F4FE8"/>
    <w:rsid w:val="000F51D0"/>
    <w:rsid w:val="000F6AE7"/>
    <w:rsid w:val="001018EB"/>
    <w:rsid w:val="00101A09"/>
    <w:rsid w:val="00101B1A"/>
    <w:rsid w:val="00101C74"/>
    <w:rsid w:val="00102E23"/>
    <w:rsid w:val="00103A61"/>
    <w:rsid w:val="00103E40"/>
    <w:rsid w:val="00105CE9"/>
    <w:rsid w:val="001066BF"/>
    <w:rsid w:val="00107673"/>
    <w:rsid w:val="00112B85"/>
    <w:rsid w:val="00113231"/>
    <w:rsid w:val="001139C3"/>
    <w:rsid w:val="00115490"/>
    <w:rsid w:val="001160C0"/>
    <w:rsid w:val="001210F4"/>
    <w:rsid w:val="00123050"/>
    <w:rsid w:val="0012387D"/>
    <w:rsid w:val="00123B92"/>
    <w:rsid w:val="001243ED"/>
    <w:rsid w:val="00124F98"/>
    <w:rsid w:val="001257B9"/>
    <w:rsid w:val="00125C95"/>
    <w:rsid w:val="00126FD4"/>
    <w:rsid w:val="00127418"/>
    <w:rsid w:val="001278FF"/>
    <w:rsid w:val="001304B2"/>
    <w:rsid w:val="00130B25"/>
    <w:rsid w:val="00130E52"/>
    <w:rsid w:val="00131E8C"/>
    <w:rsid w:val="0013473C"/>
    <w:rsid w:val="00134FC0"/>
    <w:rsid w:val="0013531D"/>
    <w:rsid w:val="00137DD8"/>
    <w:rsid w:val="00141306"/>
    <w:rsid w:val="00141D1E"/>
    <w:rsid w:val="0014206C"/>
    <w:rsid w:val="001445B2"/>
    <w:rsid w:val="00146D30"/>
    <w:rsid w:val="00146F64"/>
    <w:rsid w:val="00147D30"/>
    <w:rsid w:val="00147E37"/>
    <w:rsid w:val="001505A3"/>
    <w:rsid w:val="00150E56"/>
    <w:rsid w:val="0015285B"/>
    <w:rsid w:val="00153056"/>
    <w:rsid w:val="00155604"/>
    <w:rsid w:val="0015598A"/>
    <w:rsid w:val="00155E90"/>
    <w:rsid w:val="00155E95"/>
    <w:rsid w:val="00157AE5"/>
    <w:rsid w:val="00157E58"/>
    <w:rsid w:val="00160BB2"/>
    <w:rsid w:val="0016248C"/>
    <w:rsid w:val="001631E8"/>
    <w:rsid w:val="001634AC"/>
    <w:rsid w:val="00164797"/>
    <w:rsid w:val="00164F53"/>
    <w:rsid w:val="00167939"/>
    <w:rsid w:val="001707D2"/>
    <w:rsid w:val="0017160E"/>
    <w:rsid w:val="00171D0E"/>
    <w:rsid w:val="00171EE0"/>
    <w:rsid w:val="001734F6"/>
    <w:rsid w:val="00174041"/>
    <w:rsid w:val="00174CCC"/>
    <w:rsid w:val="0017579F"/>
    <w:rsid w:val="001765DB"/>
    <w:rsid w:val="00180652"/>
    <w:rsid w:val="00180AF5"/>
    <w:rsid w:val="00181C13"/>
    <w:rsid w:val="00182090"/>
    <w:rsid w:val="001843A4"/>
    <w:rsid w:val="00185EF7"/>
    <w:rsid w:val="00193E3F"/>
    <w:rsid w:val="00193E9A"/>
    <w:rsid w:val="00194A5B"/>
    <w:rsid w:val="0019602D"/>
    <w:rsid w:val="0019635D"/>
    <w:rsid w:val="00196CAD"/>
    <w:rsid w:val="00197AA0"/>
    <w:rsid w:val="00197B09"/>
    <w:rsid w:val="00197C90"/>
    <w:rsid w:val="001A0601"/>
    <w:rsid w:val="001A0D5E"/>
    <w:rsid w:val="001A12B3"/>
    <w:rsid w:val="001A2F71"/>
    <w:rsid w:val="001A48B4"/>
    <w:rsid w:val="001A4986"/>
    <w:rsid w:val="001A51F6"/>
    <w:rsid w:val="001A5A52"/>
    <w:rsid w:val="001A65F3"/>
    <w:rsid w:val="001A70F2"/>
    <w:rsid w:val="001A77B5"/>
    <w:rsid w:val="001A7A6C"/>
    <w:rsid w:val="001B0CAA"/>
    <w:rsid w:val="001B14AC"/>
    <w:rsid w:val="001B257E"/>
    <w:rsid w:val="001B2C53"/>
    <w:rsid w:val="001B4687"/>
    <w:rsid w:val="001B56C0"/>
    <w:rsid w:val="001B62B0"/>
    <w:rsid w:val="001B7C82"/>
    <w:rsid w:val="001B7CCB"/>
    <w:rsid w:val="001C01B0"/>
    <w:rsid w:val="001C0600"/>
    <w:rsid w:val="001C1104"/>
    <w:rsid w:val="001C2B77"/>
    <w:rsid w:val="001C514E"/>
    <w:rsid w:val="001C5FD9"/>
    <w:rsid w:val="001C6573"/>
    <w:rsid w:val="001C6882"/>
    <w:rsid w:val="001C6C6C"/>
    <w:rsid w:val="001C6EC5"/>
    <w:rsid w:val="001C7BE2"/>
    <w:rsid w:val="001D1F2F"/>
    <w:rsid w:val="001D2630"/>
    <w:rsid w:val="001D28C6"/>
    <w:rsid w:val="001D39C6"/>
    <w:rsid w:val="001D3F48"/>
    <w:rsid w:val="001D52CD"/>
    <w:rsid w:val="001D62EA"/>
    <w:rsid w:val="001D7B14"/>
    <w:rsid w:val="001E0A9D"/>
    <w:rsid w:val="001E1D14"/>
    <w:rsid w:val="001E1DAF"/>
    <w:rsid w:val="001E1DD3"/>
    <w:rsid w:val="001E29F6"/>
    <w:rsid w:val="001E36E0"/>
    <w:rsid w:val="001E5072"/>
    <w:rsid w:val="001E56A6"/>
    <w:rsid w:val="001E6356"/>
    <w:rsid w:val="001E68B9"/>
    <w:rsid w:val="001E7FD6"/>
    <w:rsid w:val="001F1BC6"/>
    <w:rsid w:val="001F356F"/>
    <w:rsid w:val="001F5165"/>
    <w:rsid w:val="001F518C"/>
    <w:rsid w:val="001F542F"/>
    <w:rsid w:val="001F5F8E"/>
    <w:rsid w:val="001F61AA"/>
    <w:rsid w:val="001F629B"/>
    <w:rsid w:val="001F74B2"/>
    <w:rsid w:val="00200482"/>
    <w:rsid w:val="00201FED"/>
    <w:rsid w:val="002032A0"/>
    <w:rsid w:val="00204623"/>
    <w:rsid w:val="00205398"/>
    <w:rsid w:val="00205A3A"/>
    <w:rsid w:val="00205D65"/>
    <w:rsid w:val="00206C21"/>
    <w:rsid w:val="0020747E"/>
    <w:rsid w:val="0020748C"/>
    <w:rsid w:val="002125AA"/>
    <w:rsid w:val="00213B0B"/>
    <w:rsid w:val="00213D75"/>
    <w:rsid w:val="00215B7E"/>
    <w:rsid w:val="00216D64"/>
    <w:rsid w:val="00216E6A"/>
    <w:rsid w:val="00217548"/>
    <w:rsid w:val="002204CB"/>
    <w:rsid w:val="00220797"/>
    <w:rsid w:val="00220F9A"/>
    <w:rsid w:val="00221463"/>
    <w:rsid w:val="002237FD"/>
    <w:rsid w:val="00223BE2"/>
    <w:rsid w:val="00223CAB"/>
    <w:rsid w:val="00224E04"/>
    <w:rsid w:val="00225662"/>
    <w:rsid w:val="002256D5"/>
    <w:rsid w:val="00226A17"/>
    <w:rsid w:val="002274F0"/>
    <w:rsid w:val="0023078E"/>
    <w:rsid w:val="002309E7"/>
    <w:rsid w:val="00230D66"/>
    <w:rsid w:val="0023108C"/>
    <w:rsid w:val="00231A73"/>
    <w:rsid w:val="0023266A"/>
    <w:rsid w:val="002327AB"/>
    <w:rsid w:val="00233DC3"/>
    <w:rsid w:val="00234A73"/>
    <w:rsid w:val="00235189"/>
    <w:rsid w:val="00235924"/>
    <w:rsid w:val="00235FC9"/>
    <w:rsid w:val="002365FC"/>
    <w:rsid w:val="002401B7"/>
    <w:rsid w:val="00241017"/>
    <w:rsid w:val="0024415B"/>
    <w:rsid w:val="0024416C"/>
    <w:rsid w:val="0024485B"/>
    <w:rsid w:val="00244C02"/>
    <w:rsid w:val="002460C4"/>
    <w:rsid w:val="0024649C"/>
    <w:rsid w:val="002464E8"/>
    <w:rsid w:val="0024668F"/>
    <w:rsid w:val="00246F1A"/>
    <w:rsid w:val="002478E1"/>
    <w:rsid w:val="00250EE2"/>
    <w:rsid w:val="002513D1"/>
    <w:rsid w:val="00253400"/>
    <w:rsid w:val="00254076"/>
    <w:rsid w:val="00254DDF"/>
    <w:rsid w:val="00255170"/>
    <w:rsid w:val="00255190"/>
    <w:rsid w:val="002553F1"/>
    <w:rsid w:val="00256019"/>
    <w:rsid w:val="0025741D"/>
    <w:rsid w:val="002577C7"/>
    <w:rsid w:val="002606C5"/>
    <w:rsid w:val="002611CD"/>
    <w:rsid w:val="0026199E"/>
    <w:rsid w:val="00261BE7"/>
    <w:rsid w:val="00261F33"/>
    <w:rsid w:val="00263B09"/>
    <w:rsid w:val="00263CD8"/>
    <w:rsid w:val="00264359"/>
    <w:rsid w:val="00264962"/>
    <w:rsid w:val="0026517B"/>
    <w:rsid w:val="00267221"/>
    <w:rsid w:val="00267B47"/>
    <w:rsid w:val="00270CC6"/>
    <w:rsid w:val="00271C5A"/>
    <w:rsid w:val="00271D64"/>
    <w:rsid w:val="0027439E"/>
    <w:rsid w:val="002748C2"/>
    <w:rsid w:val="00280BE8"/>
    <w:rsid w:val="0028178A"/>
    <w:rsid w:val="00282E6C"/>
    <w:rsid w:val="002830C3"/>
    <w:rsid w:val="00283883"/>
    <w:rsid w:val="00283F54"/>
    <w:rsid w:val="00284646"/>
    <w:rsid w:val="002919D5"/>
    <w:rsid w:val="00291CF6"/>
    <w:rsid w:val="00293A02"/>
    <w:rsid w:val="00293E78"/>
    <w:rsid w:val="002940E2"/>
    <w:rsid w:val="00295E83"/>
    <w:rsid w:val="00296A8E"/>
    <w:rsid w:val="002971F2"/>
    <w:rsid w:val="002975C8"/>
    <w:rsid w:val="002A0F51"/>
    <w:rsid w:val="002A1310"/>
    <w:rsid w:val="002A1351"/>
    <w:rsid w:val="002A16D1"/>
    <w:rsid w:val="002A2BEB"/>
    <w:rsid w:val="002A4383"/>
    <w:rsid w:val="002A46E6"/>
    <w:rsid w:val="002A4F8D"/>
    <w:rsid w:val="002A6B23"/>
    <w:rsid w:val="002A6FCA"/>
    <w:rsid w:val="002A759C"/>
    <w:rsid w:val="002A7AF3"/>
    <w:rsid w:val="002B0FA3"/>
    <w:rsid w:val="002B1F2A"/>
    <w:rsid w:val="002B2768"/>
    <w:rsid w:val="002B2D4B"/>
    <w:rsid w:val="002B2FA8"/>
    <w:rsid w:val="002B35DF"/>
    <w:rsid w:val="002B406A"/>
    <w:rsid w:val="002B533A"/>
    <w:rsid w:val="002B598B"/>
    <w:rsid w:val="002B747A"/>
    <w:rsid w:val="002B7781"/>
    <w:rsid w:val="002C0D04"/>
    <w:rsid w:val="002C1273"/>
    <w:rsid w:val="002C12BB"/>
    <w:rsid w:val="002C219D"/>
    <w:rsid w:val="002C39D3"/>
    <w:rsid w:val="002C4B12"/>
    <w:rsid w:val="002C4EC9"/>
    <w:rsid w:val="002C64EB"/>
    <w:rsid w:val="002D00EB"/>
    <w:rsid w:val="002D014B"/>
    <w:rsid w:val="002D0AE7"/>
    <w:rsid w:val="002D0FC8"/>
    <w:rsid w:val="002D1069"/>
    <w:rsid w:val="002D1B8B"/>
    <w:rsid w:val="002D26F2"/>
    <w:rsid w:val="002D4381"/>
    <w:rsid w:val="002D59D8"/>
    <w:rsid w:val="002D6C40"/>
    <w:rsid w:val="002D6D28"/>
    <w:rsid w:val="002D720D"/>
    <w:rsid w:val="002D7412"/>
    <w:rsid w:val="002D7741"/>
    <w:rsid w:val="002D7A0E"/>
    <w:rsid w:val="002E0441"/>
    <w:rsid w:val="002E1F1E"/>
    <w:rsid w:val="002E219C"/>
    <w:rsid w:val="002E2F4A"/>
    <w:rsid w:val="002E3352"/>
    <w:rsid w:val="002E367A"/>
    <w:rsid w:val="002E3806"/>
    <w:rsid w:val="002E383F"/>
    <w:rsid w:val="002E38B0"/>
    <w:rsid w:val="002E3983"/>
    <w:rsid w:val="002E3AEC"/>
    <w:rsid w:val="002E5462"/>
    <w:rsid w:val="002E5626"/>
    <w:rsid w:val="002E639F"/>
    <w:rsid w:val="002E726A"/>
    <w:rsid w:val="002E74F0"/>
    <w:rsid w:val="002F04FC"/>
    <w:rsid w:val="002F0980"/>
    <w:rsid w:val="002F289F"/>
    <w:rsid w:val="002F292D"/>
    <w:rsid w:val="002F2EBD"/>
    <w:rsid w:val="002F3451"/>
    <w:rsid w:val="002F3D87"/>
    <w:rsid w:val="002F4B7A"/>
    <w:rsid w:val="002F4CD7"/>
    <w:rsid w:val="002F5BA0"/>
    <w:rsid w:val="002F792B"/>
    <w:rsid w:val="002F7CA4"/>
    <w:rsid w:val="0030068A"/>
    <w:rsid w:val="00300B08"/>
    <w:rsid w:val="00300F75"/>
    <w:rsid w:val="00301E61"/>
    <w:rsid w:val="00302A74"/>
    <w:rsid w:val="00302BA1"/>
    <w:rsid w:val="00304182"/>
    <w:rsid w:val="00304B2F"/>
    <w:rsid w:val="003123A1"/>
    <w:rsid w:val="00312BF6"/>
    <w:rsid w:val="00312D6C"/>
    <w:rsid w:val="00312FE4"/>
    <w:rsid w:val="003146FC"/>
    <w:rsid w:val="00314FE8"/>
    <w:rsid w:val="003152B7"/>
    <w:rsid w:val="00315EF4"/>
    <w:rsid w:val="00316104"/>
    <w:rsid w:val="0032039D"/>
    <w:rsid w:val="003207A3"/>
    <w:rsid w:val="00321901"/>
    <w:rsid w:val="00321C3C"/>
    <w:rsid w:val="00321C73"/>
    <w:rsid w:val="00322828"/>
    <w:rsid w:val="00323F5D"/>
    <w:rsid w:val="003246D4"/>
    <w:rsid w:val="003249E4"/>
    <w:rsid w:val="00325B66"/>
    <w:rsid w:val="0032654E"/>
    <w:rsid w:val="003274B6"/>
    <w:rsid w:val="00330861"/>
    <w:rsid w:val="003319DA"/>
    <w:rsid w:val="003320E4"/>
    <w:rsid w:val="00332A49"/>
    <w:rsid w:val="00332AC6"/>
    <w:rsid w:val="0033375E"/>
    <w:rsid w:val="003337F6"/>
    <w:rsid w:val="00333ED4"/>
    <w:rsid w:val="0033454F"/>
    <w:rsid w:val="003346FC"/>
    <w:rsid w:val="003350E6"/>
    <w:rsid w:val="0033511F"/>
    <w:rsid w:val="00335803"/>
    <w:rsid w:val="00335C99"/>
    <w:rsid w:val="003361A8"/>
    <w:rsid w:val="00336AE5"/>
    <w:rsid w:val="00336DAF"/>
    <w:rsid w:val="003373C5"/>
    <w:rsid w:val="00337DF9"/>
    <w:rsid w:val="00337F46"/>
    <w:rsid w:val="00343B5E"/>
    <w:rsid w:val="0034463B"/>
    <w:rsid w:val="003446E7"/>
    <w:rsid w:val="003447AC"/>
    <w:rsid w:val="00344CCE"/>
    <w:rsid w:val="00344EF7"/>
    <w:rsid w:val="00345FDF"/>
    <w:rsid w:val="003465A9"/>
    <w:rsid w:val="00346630"/>
    <w:rsid w:val="003475FC"/>
    <w:rsid w:val="00347828"/>
    <w:rsid w:val="00350991"/>
    <w:rsid w:val="0035184D"/>
    <w:rsid w:val="00351BC3"/>
    <w:rsid w:val="00352F74"/>
    <w:rsid w:val="00353656"/>
    <w:rsid w:val="003537FF"/>
    <w:rsid w:val="00354218"/>
    <w:rsid w:val="00354D44"/>
    <w:rsid w:val="003568F7"/>
    <w:rsid w:val="00356A0C"/>
    <w:rsid w:val="00357356"/>
    <w:rsid w:val="003605C5"/>
    <w:rsid w:val="00362278"/>
    <w:rsid w:val="00362DEC"/>
    <w:rsid w:val="00363205"/>
    <w:rsid w:val="00363BC4"/>
    <w:rsid w:val="0036459A"/>
    <w:rsid w:val="003645A4"/>
    <w:rsid w:val="0036607C"/>
    <w:rsid w:val="0036613D"/>
    <w:rsid w:val="003670AA"/>
    <w:rsid w:val="00371069"/>
    <w:rsid w:val="003712B2"/>
    <w:rsid w:val="00372038"/>
    <w:rsid w:val="003728D2"/>
    <w:rsid w:val="00372D92"/>
    <w:rsid w:val="0037352D"/>
    <w:rsid w:val="003735BE"/>
    <w:rsid w:val="0037392C"/>
    <w:rsid w:val="00373CC5"/>
    <w:rsid w:val="0037567D"/>
    <w:rsid w:val="003765DA"/>
    <w:rsid w:val="00376C87"/>
    <w:rsid w:val="00377AFC"/>
    <w:rsid w:val="0038017D"/>
    <w:rsid w:val="00380AC7"/>
    <w:rsid w:val="003811B5"/>
    <w:rsid w:val="00382432"/>
    <w:rsid w:val="003836C8"/>
    <w:rsid w:val="0038391A"/>
    <w:rsid w:val="00384390"/>
    <w:rsid w:val="00385C1A"/>
    <w:rsid w:val="00385D9E"/>
    <w:rsid w:val="003905F9"/>
    <w:rsid w:val="00390CFE"/>
    <w:rsid w:val="00391EC0"/>
    <w:rsid w:val="003926CA"/>
    <w:rsid w:val="003927CD"/>
    <w:rsid w:val="00393B4D"/>
    <w:rsid w:val="0039449F"/>
    <w:rsid w:val="0039459E"/>
    <w:rsid w:val="00394D32"/>
    <w:rsid w:val="00397A84"/>
    <w:rsid w:val="00397E82"/>
    <w:rsid w:val="003A22A1"/>
    <w:rsid w:val="003A28F2"/>
    <w:rsid w:val="003A36CF"/>
    <w:rsid w:val="003A3868"/>
    <w:rsid w:val="003A3DDF"/>
    <w:rsid w:val="003A4E37"/>
    <w:rsid w:val="003A4E75"/>
    <w:rsid w:val="003A5E38"/>
    <w:rsid w:val="003A60BB"/>
    <w:rsid w:val="003A69CA"/>
    <w:rsid w:val="003A7A77"/>
    <w:rsid w:val="003B0F16"/>
    <w:rsid w:val="003B239A"/>
    <w:rsid w:val="003B2D3D"/>
    <w:rsid w:val="003B3158"/>
    <w:rsid w:val="003B3896"/>
    <w:rsid w:val="003B7346"/>
    <w:rsid w:val="003B7A81"/>
    <w:rsid w:val="003C0C7D"/>
    <w:rsid w:val="003C0EE4"/>
    <w:rsid w:val="003C229E"/>
    <w:rsid w:val="003D1035"/>
    <w:rsid w:val="003D3566"/>
    <w:rsid w:val="003D48E6"/>
    <w:rsid w:val="003D4D26"/>
    <w:rsid w:val="003D4ECE"/>
    <w:rsid w:val="003D64F4"/>
    <w:rsid w:val="003D6981"/>
    <w:rsid w:val="003D6F8A"/>
    <w:rsid w:val="003D74AF"/>
    <w:rsid w:val="003D7627"/>
    <w:rsid w:val="003D7F6D"/>
    <w:rsid w:val="003E075E"/>
    <w:rsid w:val="003E138E"/>
    <w:rsid w:val="003E1B37"/>
    <w:rsid w:val="003E2775"/>
    <w:rsid w:val="003E2DE8"/>
    <w:rsid w:val="003E4B98"/>
    <w:rsid w:val="003E5F5E"/>
    <w:rsid w:val="003E61D0"/>
    <w:rsid w:val="003E6D14"/>
    <w:rsid w:val="003E6F91"/>
    <w:rsid w:val="003E7471"/>
    <w:rsid w:val="003F1357"/>
    <w:rsid w:val="003F1AA4"/>
    <w:rsid w:val="003F1AEA"/>
    <w:rsid w:val="003F22C3"/>
    <w:rsid w:val="003F2D76"/>
    <w:rsid w:val="003F33F4"/>
    <w:rsid w:val="003F3894"/>
    <w:rsid w:val="003F427C"/>
    <w:rsid w:val="003F4A4D"/>
    <w:rsid w:val="003F4B97"/>
    <w:rsid w:val="003F531B"/>
    <w:rsid w:val="003F566F"/>
    <w:rsid w:val="00400488"/>
    <w:rsid w:val="004004F3"/>
    <w:rsid w:val="004015DB"/>
    <w:rsid w:val="00401B9A"/>
    <w:rsid w:val="004024AF"/>
    <w:rsid w:val="00402DE5"/>
    <w:rsid w:val="00403E5A"/>
    <w:rsid w:val="004051BD"/>
    <w:rsid w:val="00407460"/>
    <w:rsid w:val="00407895"/>
    <w:rsid w:val="00410C5E"/>
    <w:rsid w:val="00411A52"/>
    <w:rsid w:val="00412303"/>
    <w:rsid w:val="0041582E"/>
    <w:rsid w:val="004159BD"/>
    <w:rsid w:val="00415C72"/>
    <w:rsid w:val="00416824"/>
    <w:rsid w:val="00416C4A"/>
    <w:rsid w:val="004175A7"/>
    <w:rsid w:val="004175D8"/>
    <w:rsid w:val="00420265"/>
    <w:rsid w:val="00423394"/>
    <w:rsid w:val="00423756"/>
    <w:rsid w:val="00423F94"/>
    <w:rsid w:val="0042464E"/>
    <w:rsid w:val="00424794"/>
    <w:rsid w:val="00424D0F"/>
    <w:rsid w:val="004253D1"/>
    <w:rsid w:val="00427E1E"/>
    <w:rsid w:val="004301B3"/>
    <w:rsid w:val="0043091C"/>
    <w:rsid w:val="004309D1"/>
    <w:rsid w:val="00430CF9"/>
    <w:rsid w:val="00431B79"/>
    <w:rsid w:val="00433506"/>
    <w:rsid w:val="00433852"/>
    <w:rsid w:val="0043472A"/>
    <w:rsid w:val="0043492B"/>
    <w:rsid w:val="00435639"/>
    <w:rsid w:val="00435914"/>
    <w:rsid w:val="00435C68"/>
    <w:rsid w:val="004366BE"/>
    <w:rsid w:val="00436730"/>
    <w:rsid w:val="00436CE9"/>
    <w:rsid w:val="004372F1"/>
    <w:rsid w:val="00437D76"/>
    <w:rsid w:val="00443001"/>
    <w:rsid w:val="004438EA"/>
    <w:rsid w:val="00443ACB"/>
    <w:rsid w:val="00444528"/>
    <w:rsid w:val="004454E6"/>
    <w:rsid w:val="00445552"/>
    <w:rsid w:val="004478A1"/>
    <w:rsid w:val="00447A05"/>
    <w:rsid w:val="00447F70"/>
    <w:rsid w:val="00447FB0"/>
    <w:rsid w:val="00450BD3"/>
    <w:rsid w:val="004512CB"/>
    <w:rsid w:val="004546F1"/>
    <w:rsid w:val="00455B09"/>
    <w:rsid w:val="00455BB8"/>
    <w:rsid w:val="004570CC"/>
    <w:rsid w:val="00457A38"/>
    <w:rsid w:val="0046067D"/>
    <w:rsid w:val="00461305"/>
    <w:rsid w:val="00461352"/>
    <w:rsid w:val="00462B1D"/>
    <w:rsid w:val="00464731"/>
    <w:rsid w:val="004647FE"/>
    <w:rsid w:val="0046538B"/>
    <w:rsid w:val="004669BA"/>
    <w:rsid w:val="00466D60"/>
    <w:rsid w:val="00466E4D"/>
    <w:rsid w:val="00467C87"/>
    <w:rsid w:val="00470D35"/>
    <w:rsid w:val="004715D2"/>
    <w:rsid w:val="00471672"/>
    <w:rsid w:val="0047215F"/>
    <w:rsid w:val="00473EB0"/>
    <w:rsid w:val="00474517"/>
    <w:rsid w:val="004745A3"/>
    <w:rsid w:val="00474B43"/>
    <w:rsid w:val="00476416"/>
    <w:rsid w:val="00476B65"/>
    <w:rsid w:val="00480553"/>
    <w:rsid w:val="004838BE"/>
    <w:rsid w:val="004841DE"/>
    <w:rsid w:val="00484E59"/>
    <w:rsid w:val="0048554F"/>
    <w:rsid w:val="004855F8"/>
    <w:rsid w:val="00485DF8"/>
    <w:rsid w:val="00485E09"/>
    <w:rsid w:val="004874E1"/>
    <w:rsid w:val="00490299"/>
    <w:rsid w:val="004906A1"/>
    <w:rsid w:val="00491443"/>
    <w:rsid w:val="00491865"/>
    <w:rsid w:val="00491F5D"/>
    <w:rsid w:val="00492578"/>
    <w:rsid w:val="004938A1"/>
    <w:rsid w:val="004940E8"/>
    <w:rsid w:val="00494126"/>
    <w:rsid w:val="004942F5"/>
    <w:rsid w:val="00495465"/>
    <w:rsid w:val="00495EC9"/>
    <w:rsid w:val="00497288"/>
    <w:rsid w:val="0049731A"/>
    <w:rsid w:val="004A0115"/>
    <w:rsid w:val="004A4C7D"/>
    <w:rsid w:val="004A59FA"/>
    <w:rsid w:val="004A5C0C"/>
    <w:rsid w:val="004A6B35"/>
    <w:rsid w:val="004A6F1C"/>
    <w:rsid w:val="004A70F4"/>
    <w:rsid w:val="004B0DF0"/>
    <w:rsid w:val="004B191D"/>
    <w:rsid w:val="004B231A"/>
    <w:rsid w:val="004B28FA"/>
    <w:rsid w:val="004B29FB"/>
    <w:rsid w:val="004B3921"/>
    <w:rsid w:val="004B5CD5"/>
    <w:rsid w:val="004B7DB0"/>
    <w:rsid w:val="004C0BC2"/>
    <w:rsid w:val="004C0CFD"/>
    <w:rsid w:val="004C0D0D"/>
    <w:rsid w:val="004C1AB6"/>
    <w:rsid w:val="004C1D11"/>
    <w:rsid w:val="004C1D2E"/>
    <w:rsid w:val="004C26FA"/>
    <w:rsid w:val="004C372C"/>
    <w:rsid w:val="004C3A18"/>
    <w:rsid w:val="004C4E65"/>
    <w:rsid w:val="004C6261"/>
    <w:rsid w:val="004C73AA"/>
    <w:rsid w:val="004D044E"/>
    <w:rsid w:val="004D0B6C"/>
    <w:rsid w:val="004D1274"/>
    <w:rsid w:val="004D20FB"/>
    <w:rsid w:val="004D3086"/>
    <w:rsid w:val="004D30B3"/>
    <w:rsid w:val="004D3124"/>
    <w:rsid w:val="004D37BC"/>
    <w:rsid w:val="004D37D6"/>
    <w:rsid w:val="004D437B"/>
    <w:rsid w:val="004D4890"/>
    <w:rsid w:val="004D490C"/>
    <w:rsid w:val="004D4CE0"/>
    <w:rsid w:val="004D562F"/>
    <w:rsid w:val="004D5705"/>
    <w:rsid w:val="004D5ED1"/>
    <w:rsid w:val="004D6103"/>
    <w:rsid w:val="004D6F17"/>
    <w:rsid w:val="004D71C2"/>
    <w:rsid w:val="004D7F3A"/>
    <w:rsid w:val="004E16FF"/>
    <w:rsid w:val="004E19DC"/>
    <w:rsid w:val="004E22CD"/>
    <w:rsid w:val="004E288C"/>
    <w:rsid w:val="004E2D8B"/>
    <w:rsid w:val="004E364E"/>
    <w:rsid w:val="004E444B"/>
    <w:rsid w:val="004E45D7"/>
    <w:rsid w:val="004E58C4"/>
    <w:rsid w:val="004E5AB8"/>
    <w:rsid w:val="004E63E2"/>
    <w:rsid w:val="004E655B"/>
    <w:rsid w:val="004F0A77"/>
    <w:rsid w:val="004F12FF"/>
    <w:rsid w:val="004F1729"/>
    <w:rsid w:val="004F17DE"/>
    <w:rsid w:val="004F1BC1"/>
    <w:rsid w:val="004F373F"/>
    <w:rsid w:val="004F558F"/>
    <w:rsid w:val="004F5C32"/>
    <w:rsid w:val="004F5DB8"/>
    <w:rsid w:val="004F5EB9"/>
    <w:rsid w:val="004F6057"/>
    <w:rsid w:val="004F6B63"/>
    <w:rsid w:val="004F7A00"/>
    <w:rsid w:val="00500C8E"/>
    <w:rsid w:val="00501658"/>
    <w:rsid w:val="00501F71"/>
    <w:rsid w:val="00503CCE"/>
    <w:rsid w:val="005046A0"/>
    <w:rsid w:val="00504A43"/>
    <w:rsid w:val="00504CD8"/>
    <w:rsid w:val="0050533F"/>
    <w:rsid w:val="005053D6"/>
    <w:rsid w:val="00505B05"/>
    <w:rsid w:val="00506636"/>
    <w:rsid w:val="00511560"/>
    <w:rsid w:val="0051299D"/>
    <w:rsid w:val="0051304A"/>
    <w:rsid w:val="00513DA7"/>
    <w:rsid w:val="00513E85"/>
    <w:rsid w:val="0051544E"/>
    <w:rsid w:val="00516F2A"/>
    <w:rsid w:val="00517AD8"/>
    <w:rsid w:val="00517F85"/>
    <w:rsid w:val="0052085E"/>
    <w:rsid w:val="00520A1F"/>
    <w:rsid w:val="00522ABD"/>
    <w:rsid w:val="00525B93"/>
    <w:rsid w:val="005277C3"/>
    <w:rsid w:val="00530640"/>
    <w:rsid w:val="00531143"/>
    <w:rsid w:val="00531470"/>
    <w:rsid w:val="00532680"/>
    <w:rsid w:val="0053333D"/>
    <w:rsid w:val="00533BC3"/>
    <w:rsid w:val="00535C03"/>
    <w:rsid w:val="00536073"/>
    <w:rsid w:val="0054029E"/>
    <w:rsid w:val="00540DD4"/>
    <w:rsid w:val="0054135E"/>
    <w:rsid w:val="00542118"/>
    <w:rsid w:val="00543911"/>
    <w:rsid w:val="00543C4A"/>
    <w:rsid w:val="00544096"/>
    <w:rsid w:val="00544760"/>
    <w:rsid w:val="00546288"/>
    <w:rsid w:val="00546F56"/>
    <w:rsid w:val="00547153"/>
    <w:rsid w:val="0055192F"/>
    <w:rsid w:val="00552E89"/>
    <w:rsid w:val="00553D08"/>
    <w:rsid w:val="00554136"/>
    <w:rsid w:val="005553F3"/>
    <w:rsid w:val="005554F0"/>
    <w:rsid w:val="00556EBF"/>
    <w:rsid w:val="00557382"/>
    <w:rsid w:val="00557728"/>
    <w:rsid w:val="00560A85"/>
    <w:rsid w:val="00560BA6"/>
    <w:rsid w:val="00561EE2"/>
    <w:rsid w:val="005639FB"/>
    <w:rsid w:val="00564249"/>
    <w:rsid w:val="005647EA"/>
    <w:rsid w:val="00566C49"/>
    <w:rsid w:val="00567CB9"/>
    <w:rsid w:val="00567D17"/>
    <w:rsid w:val="005700F9"/>
    <w:rsid w:val="00570AB7"/>
    <w:rsid w:val="0057250D"/>
    <w:rsid w:val="00572628"/>
    <w:rsid w:val="00573CF2"/>
    <w:rsid w:val="00574BAD"/>
    <w:rsid w:val="005760F0"/>
    <w:rsid w:val="005763C9"/>
    <w:rsid w:val="005779DB"/>
    <w:rsid w:val="00577A46"/>
    <w:rsid w:val="005810BA"/>
    <w:rsid w:val="00581C3F"/>
    <w:rsid w:val="00581FAC"/>
    <w:rsid w:val="00583AA5"/>
    <w:rsid w:val="00583BDE"/>
    <w:rsid w:val="005847AC"/>
    <w:rsid w:val="005869BC"/>
    <w:rsid w:val="00586FD5"/>
    <w:rsid w:val="00592820"/>
    <w:rsid w:val="00592F51"/>
    <w:rsid w:val="005932B0"/>
    <w:rsid w:val="00594A20"/>
    <w:rsid w:val="0059516C"/>
    <w:rsid w:val="005955A3"/>
    <w:rsid w:val="00596CF2"/>
    <w:rsid w:val="005A04F4"/>
    <w:rsid w:val="005A0F6D"/>
    <w:rsid w:val="005A1884"/>
    <w:rsid w:val="005A24F3"/>
    <w:rsid w:val="005A3CE2"/>
    <w:rsid w:val="005A3E46"/>
    <w:rsid w:val="005A3E7A"/>
    <w:rsid w:val="005A4B78"/>
    <w:rsid w:val="005A4F4C"/>
    <w:rsid w:val="005A6A56"/>
    <w:rsid w:val="005A6B3F"/>
    <w:rsid w:val="005A6CF0"/>
    <w:rsid w:val="005A7A75"/>
    <w:rsid w:val="005B04E2"/>
    <w:rsid w:val="005B0B54"/>
    <w:rsid w:val="005B19CE"/>
    <w:rsid w:val="005B20E2"/>
    <w:rsid w:val="005B280A"/>
    <w:rsid w:val="005B3F54"/>
    <w:rsid w:val="005B6683"/>
    <w:rsid w:val="005B7065"/>
    <w:rsid w:val="005B7C36"/>
    <w:rsid w:val="005C1D09"/>
    <w:rsid w:val="005C21BB"/>
    <w:rsid w:val="005C2800"/>
    <w:rsid w:val="005C2869"/>
    <w:rsid w:val="005C2C5C"/>
    <w:rsid w:val="005C2F7B"/>
    <w:rsid w:val="005C3336"/>
    <w:rsid w:val="005C3C2B"/>
    <w:rsid w:val="005C5514"/>
    <w:rsid w:val="005C5C1C"/>
    <w:rsid w:val="005C654D"/>
    <w:rsid w:val="005D018A"/>
    <w:rsid w:val="005D03C8"/>
    <w:rsid w:val="005D1142"/>
    <w:rsid w:val="005D16BA"/>
    <w:rsid w:val="005D2498"/>
    <w:rsid w:val="005D24DE"/>
    <w:rsid w:val="005D254F"/>
    <w:rsid w:val="005D28CF"/>
    <w:rsid w:val="005D416D"/>
    <w:rsid w:val="005D4644"/>
    <w:rsid w:val="005D4B3F"/>
    <w:rsid w:val="005D4DC7"/>
    <w:rsid w:val="005D56FB"/>
    <w:rsid w:val="005D5CAB"/>
    <w:rsid w:val="005D62A8"/>
    <w:rsid w:val="005D66A5"/>
    <w:rsid w:val="005D6EB4"/>
    <w:rsid w:val="005D7089"/>
    <w:rsid w:val="005D715B"/>
    <w:rsid w:val="005D7384"/>
    <w:rsid w:val="005D773A"/>
    <w:rsid w:val="005D7DD8"/>
    <w:rsid w:val="005E042C"/>
    <w:rsid w:val="005E099D"/>
    <w:rsid w:val="005E0B3B"/>
    <w:rsid w:val="005E0F2D"/>
    <w:rsid w:val="005E101F"/>
    <w:rsid w:val="005E1E68"/>
    <w:rsid w:val="005E2D33"/>
    <w:rsid w:val="005E3407"/>
    <w:rsid w:val="005E471C"/>
    <w:rsid w:val="005E4DF2"/>
    <w:rsid w:val="005E52BD"/>
    <w:rsid w:val="005E5480"/>
    <w:rsid w:val="005E5A21"/>
    <w:rsid w:val="005E5C63"/>
    <w:rsid w:val="005E5E72"/>
    <w:rsid w:val="005E5E7A"/>
    <w:rsid w:val="005E63E9"/>
    <w:rsid w:val="005E6DE9"/>
    <w:rsid w:val="005E7942"/>
    <w:rsid w:val="005E7B38"/>
    <w:rsid w:val="005E7CEA"/>
    <w:rsid w:val="005F0F49"/>
    <w:rsid w:val="005F13BF"/>
    <w:rsid w:val="005F15A2"/>
    <w:rsid w:val="005F191A"/>
    <w:rsid w:val="005F1F06"/>
    <w:rsid w:val="005F270C"/>
    <w:rsid w:val="005F3BE7"/>
    <w:rsid w:val="005F3E92"/>
    <w:rsid w:val="005F49DB"/>
    <w:rsid w:val="005F52E8"/>
    <w:rsid w:val="005F62A7"/>
    <w:rsid w:val="005F63F2"/>
    <w:rsid w:val="005F7331"/>
    <w:rsid w:val="00602762"/>
    <w:rsid w:val="00602856"/>
    <w:rsid w:val="0060512F"/>
    <w:rsid w:val="00606639"/>
    <w:rsid w:val="00610611"/>
    <w:rsid w:val="00610CDC"/>
    <w:rsid w:val="006119BD"/>
    <w:rsid w:val="00613FB5"/>
    <w:rsid w:val="00615A29"/>
    <w:rsid w:val="00616C89"/>
    <w:rsid w:val="006175BE"/>
    <w:rsid w:val="00617718"/>
    <w:rsid w:val="00617A7E"/>
    <w:rsid w:val="00620C83"/>
    <w:rsid w:val="00621074"/>
    <w:rsid w:val="006217BC"/>
    <w:rsid w:val="00622213"/>
    <w:rsid w:val="006240DB"/>
    <w:rsid w:val="006253F2"/>
    <w:rsid w:val="0062773C"/>
    <w:rsid w:val="00627C12"/>
    <w:rsid w:val="00627DD0"/>
    <w:rsid w:val="00630C76"/>
    <w:rsid w:val="0063182F"/>
    <w:rsid w:val="00631C4F"/>
    <w:rsid w:val="00632C04"/>
    <w:rsid w:val="00633B5E"/>
    <w:rsid w:val="00633B6F"/>
    <w:rsid w:val="00634358"/>
    <w:rsid w:val="00634F78"/>
    <w:rsid w:val="006357D6"/>
    <w:rsid w:val="00635AB8"/>
    <w:rsid w:val="00635FDD"/>
    <w:rsid w:val="00636E55"/>
    <w:rsid w:val="0063775C"/>
    <w:rsid w:val="0063788D"/>
    <w:rsid w:val="00640424"/>
    <w:rsid w:val="00640817"/>
    <w:rsid w:val="00640F6C"/>
    <w:rsid w:val="00640FC8"/>
    <w:rsid w:val="00641317"/>
    <w:rsid w:val="00642C43"/>
    <w:rsid w:val="00643C7A"/>
    <w:rsid w:val="0064504D"/>
    <w:rsid w:val="006455F0"/>
    <w:rsid w:val="00646F10"/>
    <w:rsid w:val="00646FC3"/>
    <w:rsid w:val="00647165"/>
    <w:rsid w:val="00647639"/>
    <w:rsid w:val="00650819"/>
    <w:rsid w:val="00650C23"/>
    <w:rsid w:val="00651515"/>
    <w:rsid w:val="006518D1"/>
    <w:rsid w:val="00652883"/>
    <w:rsid w:val="00653460"/>
    <w:rsid w:val="006534D4"/>
    <w:rsid w:val="00653747"/>
    <w:rsid w:val="00653C07"/>
    <w:rsid w:val="00655FE4"/>
    <w:rsid w:val="0065671F"/>
    <w:rsid w:val="0065743E"/>
    <w:rsid w:val="006575BB"/>
    <w:rsid w:val="0065776D"/>
    <w:rsid w:val="00657934"/>
    <w:rsid w:val="00660DE3"/>
    <w:rsid w:val="00660FE6"/>
    <w:rsid w:val="00661961"/>
    <w:rsid w:val="006630D4"/>
    <w:rsid w:val="006631A4"/>
    <w:rsid w:val="0066344C"/>
    <w:rsid w:val="006635B8"/>
    <w:rsid w:val="00663817"/>
    <w:rsid w:val="006642DA"/>
    <w:rsid w:val="0066457F"/>
    <w:rsid w:val="00665F59"/>
    <w:rsid w:val="006660CF"/>
    <w:rsid w:val="00666426"/>
    <w:rsid w:val="00666665"/>
    <w:rsid w:val="00666D27"/>
    <w:rsid w:val="00667CA7"/>
    <w:rsid w:val="006711E7"/>
    <w:rsid w:val="00671315"/>
    <w:rsid w:val="00671660"/>
    <w:rsid w:val="00673245"/>
    <w:rsid w:val="0067381C"/>
    <w:rsid w:val="006747ED"/>
    <w:rsid w:val="0067544F"/>
    <w:rsid w:val="00675F59"/>
    <w:rsid w:val="006766DB"/>
    <w:rsid w:val="00676BAE"/>
    <w:rsid w:val="00677070"/>
    <w:rsid w:val="0068059A"/>
    <w:rsid w:val="00680D84"/>
    <w:rsid w:val="006826D4"/>
    <w:rsid w:val="006830EA"/>
    <w:rsid w:val="0068326F"/>
    <w:rsid w:val="00686524"/>
    <w:rsid w:val="0068741C"/>
    <w:rsid w:val="00690450"/>
    <w:rsid w:val="00690508"/>
    <w:rsid w:val="006942B8"/>
    <w:rsid w:val="00694EFA"/>
    <w:rsid w:val="00695224"/>
    <w:rsid w:val="006962E2"/>
    <w:rsid w:val="0069687B"/>
    <w:rsid w:val="00696D70"/>
    <w:rsid w:val="00697D4B"/>
    <w:rsid w:val="00697E19"/>
    <w:rsid w:val="006A0D64"/>
    <w:rsid w:val="006A10CD"/>
    <w:rsid w:val="006A1CD3"/>
    <w:rsid w:val="006A31E2"/>
    <w:rsid w:val="006A3431"/>
    <w:rsid w:val="006A5C17"/>
    <w:rsid w:val="006A60E7"/>
    <w:rsid w:val="006A70AD"/>
    <w:rsid w:val="006B2DDF"/>
    <w:rsid w:val="006B2EC0"/>
    <w:rsid w:val="006B35A2"/>
    <w:rsid w:val="006B3EB2"/>
    <w:rsid w:val="006B407C"/>
    <w:rsid w:val="006B4CBC"/>
    <w:rsid w:val="006B4CD4"/>
    <w:rsid w:val="006C0ADF"/>
    <w:rsid w:val="006C0F9A"/>
    <w:rsid w:val="006C1950"/>
    <w:rsid w:val="006C2C64"/>
    <w:rsid w:val="006C341D"/>
    <w:rsid w:val="006C6823"/>
    <w:rsid w:val="006D03F1"/>
    <w:rsid w:val="006D06D4"/>
    <w:rsid w:val="006D071E"/>
    <w:rsid w:val="006D1009"/>
    <w:rsid w:val="006D24CD"/>
    <w:rsid w:val="006D258B"/>
    <w:rsid w:val="006D4260"/>
    <w:rsid w:val="006D4272"/>
    <w:rsid w:val="006D443E"/>
    <w:rsid w:val="006D528D"/>
    <w:rsid w:val="006D60A2"/>
    <w:rsid w:val="006D6680"/>
    <w:rsid w:val="006E03E5"/>
    <w:rsid w:val="006E1881"/>
    <w:rsid w:val="006E2459"/>
    <w:rsid w:val="006E27C7"/>
    <w:rsid w:val="006E2FBF"/>
    <w:rsid w:val="006E45C4"/>
    <w:rsid w:val="006E474C"/>
    <w:rsid w:val="006E493C"/>
    <w:rsid w:val="006E5B3D"/>
    <w:rsid w:val="006E7B12"/>
    <w:rsid w:val="006F0B68"/>
    <w:rsid w:val="006F0D90"/>
    <w:rsid w:val="006F14CD"/>
    <w:rsid w:val="006F170B"/>
    <w:rsid w:val="006F19AA"/>
    <w:rsid w:val="006F2234"/>
    <w:rsid w:val="006F2736"/>
    <w:rsid w:val="006F30C7"/>
    <w:rsid w:val="006F4B22"/>
    <w:rsid w:val="006F706A"/>
    <w:rsid w:val="006F7C18"/>
    <w:rsid w:val="00700042"/>
    <w:rsid w:val="00701319"/>
    <w:rsid w:val="00702A2D"/>
    <w:rsid w:val="00702A87"/>
    <w:rsid w:val="00702C28"/>
    <w:rsid w:val="007032BA"/>
    <w:rsid w:val="00703916"/>
    <w:rsid w:val="00703DAF"/>
    <w:rsid w:val="00703F41"/>
    <w:rsid w:val="007052FE"/>
    <w:rsid w:val="007062F0"/>
    <w:rsid w:val="0070652F"/>
    <w:rsid w:val="00706A45"/>
    <w:rsid w:val="007074A5"/>
    <w:rsid w:val="00710700"/>
    <w:rsid w:val="00710737"/>
    <w:rsid w:val="00710DAD"/>
    <w:rsid w:val="00716756"/>
    <w:rsid w:val="0071729E"/>
    <w:rsid w:val="007173EE"/>
    <w:rsid w:val="007176C6"/>
    <w:rsid w:val="00717D63"/>
    <w:rsid w:val="00717E8A"/>
    <w:rsid w:val="00720730"/>
    <w:rsid w:val="007210ED"/>
    <w:rsid w:val="00721801"/>
    <w:rsid w:val="0072643B"/>
    <w:rsid w:val="007265D0"/>
    <w:rsid w:val="00727DD0"/>
    <w:rsid w:val="00727E6E"/>
    <w:rsid w:val="00730222"/>
    <w:rsid w:val="00730438"/>
    <w:rsid w:val="007310D2"/>
    <w:rsid w:val="00731318"/>
    <w:rsid w:val="007317E3"/>
    <w:rsid w:val="007324B5"/>
    <w:rsid w:val="00732FB2"/>
    <w:rsid w:val="00733211"/>
    <w:rsid w:val="00733559"/>
    <w:rsid w:val="00733BBF"/>
    <w:rsid w:val="00733C35"/>
    <w:rsid w:val="00734053"/>
    <w:rsid w:val="00734078"/>
    <w:rsid w:val="007342AA"/>
    <w:rsid w:val="00734B48"/>
    <w:rsid w:val="00734C01"/>
    <w:rsid w:val="00735BC8"/>
    <w:rsid w:val="0073601A"/>
    <w:rsid w:val="0073658F"/>
    <w:rsid w:val="0073660A"/>
    <w:rsid w:val="00736ED1"/>
    <w:rsid w:val="00741E8A"/>
    <w:rsid w:val="00742163"/>
    <w:rsid w:val="007421CA"/>
    <w:rsid w:val="007423F6"/>
    <w:rsid w:val="00742F07"/>
    <w:rsid w:val="00743D62"/>
    <w:rsid w:val="00745636"/>
    <w:rsid w:val="00745972"/>
    <w:rsid w:val="007475B1"/>
    <w:rsid w:val="00750415"/>
    <w:rsid w:val="007507AC"/>
    <w:rsid w:val="00750C30"/>
    <w:rsid w:val="0075343C"/>
    <w:rsid w:val="0075367E"/>
    <w:rsid w:val="00754492"/>
    <w:rsid w:val="0075487F"/>
    <w:rsid w:val="00755C50"/>
    <w:rsid w:val="00757C08"/>
    <w:rsid w:val="007604BD"/>
    <w:rsid w:val="0076117B"/>
    <w:rsid w:val="00762A1D"/>
    <w:rsid w:val="00762F02"/>
    <w:rsid w:val="00763217"/>
    <w:rsid w:val="00764FA4"/>
    <w:rsid w:val="00765494"/>
    <w:rsid w:val="007657DD"/>
    <w:rsid w:val="007673A5"/>
    <w:rsid w:val="00767DD7"/>
    <w:rsid w:val="00770F7C"/>
    <w:rsid w:val="00770FEF"/>
    <w:rsid w:val="0077152D"/>
    <w:rsid w:val="007719D7"/>
    <w:rsid w:val="00772241"/>
    <w:rsid w:val="0077262C"/>
    <w:rsid w:val="00772E67"/>
    <w:rsid w:val="00773A9B"/>
    <w:rsid w:val="00775ECE"/>
    <w:rsid w:val="007765FF"/>
    <w:rsid w:val="0077665B"/>
    <w:rsid w:val="00777BCF"/>
    <w:rsid w:val="00777DED"/>
    <w:rsid w:val="007814C0"/>
    <w:rsid w:val="00781708"/>
    <w:rsid w:val="00782DE2"/>
    <w:rsid w:val="00782E9F"/>
    <w:rsid w:val="007837EB"/>
    <w:rsid w:val="00784570"/>
    <w:rsid w:val="007845C6"/>
    <w:rsid w:val="00784C0D"/>
    <w:rsid w:val="00784D8F"/>
    <w:rsid w:val="00784D9A"/>
    <w:rsid w:val="007850F3"/>
    <w:rsid w:val="007851C5"/>
    <w:rsid w:val="007868DC"/>
    <w:rsid w:val="00790E92"/>
    <w:rsid w:val="00792847"/>
    <w:rsid w:val="007934B6"/>
    <w:rsid w:val="007939C3"/>
    <w:rsid w:val="00793CA2"/>
    <w:rsid w:val="00793D0B"/>
    <w:rsid w:val="0079432F"/>
    <w:rsid w:val="00794720"/>
    <w:rsid w:val="007955B0"/>
    <w:rsid w:val="00795776"/>
    <w:rsid w:val="007A0002"/>
    <w:rsid w:val="007A15CE"/>
    <w:rsid w:val="007A1ABD"/>
    <w:rsid w:val="007A24C2"/>
    <w:rsid w:val="007A3C92"/>
    <w:rsid w:val="007A3E15"/>
    <w:rsid w:val="007A3E19"/>
    <w:rsid w:val="007A4077"/>
    <w:rsid w:val="007A4A48"/>
    <w:rsid w:val="007A5251"/>
    <w:rsid w:val="007A55D3"/>
    <w:rsid w:val="007A5691"/>
    <w:rsid w:val="007A6888"/>
    <w:rsid w:val="007A7BB7"/>
    <w:rsid w:val="007B01C2"/>
    <w:rsid w:val="007B08FF"/>
    <w:rsid w:val="007B0920"/>
    <w:rsid w:val="007B092A"/>
    <w:rsid w:val="007B093D"/>
    <w:rsid w:val="007B35AC"/>
    <w:rsid w:val="007B4188"/>
    <w:rsid w:val="007B697A"/>
    <w:rsid w:val="007B70CE"/>
    <w:rsid w:val="007B7380"/>
    <w:rsid w:val="007B73FF"/>
    <w:rsid w:val="007C0CCE"/>
    <w:rsid w:val="007C22EA"/>
    <w:rsid w:val="007C3E60"/>
    <w:rsid w:val="007C444C"/>
    <w:rsid w:val="007C50CD"/>
    <w:rsid w:val="007C5131"/>
    <w:rsid w:val="007C51B7"/>
    <w:rsid w:val="007C7E30"/>
    <w:rsid w:val="007D2001"/>
    <w:rsid w:val="007D3A9B"/>
    <w:rsid w:val="007D45C1"/>
    <w:rsid w:val="007D558F"/>
    <w:rsid w:val="007D5966"/>
    <w:rsid w:val="007D5AF1"/>
    <w:rsid w:val="007D7BB6"/>
    <w:rsid w:val="007E04EE"/>
    <w:rsid w:val="007E0944"/>
    <w:rsid w:val="007E1557"/>
    <w:rsid w:val="007E1F22"/>
    <w:rsid w:val="007E283E"/>
    <w:rsid w:val="007E2ADC"/>
    <w:rsid w:val="007E43F2"/>
    <w:rsid w:val="007E5674"/>
    <w:rsid w:val="007E56D1"/>
    <w:rsid w:val="007E7C88"/>
    <w:rsid w:val="007E7E81"/>
    <w:rsid w:val="007F2DC0"/>
    <w:rsid w:val="007F3BA6"/>
    <w:rsid w:val="007F3F18"/>
    <w:rsid w:val="007F4851"/>
    <w:rsid w:val="007F486E"/>
    <w:rsid w:val="007F5239"/>
    <w:rsid w:val="007F5BD3"/>
    <w:rsid w:val="007F6CCE"/>
    <w:rsid w:val="0080219A"/>
    <w:rsid w:val="008028D2"/>
    <w:rsid w:val="00803AA7"/>
    <w:rsid w:val="008046B4"/>
    <w:rsid w:val="00804B81"/>
    <w:rsid w:val="00805388"/>
    <w:rsid w:val="008058BF"/>
    <w:rsid w:val="00805BAC"/>
    <w:rsid w:val="0080692B"/>
    <w:rsid w:val="008075A7"/>
    <w:rsid w:val="008077C9"/>
    <w:rsid w:val="008117B5"/>
    <w:rsid w:val="00812FD6"/>
    <w:rsid w:val="00813693"/>
    <w:rsid w:val="008152CD"/>
    <w:rsid w:val="00820277"/>
    <w:rsid w:val="00821ABA"/>
    <w:rsid w:val="00821F1C"/>
    <w:rsid w:val="00822C1F"/>
    <w:rsid w:val="008234F6"/>
    <w:rsid w:val="00824500"/>
    <w:rsid w:val="00824F11"/>
    <w:rsid w:val="00825544"/>
    <w:rsid w:val="00825B23"/>
    <w:rsid w:val="00826137"/>
    <w:rsid w:val="008269BA"/>
    <w:rsid w:val="008271F7"/>
    <w:rsid w:val="00833024"/>
    <w:rsid w:val="00833AFB"/>
    <w:rsid w:val="00833D58"/>
    <w:rsid w:val="00834490"/>
    <w:rsid w:val="008349D7"/>
    <w:rsid w:val="00834FDD"/>
    <w:rsid w:val="00835521"/>
    <w:rsid w:val="00837C12"/>
    <w:rsid w:val="00837CDE"/>
    <w:rsid w:val="00841814"/>
    <w:rsid w:val="00841B45"/>
    <w:rsid w:val="00841D15"/>
    <w:rsid w:val="00842506"/>
    <w:rsid w:val="008425F6"/>
    <w:rsid w:val="00843450"/>
    <w:rsid w:val="00843710"/>
    <w:rsid w:val="008437F6"/>
    <w:rsid w:val="00843932"/>
    <w:rsid w:val="00843C19"/>
    <w:rsid w:val="0084524D"/>
    <w:rsid w:val="00845333"/>
    <w:rsid w:val="00845EB6"/>
    <w:rsid w:val="00846380"/>
    <w:rsid w:val="00846486"/>
    <w:rsid w:val="008469C2"/>
    <w:rsid w:val="00847401"/>
    <w:rsid w:val="00847476"/>
    <w:rsid w:val="008474B5"/>
    <w:rsid w:val="00850F20"/>
    <w:rsid w:val="00851A89"/>
    <w:rsid w:val="00852522"/>
    <w:rsid w:val="00852852"/>
    <w:rsid w:val="00852A4D"/>
    <w:rsid w:val="00852AEF"/>
    <w:rsid w:val="00852E7E"/>
    <w:rsid w:val="008557AA"/>
    <w:rsid w:val="008561D1"/>
    <w:rsid w:val="00856AC6"/>
    <w:rsid w:val="00856F0E"/>
    <w:rsid w:val="0086125A"/>
    <w:rsid w:val="00861A64"/>
    <w:rsid w:val="00861BB4"/>
    <w:rsid w:val="00862023"/>
    <w:rsid w:val="0086241D"/>
    <w:rsid w:val="00862757"/>
    <w:rsid w:val="00864132"/>
    <w:rsid w:val="008651CB"/>
    <w:rsid w:val="00865B82"/>
    <w:rsid w:val="00866100"/>
    <w:rsid w:val="00866E5C"/>
    <w:rsid w:val="0086781B"/>
    <w:rsid w:val="00867ED1"/>
    <w:rsid w:val="00871D86"/>
    <w:rsid w:val="008729DD"/>
    <w:rsid w:val="0087357E"/>
    <w:rsid w:val="00873B2A"/>
    <w:rsid w:val="0087488E"/>
    <w:rsid w:val="0087550E"/>
    <w:rsid w:val="00875A17"/>
    <w:rsid w:val="00875DD0"/>
    <w:rsid w:val="00876218"/>
    <w:rsid w:val="00881014"/>
    <w:rsid w:val="008843E7"/>
    <w:rsid w:val="00884990"/>
    <w:rsid w:val="00885F80"/>
    <w:rsid w:val="008870BB"/>
    <w:rsid w:val="00887F18"/>
    <w:rsid w:val="00887F88"/>
    <w:rsid w:val="008912AE"/>
    <w:rsid w:val="00893889"/>
    <w:rsid w:val="00893BBB"/>
    <w:rsid w:val="00894C9F"/>
    <w:rsid w:val="008950C4"/>
    <w:rsid w:val="00896631"/>
    <w:rsid w:val="00896C3E"/>
    <w:rsid w:val="00896DFA"/>
    <w:rsid w:val="00897691"/>
    <w:rsid w:val="008A0056"/>
    <w:rsid w:val="008A0072"/>
    <w:rsid w:val="008A007B"/>
    <w:rsid w:val="008A04D3"/>
    <w:rsid w:val="008A114A"/>
    <w:rsid w:val="008A1EF5"/>
    <w:rsid w:val="008A235E"/>
    <w:rsid w:val="008A2796"/>
    <w:rsid w:val="008A4775"/>
    <w:rsid w:val="008A5A18"/>
    <w:rsid w:val="008A5F15"/>
    <w:rsid w:val="008A6BB0"/>
    <w:rsid w:val="008A7AE1"/>
    <w:rsid w:val="008B16BB"/>
    <w:rsid w:val="008B2897"/>
    <w:rsid w:val="008B379D"/>
    <w:rsid w:val="008B3BA8"/>
    <w:rsid w:val="008B4E46"/>
    <w:rsid w:val="008B655E"/>
    <w:rsid w:val="008B6954"/>
    <w:rsid w:val="008B735A"/>
    <w:rsid w:val="008C0182"/>
    <w:rsid w:val="008C043B"/>
    <w:rsid w:val="008C127A"/>
    <w:rsid w:val="008C14F2"/>
    <w:rsid w:val="008C297C"/>
    <w:rsid w:val="008C4117"/>
    <w:rsid w:val="008C48C1"/>
    <w:rsid w:val="008C582E"/>
    <w:rsid w:val="008C60FE"/>
    <w:rsid w:val="008C6A0B"/>
    <w:rsid w:val="008C6A54"/>
    <w:rsid w:val="008C6F58"/>
    <w:rsid w:val="008C771B"/>
    <w:rsid w:val="008C796C"/>
    <w:rsid w:val="008C79F7"/>
    <w:rsid w:val="008D060A"/>
    <w:rsid w:val="008D0DC5"/>
    <w:rsid w:val="008D1898"/>
    <w:rsid w:val="008D2E72"/>
    <w:rsid w:val="008D3D0F"/>
    <w:rsid w:val="008D4181"/>
    <w:rsid w:val="008D4F49"/>
    <w:rsid w:val="008D5A52"/>
    <w:rsid w:val="008D6E16"/>
    <w:rsid w:val="008D77DD"/>
    <w:rsid w:val="008D7B01"/>
    <w:rsid w:val="008E229F"/>
    <w:rsid w:val="008E33ED"/>
    <w:rsid w:val="008E65EE"/>
    <w:rsid w:val="008E75F1"/>
    <w:rsid w:val="008F2DC5"/>
    <w:rsid w:val="008F342F"/>
    <w:rsid w:val="008F3791"/>
    <w:rsid w:val="008F3EAF"/>
    <w:rsid w:val="008F486C"/>
    <w:rsid w:val="008F4B5D"/>
    <w:rsid w:val="008F4BA5"/>
    <w:rsid w:val="008F5FB2"/>
    <w:rsid w:val="008F61D9"/>
    <w:rsid w:val="008F72CA"/>
    <w:rsid w:val="009018F4"/>
    <w:rsid w:val="00901CF1"/>
    <w:rsid w:val="00901EA8"/>
    <w:rsid w:val="00902983"/>
    <w:rsid w:val="0090331A"/>
    <w:rsid w:val="00903C4E"/>
    <w:rsid w:val="0090402C"/>
    <w:rsid w:val="00904181"/>
    <w:rsid w:val="00904716"/>
    <w:rsid w:val="0090579F"/>
    <w:rsid w:val="0090657F"/>
    <w:rsid w:val="00906DD6"/>
    <w:rsid w:val="0090746B"/>
    <w:rsid w:val="009102A5"/>
    <w:rsid w:val="00910806"/>
    <w:rsid w:val="00910A29"/>
    <w:rsid w:val="009111B6"/>
    <w:rsid w:val="00911405"/>
    <w:rsid w:val="009126FE"/>
    <w:rsid w:val="00913749"/>
    <w:rsid w:val="009139EB"/>
    <w:rsid w:val="00913FF1"/>
    <w:rsid w:val="009146DC"/>
    <w:rsid w:val="00914A2B"/>
    <w:rsid w:val="009176EA"/>
    <w:rsid w:val="00917E33"/>
    <w:rsid w:val="00920587"/>
    <w:rsid w:val="0092058E"/>
    <w:rsid w:val="00922577"/>
    <w:rsid w:val="00922CC1"/>
    <w:rsid w:val="00923721"/>
    <w:rsid w:val="00923BC6"/>
    <w:rsid w:val="0092524C"/>
    <w:rsid w:val="00925579"/>
    <w:rsid w:val="009260D5"/>
    <w:rsid w:val="0092628C"/>
    <w:rsid w:val="00927460"/>
    <w:rsid w:val="0093009F"/>
    <w:rsid w:val="00930444"/>
    <w:rsid w:val="00930CAF"/>
    <w:rsid w:val="009312AE"/>
    <w:rsid w:val="00934861"/>
    <w:rsid w:val="00934C50"/>
    <w:rsid w:val="00935501"/>
    <w:rsid w:val="00935C16"/>
    <w:rsid w:val="0093649B"/>
    <w:rsid w:val="00940F87"/>
    <w:rsid w:val="0094141E"/>
    <w:rsid w:val="009419C7"/>
    <w:rsid w:val="00941A62"/>
    <w:rsid w:val="00942B5F"/>
    <w:rsid w:val="0094332B"/>
    <w:rsid w:val="009441D1"/>
    <w:rsid w:val="00944B37"/>
    <w:rsid w:val="0094544D"/>
    <w:rsid w:val="00945656"/>
    <w:rsid w:val="009477EA"/>
    <w:rsid w:val="0095073B"/>
    <w:rsid w:val="00950AD6"/>
    <w:rsid w:val="00951525"/>
    <w:rsid w:val="00951671"/>
    <w:rsid w:val="009516E4"/>
    <w:rsid w:val="00952A77"/>
    <w:rsid w:val="00952D20"/>
    <w:rsid w:val="009542E5"/>
    <w:rsid w:val="00955E16"/>
    <w:rsid w:val="0095623D"/>
    <w:rsid w:val="00956710"/>
    <w:rsid w:val="00956B54"/>
    <w:rsid w:val="00957B28"/>
    <w:rsid w:val="00957BC9"/>
    <w:rsid w:val="009605DA"/>
    <w:rsid w:val="00960753"/>
    <w:rsid w:val="0096170E"/>
    <w:rsid w:val="00961E59"/>
    <w:rsid w:val="009638EA"/>
    <w:rsid w:val="00963C59"/>
    <w:rsid w:val="00965D88"/>
    <w:rsid w:val="00965EE6"/>
    <w:rsid w:val="00966478"/>
    <w:rsid w:val="00970249"/>
    <w:rsid w:val="0097096D"/>
    <w:rsid w:val="009709AD"/>
    <w:rsid w:val="00970BC5"/>
    <w:rsid w:val="00970E77"/>
    <w:rsid w:val="00970FF0"/>
    <w:rsid w:val="0097180B"/>
    <w:rsid w:val="00972090"/>
    <w:rsid w:val="00972A2B"/>
    <w:rsid w:val="00972B40"/>
    <w:rsid w:val="00975135"/>
    <w:rsid w:val="009755FF"/>
    <w:rsid w:val="00975C86"/>
    <w:rsid w:val="009762A9"/>
    <w:rsid w:val="00980231"/>
    <w:rsid w:val="00980B11"/>
    <w:rsid w:val="009814D3"/>
    <w:rsid w:val="00982A32"/>
    <w:rsid w:val="00982D8A"/>
    <w:rsid w:val="009834F8"/>
    <w:rsid w:val="0098745D"/>
    <w:rsid w:val="0098786D"/>
    <w:rsid w:val="00991322"/>
    <w:rsid w:val="0099163E"/>
    <w:rsid w:val="00991F2C"/>
    <w:rsid w:val="009943F1"/>
    <w:rsid w:val="00994731"/>
    <w:rsid w:val="00995EA0"/>
    <w:rsid w:val="009973A8"/>
    <w:rsid w:val="009A0DD7"/>
    <w:rsid w:val="009A2CA9"/>
    <w:rsid w:val="009A3E0B"/>
    <w:rsid w:val="009A472E"/>
    <w:rsid w:val="009A47EE"/>
    <w:rsid w:val="009A4F6B"/>
    <w:rsid w:val="009A6280"/>
    <w:rsid w:val="009A6B4F"/>
    <w:rsid w:val="009A764F"/>
    <w:rsid w:val="009B09E3"/>
    <w:rsid w:val="009B0B88"/>
    <w:rsid w:val="009B0E4D"/>
    <w:rsid w:val="009B17DB"/>
    <w:rsid w:val="009B4042"/>
    <w:rsid w:val="009B4CE8"/>
    <w:rsid w:val="009B5772"/>
    <w:rsid w:val="009B5981"/>
    <w:rsid w:val="009B5C3B"/>
    <w:rsid w:val="009B61E8"/>
    <w:rsid w:val="009B763E"/>
    <w:rsid w:val="009B7734"/>
    <w:rsid w:val="009B7A83"/>
    <w:rsid w:val="009B7E78"/>
    <w:rsid w:val="009C01C7"/>
    <w:rsid w:val="009C40F7"/>
    <w:rsid w:val="009C5109"/>
    <w:rsid w:val="009C6A8B"/>
    <w:rsid w:val="009C7A91"/>
    <w:rsid w:val="009C7B64"/>
    <w:rsid w:val="009D0458"/>
    <w:rsid w:val="009D4300"/>
    <w:rsid w:val="009D4C9F"/>
    <w:rsid w:val="009D54C8"/>
    <w:rsid w:val="009D62BC"/>
    <w:rsid w:val="009D7A72"/>
    <w:rsid w:val="009E08D5"/>
    <w:rsid w:val="009E0AE8"/>
    <w:rsid w:val="009E0B16"/>
    <w:rsid w:val="009E1308"/>
    <w:rsid w:val="009E1381"/>
    <w:rsid w:val="009E1427"/>
    <w:rsid w:val="009E1F8A"/>
    <w:rsid w:val="009E3621"/>
    <w:rsid w:val="009E3EF5"/>
    <w:rsid w:val="009E45AF"/>
    <w:rsid w:val="009E6167"/>
    <w:rsid w:val="009E74D9"/>
    <w:rsid w:val="009F0844"/>
    <w:rsid w:val="009F0B79"/>
    <w:rsid w:val="009F2FED"/>
    <w:rsid w:val="009F32A8"/>
    <w:rsid w:val="009F32BA"/>
    <w:rsid w:val="009F37CA"/>
    <w:rsid w:val="009F4798"/>
    <w:rsid w:val="009F5280"/>
    <w:rsid w:val="009F545C"/>
    <w:rsid w:val="00A00701"/>
    <w:rsid w:val="00A00BE1"/>
    <w:rsid w:val="00A02835"/>
    <w:rsid w:val="00A02D28"/>
    <w:rsid w:val="00A04657"/>
    <w:rsid w:val="00A04F22"/>
    <w:rsid w:val="00A06492"/>
    <w:rsid w:val="00A0729C"/>
    <w:rsid w:val="00A102A7"/>
    <w:rsid w:val="00A1094D"/>
    <w:rsid w:val="00A109A8"/>
    <w:rsid w:val="00A10AA1"/>
    <w:rsid w:val="00A11099"/>
    <w:rsid w:val="00A1132A"/>
    <w:rsid w:val="00A11659"/>
    <w:rsid w:val="00A13201"/>
    <w:rsid w:val="00A132C7"/>
    <w:rsid w:val="00A13B07"/>
    <w:rsid w:val="00A1788D"/>
    <w:rsid w:val="00A215CA"/>
    <w:rsid w:val="00A21F0E"/>
    <w:rsid w:val="00A224F7"/>
    <w:rsid w:val="00A228A9"/>
    <w:rsid w:val="00A22A1C"/>
    <w:rsid w:val="00A22A25"/>
    <w:rsid w:val="00A2588E"/>
    <w:rsid w:val="00A25DD6"/>
    <w:rsid w:val="00A25EC9"/>
    <w:rsid w:val="00A26408"/>
    <w:rsid w:val="00A27670"/>
    <w:rsid w:val="00A27CC8"/>
    <w:rsid w:val="00A30675"/>
    <w:rsid w:val="00A31394"/>
    <w:rsid w:val="00A32DD1"/>
    <w:rsid w:val="00A3402C"/>
    <w:rsid w:val="00A343EB"/>
    <w:rsid w:val="00A355D6"/>
    <w:rsid w:val="00A35901"/>
    <w:rsid w:val="00A36492"/>
    <w:rsid w:val="00A36681"/>
    <w:rsid w:val="00A37085"/>
    <w:rsid w:val="00A3735E"/>
    <w:rsid w:val="00A406C7"/>
    <w:rsid w:val="00A41114"/>
    <w:rsid w:val="00A44651"/>
    <w:rsid w:val="00A46D05"/>
    <w:rsid w:val="00A501F2"/>
    <w:rsid w:val="00A50B2C"/>
    <w:rsid w:val="00A50E49"/>
    <w:rsid w:val="00A5166F"/>
    <w:rsid w:val="00A51F89"/>
    <w:rsid w:val="00A52741"/>
    <w:rsid w:val="00A53B2C"/>
    <w:rsid w:val="00A53B9E"/>
    <w:rsid w:val="00A550F4"/>
    <w:rsid w:val="00A56583"/>
    <w:rsid w:val="00A56772"/>
    <w:rsid w:val="00A5685A"/>
    <w:rsid w:val="00A56AA4"/>
    <w:rsid w:val="00A56C3E"/>
    <w:rsid w:val="00A56E35"/>
    <w:rsid w:val="00A579D6"/>
    <w:rsid w:val="00A60CBF"/>
    <w:rsid w:val="00A61624"/>
    <w:rsid w:val="00A61A55"/>
    <w:rsid w:val="00A61A8F"/>
    <w:rsid w:val="00A61B4C"/>
    <w:rsid w:val="00A63659"/>
    <w:rsid w:val="00A6467F"/>
    <w:rsid w:val="00A64DBB"/>
    <w:rsid w:val="00A657C7"/>
    <w:rsid w:val="00A662B3"/>
    <w:rsid w:val="00A6765B"/>
    <w:rsid w:val="00A7169A"/>
    <w:rsid w:val="00A71860"/>
    <w:rsid w:val="00A722E2"/>
    <w:rsid w:val="00A72505"/>
    <w:rsid w:val="00A728D8"/>
    <w:rsid w:val="00A73262"/>
    <w:rsid w:val="00A73400"/>
    <w:rsid w:val="00A737B5"/>
    <w:rsid w:val="00A73D6F"/>
    <w:rsid w:val="00A7455B"/>
    <w:rsid w:val="00A747AC"/>
    <w:rsid w:val="00A75DBA"/>
    <w:rsid w:val="00A76533"/>
    <w:rsid w:val="00A76906"/>
    <w:rsid w:val="00A80161"/>
    <w:rsid w:val="00A8119D"/>
    <w:rsid w:val="00A8351C"/>
    <w:rsid w:val="00A83962"/>
    <w:rsid w:val="00A84469"/>
    <w:rsid w:val="00A85704"/>
    <w:rsid w:val="00A85E33"/>
    <w:rsid w:val="00A867C7"/>
    <w:rsid w:val="00A878A9"/>
    <w:rsid w:val="00A90D3F"/>
    <w:rsid w:val="00A9158F"/>
    <w:rsid w:val="00A9196B"/>
    <w:rsid w:val="00A91AEB"/>
    <w:rsid w:val="00A96792"/>
    <w:rsid w:val="00A9702B"/>
    <w:rsid w:val="00A973CE"/>
    <w:rsid w:val="00A974B5"/>
    <w:rsid w:val="00A976F7"/>
    <w:rsid w:val="00A9778D"/>
    <w:rsid w:val="00A97EA8"/>
    <w:rsid w:val="00AA00A0"/>
    <w:rsid w:val="00AA0C1A"/>
    <w:rsid w:val="00AA1D58"/>
    <w:rsid w:val="00AA381B"/>
    <w:rsid w:val="00AA3CF9"/>
    <w:rsid w:val="00AA42B6"/>
    <w:rsid w:val="00AA435E"/>
    <w:rsid w:val="00AA4806"/>
    <w:rsid w:val="00AA4CEE"/>
    <w:rsid w:val="00AA5637"/>
    <w:rsid w:val="00AA592B"/>
    <w:rsid w:val="00AA5D76"/>
    <w:rsid w:val="00AA61FC"/>
    <w:rsid w:val="00AA6C56"/>
    <w:rsid w:val="00AB15C2"/>
    <w:rsid w:val="00AB161D"/>
    <w:rsid w:val="00AB1866"/>
    <w:rsid w:val="00AB1886"/>
    <w:rsid w:val="00AB1DD1"/>
    <w:rsid w:val="00AB2210"/>
    <w:rsid w:val="00AB226F"/>
    <w:rsid w:val="00AB257B"/>
    <w:rsid w:val="00AB5BF7"/>
    <w:rsid w:val="00AB5F9D"/>
    <w:rsid w:val="00AB6A4D"/>
    <w:rsid w:val="00AB7596"/>
    <w:rsid w:val="00AC258E"/>
    <w:rsid w:val="00AC2BC9"/>
    <w:rsid w:val="00AC38FC"/>
    <w:rsid w:val="00AC3AE1"/>
    <w:rsid w:val="00AC3D0B"/>
    <w:rsid w:val="00AC46E9"/>
    <w:rsid w:val="00AC48FA"/>
    <w:rsid w:val="00AC537B"/>
    <w:rsid w:val="00AC542D"/>
    <w:rsid w:val="00AC5773"/>
    <w:rsid w:val="00AC75DA"/>
    <w:rsid w:val="00AC79D9"/>
    <w:rsid w:val="00AD0160"/>
    <w:rsid w:val="00AD1CE5"/>
    <w:rsid w:val="00AD2265"/>
    <w:rsid w:val="00AD253A"/>
    <w:rsid w:val="00AD3E5E"/>
    <w:rsid w:val="00AD432F"/>
    <w:rsid w:val="00AD59BA"/>
    <w:rsid w:val="00AD5DF0"/>
    <w:rsid w:val="00AD6310"/>
    <w:rsid w:val="00AD6BC3"/>
    <w:rsid w:val="00AD77CD"/>
    <w:rsid w:val="00AE23D5"/>
    <w:rsid w:val="00AE35BB"/>
    <w:rsid w:val="00AE3FBB"/>
    <w:rsid w:val="00AE5007"/>
    <w:rsid w:val="00AE5112"/>
    <w:rsid w:val="00AE5244"/>
    <w:rsid w:val="00AE52D7"/>
    <w:rsid w:val="00AE5CEB"/>
    <w:rsid w:val="00AE5F79"/>
    <w:rsid w:val="00AE6FF8"/>
    <w:rsid w:val="00AE7525"/>
    <w:rsid w:val="00AF13C1"/>
    <w:rsid w:val="00AF13C4"/>
    <w:rsid w:val="00AF15C1"/>
    <w:rsid w:val="00AF2272"/>
    <w:rsid w:val="00AF264A"/>
    <w:rsid w:val="00AF2688"/>
    <w:rsid w:val="00AF2CA1"/>
    <w:rsid w:val="00AF3559"/>
    <w:rsid w:val="00AF38EC"/>
    <w:rsid w:val="00AF431D"/>
    <w:rsid w:val="00AF5339"/>
    <w:rsid w:val="00AF7410"/>
    <w:rsid w:val="00B005E1"/>
    <w:rsid w:val="00B0161F"/>
    <w:rsid w:val="00B02460"/>
    <w:rsid w:val="00B0440F"/>
    <w:rsid w:val="00B04514"/>
    <w:rsid w:val="00B04BC4"/>
    <w:rsid w:val="00B07642"/>
    <w:rsid w:val="00B11938"/>
    <w:rsid w:val="00B12300"/>
    <w:rsid w:val="00B13097"/>
    <w:rsid w:val="00B13B12"/>
    <w:rsid w:val="00B13D8B"/>
    <w:rsid w:val="00B14537"/>
    <w:rsid w:val="00B14545"/>
    <w:rsid w:val="00B14A03"/>
    <w:rsid w:val="00B156B3"/>
    <w:rsid w:val="00B15ECD"/>
    <w:rsid w:val="00B1616F"/>
    <w:rsid w:val="00B16D54"/>
    <w:rsid w:val="00B1782F"/>
    <w:rsid w:val="00B20A8B"/>
    <w:rsid w:val="00B21A94"/>
    <w:rsid w:val="00B221A0"/>
    <w:rsid w:val="00B228B0"/>
    <w:rsid w:val="00B23841"/>
    <w:rsid w:val="00B239B1"/>
    <w:rsid w:val="00B23E40"/>
    <w:rsid w:val="00B24F96"/>
    <w:rsid w:val="00B25085"/>
    <w:rsid w:val="00B2654C"/>
    <w:rsid w:val="00B2713A"/>
    <w:rsid w:val="00B27343"/>
    <w:rsid w:val="00B27F3D"/>
    <w:rsid w:val="00B27F87"/>
    <w:rsid w:val="00B301F6"/>
    <w:rsid w:val="00B30496"/>
    <w:rsid w:val="00B30780"/>
    <w:rsid w:val="00B3080D"/>
    <w:rsid w:val="00B3143D"/>
    <w:rsid w:val="00B31962"/>
    <w:rsid w:val="00B321A9"/>
    <w:rsid w:val="00B32E48"/>
    <w:rsid w:val="00B33E92"/>
    <w:rsid w:val="00B3475F"/>
    <w:rsid w:val="00B35A54"/>
    <w:rsid w:val="00B37DC7"/>
    <w:rsid w:val="00B40D7A"/>
    <w:rsid w:val="00B410D1"/>
    <w:rsid w:val="00B42813"/>
    <w:rsid w:val="00B42EF4"/>
    <w:rsid w:val="00B4317D"/>
    <w:rsid w:val="00B45BFF"/>
    <w:rsid w:val="00B45E05"/>
    <w:rsid w:val="00B47418"/>
    <w:rsid w:val="00B50668"/>
    <w:rsid w:val="00B5066A"/>
    <w:rsid w:val="00B50A94"/>
    <w:rsid w:val="00B513FC"/>
    <w:rsid w:val="00B51EE3"/>
    <w:rsid w:val="00B52584"/>
    <w:rsid w:val="00B52E3D"/>
    <w:rsid w:val="00B531BC"/>
    <w:rsid w:val="00B539FB"/>
    <w:rsid w:val="00B53B42"/>
    <w:rsid w:val="00B54340"/>
    <w:rsid w:val="00B55E74"/>
    <w:rsid w:val="00B561F7"/>
    <w:rsid w:val="00B56427"/>
    <w:rsid w:val="00B56546"/>
    <w:rsid w:val="00B57F4A"/>
    <w:rsid w:val="00B6060F"/>
    <w:rsid w:val="00B61281"/>
    <w:rsid w:val="00B61E15"/>
    <w:rsid w:val="00B6336D"/>
    <w:rsid w:val="00B644DC"/>
    <w:rsid w:val="00B66374"/>
    <w:rsid w:val="00B66A98"/>
    <w:rsid w:val="00B66B99"/>
    <w:rsid w:val="00B6747C"/>
    <w:rsid w:val="00B70DF2"/>
    <w:rsid w:val="00B70F62"/>
    <w:rsid w:val="00B71249"/>
    <w:rsid w:val="00B71E1E"/>
    <w:rsid w:val="00B724B0"/>
    <w:rsid w:val="00B7295C"/>
    <w:rsid w:val="00B72E40"/>
    <w:rsid w:val="00B74832"/>
    <w:rsid w:val="00B7509B"/>
    <w:rsid w:val="00B75B0B"/>
    <w:rsid w:val="00B76122"/>
    <w:rsid w:val="00B769C2"/>
    <w:rsid w:val="00B77599"/>
    <w:rsid w:val="00B81A4F"/>
    <w:rsid w:val="00B81DF8"/>
    <w:rsid w:val="00B823D7"/>
    <w:rsid w:val="00B83CF0"/>
    <w:rsid w:val="00B84902"/>
    <w:rsid w:val="00B857C1"/>
    <w:rsid w:val="00B85FB3"/>
    <w:rsid w:val="00B86A70"/>
    <w:rsid w:val="00B87991"/>
    <w:rsid w:val="00B87D85"/>
    <w:rsid w:val="00B90D10"/>
    <w:rsid w:val="00B92A4C"/>
    <w:rsid w:val="00B92C61"/>
    <w:rsid w:val="00B92F59"/>
    <w:rsid w:val="00B94A20"/>
    <w:rsid w:val="00B94C2B"/>
    <w:rsid w:val="00B954F0"/>
    <w:rsid w:val="00B95AFA"/>
    <w:rsid w:val="00B9664E"/>
    <w:rsid w:val="00BA010A"/>
    <w:rsid w:val="00BA10C1"/>
    <w:rsid w:val="00BA1CF3"/>
    <w:rsid w:val="00BA2146"/>
    <w:rsid w:val="00BA2416"/>
    <w:rsid w:val="00BA2602"/>
    <w:rsid w:val="00BA4EE9"/>
    <w:rsid w:val="00BA511D"/>
    <w:rsid w:val="00BA5167"/>
    <w:rsid w:val="00BA5837"/>
    <w:rsid w:val="00BA5F86"/>
    <w:rsid w:val="00BA6162"/>
    <w:rsid w:val="00BA7587"/>
    <w:rsid w:val="00BB0107"/>
    <w:rsid w:val="00BB0EEC"/>
    <w:rsid w:val="00BB19F2"/>
    <w:rsid w:val="00BB1B79"/>
    <w:rsid w:val="00BB25DD"/>
    <w:rsid w:val="00BB2ECA"/>
    <w:rsid w:val="00BB2F3B"/>
    <w:rsid w:val="00BB332C"/>
    <w:rsid w:val="00BB467E"/>
    <w:rsid w:val="00BB472F"/>
    <w:rsid w:val="00BB631A"/>
    <w:rsid w:val="00BB7178"/>
    <w:rsid w:val="00BB797A"/>
    <w:rsid w:val="00BC0EDF"/>
    <w:rsid w:val="00BC14C9"/>
    <w:rsid w:val="00BC1771"/>
    <w:rsid w:val="00BC29E7"/>
    <w:rsid w:val="00BC321F"/>
    <w:rsid w:val="00BC3542"/>
    <w:rsid w:val="00BC37E1"/>
    <w:rsid w:val="00BC65F9"/>
    <w:rsid w:val="00BC6822"/>
    <w:rsid w:val="00BC76C1"/>
    <w:rsid w:val="00BC772C"/>
    <w:rsid w:val="00BD073D"/>
    <w:rsid w:val="00BD2582"/>
    <w:rsid w:val="00BD331B"/>
    <w:rsid w:val="00BD3CDA"/>
    <w:rsid w:val="00BD4737"/>
    <w:rsid w:val="00BD4CDB"/>
    <w:rsid w:val="00BD54BE"/>
    <w:rsid w:val="00BD6EF2"/>
    <w:rsid w:val="00BD75BE"/>
    <w:rsid w:val="00BE093D"/>
    <w:rsid w:val="00BE0D5E"/>
    <w:rsid w:val="00BE1811"/>
    <w:rsid w:val="00BE2671"/>
    <w:rsid w:val="00BE31CA"/>
    <w:rsid w:val="00BE3369"/>
    <w:rsid w:val="00BE38FC"/>
    <w:rsid w:val="00BE48EA"/>
    <w:rsid w:val="00BE51A1"/>
    <w:rsid w:val="00BE5D64"/>
    <w:rsid w:val="00BE6386"/>
    <w:rsid w:val="00BE6B83"/>
    <w:rsid w:val="00BE6CB0"/>
    <w:rsid w:val="00BE715F"/>
    <w:rsid w:val="00BF01E2"/>
    <w:rsid w:val="00BF0386"/>
    <w:rsid w:val="00BF0A6B"/>
    <w:rsid w:val="00BF17B7"/>
    <w:rsid w:val="00BF1EE5"/>
    <w:rsid w:val="00BF1F01"/>
    <w:rsid w:val="00BF2373"/>
    <w:rsid w:val="00BF2A0C"/>
    <w:rsid w:val="00BF38C2"/>
    <w:rsid w:val="00BF45D2"/>
    <w:rsid w:val="00BF4DCD"/>
    <w:rsid w:val="00BF4E6C"/>
    <w:rsid w:val="00BF555B"/>
    <w:rsid w:val="00BF5691"/>
    <w:rsid w:val="00BF633A"/>
    <w:rsid w:val="00BF76B1"/>
    <w:rsid w:val="00C00366"/>
    <w:rsid w:val="00C021F9"/>
    <w:rsid w:val="00C03F82"/>
    <w:rsid w:val="00C04170"/>
    <w:rsid w:val="00C041B8"/>
    <w:rsid w:val="00C04246"/>
    <w:rsid w:val="00C045F5"/>
    <w:rsid w:val="00C05820"/>
    <w:rsid w:val="00C05E9A"/>
    <w:rsid w:val="00C05F3B"/>
    <w:rsid w:val="00C10A57"/>
    <w:rsid w:val="00C11451"/>
    <w:rsid w:val="00C11C55"/>
    <w:rsid w:val="00C11E30"/>
    <w:rsid w:val="00C127CF"/>
    <w:rsid w:val="00C1372A"/>
    <w:rsid w:val="00C13FF7"/>
    <w:rsid w:val="00C15CC3"/>
    <w:rsid w:val="00C15D3E"/>
    <w:rsid w:val="00C15E14"/>
    <w:rsid w:val="00C15F8A"/>
    <w:rsid w:val="00C21957"/>
    <w:rsid w:val="00C21A7F"/>
    <w:rsid w:val="00C2464F"/>
    <w:rsid w:val="00C2482A"/>
    <w:rsid w:val="00C250A9"/>
    <w:rsid w:val="00C25C9E"/>
    <w:rsid w:val="00C25E6F"/>
    <w:rsid w:val="00C2671E"/>
    <w:rsid w:val="00C27606"/>
    <w:rsid w:val="00C3154A"/>
    <w:rsid w:val="00C32DA6"/>
    <w:rsid w:val="00C33A44"/>
    <w:rsid w:val="00C33ED2"/>
    <w:rsid w:val="00C344A4"/>
    <w:rsid w:val="00C3466C"/>
    <w:rsid w:val="00C402E3"/>
    <w:rsid w:val="00C40E79"/>
    <w:rsid w:val="00C4250E"/>
    <w:rsid w:val="00C42E13"/>
    <w:rsid w:val="00C44050"/>
    <w:rsid w:val="00C45852"/>
    <w:rsid w:val="00C45F0F"/>
    <w:rsid w:val="00C46130"/>
    <w:rsid w:val="00C47D9C"/>
    <w:rsid w:val="00C47F52"/>
    <w:rsid w:val="00C47F9F"/>
    <w:rsid w:val="00C5053C"/>
    <w:rsid w:val="00C50C64"/>
    <w:rsid w:val="00C50D77"/>
    <w:rsid w:val="00C511DF"/>
    <w:rsid w:val="00C529FF"/>
    <w:rsid w:val="00C5455E"/>
    <w:rsid w:val="00C547AB"/>
    <w:rsid w:val="00C55267"/>
    <w:rsid w:val="00C55661"/>
    <w:rsid w:val="00C56B76"/>
    <w:rsid w:val="00C56D3B"/>
    <w:rsid w:val="00C5723D"/>
    <w:rsid w:val="00C610E6"/>
    <w:rsid w:val="00C619EA"/>
    <w:rsid w:val="00C61F45"/>
    <w:rsid w:val="00C6468B"/>
    <w:rsid w:val="00C650F0"/>
    <w:rsid w:val="00C663A0"/>
    <w:rsid w:val="00C66E16"/>
    <w:rsid w:val="00C7051D"/>
    <w:rsid w:val="00C731C4"/>
    <w:rsid w:val="00C74A00"/>
    <w:rsid w:val="00C75684"/>
    <w:rsid w:val="00C75F85"/>
    <w:rsid w:val="00C760EC"/>
    <w:rsid w:val="00C765F7"/>
    <w:rsid w:val="00C776A7"/>
    <w:rsid w:val="00C77747"/>
    <w:rsid w:val="00C80373"/>
    <w:rsid w:val="00C80C2F"/>
    <w:rsid w:val="00C80F61"/>
    <w:rsid w:val="00C8150F"/>
    <w:rsid w:val="00C83E51"/>
    <w:rsid w:val="00C84037"/>
    <w:rsid w:val="00C84306"/>
    <w:rsid w:val="00C85F20"/>
    <w:rsid w:val="00C860E5"/>
    <w:rsid w:val="00C8630E"/>
    <w:rsid w:val="00C8728F"/>
    <w:rsid w:val="00C87BDC"/>
    <w:rsid w:val="00C91858"/>
    <w:rsid w:val="00C91D5F"/>
    <w:rsid w:val="00C929FB"/>
    <w:rsid w:val="00C92D3F"/>
    <w:rsid w:val="00C934E0"/>
    <w:rsid w:val="00C935D7"/>
    <w:rsid w:val="00C93932"/>
    <w:rsid w:val="00C95272"/>
    <w:rsid w:val="00C95D78"/>
    <w:rsid w:val="00C960CC"/>
    <w:rsid w:val="00C96563"/>
    <w:rsid w:val="00C975F8"/>
    <w:rsid w:val="00C979AC"/>
    <w:rsid w:val="00CA06CE"/>
    <w:rsid w:val="00CA1DD4"/>
    <w:rsid w:val="00CA21CA"/>
    <w:rsid w:val="00CA2778"/>
    <w:rsid w:val="00CA295A"/>
    <w:rsid w:val="00CA3CB4"/>
    <w:rsid w:val="00CA4131"/>
    <w:rsid w:val="00CA4544"/>
    <w:rsid w:val="00CA4862"/>
    <w:rsid w:val="00CA57BB"/>
    <w:rsid w:val="00CA7815"/>
    <w:rsid w:val="00CA7CE1"/>
    <w:rsid w:val="00CA7EEF"/>
    <w:rsid w:val="00CA7FDB"/>
    <w:rsid w:val="00CB0DEB"/>
    <w:rsid w:val="00CB1771"/>
    <w:rsid w:val="00CB382F"/>
    <w:rsid w:val="00CB3C2C"/>
    <w:rsid w:val="00CB413D"/>
    <w:rsid w:val="00CB45E0"/>
    <w:rsid w:val="00CB4DA4"/>
    <w:rsid w:val="00CB5CD4"/>
    <w:rsid w:val="00CB63E6"/>
    <w:rsid w:val="00CB6E52"/>
    <w:rsid w:val="00CB76C9"/>
    <w:rsid w:val="00CC029E"/>
    <w:rsid w:val="00CC0BAB"/>
    <w:rsid w:val="00CC0DE2"/>
    <w:rsid w:val="00CC129D"/>
    <w:rsid w:val="00CC1382"/>
    <w:rsid w:val="00CC1C27"/>
    <w:rsid w:val="00CC2098"/>
    <w:rsid w:val="00CC245E"/>
    <w:rsid w:val="00CC2D89"/>
    <w:rsid w:val="00CC3267"/>
    <w:rsid w:val="00CC32E5"/>
    <w:rsid w:val="00CC3AF3"/>
    <w:rsid w:val="00CC5D43"/>
    <w:rsid w:val="00CC5D59"/>
    <w:rsid w:val="00CC7A5C"/>
    <w:rsid w:val="00CD3273"/>
    <w:rsid w:val="00CD3DFF"/>
    <w:rsid w:val="00CD510E"/>
    <w:rsid w:val="00CD5815"/>
    <w:rsid w:val="00CD5B1E"/>
    <w:rsid w:val="00CD70CE"/>
    <w:rsid w:val="00CD75FE"/>
    <w:rsid w:val="00CD778B"/>
    <w:rsid w:val="00CE0E76"/>
    <w:rsid w:val="00CE1F41"/>
    <w:rsid w:val="00CE2665"/>
    <w:rsid w:val="00CE2A1C"/>
    <w:rsid w:val="00CE422F"/>
    <w:rsid w:val="00CE44AA"/>
    <w:rsid w:val="00CE485D"/>
    <w:rsid w:val="00CE4DBF"/>
    <w:rsid w:val="00CF0000"/>
    <w:rsid w:val="00CF0369"/>
    <w:rsid w:val="00CF0D87"/>
    <w:rsid w:val="00CF17AA"/>
    <w:rsid w:val="00CF17FF"/>
    <w:rsid w:val="00CF290D"/>
    <w:rsid w:val="00CF2B97"/>
    <w:rsid w:val="00CF2C71"/>
    <w:rsid w:val="00CF4781"/>
    <w:rsid w:val="00CF62BA"/>
    <w:rsid w:val="00CF7121"/>
    <w:rsid w:val="00CF72CB"/>
    <w:rsid w:val="00D00F02"/>
    <w:rsid w:val="00D01F22"/>
    <w:rsid w:val="00D0227D"/>
    <w:rsid w:val="00D02488"/>
    <w:rsid w:val="00D026D4"/>
    <w:rsid w:val="00D03578"/>
    <w:rsid w:val="00D040B9"/>
    <w:rsid w:val="00D0486B"/>
    <w:rsid w:val="00D06917"/>
    <w:rsid w:val="00D06D32"/>
    <w:rsid w:val="00D102DA"/>
    <w:rsid w:val="00D118D3"/>
    <w:rsid w:val="00D1298D"/>
    <w:rsid w:val="00D12D9F"/>
    <w:rsid w:val="00D12E1C"/>
    <w:rsid w:val="00D13483"/>
    <w:rsid w:val="00D137AB"/>
    <w:rsid w:val="00D13F1F"/>
    <w:rsid w:val="00D14783"/>
    <w:rsid w:val="00D14B9A"/>
    <w:rsid w:val="00D14CF4"/>
    <w:rsid w:val="00D20849"/>
    <w:rsid w:val="00D21667"/>
    <w:rsid w:val="00D21B92"/>
    <w:rsid w:val="00D22A5B"/>
    <w:rsid w:val="00D23D1B"/>
    <w:rsid w:val="00D23F9D"/>
    <w:rsid w:val="00D245F2"/>
    <w:rsid w:val="00D271F4"/>
    <w:rsid w:val="00D303A3"/>
    <w:rsid w:val="00D30469"/>
    <w:rsid w:val="00D3181A"/>
    <w:rsid w:val="00D31993"/>
    <w:rsid w:val="00D31ADE"/>
    <w:rsid w:val="00D3212B"/>
    <w:rsid w:val="00D32884"/>
    <w:rsid w:val="00D330EA"/>
    <w:rsid w:val="00D3621D"/>
    <w:rsid w:val="00D36E55"/>
    <w:rsid w:val="00D3733D"/>
    <w:rsid w:val="00D374E5"/>
    <w:rsid w:val="00D37B43"/>
    <w:rsid w:val="00D37F08"/>
    <w:rsid w:val="00D41884"/>
    <w:rsid w:val="00D428A4"/>
    <w:rsid w:val="00D429D3"/>
    <w:rsid w:val="00D42D3C"/>
    <w:rsid w:val="00D437E6"/>
    <w:rsid w:val="00D444B0"/>
    <w:rsid w:val="00D44ED2"/>
    <w:rsid w:val="00D45140"/>
    <w:rsid w:val="00D462AF"/>
    <w:rsid w:val="00D4798F"/>
    <w:rsid w:val="00D50847"/>
    <w:rsid w:val="00D518A1"/>
    <w:rsid w:val="00D51E6A"/>
    <w:rsid w:val="00D541C3"/>
    <w:rsid w:val="00D54F70"/>
    <w:rsid w:val="00D5593D"/>
    <w:rsid w:val="00D55DC7"/>
    <w:rsid w:val="00D566B4"/>
    <w:rsid w:val="00D56DA1"/>
    <w:rsid w:val="00D6239A"/>
    <w:rsid w:val="00D63069"/>
    <w:rsid w:val="00D630FF"/>
    <w:rsid w:val="00D64001"/>
    <w:rsid w:val="00D65035"/>
    <w:rsid w:val="00D65285"/>
    <w:rsid w:val="00D6576E"/>
    <w:rsid w:val="00D658D2"/>
    <w:rsid w:val="00D65D53"/>
    <w:rsid w:val="00D65EBC"/>
    <w:rsid w:val="00D668F7"/>
    <w:rsid w:val="00D66FC4"/>
    <w:rsid w:val="00D67120"/>
    <w:rsid w:val="00D671E5"/>
    <w:rsid w:val="00D67340"/>
    <w:rsid w:val="00D70A2B"/>
    <w:rsid w:val="00D70FED"/>
    <w:rsid w:val="00D71908"/>
    <w:rsid w:val="00D71E2E"/>
    <w:rsid w:val="00D72889"/>
    <w:rsid w:val="00D728FD"/>
    <w:rsid w:val="00D740A2"/>
    <w:rsid w:val="00D7516D"/>
    <w:rsid w:val="00D75C58"/>
    <w:rsid w:val="00D76BA5"/>
    <w:rsid w:val="00D76F86"/>
    <w:rsid w:val="00D77756"/>
    <w:rsid w:val="00D80D9F"/>
    <w:rsid w:val="00D80DA0"/>
    <w:rsid w:val="00D80FEA"/>
    <w:rsid w:val="00D82B56"/>
    <w:rsid w:val="00D83018"/>
    <w:rsid w:val="00D837C9"/>
    <w:rsid w:val="00D83A04"/>
    <w:rsid w:val="00D84CA3"/>
    <w:rsid w:val="00D86D77"/>
    <w:rsid w:val="00D86F61"/>
    <w:rsid w:val="00D9080E"/>
    <w:rsid w:val="00D931FA"/>
    <w:rsid w:val="00D93D6F"/>
    <w:rsid w:val="00D942C3"/>
    <w:rsid w:val="00D94988"/>
    <w:rsid w:val="00D957BD"/>
    <w:rsid w:val="00D95B54"/>
    <w:rsid w:val="00D97350"/>
    <w:rsid w:val="00DA0884"/>
    <w:rsid w:val="00DA08AD"/>
    <w:rsid w:val="00DA0C22"/>
    <w:rsid w:val="00DA2776"/>
    <w:rsid w:val="00DA3655"/>
    <w:rsid w:val="00DA4325"/>
    <w:rsid w:val="00DA511C"/>
    <w:rsid w:val="00DA5A57"/>
    <w:rsid w:val="00DA6247"/>
    <w:rsid w:val="00DA7AEA"/>
    <w:rsid w:val="00DB1253"/>
    <w:rsid w:val="00DB254A"/>
    <w:rsid w:val="00DB2B78"/>
    <w:rsid w:val="00DB2D72"/>
    <w:rsid w:val="00DB3B85"/>
    <w:rsid w:val="00DB3C87"/>
    <w:rsid w:val="00DB5413"/>
    <w:rsid w:val="00DB5BAD"/>
    <w:rsid w:val="00DB6BE0"/>
    <w:rsid w:val="00DB7C72"/>
    <w:rsid w:val="00DB7F02"/>
    <w:rsid w:val="00DC0922"/>
    <w:rsid w:val="00DC1C49"/>
    <w:rsid w:val="00DC25B8"/>
    <w:rsid w:val="00DC25E9"/>
    <w:rsid w:val="00DC2E79"/>
    <w:rsid w:val="00DC2E97"/>
    <w:rsid w:val="00DC4204"/>
    <w:rsid w:val="00DC4D05"/>
    <w:rsid w:val="00DC602B"/>
    <w:rsid w:val="00DC6937"/>
    <w:rsid w:val="00DC77BE"/>
    <w:rsid w:val="00DC7C22"/>
    <w:rsid w:val="00DD0262"/>
    <w:rsid w:val="00DD038F"/>
    <w:rsid w:val="00DD0DFD"/>
    <w:rsid w:val="00DD1F25"/>
    <w:rsid w:val="00DD2013"/>
    <w:rsid w:val="00DD2660"/>
    <w:rsid w:val="00DD270E"/>
    <w:rsid w:val="00DD323A"/>
    <w:rsid w:val="00DD35E7"/>
    <w:rsid w:val="00DD3F6F"/>
    <w:rsid w:val="00DD5529"/>
    <w:rsid w:val="00DD5BCE"/>
    <w:rsid w:val="00DD6288"/>
    <w:rsid w:val="00DD7CF0"/>
    <w:rsid w:val="00DE0867"/>
    <w:rsid w:val="00DE135B"/>
    <w:rsid w:val="00DE1736"/>
    <w:rsid w:val="00DE2B05"/>
    <w:rsid w:val="00DE2EE3"/>
    <w:rsid w:val="00DE3497"/>
    <w:rsid w:val="00DE398D"/>
    <w:rsid w:val="00DE4363"/>
    <w:rsid w:val="00DE487E"/>
    <w:rsid w:val="00DE6952"/>
    <w:rsid w:val="00DE72CA"/>
    <w:rsid w:val="00DE749D"/>
    <w:rsid w:val="00DF03F2"/>
    <w:rsid w:val="00DF0C7B"/>
    <w:rsid w:val="00DF18D8"/>
    <w:rsid w:val="00DF26EA"/>
    <w:rsid w:val="00DF2A12"/>
    <w:rsid w:val="00DF3D2D"/>
    <w:rsid w:val="00DF4E56"/>
    <w:rsid w:val="00DF5718"/>
    <w:rsid w:val="00DF5CD4"/>
    <w:rsid w:val="00DF7626"/>
    <w:rsid w:val="00E01CE5"/>
    <w:rsid w:val="00E021E0"/>
    <w:rsid w:val="00E023CE"/>
    <w:rsid w:val="00E026E7"/>
    <w:rsid w:val="00E0298B"/>
    <w:rsid w:val="00E030B1"/>
    <w:rsid w:val="00E031C8"/>
    <w:rsid w:val="00E03C9A"/>
    <w:rsid w:val="00E0484E"/>
    <w:rsid w:val="00E04CF2"/>
    <w:rsid w:val="00E04E29"/>
    <w:rsid w:val="00E050BC"/>
    <w:rsid w:val="00E05520"/>
    <w:rsid w:val="00E0666B"/>
    <w:rsid w:val="00E0692F"/>
    <w:rsid w:val="00E0763C"/>
    <w:rsid w:val="00E078BD"/>
    <w:rsid w:val="00E109A8"/>
    <w:rsid w:val="00E11B76"/>
    <w:rsid w:val="00E11E9A"/>
    <w:rsid w:val="00E1454B"/>
    <w:rsid w:val="00E14552"/>
    <w:rsid w:val="00E146BB"/>
    <w:rsid w:val="00E147E8"/>
    <w:rsid w:val="00E15785"/>
    <w:rsid w:val="00E15AEB"/>
    <w:rsid w:val="00E16650"/>
    <w:rsid w:val="00E16AF4"/>
    <w:rsid w:val="00E16BD5"/>
    <w:rsid w:val="00E17D63"/>
    <w:rsid w:val="00E2048C"/>
    <w:rsid w:val="00E20736"/>
    <w:rsid w:val="00E20FF3"/>
    <w:rsid w:val="00E240B2"/>
    <w:rsid w:val="00E266DC"/>
    <w:rsid w:val="00E27697"/>
    <w:rsid w:val="00E27E0D"/>
    <w:rsid w:val="00E27E17"/>
    <w:rsid w:val="00E304F2"/>
    <w:rsid w:val="00E30AF6"/>
    <w:rsid w:val="00E30DBE"/>
    <w:rsid w:val="00E33874"/>
    <w:rsid w:val="00E3543C"/>
    <w:rsid w:val="00E36736"/>
    <w:rsid w:val="00E4201E"/>
    <w:rsid w:val="00E42376"/>
    <w:rsid w:val="00E43F84"/>
    <w:rsid w:val="00E46F02"/>
    <w:rsid w:val="00E47A42"/>
    <w:rsid w:val="00E51C5E"/>
    <w:rsid w:val="00E5278A"/>
    <w:rsid w:val="00E53AD1"/>
    <w:rsid w:val="00E54E09"/>
    <w:rsid w:val="00E5567E"/>
    <w:rsid w:val="00E55AF5"/>
    <w:rsid w:val="00E55E45"/>
    <w:rsid w:val="00E56D95"/>
    <w:rsid w:val="00E571F7"/>
    <w:rsid w:val="00E5768E"/>
    <w:rsid w:val="00E601B9"/>
    <w:rsid w:val="00E612A8"/>
    <w:rsid w:val="00E614EA"/>
    <w:rsid w:val="00E62F05"/>
    <w:rsid w:val="00E6305F"/>
    <w:rsid w:val="00E63A9E"/>
    <w:rsid w:val="00E64E9F"/>
    <w:rsid w:val="00E651DF"/>
    <w:rsid w:val="00E656F8"/>
    <w:rsid w:val="00E65ED7"/>
    <w:rsid w:val="00E67954"/>
    <w:rsid w:val="00E7096C"/>
    <w:rsid w:val="00E717A7"/>
    <w:rsid w:val="00E72228"/>
    <w:rsid w:val="00E74A24"/>
    <w:rsid w:val="00E74ACC"/>
    <w:rsid w:val="00E74C5B"/>
    <w:rsid w:val="00E75676"/>
    <w:rsid w:val="00E76E11"/>
    <w:rsid w:val="00E779EE"/>
    <w:rsid w:val="00E82889"/>
    <w:rsid w:val="00E82F58"/>
    <w:rsid w:val="00E836CC"/>
    <w:rsid w:val="00E842CB"/>
    <w:rsid w:val="00E847C7"/>
    <w:rsid w:val="00E86B1C"/>
    <w:rsid w:val="00E86E56"/>
    <w:rsid w:val="00E871AE"/>
    <w:rsid w:val="00E87749"/>
    <w:rsid w:val="00E878C7"/>
    <w:rsid w:val="00E8798B"/>
    <w:rsid w:val="00E87DBD"/>
    <w:rsid w:val="00E93683"/>
    <w:rsid w:val="00E946F2"/>
    <w:rsid w:val="00E94BE2"/>
    <w:rsid w:val="00E95E4E"/>
    <w:rsid w:val="00E97895"/>
    <w:rsid w:val="00EA09A9"/>
    <w:rsid w:val="00EA107C"/>
    <w:rsid w:val="00EA32CD"/>
    <w:rsid w:val="00EA342D"/>
    <w:rsid w:val="00EA3F7F"/>
    <w:rsid w:val="00EA6F01"/>
    <w:rsid w:val="00EA7DB0"/>
    <w:rsid w:val="00EB00DF"/>
    <w:rsid w:val="00EB248E"/>
    <w:rsid w:val="00EB3E6C"/>
    <w:rsid w:val="00EB409D"/>
    <w:rsid w:val="00EB4DDA"/>
    <w:rsid w:val="00EB6414"/>
    <w:rsid w:val="00EB7877"/>
    <w:rsid w:val="00EC09EA"/>
    <w:rsid w:val="00EC0B64"/>
    <w:rsid w:val="00EC2DC2"/>
    <w:rsid w:val="00EC30AD"/>
    <w:rsid w:val="00EC3258"/>
    <w:rsid w:val="00EC380C"/>
    <w:rsid w:val="00EC3B49"/>
    <w:rsid w:val="00EC3FA7"/>
    <w:rsid w:val="00EC5420"/>
    <w:rsid w:val="00EC56C8"/>
    <w:rsid w:val="00ED07A7"/>
    <w:rsid w:val="00ED1747"/>
    <w:rsid w:val="00ED1C3F"/>
    <w:rsid w:val="00ED2403"/>
    <w:rsid w:val="00ED2BF6"/>
    <w:rsid w:val="00ED3066"/>
    <w:rsid w:val="00ED310E"/>
    <w:rsid w:val="00ED379B"/>
    <w:rsid w:val="00ED3E1C"/>
    <w:rsid w:val="00ED544F"/>
    <w:rsid w:val="00ED6187"/>
    <w:rsid w:val="00ED6C76"/>
    <w:rsid w:val="00ED6FED"/>
    <w:rsid w:val="00EE0356"/>
    <w:rsid w:val="00EE0D99"/>
    <w:rsid w:val="00EE0E72"/>
    <w:rsid w:val="00EE199B"/>
    <w:rsid w:val="00EE222B"/>
    <w:rsid w:val="00EE33A9"/>
    <w:rsid w:val="00EE4BED"/>
    <w:rsid w:val="00EE538B"/>
    <w:rsid w:val="00EE67CA"/>
    <w:rsid w:val="00EE7649"/>
    <w:rsid w:val="00EE7A4F"/>
    <w:rsid w:val="00EE7FDA"/>
    <w:rsid w:val="00EF0906"/>
    <w:rsid w:val="00EF10E2"/>
    <w:rsid w:val="00EF2045"/>
    <w:rsid w:val="00EF3B6E"/>
    <w:rsid w:val="00EF5941"/>
    <w:rsid w:val="00EF6072"/>
    <w:rsid w:val="00EF67E1"/>
    <w:rsid w:val="00F004B2"/>
    <w:rsid w:val="00F00636"/>
    <w:rsid w:val="00F00B43"/>
    <w:rsid w:val="00F00CFB"/>
    <w:rsid w:val="00F0382B"/>
    <w:rsid w:val="00F03FCF"/>
    <w:rsid w:val="00F04B19"/>
    <w:rsid w:val="00F056D5"/>
    <w:rsid w:val="00F05F15"/>
    <w:rsid w:val="00F0665F"/>
    <w:rsid w:val="00F06E0F"/>
    <w:rsid w:val="00F078FA"/>
    <w:rsid w:val="00F10CC3"/>
    <w:rsid w:val="00F122AE"/>
    <w:rsid w:val="00F1469E"/>
    <w:rsid w:val="00F157A2"/>
    <w:rsid w:val="00F16590"/>
    <w:rsid w:val="00F171AC"/>
    <w:rsid w:val="00F1774E"/>
    <w:rsid w:val="00F178A5"/>
    <w:rsid w:val="00F20051"/>
    <w:rsid w:val="00F210E8"/>
    <w:rsid w:val="00F2113A"/>
    <w:rsid w:val="00F2114D"/>
    <w:rsid w:val="00F235B4"/>
    <w:rsid w:val="00F23E42"/>
    <w:rsid w:val="00F25C6E"/>
    <w:rsid w:val="00F26470"/>
    <w:rsid w:val="00F26ED6"/>
    <w:rsid w:val="00F30561"/>
    <w:rsid w:val="00F30BA7"/>
    <w:rsid w:val="00F30D3D"/>
    <w:rsid w:val="00F31673"/>
    <w:rsid w:val="00F325B0"/>
    <w:rsid w:val="00F32FD7"/>
    <w:rsid w:val="00F34693"/>
    <w:rsid w:val="00F34710"/>
    <w:rsid w:val="00F35FF9"/>
    <w:rsid w:val="00F42287"/>
    <w:rsid w:val="00F42D01"/>
    <w:rsid w:val="00F436A3"/>
    <w:rsid w:val="00F46762"/>
    <w:rsid w:val="00F4758B"/>
    <w:rsid w:val="00F4766F"/>
    <w:rsid w:val="00F47853"/>
    <w:rsid w:val="00F516FA"/>
    <w:rsid w:val="00F5179D"/>
    <w:rsid w:val="00F528FC"/>
    <w:rsid w:val="00F5314B"/>
    <w:rsid w:val="00F53833"/>
    <w:rsid w:val="00F54583"/>
    <w:rsid w:val="00F54F67"/>
    <w:rsid w:val="00F57B13"/>
    <w:rsid w:val="00F57BB5"/>
    <w:rsid w:val="00F62189"/>
    <w:rsid w:val="00F634BE"/>
    <w:rsid w:val="00F6433C"/>
    <w:rsid w:val="00F6548E"/>
    <w:rsid w:val="00F65F4E"/>
    <w:rsid w:val="00F66FFC"/>
    <w:rsid w:val="00F6794F"/>
    <w:rsid w:val="00F701AE"/>
    <w:rsid w:val="00F70CA3"/>
    <w:rsid w:val="00F725AD"/>
    <w:rsid w:val="00F72668"/>
    <w:rsid w:val="00F7308A"/>
    <w:rsid w:val="00F73CD0"/>
    <w:rsid w:val="00F74750"/>
    <w:rsid w:val="00F747ED"/>
    <w:rsid w:val="00F74E91"/>
    <w:rsid w:val="00F74F9E"/>
    <w:rsid w:val="00F765EA"/>
    <w:rsid w:val="00F76B00"/>
    <w:rsid w:val="00F804B6"/>
    <w:rsid w:val="00F80622"/>
    <w:rsid w:val="00F81207"/>
    <w:rsid w:val="00F815D3"/>
    <w:rsid w:val="00F82771"/>
    <w:rsid w:val="00F82D6B"/>
    <w:rsid w:val="00F8384A"/>
    <w:rsid w:val="00F847D3"/>
    <w:rsid w:val="00F85944"/>
    <w:rsid w:val="00F86240"/>
    <w:rsid w:val="00F9061A"/>
    <w:rsid w:val="00F90BCB"/>
    <w:rsid w:val="00F91311"/>
    <w:rsid w:val="00F91FB1"/>
    <w:rsid w:val="00F9266A"/>
    <w:rsid w:val="00F93EDE"/>
    <w:rsid w:val="00F951B8"/>
    <w:rsid w:val="00F9719B"/>
    <w:rsid w:val="00F972AE"/>
    <w:rsid w:val="00F974CB"/>
    <w:rsid w:val="00F9788E"/>
    <w:rsid w:val="00F97AEB"/>
    <w:rsid w:val="00F97CE2"/>
    <w:rsid w:val="00FA01F1"/>
    <w:rsid w:val="00FA047A"/>
    <w:rsid w:val="00FA0B81"/>
    <w:rsid w:val="00FA1352"/>
    <w:rsid w:val="00FA13A5"/>
    <w:rsid w:val="00FA2247"/>
    <w:rsid w:val="00FA49A0"/>
    <w:rsid w:val="00FA635F"/>
    <w:rsid w:val="00FA79A4"/>
    <w:rsid w:val="00FA7D58"/>
    <w:rsid w:val="00FA7F65"/>
    <w:rsid w:val="00FB042D"/>
    <w:rsid w:val="00FB1568"/>
    <w:rsid w:val="00FB1A22"/>
    <w:rsid w:val="00FB2758"/>
    <w:rsid w:val="00FB2EA6"/>
    <w:rsid w:val="00FB3302"/>
    <w:rsid w:val="00FB38CD"/>
    <w:rsid w:val="00FB41B3"/>
    <w:rsid w:val="00FB46AC"/>
    <w:rsid w:val="00FB4777"/>
    <w:rsid w:val="00FB5DD6"/>
    <w:rsid w:val="00FB60C5"/>
    <w:rsid w:val="00FB60D0"/>
    <w:rsid w:val="00FB6AEA"/>
    <w:rsid w:val="00FC032E"/>
    <w:rsid w:val="00FC0D20"/>
    <w:rsid w:val="00FC0EFF"/>
    <w:rsid w:val="00FC11ED"/>
    <w:rsid w:val="00FC1434"/>
    <w:rsid w:val="00FC1A62"/>
    <w:rsid w:val="00FC1BE5"/>
    <w:rsid w:val="00FC3647"/>
    <w:rsid w:val="00FC4514"/>
    <w:rsid w:val="00FC4922"/>
    <w:rsid w:val="00FC562F"/>
    <w:rsid w:val="00FC6E27"/>
    <w:rsid w:val="00FC74D0"/>
    <w:rsid w:val="00FD03DD"/>
    <w:rsid w:val="00FD1788"/>
    <w:rsid w:val="00FD5D1E"/>
    <w:rsid w:val="00FD6F49"/>
    <w:rsid w:val="00FE027E"/>
    <w:rsid w:val="00FE098C"/>
    <w:rsid w:val="00FE24F2"/>
    <w:rsid w:val="00FE3769"/>
    <w:rsid w:val="00FE45D3"/>
    <w:rsid w:val="00FE5159"/>
    <w:rsid w:val="00FE6BC1"/>
    <w:rsid w:val="00FF01CB"/>
    <w:rsid w:val="00FF0AD9"/>
    <w:rsid w:val="00FF2DA1"/>
    <w:rsid w:val="00FF311C"/>
    <w:rsid w:val="00FF3B86"/>
    <w:rsid w:val="00FF5436"/>
    <w:rsid w:val="00FF54BF"/>
    <w:rsid w:val="00FF7A32"/>
    <w:rsid w:val="01551B67"/>
    <w:rsid w:val="015C1D61"/>
    <w:rsid w:val="02841E61"/>
    <w:rsid w:val="03D512BE"/>
    <w:rsid w:val="04BE213D"/>
    <w:rsid w:val="05963229"/>
    <w:rsid w:val="05C71627"/>
    <w:rsid w:val="05E272B9"/>
    <w:rsid w:val="063D37A8"/>
    <w:rsid w:val="079B2CA7"/>
    <w:rsid w:val="088A5830"/>
    <w:rsid w:val="08F94DA9"/>
    <w:rsid w:val="0CA0395A"/>
    <w:rsid w:val="0ECA5887"/>
    <w:rsid w:val="102B3111"/>
    <w:rsid w:val="113F76C4"/>
    <w:rsid w:val="11EB5DDA"/>
    <w:rsid w:val="164C631C"/>
    <w:rsid w:val="16E264AD"/>
    <w:rsid w:val="16F55867"/>
    <w:rsid w:val="17057AF0"/>
    <w:rsid w:val="177A3746"/>
    <w:rsid w:val="19FA5C7D"/>
    <w:rsid w:val="1C626778"/>
    <w:rsid w:val="1FA523C8"/>
    <w:rsid w:val="210646DC"/>
    <w:rsid w:val="21907419"/>
    <w:rsid w:val="23A13378"/>
    <w:rsid w:val="25FC7F1E"/>
    <w:rsid w:val="2651580D"/>
    <w:rsid w:val="2672399A"/>
    <w:rsid w:val="27955B59"/>
    <w:rsid w:val="27A54EEE"/>
    <w:rsid w:val="28494885"/>
    <w:rsid w:val="2A73675D"/>
    <w:rsid w:val="2B3A54A6"/>
    <w:rsid w:val="2DCF76D0"/>
    <w:rsid w:val="2F1B66B1"/>
    <w:rsid w:val="2F207994"/>
    <w:rsid w:val="2F4B2F73"/>
    <w:rsid w:val="30021E96"/>
    <w:rsid w:val="33045196"/>
    <w:rsid w:val="33C07BD0"/>
    <w:rsid w:val="34654127"/>
    <w:rsid w:val="35441CAF"/>
    <w:rsid w:val="3590098A"/>
    <w:rsid w:val="38496C10"/>
    <w:rsid w:val="3902054E"/>
    <w:rsid w:val="3A3240FD"/>
    <w:rsid w:val="3B1709A3"/>
    <w:rsid w:val="3B8A1BE0"/>
    <w:rsid w:val="3C462659"/>
    <w:rsid w:val="3D1016F2"/>
    <w:rsid w:val="40123B75"/>
    <w:rsid w:val="41A34141"/>
    <w:rsid w:val="43C065DE"/>
    <w:rsid w:val="44A100E6"/>
    <w:rsid w:val="44AE4EF6"/>
    <w:rsid w:val="4756514A"/>
    <w:rsid w:val="4A145ACB"/>
    <w:rsid w:val="4AEE50C3"/>
    <w:rsid w:val="4BC650D8"/>
    <w:rsid w:val="4DA91339"/>
    <w:rsid w:val="4EE1364C"/>
    <w:rsid w:val="4F5E63B8"/>
    <w:rsid w:val="4FDB712B"/>
    <w:rsid w:val="50B94153"/>
    <w:rsid w:val="52F834F9"/>
    <w:rsid w:val="52FB3D7B"/>
    <w:rsid w:val="530D3623"/>
    <w:rsid w:val="538B23DF"/>
    <w:rsid w:val="54F712A8"/>
    <w:rsid w:val="55161AE2"/>
    <w:rsid w:val="56F87560"/>
    <w:rsid w:val="58F34DA2"/>
    <w:rsid w:val="5A5904CE"/>
    <w:rsid w:val="5D031782"/>
    <w:rsid w:val="5DE90DAE"/>
    <w:rsid w:val="5F1573CA"/>
    <w:rsid w:val="60772525"/>
    <w:rsid w:val="616321CF"/>
    <w:rsid w:val="6266375C"/>
    <w:rsid w:val="62AD0AA0"/>
    <w:rsid w:val="635A5188"/>
    <w:rsid w:val="640814B6"/>
    <w:rsid w:val="65B218F4"/>
    <w:rsid w:val="67D66BBE"/>
    <w:rsid w:val="692C5FC9"/>
    <w:rsid w:val="696050EB"/>
    <w:rsid w:val="69A52EAB"/>
    <w:rsid w:val="6B806E9E"/>
    <w:rsid w:val="6E987041"/>
    <w:rsid w:val="6F1E02A6"/>
    <w:rsid w:val="73D15C08"/>
    <w:rsid w:val="74CF435D"/>
    <w:rsid w:val="76114823"/>
    <w:rsid w:val="78506635"/>
    <w:rsid w:val="78D2507C"/>
    <w:rsid w:val="78E51A42"/>
    <w:rsid w:val="79D75168"/>
    <w:rsid w:val="7B8C7DE9"/>
    <w:rsid w:val="7E0B13E9"/>
    <w:rsid w:val="7F4B3E9C"/>
    <w:rsid w:val="7F972D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8"/>
    <w:qFormat/>
    <w:uiPriority w:val="9"/>
    <w:pPr>
      <w:keepNext/>
      <w:spacing w:line="340" w:lineRule="exact"/>
      <w:outlineLvl w:val="0"/>
    </w:pPr>
    <w:rPr>
      <w:b/>
      <w:bCs/>
    </w:rPr>
  </w:style>
  <w:style w:type="paragraph" w:styleId="4">
    <w:name w:val="heading 2"/>
    <w:basedOn w:val="1"/>
    <w:next w:val="1"/>
    <w:link w:val="8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3"/>
    <w:qFormat/>
    <w:uiPriority w:val="9"/>
    <w:pPr>
      <w:keepNext/>
      <w:keepLines/>
      <w:spacing w:before="260" w:after="260" w:line="416" w:lineRule="auto"/>
      <w:outlineLvl w:val="2"/>
    </w:pPr>
    <w:rPr>
      <w:b/>
      <w:bCs/>
      <w:sz w:val="32"/>
      <w:szCs w:val="32"/>
    </w:rPr>
  </w:style>
  <w:style w:type="paragraph" w:styleId="6">
    <w:name w:val="heading 4"/>
    <w:basedOn w:val="1"/>
    <w:next w:val="7"/>
    <w:link w:val="74"/>
    <w:qFormat/>
    <w:uiPriority w:val="0"/>
    <w:pPr>
      <w:keepNext/>
      <w:keepLines/>
      <w:spacing w:before="280" w:after="290" w:line="376" w:lineRule="auto"/>
      <w:outlineLvl w:val="3"/>
    </w:pPr>
    <w:rPr>
      <w:rFonts w:ascii="宋体" w:hAnsi="Arial" w:eastAsia="黑体"/>
      <w:b/>
      <w:sz w:val="24"/>
      <w:szCs w:val="20"/>
    </w:rPr>
  </w:style>
  <w:style w:type="paragraph" w:styleId="8">
    <w:name w:val="heading 5"/>
    <w:basedOn w:val="1"/>
    <w:next w:val="7"/>
    <w:link w:val="56"/>
    <w:qFormat/>
    <w:uiPriority w:val="0"/>
    <w:pPr>
      <w:keepNext/>
      <w:keepLines/>
      <w:spacing w:before="280" w:after="290" w:line="376" w:lineRule="auto"/>
      <w:outlineLvl w:val="4"/>
    </w:pPr>
    <w:rPr>
      <w:b/>
      <w:sz w:val="28"/>
      <w:szCs w:val="20"/>
    </w:rPr>
  </w:style>
  <w:style w:type="paragraph" w:styleId="9">
    <w:name w:val="heading 6"/>
    <w:basedOn w:val="1"/>
    <w:next w:val="7"/>
    <w:link w:val="53"/>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7"/>
    <w:link w:val="66"/>
    <w:qFormat/>
    <w:uiPriority w:val="0"/>
    <w:pPr>
      <w:keepNext/>
      <w:keepLines/>
      <w:spacing w:before="240" w:after="64" w:line="320" w:lineRule="auto"/>
      <w:outlineLvl w:val="6"/>
    </w:pPr>
    <w:rPr>
      <w:b/>
      <w:sz w:val="24"/>
      <w:szCs w:val="20"/>
    </w:rPr>
  </w:style>
  <w:style w:type="paragraph" w:styleId="11">
    <w:name w:val="heading 8"/>
    <w:basedOn w:val="1"/>
    <w:next w:val="7"/>
    <w:link w:val="51"/>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7"/>
    <w:link w:val="76"/>
    <w:qFormat/>
    <w:uiPriority w:val="0"/>
    <w:pPr>
      <w:keepNext/>
      <w:keepLines/>
      <w:spacing w:before="240" w:after="64" w:line="320" w:lineRule="auto"/>
      <w:outlineLvl w:val="8"/>
    </w:pPr>
    <w:rPr>
      <w:rFonts w:ascii="Arial" w:hAnsi="Arial" w:eastAsia="黑体"/>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7">
    <w:name w:val="Normal Indent"/>
    <w:basedOn w:val="1"/>
    <w:link w:val="65"/>
    <w:qFormat/>
    <w:uiPriority w:val="0"/>
    <w:pPr>
      <w:ind w:firstLine="420"/>
    </w:pPr>
    <w:rPr>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58"/>
    <w:semiHidden/>
    <w:qFormat/>
    <w:uiPriority w:val="0"/>
    <w:pPr>
      <w:shd w:val="clear" w:color="auto" w:fill="000080"/>
    </w:pPr>
  </w:style>
  <w:style w:type="paragraph" w:styleId="15">
    <w:name w:val="annotation text"/>
    <w:basedOn w:val="1"/>
    <w:link w:val="83"/>
    <w:semiHidden/>
    <w:qFormat/>
    <w:uiPriority w:val="0"/>
    <w:pPr>
      <w:jc w:val="left"/>
    </w:pPr>
  </w:style>
  <w:style w:type="paragraph" w:styleId="16">
    <w:name w:val="Body Text 3"/>
    <w:basedOn w:val="1"/>
    <w:link w:val="75"/>
    <w:qFormat/>
    <w:uiPriority w:val="0"/>
    <w:pPr>
      <w:spacing w:line="500" w:lineRule="exact"/>
    </w:pPr>
    <w:rPr>
      <w:b/>
      <w:bCs/>
      <w:kern w:val="0"/>
      <w:sz w:val="24"/>
    </w:rPr>
  </w:style>
  <w:style w:type="paragraph" w:styleId="17">
    <w:name w:val="Body Text"/>
    <w:basedOn w:val="1"/>
    <w:link w:val="70"/>
    <w:qFormat/>
    <w:uiPriority w:val="0"/>
    <w:pPr>
      <w:autoSpaceDE w:val="0"/>
      <w:autoSpaceDN w:val="0"/>
      <w:adjustRightInd w:val="0"/>
      <w:spacing w:after="120"/>
      <w:jc w:val="left"/>
    </w:pPr>
    <w:rPr>
      <w:rFonts w:ascii="宋体"/>
      <w:kern w:val="0"/>
      <w:sz w:val="34"/>
      <w:szCs w:val="20"/>
    </w:rPr>
  </w:style>
  <w:style w:type="paragraph" w:styleId="18">
    <w:name w:val="Body Text Indent"/>
    <w:basedOn w:val="1"/>
    <w:link w:val="55"/>
    <w:qFormat/>
    <w:uiPriority w:val="0"/>
    <w:pPr>
      <w:spacing w:line="200" w:lineRule="exact"/>
      <w:ind w:firstLine="301"/>
    </w:pPr>
    <w:rPr>
      <w:rFonts w:ascii="宋体" w:hAnsi="Courier New"/>
      <w:spacing w:val="-4"/>
      <w:sz w:val="18"/>
      <w:szCs w:val="20"/>
    </w:rPr>
  </w:style>
  <w:style w:type="paragraph" w:styleId="19">
    <w:name w:val="List 2"/>
    <w:basedOn w:val="1"/>
    <w:qFormat/>
    <w:uiPriority w:val="0"/>
    <w:pPr>
      <w:spacing w:line="240" w:lineRule="atLeast"/>
      <w:ind w:left="100" w:leftChars="200" w:hanging="200" w:hangingChars="200"/>
    </w:pPr>
  </w:style>
  <w:style w:type="paragraph" w:styleId="20">
    <w:name w:val="Plain Text"/>
    <w:basedOn w:val="1"/>
    <w:next w:val="1"/>
    <w:link w:val="50"/>
    <w:qFormat/>
    <w:uiPriority w:val="99"/>
    <w:rPr>
      <w:rFonts w:ascii="宋体" w:hAnsi="Courier New"/>
      <w:szCs w:val="20"/>
    </w:rPr>
  </w:style>
  <w:style w:type="paragraph" w:styleId="21">
    <w:name w:val="Date"/>
    <w:basedOn w:val="1"/>
    <w:next w:val="1"/>
    <w:link w:val="68"/>
    <w:qFormat/>
    <w:uiPriority w:val="0"/>
    <w:pPr>
      <w:ind w:left="100" w:leftChars="2500"/>
    </w:pPr>
    <w:rPr>
      <w:spacing w:val="30"/>
      <w:sz w:val="28"/>
    </w:rPr>
  </w:style>
  <w:style w:type="paragraph" w:styleId="22">
    <w:name w:val="Body Text Indent 2"/>
    <w:basedOn w:val="1"/>
    <w:link w:val="80"/>
    <w:qFormat/>
    <w:uiPriority w:val="0"/>
    <w:pPr>
      <w:spacing w:line="400" w:lineRule="exact"/>
      <w:ind w:firstLine="480"/>
    </w:pPr>
  </w:style>
  <w:style w:type="paragraph" w:styleId="23">
    <w:name w:val="Balloon Text"/>
    <w:basedOn w:val="1"/>
    <w:link w:val="91"/>
    <w:semiHidden/>
    <w:qFormat/>
    <w:uiPriority w:val="0"/>
    <w:rPr>
      <w:sz w:val="18"/>
      <w:szCs w:val="18"/>
    </w:rPr>
  </w:style>
  <w:style w:type="paragraph" w:styleId="24">
    <w:name w:val="footer"/>
    <w:basedOn w:val="1"/>
    <w:link w:val="48"/>
    <w:qFormat/>
    <w:uiPriority w:val="0"/>
    <w:pPr>
      <w:tabs>
        <w:tab w:val="center" w:pos="4153"/>
        <w:tab w:val="right" w:pos="8306"/>
      </w:tabs>
      <w:snapToGrid w:val="0"/>
      <w:jc w:val="left"/>
    </w:pPr>
    <w:rPr>
      <w:rFonts w:ascii="宋体" w:hAnsi="Courier New"/>
      <w:sz w:val="18"/>
      <w:szCs w:val="20"/>
    </w:rPr>
  </w:style>
  <w:style w:type="paragraph" w:styleId="25">
    <w:name w:val="header"/>
    <w:basedOn w:val="1"/>
    <w:link w:val="57"/>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26">
    <w:name w:val="toc 1"/>
    <w:basedOn w:val="1"/>
    <w:next w:val="1"/>
    <w:unhideWhenUsed/>
    <w:qFormat/>
    <w:uiPriority w:val="39"/>
    <w:pPr>
      <w:spacing w:line="240" w:lineRule="atLeast"/>
    </w:pPr>
  </w:style>
  <w:style w:type="paragraph" w:styleId="27">
    <w:name w:val="Body Text Indent 3"/>
    <w:basedOn w:val="1"/>
    <w:link w:val="78"/>
    <w:qFormat/>
    <w:uiPriority w:val="0"/>
    <w:pPr>
      <w:spacing w:line="360" w:lineRule="auto"/>
      <w:ind w:firstLine="359" w:firstLineChars="171"/>
    </w:pPr>
  </w:style>
  <w:style w:type="paragraph" w:styleId="28">
    <w:name w:val="Body Text 2"/>
    <w:basedOn w:val="1"/>
    <w:link w:val="69"/>
    <w:qFormat/>
    <w:uiPriority w:val="0"/>
    <w:pPr>
      <w:spacing w:after="120" w:line="480" w:lineRule="auto"/>
    </w:pPr>
    <w:rPr>
      <w:kern w:val="0"/>
      <w:sz w:val="20"/>
    </w:rPr>
  </w:style>
  <w:style w:type="paragraph" w:styleId="29">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Normal (Web)"/>
    <w:basedOn w:val="1"/>
    <w:qFormat/>
    <w:uiPriority w:val="0"/>
    <w:rPr>
      <w:sz w:val="24"/>
    </w:rPr>
  </w:style>
  <w:style w:type="paragraph" w:styleId="31">
    <w:name w:val="index 1"/>
    <w:basedOn w:val="1"/>
    <w:next w:val="1"/>
    <w:semiHidden/>
    <w:qFormat/>
    <w:uiPriority w:val="0"/>
    <w:pPr>
      <w:spacing w:line="360" w:lineRule="exact"/>
      <w:ind w:firstLine="432" w:firstLineChars="240"/>
    </w:pPr>
    <w:rPr>
      <w:rFonts w:ascii="宋体" w:hAnsi="宋体"/>
      <w:bCs/>
      <w:sz w:val="18"/>
      <w:szCs w:val="18"/>
    </w:rPr>
  </w:style>
  <w:style w:type="paragraph" w:styleId="32">
    <w:name w:val="Title"/>
    <w:basedOn w:val="1"/>
    <w:link w:val="71"/>
    <w:qFormat/>
    <w:uiPriority w:val="0"/>
    <w:pPr>
      <w:spacing w:before="240" w:after="60"/>
      <w:jc w:val="center"/>
      <w:outlineLvl w:val="0"/>
    </w:pPr>
    <w:rPr>
      <w:rFonts w:ascii="Arial" w:hAnsi="Arial" w:cs="Arial"/>
      <w:b/>
      <w:bCs/>
      <w:sz w:val="32"/>
      <w:szCs w:val="32"/>
    </w:rPr>
  </w:style>
  <w:style w:type="paragraph" w:styleId="33">
    <w:name w:val="annotation subject"/>
    <w:basedOn w:val="15"/>
    <w:next w:val="15"/>
    <w:link w:val="54"/>
    <w:unhideWhenUsed/>
    <w:qFormat/>
    <w:uiPriority w:val="0"/>
    <w:rPr>
      <w:b/>
      <w:bCs/>
    </w:rPr>
  </w:style>
  <w:style w:type="paragraph" w:styleId="34">
    <w:name w:val="Body Text First Indent"/>
    <w:basedOn w:val="17"/>
    <w:link w:val="64"/>
    <w:qFormat/>
    <w:uiPriority w:val="0"/>
    <w:pPr>
      <w:autoSpaceDE/>
      <w:autoSpaceDN/>
      <w:adjustRightInd/>
      <w:ind w:firstLine="420" w:firstLineChars="100"/>
      <w:jc w:val="both"/>
    </w:pPr>
    <w:rPr>
      <w:kern w:val="2"/>
      <w:sz w:val="21"/>
      <w:szCs w:val="24"/>
    </w:rPr>
  </w:style>
  <w:style w:type="paragraph" w:styleId="35">
    <w:name w:val="Body Text First Indent 2"/>
    <w:basedOn w:val="18"/>
    <w:link w:val="73"/>
    <w:qFormat/>
    <w:uiPriority w:val="0"/>
    <w:pPr>
      <w:spacing w:after="120" w:line="240" w:lineRule="auto"/>
      <w:ind w:left="420" w:leftChars="200" w:firstLine="420" w:firstLineChars="200"/>
    </w:pPr>
    <w:rPr>
      <w:szCs w:val="24"/>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Emphasis"/>
    <w:qFormat/>
    <w:uiPriority w:val="0"/>
  </w:style>
  <w:style w:type="character" w:styleId="42">
    <w:name w:val="Hyperlink"/>
    <w:qFormat/>
    <w:uiPriority w:val="0"/>
    <w:rPr>
      <w:color w:val="0000FF"/>
      <w:u w:val="single"/>
    </w:rPr>
  </w:style>
  <w:style w:type="character" w:styleId="43">
    <w:name w:val="annotation reference"/>
    <w:semiHidden/>
    <w:qFormat/>
    <w:uiPriority w:val="0"/>
    <w:rPr>
      <w:sz w:val="21"/>
    </w:rPr>
  </w:style>
  <w:style w:type="character" w:customStyle="1" w:styleId="44">
    <w:name w:val="访问过的超链接"/>
    <w:qFormat/>
    <w:uiPriority w:val="0"/>
    <w:rPr>
      <w:color w:val="800080"/>
      <w:u w:val="single"/>
    </w:rPr>
  </w:style>
  <w:style w:type="character" w:customStyle="1" w:styleId="45">
    <w:name w:val="Char Char2"/>
    <w:semiHidden/>
    <w:qFormat/>
    <w:uiPriority w:val="0"/>
    <w:rPr>
      <w:rFonts w:ascii="宋体" w:hAnsi="Courier New" w:eastAsia="宋体"/>
      <w:spacing w:val="-4"/>
      <w:kern w:val="2"/>
      <w:sz w:val="18"/>
      <w:lang w:val="en-US" w:eastAsia="zh-CN" w:bidi="ar-SA"/>
    </w:rPr>
  </w:style>
  <w:style w:type="character" w:customStyle="1" w:styleId="46">
    <w:name w:val="列出段落 Char"/>
    <w:link w:val="47"/>
    <w:qFormat/>
    <w:uiPriority w:val="0"/>
    <w:rPr>
      <w:rFonts w:eastAsia="宋体"/>
      <w:kern w:val="2"/>
      <w:sz w:val="21"/>
      <w:szCs w:val="24"/>
      <w:lang w:val="en-US" w:eastAsia="zh-CN" w:bidi="ar-SA"/>
    </w:rPr>
  </w:style>
  <w:style w:type="paragraph" w:styleId="47">
    <w:name w:val="List Paragraph"/>
    <w:basedOn w:val="1"/>
    <w:link w:val="46"/>
    <w:qFormat/>
    <w:uiPriority w:val="0"/>
    <w:pPr>
      <w:ind w:firstLine="420" w:firstLineChars="200"/>
    </w:pPr>
  </w:style>
  <w:style w:type="character" w:customStyle="1" w:styleId="48">
    <w:name w:val="页脚 Char"/>
    <w:link w:val="24"/>
    <w:qFormat/>
    <w:uiPriority w:val="0"/>
    <w:rPr>
      <w:rFonts w:ascii="宋体" w:hAnsi="Courier New" w:eastAsia="宋体"/>
      <w:kern w:val="2"/>
      <w:sz w:val="18"/>
      <w:lang w:val="en-US" w:eastAsia="zh-CN" w:bidi="ar-SA"/>
    </w:rPr>
  </w:style>
  <w:style w:type="character" w:customStyle="1" w:styleId="49">
    <w:name w:val="H1 Char"/>
    <w:qFormat/>
    <w:uiPriority w:val="0"/>
    <w:rPr>
      <w:rFonts w:ascii="Times New Roman" w:hAnsi="Times New Roman" w:eastAsia="宋体" w:cs="Times New Roman"/>
      <w:b/>
      <w:bCs/>
      <w:kern w:val="44"/>
      <w:sz w:val="44"/>
      <w:szCs w:val="44"/>
    </w:rPr>
  </w:style>
  <w:style w:type="character" w:customStyle="1" w:styleId="50">
    <w:name w:val="纯文本 Char"/>
    <w:link w:val="20"/>
    <w:qFormat/>
    <w:uiPriority w:val="99"/>
    <w:rPr>
      <w:rFonts w:ascii="宋体" w:hAnsi="Courier New" w:eastAsia="宋体"/>
      <w:kern w:val="2"/>
      <w:sz w:val="21"/>
      <w:lang w:val="en-US" w:eastAsia="zh-CN" w:bidi="ar-SA"/>
    </w:rPr>
  </w:style>
  <w:style w:type="character" w:customStyle="1" w:styleId="51">
    <w:name w:val="标题 8 Char"/>
    <w:link w:val="11"/>
    <w:qFormat/>
    <w:uiPriority w:val="0"/>
    <w:rPr>
      <w:rFonts w:ascii="Arial" w:hAnsi="Arial" w:eastAsia="黑体"/>
      <w:kern w:val="2"/>
      <w:sz w:val="24"/>
    </w:rPr>
  </w:style>
  <w:style w:type="character" w:customStyle="1" w:styleId="52">
    <w:name w:val="style54"/>
    <w:basedOn w:val="38"/>
    <w:qFormat/>
    <w:uiPriority w:val="0"/>
  </w:style>
  <w:style w:type="character" w:customStyle="1" w:styleId="53">
    <w:name w:val="标题 6 Char"/>
    <w:link w:val="9"/>
    <w:qFormat/>
    <w:uiPriority w:val="0"/>
    <w:rPr>
      <w:rFonts w:ascii="Arial" w:hAnsi="Arial" w:eastAsia="黑体"/>
      <w:b/>
      <w:kern w:val="2"/>
      <w:sz w:val="24"/>
    </w:rPr>
  </w:style>
  <w:style w:type="character" w:customStyle="1" w:styleId="54">
    <w:name w:val="批注主题 Char"/>
    <w:link w:val="33"/>
    <w:semiHidden/>
    <w:qFormat/>
    <w:uiPriority w:val="0"/>
    <w:rPr>
      <w:rFonts w:ascii="Calibri" w:hAnsi="Calibri" w:eastAsia="宋体"/>
      <w:b/>
      <w:bCs/>
      <w:kern w:val="2"/>
      <w:sz w:val="21"/>
      <w:szCs w:val="24"/>
      <w:lang w:val="en-US" w:eastAsia="zh-CN" w:bidi="ar-SA"/>
    </w:rPr>
  </w:style>
  <w:style w:type="character" w:customStyle="1" w:styleId="55">
    <w:name w:val="正文文本缩进 Char"/>
    <w:link w:val="18"/>
    <w:qFormat/>
    <w:uiPriority w:val="0"/>
    <w:rPr>
      <w:rFonts w:ascii="宋体" w:hAnsi="Courier New" w:eastAsia="宋体"/>
      <w:spacing w:val="-4"/>
      <w:kern w:val="2"/>
      <w:sz w:val="18"/>
      <w:lang w:val="en-US" w:eastAsia="zh-CN" w:bidi="ar-SA"/>
    </w:rPr>
  </w:style>
  <w:style w:type="character" w:customStyle="1" w:styleId="56">
    <w:name w:val="标题 5 Char"/>
    <w:link w:val="8"/>
    <w:qFormat/>
    <w:uiPriority w:val="0"/>
    <w:rPr>
      <w:b/>
      <w:kern w:val="2"/>
      <w:sz w:val="28"/>
    </w:rPr>
  </w:style>
  <w:style w:type="character" w:customStyle="1" w:styleId="57">
    <w:name w:val="页眉 Char"/>
    <w:link w:val="25"/>
    <w:qFormat/>
    <w:uiPriority w:val="0"/>
    <w:rPr>
      <w:rFonts w:ascii="宋体" w:hAnsi="Courier New" w:eastAsia="宋体"/>
      <w:kern w:val="2"/>
      <w:sz w:val="18"/>
      <w:lang w:val="en-US" w:eastAsia="zh-CN" w:bidi="ar-SA"/>
    </w:rPr>
  </w:style>
  <w:style w:type="character" w:customStyle="1" w:styleId="58">
    <w:name w:val="文档结构图 Char"/>
    <w:link w:val="14"/>
    <w:semiHidden/>
    <w:qFormat/>
    <w:uiPriority w:val="0"/>
    <w:rPr>
      <w:rFonts w:eastAsia="宋体"/>
      <w:kern w:val="2"/>
      <w:sz w:val="21"/>
      <w:szCs w:val="24"/>
      <w:lang w:val="en-US" w:eastAsia="zh-CN" w:bidi="ar-SA"/>
    </w:rPr>
  </w:style>
  <w:style w:type="character" w:customStyle="1" w:styleId="59">
    <w:name w:val="普通文字 Char Char1"/>
    <w:semiHidden/>
    <w:qFormat/>
    <w:uiPriority w:val="0"/>
    <w:rPr>
      <w:rFonts w:ascii="宋体" w:hAnsi="Courier New" w:eastAsia="宋体"/>
      <w:kern w:val="2"/>
      <w:sz w:val="21"/>
      <w:lang w:val="en-US" w:eastAsia="zh-CN" w:bidi="ar-SA"/>
    </w:rPr>
  </w:style>
  <w:style w:type="character" w:customStyle="1" w:styleId="60">
    <w:name w:val="unnamed21"/>
    <w:basedOn w:val="38"/>
    <w:qFormat/>
    <w:uiPriority w:val="0"/>
  </w:style>
  <w:style w:type="character" w:customStyle="1" w:styleId="61">
    <w:name w:val="style51"/>
    <w:basedOn w:val="38"/>
    <w:qFormat/>
    <w:uiPriority w:val="0"/>
  </w:style>
  <w:style w:type="character" w:customStyle="1" w:styleId="62">
    <w:name w:val="style31"/>
    <w:qFormat/>
    <w:uiPriority w:val="0"/>
    <w:rPr>
      <w:sz w:val="18"/>
      <w:szCs w:val="18"/>
    </w:rPr>
  </w:style>
  <w:style w:type="character" w:customStyle="1" w:styleId="63">
    <w:name w:val="标题 3 Char"/>
    <w:link w:val="5"/>
    <w:qFormat/>
    <w:uiPriority w:val="9"/>
    <w:rPr>
      <w:rFonts w:eastAsia="宋体"/>
      <w:b/>
      <w:bCs/>
      <w:kern w:val="2"/>
      <w:sz w:val="32"/>
      <w:szCs w:val="32"/>
      <w:lang w:val="en-US" w:eastAsia="zh-CN" w:bidi="ar-SA"/>
    </w:rPr>
  </w:style>
  <w:style w:type="character" w:customStyle="1" w:styleId="64">
    <w:name w:val="正文首行缩进 Char"/>
    <w:link w:val="34"/>
    <w:qFormat/>
    <w:uiPriority w:val="0"/>
    <w:rPr>
      <w:rFonts w:ascii="宋体" w:eastAsia="宋体"/>
      <w:kern w:val="2"/>
      <w:sz w:val="21"/>
      <w:szCs w:val="24"/>
      <w:lang w:val="en-US" w:eastAsia="zh-CN" w:bidi="ar-SA"/>
    </w:rPr>
  </w:style>
  <w:style w:type="character" w:customStyle="1" w:styleId="65">
    <w:name w:val="正文缩进 Char"/>
    <w:link w:val="7"/>
    <w:qFormat/>
    <w:locked/>
    <w:uiPriority w:val="0"/>
    <w:rPr>
      <w:rFonts w:eastAsia="宋体"/>
      <w:kern w:val="2"/>
      <w:sz w:val="21"/>
      <w:lang w:val="en-US" w:eastAsia="zh-CN" w:bidi="ar-SA"/>
    </w:rPr>
  </w:style>
  <w:style w:type="character" w:customStyle="1" w:styleId="66">
    <w:name w:val="标题 7 Char"/>
    <w:link w:val="10"/>
    <w:qFormat/>
    <w:uiPriority w:val="0"/>
    <w:rPr>
      <w:b/>
      <w:kern w:val="2"/>
      <w:sz w:val="24"/>
    </w:rPr>
  </w:style>
  <w:style w:type="character" w:customStyle="1" w:styleId="67">
    <w:name w:val="font11"/>
    <w:qFormat/>
    <w:uiPriority w:val="0"/>
    <w:rPr>
      <w:rFonts w:hint="eastAsia" w:ascii="宋体" w:hAnsi="宋体" w:eastAsia="宋体" w:cs="宋体"/>
      <w:color w:val="000000"/>
      <w:sz w:val="28"/>
      <w:szCs w:val="28"/>
      <w:u w:val="none"/>
    </w:rPr>
  </w:style>
  <w:style w:type="character" w:customStyle="1" w:styleId="68">
    <w:name w:val="日期 Char"/>
    <w:link w:val="21"/>
    <w:qFormat/>
    <w:uiPriority w:val="0"/>
    <w:rPr>
      <w:rFonts w:eastAsia="宋体"/>
      <w:spacing w:val="30"/>
      <w:kern w:val="2"/>
      <w:sz w:val="28"/>
      <w:szCs w:val="24"/>
      <w:lang w:val="en-US" w:eastAsia="zh-CN" w:bidi="ar-SA"/>
    </w:rPr>
  </w:style>
  <w:style w:type="character" w:customStyle="1" w:styleId="69">
    <w:name w:val="正文文本 2 Char"/>
    <w:link w:val="28"/>
    <w:qFormat/>
    <w:uiPriority w:val="0"/>
    <w:rPr>
      <w:szCs w:val="24"/>
      <w:lang w:bidi="ar-SA"/>
    </w:rPr>
  </w:style>
  <w:style w:type="character" w:customStyle="1" w:styleId="70">
    <w:name w:val="正文文本 Char"/>
    <w:link w:val="17"/>
    <w:qFormat/>
    <w:uiPriority w:val="0"/>
    <w:rPr>
      <w:rFonts w:ascii="宋体" w:eastAsia="宋体"/>
      <w:sz w:val="34"/>
      <w:lang w:val="en-US" w:eastAsia="zh-CN" w:bidi="ar-SA"/>
    </w:rPr>
  </w:style>
  <w:style w:type="character" w:customStyle="1" w:styleId="71">
    <w:name w:val="标题 Char"/>
    <w:link w:val="32"/>
    <w:qFormat/>
    <w:uiPriority w:val="0"/>
    <w:rPr>
      <w:rFonts w:ascii="Arial" w:hAnsi="Arial" w:eastAsia="宋体" w:cs="Arial"/>
      <w:b/>
      <w:bCs/>
      <w:kern w:val="2"/>
      <w:sz w:val="32"/>
      <w:szCs w:val="32"/>
      <w:lang w:val="en-US" w:eastAsia="zh-CN" w:bidi="ar-SA"/>
    </w:rPr>
  </w:style>
  <w:style w:type="character" w:customStyle="1" w:styleId="72">
    <w:name w:val="HTML 预设格式 Char"/>
    <w:link w:val="29"/>
    <w:semiHidden/>
    <w:qFormat/>
    <w:uiPriority w:val="0"/>
    <w:rPr>
      <w:rFonts w:ascii="黑体" w:hAnsi="Courier New" w:eastAsia="黑体" w:cs="Courier New"/>
      <w:lang w:val="en-US" w:eastAsia="zh-CN" w:bidi="ar-SA"/>
    </w:rPr>
  </w:style>
  <w:style w:type="character" w:customStyle="1" w:styleId="73">
    <w:name w:val="正文首行缩进 2 Char"/>
    <w:link w:val="35"/>
    <w:qFormat/>
    <w:uiPriority w:val="0"/>
    <w:rPr>
      <w:rFonts w:ascii="宋体" w:hAnsi="Courier New" w:eastAsia="宋体"/>
      <w:spacing w:val="-4"/>
      <w:kern w:val="2"/>
      <w:sz w:val="18"/>
      <w:szCs w:val="24"/>
      <w:lang w:val="en-US" w:eastAsia="zh-CN" w:bidi="ar-SA"/>
    </w:rPr>
  </w:style>
  <w:style w:type="character" w:customStyle="1" w:styleId="74">
    <w:name w:val="标题 4 Char"/>
    <w:link w:val="6"/>
    <w:qFormat/>
    <w:uiPriority w:val="0"/>
    <w:rPr>
      <w:rFonts w:ascii="宋体" w:hAnsi="Arial" w:eastAsia="黑体"/>
      <w:b/>
      <w:kern w:val="2"/>
      <w:sz w:val="24"/>
    </w:rPr>
  </w:style>
  <w:style w:type="character" w:customStyle="1" w:styleId="75">
    <w:name w:val="正文文本 3 Char"/>
    <w:link w:val="16"/>
    <w:qFormat/>
    <w:uiPriority w:val="0"/>
    <w:rPr>
      <w:b/>
      <w:bCs/>
      <w:sz w:val="24"/>
      <w:szCs w:val="24"/>
      <w:lang w:bidi="ar-SA"/>
    </w:rPr>
  </w:style>
  <w:style w:type="character" w:customStyle="1" w:styleId="76">
    <w:name w:val="标题 9 Char"/>
    <w:link w:val="12"/>
    <w:qFormat/>
    <w:uiPriority w:val="0"/>
    <w:rPr>
      <w:rFonts w:ascii="Arial" w:hAnsi="Arial" w:eastAsia="黑体"/>
      <w:kern w:val="2"/>
      <w:sz w:val="21"/>
    </w:rPr>
  </w:style>
  <w:style w:type="character" w:customStyle="1" w:styleId="77">
    <w:name w:val="H2 Char"/>
    <w:qFormat/>
    <w:uiPriority w:val="0"/>
    <w:rPr>
      <w:rFonts w:ascii="Arial" w:hAnsi="Arial" w:eastAsia="黑体" w:cs="Times New Roman"/>
      <w:b/>
      <w:bCs/>
      <w:sz w:val="32"/>
      <w:szCs w:val="32"/>
    </w:rPr>
  </w:style>
  <w:style w:type="character" w:customStyle="1" w:styleId="78">
    <w:name w:val="正文文本缩进 3 Char"/>
    <w:link w:val="27"/>
    <w:qFormat/>
    <w:uiPriority w:val="0"/>
    <w:rPr>
      <w:rFonts w:eastAsia="宋体"/>
      <w:kern w:val="2"/>
      <w:sz w:val="21"/>
      <w:szCs w:val="24"/>
      <w:lang w:val="en-US" w:eastAsia="zh-CN" w:bidi="ar-SA"/>
    </w:rPr>
  </w:style>
  <w:style w:type="character" w:customStyle="1" w:styleId="79">
    <w:name w:val="apple-style-span"/>
    <w:basedOn w:val="38"/>
    <w:qFormat/>
    <w:uiPriority w:val="0"/>
  </w:style>
  <w:style w:type="character" w:customStyle="1" w:styleId="80">
    <w:name w:val="正文文本缩进 2 Char"/>
    <w:link w:val="22"/>
    <w:qFormat/>
    <w:uiPriority w:val="0"/>
    <w:rPr>
      <w:rFonts w:eastAsia="宋体"/>
      <w:kern w:val="2"/>
      <w:sz w:val="21"/>
      <w:szCs w:val="24"/>
      <w:lang w:val="en-US" w:eastAsia="zh-CN" w:bidi="ar-SA"/>
    </w:rPr>
  </w:style>
  <w:style w:type="character" w:customStyle="1" w:styleId="81">
    <w:name w:val="1ji Char"/>
    <w:link w:val="82"/>
    <w:qFormat/>
    <w:uiPriority w:val="0"/>
    <w:rPr>
      <w:rFonts w:ascii="宋体" w:hAnsi="宋体" w:eastAsia="宋体" w:cs="Times New Roman"/>
      <w:b/>
      <w:bCs/>
      <w:kern w:val="44"/>
      <w:sz w:val="36"/>
      <w:szCs w:val="44"/>
      <w:lang w:val="en-US" w:eastAsia="zh-CN" w:bidi="ar-SA"/>
    </w:rPr>
  </w:style>
  <w:style w:type="paragraph" w:customStyle="1" w:styleId="82">
    <w:name w:val="1ji"/>
    <w:basedOn w:val="3"/>
    <w:link w:val="81"/>
    <w:qFormat/>
    <w:uiPriority w:val="0"/>
    <w:pPr>
      <w:widowControl/>
      <w:spacing w:line="240" w:lineRule="auto"/>
      <w:jc w:val="center"/>
    </w:pPr>
    <w:rPr>
      <w:rFonts w:ascii="宋体" w:hAnsi="宋体"/>
      <w:kern w:val="44"/>
      <w:sz w:val="36"/>
      <w:szCs w:val="44"/>
    </w:rPr>
  </w:style>
  <w:style w:type="character" w:customStyle="1" w:styleId="83">
    <w:name w:val="批注文字 Char"/>
    <w:link w:val="15"/>
    <w:semiHidden/>
    <w:qFormat/>
    <w:uiPriority w:val="0"/>
    <w:rPr>
      <w:rFonts w:eastAsia="宋体"/>
      <w:kern w:val="2"/>
      <w:sz w:val="21"/>
      <w:szCs w:val="24"/>
      <w:lang w:val="en-US" w:eastAsia="zh-CN" w:bidi="ar-SA"/>
    </w:rPr>
  </w:style>
  <w:style w:type="character" w:customStyle="1" w:styleId="84">
    <w:name w:val="mark"/>
    <w:basedOn w:val="38"/>
    <w:qFormat/>
    <w:uiPriority w:val="0"/>
  </w:style>
  <w:style w:type="character" w:customStyle="1" w:styleId="85">
    <w:name w:val="f141"/>
    <w:qFormat/>
    <w:uiPriority w:val="0"/>
    <w:rPr>
      <w:sz w:val="21"/>
      <w:szCs w:val="21"/>
    </w:rPr>
  </w:style>
  <w:style w:type="character" w:customStyle="1" w:styleId="86">
    <w:name w:val="标题 2 Char"/>
    <w:link w:val="4"/>
    <w:semiHidden/>
    <w:qFormat/>
    <w:uiPriority w:val="0"/>
    <w:rPr>
      <w:rFonts w:ascii="Arial" w:hAnsi="Arial" w:eastAsia="黑体"/>
      <w:b/>
      <w:bCs/>
      <w:kern w:val="2"/>
      <w:sz w:val="32"/>
      <w:szCs w:val="32"/>
      <w:lang w:val="en-US" w:eastAsia="zh-CN" w:bidi="ar-SA"/>
    </w:rPr>
  </w:style>
  <w:style w:type="character" w:customStyle="1" w:styleId="87">
    <w:name w:val="Title3 Char"/>
    <w:qFormat/>
    <w:uiPriority w:val="0"/>
    <w:rPr>
      <w:rFonts w:ascii="宋体" w:hAnsi="Courier New" w:eastAsia="宋体" w:cs="Times New Roman"/>
      <w:b/>
      <w:bCs/>
      <w:sz w:val="32"/>
      <w:szCs w:val="32"/>
    </w:rPr>
  </w:style>
  <w:style w:type="character" w:customStyle="1" w:styleId="88">
    <w:name w:val="标题 1 Char"/>
    <w:link w:val="3"/>
    <w:qFormat/>
    <w:uiPriority w:val="9"/>
    <w:rPr>
      <w:rFonts w:eastAsia="宋体"/>
      <w:b/>
      <w:bCs/>
      <w:kern w:val="2"/>
      <w:sz w:val="21"/>
      <w:szCs w:val="24"/>
      <w:lang w:val="en-US" w:eastAsia="zh-CN" w:bidi="ar-SA"/>
    </w:rPr>
  </w:style>
  <w:style w:type="character" w:customStyle="1" w:styleId="89">
    <w:name w:val="Report Text Char"/>
    <w:link w:val="90"/>
    <w:qFormat/>
    <w:uiPriority w:val="0"/>
    <w:rPr>
      <w:rFonts w:ascii="Arial" w:hAnsi="Arial" w:eastAsia="宋体" w:cs="Tahoma"/>
      <w:kern w:val="28"/>
      <w:sz w:val="22"/>
      <w:lang w:val="en-US" w:eastAsia="zh-CN" w:bidi="ar-SA"/>
    </w:rPr>
  </w:style>
  <w:style w:type="paragraph" w:customStyle="1" w:styleId="90">
    <w:name w:val="Report Text"/>
    <w:basedOn w:val="1"/>
    <w:link w:val="89"/>
    <w:qFormat/>
    <w:uiPriority w:val="0"/>
    <w:pPr>
      <w:widowControl/>
      <w:spacing w:before="240" w:after="120"/>
      <w:ind w:left="1080"/>
    </w:pPr>
    <w:rPr>
      <w:rFonts w:ascii="Arial" w:hAnsi="Arial" w:cs="Tahoma"/>
      <w:kern w:val="28"/>
      <w:sz w:val="22"/>
      <w:szCs w:val="20"/>
    </w:rPr>
  </w:style>
  <w:style w:type="character" w:customStyle="1" w:styleId="91">
    <w:name w:val="批注框文本 Char"/>
    <w:link w:val="23"/>
    <w:semiHidden/>
    <w:qFormat/>
    <w:uiPriority w:val="0"/>
    <w:rPr>
      <w:rFonts w:eastAsia="宋体"/>
      <w:kern w:val="2"/>
      <w:sz w:val="18"/>
      <w:szCs w:val="18"/>
      <w:lang w:val="en-US" w:eastAsia="zh-CN" w:bidi="ar-SA"/>
    </w:rPr>
  </w:style>
  <w:style w:type="character" w:customStyle="1" w:styleId="92">
    <w:name w:val="1051"/>
    <w:qFormat/>
    <w:uiPriority w:val="0"/>
    <w:rPr>
      <w:sz w:val="21"/>
      <w:szCs w:val="21"/>
    </w:rPr>
  </w:style>
  <w:style w:type="character" w:customStyle="1" w:styleId="93">
    <w:name w:val="font01"/>
    <w:qFormat/>
    <w:uiPriority w:val="0"/>
    <w:rPr>
      <w:rFonts w:hint="default" w:ascii="Tahoma" w:hAnsi="Tahoma" w:eastAsia="Tahoma" w:cs="Tahoma"/>
      <w:color w:val="000000"/>
      <w:sz w:val="28"/>
      <w:szCs w:val="28"/>
      <w:u w:val="none"/>
    </w:rPr>
  </w:style>
  <w:style w:type="paragraph" w:customStyle="1" w:styleId="94">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95">
    <w:name w:val="Char Char Char Char"/>
    <w:basedOn w:val="14"/>
    <w:qFormat/>
    <w:uiPriority w:val="0"/>
    <w:rPr>
      <w:rFonts w:ascii="Tahoma" w:hAnsi="Tahoma"/>
      <w:sz w:val="24"/>
    </w:rPr>
  </w:style>
  <w:style w:type="paragraph" w:customStyle="1" w:styleId="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Char Char Char Char Char Char Char"/>
    <w:basedOn w:val="1"/>
    <w:qFormat/>
    <w:uiPriority w:val="0"/>
  </w:style>
  <w:style w:type="paragraph" w:customStyle="1" w:styleId="9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0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01">
    <w:name w:val="样式3"/>
    <w:basedOn w:val="17"/>
    <w:qFormat/>
    <w:uiPriority w:val="0"/>
    <w:pPr>
      <w:autoSpaceDE/>
      <w:autoSpaceDN/>
      <w:adjustRightInd/>
      <w:spacing w:line="360" w:lineRule="auto"/>
      <w:jc w:val="both"/>
    </w:pPr>
    <w:rPr>
      <w:kern w:val="2"/>
      <w:sz w:val="21"/>
      <w:szCs w:val="24"/>
    </w:rPr>
  </w:style>
  <w:style w:type="paragraph" w:customStyle="1" w:styleId="102">
    <w:name w:val="默认段落字体 Para Char"/>
    <w:basedOn w:val="1"/>
    <w:qFormat/>
    <w:uiPriority w:val="0"/>
    <w:pPr>
      <w:adjustRightInd w:val="0"/>
      <w:spacing w:line="360" w:lineRule="auto"/>
    </w:pPr>
    <w:rPr>
      <w:kern w:val="0"/>
      <w:sz w:val="24"/>
      <w:szCs w:val="20"/>
    </w:rPr>
  </w:style>
  <w:style w:type="paragraph" w:customStyle="1" w:styleId="103">
    <w:name w:val="Char Char Char"/>
    <w:basedOn w:val="14"/>
    <w:qFormat/>
    <w:uiPriority w:val="0"/>
    <w:pPr>
      <w:shd w:val="clear" w:color="auto" w:fill="auto"/>
    </w:pPr>
    <w:rPr>
      <w:rFonts w:ascii="宋体"/>
      <w:sz w:val="18"/>
      <w:szCs w:val="18"/>
    </w:rPr>
  </w:style>
  <w:style w:type="paragraph" w:customStyle="1" w:styleId="104">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5">
    <w:name w:val="Char"/>
    <w:basedOn w:val="14"/>
    <w:qFormat/>
    <w:uiPriority w:val="0"/>
    <w:rPr>
      <w:rFonts w:ascii="Tahoma" w:hAnsi="Tahoma"/>
      <w:sz w:val="24"/>
    </w:rPr>
  </w:style>
  <w:style w:type="paragraph" w:customStyle="1" w:styleId="106">
    <w:name w:val="Char1 Char Char Char"/>
    <w:basedOn w:val="1"/>
    <w:qFormat/>
    <w:uiPriority w:val="0"/>
    <w:rPr>
      <w:rFonts w:ascii="Tahoma" w:hAnsi="Tahoma"/>
      <w:sz w:val="24"/>
      <w:szCs w:val="20"/>
    </w:rPr>
  </w:style>
  <w:style w:type="paragraph" w:customStyle="1" w:styleId="107">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默认段落字体 Para Char Char Char Char Char Char Char Char Char Char"/>
    <w:basedOn w:val="1"/>
    <w:qFormat/>
    <w:uiPriority w:val="0"/>
    <w:rPr>
      <w:kern w:val="0"/>
      <w:szCs w:val="20"/>
    </w:rPr>
  </w:style>
  <w:style w:type="paragraph" w:customStyle="1" w:styleId="109">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111">
    <w:name w:val="1"/>
    <w:basedOn w:val="1"/>
    <w:next w:val="20"/>
    <w:qFormat/>
    <w:uiPriority w:val="0"/>
    <w:rPr>
      <w:rFonts w:ascii="宋体" w:hAnsi="Courier New"/>
      <w:szCs w:val="20"/>
    </w:rPr>
  </w:style>
  <w:style w:type="paragraph" w:customStyle="1" w:styleId="112">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13">
    <w:name w:val="Char1 Char Char Char Char Char Char"/>
    <w:basedOn w:val="1"/>
    <w:qFormat/>
    <w:uiPriority w:val="0"/>
    <w:rPr>
      <w:rFonts w:ascii="Tahoma" w:hAnsi="Tahoma"/>
      <w:sz w:val="24"/>
      <w:szCs w:val="20"/>
    </w:rPr>
  </w:style>
  <w:style w:type="paragraph" w:customStyle="1" w:styleId="114">
    <w:name w:val="修订1"/>
    <w:semiHidden/>
    <w:qFormat/>
    <w:uiPriority w:val="0"/>
    <w:rPr>
      <w:rFonts w:ascii="Calibri" w:hAnsi="Calibri" w:eastAsia="宋体" w:cs="Times New Roman"/>
      <w:kern w:val="2"/>
      <w:sz w:val="21"/>
      <w:szCs w:val="24"/>
      <w:lang w:val="en-US" w:eastAsia="zh-CN" w:bidi="ar-SA"/>
    </w:rPr>
  </w:style>
  <w:style w:type="paragraph" w:customStyle="1" w:styleId="115">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6">
    <w:name w:val="Char Char Char Char1"/>
    <w:basedOn w:val="14"/>
    <w:qFormat/>
    <w:uiPriority w:val="0"/>
    <w:rPr>
      <w:rFonts w:ascii="Tahoma" w:hAnsi="Tahoma"/>
      <w:sz w:val="24"/>
    </w:rPr>
  </w:style>
  <w:style w:type="paragraph" w:customStyle="1" w:styleId="11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18">
    <w:name w:val="样式 正文缩进 + 首行缩进:  2 字符 段前: 0.5 行"/>
    <w:basedOn w:val="1"/>
    <w:qFormat/>
    <w:uiPriority w:val="0"/>
    <w:pPr>
      <w:spacing w:beforeLines="50" w:line="300" w:lineRule="auto"/>
      <w:ind w:firstLine="480" w:firstLineChars="200"/>
    </w:pPr>
    <w:rPr>
      <w:rFonts w:cs="宋体"/>
      <w:szCs w:val="20"/>
    </w:rPr>
  </w:style>
  <w:style w:type="paragraph" w:customStyle="1" w:styleId="119">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120">
    <w:name w:val="缺省文本"/>
    <w:basedOn w:val="1"/>
    <w:qFormat/>
    <w:uiPriority w:val="0"/>
    <w:pPr>
      <w:autoSpaceDE w:val="0"/>
      <w:autoSpaceDN w:val="0"/>
      <w:adjustRightInd w:val="0"/>
      <w:jc w:val="left"/>
    </w:pPr>
    <w:rPr>
      <w:rFonts w:ascii="仿宋_GB2312" w:eastAsia="仿宋_GB2312"/>
      <w:kern w:val="0"/>
      <w:sz w:val="24"/>
      <w:szCs w:val="20"/>
    </w:rPr>
  </w:style>
  <w:style w:type="paragraph" w:customStyle="1" w:styleId="121">
    <w:name w:val="Report List"/>
    <w:basedOn w:val="1"/>
    <w:qFormat/>
    <w:uiPriority w:val="0"/>
    <w:pPr>
      <w:widowControl/>
      <w:tabs>
        <w:tab w:val="left" w:pos="1440"/>
      </w:tabs>
      <w:spacing w:before="120" w:after="120"/>
      <w:ind w:left="1440" w:hanging="360"/>
    </w:pPr>
    <w:rPr>
      <w:rFonts w:ascii="Arial" w:hAnsi="Arial" w:cs="Tahoma"/>
      <w:kern w:val="28"/>
      <w:sz w:val="22"/>
      <w:szCs w:val="20"/>
    </w:rPr>
  </w:style>
  <w:style w:type="paragraph" w:customStyle="1" w:styleId="122">
    <w:name w:val="F2"/>
    <w:basedOn w:val="1"/>
    <w:qFormat/>
    <w:uiPriority w:val="0"/>
    <w:pPr>
      <w:autoSpaceDE w:val="0"/>
      <w:autoSpaceDN w:val="0"/>
      <w:adjustRightInd w:val="0"/>
      <w:ind w:firstLine="601"/>
      <w:textAlignment w:val="baseline"/>
    </w:pPr>
    <w:rPr>
      <w:kern w:val="0"/>
      <w:sz w:val="24"/>
      <w:szCs w:val="20"/>
    </w:rPr>
  </w:style>
  <w:style w:type="paragraph" w:customStyle="1" w:styleId="123">
    <w:name w:val="Char1"/>
    <w:basedOn w:val="14"/>
    <w:qFormat/>
    <w:uiPriority w:val="0"/>
    <w:rPr>
      <w:rFonts w:ascii="Tahoma" w:hAnsi="Tahoma"/>
      <w:sz w:val="24"/>
    </w:rPr>
  </w:style>
  <w:style w:type="paragraph" w:customStyle="1" w:styleId="124">
    <w:name w:val="正文段"/>
    <w:basedOn w:val="1"/>
    <w:qFormat/>
    <w:uiPriority w:val="0"/>
    <w:pPr>
      <w:widowControl/>
      <w:snapToGrid w:val="0"/>
      <w:spacing w:afterLines="50"/>
      <w:ind w:firstLine="200" w:firstLineChars="200"/>
    </w:pPr>
    <w:rPr>
      <w:kern w:val="0"/>
      <w:sz w:val="24"/>
      <w:szCs w:val="20"/>
    </w:rPr>
  </w:style>
  <w:style w:type="paragraph" w:customStyle="1" w:styleId="125">
    <w:name w:val="Char Char Char Char Char Char Char1"/>
    <w:basedOn w:val="1"/>
    <w:qFormat/>
    <w:uiPriority w:val="0"/>
  </w:style>
  <w:style w:type="paragraph" w:customStyle="1" w:styleId="126">
    <w:name w:val="样式1"/>
    <w:basedOn w:val="1"/>
    <w:qFormat/>
    <w:uiPriority w:val="0"/>
  </w:style>
  <w:style w:type="paragraph" w:customStyle="1" w:styleId="127">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2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29">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7AC1E-846C-4902-8806-1486601D987B}">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38</Pages>
  <Words>3735</Words>
  <Characters>21296</Characters>
  <Lines>177</Lines>
  <Paragraphs>49</Paragraphs>
  <TotalTime>64</TotalTime>
  <ScaleCrop>false</ScaleCrop>
  <LinksUpToDate>false</LinksUpToDate>
  <CharactersWithSpaces>24982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2020-09-10T08:28:00Z</dcterms:created>
  <dc:creator>LZH</dc:creator>
  <cp:lastModifiedBy>胜</cp:lastModifiedBy>
  <cp:lastPrinted>2020-09-22T07:23:00Z</cp:lastPrinted>
  <dcterms:modified xsi:type="dcterms:W3CDTF">2020-09-27T02:22:11Z</dcterms:modified>
  <dc:title>广西科文招标有限公司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