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auto"/>
          <w:sz w:val="44"/>
          <w:szCs w:val="44"/>
        </w:rPr>
      </w:pPr>
    </w:p>
    <w:p>
      <w:pPr>
        <w:spacing w:line="240" w:lineRule="exact"/>
        <w:jc w:val="center"/>
        <w:rPr>
          <w:rFonts w:ascii="宋体" w:hAnsi="宋体" w:cs="宋体"/>
          <w:b/>
          <w:bCs/>
          <w:color w:val="auto"/>
          <w:sz w:val="10"/>
        </w:rPr>
      </w:pPr>
    </w:p>
    <w:p>
      <w:pPr>
        <w:pStyle w:val="2"/>
        <w:rPr>
          <w:rFonts w:ascii="宋体" w:hAnsi="宋体" w:cs="宋体"/>
          <w:b/>
          <w:bCs/>
          <w:color w:val="auto"/>
          <w:sz w:val="10"/>
        </w:rPr>
      </w:pPr>
    </w:p>
    <w:p>
      <w:pPr>
        <w:pStyle w:val="2"/>
        <w:rPr>
          <w:rFonts w:ascii="宋体" w:hAnsi="宋体" w:cs="宋体"/>
          <w:b/>
          <w:bCs/>
          <w:color w:val="auto"/>
          <w:sz w:val="10"/>
        </w:rPr>
      </w:pPr>
    </w:p>
    <w:p>
      <w:pPr>
        <w:pStyle w:val="2"/>
        <w:rPr>
          <w:rFonts w:ascii="宋体" w:hAnsi="宋体" w:cs="宋体"/>
          <w:b/>
          <w:bCs/>
          <w:color w:val="auto"/>
          <w:sz w:val="10"/>
        </w:rPr>
      </w:pPr>
    </w:p>
    <w:p>
      <w:pPr>
        <w:spacing w:line="240" w:lineRule="exact"/>
        <w:jc w:val="center"/>
        <w:rPr>
          <w:rFonts w:ascii="宋体" w:hAnsi="宋体" w:cs="宋体"/>
          <w:b/>
          <w:color w:val="auto"/>
          <w:sz w:val="90"/>
          <w:szCs w:val="90"/>
        </w:rPr>
      </w:pPr>
      <w:r>
        <w:rPr>
          <w:rFonts w:hint="eastAsia" w:ascii="宋体" w:hAnsi="宋体" w:cs="宋体"/>
          <w:b/>
          <w:bCs/>
          <w:color w:val="auto"/>
          <w:sz w:val="10"/>
        </w:rPr>
        <w:t xml:space="preserve">                                                                                                                                                         </w:t>
      </w:r>
    </w:p>
    <w:p>
      <w:pPr>
        <w:jc w:val="center"/>
        <w:rPr>
          <w:rFonts w:ascii="宋体" w:hAnsi="宋体" w:cs="宋体"/>
          <w:b/>
          <w:color w:val="auto"/>
          <w:sz w:val="90"/>
          <w:szCs w:val="90"/>
        </w:rPr>
      </w:pPr>
      <w:r>
        <w:rPr>
          <w:rFonts w:hint="eastAsia" w:ascii="宋体" w:hAnsi="宋体" w:cs="宋体"/>
          <w:b/>
          <w:color w:val="auto"/>
          <w:sz w:val="90"/>
          <w:szCs w:val="90"/>
        </w:rPr>
        <w:t>公开招标采购文件</w:t>
      </w:r>
    </w:p>
    <w:p>
      <w:pPr>
        <w:jc w:val="center"/>
        <w:rPr>
          <w:rFonts w:ascii="宋体" w:hAnsi="宋体" w:cs="宋体"/>
          <w:color w:val="auto"/>
          <w:sz w:val="72"/>
          <w:szCs w:val="72"/>
        </w:rPr>
      </w:pPr>
    </w:p>
    <w:p>
      <w:pPr>
        <w:pStyle w:val="6"/>
        <w:rPr>
          <w:rFonts w:ascii="宋体" w:hAnsi="宋体" w:cs="宋体"/>
          <w:color w:val="auto"/>
        </w:rPr>
      </w:pPr>
    </w:p>
    <w:p>
      <w:pPr>
        <w:pStyle w:val="6"/>
        <w:rPr>
          <w:rFonts w:ascii="宋体" w:hAnsi="宋体" w:cs="宋体"/>
          <w:color w:val="auto"/>
        </w:rPr>
      </w:pPr>
    </w:p>
    <w:p>
      <w:pPr>
        <w:tabs>
          <w:tab w:val="left" w:pos="993"/>
        </w:tabs>
        <w:spacing w:line="720" w:lineRule="exact"/>
        <w:ind w:left="2582" w:leftChars="400" w:hanging="1742" w:hangingChars="482"/>
        <w:rPr>
          <w:rFonts w:ascii="宋体" w:hAnsi="宋体" w:cs="宋体"/>
          <w:b/>
          <w:color w:val="auto"/>
          <w:sz w:val="36"/>
          <w:szCs w:val="36"/>
        </w:rPr>
      </w:pPr>
      <w:r>
        <w:rPr>
          <w:rFonts w:hint="eastAsia" w:ascii="宋体" w:hAnsi="宋体" w:cs="宋体"/>
          <w:b/>
          <w:color w:val="auto"/>
          <w:sz w:val="36"/>
          <w:szCs w:val="36"/>
        </w:rPr>
        <w:t>项目名称：2020年食品安全抽检检测服务采购</w:t>
      </w:r>
    </w:p>
    <w:p>
      <w:pPr>
        <w:tabs>
          <w:tab w:val="left" w:pos="993"/>
        </w:tabs>
        <w:spacing w:line="720" w:lineRule="exact"/>
        <w:ind w:left="2582" w:leftChars="400" w:hanging="1742" w:hangingChars="482"/>
        <w:rPr>
          <w:rFonts w:ascii="宋体" w:hAnsi="宋体" w:cs="宋体"/>
          <w:b/>
          <w:color w:val="auto"/>
          <w:sz w:val="36"/>
          <w:szCs w:val="36"/>
        </w:rPr>
      </w:pPr>
      <w:r>
        <w:rPr>
          <w:rFonts w:hint="eastAsia" w:ascii="宋体" w:hAnsi="宋体" w:cs="宋体"/>
          <w:b/>
          <w:color w:val="auto"/>
          <w:sz w:val="36"/>
          <w:szCs w:val="36"/>
        </w:rPr>
        <w:t>项目编号：HCZC2020-G3-000065-GXYQ</w:t>
      </w:r>
    </w:p>
    <w:p>
      <w:pPr>
        <w:pStyle w:val="2"/>
        <w:spacing w:line="720" w:lineRule="exact"/>
        <w:rPr>
          <w:rFonts w:ascii="宋体" w:hAnsi="宋体" w:cs="宋体"/>
          <w:b/>
          <w:color w:val="auto"/>
          <w:sz w:val="36"/>
          <w:szCs w:val="36"/>
        </w:rPr>
      </w:pPr>
    </w:p>
    <w:p>
      <w:pPr>
        <w:pStyle w:val="2"/>
        <w:spacing w:line="720" w:lineRule="exact"/>
        <w:rPr>
          <w:rFonts w:ascii="宋体" w:hAnsi="宋体" w:cs="宋体"/>
          <w:b/>
          <w:color w:val="auto"/>
          <w:sz w:val="36"/>
          <w:szCs w:val="36"/>
        </w:rPr>
      </w:pPr>
    </w:p>
    <w:p>
      <w:pPr>
        <w:pStyle w:val="2"/>
        <w:spacing w:line="720" w:lineRule="exact"/>
        <w:rPr>
          <w:rFonts w:ascii="宋体" w:hAnsi="宋体" w:cs="宋体"/>
          <w:b/>
          <w:color w:val="auto"/>
          <w:sz w:val="36"/>
          <w:szCs w:val="36"/>
        </w:rPr>
      </w:pPr>
    </w:p>
    <w:p>
      <w:pPr>
        <w:tabs>
          <w:tab w:val="left" w:pos="993"/>
        </w:tabs>
        <w:spacing w:line="600" w:lineRule="auto"/>
        <w:ind w:left="2582" w:leftChars="400" w:hanging="1742" w:hangingChars="482"/>
        <w:rPr>
          <w:rFonts w:ascii="宋体" w:hAnsi="宋体" w:cs="宋体"/>
          <w:b/>
          <w:color w:val="auto"/>
          <w:sz w:val="36"/>
          <w:szCs w:val="36"/>
        </w:rPr>
      </w:pPr>
      <w:r>
        <w:rPr>
          <w:rFonts w:hint="eastAsia" w:ascii="宋体" w:hAnsi="宋体" w:cs="宋体"/>
          <w:b/>
          <w:color w:val="auto"/>
          <w:sz w:val="36"/>
          <w:szCs w:val="36"/>
        </w:rPr>
        <w:t>采购人：河池市市场监督管理局</w:t>
      </w:r>
    </w:p>
    <w:p>
      <w:pPr>
        <w:tabs>
          <w:tab w:val="left" w:pos="993"/>
        </w:tabs>
        <w:spacing w:line="600" w:lineRule="auto"/>
        <w:ind w:left="2582" w:leftChars="400" w:hanging="1742" w:hangingChars="482"/>
        <w:rPr>
          <w:rFonts w:ascii="宋体" w:hAnsi="宋体" w:cs="宋体"/>
          <w:b/>
          <w:color w:val="auto"/>
          <w:sz w:val="36"/>
          <w:szCs w:val="36"/>
        </w:rPr>
      </w:pPr>
      <w:r>
        <w:rPr>
          <w:rFonts w:hint="eastAsia" w:ascii="宋体" w:hAnsi="宋体" w:cs="宋体"/>
          <w:b/>
          <w:color w:val="auto"/>
          <w:sz w:val="36"/>
          <w:szCs w:val="36"/>
        </w:rPr>
        <w:t>采购代理机构：广西元强建设项目管理有限公司</w:t>
      </w:r>
    </w:p>
    <w:p>
      <w:pPr>
        <w:tabs>
          <w:tab w:val="left" w:pos="993"/>
        </w:tabs>
        <w:spacing w:line="600" w:lineRule="auto"/>
        <w:ind w:left="2582" w:leftChars="400" w:hanging="1742" w:hangingChars="482"/>
        <w:jc w:val="center"/>
        <w:rPr>
          <w:rFonts w:ascii="宋体" w:hAnsi="宋体" w:cs="宋体"/>
          <w:b/>
          <w:color w:val="auto"/>
          <w:sz w:val="36"/>
          <w:szCs w:val="36"/>
        </w:rPr>
      </w:pPr>
      <w:r>
        <w:rPr>
          <w:rFonts w:hint="eastAsia" w:ascii="宋体" w:hAnsi="宋体" w:cs="宋体"/>
          <w:b/>
          <w:color w:val="auto"/>
          <w:sz w:val="36"/>
          <w:szCs w:val="36"/>
        </w:rPr>
        <w:t>二O二0年四月</w:t>
      </w:r>
    </w:p>
    <w:p>
      <w:pPr>
        <w:pStyle w:val="6"/>
        <w:rPr>
          <w:rFonts w:ascii="宋体" w:hAnsi="宋体" w:cs="宋体"/>
          <w:color w:val="auto"/>
        </w:rPr>
      </w:pPr>
    </w:p>
    <w:p>
      <w:pPr>
        <w:spacing w:beforeLines="50"/>
        <w:jc w:val="center"/>
        <w:rPr>
          <w:rFonts w:ascii="宋体" w:hAnsi="宋体" w:cs="宋体"/>
          <w:color w:val="auto"/>
          <w:sz w:val="72"/>
          <w:szCs w:val="72"/>
        </w:rPr>
      </w:pPr>
    </w:p>
    <w:p>
      <w:pPr>
        <w:rPr>
          <w:rFonts w:ascii="宋体" w:hAnsi="宋体" w:cs="宋体"/>
          <w:color w:val="auto"/>
          <w:sz w:val="44"/>
          <w:szCs w:val="44"/>
        </w:rPr>
      </w:pPr>
      <w:r>
        <w:rPr>
          <w:rFonts w:hint="eastAsia" w:ascii="宋体" w:hAnsi="宋体" w:cs="宋体"/>
          <w:color w:val="auto"/>
          <w:sz w:val="44"/>
          <w:szCs w:val="44"/>
        </w:rPr>
        <w:br w:type="page"/>
      </w:r>
    </w:p>
    <w:p>
      <w:pPr>
        <w:pStyle w:val="11"/>
        <w:spacing w:before="120" w:after="120" w:line="360" w:lineRule="auto"/>
        <w:jc w:val="center"/>
        <w:rPr>
          <w:rFonts w:hAnsi="宋体" w:cs="宋体"/>
          <w:b/>
          <w:bCs/>
          <w:color w:val="auto"/>
          <w:sz w:val="44"/>
          <w:szCs w:val="44"/>
        </w:rPr>
      </w:pPr>
    </w:p>
    <w:p>
      <w:pPr>
        <w:pStyle w:val="11"/>
        <w:spacing w:before="120" w:after="120" w:line="360" w:lineRule="auto"/>
        <w:jc w:val="center"/>
        <w:rPr>
          <w:rFonts w:hAnsi="宋体" w:cs="宋体"/>
          <w:b/>
          <w:bCs/>
          <w:color w:val="auto"/>
          <w:sz w:val="44"/>
          <w:szCs w:val="44"/>
        </w:rPr>
      </w:pPr>
      <w:r>
        <w:rPr>
          <w:rFonts w:hint="eastAsia" w:hAnsi="宋体" w:cs="宋体"/>
          <w:b/>
          <w:bCs/>
          <w:color w:val="auto"/>
          <w:sz w:val="44"/>
          <w:szCs w:val="44"/>
        </w:rPr>
        <w:t>目  录</w:t>
      </w:r>
    </w:p>
    <w:p>
      <w:pPr>
        <w:pStyle w:val="4"/>
        <w:rPr>
          <w:rFonts w:ascii="宋体" w:hAnsi="宋体" w:eastAsia="宋体" w:cs="宋体"/>
          <w:color w:val="auto"/>
        </w:rPr>
      </w:pPr>
    </w:p>
    <w:p>
      <w:pPr>
        <w:pStyle w:val="17"/>
        <w:tabs>
          <w:tab w:val="right" w:leader="dot" w:pos="9026"/>
          <w:tab w:val="clear" w:pos="9000"/>
        </w:tabs>
        <w:spacing w:line="600" w:lineRule="exact"/>
        <w:ind w:firstLine="301"/>
        <w:rPr>
          <w:rFonts w:cs="宋体"/>
          <w:color w:val="auto"/>
          <w:sz w:val="30"/>
          <w:szCs w:val="30"/>
        </w:rPr>
      </w:pPr>
      <w:r>
        <w:rPr>
          <w:rFonts w:hint="eastAsia" w:cs="宋体"/>
          <w:color w:val="auto"/>
          <w:sz w:val="30"/>
          <w:szCs w:val="30"/>
        </w:rPr>
        <w:fldChar w:fldCharType="begin"/>
      </w:r>
      <w:r>
        <w:rPr>
          <w:rStyle w:val="32"/>
          <w:rFonts w:hint="eastAsia" w:cs="宋体"/>
          <w:color w:val="auto"/>
          <w:sz w:val="30"/>
          <w:szCs w:val="30"/>
        </w:rPr>
        <w:instrText xml:space="preserve"> TOC \o "1-3" \h \z </w:instrText>
      </w:r>
      <w:r>
        <w:rPr>
          <w:rFonts w:hint="eastAsia" w:cs="宋体"/>
          <w:color w:val="auto"/>
          <w:sz w:val="30"/>
          <w:szCs w:val="30"/>
        </w:rPr>
        <w:fldChar w:fldCharType="separate"/>
      </w:r>
      <w:r>
        <w:rPr>
          <w:color w:val="auto"/>
        </w:rPr>
        <w:fldChar w:fldCharType="begin"/>
      </w:r>
      <w:r>
        <w:rPr>
          <w:color w:val="auto"/>
        </w:rPr>
        <w:instrText xml:space="preserve"> HYPERLINK \l "_Toc9320" </w:instrText>
      </w:r>
      <w:r>
        <w:rPr>
          <w:color w:val="auto"/>
        </w:rPr>
        <w:fldChar w:fldCharType="separate"/>
      </w:r>
      <w:r>
        <w:rPr>
          <w:rFonts w:hint="eastAsia" w:cs="宋体"/>
          <w:color w:val="auto"/>
          <w:sz w:val="30"/>
          <w:szCs w:val="30"/>
        </w:rPr>
        <w:t>第一章  公开招标公告</w:t>
      </w:r>
      <w:r>
        <w:rPr>
          <w:rFonts w:hint="eastAsia" w:cs="宋体"/>
          <w:color w:val="auto"/>
          <w:sz w:val="30"/>
          <w:szCs w:val="30"/>
        </w:rPr>
        <w:tab/>
      </w:r>
      <w:r>
        <w:rPr>
          <w:rFonts w:hint="eastAsia" w:cs="宋体"/>
          <w:color w:val="auto"/>
          <w:sz w:val="30"/>
          <w:szCs w:val="30"/>
        </w:rPr>
        <w:fldChar w:fldCharType="begin"/>
      </w:r>
      <w:r>
        <w:rPr>
          <w:rFonts w:hint="eastAsia" w:cs="宋体"/>
          <w:color w:val="auto"/>
          <w:sz w:val="30"/>
          <w:szCs w:val="30"/>
        </w:rPr>
        <w:instrText xml:space="preserve"> PAGEREF _Toc9320 </w:instrText>
      </w:r>
      <w:r>
        <w:rPr>
          <w:rFonts w:hint="eastAsia" w:cs="宋体"/>
          <w:color w:val="auto"/>
          <w:sz w:val="30"/>
          <w:szCs w:val="30"/>
        </w:rPr>
        <w:fldChar w:fldCharType="separate"/>
      </w:r>
      <w:r>
        <w:rPr>
          <w:rFonts w:hint="eastAsia" w:cs="宋体"/>
          <w:color w:val="auto"/>
          <w:sz w:val="30"/>
          <w:szCs w:val="30"/>
        </w:rPr>
        <w:t>3</w:t>
      </w:r>
      <w:r>
        <w:rPr>
          <w:rFonts w:hint="eastAsia" w:cs="宋体"/>
          <w:color w:val="auto"/>
          <w:sz w:val="30"/>
          <w:szCs w:val="30"/>
        </w:rPr>
        <w:fldChar w:fldCharType="end"/>
      </w:r>
      <w:r>
        <w:rPr>
          <w:rFonts w:hint="eastAsia" w:cs="宋体"/>
          <w:color w:val="auto"/>
          <w:sz w:val="30"/>
          <w:szCs w:val="30"/>
        </w:rPr>
        <w:fldChar w:fldCharType="end"/>
      </w:r>
    </w:p>
    <w:p>
      <w:pPr>
        <w:pStyle w:val="17"/>
        <w:tabs>
          <w:tab w:val="right" w:leader="dot" w:pos="9026"/>
          <w:tab w:val="clear" w:pos="9000"/>
        </w:tabs>
        <w:spacing w:line="600" w:lineRule="exact"/>
        <w:ind w:firstLine="241"/>
        <w:rPr>
          <w:rFonts w:cs="宋体"/>
          <w:color w:val="auto"/>
          <w:sz w:val="30"/>
          <w:szCs w:val="30"/>
        </w:rPr>
      </w:pPr>
      <w:r>
        <w:rPr>
          <w:color w:val="auto"/>
        </w:rPr>
        <w:fldChar w:fldCharType="begin"/>
      </w:r>
      <w:r>
        <w:rPr>
          <w:color w:val="auto"/>
        </w:rPr>
        <w:instrText xml:space="preserve"> HYPERLINK \l "_Toc16656" </w:instrText>
      </w:r>
      <w:r>
        <w:rPr>
          <w:color w:val="auto"/>
        </w:rPr>
        <w:fldChar w:fldCharType="separate"/>
      </w:r>
      <w:r>
        <w:rPr>
          <w:rFonts w:hint="eastAsia" w:cs="宋体"/>
          <w:color w:val="auto"/>
          <w:sz w:val="30"/>
          <w:szCs w:val="30"/>
        </w:rPr>
        <w:t>第二章 招标项目需求</w:t>
      </w:r>
      <w:r>
        <w:rPr>
          <w:rFonts w:hint="eastAsia" w:cs="宋体"/>
          <w:color w:val="auto"/>
          <w:sz w:val="30"/>
          <w:szCs w:val="30"/>
        </w:rPr>
        <w:tab/>
      </w:r>
      <w:r>
        <w:rPr>
          <w:rFonts w:hint="eastAsia" w:cs="宋体"/>
          <w:color w:val="auto"/>
          <w:sz w:val="30"/>
          <w:szCs w:val="30"/>
        </w:rPr>
        <w:fldChar w:fldCharType="begin"/>
      </w:r>
      <w:r>
        <w:rPr>
          <w:rFonts w:hint="eastAsia" w:cs="宋体"/>
          <w:color w:val="auto"/>
          <w:sz w:val="30"/>
          <w:szCs w:val="30"/>
        </w:rPr>
        <w:instrText xml:space="preserve"> PAGEREF _Toc16656 </w:instrText>
      </w:r>
      <w:r>
        <w:rPr>
          <w:rFonts w:hint="eastAsia" w:cs="宋体"/>
          <w:color w:val="auto"/>
          <w:sz w:val="30"/>
          <w:szCs w:val="30"/>
        </w:rPr>
        <w:fldChar w:fldCharType="separate"/>
      </w:r>
      <w:r>
        <w:rPr>
          <w:rFonts w:hint="eastAsia" w:cs="宋体"/>
          <w:color w:val="auto"/>
          <w:sz w:val="30"/>
          <w:szCs w:val="30"/>
        </w:rPr>
        <w:t>6</w:t>
      </w:r>
      <w:r>
        <w:rPr>
          <w:rFonts w:hint="eastAsia" w:cs="宋体"/>
          <w:color w:val="auto"/>
          <w:sz w:val="30"/>
          <w:szCs w:val="30"/>
        </w:rPr>
        <w:fldChar w:fldCharType="end"/>
      </w:r>
      <w:r>
        <w:rPr>
          <w:rFonts w:hint="eastAsia" w:cs="宋体"/>
          <w:color w:val="auto"/>
          <w:sz w:val="30"/>
          <w:szCs w:val="30"/>
        </w:rPr>
        <w:fldChar w:fldCharType="end"/>
      </w:r>
    </w:p>
    <w:p>
      <w:pPr>
        <w:pStyle w:val="17"/>
        <w:tabs>
          <w:tab w:val="right" w:leader="dot" w:pos="9026"/>
          <w:tab w:val="clear" w:pos="9000"/>
        </w:tabs>
        <w:spacing w:line="600" w:lineRule="exact"/>
        <w:ind w:firstLine="241"/>
        <w:rPr>
          <w:rFonts w:cs="宋体"/>
          <w:color w:val="auto"/>
          <w:sz w:val="30"/>
          <w:szCs w:val="30"/>
        </w:rPr>
      </w:pPr>
      <w:r>
        <w:rPr>
          <w:color w:val="auto"/>
        </w:rPr>
        <w:fldChar w:fldCharType="begin"/>
      </w:r>
      <w:r>
        <w:rPr>
          <w:color w:val="auto"/>
        </w:rPr>
        <w:instrText xml:space="preserve"> HYPERLINK \l "_Toc7452" </w:instrText>
      </w:r>
      <w:r>
        <w:rPr>
          <w:color w:val="auto"/>
        </w:rPr>
        <w:fldChar w:fldCharType="separate"/>
      </w:r>
      <w:r>
        <w:rPr>
          <w:rFonts w:hint="eastAsia" w:cs="宋体"/>
          <w:color w:val="auto"/>
          <w:sz w:val="30"/>
          <w:szCs w:val="30"/>
        </w:rPr>
        <w:t>第三章  投标人须知</w:t>
      </w:r>
      <w:r>
        <w:rPr>
          <w:rFonts w:hint="eastAsia" w:cs="宋体"/>
          <w:color w:val="auto"/>
          <w:sz w:val="30"/>
          <w:szCs w:val="30"/>
        </w:rPr>
        <w:tab/>
      </w:r>
      <w:r>
        <w:rPr>
          <w:rFonts w:hint="eastAsia" w:cs="宋体"/>
          <w:color w:val="auto"/>
          <w:sz w:val="30"/>
          <w:szCs w:val="30"/>
        </w:rPr>
        <w:fldChar w:fldCharType="begin"/>
      </w:r>
      <w:r>
        <w:rPr>
          <w:rFonts w:hint="eastAsia" w:cs="宋体"/>
          <w:color w:val="auto"/>
          <w:sz w:val="30"/>
          <w:szCs w:val="30"/>
        </w:rPr>
        <w:instrText xml:space="preserve"> PAGEREF _Toc7452 </w:instrText>
      </w:r>
      <w:r>
        <w:rPr>
          <w:rFonts w:hint="eastAsia" w:cs="宋体"/>
          <w:color w:val="auto"/>
          <w:sz w:val="30"/>
          <w:szCs w:val="30"/>
        </w:rPr>
        <w:fldChar w:fldCharType="separate"/>
      </w:r>
      <w:r>
        <w:rPr>
          <w:rFonts w:hint="eastAsia" w:cs="宋体"/>
          <w:color w:val="auto"/>
          <w:sz w:val="30"/>
          <w:szCs w:val="30"/>
        </w:rPr>
        <w:t>29</w:t>
      </w:r>
      <w:r>
        <w:rPr>
          <w:rFonts w:hint="eastAsia" w:cs="宋体"/>
          <w:color w:val="auto"/>
          <w:sz w:val="30"/>
          <w:szCs w:val="30"/>
        </w:rPr>
        <w:fldChar w:fldCharType="end"/>
      </w:r>
      <w:r>
        <w:rPr>
          <w:rFonts w:hint="eastAsia" w:cs="宋体"/>
          <w:color w:val="auto"/>
          <w:sz w:val="30"/>
          <w:szCs w:val="30"/>
        </w:rPr>
        <w:fldChar w:fldCharType="end"/>
      </w:r>
    </w:p>
    <w:p>
      <w:pPr>
        <w:pStyle w:val="17"/>
        <w:tabs>
          <w:tab w:val="right" w:leader="dot" w:pos="9026"/>
          <w:tab w:val="clear" w:pos="9000"/>
        </w:tabs>
        <w:spacing w:line="600" w:lineRule="exact"/>
        <w:ind w:firstLine="241"/>
        <w:rPr>
          <w:rFonts w:cs="宋体"/>
          <w:color w:val="auto"/>
          <w:sz w:val="30"/>
          <w:szCs w:val="30"/>
        </w:rPr>
      </w:pPr>
      <w:r>
        <w:rPr>
          <w:color w:val="auto"/>
        </w:rPr>
        <w:fldChar w:fldCharType="begin"/>
      </w:r>
      <w:r>
        <w:rPr>
          <w:color w:val="auto"/>
        </w:rPr>
        <w:instrText xml:space="preserve"> HYPERLINK \l "_Toc11423" </w:instrText>
      </w:r>
      <w:r>
        <w:rPr>
          <w:color w:val="auto"/>
        </w:rPr>
        <w:fldChar w:fldCharType="separate"/>
      </w:r>
      <w:r>
        <w:rPr>
          <w:rFonts w:hint="eastAsia" w:cs="宋体"/>
          <w:color w:val="auto"/>
          <w:sz w:val="30"/>
          <w:szCs w:val="30"/>
        </w:rPr>
        <w:t>第四章  评标方法及评标标准</w:t>
      </w:r>
      <w:r>
        <w:rPr>
          <w:rFonts w:hint="eastAsia" w:cs="宋体"/>
          <w:color w:val="auto"/>
          <w:sz w:val="30"/>
          <w:szCs w:val="30"/>
        </w:rPr>
        <w:tab/>
      </w:r>
      <w:r>
        <w:rPr>
          <w:rFonts w:hint="eastAsia" w:cs="宋体"/>
          <w:color w:val="auto"/>
          <w:sz w:val="30"/>
          <w:szCs w:val="30"/>
        </w:rPr>
        <w:fldChar w:fldCharType="begin"/>
      </w:r>
      <w:r>
        <w:rPr>
          <w:rFonts w:hint="eastAsia" w:cs="宋体"/>
          <w:color w:val="auto"/>
          <w:sz w:val="30"/>
          <w:szCs w:val="30"/>
        </w:rPr>
        <w:instrText xml:space="preserve"> PAGEREF _Toc11423 </w:instrText>
      </w:r>
      <w:r>
        <w:rPr>
          <w:rFonts w:hint="eastAsia" w:cs="宋体"/>
          <w:color w:val="auto"/>
          <w:sz w:val="30"/>
          <w:szCs w:val="30"/>
        </w:rPr>
        <w:fldChar w:fldCharType="separate"/>
      </w:r>
      <w:r>
        <w:rPr>
          <w:rFonts w:hint="eastAsia" w:cs="宋体"/>
          <w:color w:val="auto"/>
          <w:sz w:val="30"/>
          <w:szCs w:val="30"/>
        </w:rPr>
        <w:t>51</w:t>
      </w:r>
      <w:r>
        <w:rPr>
          <w:rFonts w:hint="eastAsia" w:cs="宋体"/>
          <w:color w:val="auto"/>
          <w:sz w:val="30"/>
          <w:szCs w:val="30"/>
        </w:rPr>
        <w:fldChar w:fldCharType="end"/>
      </w:r>
      <w:r>
        <w:rPr>
          <w:rFonts w:hint="eastAsia" w:cs="宋体"/>
          <w:color w:val="auto"/>
          <w:sz w:val="30"/>
          <w:szCs w:val="30"/>
        </w:rPr>
        <w:fldChar w:fldCharType="end"/>
      </w:r>
    </w:p>
    <w:p>
      <w:pPr>
        <w:pStyle w:val="17"/>
        <w:tabs>
          <w:tab w:val="right" w:leader="dot" w:pos="9026"/>
          <w:tab w:val="clear" w:pos="9000"/>
        </w:tabs>
        <w:spacing w:line="600" w:lineRule="exact"/>
        <w:ind w:firstLine="241"/>
        <w:rPr>
          <w:rFonts w:cs="宋体"/>
          <w:color w:val="auto"/>
          <w:sz w:val="30"/>
          <w:szCs w:val="30"/>
        </w:rPr>
      </w:pPr>
      <w:r>
        <w:rPr>
          <w:color w:val="auto"/>
        </w:rPr>
        <w:fldChar w:fldCharType="begin"/>
      </w:r>
      <w:r>
        <w:rPr>
          <w:color w:val="auto"/>
        </w:rPr>
        <w:instrText xml:space="preserve"> HYPERLINK \l "_Toc9743" </w:instrText>
      </w:r>
      <w:r>
        <w:rPr>
          <w:color w:val="auto"/>
        </w:rPr>
        <w:fldChar w:fldCharType="separate"/>
      </w:r>
      <w:r>
        <w:rPr>
          <w:rFonts w:hint="eastAsia" w:cs="宋体"/>
          <w:color w:val="auto"/>
          <w:sz w:val="30"/>
          <w:szCs w:val="30"/>
        </w:rPr>
        <w:t>第五章  合同主要条款格式</w:t>
      </w:r>
      <w:r>
        <w:rPr>
          <w:rFonts w:hint="eastAsia" w:cs="宋体"/>
          <w:color w:val="auto"/>
          <w:sz w:val="30"/>
          <w:szCs w:val="30"/>
        </w:rPr>
        <w:tab/>
      </w:r>
      <w:r>
        <w:rPr>
          <w:rFonts w:hint="eastAsia" w:cs="宋体"/>
          <w:color w:val="auto"/>
          <w:sz w:val="30"/>
          <w:szCs w:val="30"/>
        </w:rPr>
        <w:fldChar w:fldCharType="begin"/>
      </w:r>
      <w:r>
        <w:rPr>
          <w:rFonts w:hint="eastAsia" w:cs="宋体"/>
          <w:color w:val="auto"/>
          <w:sz w:val="30"/>
          <w:szCs w:val="30"/>
        </w:rPr>
        <w:instrText xml:space="preserve"> PAGEREF _Toc9743 </w:instrText>
      </w:r>
      <w:r>
        <w:rPr>
          <w:rFonts w:hint="eastAsia" w:cs="宋体"/>
          <w:color w:val="auto"/>
          <w:sz w:val="30"/>
          <w:szCs w:val="30"/>
        </w:rPr>
        <w:fldChar w:fldCharType="separate"/>
      </w:r>
      <w:r>
        <w:rPr>
          <w:rFonts w:hint="eastAsia" w:cs="宋体"/>
          <w:color w:val="auto"/>
          <w:sz w:val="30"/>
          <w:szCs w:val="30"/>
        </w:rPr>
        <w:t>56</w:t>
      </w:r>
      <w:r>
        <w:rPr>
          <w:rFonts w:hint="eastAsia" w:cs="宋体"/>
          <w:color w:val="auto"/>
          <w:sz w:val="30"/>
          <w:szCs w:val="30"/>
        </w:rPr>
        <w:fldChar w:fldCharType="end"/>
      </w:r>
      <w:r>
        <w:rPr>
          <w:rFonts w:hint="eastAsia" w:cs="宋体"/>
          <w:color w:val="auto"/>
          <w:sz w:val="30"/>
          <w:szCs w:val="30"/>
        </w:rPr>
        <w:fldChar w:fldCharType="end"/>
      </w:r>
    </w:p>
    <w:p>
      <w:pPr>
        <w:pStyle w:val="17"/>
        <w:tabs>
          <w:tab w:val="right" w:leader="dot" w:pos="9026"/>
          <w:tab w:val="clear" w:pos="9000"/>
        </w:tabs>
        <w:spacing w:line="600" w:lineRule="exact"/>
        <w:ind w:firstLine="241"/>
        <w:rPr>
          <w:rFonts w:cs="宋体"/>
          <w:color w:val="auto"/>
          <w:sz w:val="30"/>
          <w:szCs w:val="30"/>
        </w:rPr>
      </w:pPr>
      <w:r>
        <w:rPr>
          <w:color w:val="auto"/>
        </w:rPr>
        <w:fldChar w:fldCharType="begin"/>
      </w:r>
      <w:r>
        <w:rPr>
          <w:color w:val="auto"/>
        </w:rPr>
        <w:instrText xml:space="preserve"> HYPERLINK \l "_Toc18695" </w:instrText>
      </w:r>
      <w:r>
        <w:rPr>
          <w:color w:val="auto"/>
        </w:rPr>
        <w:fldChar w:fldCharType="separate"/>
      </w:r>
      <w:r>
        <w:rPr>
          <w:rFonts w:hint="eastAsia" w:cs="宋体"/>
          <w:color w:val="auto"/>
          <w:sz w:val="30"/>
          <w:szCs w:val="30"/>
        </w:rPr>
        <w:t>第六章　投标文件格式</w:t>
      </w:r>
      <w:r>
        <w:rPr>
          <w:rFonts w:hint="eastAsia" w:cs="宋体"/>
          <w:color w:val="auto"/>
          <w:sz w:val="30"/>
          <w:szCs w:val="30"/>
        </w:rPr>
        <w:tab/>
      </w:r>
      <w:r>
        <w:rPr>
          <w:rFonts w:hint="eastAsia" w:cs="宋体"/>
          <w:color w:val="auto"/>
          <w:sz w:val="30"/>
          <w:szCs w:val="30"/>
        </w:rPr>
        <w:fldChar w:fldCharType="begin"/>
      </w:r>
      <w:r>
        <w:rPr>
          <w:rFonts w:hint="eastAsia" w:cs="宋体"/>
          <w:color w:val="auto"/>
          <w:sz w:val="30"/>
          <w:szCs w:val="30"/>
        </w:rPr>
        <w:instrText xml:space="preserve"> PAGEREF _Toc18695 </w:instrText>
      </w:r>
      <w:r>
        <w:rPr>
          <w:rFonts w:hint="eastAsia" w:cs="宋体"/>
          <w:color w:val="auto"/>
          <w:sz w:val="30"/>
          <w:szCs w:val="30"/>
        </w:rPr>
        <w:fldChar w:fldCharType="separate"/>
      </w:r>
      <w:r>
        <w:rPr>
          <w:rFonts w:hint="eastAsia" w:cs="宋体"/>
          <w:color w:val="auto"/>
          <w:sz w:val="30"/>
          <w:szCs w:val="30"/>
        </w:rPr>
        <w:t>65</w:t>
      </w:r>
      <w:r>
        <w:rPr>
          <w:rFonts w:hint="eastAsia" w:cs="宋体"/>
          <w:color w:val="auto"/>
          <w:sz w:val="30"/>
          <w:szCs w:val="30"/>
        </w:rPr>
        <w:fldChar w:fldCharType="end"/>
      </w:r>
      <w:r>
        <w:rPr>
          <w:rFonts w:hint="eastAsia" w:cs="宋体"/>
          <w:color w:val="auto"/>
          <w:sz w:val="30"/>
          <w:szCs w:val="30"/>
        </w:rPr>
        <w:fldChar w:fldCharType="end"/>
      </w:r>
    </w:p>
    <w:p>
      <w:pPr>
        <w:spacing w:beforeLines="50" w:line="600" w:lineRule="exact"/>
        <w:rPr>
          <w:rFonts w:ascii="宋体" w:hAnsi="宋体" w:cs="宋体"/>
          <w:color w:val="auto"/>
          <w:sz w:val="30"/>
        </w:rPr>
      </w:pPr>
      <w:r>
        <w:rPr>
          <w:rFonts w:hint="eastAsia" w:ascii="宋体" w:hAnsi="宋体" w:cs="宋体"/>
          <w:color w:val="auto"/>
          <w:sz w:val="30"/>
          <w:szCs w:val="30"/>
        </w:rPr>
        <w:fldChar w:fldCharType="end"/>
      </w:r>
    </w:p>
    <w:p>
      <w:pPr>
        <w:spacing w:beforeLines="50" w:line="480" w:lineRule="exact"/>
        <w:rPr>
          <w:rFonts w:ascii="宋体" w:hAnsi="宋体" w:cs="宋体"/>
          <w:color w:val="auto"/>
          <w:sz w:val="30"/>
        </w:rPr>
      </w:pPr>
    </w:p>
    <w:p>
      <w:pPr>
        <w:spacing w:beforeLines="50" w:line="480" w:lineRule="exact"/>
        <w:rPr>
          <w:rFonts w:ascii="宋体" w:hAnsi="宋体" w:cs="宋体"/>
          <w:color w:val="auto"/>
          <w:sz w:val="30"/>
        </w:rPr>
      </w:pPr>
    </w:p>
    <w:p>
      <w:pPr>
        <w:pStyle w:val="3"/>
        <w:rPr>
          <w:rFonts w:ascii="宋体" w:hAnsi="宋体" w:cs="宋体"/>
          <w:color w:val="auto"/>
        </w:rPr>
        <w:sectPr>
          <w:footerReference r:id="rId4" w:type="first"/>
          <w:headerReference r:id="rId3" w:type="default"/>
          <w:pgSz w:w="11906" w:h="16838"/>
          <w:pgMar w:top="1083" w:right="1440" w:bottom="1083" w:left="1440" w:header="851" w:footer="992" w:gutter="0"/>
          <w:pgNumType w:start="1"/>
          <w:cols w:space="0" w:num="1"/>
          <w:docGrid w:type="lines" w:linePitch="312" w:charSpace="0"/>
        </w:sectPr>
      </w:pPr>
      <w:bookmarkStart w:id="0" w:name="_Toc254970489"/>
      <w:bookmarkStart w:id="1" w:name="_Toc254970630"/>
    </w:p>
    <w:p>
      <w:pPr>
        <w:pStyle w:val="3"/>
        <w:rPr>
          <w:rFonts w:ascii="宋体" w:hAnsi="宋体" w:cs="宋体"/>
          <w:color w:val="auto"/>
        </w:rPr>
      </w:pPr>
      <w:bookmarkStart w:id="2" w:name="_Toc9320"/>
      <w:r>
        <w:rPr>
          <w:rFonts w:hint="eastAsia" w:ascii="宋体" w:hAnsi="宋体" w:cs="宋体"/>
          <w:color w:val="auto"/>
        </w:rPr>
        <w:t>第一章  公开招标公告</w:t>
      </w:r>
      <w:bookmarkEnd w:id="0"/>
      <w:bookmarkEnd w:id="1"/>
      <w:bookmarkEnd w:id="2"/>
    </w:p>
    <w:p>
      <w:pPr>
        <w:jc w:val="center"/>
        <w:rPr>
          <w:rFonts w:ascii="宋体" w:hAnsi="宋体" w:cs="宋体"/>
          <w:b/>
          <w:bCs/>
          <w:color w:val="auto"/>
          <w:sz w:val="30"/>
          <w:szCs w:val="30"/>
        </w:rPr>
      </w:pPr>
      <w:r>
        <w:rPr>
          <w:rFonts w:hint="eastAsia" w:ascii="宋体" w:hAnsi="宋体" w:cs="宋体"/>
          <w:b/>
          <w:bCs/>
          <w:color w:val="auto"/>
          <w:sz w:val="30"/>
          <w:szCs w:val="30"/>
        </w:rPr>
        <w:t>广西元强建设项目管理有限公司2020年食品安全抽检检测服务采购（编号：HCZC2020-G3-000065-GXYQ）招标公告</w:t>
      </w:r>
    </w:p>
    <w:p>
      <w:pPr>
        <w:pStyle w:val="37"/>
        <w:spacing w:afterLines="0" w:line="380" w:lineRule="exact"/>
        <w:ind w:firstLine="480"/>
        <w:rPr>
          <w:rFonts w:ascii="宋体" w:hAnsi="宋体" w:cs="宋体"/>
          <w:color w:val="auto"/>
        </w:rPr>
      </w:pPr>
      <w:r>
        <w:rPr>
          <w:rFonts w:hint="eastAsia" w:ascii="宋体" w:hAnsi="宋体" w:cs="宋体"/>
          <w:color w:val="auto"/>
        </w:rPr>
        <w:t>根据《中华人民共和国政府采购法》、《政府采购货物和服务招标投标管理办法》等规定，经财政部门审批的政府采购计划，广西元强建设项目管理有限公司受</w:t>
      </w:r>
      <w:r>
        <w:rPr>
          <w:rFonts w:hint="eastAsia" w:ascii="宋体" w:hAnsi="宋体" w:cs="宋体"/>
          <w:color w:val="auto"/>
          <w:lang w:eastAsia="zh-CN"/>
        </w:rPr>
        <w:t>河池市市场监督管理局</w:t>
      </w:r>
      <w:r>
        <w:rPr>
          <w:rFonts w:hint="eastAsia" w:ascii="宋体" w:hAnsi="宋体" w:cs="宋体"/>
          <w:color w:val="auto"/>
        </w:rPr>
        <w:t>的委托，现就2020年食品安全抽检检测服务采购项目进行公开招标采购，现将本次公开招标有关事项公告如下:</w:t>
      </w:r>
    </w:p>
    <w:p>
      <w:pPr>
        <w:pStyle w:val="37"/>
        <w:spacing w:afterLines="0" w:line="380" w:lineRule="exact"/>
        <w:ind w:firstLine="480"/>
        <w:rPr>
          <w:rFonts w:ascii="宋体" w:hAnsi="宋体" w:cs="宋体"/>
          <w:color w:val="auto"/>
        </w:rPr>
      </w:pPr>
      <w:r>
        <w:rPr>
          <w:rFonts w:hint="eastAsia" w:ascii="宋体" w:hAnsi="宋体" w:cs="宋体"/>
          <w:color w:val="auto"/>
        </w:rPr>
        <w:t>一、项目名称：2020年食品安全抽检检测服务采购</w:t>
      </w:r>
    </w:p>
    <w:p>
      <w:pPr>
        <w:pStyle w:val="37"/>
        <w:spacing w:afterLines="0" w:line="380" w:lineRule="exact"/>
        <w:ind w:firstLine="480"/>
        <w:rPr>
          <w:rFonts w:ascii="宋体" w:hAnsi="宋体" w:cs="宋体"/>
          <w:color w:val="auto"/>
        </w:rPr>
      </w:pPr>
      <w:r>
        <w:rPr>
          <w:rFonts w:hint="eastAsia" w:ascii="宋体" w:hAnsi="宋体" w:cs="宋体"/>
          <w:color w:val="auto"/>
        </w:rPr>
        <w:t>二、项目编号：HCZC2020-G3-000065-GXYQ</w:t>
      </w:r>
    </w:p>
    <w:p>
      <w:pPr>
        <w:pStyle w:val="37"/>
        <w:spacing w:afterLines="0" w:line="380" w:lineRule="exact"/>
        <w:ind w:firstLine="480"/>
        <w:rPr>
          <w:rFonts w:ascii="宋体" w:hAnsi="宋体" w:cs="宋体"/>
          <w:color w:val="auto"/>
        </w:rPr>
      </w:pPr>
      <w:r>
        <w:rPr>
          <w:rFonts w:hint="eastAsia" w:ascii="宋体" w:hAnsi="宋体" w:cs="宋体"/>
          <w:color w:val="auto"/>
        </w:rPr>
        <w:t>三、采购预算金额（人民币）：贰佰肆拾捌万伍仟陆佰元整（￥2485600.00元）。</w:t>
      </w:r>
    </w:p>
    <w:p>
      <w:pPr>
        <w:pStyle w:val="37"/>
        <w:spacing w:afterLines="0" w:line="380" w:lineRule="exact"/>
        <w:ind w:firstLine="480"/>
        <w:rPr>
          <w:rFonts w:ascii="宋体" w:hAnsi="宋体" w:cs="宋体"/>
          <w:color w:val="auto"/>
        </w:rPr>
      </w:pPr>
      <w:r>
        <w:rPr>
          <w:rFonts w:hint="eastAsia" w:ascii="宋体" w:hAnsi="宋体" w:cs="宋体"/>
          <w:color w:val="auto"/>
        </w:rPr>
        <w:t>四、采购项目内容及数量：</w:t>
      </w:r>
    </w:p>
    <w:tbl>
      <w:tblPr>
        <w:tblStyle w:val="24"/>
        <w:tblW w:w="86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2"/>
        <w:gridCol w:w="710"/>
        <w:gridCol w:w="4097"/>
        <w:gridCol w:w="1200"/>
        <w:gridCol w:w="1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4"/>
              </w:rPr>
            </w:pPr>
            <w:r>
              <w:rPr>
                <w:rFonts w:hint="eastAsia" w:ascii="宋体" w:hAnsi="宋体" w:cs="宋体"/>
                <w:color w:val="auto"/>
                <w:sz w:val="24"/>
              </w:rPr>
              <w:t>采购内容</w:t>
            </w:r>
          </w:p>
        </w:tc>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4"/>
              </w:rPr>
            </w:pPr>
            <w:r>
              <w:rPr>
                <w:rFonts w:hint="eastAsia" w:ascii="宋体" w:hAnsi="宋体" w:cs="宋体"/>
                <w:color w:val="auto"/>
                <w:sz w:val="24"/>
              </w:rPr>
              <w:t>数量</w:t>
            </w:r>
          </w:p>
        </w:tc>
        <w:tc>
          <w:tcPr>
            <w:tcW w:w="409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4"/>
              </w:rPr>
            </w:pPr>
            <w:r>
              <w:rPr>
                <w:rFonts w:hint="eastAsia" w:ascii="宋体" w:hAnsi="宋体" w:cs="宋体"/>
                <w:color w:val="auto"/>
                <w:sz w:val="24"/>
              </w:rPr>
              <w:t>服务要求</w:t>
            </w: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4"/>
              </w:rPr>
            </w:pPr>
            <w:r>
              <w:rPr>
                <w:rFonts w:hint="eastAsia" w:ascii="宋体" w:hAnsi="宋体" w:cs="宋体"/>
                <w:color w:val="auto"/>
                <w:sz w:val="24"/>
              </w:rPr>
              <w:t>拟选定中标（成交）单位数量</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4"/>
              </w:rPr>
            </w:pPr>
            <w:r>
              <w:rPr>
                <w:rFonts w:hint="eastAsia" w:ascii="宋体" w:hAnsi="宋体" w:cs="宋体"/>
                <w:color w:val="auto"/>
                <w:sz w:val="24"/>
              </w:rPr>
              <w:t>服务期限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4"/>
              </w:rPr>
            </w:pPr>
            <w:r>
              <w:rPr>
                <w:rFonts w:hint="eastAsia" w:ascii="宋体" w:hAnsi="宋体" w:cs="宋体"/>
                <w:color w:val="auto"/>
                <w:sz w:val="24"/>
              </w:rPr>
              <w:t>2020年食品安全抽检检测服务采购</w:t>
            </w:r>
          </w:p>
        </w:tc>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4"/>
              </w:rPr>
            </w:pPr>
            <w:r>
              <w:rPr>
                <w:rFonts w:hint="eastAsia" w:ascii="宋体" w:hAnsi="宋体" w:cs="宋体"/>
                <w:color w:val="auto"/>
                <w:sz w:val="24"/>
              </w:rPr>
              <w:t>1项</w:t>
            </w:r>
          </w:p>
        </w:tc>
        <w:tc>
          <w:tcPr>
            <w:tcW w:w="409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sz w:val="24"/>
              </w:rPr>
            </w:pPr>
            <w:r>
              <w:rPr>
                <w:rFonts w:hint="eastAsia" w:ascii="宋体" w:hAnsi="宋体" w:cs="宋体"/>
                <w:color w:val="auto"/>
                <w:sz w:val="24"/>
              </w:rPr>
              <w:t>在指定范围内开展2020年食品安全抽检检测工作，总任务为3107批次，其中：自治区局转移食品安全监督抽检233批次，市、县食用农产品安全监督抽检2874批次。</w:t>
            </w: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4"/>
              </w:rPr>
            </w:pPr>
            <w:r>
              <w:rPr>
                <w:rFonts w:hint="eastAsia" w:ascii="宋体" w:hAnsi="宋体" w:cs="宋体"/>
                <w:color w:val="auto"/>
                <w:sz w:val="24"/>
              </w:rPr>
              <w:t>3家</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color w:val="auto"/>
                <w:sz w:val="24"/>
              </w:rPr>
            </w:pPr>
            <w:r>
              <w:rPr>
                <w:rFonts w:hint="eastAsia" w:ascii="宋体" w:hAnsi="宋体" w:cs="宋体"/>
                <w:color w:val="auto"/>
                <w:sz w:val="24"/>
              </w:rPr>
              <w:t>自签订合同之日起开始提供服务至按以上计划要求完成全部计划任务止。</w:t>
            </w:r>
          </w:p>
        </w:tc>
      </w:tr>
    </w:tbl>
    <w:p>
      <w:pPr>
        <w:pStyle w:val="37"/>
        <w:spacing w:afterLines="0" w:line="380" w:lineRule="exact"/>
        <w:ind w:firstLine="480"/>
        <w:rPr>
          <w:rFonts w:ascii="宋体" w:hAnsi="宋体" w:cs="宋体"/>
          <w:color w:val="auto"/>
        </w:rPr>
      </w:pPr>
      <w:r>
        <w:rPr>
          <w:rFonts w:hint="eastAsia" w:ascii="宋体" w:hAnsi="宋体" w:cs="宋体"/>
          <w:color w:val="auto"/>
        </w:rPr>
        <w:t>如需进一步了解详细内容，详见招标文件第二章《招标项目采购需求》。</w:t>
      </w:r>
    </w:p>
    <w:p>
      <w:pPr>
        <w:pStyle w:val="37"/>
        <w:spacing w:afterLines="0" w:line="380" w:lineRule="exact"/>
        <w:ind w:firstLine="480"/>
        <w:rPr>
          <w:rFonts w:ascii="宋体" w:hAnsi="宋体" w:cs="宋体"/>
          <w:b/>
          <w:bCs/>
          <w:color w:val="auto"/>
        </w:rPr>
      </w:pPr>
      <w:r>
        <w:rPr>
          <w:rFonts w:hint="eastAsia" w:ascii="宋体" w:hAnsi="宋体" w:cs="宋体"/>
          <w:color w:val="auto"/>
        </w:rPr>
        <w:t>五、</w:t>
      </w:r>
      <w:r>
        <w:rPr>
          <w:rFonts w:hint="eastAsia" w:ascii="宋体" w:hAnsi="宋体" w:cs="宋体"/>
          <w:b/>
          <w:bCs/>
          <w:color w:val="auto"/>
        </w:rPr>
        <w:t>本项目需要落实的政府采购政策：</w:t>
      </w:r>
      <w:r>
        <w:rPr>
          <w:rFonts w:hint="eastAsia" w:ascii="宋体" w:hAnsi="宋体" w:cs="宋体"/>
          <w:color w:val="auto"/>
        </w:rPr>
        <w:t>《政府采购促进中小企业发展暂行办法》（财库〔2011〕181号）、《关于政府采购支持监狱企业发展有关问题的通知》（财库〔2014〕68号）、《三部门联合发布关于促进残疾人就业政府采购政策的通知》（财库〔2017〕141号）。</w:t>
      </w:r>
    </w:p>
    <w:p>
      <w:pPr>
        <w:pStyle w:val="37"/>
        <w:spacing w:afterLines="0" w:line="380" w:lineRule="exact"/>
        <w:ind w:firstLine="480"/>
        <w:rPr>
          <w:rFonts w:ascii="宋体" w:hAnsi="宋体" w:cs="宋体"/>
          <w:color w:val="auto"/>
        </w:rPr>
      </w:pPr>
      <w:r>
        <w:rPr>
          <w:rFonts w:hint="eastAsia" w:ascii="宋体" w:hAnsi="宋体" w:cs="宋体"/>
          <w:color w:val="auto"/>
        </w:rPr>
        <w:t>六、合格投标人的资格要求</w:t>
      </w:r>
    </w:p>
    <w:p>
      <w:pPr>
        <w:pStyle w:val="37"/>
        <w:spacing w:afterLines="0" w:line="380" w:lineRule="exact"/>
        <w:ind w:firstLine="480"/>
        <w:rPr>
          <w:rFonts w:ascii="宋体" w:hAnsi="宋体" w:cs="宋体"/>
          <w:color w:val="auto"/>
        </w:rPr>
      </w:pPr>
      <w:r>
        <w:rPr>
          <w:rFonts w:hint="eastAsia" w:ascii="宋体" w:hAnsi="宋体" w:cs="宋体"/>
          <w:color w:val="auto"/>
        </w:rPr>
        <w:t>1.国内注册（指按国家有关规定要求注册的），符合《中华人民共和国政府采购法》第二十二条资格条件的供应商。</w:t>
      </w:r>
    </w:p>
    <w:p>
      <w:pPr>
        <w:pStyle w:val="37"/>
        <w:spacing w:afterLines="0" w:line="380" w:lineRule="exact"/>
        <w:ind w:firstLine="480"/>
        <w:rPr>
          <w:rFonts w:ascii="宋体" w:hAnsi="宋体" w:cs="宋体"/>
          <w:color w:val="auto"/>
        </w:rPr>
      </w:pPr>
      <w:r>
        <w:rPr>
          <w:rFonts w:hint="eastAsia" w:ascii="宋体" w:hAnsi="宋体" w:cs="宋体"/>
          <w:color w:val="auto"/>
        </w:rPr>
        <w:t>2.具有食品检验机构资质认定证书或检验检测机构资质认定证书，具备与承检任务中检验项目和任务量相适应的检验检测能力。</w:t>
      </w:r>
    </w:p>
    <w:p>
      <w:pPr>
        <w:pStyle w:val="37"/>
        <w:spacing w:afterLines="0" w:line="380" w:lineRule="exact"/>
        <w:ind w:firstLine="480"/>
        <w:rPr>
          <w:rFonts w:ascii="宋体" w:hAnsi="宋体" w:cs="宋体"/>
          <w:color w:val="auto"/>
        </w:rPr>
      </w:pPr>
      <w:r>
        <w:rPr>
          <w:rFonts w:hint="eastAsia" w:ascii="宋体" w:hAnsi="宋体" w:cs="宋体"/>
          <w:color w:val="auto"/>
        </w:rPr>
        <w:t>3.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pStyle w:val="37"/>
        <w:spacing w:afterLines="0" w:line="380" w:lineRule="exact"/>
        <w:ind w:firstLine="480"/>
        <w:rPr>
          <w:rFonts w:ascii="宋体" w:hAnsi="宋体" w:cs="宋体"/>
          <w:color w:val="auto"/>
        </w:rPr>
      </w:pPr>
      <w:r>
        <w:rPr>
          <w:rFonts w:hint="eastAsia" w:ascii="宋体" w:hAnsi="宋体" w:cs="宋体"/>
          <w:color w:val="auto"/>
        </w:rPr>
        <w:t>4.单位负责人为同一人或者存在直接控股、管理关系的不同供应商，不得参加同一合同项下的政府采购活动。除单一来源采购项目外，为采购项目提供整体设计、规范编</w:t>
      </w:r>
      <w:r>
        <w:rPr>
          <w:rFonts w:hint="eastAsia" w:ascii="宋体" w:hAnsi="宋体" w:cs="宋体"/>
          <w:color w:val="auto"/>
        </w:rPr>
        <w:t>制或者项目管理、监理、检测等服务的供应商，不得再参加该采购项目的其他采购活动；</w:t>
      </w:r>
    </w:p>
    <w:p>
      <w:pPr>
        <w:pStyle w:val="37"/>
        <w:spacing w:afterLines="0" w:line="380" w:lineRule="exact"/>
        <w:ind w:firstLine="480"/>
        <w:rPr>
          <w:rFonts w:ascii="宋体" w:hAnsi="宋体" w:cs="宋体"/>
          <w:color w:val="auto"/>
        </w:rPr>
      </w:pPr>
      <w:r>
        <w:rPr>
          <w:rFonts w:hint="eastAsia" w:ascii="宋体" w:hAnsi="宋体" w:cs="宋体"/>
          <w:color w:val="auto"/>
        </w:rPr>
        <w:t>5.本项目不接受联合体投标。</w:t>
      </w:r>
    </w:p>
    <w:p>
      <w:pPr>
        <w:pStyle w:val="37"/>
        <w:spacing w:afterLines="0" w:line="380" w:lineRule="exact"/>
        <w:ind w:firstLine="480"/>
        <w:rPr>
          <w:rFonts w:ascii="宋体" w:hAnsi="宋体" w:cs="宋体"/>
          <w:color w:val="auto"/>
        </w:rPr>
      </w:pPr>
      <w:r>
        <w:rPr>
          <w:rFonts w:hint="eastAsia" w:ascii="宋体" w:hAnsi="宋体" w:cs="宋体"/>
          <w:color w:val="auto"/>
        </w:rPr>
        <w:t>七、</w:t>
      </w:r>
      <w:r>
        <w:rPr>
          <w:rFonts w:hint="eastAsia" w:ascii="宋体" w:hAnsi="宋体" w:cs="宋体"/>
          <w:color w:val="auto"/>
          <w:szCs w:val="24"/>
        </w:rPr>
        <w:t>招标文件的获取：</w:t>
      </w:r>
    </w:p>
    <w:p>
      <w:pPr>
        <w:pStyle w:val="37"/>
        <w:spacing w:afterLines="0" w:line="380" w:lineRule="exact"/>
        <w:ind w:firstLine="480"/>
        <w:rPr>
          <w:rFonts w:ascii="宋体" w:hAnsi="宋体" w:cs="宋体"/>
          <w:color w:val="auto"/>
        </w:rPr>
      </w:pPr>
      <w:r>
        <w:rPr>
          <w:rFonts w:hint="eastAsia" w:ascii="宋体" w:hAnsi="宋体" w:cs="宋体"/>
          <w:color w:val="auto"/>
        </w:rPr>
        <w:t>本项目招标文件为网上下载。下载时间为2020年</w:t>
      </w:r>
      <w:r>
        <w:rPr>
          <w:rFonts w:hint="eastAsia" w:ascii="宋体" w:hAnsi="宋体" w:cs="宋体"/>
          <w:color w:val="auto"/>
          <w:lang w:val="en-US" w:eastAsia="zh-CN"/>
        </w:rPr>
        <w:t>4</w:t>
      </w:r>
      <w:r>
        <w:rPr>
          <w:rFonts w:hint="eastAsia" w:ascii="宋体" w:hAnsi="宋体" w:cs="宋体"/>
          <w:color w:val="auto"/>
        </w:rPr>
        <w:t>月</w:t>
      </w:r>
      <w:r>
        <w:rPr>
          <w:rFonts w:hint="eastAsia" w:ascii="宋体" w:hAnsi="宋体" w:cs="宋体"/>
          <w:color w:val="auto"/>
          <w:lang w:val="en-US" w:eastAsia="zh-CN"/>
        </w:rPr>
        <w:t>30</w:t>
      </w:r>
      <w:r>
        <w:rPr>
          <w:rFonts w:hint="eastAsia" w:ascii="宋体" w:hAnsi="宋体" w:cs="宋体"/>
          <w:color w:val="auto"/>
        </w:rPr>
        <w:t>日8点30分</w:t>
      </w:r>
      <w:r>
        <w:rPr>
          <w:rFonts w:hint="eastAsia" w:ascii="宋体" w:hAnsi="宋体" w:cs="宋体"/>
          <w:color w:val="auto"/>
          <w:lang w:eastAsia="zh-CN"/>
        </w:rPr>
        <w:t>至投标</w:t>
      </w:r>
      <w:r>
        <w:rPr>
          <w:rFonts w:hint="eastAsia" w:ascii="宋体" w:hAnsi="宋体" w:cs="宋体"/>
          <w:color w:val="auto"/>
        </w:rPr>
        <w:t>文件递交截止时间前止，潜在供应商可以登陆河池市公共资源交易中心网站（网址：http://www.hcjyxxw.com/），在河池市公共资源交易中心电子交易平台注册，并在系统上打印回执及下载获取招标文件，逾期下载无效。</w:t>
      </w:r>
    </w:p>
    <w:p>
      <w:pPr>
        <w:pStyle w:val="37"/>
        <w:numPr>
          <w:ilvl w:val="0"/>
          <w:numId w:val="1"/>
        </w:numPr>
        <w:spacing w:afterLines="0" w:line="380" w:lineRule="exact"/>
        <w:ind w:firstLine="480"/>
        <w:rPr>
          <w:rFonts w:ascii="宋体" w:hAnsi="宋体" w:cs="宋体"/>
          <w:color w:val="auto"/>
        </w:rPr>
      </w:pPr>
      <w:r>
        <w:rPr>
          <w:rFonts w:hint="eastAsia" w:ascii="宋体" w:hAnsi="宋体" w:cs="宋体"/>
          <w:color w:val="auto"/>
        </w:rPr>
        <w:t>投标保证金：</w:t>
      </w:r>
      <w:r>
        <w:rPr>
          <w:rFonts w:hint="eastAsia" w:ascii="宋体" w:hAnsi="宋体" w:cs="宋体"/>
          <w:color w:val="auto"/>
          <w:szCs w:val="24"/>
        </w:rPr>
        <w:t>人民币肆万元整（￥40000.00元）</w:t>
      </w:r>
    </w:p>
    <w:p>
      <w:pPr>
        <w:pStyle w:val="37"/>
        <w:spacing w:afterLines="0" w:line="380" w:lineRule="exact"/>
        <w:ind w:firstLine="480"/>
        <w:rPr>
          <w:rFonts w:ascii="宋体" w:hAnsi="宋体" w:cs="宋体"/>
          <w:color w:val="auto"/>
        </w:rPr>
      </w:pPr>
      <w:r>
        <w:rPr>
          <w:rFonts w:hint="eastAsia" w:ascii="宋体" w:hAnsi="宋体" w:cs="宋体"/>
          <w:color w:val="auto"/>
        </w:rPr>
        <w:t>投标人应于投标截止时间前将投标保证金从银行基本账户以电汇、转帐、汇票等非现金形式交至河池市公共资源交易中心指定账户（具体保证金账号信息详见招标文件）</w:t>
      </w:r>
    </w:p>
    <w:p>
      <w:pPr>
        <w:pStyle w:val="37"/>
        <w:spacing w:afterLines="0" w:line="380" w:lineRule="exact"/>
        <w:ind w:firstLine="480"/>
        <w:rPr>
          <w:rFonts w:ascii="宋体" w:hAnsi="宋体" w:cs="宋体"/>
          <w:color w:val="auto"/>
        </w:rPr>
      </w:pPr>
      <w:r>
        <w:rPr>
          <w:rFonts w:hint="eastAsia" w:ascii="宋体" w:hAnsi="宋体" w:cs="宋体"/>
          <w:color w:val="auto"/>
        </w:rPr>
        <w:t>九、投标截止时间和地点：</w:t>
      </w:r>
      <w:r>
        <w:rPr>
          <w:rFonts w:hint="eastAsia" w:ascii="宋体" w:hAnsi="宋体" w:cs="宋体"/>
          <w:color w:val="auto"/>
        </w:rPr>
        <w:tab/>
      </w:r>
    </w:p>
    <w:p>
      <w:pPr>
        <w:spacing w:line="380" w:lineRule="exact"/>
        <w:rPr>
          <w:rFonts w:ascii="宋体" w:hAnsi="宋体" w:cs="宋体"/>
          <w:color w:val="auto"/>
        </w:rPr>
      </w:pPr>
      <w:r>
        <w:rPr>
          <w:rFonts w:hint="eastAsia" w:ascii="宋体" w:hAnsi="宋体" w:cs="宋体"/>
          <w:color w:val="auto"/>
        </w:rPr>
        <w:t xml:space="preserve">    </w:t>
      </w:r>
      <w:r>
        <w:rPr>
          <w:rFonts w:hint="eastAsia" w:ascii="宋体" w:hAnsi="宋体" w:cs="宋体"/>
          <w:color w:val="auto"/>
          <w:kern w:val="0"/>
          <w:sz w:val="24"/>
          <w:szCs w:val="20"/>
        </w:rPr>
        <w:t>投标文件递交的截止时间（投标截止时间，下同）为2020年</w:t>
      </w:r>
      <w:r>
        <w:rPr>
          <w:rFonts w:hint="eastAsia" w:ascii="宋体" w:hAnsi="宋体" w:cs="宋体"/>
          <w:color w:val="auto"/>
          <w:kern w:val="0"/>
          <w:sz w:val="24"/>
          <w:szCs w:val="20"/>
          <w:lang w:val="en-US" w:eastAsia="zh-CN"/>
        </w:rPr>
        <w:t>5</w:t>
      </w:r>
      <w:r>
        <w:rPr>
          <w:rFonts w:hint="eastAsia" w:ascii="宋体" w:hAnsi="宋体" w:cs="宋体"/>
          <w:color w:val="auto"/>
          <w:kern w:val="0"/>
          <w:sz w:val="24"/>
          <w:szCs w:val="20"/>
        </w:rPr>
        <w:t>月</w:t>
      </w:r>
      <w:r>
        <w:rPr>
          <w:rFonts w:hint="eastAsia" w:ascii="宋体" w:hAnsi="宋体" w:cs="宋体"/>
          <w:color w:val="auto"/>
          <w:kern w:val="0"/>
          <w:sz w:val="24"/>
          <w:szCs w:val="20"/>
          <w:lang w:val="en-US" w:eastAsia="zh-CN"/>
        </w:rPr>
        <w:t>20</w:t>
      </w:r>
      <w:r>
        <w:rPr>
          <w:rFonts w:hint="eastAsia" w:ascii="宋体" w:hAnsi="宋体" w:cs="宋体"/>
          <w:color w:val="auto"/>
          <w:kern w:val="0"/>
          <w:sz w:val="24"/>
          <w:szCs w:val="20"/>
        </w:rPr>
        <w:t>日</w:t>
      </w:r>
      <w:r>
        <w:rPr>
          <w:rFonts w:hint="eastAsia" w:ascii="宋体" w:hAnsi="宋体" w:cs="宋体"/>
          <w:color w:val="auto"/>
          <w:kern w:val="0"/>
          <w:sz w:val="24"/>
          <w:szCs w:val="20"/>
          <w:lang w:val="en-US" w:eastAsia="zh-CN"/>
        </w:rPr>
        <w:t>8</w:t>
      </w:r>
      <w:r>
        <w:rPr>
          <w:rFonts w:hint="eastAsia" w:ascii="宋体" w:hAnsi="宋体" w:cs="宋体"/>
          <w:color w:val="auto"/>
          <w:kern w:val="0"/>
          <w:sz w:val="24"/>
          <w:szCs w:val="20"/>
        </w:rPr>
        <w:t>时</w:t>
      </w:r>
      <w:r>
        <w:rPr>
          <w:rFonts w:hint="eastAsia" w:ascii="宋体" w:hAnsi="宋体" w:cs="宋体"/>
          <w:color w:val="auto"/>
          <w:kern w:val="0"/>
          <w:sz w:val="24"/>
          <w:szCs w:val="20"/>
          <w:lang w:val="en-US" w:eastAsia="zh-CN"/>
        </w:rPr>
        <w:t>30</w:t>
      </w:r>
      <w:r>
        <w:rPr>
          <w:rFonts w:hint="eastAsia" w:ascii="宋体" w:hAnsi="宋体" w:cs="宋体"/>
          <w:color w:val="auto"/>
          <w:kern w:val="0"/>
          <w:sz w:val="24"/>
          <w:szCs w:val="20"/>
        </w:rPr>
        <w:t>分</w:t>
      </w:r>
      <w:r>
        <w:rPr>
          <w:rFonts w:hint="eastAsia" w:ascii="宋体" w:hAnsi="宋体" w:cs="宋体"/>
          <w:color w:val="auto"/>
          <w:sz w:val="24"/>
        </w:rPr>
        <w:t>整</w:t>
      </w:r>
      <w:r>
        <w:rPr>
          <w:rFonts w:hint="eastAsia" w:ascii="宋体" w:hAnsi="宋体" w:cs="宋体"/>
          <w:color w:val="auto"/>
          <w:kern w:val="0"/>
          <w:sz w:val="24"/>
          <w:szCs w:val="20"/>
        </w:rPr>
        <w:t>，地点为河池市公共资源交易中心（河池市金城江区城东新区肯旺桥西侧北面市工人文化宫办公大楼五楼）逾期送达的或者未送达指定地点的投标文件将予以拒收（或作无效投标文件处理）。</w:t>
      </w:r>
    </w:p>
    <w:p>
      <w:pPr>
        <w:pStyle w:val="37"/>
        <w:spacing w:afterLines="0" w:line="380" w:lineRule="exact"/>
        <w:ind w:firstLine="480"/>
        <w:rPr>
          <w:rFonts w:ascii="宋体" w:hAnsi="宋体" w:cs="宋体"/>
          <w:color w:val="auto"/>
        </w:rPr>
      </w:pPr>
      <w:r>
        <w:rPr>
          <w:rFonts w:hint="eastAsia" w:ascii="宋体" w:hAnsi="宋体" w:cs="宋体"/>
          <w:color w:val="auto"/>
        </w:rPr>
        <w:t>十、开标时间及地点：</w:t>
      </w:r>
    </w:p>
    <w:p>
      <w:pPr>
        <w:pStyle w:val="37"/>
        <w:spacing w:afterLines="0" w:line="380" w:lineRule="exact"/>
        <w:ind w:firstLine="480"/>
        <w:rPr>
          <w:rFonts w:ascii="宋体" w:hAnsi="宋体" w:cs="宋体"/>
          <w:color w:val="auto"/>
        </w:rPr>
      </w:pPr>
      <w:r>
        <w:rPr>
          <w:rFonts w:hint="eastAsia" w:ascii="宋体" w:hAnsi="宋体" w:cs="宋体"/>
          <w:color w:val="auto"/>
        </w:rPr>
        <w:t>本次招标将于2020年</w:t>
      </w:r>
      <w:r>
        <w:rPr>
          <w:rFonts w:hint="eastAsia" w:ascii="宋体" w:hAnsi="宋体" w:cs="宋体"/>
          <w:color w:val="auto"/>
          <w:kern w:val="0"/>
          <w:sz w:val="24"/>
          <w:szCs w:val="20"/>
          <w:lang w:val="en-US" w:eastAsia="zh-CN"/>
        </w:rPr>
        <w:t>5</w:t>
      </w:r>
      <w:r>
        <w:rPr>
          <w:rFonts w:hint="eastAsia" w:ascii="宋体" w:hAnsi="宋体" w:cs="宋体"/>
          <w:color w:val="auto"/>
          <w:kern w:val="0"/>
          <w:sz w:val="24"/>
          <w:szCs w:val="20"/>
        </w:rPr>
        <w:t>月</w:t>
      </w:r>
      <w:r>
        <w:rPr>
          <w:rFonts w:hint="eastAsia" w:ascii="宋体" w:hAnsi="宋体" w:cs="宋体"/>
          <w:color w:val="auto"/>
          <w:kern w:val="0"/>
          <w:sz w:val="24"/>
          <w:szCs w:val="20"/>
          <w:lang w:val="en-US" w:eastAsia="zh-CN"/>
        </w:rPr>
        <w:t>20</w:t>
      </w:r>
      <w:r>
        <w:rPr>
          <w:rFonts w:hint="eastAsia" w:ascii="宋体" w:hAnsi="宋体" w:cs="宋体"/>
          <w:color w:val="auto"/>
          <w:kern w:val="0"/>
          <w:sz w:val="24"/>
          <w:szCs w:val="20"/>
        </w:rPr>
        <w:t>日</w:t>
      </w:r>
      <w:r>
        <w:rPr>
          <w:rFonts w:hint="eastAsia" w:ascii="宋体" w:hAnsi="宋体" w:cs="宋体"/>
          <w:color w:val="auto"/>
          <w:kern w:val="0"/>
          <w:sz w:val="24"/>
          <w:szCs w:val="20"/>
          <w:lang w:val="en-US" w:eastAsia="zh-CN"/>
        </w:rPr>
        <w:t>8</w:t>
      </w:r>
      <w:r>
        <w:rPr>
          <w:rFonts w:hint="eastAsia" w:ascii="宋体" w:hAnsi="宋体" w:cs="宋体"/>
          <w:color w:val="auto"/>
          <w:kern w:val="0"/>
          <w:sz w:val="24"/>
          <w:szCs w:val="20"/>
        </w:rPr>
        <w:t>时</w:t>
      </w:r>
      <w:r>
        <w:rPr>
          <w:rFonts w:hint="eastAsia" w:ascii="宋体" w:hAnsi="宋体" w:cs="宋体"/>
          <w:color w:val="auto"/>
          <w:kern w:val="0"/>
          <w:sz w:val="24"/>
          <w:szCs w:val="20"/>
          <w:lang w:val="en-US" w:eastAsia="zh-CN"/>
        </w:rPr>
        <w:t>30</w:t>
      </w:r>
      <w:r>
        <w:rPr>
          <w:rFonts w:hint="eastAsia" w:ascii="宋体" w:hAnsi="宋体" w:cs="宋体"/>
          <w:color w:val="auto"/>
          <w:kern w:val="0"/>
          <w:sz w:val="24"/>
          <w:szCs w:val="20"/>
        </w:rPr>
        <w:t>分</w:t>
      </w:r>
      <w:r>
        <w:rPr>
          <w:rFonts w:hint="eastAsia" w:ascii="宋体" w:hAnsi="宋体" w:cs="宋体"/>
          <w:color w:val="auto"/>
        </w:rPr>
        <w:t>整在河池市公共资源交易中心（河池市金城江区城东新区肯旺桥西侧北面市工人文化宫办公大楼五楼）开标，投标人可以派授权代表出席开标会议。</w:t>
      </w:r>
    </w:p>
    <w:p>
      <w:pPr>
        <w:pStyle w:val="37"/>
        <w:spacing w:afterLines="0" w:line="380" w:lineRule="exact"/>
        <w:ind w:firstLine="480"/>
        <w:rPr>
          <w:rFonts w:ascii="宋体" w:hAnsi="宋体" w:cs="宋体"/>
          <w:color w:val="auto"/>
        </w:rPr>
      </w:pPr>
      <w:r>
        <w:rPr>
          <w:rFonts w:hint="eastAsia" w:ascii="宋体" w:hAnsi="宋体" w:cs="宋体"/>
          <w:color w:val="auto"/>
        </w:rPr>
        <w:t>十一、网上查询地址：</w:t>
      </w:r>
    </w:p>
    <w:p>
      <w:pPr>
        <w:pStyle w:val="37"/>
        <w:spacing w:afterLines="0" w:line="380" w:lineRule="exact"/>
        <w:ind w:firstLine="480"/>
        <w:rPr>
          <w:rFonts w:ascii="宋体" w:hAnsi="宋体" w:cs="宋体"/>
          <w:color w:val="auto"/>
        </w:rPr>
      </w:pPr>
      <w:r>
        <w:rPr>
          <w:rFonts w:hint="eastAsia" w:ascii="宋体" w:hAnsi="宋体" w:cs="宋体"/>
          <w:color w:val="auto"/>
        </w:rPr>
        <w:t>www.ccgp.gov.cn（中国政府采购网）、zfcg.gxzf.gov.cn（广西壮族自治区政府采购网）、</w:t>
      </w:r>
      <w:r>
        <w:rPr>
          <w:rFonts w:hint="eastAsia" w:ascii="宋体" w:hAnsi="宋体" w:cs="宋体"/>
          <w:color w:val="auto"/>
          <w:szCs w:val="24"/>
        </w:rPr>
        <w:t>www.hcjyxxw.com（河池市公共资源交易中心网）</w:t>
      </w:r>
      <w:r>
        <w:rPr>
          <w:rFonts w:hint="eastAsia" w:ascii="宋体" w:hAnsi="宋体" w:cs="宋体"/>
          <w:color w:val="auto"/>
        </w:rPr>
        <w:t>。</w:t>
      </w:r>
    </w:p>
    <w:p>
      <w:pPr>
        <w:pStyle w:val="37"/>
        <w:spacing w:afterLines="0" w:line="380" w:lineRule="exact"/>
        <w:ind w:firstLine="480"/>
        <w:rPr>
          <w:rFonts w:ascii="宋体" w:hAnsi="宋体" w:cs="宋体"/>
          <w:color w:val="auto"/>
        </w:rPr>
      </w:pPr>
      <w:r>
        <w:rPr>
          <w:rFonts w:hint="eastAsia" w:ascii="宋体" w:hAnsi="宋体" w:cs="宋体"/>
          <w:color w:val="auto"/>
        </w:rPr>
        <w:t>十二、业务咨询：</w:t>
      </w:r>
    </w:p>
    <w:p>
      <w:pPr>
        <w:pStyle w:val="37"/>
        <w:spacing w:afterLines="0" w:line="360" w:lineRule="exact"/>
        <w:ind w:firstLine="480"/>
        <w:rPr>
          <w:rFonts w:ascii="宋体" w:hAnsi="宋体" w:cs="宋体"/>
          <w:color w:val="auto"/>
        </w:rPr>
      </w:pPr>
      <w:r>
        <w:rPr>
          <w:rFonts w:hint="eastAsia" w:ascii="宋体" w:hAnsi="宋体" w:cs="宋体"/>
          <w:color w:val="auto"/>
        </w:rPr>
        <w:t>1.采购人名称：</w:t>
      </w:r>
      <w:r>
        <w:rPr>
          <w:rFonts w:hint="eastAsia" w:ascii="宋体" w:hAnsi="宋体" w:cs="宋体"/>
          <w:color w:val="auto"/>
          <w:szCs w:val="21"/>
        </w:rPr>
        <w:t>河池市市场监督管理局</w:t>
      </w:r>
    </w:p>
    <w:p>
      <w:pPr>
        <w:pStyle w:val="37"/>
        <w:spacing w:afterLines="0" w:line="360" w:lineRule="exact"/>
        <w:ind w:firstLine="480"/>
        <w:rPr>
          <w:rFonts w:ascii="宋体" w:hAnsi="宋体" w:cs="宋体"/>
          <w:color w:val="auto"/>
        </w:rPr>
      </w:pPr>
      <w:r>
        <w:rPr>
          <w:rFonts w:hint="eastAsia" w:ascii="宋体" w:hAnsi="宋体" w:cs="宋体"/>
          <w:color w:val="auto"/>
        </w:rPr>
        <w:t>地址：</w:t>
      </w:r>
      <w:r>
        <w:rPr>
          <w:rFonts w:hint="eastAsia" w:ascii="宋体" w:hAnsi="宋体" w:cs="宋体"/>
          <w:color w:val="auto"/>
          <w:szCs w:val="24"/>
        </w:rPr>
        <w:t>河池市金城江区</w:t>
      </w:r>
    </w:p>
    <w:p>
      <w:pPr>
        <w:pStyle w:val="37"/>
        <w:spacing w:afterLines="0" w:line="360" w:lineRule="exact"/>
        <w:ind w:firstLine="480"/>
        <w:rPr>
          <w:rFonts w:ascii="宋体" w:hAnsi="宋体" w:cs="宋体"/>
          <w:color w:val="auto"/>
          <w:highlight w:val="red"/>
        </w:rPr>
      </w:pPr>
      <w:r>
        <w:rPr>
          <w:rFonts w:hint="eastAsia" w:ascii="宋体" w:hAnsi="宋体" w:cs="宋体"/>
          <w:color w:val="auto"/>
        </w:rPr>
        <w:t>联系人及电话：韦佑将；联系电话：0778-2085801</w:t>
      </w:r>
    </w:p>
    <w:p>
      <w:pPr>
        <w:pStyle w:val="37"/>
        <w:spacing w:afterLines="0" w:line="360" w:lineRule="exact"/>
        <w:ind w:firstLine="480"/>
        <w:rPr>
          <w:rFonts w:ascii="宋体" w:hAnsi="宋体" w:cs="宋体"/>
          <w:color w:val="auto"/>
        </w:rPr>
      </w:pPr>
      <w:r>
        <w:rPr>
          <w:rFonts w:hint="eastAsia" w:ascii="宋体" w:hAnsi="宋体" w:cs="宋体"/>
          <w:color w:val="auto"/>
        </w:rPr>
        <w:t>2.采购代理机构：广西元强建设项目管理有限公司</w:t>
      </w:r>
    </w:p>
    <w:p>
      <w:pPr>
        <w:pStyle w:val="37"/>
        <w:spacing w:afterLines="0" w:line="360" w:lineRule="exact"/>
        <w:ind w:firstLine="480"/>
        <w:rPr>
          <w:rFonts w:ascii="宋体" w:hAnsi="宋体" w:cs="宋体"/>
          <w:color w:val="auto"/>
        </w:rPr>
      </w:pPr>
      <w:r>
        <w:rPr>
          <w:rFonts w:hint="eastAsia" w:ascii="宋体" w:hAnsi="宋体" w:cs="宋体"/>
          <w:color w:val="auto"/>
        </w:rPr>
        <w:t>地址：河池市金城江区江北东路367号</w:t>
      </w:r>
    </w:p>
    <w:p>
      <w:pPr>
        <w:pStyle w:val="37"/>
        <w:spacing w:afterLines="0" w:line="360" w:lineRule="exact"/>
        <w:ind w:firstLine="480"/>
        <w:rPr>
          <w:rFonts w:ascii="宋体" w:hAnsi="宋体" w:cs="宋体"/>
          <w:color w:val="auto"/>
        </w:rPr>
      </w:pPr>
      <w:r>
        <w:rPr>
          <w:rFonts w:hint="eastAsia" w:ascii="宋体" w:hAnsi="宋体" w:cs="宋体"/>
          <w:color w:val="auto"/>
        </w:rPr>
        <w:t>联系人：韦</w:t>
      </w:r>
      <w:r>
        <w:rPr>
          <w:rFonts w:hint="eastAsia" w:ascii="宋体" w:hAnsi="宋体" w:cs="宋体"/>
          <w:color w:val="auto"/>
          <w:lang w:val="en-US" w:eastAsia="zh-CN"/>
        </w:rPr>
        <w:t>工</w:t>
      </w:r>
      <w:r>
        <w:rPr>
          <w:rFonts w:hint="eastAsia" w:ascii="宋体" w:hAnsi="宋体" w:cs="宋体"/>
          <w:color w:val="auto"/>
        </w:rPr>
        <w:t xml:space="preserve">       联系电话：0778-2279393</w:t>
      </w:r>
    </w:p>
    <w:p>
      <w:pPr>
        <w:pStyle w:val="37"/>
        <w:spacing w:afterLines="0" w:line="380" w:lineRule="exact"/>
        <w:ind w:firstLine="480"/>
        <w:rPr>
          <w:rFonts w:ascii="宋体" w:hAnsi="宋体" w:cs="宋体"/>
          <w:color w:val="auto"/>
        </w:rPr>
      </w:pPr>
      <w:r>
        <w:rPr>
          <w:rFonts w:hint="eastAsia" w:ascii="宋体" w:hAnsi="宋体" w:cs="宋体"/>
          <w:color w:val="auto"/>
        </w:rPr>
        <w:t xml:space="preserve">3.管理部门：河池市财政局政府采购监督管理科       联系电话：0778-2270025                                         </w:t>
      </w:r>
    </w:p>
    <w:p>
      <w:pPr>
        <w:pStyle w:val="37"/>
        <w:spacing w:afterLines="0" w:line="380" w:lineRule="exact"/>
        <w:ind w:firstLine="480"/>
        <w:rPr>
          <w:rFonts w:ascii="宋体" w:hAnsi="宋体" w:cs="宋体"/>
          <w:color w:val="auto"/>
        </w:rPr>
      </w:pPr>
      <w:r>
        <w:rPr>
          <w:rFonts w:hint="eastAsia" w:ascii="宋体" w:hAnsi="宋体" w:cs="宋体"/>
          <w:color w:val="auto"/>
        </w:rPr>
        <w:t xml:space="preserve">                                          </w:t>
      </w:r>
    </w:p>
    <w:p>
      <w:pPr>
        <w:pStyle w:val="37"/>
        <w:spacing w:afterLines="0" w:line="380" w:lineRule="exact"/>
        <w:ind w:firstLine="480"/>
        <w:rPr>
          <w:rFonts w:ascii="宋体" w:hAnsi="宋体" w:cs="宋体"/>
          <w:color w:val="auto"/>
        </w:rPr>
      </w:pPr>
    </w:p>
    <w:p>
      <w:pPr>
        <w:pStyle w:val="37"/>
        <w:spacing w:afterLines="0" w:line="380" w:lineRule="exact"/>
        <w:ind w:firstLine="480"/>
        <w:jc w:val="center"/>
        <w:rPr>
          <w:rFonts w:ascii="宋体" w:hAnsi="宋体" w:cs="宋体"/>
          <w:color w:val="auto"/>
        </w:rPr>
      </w:pPr>
      <w:r>
        <w:rPr>
          <w:rFonts w:hint="eastAsia" w:ascii="宋体" w:hAnsi="宋体" w:cs="宋体"/>
          <w:color w:val="auto"/>
        </w:rPr>
        <w:t xml:space="preserve">                                    广西元强建设项目管理有限公司 </w:t>
      </w:r>
    </w:p>
    <w:p>
      <w:pPr>
        <w:snapToGrid w:val="0"/>
        <w:spacing w:line="380" w:lineRule="exact"/>
        <w:rPr>
          <w:rFonts w:ascii="宋体" w:hAnsi="宋体" w:cs="宋体"/>
          <w:color w:val="auto"/>
          <w:sz w:val="24"/>
        </w:rPr>
      </w:pPr>
      <w:r>
        <w:rPr>
          <w:rFonts w:hint="eastAsia" w:ascii="宋体" w:hAnsi="宋体" w:cs="宋体"/>
          <w:color w:val="auto"/>
        </w:rPr>
        <w:t xml:space="preserve">                                                   </w:t>
      </w:r>
      <w:r>
        <w:rPr>
          <w:rFonts w:hint="eastAsia" w:ascii="宋体" w:hAnsi="宋体" w:cs="宋体"/>
          <w:color w:val="auto"/>
          <w:sz w:val="24"/>
        </w:rPr>
        <w:t xml:space="preserve">      </w:t>
      </w:r>
      <w:r>
        <w:rPr>
          <w:rFonts w:hint="eastAsia" w:ascii="宋体" w:hAnsi="宋体" w:cs="宋体"/>
          <w:color w:val="auto"/>
          <w:kern w:val="0"/>
          <w:sz w:val="24"/>
          <w:szCs w:val="20"/>
        </w:rPr>
        <w:t>2020年</w:t>
      </w:r>
      <w:r>
        <w:rPr>
          <w:rFonts w:hint="eastAsia" w:ascii="宋体" w:hAnsi="宋体" w:cs="宋体"/>
          <w:color w:val="auto"/>
          <w:kern w:val="0"/>
          <w:sz w:val="24"/>
          <w:szCs w:val="20"/>
          <w:lang w:val="en-US" w:eastAsia="zh-CN"/>
        </w:rPr>
        <w:t>4</w:t>
      </w:r>
      <w:r>
        <w:rPr>
          <w:rFonts w:hint="eastAsia" w:ascii="宋体" w:hAnsi="宋体" w:cs="宋体"/>
          <w:color w:val="auto"/>
          <w:kern w:val="0"/>
          <w:sz w:val="24"/>
          <w:szCs w:val="20"/>
        </w:rPr>
        <w:t>月</w:t>
      </w:r>
      <w:r>
        <w:rPr>
          <w:rFonts w:hint="eastAsia" w:ascii="宋体" w:hAnsi="宋体" w:cs="宋体"/>
          <w:color w:val="auto"/>
          <w:kern w:val="0"/>
          <w:sz w:val="24"/>
          <w:szCs w:val="20"/>
          <w:lang w:val="en-US" w:eastAsia="zh-CN"/>
        </w:rPr>
        <w:t>29</w:t>
      </w:r>
      <w:r>
        <w:rPr>
          <w:rFonts w:hint="eastAsia" w:ascii="宋体" w:hAnsi="宋体" w:cs="宋体"/>
          <w:color w:val="auto"/>
          <w:kern w:val="0"/>
          <w:sz w:val="24"/>
          <w:szCs w:val="20"/>
        </w:rPr>
        <w:t>日</w:t>
      </w:r>
    </w:p>
    <w:p>
      <w:pPr>
        <w:rPr>
          <w:rFonts w:ascii="宋体" w:hAnsi="宋体" w:cs="宋体"/>
          <w:color w:val="auto"/>
        </w:rPr>
      </w:pPr>
      <w:r>
        <w:rPr>
          <w:rFonts w:hint="eastAsia" w:ascii="宋体" w:hAnsi="宋体" w:cs="宋体"/>
          <w:color w:val="auto"/>
        </w:rPr>
        <w:br w:type="page"/>
      </w:r>
    </w:p>
    <w:p>
      <w:pPr>
        <w:pStyle w:val="3"/>
        <w:numPr>
          <w:ilvl w:val="0"/>
          <w:numId w:val="2"/>
        </w:numPr>
        <w:ind w:left="1245"/>
        <w:rPr>
          <w:rFonts w:ascii="宋体" w:hAnsi="宋体" w:cs="宋体"/>
          <w:color w:val="auto"/>
        </w:rPr>
      </w:pPr>
      <w:bookmarkStart w:id="3" w:name="_Toc16656"/>
      <w:r>
        <w:rPr>
          <w:rFonts w:hint="eastAsia" w:ascii="宋体" w:hAnsi="宋体" w:cs="宋体"/>
          <w:color w:val="auto"/>
        </w:rPr>
        <w:t xml:space="preserve">  招标项目需求</w:t>
      </w:r>
      <w:bookmarkEnd w:id="3"/>
    </w:p>
    <w:tbl>
      <w:tblPr>
        <w:tblStyle w:val="24"/>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1342"/>
        <w:gridCol w:w="1467"/>
        <w:gridCol w:w="709"/>
        <w:gridCol w:w="5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9878" w:type="dxa"/>
            <w:gridSpan w:val="5"/>
            <w:tcBorders>
              <w:top w:val="single" w:color="auto" w:sz="4" w:space="0"/>
              <w:left w:val="single" w:color="auto" w:sz="4" w:space="0"/>
              <w:bottom w:val="single" w:color="auto" w:sz="4" w:space="0"/>
              <w:right w:val="single" w:color="auto" w:sz="4" w:space="0"/>
            </w:tcBorders>
            <w:noWrap/>
            <w:tcMar>
              <w:top w:w="28" w:type="dxa"/>
              <w:left w:w="28" w:type="dxa"/>
              <w:bottom w:w="28" w:type="dxa"/>
              <w:right w:w="28" w:type="dxa"/>
            </w:tcMar>
            <w:vAlign w:val="center"/>
          </w:tcPr>
          <w:p>
            <w:pPr>
              <w:spacing w:line="360" w:lineRule="exact"/>
              <w:rPr>
                <w:rFonts w:ascii="宋体" w:hAnsi="宋体" w:cs="宋体"/>
                <w:b/>
                <w:bCs/>
                <w:color w:val="auto"/>
                <w:sz w:val="24"/>
              </w:rPr>
            </w:pPr>
            <w:bookmarkStart w:id="4" w:name="_Toc254970490"/>
            <w:bookmarkStart w:id="5" w:name="_Toc254970631"/>
            <w:r>
              <w:rPr>
                <w:rFonts w:hint="eastAsia" w:ascii="宋体" w:hAnsi="宋体" w:cs="宋体"/>
                <w:b/>
                <w:bCs/>
                <w:color w:val="auto"/>
                <w:sz w:val="24"/>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722" w:type="dxa"/>
            <w:tcBorders>
              <w:top w:val="single" w:color="auto" w:sz="4" w:space="0"/>
              <w:left w:val="single" w:color="auto" w:sz="4" w:space="0"/>
              <w:bottom w:val="single" w:color="auto" w:sz="4" w:space="0"/>
              <w:right w:val="single" w:color="auto" w:sz="4" w:space="0"/>
            </w:tcBorders>
            <w:noWrap/>
            <w:tcMar>
              <w:top w:w="28" w:type="dxa"/>
              <w:left w:w="28" w:type="dxa"/>
              <w:bottom w:w="28" w:type="dxa"/>
              <w:right w:w="28" w:type="dxa"/>
            </w:tcMar>
            <w:vAlign w:val="center"/>
          </w:tcPr>
          <w:p>
            <w:pPr>
              <w:spacing w:line="360" w:lineRule="exact"/>
              <w:jc w:val="center"/>
              <w:rPr>
                <w:rFonts w:ascii="宋体" w:hAnsi="宋体" w:cs="宋体"/>
                <w:b/>
                <w:color w:val="auto"/>
                <w:kern w:val="0"/>
                <w:sz w:val="24"/>
              </w:rPr>
            </w:pPr>
            <w:r>
              <w:rPr>
                <w:rFonts w:hint="eastAsia" w:ascii="宋体" w:hAnsi="宋体" w:cs="宋体"/>
                <w:b/>
                <w:color w:val="auto"/>
                <w:kern w:val="0"/>
                <w:sz w:val="24"/>
              </w:rPr>
              <w:t>序号</w:t>
            </w:r>
          </w:p>
        </w:tc>
        <w:tc>
          <w:tcPr>
            <w:tcW w:w="2809" w:type="dxa"/>
            <w:gridSpan w:val="2"/>
            <w:tcBorders>
              <w:top w:val="single" w:color="auto" w:sz="4" w:space="0"/>
              <w:left w:val="single" w:color="auto" w:sz="4" w:space="0"/>
              <w:bottom w:val="single" w:color="auto" w:sz="4" w:space="0"/>
              <w:right w:val="single" w:color="auto" w:sz="4" w:space="0"/>
            </w:tcBorders>
            <w:noWrap/>
            <w:tcMar>
              <w:top w:w="28" w:type="dxa"/>
              <w:left w:w="28" w:type="dxa"/>
              <w:bottom w:w="28" w:type="dxa"/>
              <w:right w:w="28" w:type="dxa"/>
            </w:tcMar>
            <w:vAlign w:val="center"/>
          </w:tcPr>
          <w:p>
            <w:pPr>
              <w:snapToGrid w:val="0"/>
              <w:spacing w:line="360" w:lineRule="exact"/>
              <w:jc w:val="center"/>
              <w:rPr>
                <w:rFonts w:ascii="宋体" w:hAnsi="宋体" w:cs="宋体"/>
                <w:b/>
                <w:color w:val="auto"/>
                <w:sz w:val="24"/>
              </w:rPr>
            </w:pPr>
            <w:r>
              <w:rPr>
                <w:rFonts w:hint="eastAsia" w:ascii="宋体" w:hAnsi="宋体" w:cs="宋体"/>
                <w:b/>
                <w:color w:val="auto"/>
                <w:sz w:val="24"/>
              </w:rPr>
              <w:t>采购内容</w:t>
            </w:r>
          </w:p>
        </w:tc>
        <w:tc>
          <w:tcPr>
            <w:tcW w:w="709" w:type="dxa"/>
            <w:tcBorders>
              <w:top w:val="single" w:color="auto" w:sz="4" w:space="0"/>
              <w:left w:val="single" w:color="auto" w:sz="4" w:space="0"/>
              <w:bottom w:val="single" w:color="auto" w:sz="4" w:space="0"/>
              <w:right w:val="single" w:color="auto" w:sz="4" w:space="0"/>
            </w:tcBorders>
            <w:noWrap/>
            <w:tcMar>
              <w:top w:w="28" w:type="dxa"/>
              <w:left w:w="28" w:type="dxa"/>
              <w:bottom w:w="28" w:type="dxa"/>
              <w:right w:w="28" w:type="dxa"/>
            </w:tcMar>
            <w:vAlign w:val="center"/>
          </w:tcPr>
          <w:p>
            <w:pPr>
              <w:spacing w:line="360" w:lineRule="exact"/>
              <w:jc w:val="center"/>
              <w:rPr>
                <w:rFonts w:ascii="宋体" w:hAnsi="宋体" w:cs="宋体"/>
                <w:b/>
                <w:color w:val="auto"/>
                <w:kern w:val="0"/>
                <w:sz w:val="24"/>
              </w:rPr>
            </w:pPr>
            <w:r>
              <w:rPr>
                <w:rFonts w:hint="eastAsia" w:ascii="宋体" w:hAnsi="宋体" w:cs="宋体"/>
                <w:b/>
                <w:color w:val="auto"/>
                <w:kern w:val="0"/>
                <w:sz w:val="24"/>
              </w:rPr>
              <w:t>数量</w:t>
            </w:r>
          </w:p>
        </w:tc>
        <w:tc>
          <w:tcPr>
            <w:tcW w:w="5638" w:type="dxa"/>
            <w:tcBorders>
              <w:top w:val="single" w:color="auto" w:sz="4" w:space="0"/>
              <w:left w:val="single" w:color="auto" w:sz="4" w:space="0"/>
              <w:bottom w:val="single" w:color="auto" w:sz="4" w:space="0"/>
              <w:right w:val="single" w:color="auto" w:sz="4" w:space="0"/>
            </w:tcBorders>
            <w:noWrap/>
            <w:tcMar>
              <w:top w:w="28" w:type="dxa"/>
              <w:left w:w="28" w:type="dxa"/>
              <w:bottom w:w="28" w:type="dxa"/>
              <w:right w:w="28" w:type="dxa"/>
            </w:tcMar>
            <w:vAlign w:val="center"/>
          </w:tcPr>
          <w:p>
            <w:pPr>
              <w:spacing w:line="360" w:lineRule="exact"/>
              <w:jc w:val="center"/>
              <w:rPr>
                <w:rFonts w:ascii="宋体" w:hAnsi="宋体" w:cs="宋体"/>
                <w:b/>
                <w:bCs/>
                <w:color w:val="auto"/>
                <w:sz w:val="24"/>
              </w:rPr>
            </w:pPr>
            <w:r>
              <w:rPr>
                <w:rFonts w:hint="eastAsia" w:ascii="宋体" w:hAnsi="宋体" w:cs="宋体"/>
                <w:b/>
                <w:bCs/>
                <w:color w:val="auto"/>
                <w:sz w:val="24"/>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22" w:type="dxa"/>
            <w:tcBorders>
              <w:top w:val="single" w:color="auto" w:sz="4" w:space="0"/>
              <w:left w:val="single" w:color="auto" w:sz="4" w:space="0"/>
              <w:bottom w:val="single" w:color="auto" w:sz="4" w:space="0"/>
              <w:right w:val="single" w:color="auto" w:sz="4" w:space="0"/>
            </w:tcBorders>
            <w:noWrap/>
            <w:tcMar>
              <w:top w:w="28" w:type="dxa"/>
              <w:left w:w="28" w:type="dxa"/>
              <w:bottom w:w="28" w:type="dxa"/>
              <w:right w:w="28" w:type="dxa"/>
            </w:tcMar>
            <w:vAlign w:val="center"/>
          </w:tcPr>
          <w:p>
            <w:pPr>
              <w:spacing w:line="360" w:lineRule="exact"/>
              <w:jc w:val="center"/>
              <w:rPr>
                <w:rFonts w:ascii="宋体" w:hAnsi="宋体" w:cs="宋体"/>
                <w:color w:val="auto"/>
                <w:kern w:val="0"/>
                <w:sz w:val="24"/>
              </w:rPr>
            </w:pPr>
            <w:r>
              <w:rPr>
                <w:rFonts w:hint="eastAsia" w:ascii="宋体" w:hAnsi="宋体" w:cs="宋体"/>
                <w:color w:val="auto"/>
                <w:kern w:val="0"/>
                <w:sz w:val="24"/>
              </w:rPr>
              <w:t>1</w:t>
            </w:r>
          </w:p>
        </w:tc>
        <w:tc>
          <w:tcPr>
            <w:tcW w:w="2809" w:type="dxa"/>
            <w:gridSpan w:val="2"/>
            <w:tcBorders>
              <w:top w:val="single" w:color="auto" w:sz="4" w:space="0"/>
              <w:left w:val="single" w:color="auto" w:sz="4" w:space="0"/>
              <w:bottom w:val="single" w:color="auto" w:sz="4" w:space="0"/>
              <w:right w:val="single" w:color="auto" w:sz="4" w:space="0"/>
            </w:tcBorders>
            <w:noWrap/>
            <w:tcMar>
              <w:top w:w="28" w:type="dxa"/>
              <w:left w:w="28" w:type="dxa"/>
              <w:bottom w:w="28" w:type="dxa"/>
              <w:right w:w="28" w:type="dxa"/>
            </w:tcMar>
            <w:vAlign w:val="center"/>
          </w:tcPr>
          <w:p>
            <w:pPr>
              <w:snapToGrid w:val="0"/>
              <w:spacing w:line="360" w:lineRule="exact"/>
              <w:jc w:val="center"/>
              <w:rPr>
                <w:rFonts w:ascii="宋体" w:hAnsi="宋体" w:cs="宋体"/>
                <w:color w:val="auto"/>
                <w:kern w:val="0"/>
                <w:sz w:val="24"/>
              </w:rPr>
            </w:pPr>
            <w:r>
              <w:rPr>
                <w:rFonts w:hint="eastAsia" w:ascii="宋体" w:hAnsi="宋体" w:cs="宋体"/>
                <w:color w:val="auto"/>
                <w:kern w:val="0"/>
                <w:sz w:val="24"/>
              </w:rPr>
              <w:t>2020年食品安全抽检检测服务采购</w:t>
            </w:r>
          </w:p>
        </w:tc>
        <w:tc>
          <w:tcPr>
            <w:tcW w:w="709" w:type="dxa"/>
            <w:tcBorders>
              <w:top w:val="single" w:color="auto" w:sz="4" w:space="0"/>
              <w:left w:val="single" w:color="auto" w:sz="4" w:space="0"/>
              <w:bottom w:val="single" w:color="auto" w:sz="4" w:space="0"/>
              <w:right w:val="single" w:color="auto" w:sz="4" w:space="0"/>
            </w:tcBorders>
            <w:noWrap/>
            <w:tcMar>
              <w:top w:w="28" w:type="dxa"/>
              <w:left w:w="28" w:type="dxa"/>
              <w:bottom w:w="28" w:type="dxa"/>
              <w:right w:w="28" w:type="dxa"/>
            </w:tcMar>
            <w:vAlign w:val="center"/>
          </w:tcPr>
          <w:p>
            <w:pPr>
              <w:spacing w:line="360" w:lineRule="exact"/>
              <w:jc w:val="center"/>
              <w:rPr>
                <w:rFonts w:ascii="宋体" w:hAnsi="宋体" w:cs="宋体"/>
                <w:color w:val="auto"/>
                <w:kern w:val="0"/>
                <w:sz w:val="24"/>
              </w:rPr>
            </w:pPr>
            <w:r>
              <w:rPr>
                <w:rFonts w:hint="eastAsia" w:ascii="宋体" w:hAnsi="宋体" w:cs="宋体"/>
                <w:color w:val="auto"/>
                <w:kern w:val="0"/>
                <w:sz w:val="24"/>
              </w:rPr>
              <w:t>1项</w:t>
            </w:r>
          </w:p>
        </w:tc>
        <w:tc>
          <w:tcPr>
            <w:tcW w:w="5638" w:type="dxa"/>
            <w:tcBorders>
              <w:top w:val="single" w:color="auto" w:sz="4" w:space="0"/>
              <w:left w:val="single" w:color="auto" w:sz="4" w:space="0"/>
              <w:bottom w:val="single" w:color="auto" w:sz="4" w:space="0"/>
              <w:right w:val="single" w:color="auto" w:sz="4" w:space="0"/>
            </w:tcBorders>
            <w:noWrap/>
            <w:tcMar>
              <w:top w:w="28" w:type="dxa"/>
              <w:left w:w="28" w:type="dxa"/>
              <w:bottom w:w="28" w:type="dxa"/>
              <w:right w:w="28" w:type="dxa"/>
            </w:tcMar>
            <w:vAlign w:val="center"/>
          </w:tcPr>
          <w:p>
            <w:pPr>
              <w:spacing w:line="276" w:lineRule="auto"/>
              <w:rPr>
                <w:rFonts w:ascii="宋体" w:hAnsi="宋体" w:cs="宋体"/>
                <w:color w:val="auto"/>
                <w:sz w:val="24"/>
              </w:rPr>
            </w:pPr>
            <w:r>
              <w:rPr>
                <w:rFonts w:hint="eastAsia" w:ascii="宋体" w:hAnsi="宋体" w:cs="宋体"/>
                <w:color w:val="auto"/>
                <w:sz w:val="24"/>
              </w:rPr>
              <w:t>在指定范围内开展2020年食品安全抽检检测工作，总任务为3107批次，其中：自治区局转移食品安全监督抽检233批次，市、县食用农产品安全监督抽检2874批次。具体需提供的抽检服务品种及项目详见：</w:t>
            </w:r>
          </w:p>
          <w:p>
            <w:pPr>
              <w:spacing w:line="276" w:lineRule="auto"/>
              <w:rPr>
                <w:rFonts w:ascii="宋体" w:hAnsi="宋体" w:cs="宋体"/>
                <w:color w:val="auto"/>
                <w:sz w:val="24"/>
              </w:rPr>
            </w:pPr>
            <w:r>
              <w:rPr>
                <w:rFonts w:hint="eastAsia" w:ascii="宋体" w:hAnsi="宋体" w:cs="宋体"/>
                <w:color w:val="auto"/>
                <w:sz w:val="24"/>
              </w:rPr>
              <w:t>附件1：《2020年区局转移食品安全监督抽检品种及检验项目表》。</w:t>
            </w:r>
          </w:p>
          <w:p>
            <w:pPr>
              <w:pStyle w:val="55"/>
              <w:ind w:firstLine="0" w:firstLineChars="0"/>
              <w:rPr>
                <w:rFonts w:ascii="宋体" w:hAnsi="宋体" w:cs="宋体"/>
                <w:color w:val="auto"/>
                <w:sz w:val="24"/>
              </w:rPr>
            </w:pPr>
            <w:r>
              <w:rPr>
                <w:rFonts w:hint="eastAsia" w:ascii="宋体" w:hAnsi="宋体" w:cs="宋体"/>
                <w:color w:val="auto"/>
                <w:sz w:val="24"/>
              </w:rPr>
              <w:t>附件</w:t>
            </w:r>
            <w:r>
              <w:rPr>
                <w:rFonts w:hint="eastAsia" w:ascii="宋体" w:hAnsi="宋体" w:cs="宋体"/>
                <w:color w:val="auto"/>
                <w:sz w:val="24"/>
                <w:lang w:val="en-US"/>
              </w:rPr>
              <w:t>2：《</w:t>
            </w:r>
            <w:r>
              <w:rPr>
                <w:rFonts w:hint="eastAsia" w:ascii="宋体" w:hAnsi="宋体" w:cs="宋体"/>
                <w:color w:val="auto"/>
                <w:sz w:val="24"/>
              </w:rPr>
              <w:t>2020年区局转移食品安全监督抽检任品种和项目表（市、县食用农产品）》。</w:t>
            </w:r>
          </w:p>
          <w:p>
            <w:pPr>
              <w:pStyle w:val="55"/>
              <w:ind w:firstLine="0" w:firstLineChars="0"/>
              <w:rPr>
                <w:rFonts w:ascii="宋体" w:hAnsi="宋体" w:cs="宋体"/>
                <w:color w:val="auto"/>
                <w:sz w:val="24"/>
              </w:rPr>
            </w:pPr>
            <w:r>
              <w:rPr>
                <w:rFonts w:hint="eastAsia" w:ascii="宋体" w:hAnsi="宋体" w:cs="宋体"/>
                <w:color w:val="auto"/>
                <w:sz w:val="24"/>
              </w:rPr>
              <w:t>检验项目、检测方法及检验依据以国家市场监督管理总局《国家食品安全监督抽检实施细则（2020年版）》的规定为准，如涉及非标方法（或地方标准）项目可提供非标方法（或地方标准）和方法学验证材料。</w:t>
            </w:r>
          </w:p>
          <w:p>
            <w:pPr>
              <w:pStyle w:val="55"/>
              <w:ind w:firstLine="0" w:firstLineChars="0"/>
              <w:rPr>
                <w:rFonts w:ascii="宋体" w:hAnsi="宋体" w:cs="宋体"/>
                <w:color w:val="auto"/>
                <w:sz w:val="24"/>
              </w:rPr>
            </w:pPr>
            <w:r>
              <w:rPr>
                <w:rFonts w:hint="eastAsia" w:ascii="宋体" w:hAnsi="宋体" w:cs="宋体"/>
                <w:color w:val="auto"/>
                <w:sz w:val="24"/>
              </w:rPr>
              <w:t>成果要求：提供检验数据报表、质量分析报告和工作总结；按批次提供检验检测报告；（以上成果均包括纸质版和电子版）。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878" w:type="dxa"/>
            <w:gridSpan w:val="5"/>
            <w:tcBorders>
              <w:top w:val="single" w:color="auto" w:sz="4" w:space="0"/>
              <w:left w:val="single" w:color="auto" w:sz="4" w:space="0"/>
              <w:bottom w:val="single" w:color="auto" w:sz="4" w:space="0"/>
              <w:right w:val="single" w:color="auto" w:sz="4" w:space="0"/>
            </w:tcBorders>
            <w:noWrap/>
            <w:tcMar>
              <w:top w:w="13" w:type="dxa"/>
              <w:left w:w="57" w:type="dxa"/>
              <w:bottom w:w="0" w:type="dxa"/>
              <w:right w:w="57" w:type="dxa"/>
            </w:tcMar>
            <w:vAlign w:val="center"/>
          </w:tcPr>
          <w:p>
            <w:pPr>
              <w:spacing w:line="360" w:lineRule="exact"/>
              <w:rPr>
                <w:rFonts w:ascii="宋体" w:hAnsi="宋体" w:cs="宋体"/>
                <w:b/>
                <w:color w:val="auto"/>
                <w:sz w:val="24"/>
              </w:rPr>
            </w:pPr>
            <w:r>
              <w:rPr>
                <w:rFonts w:hint="eastAsia" w:ascii="宋体" w:hAnsi="宋体" w:cs="宋体"/>
                <w:b/>
                <w:color w:val="auto"/>
                <w:sz w:val="24"/>
              </w:rPr>
              <w:t>二、</w:t>
            </w:r>
            <w:r>
              <w:rPr>
                <w:rFonts w:hint="eastAsia" w:ascii="宋体" w:hAnsi="宋体" w:cs="宋体"/>
                <w:color w:val="auto"/>
                <w:sz w:val="24"/>
              </w:rPr>
              <w:t>▲</w:t>
            </w:r>
            <w:r>
              <w:rPr>
                <w:rFonts w:hint="eastAsia" w:ascii="宋体" w:hAnsi="宋体" w:cs="宋体"/>
                <w:b/>
                <w:color w:val="auto"/>
                <w:sz w:val="24"/>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64" w:type="dxa"/>
            <w:gridSpan w:val="2"/>
            <w:tcBorders>
              <w:top w:val="single" w:color="auto" w:sz="4" w:space="0"/>
              <w:left w:val="single" w:color="auto" w:sz="4" w:space="0"/>
              <w:bottom w:val="single" w:color="auto" w:sz="4" w:space="0"/>
              <w:right w:val="single" w:color="auto" w:sz="4" w:space="0"/>
            </w:tcBorders>
            <w:noWrap/>
            <w:tcMar>
              <w:top w:w="13" w:type="dxa"/>
              <w:left w:w="57" w:type="dxa"/>
              <w:bottom w:w="0" w:type="dxa"/>
              <w:right w:w="57" w:type="dxa"/>
            </w:tcMar>
            <w:vAlign w:val="center"/>
          </w:tcPr>
          <w:p>
            <w:pPr>
              <w:spacing w:line="360" w:lineRule="exact"/>
              <w:jc w:val="center"/>
              <w:rPr>
                <w:rFonts w:ascii="宋体" w:hAnsi="宋体" w:cs="宋体"/>
                <w:color w:val="auto"/>
                <w:sz w:val="24"/>
              </w:rPr>
            </w:pPr>
            <w:r>
              <w:rPr>
                <w:rFonts w:hint="eastAsia" w:ascii="宋体" w:hAnsi="宋体" w:cs="宋体"/>
                <w:color w:val="auto"/>
                <w:sz w:val="24"/>
              </w:rPr>
              <w:t>服务期限</w:t>
            </w:r>
          </w:p>
        </w:tc>
        <w:tc>
          <w:tcPr>
            <w:tcW w:w="7814"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spacing w:line="360" w:lineRule="exact"/>
              <w:rPr>
                <w:rFonts w:ascii="宋体" w:hAnsi="宋体" w:cs="宋体"/>
                <w:color w:val="auto"/>
                <w:sz w:val="24"/>
              </w:rPr>
            </w:pPr>
            <w:r>
              <w:rPr>
                <w:rFonts w:hint="eastAsia" w:ascii="宋体" w:hAnsi="宋体" w:cs="宋体"/>
                <w:color w:val="auto"/>
                <w:kern w:val="0"/>
                <w:sz w:val="24"/>
              </w:rPr>
              <w:t>自签订合同之日起开始提供服务至按以上计划要求完成全部计划任务止。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64" w:type="dxa"/>
            <w:gridSpan w:val="2"/>
            <w:tcBorders>
              <w:top w:val="single" w:color="auto" w:sz="4" w:space="0"/>
              <w:left w:val="single" w:color="auto" w:sz="4" w:space="0"/>
              <w:bottom w:val="single" w:color="auto" w:sz="4" w:space="0"/>
              <w:right w:val="single" w:color="auto" w:sz="4" w:space="0"/>
            </w:tcBorders>
            <w:noWrap/>
            <w:tcMar>
              <w:top w:w="13" w:type="dxa"/>
              <w:left w:w="57" w:type="dxa"/>
              <w:bottom w:w="0" w:type="dxa"/>
              <w:right w:w="57" w:type="dxa"/>
            </w:tcMar>
            <w:vAlign w:val="center"/>
          </w:tcPr>
          <w:p>
            <w:pPr>
              <w:spacing w:line="360" w:lineRule="exact"/>
              <w:jc w:val="center"/>
              <w:rPr>
                <w:rFonts w:ascii="宋体" w:hAnsi="宋体" w:cs="宋体"/>
                <w:color w:val="auto"/>
                <w:sz w:val="24"/>
              </w:rPr>
            </w:pPr>
            <w:r>
              <w:rPr>
                <w:rFonts w:hint="eastAsia" w:ascii="宋体" w:hAnsi="宋体" w:cs="宋体"/>
                <w:color w:val="auto"/>
                <w:sz w:val="24"/>
              </w:rPr>
              <w:t>服务地点</w:t>
            </w:r>
          </w:p>
        </w:tc>
        <w:tc>
          <w:tcPr>
            <w:tcW w:w="7814"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spacing w:line="360" w:lineRule="exact"/>
              <w:rPr>
                <w:rFonts w:ascii="宋体" w:hAnsi="宋体" w:cs="宋体"/>
                <w:color w:val="auto"/>
                <w:sz w:val="24"/>
              </w:rPr>
            </w:pPr>
            <w:r>
              <w:rPr>
                <w:rFonts w:hint="eastAsia" w:ascii="宋体" w:hAnsi="宋体" w:cs="宋体"/>
                <w:color w:val="auto"/>
                <w:kern w:val="0"/>
                <w:sz w:val="24"/>
              </w:rPr>
              <w:t>河池市范围内</w:t>
            </w:r>
            <w:r>
              <w:rPr>
                <w:rFonts w:hint="eastAsia" w:ascii="宋体" w:hAnsi="宋体" w:cs="宋体"/>
                <w:color w:val="auto"/>
                <w:sz w:val="24"/>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atLeast"/>
          <w:jc w:val="center"/>
        </w:trPr>
        <w:tc>
          <w:tcPr>
            <w:tcW w:w="2064" w:type="dxa"/>
            <w:gridSpan w:val="2"/>
            <w:tcBorders>
              <w:top w:val="single" w:color="auto" w:sz="4" w:space="0"/>
              <w:left w:val="single" w:color="auto" w:sz="4" w:space="0"/>
              <w:bottom w:val="single" w:color="auto" w:sz="4" w:space="0"/>
              <w:right w:val="single" w:color="auto" w:sz="4" w:space="0"/>
            </w:tcBorders>
            <w:noWrap/>
            <w:tcMar>
              <w:top w:w="13" w:type="dxa"/>
              <w:left w:w="57" w:type="dxa"/>
              <w:bottom w:w="0" w:type="dxa"/>
              <w:right w:w="57" w:type="dxa"/>
            </w:tcMar>
            <w:vAlign w:val="center"/>
          </w:tcPr>
          <w:p>
            <w:pPr>
              <w:spacing w:line="360" w:lineRule="exact"/>
              <w:jc w:val="center"/>
              <w:rPr>
                <w:rFonts w:ascii="宋体" w:hAnsi="宋体" w:cs="宋体"/>
                <w:color w:val="auto"/>
                <w:sz w:val="24"/>
              </w:rPr>
            </w:pPr>
            <w:r>
              <w:rPr>
                <w:rFonts w:hint="eastAsia" w:ascii="宋体" w:hAnsi="宋体" w:cs="宋体"/>
                <w:color w:val="auto"/>
                <w:sz w:val="24"/>
              </w:rPr>
              <w:t>付款条件</w:t>
            </w:r>
          </w:p>
        </w:tc>
        <w:tc>
          <w:tcPr>
            <w:tcW w:w="7814"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spacing w:line="360" w:lineRule="exact"/>
              <w:rPr>
                <w:rFonts w:ascii="宋体" w:hAnsi="宋体" w:cs="宋体"/>
                <w:color w:val="auto"/>
                <w:sz w:val="24"/>
              </w:rPr>
            </w:pPr>
            <w:r>
              <w:rPr>
                <w:rFonts w:hint="eastAsia" w:ascii="宋体" w:hAnsi="宋体" w:cs="宋体"/>
                <w:color w:val="auto"/>
                <w:sz w:val="24"/>
              </w:rPr>
              <w:t>按采购人要求分批次进行检验，合同价款由采购人在检验项目完成并经采购人验收合格后十五个工作日内付清。乙方收到该批次全部合同款之日起三个工作日内将发票开具给甲方。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64" w:type="dxa"/>
            <w:gridSpan w:val="2"/>
            <w:tcBorders>
              <w:top w:val="single" w:color="auto" w:sz="4" w:space="0"/>
              <w:left w:val="single" w:color="auto" w:sz="4" w:space="0"/>
              <w:bottom w:val="single" w:color="auto" w:sz="4" w:space="0"/>
              <w:right w:val="single" w:color="auto" w:sz="4" w:space="0"/>
            </w:tcBorders>
            <w:noWrap/>
            <w:tcMar>
              <w:top w:w="13" w:type="dxa"/>
              <w:left w:w="57" w:type="dxa"/>
              <w:bottom w:w="0" w:type="dxa"/>
              <w:right w:w="57" w:type="dxa"/>
            </w:tcMar>
            <w:vAlign w:val="center"/>
          </w:tcPr>
          <w:p>
            <w:pPr>
              <w:spacing w:line="360" w:lineRule="exact"/>
              <w:jc w:val="center"/>
              <w:rPr>
                <w:rFonts w:ascii="宋体" w:hAnsi="宋体" w:cs="宋体"/>
                <w:color w:val="auto"/>
                <w:sz w:val="24"/>
              </w:rPr>
            </w:pPr>
            <w:r>
              <w:rPr>
                <w:rFonts w:hint="eastAsia" w:ascii="宋体" w:hAnsi="宋体" w:cs="宋体"/>
                <w:color w:val="auto"/>
                <w:sz w:val="24"/>
              </w:rPr>
              <w:t>报价要求</w:t>
            </w:r>
          </w:p>
        </w:tc>
        <w:tc>
          <w:tcPr>
            <w:tcW w:w="7814"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spacing w:line="360" w:lineRule="exact"/>
              <w:rPr>
                <w:rFonts w:ascii="宋体" w:hAnsi="宋体" w:cs="宋体"/>
                <w:bCs/>
                <w:color w:val="auto"/>
                <w:sz w:val="24"/>
              </w:rPr>
            </w:pPr>
            <w:r>
              <w:rPr>
                <w:rFonts w:hint="eastAsia" w:ascii="宋体" w:hAnsi="宋体" w:cs="宋体"/>
                <w:bCs/>
                <w:color w:val="auto"/>
                <w:sz w:val="24"/>
              </w:rPr>
              <w:t>1、投标报价可参考广西壮族自治区物价局和广西壮族自治区财政厅发布的《关于正式核定全区产品质量检验收费项目和收费标准的通知》（桂价费〔2013〕16号）的规定，包含了检验费、报告书邮寄费等。</w:t>
            </w:r>
          </w:p>
          <w:p>
            <w:pPr>
              <w:spacing w:line="360" w:lineRule="exact"/>
              <w:rPr>
                <w:rFonts w:ascii="宋体" w:hAnsi="宋体" w:cs="宋体"/>
                <w:bCs/>
                <w:color w:val="auto"/>
                <w:sz w:val="24"/>
              </w:rPr>
            </w:pPr>
            <w:r>
              <w:rPr>
                <w:rFonts w:hint="eastAsia" w:ascii="宋体" w:hAnsi="宋体" w:cs="宋体"/>
                <w:bCs/>
                <w:color w:val="auto"/>
                <w:sz w:val="24"/>
              </w:rPr>
              <w:t>2、</w:t>
            </w:r>
            <w:r>
              <w:rPr>
                <w:rFonts w:hint="eastAsia" w:ascii="宋体" w:hAnsi="宋体" w:cs="宋体"/>
                <w:color w:val="auto"/>
                <w:sz w:val="24"/>
              </w:rPr>
              <w:t>检测报价按价格优惠率进行报价：</w:t>
            </w:r>
          </w:p>
          <w:p>
            <w:pPr>
              <w:spacing w:line="360" w:lineRule="exact"/>
              <w:rPr>
                <w:rFonts w:ascii="宋体" w:hAnsi="宋体" w:cs="宋体"/>
                <w:color w:val="auto"/>
                <w:sz w:val="24"/>
              </w:rPr>
            </w:pPr>
            <w:r>
              <w:rPr>
                <w:rFonts w:hint="eastAsia" w:ascii="宋体" w:hAnsi="宋体" w:cs="宋体"/>
                <w:color w:val="auto"/>
                <w:sz w:val="24"/>
              </w:rPr>
              <w:t>价格优惠率＝〔（检验指导价－投标人实际检验价）/检验指导价〕×100%。</w:t>
            </w:r>
          </w:p>
          <w:p>
            <w:pPr>
              <w:spacing w:line="360" w:lineRule="exact"/>
              <w:rPr>
                <w:rFonts w:ascii="宋体" w:hAnsi="宋体" w:cs="宋体"/>
                <w:bCs/>
                <w:color w:val="auto"/>
                <w:sz w:val="24"/>
              </w:rPr>
            </w:pPr>
            <w:r>
              <w:rPr>
                <w:rFonts w:hint="eastAsia" w:ascii="宋体" w:hAnsi="宋体" w:cs="宋体"/>
                <w:bCs/>
                <w:color w:val="auto"/>
                <w:sz w:val="24"/>
              </w:rPr>
              <w:t>检验指导价=市场价。市场价：800元</w:t>
            </w:r>
            <w:r>
              <w:rPr>
                <w:rFonts w:hint="eastAsia" w:ascii="宋体" w:hAnsi="宋体" w:cs="宋体"/>
                <w:color w:val="auto"/>
                <w:sz w:val="24"/>
              </w:rPr>
              <w:t>/批次</w:t>
            </w:r>
            <w:r>
              <w:rPr>
                <w:rFonts w:hint="eastAsia" w:ascii="宋体" w:hAnsi="宋体" w:cs="宋体"/>
                <w:bCs/>
                <w:color w:val="auto"/>
                <w:sz w:val="24"/>
              </w:rPr>
              <w:t xml:space="preserve"> 。</w:t>
            </w:r>
          </w:p>
          <w:p>
            <w:pPr>
              <w:spacing w:line="360" w:lineRule="exact"/>
              <w:rPr>
                <w:rFonts w:ascii="宋体" w:hAnsi="宋体" w:cs="宋体"/>
                <w:bCs/>
                <w:color w:val="auto"/>
                <w:sz w:val="24"/>
              </w:rPr>
            </w:pPr>
            <w:r>
              <w:rPr>
                <w:rFonts w:hint="eastAsia" w:ascii="宋体" w:hAnsi="宋体" w:cs="宋体"/>
                <w:bCs/>
                <w:color w:val="auto"/>
                <w:sz w:val="24"/>
              </w:rPr>
              <w:t>3、预算价作为最高限价，食品安全抽检监测报价只能有一个投标报价，以投标人实际报价为准。</w:t>
            </w:r>
          </w:p>
          <w:p>
            <w:pPr>
              <w:spacing w:line="360" w:lineRule="exact"/>
              <w:rPr>
                <w:rFonts w:ascii="宋体" w:hAnsi="宋体" w:cs="宋体"/>
                <w:bCs/>
                <w:color w:val="auto"/>
                <w:sz w:val="24"/>
              </w:rPr>
            </w:pPr>
            <w:r>
              <w:rPr>
                <w:rFonts w:hint="eastAsia" w:ascii="宋体" w:hAnsi="宋体" w:cs="宋体"/>
                <w:bCs/>
                <w:color w:val="auto"/>
                <w:sz w:val="24"/>
              </w:rPr>
              <w:t>4、对于食品：投标人在投标文件中提供《投标人可以承检的食品安全抽检品种及相应检验项目表》，注明是否具备各抽检项目的检验资质，每个“食品细类（四级）”的“抽检项目”中所列所有项目必须全部满足方为具备该“食品细类（四级）”项的检验资质。</w:t>
            </w:r>
          </w:p>
          <w:p>
            <w:pPr>
              <w:spacing w:line="360" w:lineRule="exact"/>
              <w:ind w:firstLine="482" w:firstLineChars="200"/>
              <w:rPr>
                <w:rFonts w:ascii="宋体" w:hAnsi="宋体" w:cs="宋体"/>
                <w:b/>
                <w:color w:val="auto"/>
                <w:sz w:val="24"/>
              </w:rPr>
            </w:pPr>
            <w:r>
              <w:rPr>
                <w:rFonts w:hint="eastAsia" w:ascii="宋体" w:hAnsi="宋体" w:cs="宋体"/>
                <w:b/>
                <w:color w:val="auto"/>
                <w:sz w:val="24"/>
              </w:rPr>
              <w:t>注：投标价格优惠率比例超过30%（不含）的投标人必须提供对其报价的合理性说明（签字盖章），如果其合理性说明不被评标委员会接受的，将由投标人自行承担其报价无效的后果。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64" w:type="dxa"/>
            <w:gridSpan w:val="2"/>
            <w:tcBorders>
              <w:top w:val="single" w:color="auto" w:sz="4" w:space="0"/>
              <w:left w:val="single" w:color="auto" w:sz="4" w:space="0"/>
              <w:bottom w:val="single" w:color="auto" w:sz="4" w:space="0"/>
              <w:right w:val="single" w:color="auto" w:sz="4" w:space="0"/>
            </w:tcBorders>
            <w:noWrap/>
            <w:tcMar>
              <w:top w:w="13" w:type="dxa"/>
              <w:left w:w="57" w:type="dxa"/>
              <w:bottom w:w="0" w:type="dxa"/>
              <w:right w:w="57" w:type="dxa"/>
            </w:tcMar>
            <w:vAlign w:val="center"/>
          </w:tcPr>
          <w:p>
            <w:pPr>
              <w:spacing w:line="276" w:lineRule="auto"/>
              <w:jc w:val="center"/>
              <w:rPr>
                <w:rFonts w:ascii="宋体" w:hAnsi="宋体" w:cs="宋体"/>
                <w:color w:val="auto"/>
                <w:sz w:val="24"/>
              </w:rPr>
            </w:pPr>
            <w:r>
              <w:rPr>
                <w:rFonts w:hint="eastAsia" w:ascii="宋体" w:hAnsi="宋体" w:cs="宋体"/>
                <w:color w:val="auto"/>
                <w:sz w:val="24"/>
              </w:rPr>
              <w:t>服务要求</w:t>
            </w:r>
          </w:p>
        </w:tc>
        <w:tc>
          <w:tcPr>
            <w:tcW w:w="7814"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spacing w:line="276" w:lineRule="auto"/>
              <w:rPr>
                <w:rFonts w:ascii="宋体" w:hAnsi="宋体" w:cs="宋体"/>
                <w:color w:val="auto"/>
                <w:sz w:val="24"/>
              </w:rPr>
            </w:pPr>
            <w:r>
              <w:rPr>
                <w:rFonts w:hint="eastAsia" w:ascii="宋体" w:hAnsi="宋体" w:cs="宋体"/>
                <w:color w:val="auto"/>
                <w:sz w:val="24"/>
              </w:rPr>
              <w:t>（一）严格遵守法律、法规的规定和检验工作有关纪律要求，确保检验结果真实有效；检验活动中无重大差错，能够保证检验结果质量；具有的授权范围涵盖承担的抽检任务中相应的品种和检验项目；</w:t>
            </w:r>
          </w:p>
          <w:p>
            <w:pPr>
              <w:spacing w:line="276" w:lineRule="auto"/>
              <w:rPr>
                <w:rFonts w:ascii="宋体" w:hAnsi="宋体" w:cs="宋体"/>
                <w:color w:val="auto"/>
                <w:sz w:val="24"/>
              </w:rPr>
            </w:pPr>
            <w:r>
              <w:rPr>
                <w:rFonts w:hint="eastAsia" w:ascii="宋体" w:hAnsi="宋体" w:cs="宋体"/>
                <w:color w:val="auto"/>
                <w:sz w:val="24"/>
              </w:rPr>
              <w:t>（二）负责样品的检验、检验报告的寄送、结果分析、异议处理和检验过程中技术问题的处理工作；</w:t>
            </w:r>
          </w:p>
          <w:p>
            <w:pPr>
              <w:spacing w:line="276" w:lineRule="auto"/>
              <w:rPr>
                <w:rFonts w:ascii="宋体" w:hAnsi="宋体" w:cs="宋体"/>
                <w:color w:val="auto"/>
                <w:sz w:val="24"/>
              </w:rPr>
            </w:pPr>
            <w:r>
              <w:rPr>
                <w:rFonts w:hint="eastAsia" w:ascii="宋体" w:hAnsi="宋体" w:cs="宋体"/>
                <w:color w:val="auto"/>
                <w:sz w:val="24"/>
              </w:rPr>
              <w:t>（三）必须接受甲方对承担检验任务工作质量情况的监督检查和考核，积极参加与检验任务相关的能力验证并取得满意结果；</w:t>
            </w:r>
          </w:p>
          <w:p>
            <w:pPr>
              <w:spacing w:line="276" w:lineRule="auto"/>
              <w:rPr>
                <w:rFonts w:ascii="宋体" w:hAnsi="宋体" w:cs="宋体"/>
                <w:color w:val="auto"/>
                <w:sz w:val="24"/>
              </w:rPr>
            </w:pPr>
            <w:r>
              <w:rPr>
                <w:rFonts w:hint="eastAsia" w:ascii="宋体" w:hAnsi="宋体" w:cs="宋体"/>
                <w:color w:val="auto"/>
                <w:sz w:val="24"/>
              </w:rPr>
              <w:t>（四）能按时完成委托单位安排的临时性和应急性任务。</w:t>
            </w:r>
          </w:p>
          <w:p>
            <w:pPr>
              <w:spacing w:line="276" w:lineRule="auto"/>
              <w:rPr>
                <w:rFonts w:ascii="宋体" w:hAnsi="宋体" w:cs="宋体"/>
                <w:color w:val="auto"/>
                <w:sz w:val="24"/>
              </w:rPr>
            </w:pPr>
            <w:r>
              <w:rPr>
                <w:rFonts w:hint="eastAsia" w:ascii="宋体" w:hAnsi="宋体" w:cs="宋体"/>
                <w:color w:val="auto"/>
                <w:sz w:val="24"/>
              </w:rPr>
              <w:t>（五）按照食品安全抽样检验管理办法（2019年国家市监总局令第15号）、《广西壮族自治区食品药品监督管理局关于印发食品安全抽检监测承检机构工作规定（试行）的通知》（ 桂食药办科评〔2015〕6号）及年度工作方案等文件要求开展抽样检验。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64" w:type="dxa"/>
            <w:gridSpan w:val="2"/>
            <w:tcBorders>
              <w:top w:val="single" w:color="auto" w:sz="4" w:space="0"/>
              <w:left w:val="single" w:color="auto" w:sz="4" w:space="0"/>
              <w:bottom w:val="single" w:color="auto" w:sz="4" w:space="0"/>
              <w:right w:val="single" w:color="auto" w:sz="4" w:space="0"/>
            </w:tcBorders>
            <w:noWrap/>
            <w:tcMar>
              <w:top w:w="13" w:type="dxa"/>
              <w:left w:w="57" w:type="dxa"/>
              <w:bottom w:w="0" w:type="dxa"/>
              <w:right w:w="57" w:type="dxa"/>
            </w:tcMar>
            <w:vAlign w:val="center"/>
          </w:tcPr>
          <w:p>
            <w:pPr>
              <w:spacing w:line="440" w:lineRule="exact"/>
              <w:jc w:val="center"/>
              <w:rPr>
                <w:rFonts w:ascii="宋体" w:hAnsi="宋体" w:cs="宋体"/>
                <w:color w:val="auto"/>
                <w:sz w:val="24"/>
              </w:rPr>
            </w:pPr>
            <w:r>
              <w:rPr>
                <w:rFonts w:hint="eastAsia" w:ascii="宋体" w:hAnsi="宋体" w:cs="宋体"/>
                <w:color w:val="auto"/>
                <w:sz w:val="24"/>
              </w:rPr>
              <w:t>其他要求</w:t>
            </w:r>
          </w:p>
        </w:tc>
        <w:tc>
          <w:tcPr>
            <w:tcW w:w="7814"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spacing w:line="276" w:lineRule="auto"/>
              <w:rPr>
                <w:rFonts w:ascii="宋体" w:hAnsi="宋体" w:cs="宋体"/>
                <w:color w:val="auto"/>
                <w:sz w:val="24"/>
              </w:rPr>
            </w:pPr>
            <w:r>
              <w:rPr>
                <w:rFonts w:hint="eastAsia" w:ascii="宋体" w:hAnsi="宋体" w:cs="宋体"/>
                <w:color w:val="auto"/>
                <w:sz w:val="24"/>
              </w:rPr>
              <w:t>（一）投标人具有与承担的食品监督抽检任务相匹配的工作人员、仪器设备、实验室环境设施；拥有运行良好的实验室管理体系，具有的授权范围涵盖承担的抽检任务中相应的品种和检验项目。具有相应的检验和质量分析人员，参与检验的有关人员必须具有检验员证或上岗相关证件，并具备相应的专业知识和能力，具体要求为：</w:t>
            </w:r>
          </w:p>
          <w:p>
            <w:pPr>
              <w:spacing w:line="276" w:lineRule="auto"/>
              <w:rPr>
                <w:rFonts w:ascii="宋体" w:hAnsi="宋体" w:cs="宋体"/>
                <w:color w:val="auto"/>
                <w:sz w:val="24"/>
                <w:highlight w:val="yellow"/>
              </w:rPr>
            </w:pPr>
            <w:r>
              <w:rPr>
                <w:rFonts w:hint="eastAsia" w:ascii="宋体" w:hAnsi="宋体" w:cs="宋体"/>
                <w:color w:val="auto"/>
                <w:sz w:val="24"/>
              </w:rPr>
              <w:t>1. 具有固定且能够独立运行的检验工作场所以及投标项目检测所需的抽样、检验检测、运输贮存（冷藏和冷冻）、数据处理与分析、信息传输等设施设备，能够满足本项目要求的承检任务需要。请在投标文件中提供投标人检验工作场所实验室平面图及投标人拥有的相关设施和设备清单，并附投标人实验室有效的房屋产权使用证明或租赁合同及仪器设备购置发票复印件。</w:t>
            </w:r>
          </w:p>
          <w:p>
            <w:pPr>
              <w:spacing w:line="276" w:lineRule="auto"/>
              <w:rPr>
                <w:rFonts w:ascii="宋体" w:hAnsi="宋体" w:cs="宋体"/>
                <w:color w:val="auto"/>
                <w:sz w:val="24"/>
              </w:rPr>
            </w:pPr>
            <w:r>
              <w:rPr>
                <w:rFonts w:hint="eastAsia" w:ascii="宋体" w:hAnsi="宋体" w:cs="宋体"/>
                <w:color w:val="auto"/>
                <w:sz w:val="24"/>
              </w:rPr>
              <w:t xml:space="preserve">2. 具有稳定的的抽样、检验和技术管理人员，直接从事食品检验工作满2年及以上的检验人员占投标人从事食品检验相关人员总数的比例应不低于30%（含），能保证从事食品抽样检验工作的连续性和稳定性。检验和技术管理人员应当熟悉有关投标产品的标准、检验方法原理，掌握检验操作技能、标准操作程序、计量和数据处理知识等；请在投标文件中提供投标人技术人员名单、人员职称（资格）证书及在投标截止时间前半年内连续3个月由投标人代缴纳社保记录或发放工资证明材料复印件。同时承担抽样任务的，应当具有与抽样工作相匹配的独立抽样人员、抽样工具、设备等条件；熟悉本次任务抽样程序，应按照要求派出不少于2人的抽样人员完成抽样工作，抽样人员应当熟悉相关法律、法规、规章和标准等有关规定，并经本单位培训考核合格经授权后才能上岗。抽样人员应当使用规范的抽样文书，准确、完整记录抽样信息，抽样程序应符合规定；请在投标文件中提供专职抽样人员名单及在投标截止时间前半年内连续3个月由投标人代缴纳社保记录或发放工资证明材料复印件，抽样工具、设备清单。 </w:t>
            </w:r>
          </w:p>
          <w:p>
            <w:pPr>
              <w:spacing w:line="276" w:lineRule="auto"/>
              <w:rPr>
                <w:rFonts w:ascii="宋体" w:hAnsi="宋体" w:cs="宋体"/>
                <w:color w:val="auto"/>
                <w:sz w:val="24"/>
              </w:rPr>
            </w:pPr>
            <w:r>
              <w:rPr>
                <w:rFonts w:hint="eastAsia" w:ascii="宋体" w:hAnsi="宋体" w:cs="宋体"/>
                <w:color w:val="auto"/>
                <w:sz w:val="24"/>
              </w:rPr>
              <w:t>3. 能严格遵守检验工作委托时间进度安排和及时报送检验报告、质量分析报告等规定的材料。具体时限要求为：接到样品后20个工作日内完成检验工作（另有约定的除外），在检验结论做出后10个工作日内将检验结论报送任务委托的市场监管部门。监督抽检的检验结论不合格的，承检机构应当在检验结论做出后2个工作日内报告任务委托的市场监管部门；另有合同约定的，依约定执行。</w:t>
            </w:r>
          </w:p>
          <w:p>
            <w:pPr>
              <w:spacing w:line="276" w:lineRule="auto"/>
              <w:rPr>
                <w:rFonts w:ascii="宋体" w:hAnsi="宋体" w:cs="宋体"/>
                <w:color w:val="auto"/>
                <w:sz w:val="24"/>
              </w:rPr>
            </w:pPr>
            <w:r>
              <w:rPr>
                <w:rFonts w:hint="eastAsia" w:ascii="宋体" w:hAnsi="宋体" w:cs="宋体"/>
                <w:color w:val="auto"/>
                <w:sz w:val="24"/>
              </w:rPr>
              <w:t>4. 拥有安全有效的实验室信息化管理系统和信息分析汇总人员，能够完成本次监督抽检监测数据上报和结果分析工作；按照“谁采集、谁录入；谁检验、谁录入”的原则，抽样单位应当在抽样完成2个工作日内将抽样信息录入广西食品安全抽检监测信息管理系统，检验单位检验结论做出后5个工作日内完成检验数据录入广西食品安全抽检监测信息管理系统工作。录入的信息、数据应当及时、准确；请在投标文件中提供相关人员名单。</w:t>
            </w:r>
          </w:p>
          <w:p>
            <w:pPr>
              <w:spacing w:line="276" w:lineRule="auto"/>
              <w:rPr>
                <w:rFonts w:ascii="宋体" w:hAnsi="宋体" w:cs="宋体"/>
                <w:color w:val="auto"/>
                <w:sz w:val="24"/>
              </w:rPr>
            </w:pPr>
            <w:r>
              <w:rPr>
                <w:rFonts w:hint="eastAsia" w:ascii="宋体" w:hAnsi="宋体" w:cs="宋体"/>
                <w:color w:val="auto"/>
                <w:sz w:val="24"/>
              </w:rPr>
              <w:t>5. 具备一定的质量分析和科研能力，能解决检验中发现的技术问题，能根据本次的抽检结果，以及承担的地方、行业、部门等监督抽查和企业委托检验的情况，结合产品所属行业、产业发展情况，对所监督抽检的产品进行评估分析，形成产品监测数据分析报告，提出工作措施和建议。请提供投标人承担过的科研项目情况说明和产品抽检监测数据分析报告。</w:t>
            </w:r>
          </w:p>
          <w:p>
            <w:pPr>
              <w:spacing w:line="276" w:lineRule="auto"/>
              <w:rPr>
                <w:rFonts w:ascii="宋体" w:hAnsi="宋体" w:cs="宋体"/>
                <w:color w:val="auto"/>
                <w:sz w:val="24"/>
              </w:rPr>
            </w:pPr>
            <w:r>
              <w:rPr>
                <w:rFonts w:hint="eastAsia" w:ascii="宋体" w:hAnsi="宋体" w:cs="宋体"/>
                <w:color w:val="auto"/>
                <w:sz w:val="24"/>
              </w:rPr>
              <w:t>6.投标人必须通过CA认证，并能在国家食品安全抽检监测信息系统上出具合法有效的电子版检验报告。</w:t>
            </w:r>
          </w:p>
          <w:p>
            <w:pPr>
              <w:spacing w:line="276" w:lineRule="auto"/>
              <w:rPr>
                <w:rFonts w:ascii="宋体" w:hAnsi="宋体" w:cs="宋体"/>
                <w:color w:val="auto"/>
                <w:sz w:val="24"/>
              </w:rPr>
            </w:pPr>
            <w:r>
              <w:rPr>
                <w:rFonts w:hint="eastAsia" w:ascii="宋体" w:hAnsi="宋体" w:cs="宋体"/>
                <w:color w:val="auto"/>
                <w:sz w:val="24"/>
              </w:rPr>
              <w:t>（二）在中华人民共和国境内拥有一个及以上分支机构的投标人，其分支机构所具备的检验资质能力不计入投标人。</w:t>
            </w:r>
          </w:p>
        </w:tc>
      </w:tr>
      <w:bookmarkEnd w:id="4"/>
      <w:bookmarkEnd w:id="5"/>
    </w:tbl>
    <w:p>
      <w:pPr>
        <w:rPr>
          <w:rFonts w:ascii="宋体" w:hAnsi="宋体" w:cs="宋体"/>
          <w:color w:val="auto"/>
        </w:rPr>
        <w:sectPr>
          <w:headerReference r:id="rId6" w:type="first"/>
          <w:footerReference r:id="rId9" w:type="first"/>
          <w:headerReference r:id="rId5" w:type="default"/>
          <w:footerReference r:id="rId7" w:type="default"/>
          <w:footerReference r:id="rId8" w:type="even"/>
          <w:pgSz w:w="11906" w:h="16838"/>
          <w:pgMar w:top="1247" w:right="1417" w:bottom="1247" w:left="1474" w:header="851" w:footer="992" w:gutter="0"/>
          <w:cols w:space="0" w:num="1"/>
          <w:titlePg/>
          <w:docGrid w:linePitch="312" w:charSpace="0"/>
        </w:sectPr>
      </w:pPr>
    </w:p>
    <w:p>
      <w:pPr>
        <w:suppressAutoHyphens/>
        <w:rPr>
          <w:rFonts w:ascii="宋体" w:hAnsi="宋体" w:cs="宋体"/>
          <w:color w:val="auto"/>
          <w:kern w:val="1"/>
          <w:sz w:val="32"/>
          <w:szCs w:val="32"/>
        </w:rPr>
      </w:pPr>
      <w:r>
        <w:rPr>
          <w:rFonts w:hint="eastAsia" w:ascii="宋体" w:hAnsi="宋体" w:cs="宋体"/>
          <w:color w:val="auto"/>
          <w:kern w:val="1"/>
          <w:sz w:val="32"/>
          <w:szCs w:val="32"/>
        </w:rPr>
        <w:t>附件1</w:t>
      </w:r>
    </w:p>
    <w:p>
      <w:pPr>
        <w:suppressAutoHyphens/>
        <w:spacing w:line="640" w:lineRule="exact"/>
        <w:jc w:val="center"/>
        <w:rPr>
          <w:rFonts w:ascii="宋体" w:hAnsi="宋体" w:cs="宋体"/>
          <w:bCs/>
          <w:color w:val="auto"/>
          <w:kern w:val="0"/>
          <w:sz w:val="44"/>
          <w:szCs w:val="44"/>
        </w:rPr>
      </w:pPr>
      <w:r>
        <w:rPr>
          <w:rFonts w:hint="eastAsia" w:ascii="宋体" w:hAnsi="宋体" w:cs="宋体"/>
          <w:bCs/>
          <w:color w:val="auto"/>
          <w:kern w:val="0"/>
          <w:sz w:val="44"/>
          <w:szCs w:val="44"/>
        </w:rPr>
        <w:t>2020年区局转移食品安全监督抽检品种及检验项目表</w:t>
      </w:r>
    </w:p>
    <w:tbl>
      <w:tblPr>
        <w:tblStyle w:val="24"/>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23"/>
        <w:gridCol w:w="1110"/>
        <w:gridCol w:w="1311"/>
        <w:gridCol w:w="1922"/>
        <w:gridCol w:w="91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trPr>
        <w:tc>
          <w:tcPr>
            <w:tcW w:w="714" w:type="dxa"/>
            <w:noWrap/>
            <w:vAlign w:val="center"/>
          </w:tcPr>
          <w:p>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123" w:type="dxa"/>
            <w:noWrap/>
            <w:vAlign w:val="center"/>
          </w:tcPr>
          <w:p>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食品大类（一级）</w:t>
            </w:r>
          </w:p>
        </w:tc>
        <w:tc>
          <w:tcPr>
            <w:tcW w:w="1110" w:type="dxa"/>
            <w:noWrap/>
            <w:vAlign w:val="center"/>
          </w:tcPr>
          <w:p>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食品亚类（二级）</w:t>
            </w:r>
          </w:p>
        </w:tc>
        <w:tc>
          <w:tcPr>
            <w:tcW w:w="1311" w:type="dxa"/>
            <w:noWrap/>
            <w:vAlign w:val="center"/>
          </w:tcPr>
          <w:p>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食品品种（三级）</w:t>
            </w:r>
          </w:p>
        </w:tc>
        <w:tc>
          <w:tcPr>
            <w:tcW w:w="1922" w:type="dxa"/>
            <w:noWrap/>
            <w:vAlign w:val="center"/>
          </w:tcPr>
          <w:p>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食品细类</w:t>
            </w:r>
            <w:r>
              <w:rPr>
                <w:rFonts w:hint="eastAsia" w:ascii="宋体" w:hAnsi="宋体" w:cs="宋体"/>
                <w:b/>
                <w:bCs/>
                <w:color w:val="auto"/>
                <w:kern w:val="0"/>
                <w:szCs w:val="21"/>
              </w:rPr>
              <w:br w:type="textWrapping"/>
            </w:r>
            <w:r>
              <w:rPr>
                <w:rFonts w:hint="eastAsia" w:ascii="宋体" w:hAnsi="宋体" w:cs="宋体"/>
                <w:b/>
                <w:bCs/>
                <w:color w:val="auto"/>
                <w:kern w:val="0"/>
                <w:szCs w:val="21"/>
              </w:rPr>
              <w:t>（四级）</w:t>
            </w:r>
          </w:p>
        </w:tc>
        <w:tc>
          <w:tcPr>
            <w:tcW w:w="913" w:type="dxa"/>
            <w:noWrap/>
            <w:vAlign w:val="center"/>
          </w:tcPr>
          <w:p>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风险等级</w:t>
            </w:r>
          </w:p>
        </w:tc>
        <w:tc>
          <w:tcPr>
            <w:tcW w:w="6379" w:type="dxa"/>
            <w:noWrap/>
            <w:vAlign w:val="center"/>
          </w:tcPr>
          <w:p>
            <w:pPr>
              <w:widowControl/>
              <w:spacing w:line="300" w:lineRule="exact"/>
              <w:jc w:val="center"/>
              <w:rPr>
                <w:rFonts w:ascii="宋体" w:hAnsi="宋体" w:cs="宋体"/>
                <w:b/>
                <w:bCs/>
                <w:color w:val="auto"/>
                <w:kern w:val="0"/>
                <w:szCs w:val="21"/>
              </w:rPr>
            </w:pPr>
            <w:r>
              <w:rPr>
                <w:rFonts w:hint="eastAsia" w:ascii="宋体" w:hAnsi="宋体" w:cs="宋体"/>
                <w:b/>
                <w:bCs/>
                <w:color w:val="auto"/>
                <w:kern w:val="0"/>
                <w:szCs w:val="21"/>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1</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粮食加工品</w:t>
            </w: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大米</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大米</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大米</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镉（以Cd计）、黄曲霉毒素B</w:t>
            </w:r>
            <w:r>
              <w:rPr>
                <w:rFonts w:hint="eastAsia" w:ascii="宋体" w:hAnsi="宋体" w:cs="宋体"/>
                <w:color w:val="auto"/>
                <w:kern w:val="0"/>
                <w:szCs w:val="21"/>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小麦粉</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小麦粉</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通用小麦粉、专用小麦粉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苯并[a]芘、玉米赤霉烯酮、脱氧雪腐镰刀菌烯醇、赭曲霉毒素A、黄曲霉毒素B</w:t>
            </w:r>
            <w:r>
              <w:rPr>
                <w:rFonts w:hint="eastAsia" w:ascii="宋体" w:hAnsi="宋体" w:cs="宋体"/>
                <w:color w:val="auto"/>
                <w:kern w:val="0"/>
                <w:szCs w:val="21"/>
                <w:vertAlign w:val="subscript"/>
              </w:rPr>
              <w:t>1</w:t>
            </w:r>
            <w:r>
              <w:rPr>
                <w:rFonts w:hint="eastAsia" w:ascii="宋体" w:hAnsi="宋体" w:cs="宋体"/>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挂面</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挂面</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普通挂面、手工面</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其他粮食加工品</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谷物加工品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谷物加工品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镉（以Cd计）、黄曲霉毒素B</w:t>
            </w:r>
            <w:r>
              <w:rPr>
                <w:rFonts w:hint="eastAsia" w:ascii="宋体" w:hAnsi="宋体" w:cs="宋体"/>
                <w:color w:val="auto"/>
                <w:kern w:val="0"/>
                <w:szCs w:val="21"/>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谷物碾磨加工品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玉米粉、玉米片、玉米渣</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黄曲霉毒素B</w:t>
            </w:r>
            <w:r>
              <w:rPr>
                <w:rFonts w:hint="eastAsia" w:ascii="宋体" w:hAnsi="宋体" w:cs="宋体"/>
                <w:color w:val="auto"/>
                <w:kern w:val="0"/>
                <w:szCs w:val="21"/>
                <w:vertAlign w:val="subscript"/>
              </w:rPr>
              <w:t>1</w:t>
            </w:r>
            <w:r>
              <w:rPr>
                <w:rFonts w:hint="eastAsia" w:ascii="宋体" w:hAnsi="宋体" w:cs="宋体"/>
                <w:color w:val="auto"/>
                <w:kern w:val="0"/>
                <w:szCs w:val="21"/>
              </w:rPr>
              <w:t>、赭曲霉毒素A、玉米赤霉烯酮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米粉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其他谷物碾磨加工品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铅（以Pb计）、铬（以Cr计）、赭曲霉毒素A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谷物粉类制成品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生湿面制品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铅（以Pb计）、苯甲酸及其钠盐（以苯甲酸计）、山梨酸及其钾盐（以山梨酸计）、脱氢乙酸及其钠盐（以脱氢乙酸计）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发酵面制品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脱氢乙酸及其钠盐（以脱氢乙酸计）、菌落总数、大肠菌群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米粉制品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苯甲酸及其钠盐（以苯甲酸计）、山梨酸及其钾盐（以山梨酸计）、脱氢乙酸及其钠盐（以脱氢乙酸计）、大肠菌群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其他谷物粉类制成品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黄曲霉毒素B</w:t>
            </w:r>
            <w:r>
              <w:rPr>
                <w:rFonts w:hint="eastAsia" w:ascii="宋体" w:hAnsi="宋体" w:cs="宋体"/>
                <w:color w:val="auto"/>
                <w:kern w:val="0"/>
                <w:szCs w:val="21"/>
                <w:vertAlign w:val="subscript"/>
              </w:rPr>
              <w:t>1</w:t>
            </w:r>
            <w:r>
              <w:rPr>
                <w:rFonts w:hint="eastAsia" w:ascii="宋体" w:hAnsi="宋体" w:cs="宋体"/>
                <w:color w:val="auto"/>
                <w:kern w:val="0"/>
                <w:szCs w:val="21"/>
              </w:rPr>
              <w:t>、苯甲酸及其钠盐（以苯甲酸计）、山梨酸及其钾盐（以山梨酸计）、菌落总数、大肠菌群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2</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食用油、油脂及其制品</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食用植物油（含煎炸用油）</w:t>
            </w: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食用植物油（半精炼、全精炼）</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花生油</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酸值/酸价、过氧化值、黄曲霉毒素B</w:t>
            </w:r>
            <w:r>
              <w:rPr>
                <w:rFonts w:hint="eastAsia" w:ascii="宋体" w:hAnsi="宋体" w:cs="宋体"/>
                <w:color w:val="auto"/>
                <w:kern w:val="0"/>
                <w:szCs w:val="21"/>
                <w:vertAlign w:val="subscript"/>
              </w:rPr>
              <w:t>1</w:t>
            </w:r>
            <w:r>
              <w:rPr>
                <w:rFonts w:hint="eastAsia" w:ascii="宋体" w:hAnsi="宋体" w:cs="宋体"/>
                <w:color w:val="auto"/>
                <w:kern w:val="0"/>
                <w:szCs w:val="21"/>
              </w:rPr>
              <w:t>、苯并[a]芘、特丁基对苯二酚（TBHQ）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玉米油</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酸值/酸价、过氧化值、黄曲霉毒素B</w:t>
            </w:r>
            <w:r>
              <w:rPr>
                <w:rFonts w:hint="eastAsia" w:ascii="宋体" w:hAnsi="宋体" w:cs="宋体"/>
                <w:color w:val="auto"/>
                <w:kern w:val="0"/>
                <w:szCs w:val="21"/>
                <w:vertAlign w:val="subscript"/>
              </w:rPr>
              <w:t>1</w:t>
            </w:r>
            <w:r>
              <w:rPr>
                <w:rFonts w:hint="eastAsia" w:ascii="宋体" w:hAnsi="宋体" w:cs="宋体"/>
                <w:color w:val="auto"/>
                <w:kern w:val="0"/>
                <w:szCs w:val="21"/>
              </w:rPr>
              <w:t>、苯并[a]芘、特丁基对苯二酚（TBHQ）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芝麻油</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酸值/酸价、过氧化值、苯并[a]芘、特丁基对苯二酚（TBHQ）、乙基麦芽酚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橄榄油、油橄榄果渣油</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酸值/酸价、过氧化值、苯并[a]芘、特丁基对苯二酚（TBHQ）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菜籽油</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酸值/酸价、过氧化值、苯并[a]芘、特丁基对苯二酚（TBHQ）、乙基麦芽酚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大豆油</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酸值/酸价、过氧化值、苯并[a]芘、特丁基对苯二酚（TBHQ）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食用植物调和油</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酸价、过氧化值、苯并[a]芘、特丁基对苯二酚（TBHQ）、乙基麦芽酚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其他食用植物油（半精炼、全精炼）</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酸值/酸价、过氧化值、铅（以Pb计）、苯并[a]芘、特丁基对苯二酚（TBHQ）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煎炸过程用油（餐饮环节）</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煎炸过程用油</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酸价、极性组分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center"/>
              <w:rPr>
                <w:rFonts w:ascii="宋体" w:hAnsi="宋体" w:cs="宋体"/>
                <w:color w:val="auto"/>
                <w:kern w:val="0"/>
                <w:szCs w:val="21"/>
              </w:rPr>
            </w:pPr>
          </w:p>
        </w:tc>
        <w:tc>
          <w:tcPr>
            <w:tcW w:w="1123" w:type="dxa"/>
            <w:vMerge w:val="continue"/>
            <w:noWrap/>
            <w:vAlign w:val="center"/>
          </w:tcPr>
          <w:p>
            <w:pPr>
              <w:widowControl/>
              <w:spacing w:line="300" w:lineRule="exact"/>
              <w:jc w:val="center"/>
              <w:rPr>
                <w:rFonts w:ascii="宋体" w:hAnsi="宋体" w:cs="宋体"/>
                <w:color w:val="auto"/>
                <w:kern w:val="0"/>
                <w:szCs w:val="21"/>
              </w:rPr>
            </w:pP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食用动物油脂</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食用动物油脂</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食用动物油脂</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酸价、过氧化值、丙二醛、苯并[a]芘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食用油脂制品</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食用油脂制品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食用油脂制品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酸价（以脂肪计）、过氧化值（以脂肪计）、大肠菌群、霉菌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3　</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调味品　</w:t>
            </w: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酱油</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酱油</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酱油</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氨基酸态氮、糖精钠（以糖精计）、菌落总数、大肠菌群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714" w:type="dxa"/>
            <w:vMerge w:val="continue"/>
            <w:noWrap/>
            <w:vAlign w:val="center"/>
          </w:tcPr>
          <w:p>
            <w:pPr>
              <w:widowControl/>
              <w:spacing w:line="300" w:lineRule="exact"/>
              <w:jc w:val="center"/>
              <w:rPr>
                <w:rFonts w:ascii="宋体" w:hAnsi="宋体" w:cs="宋体"/>
                <w:color w:val="auto"/>
                <w:kern w:val="0"/>
                <w:szCs w:val="21"/>
              </w:rPr>
            </w:pPr>
          </w:p>
        </w:tc>
        <w:tc>
          <w:tcPr>
            <w:tcW w:w="1123" w:type="dxa"/>
            <w:vMerge w:val="continue"/>
            <w:noWrap/>
            <w:vAlign w:val="center"/>
          </w:tcPr>
          <w:p>
            <w:pPr>
              <w:widowControl/>
              <w:spacing w:line="300" w:lineRule="exact"/>
              <w:jc w:val="center"/>
              <w:rPr>
                <w:rFonts w:ascii="宋体" w:hAnsi="宋体" w:cs="宋体"/>
                <w:color w:val="auto"/>
                <w:kern w:val="0"/>
                <w:szCs w:val="21"/>
              </w:rPr>
            </w:pP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食醋</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食醋</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食醋</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总酸（以乙酸计）、糖精钠（以糖精计）、菌落总数、大肠菌群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酱类</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酱类</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黄豆酱、甜面酱等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氨基酸态氮、黄曲霉毒素B</w:t>
            </w:r>
            <w:r>
              <w:rPr>
                <w:rFonts w:hint="eastAsia" w:ascii="宋体" w:hAnsi="宋体" w:cs="宋体"/>
                <w:color w:val="auto"/>
                <w:kern w:val="0"/>
                <w:szCs w:val="21"/>
                <w:vertAlign w:val="subscript"/>
              </w:rPr>
              <w:t>1</w:t>
            </w:r>
            <w:r>
              <w:rPr>
                <w:rFonts w:hint="eastAsia" w:ascii="宋体" w:hAnsi="宋体" w:cs="宋体"/>
                <w:color w:val="auto"/>
                <w:kern w:val="0"/>
                <w:szCs w:val="21"/>
              </w:rPr>
              <w:t>、苯甲酸及其钠盐（以苯甲酸计）、山梨酸及其钾盐（以山梨酸计）、脱氢乙酸及其钠盐（以脱氢乙酸计）、防腐剂混合使用时各自用量占其最大使用量的比例之和、糖精钠（以糖精计）、大肠菌群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调味料酒</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调味料酒</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料酒</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糖精钠（以糖精计）、甜蜜素（以环己基氨基磺酸计）、三氯蔗糖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香辛料类</w:t>
            </w: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香辛料类</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香辛料调味油</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酸价/酸值、过氧化值、罗丹明B、苏丹红I-IV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辣椒、花椒、辣椒粉、花椒粉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铅（以Pb计）、罗丹明B、苏丹红I-IV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其他香辛料调味品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调味料</w:t>
            </w: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固体复合调味料</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鸡粉、鸡精调味料</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谷氨酸钠、呈味核苷酸二钠、糖精钠（以糖精计）、甜蜜素（以环己基氨基磺酸计）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其他固体调味料</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糖精钠（以糖精计）、甜蜜素（以环己基氨基磺酸计）、阿斯巴甜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半固体复合调味料</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蛋黄酱、沙拉酱</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金黄色葡萄球菌、沙门氏菌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坚果与籽类的泥（酱），包括花生酱等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酸价/酸值、过氧化值、铅（以Pb计）、黄曲霉毒素B</w:t>
            </w:r>
            <w:r>
              <w:rPr>
                <w:rFonts w:hint="eastAsia" w:ascii="宋体" w:hAnsi="宋体" w:cs="宋体"/>
                <w:color w:val="auto"/>
                <w:kern w:val="0"/>
                <w:szCs w:val="21"/>
                <w:vertAlign w:val="subscript"/>
              </w:rPr>
              <w:t>1</w:t>
            </w:r>
            <w:r>
              <w:rPr>
                <w:rFonts w:hint="eastAsia" w:ascii="宋体" w:hAnsi="宋体" w:cs="宋体"/>
                <w:color w:val="auto"/>
                <w:kern w:val="0"/>
                <w:szCs w:val="21"/>
              </w:rPr>
              <w:t>、沙门氏菌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辣椒酱</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苯甲酸及其钠盐（以苯甲酸计）、山梨酸及其钾盐（以山梨酸计）、脱氢乙酸及其钠盐（以脱氢乙酸计）、防腐剂混合使用时各自用量占其最大使用量的比例之和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火锅底料、麻辣烫底料</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苯甲酸及其钠盐（以苯甲酸计）、山梨酸及其钾盐（以山梨酸计）、脱氢乙酸及其钠盐（以脱氢乙酸计）、防腐剂混合使用时各自用量占其最大使用量的比例之和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其他半固体调味料</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苯甲酸及其钠盐（以苯甲酸计）、山梨酸及其钾盐（以山梨酸计）、脱氢乙酸及其钠盐（以脱氢乙酸计）、防腐剂混合使用时各自用量占其最大使用量的比例之和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液体复合调味料</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蚝油、虾油、鱼露</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苯甲酸及其钠盐（以苯甲酸计）、山梨酸及其钾盐（以山梨酸计）、脱氢乙酸及其钠盐（以脱氢乙酸计）、防腐剂混合使用时各自用量占其最大使用量的比例之和、菌落总数、大肠菌群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其他液体调味料</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甲酸及其钠盐（以苯甲酸计）、山梨酸及其钾盐（以山梨酸计）、脱氢乙酸及其钠盐（以脱氢乙酸计）、防腐剂混合使用时各自用量占其最大使用量的比例之和、糖精钠（以糖精计）、甜蜜素（以环己基氨基磺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味精</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味精</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味精</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谷氨酸钠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4</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肉制品</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预制肉制品</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调理肉制品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调理肉制品（非速冻）</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腌腊肉制品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腌腊肉制品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过氧化值（以脂肪计）、氯霉素、亚硝酸盐（以亚硝酸钠计）、胭脂红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　熟肉制品</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酱卤肉制品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酱卤肉制品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氯霉素、亚硝酸盐（以亚硝酸钠计）、苯甲酸及其钠盐（以苯甲酸计）、山梨酸及其钾盐（以山梨酸计）、脱氢乙酸及其钠盐（以脱氢乙酸计）、防腐剂混合使用时各自用量占其最大使用量的比例之和、胭脂红、菌落总数、大肠菌群、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熟肉干制品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熟肉干制品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氯霉素、苯甲酸及其钠盐（以苯甲酸计）、山梨酸及其钾盐（以山梨酸计）、菌落总数、大肠菌群、单核细胞增生李斯特氏菌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熏烧烤肉制品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熏烧烤肉制品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苯并[a]芘、氯霉素、菌落总数、大肠菌群、单核细胞增生李斯特氏菌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熏煮香肠火腿制品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熏煮香肠火腿制品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氯霉素、亚硝酸盐（以亚硝酸钠计）、苯甲酸及其钠盐（以苯甲酸计）、山梨酸及其钾盐（以山梨酸计）、脱氢乙酸及其钠盐（以脱氢乙酸计）、防腐剂混合使用时各自用量占其最大使用量的比例之和、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5</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乳制品</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乳制品</w:t>
            </w: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液体乳</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巴氏杀菌乳</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蛋白质、酸度、三聚氰胺、菌落总数、大肠菌群、金黄色葡萄球菌、沙门氏菌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灭菌乳</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蛋白质、酸度、三聚氰胺、商业无菌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发酵乳</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蛋白质、酸度、三聚氰胺、山梨酸及其钾盐（以山梨酸计）、大肠菌群、酵母、霉菌、金黄色葡萄球菌、沙门氏菌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调制乳</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蛋白质、三聚氰胺、菌落总数、大肠菌群、商业无菌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乳粉</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全脂乳粉、脱脂乳粉、部分脱脂乳粉、调制乳粉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蛋白质、三聚氰胺、菌落总数、大肠菌群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其他乳制品（炼乳、奶油、干酪、固态成型产品）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淡炼乳、加糖炼乳和调制炼乳</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蛋白质、三聚氰胺、商业无菌、菌落总数、大肠菌群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6</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饮料</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饮料</w:t>
            </w: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包装饮用水</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饮用天然矿泉水</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溴酸盐、硝酸盐（以NO</w:t>
            </w:r>
            <w:r>
              <w:rPr>
                <w:rFonts w:hint="eastAsia" w:ascii="宋体" w:hAnsi="宋体" w:cs="宋体"/>
                <w:color w:val="auto"/>
                <w:kern w:val="0"/>
                <w:szCs w:val="21"/>
                <w:vertAlign w:val="subscript"/>
              </w:rPr>
              <w:t>3</w:t>
            </w:r>
            <w:r>
              <w:rPr>
                <w:rFonts w:hint="eastAsia" w:ascii="宋体" w:hAnsi="宋体" w:cs="宋体"/>
                <w:color w:val="auto"/>
                <w:kern w:val="0"/>
                <w:szCs w:val="21"/>
                <w:vertAlign w:val="superscript"/>
              </w:rPr>
              <w:t>-</w:t>
            </w:r>
            <w:r>
              <w:rPr>
                <w:rFonts w:hint="eastAsia" w:ascii="宋体" w:hAnsi="宋体" w:cs="宋体"/>
                <w:color w:val="auto"/>
                <w:kern w:val="0"/>
                <w:szCs w:val="21"/>
              </w:rPr>
              <w:t>计）、亚硝酸盐（以NO</w:t>
            </w:r>
            <w:r>
              <w:rPr>
                <w:rFonts w:hint="eastAsia" w:ascii="宋体" w:hAnsi="宋体" w:cs="宋体"/>
                <w:color w:val="auto"/>
                <w:kern w:val="0"/>
                <w:szCs w:val="21"/>
                <w:vertAlign w:val="subscript"/>
              </w:rPr>
              <w:t>2</w:t>
            </w:r>
            <w:r>
              <w:rPr>
                <w:rFonts w:hint="eastAsia" w:ascii="宋体" w:hAnsi="宋体" w:cs="宋体"/>
                <w:color w:val="auto"/>
                <w:kern w:val="0"/>
                <w:szCs w:val="21"/>
                <w:vertAlign w:val="superscript"/>
              </w:rPr>
              <w:t>-</w:t>
            </w:r>
            <w:r>
              <w:rPr>
                <w:rFonts w:hint="eastAsia" w:ascii="宋体" w:hAnsi="宋体" w:cs="宋体"/>
                <w:color w:val="auto"/>
                <w:kern w:val="0"/>
                <w:szCs w:val="21"/>
              </w:rPr>
              <w:t>计）、大肠菌群、粪链球菌、产气荚膜梭菌、铜绿假单胞菌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饮用纯净水</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耗氧量（以O</w:t>
            </w:r>
            <w:r>
              <w:rPr>
                <w:rFonts w:hint="eastAsia" w:ascii="宋体" w:hAnsi="宋体" w:cs="宋体"/>
                <w:color w:val="auto"/>
                <w:kern w:val="0"/>
                <w:szCs w:val="21"/>
                <w:vertAlign w:val="subscript"/>
              </w:rPr>
              <w:t>2</w:t>
            </w:r>
            <w:r>
              <w:rPr>
                <w:rFonts w:hint="eastAsia" w:ascii="宋体" w:hAnsi="宋体" w:cs="宋体"/>
                <w:color w:val="auto"/>
                <w:kern w:val="0"/>
                <w:szCs w:val="21"/>
              </w:rPr>
              <w:t>计）、亚硝酸盐（以NO</w:t>
            </w:r>
            <w:r>
              <w:rPr>
                <w:rFonts w:hint="eastAsia" w:ascii="宋体" w:hAnsi="宋体" w:cs="宋体"/>
                <w:color w:val="auto"/>
                <w:kern w:val="0"/>
                <w:szCs w:val="21"/>
                <w:vertAlign w:val="subscript"/>
              </w:rPr>
              <w:t>2</w:t>
            </w:r>
            <w:r>
              <w:rPr>
                <w:rFonts w:hint="eastAsia" w:ascii="宋体" w:hAnsi="宋体" w:cs="宋体"/>
                <w:color w:val="auto"/>
                <w:kern w:val="0"/>
                <w:szCs w:val="21"/>
                <w:vertAlign w:val="superscript"/>
              </w:rPr>
              <w:t>-</w:t>
            </w:r>
            <w:r>
              <w:rPr>
                <w:rFonts w:hint="eastAsia" w:ascii="宋体" w:hAnsi="宋体" w:cs="宋体"/>
                <w:color w:val="auto"/>
                <w:kern w:val="0"/>
                <w:szCs w:val="21"/>
              </w:rPr>
              <w:t>计）、余氯（游离氯）、三氯甲烷、溴酸盐、大肠菌群、铜绿假单胞菌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其他饮用水</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耗氧量（以O</w:t>
            </w:r>
            <w:r>
              <w:rPr>
                <w:rFonts w:hint="eastAsia" w:ascii="宋体" w:hAnsi="宋体" w:cs="宋体"/>
                <w:color w:val="auto"/>
                <w:kern w:val="0"/>
                <w:szCs w:val="21"/>
                <w:vertAlign w:val="subscript"/>
              </w:rPr>
              <w:t>2</w:t>
            </w:r>
            <w:r>
              <w:rPr>
                <w:rFonts w:hint="eastAsia" w:ascii="宋体" w:hAnsi="宋体" w:cs="宋体"/>
                <w:color w:val="auto"/>
                <w:kern w:val="0"/>
                <w:szCs w:val="21"/>
              </w:rPr>
              <w:t>计）、亚硝酸盐（以NO</w:t>
            </w:r>
            <w:r>
              <w:rPr>
                <w:rFonts w:hint="eastAsia" w:ascii="宋体" w:hAnsi="宋体" w:cs="宋体"/>
                <w:color w:val="auto"/>
                <w:kern w:val="0"/>
                <w:szCs w:val="21"/>
                <w:vertAlign w:val="subscript"/>
              </w:rPr>
              <w:t>2</w:t>
            </w:r>
            <w:r>
              <w:rPr>
                <w:rFonts w:hint="eastAsia" w:ascii="宋体" w:hAnsi="宋体" w:cs="宋体"/>
                <w:color w:val="auto"/>
                <w:kern w:val="0"/>
                <w:szCs w:val="21"/>
                <w:vertAlign w:val="superscript"/>
              </w:rPr>
              <w:t>-</w:t>
            </w:r>
            <w:r>
              <w:rPr>
                <w:rFonts w:hint="eastAsia" w:ascii="宋体" w:hAnsi="宋体" w:cs="宋体"/>
                <w:color w:val="auto"/>
                <w:kern w:val="0"/>
                <w:szCs w:val="21"/>
              </w:rPr>
              <w:t>计）、余氯（游离氯）、三氯甲烷、溴酸盐、大肠菌群、铜绿假单胞菌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果、蔬汁饮料</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果、蔬汁饮料</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安赛蜜、甜蜜素（以环己基氨基磺酸计）、菌落总数、大肠菌群、霉菌、酵母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蛋白饮料</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蛋白饮料</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蛋白质、三聚氰胺、糖精钠（以糖精计）、甜蜜素（以环己基氨基磺酸计）、菌落总数、大肠菌群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碳酸饮料(汽水)</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碳酸饮料(汽水)</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二氧化碳气容量、甜蜜素（以环己基氨基磺酸计）、菌落总数、大肠菌群、霉菌、酵母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茶饮料</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茶饮料</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茶多酚、咖啡因、甜蜜素（以环己基氨基磺酸计）、菌落总数、商业无菌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固体饮料</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固体饮料</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蛋白质、赭曲霉毒素A、菌落总数、大肠菌群、霉菌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其他饮料</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其他饮料</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糖精钠（以糖精计）、安赛蜜、甜蜜素（以环己基氨基磺酸计）、合成着色剂（苋菜红、胭脂红、柠檬黄、日落黄、亮蓝）、菌落总数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7</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方便食品</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方便食品</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方便面</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油炸面、非油炸面、方便米粉（米线）、方便粉丝</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调味面制品</w:t>
            </w:r>
            <w:r>
              <w:rPr>
                <w:rFonts w:hint="eastAsia" w:ascii="宋体" w:hAnsi="宋体" w:cs="宋体"/>
                <w:color w:val="auto"/>
                <w:kern w:val="0"/>
                <w:szCs w:val="21"/>
                <w:vertAlign w:val="superscript"/>
              </w:rPr>
              <w:t>a</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调味面制品</w:t>
            </w:r>
            <w:r>
              <w:rPr>
                <w:rFonts w:hint="eastAsia" w:ascii="宋体" w:hAnsi="宋体" w:cs="宋体"/>
                <w:color w:val="auto"/>
                <w:kern w:val="0"/>
                <w:szCs w:val="21"/>
                <w:vertAlign w:val="superscript"/>
              </w:rPr>
              <w:t>a</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价（以脂肪计）、过氧化值（以脂肪计）、糖精钠（以糖精计）、苯甲酸及其钠盐（以苯甲酸计）、山梨酸及其钾盐（以山梨酸计）、脱氢乙酸及其钠盐（以脱氢乙酸计）、菌落总数、大肠菌群、霉菌、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其他方便食品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方便粥、方便盒饭、冷面及其他熟制方便食品等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酸价（以脂肪计）、过氧化值（以脂肪计）、铅（以Pb计）、菌落总数、大肠菌群、霉菌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8</w:t>
            </w:r>
          </w:p>
        </w:tc>
        <w:tc>
          <w:tcPr>
            <w:tcW w:w="112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饼干</w:t>
            </w: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饼干</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饼干</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饼干</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酸价（以脂肪计）、过氧化值（以脂肪计）、铝的残留量（干样品，以Al计）、脱氢乙酸及其钠盐（以脱氢乙酸计）、菌落总数、大肠菌群、霉菌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9</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罐头</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罐头</w:t>
            </w: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畜禽水产罐头</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畜禽肉类罐头</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苯甲酸及其钠盐（以苯甲酸计）、山梨酸及其钾盐（以山梨酸计）、糖精钠（以糖精计）、商业无菌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水产动物类罐头</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脱氢乙酸及其钠盐（以脱氢乙酸计）、苯甲酸及其钠盐（以苯甲酸计）、山梨酸及其钾盐（以山梨酸计）、糖精钠（以糖精计）、商业无菌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果蔬罐头</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水果类罐头</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糖精钠（以糖精计）、甜蜜素（以环己基氨基磺酸计）、阿斯巴甜、商业无菌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蔬菜类罐头</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脱氢乙酸及其钠盐（以脱氢乙酸计）、苯甲酸及其钠盐（以苯甲酸计）、山梨酸及其钾盐（以山梨酸计）、乙二胺四乙酸二钠、霉菌计数、商业无菌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食用菌罐头</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脱氢乙酸及其钠盐（以脱氢乙酸计）、苯甲酸及其钠盐（以苯甲酸计）、山梨酸及其钾盐（以山梨酸计）、乙二胺四乙酸二钠、商业无菌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其他罐头</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其他罐头</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黄曲霉毒素B</w:t>
            </w:r>
            <w:r>
              <w:rPr>
                <w:rFonts w:hint="eastAsia" w:ascii="宋体" w:hAnsi="宋体" w:cs="宋体"/>
                <w:color w:val="auto"/>
                <w:kern w:val="0"/>
                <w:szCs w:val="21"/>
                <w:vertAlign w:val="subscript"/>
              </w:rPr>
              <w:t>1</w:t>
            </w:r>
            <w:r>
              <w:rPr>
                <w:rFonts w:hint="eastAsia" w:ascii="宋体" w:hAnsi="宋体" w:cs="宋体"/>
                <w:color w:val="auto"/>
                <w:kern w:val="0"/>
                <w:szCs w:val="21"/>
              </w:rPr>
              <w:t>、脱氢乙酸及其钠盐（以脱氢乙酸计）、苯甲酸及其钠盐（以苯甲酸计）、山梨酸及其钾盐（以山梨酸计）、商业无菌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14"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10</w:t>
            </w:r>
          </w:p>
        </w:tc>
        <w:tc>
          <w:tcPr>
            <w:tcW w:w="112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冷冻饮品</w:t>
            </w: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冷冻饮品</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冷冻饮品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冰淇淋、雪糕、雪泥、冰棍、食用冰、甜味冰、其他类</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蛋白质、甜蜜素（以环己基氨基磺酸计）、阿力甜、菌落总数、大肠菌群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11</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速冻食品</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速冻面米食品</w:t>
            </w: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速冻面米食品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水饺、元宵、馄饨等生制品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过氧化值（以脂肪计）、铅（以Pb计）、糖精钠（以糖精计）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包子、馒头等熟制品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糖精钠（以糖精计）、菌落总数、大肠菌群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速冻其他食品</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速冻谷物食品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玉米等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铅（以Pb计）、黄曲霉毒素B</w:t>
            </w:r>
            <w:r>
              <w:rPr>
                <w:rFonts w:hint="eastAsia" w:ascii="宋体" w:hAnsi="宋体" w:cs="宋体"/>
                <w:color w:val="auto"/>
                <w:kern w:val="0"/>
                <w:szCs w:val="21"/>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速冻肉制品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速冻调理肉制品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过氧化值（以脂肪计）、铅（以Pb计）、铬（以Cr计）、氯霉素、胭脂红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速冻水产制品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速冻水产制品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过氧化值（以脂肪计）、苯甲酸及其钠盐（以苯甲酸计）、山梨酸及其钾盐（以山梨酸计）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速冻蔬菜制品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速冻蔬菜制品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苯甲酸及其钠盐（以苯甲酸计）、山梨酸及其钾盐（以山梨酸计）、糖精钠（以糖精计）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速冻水果制品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速冻水果制品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铅（以Pb计）、镉（以Cd计）、菌落总数、大肠菌群、霉菌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12</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薯类和膨化食品</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薯类和膨化食品</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膨化食品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含油型膨化食品和非含油型膨化食品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酸价（以脂肪计）、过氧化值（以脂肪计）、菌落总数、大肠菌群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薯类食品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干制薯类（马铃薯片）</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酸价（以脂肪计）、过氧化值（以脂肪计）、菌落总数、大肠菌群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干制薯类（除马铃薯片外）</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铅（以Pb计）、二氧化硫残留量、沙门氏菌、金黄色葡萄球菌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冷冻薯类</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薯泥（酱）类</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铅（以Pb计）、苯甲酸及其钠盐（以苯甲酸计）、山梨酸及其钾盐（以山梨酸计）、商业无菌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薯粉类</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其他类</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13</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糖果制品</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糖果制品(含巧克力及制品)</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糖果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糖果</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铅（以Pb计）、糖精钠（以糖精计）、合成着色剂（柠檬黄、苋菜红、胭脂红、日落黄）、相同色泽着色剂混合使用时各自用量占其最大使用量的比例之和、菌落总数、大肠菌群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巧克力及巧克力制品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巧克力、巧克力制品、代可可脂巧克力及代可可脂巧克力制品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果冻</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果冻</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山梨酸及其钾盐（以山梨酸计）、苯甲酸及其钠盐（以苯甲酸计）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14</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茶叶及相关制品</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茶叶</w:t>
            </w: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茶叶</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绿茶、红茶、乌龙茶、黄茶、白茶、黑茶、花茶、袋泡茶、紧压茶</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乙酰甲胺磷、三氯杀螨醇、水胺硫磷、丙溴磷、毒死蜱、莠去津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砖茶</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氟、乙酰甲胺磷、三氯杀螨醇、水胺硫磷、丙溴磷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含茶制品和代用茶</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含茶制品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速溶茶类、其它含茶制品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代用茶</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代用茶</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15</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酒类</w:t>
            </w: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蒸馏酒</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白酒</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白酒、白酒(液态)、白酒(原酒)</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酒精度、甲醇、氰化物（以HCN计）、糖精钠（以糖精计）、甜蜜素（以环己基氨基磺酸计）、三氯蔗糖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发酵酒</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黄酒</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黄酒</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酒精度、糖精钠（以糖精计）、甜蜜素（以环己基氨基磺酸计）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啤酒</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啤酒</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酒精度、甲醛、警示语标注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葡萄酒</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葡萄酒</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酒精度、甲醇、二氧化硫残留量、糖精钠（以糖精计）、甜蜜素（以环己基氨基磺酸计）、三氯蔗糖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果酒</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果酒</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酒精度、展青霉素、糖精钠（以糖精计）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其他酒</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其他发酵酒</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其他发酵酒</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酒精度、苯甲酸及其钠盐（以苯甲酸计）、山梨酸及其钾盐（以山梨酸计）、糖精钠（以糖精计）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配制酒</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以蒸馏酒及食用酒精为酒基的配制酒</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酒精度、甲醇、氰化物（以HCN计）、糖精钠（以糖精计）、甜蜜素（以环己基氨基磺酸计）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以发酵酒为酒基的配制酒</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酒精度、苯甲酸及其钠盐（以苯甲酸计）、山梨酸及其钾盐（以山梨酸计）、糖精钠（以糖精计）、甜蜜素（以环己基氨基磺酸计）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其他蒸馏酒</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其他蒸馏酒</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酒精度、甲醇、氰化物（以HCN计）、糖精钠（以糖精计）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16</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蔬菜制品</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蔬菜制品</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酱腌菜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酱腌菜</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苯甲酸及其钠盐（以苯甲酸计）、防腐剂混合使用时各自用量占其最大使用量的比例之和、山梨酸及其钾盐（以山梨酸计）、糖精钠（以糖精计）、甜蜜素（以环己基氨基磺酸计）、大肠菌群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蔬菜干制品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自然干制品、热风干燥蔬菜、冷冻干燥蔬菜、蔬菜脆片、蔬菜粉及制品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苯甲酸及其钠盐（以苯甲酸计）、二氧化硫残留量、山梨酸及其钾盐（以山梨酸计）、糖精钠（以糖精计）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食用菌制品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干制食用菌</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镉（以Cd计）、铅（以Pb计）、二氧化硫残留量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腌渍食用菌</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苯甲酸及其钠盐（以苯甲酸计）、二氧化硫残留量、防腐剂混合使用时各自用量占其最大使用量的比例之和、山梨酸及其钾盐（以山梨酸计）、脱氢乙酸及其钠盐（以脱氢乙酸计）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其他蔬菜制品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其他蔬菜制品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17</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水果制品</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水果制品</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蜜饯</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蜜饯类、凉果类、果脯类、话化类、果糕类</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脱氢乙酸及其钠盐（以脱氢乙酸计）、糖精钠（以糖精计）、甜蜜素（以环己基氨基磺酸计）、二氧化硫残留量、乙二胺四乙酸二钠、菌落总数、大肠菌群、霉菌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水果干制品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水果干制品（含干枸杞）</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哒螨灵、啶虫脒、氯氰菊酯和高效氯氰菊酯、唑螨酯、肟菌酯、噁唑菌酮、菌落总数、大肠菌群、霉菌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果酱</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果酱</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糖精钠（以糖精计）、甜蜜素（以环己基氨基磺酸计）、菌落总数、大肠菌群、霉菌、商业无菌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18</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炒货食品及坚果制品</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炒货食品及坚果制品</w:t>
            </w: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炒货食品及坚果制品（ 烘炒类、油炸类、其他类）</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开心果、杏仁、松仁、瓜子</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酸价（以脂肪计）、过氧化值（以脂肪计）、黄曲霉毒素B</w:t>
            </w:r>
            <w:r>
              <w:rPr>
                <w:rFonts w:hint="eastAsia" w:ascii="宋体" w:hAnsi="宋体" w:cs="宋体"/>
                <w:color w:val="auto"/>
                <w:kern w:val="0"/>
                <w:szCs w:val="21"/>
                <w:vertAlign w:val="subscript"/>
              </w:rPr>
              <w:t>1</w:t>
            </w:r>
            <w:r>
              <w:rPr>
                <w:rFonts w:hint="eastAsia" w:ascii="宋体" w:hAnsi="宋体" w:cs="宋体"/>
                <w:color w:val="auto"/>
                <w:kern w:val="0"/>
                <w:szCs w:val="21"/>
              </w:rPr>
              <w:t>、大肠菌群、霉菌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其他炒货食品及坚果制品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酸价（以脂肪计）、过氧化值（以脂肪计）、黄曲霉毒素B</w:t>
            </w:r>
            <w:r>
              <w:rPr>
                <w:rFonts w:hint="eastAsia" w:ascii="宋体" w:hAnsi="宋体" w:cs="宋体"/>
                <w:color w:val="auto"/>
                <w:kern w:val="0"/>
                <w:szCs w:val="21"/>
                <w:vertAlign w:val="subscript"/>
              </w:rPr>
              <w:t>1</w:t>
            </w:r>
            <w:r>
              <w:rPr>
                <w:rFonts w:hint="eastAsia" w:ascii="宋体" w:hAnsi="宋体" w:cs="宋体"/>
                <w:color w:val="auto"/>
                <w:kern w:val="0"/>
                <w:szCs w:val="21"/>
              </w:rPr>
              <w:t>、大肠菌群、霉菌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19</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蛋制品</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蛋制品</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再制蛋</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再制蛋</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铅（以Pb计）、菌落总数、大肠菌群、沙门氏菌、商业无菌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其他类</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其他类</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铅（以Pb计）、菌落总数、大肠菌群、沙门氏菌、商业无菌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20</w:t>
            </w:r>
          </w:p>
        </w:tc>
        <w:tc>
          <w:tcPr>
            <w:tcW w:w="112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可可及焙烤咖啡产品</w:t>
            </w: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焙炒咖啡</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焙炒咖啡</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焙炒咖啡</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咖啡因、铅（以Pb计）、赭曲霉毒素A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21</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食糖</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食糖</w:t>
            </w: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食糖</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白砂糖</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蔗糖分、还原糖分、色值、二氧化硫残留量、螨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绵白糖</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总糖分、还原糖分、色值、二氧化硫残留量、螨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赤砂糖</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总糖分、不溶于水杂质、二氧化硫残留量、螨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红糖</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总糖分、不溶于水杂质、螨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冰糖</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蔗糖分、还原糖分、色值、二氧化硫残留量、螨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冰片糖</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总糖分、还原糖分、螨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方糖</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蔗糖分、还原糖分、色值、二氧化硫残留量、螨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其他糖</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蔗糖分、总糖分、还原糖分、色值、二氧化硫残留量、螨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22</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水产制品</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水产制品</w:t>
            </w: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干制水产品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藻类干制品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预制动物性水产干制品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镉（以Cd计）、N-二甲基亚硝胺、苯甲酸及其钠盐（以苯甲酸计）、山梨酸及其钾盐（以山梨酸计）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盐渍水产品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盐渍鱼</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过氧化值（以脂肪计）、组胺、N-二甲基亚硝胺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盐渍藻</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其他盐渍水产品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熟制动物性水产制品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熟制动物性水产制品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镉（以Cd计）、N-二甲基亚硝胺、苯甲酸及其钠盐（以苯甲酸计）、山梨酸及其钾盐（以山梨酸计）、糖精钠（以糖精计）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生食水产品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生食动物性水产品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挥发性盐基氮、苯甲酸及其钠盐（以苯甲酸计）、菌落总数、大肠菌群、吸虫囊蚴、线虫幼虫、绦虫裂头蚴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其他水产制品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其他水产制品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23</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淀粉及淀粉制品</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淀粉及淀粉制品</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淀粉</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淀粉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铅（以Pb计）、菌落总数、大肠菌群、霉菌和酵母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淀粉制品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粉丝粉条</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铅（以Pb计）、铝的残留量（干样品，以Al计）、二氧化硫残留量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其他淀粉制品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铝的残留量（干样品，以Al计）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淀粉糖</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淀粉糖</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24</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糕点</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糕点</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糕点</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糕点</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酸价（以脂肪计）、过氧化值（以脂肪计）、铝的残留量（干样品，以Al计）、脱氢乙酸及其钠盐（以脱氢乙酸计）、丙二醇、菌落总数、大肠菌群、金黄色葡萄球菌、沙门氏菌、霉菌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月饼</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月饼</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酸价（以脂肪计）、过氧化值（以脂肪计）、铝的残留量（干样品，以Al计）、脱氢乙酸及其钠盐（以脱氢乙酸计）、菌落总数、大肠菌群、金黄色葡萄球菌、沙门氏菌、霉菌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粽子</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粽子</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粽子</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苯甲酸及其钠盐（以苯甲酸计）、山梨酸及其钾盐（以山梨酸计）、菌落总数、大肠菌群、霉菌、商业无菌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25</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豆制品</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豆制品</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发酵性豆制品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腐乳、豆豉、纳豆等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苯甲酸及其钠盐（以苯甲酸计）、山梨酸及其钾盐（以山梨酸计）、铝的残留量（干样品，以Al计）、大肠菌群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非发酵性豆制品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豆干、豆腐、豆皮等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苯甲酸及其钠盐（以苯甲酸计）、山梨酸及其钾盐（以山梨酸计）、脱氢乙酸及其钠盐（以脱氢乙酸计）、丙酸及其钠盐、钙盐（以丙酸计）、防腐剂混合使用时各自用量占其最大使用量的比例之和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腐竹、油皮及其再制品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糖精钠（以糖精计）、三氯蔗糖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其他豆制品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大豆蛋白类制品等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山梨酸及其钾盐（以山梨酸计）、脱氢乙酸及其钠盐（以脱氢乙酸计）、铝的残留量（干样品，以Al计）、大肠菌群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26</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蜂产品</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蜂产品</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蜂蜜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蜂蜜</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氯霉素、培氟沙星、氧氟沙星、诺氟沙星、甲硝唑、地美硝唑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蜂王浆（含蜂王浆冻干粉）</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蜂王浆（含蜂王浆冻干粉）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10-羟基-2-癸烯酸、总糖、酸度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蜂花粉</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蜂花粉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蛋白质、水分、铅（以Pb计）、菌落总数、大肠菌群、霉菌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蜂产品制品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蜂产品制品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糖精钠（以糖精计）、苯甲酸及其钠盐（以苯甲酸计）、山梨酸及其钾盐（以山梨酸计）、菌落总数、大肠菌群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14"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27</w:t>
            </w:r>
          </w:p>
        </w:tc>
        <w:tc>
          <w:tcPr>
            <w:tcW w:w="112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保健食品</w:t>
            </w: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保健食品</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保健食品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保健食品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功效/标志性成分、水分、可溶性固形物、酸价、过氧化值、崩解时限、铅（Pb）、总砷（As）、总汞（Hg）、胶囊壳中的铬、西布曲明、N-单去甲基西布曲明、N，N-双去甲基西布曲明、麻黄碱、芬氟拉明、酚酞、甲苯磺丁脲、格列苯脲、格列齐特、格列吡嗪、格列喹酮、格列美脲、马来酸罗格列酮、瑞格列奈、盐酸吡格列酮、盐酸二甲双胍、盐酸苯乙双胍、盐酸丁二胍、格列波脲、那红地那非、红地那非、伐地那非、羟基豪莫西地那非、西地那非、豪莫西地那非、氨基他达拉非、他达拉非、硫代艾地那非、伪伐地那非、那莫西地那非、地西泮、硝西泮、氯硝西泮、氯氮卓、奥沙西泮、马来酸咪哒唑仑、劳拉西泮、艾司唑仑、阿普唑仑、三唑仑、巴比妥、苯巴比妥、异戊巴比妥、司可巴比妥、氯美扎酮、佐匹克隆、氯苯那敏、扎来普隆、文拉法辛、青藤碱、罗通定、阿替洛尔、盐酸可乐定、氢氯噻嗪、卡托普利、哌唑嗪、利血平、硝苯地平、氨氯地平、尼群地平、尼莫地平、尼索地平、非洛地平、菌落总数、大肠菌群、霉菌和酵母、金黄色葡萄球菌、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28</w:t>
            </w:r>
          </w:p>
        </w:tc>
        <w:tc>
          <w:tcPr>
            <w:tcW w:w="1123" w:type="dxa"/>
            <w:vMerge w:val="restart"/>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婴幼儿配方食品</w:t>
            </w:r>
          </w:p>
        </w:tc>
        <w:tc>
          <w:tcPr>
            <w:tcW w:w="1110" w:type="dxa"/>
            <w:vMerge w:val="restart"/>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婴幼儿配方食品（湿法工艺、干法工艺、干湿法混合工艺）</w:t>
            </w:r>
          </w:p>
        </w:tc>
        <w:tc>
          <w:tcPr>
            <w:tcW w:w="1311"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婴儿配方食品</w:t>
            </w:r>
          </w:p>
        </w:tc>
        <w:tc>
          <w:tcPr>
            <w:tcW w:w="1922"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乳基婴儿配方食品、豆基婴儿配方食品</w:t>
            </w:r>
          </w:p>
        </w:tc>
        <w:tc>
          <w:tcPr>
            <w:tcW w:w="91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蛋白质、脂肪、碳水化合物、乳糖占碳水化合物总量、亚油酸、α-亚麻酸、亚油酸与α-亚麻酸比值、终产品脂肪中月桂酸和肉豆蔻酸（十四烷酸）总量占总脂肪酸的比值、芥酸与总脂肪酸比值、反式脂肪酸与总脂肪酸比值、维生素A、维生素D、维生素E、维生素K</w:t>
            </w:r>
            <w:r>
              <w:rPr>
                <w:rFonts w:hint="eastAsia" w:ascii="宋体" w:hAnsi="宋体" w:cs="宋体"/>
                <w:color w:val="auto"/>
                <w:kern w:val="0"/>
                <w:szCs w:val="21"/>
                <w:vertAlign w:val="subscript"/>
              </w:rPr>
              <w:t>1</w:t>
            </w:r>
            <w:r>
              <w:rPr>
                <w:rFonts w:hint="eastAsia" w:ascii="宋体" w:hAnsi="宋体" w:cs="宋体"/>
                <w:color w:val="auto"/>
                <w:kern w:val="0"/>
                <w:szCs w:val="21"/>
              </w:rPr>
              <w:t>、维生素B</w:t>
            </w:r>
            <w:r>
              <w:rPr>
                <w:rFonts w:hint="eastAsia" w:ascii="宋体" w:hAnsi="宋体" w:cs="宋体"/>
                <w:color w:val="auto"/>
                <w:kern w:val="0"/>
                <w:szCs w:val="21"/>
                <w:vertAlign w:val="subscript"/>
              </w:rPr>
              <w:t>1</w:t>
            </w:r>
            <w:r>
              <w:rPr>
                <w:rFonts w:hint="eastAsia" w:ascii="宋体" w:hAnsi="宋体" w:cs="宋体"/>
                <w:color w:val="auto"/>
                <w:kern w:val="0"/>
                <w:szCs w:val="21"/>
              </w:rPr>
              <w:t>、维生素B</w:t>
            </w:r>
            <w:r>
              <w:rPr>
                <w:rFonts w:hint="eastAsia" w:ascii="宋体" w:hAnsi="宋体" w:cs="宋体"/>
                <w:color w:val="auto"/>
                <w:kern w:val="0"/>
                <w:szCs w:val="21"/>
                <w:vertAlign w:val="subscript"/>
              </w:rPr>
              <w:t>2</w:t>
            </w:r>
            <w:r>
              <w:rPr>
                <w:rFonts w:hint="eastAsia" w:ascii="宋体" w:hAnsi="宋体" w:cs="宋体"/>
                <w:color w:val="auto"/>
                <w:kern w:val="0"/>
                <w:szCs w:val="21"/>
              </w:rPr>
              <w:t>、维生素B</w:t>
            </w:r>
            <w:r>
              <w:rPr>
                <w:rFonts w:hint="eastAsia" w:ascii="宋体" w:hAnsi="宋体" w:cs="宋体"/>
                <w:color w:val="auto"/>
                <w:kern w:val="0"/>
                <w:szCs w:val="21"/>
                <w:vertAlign w:val="subscript"/>
              </w:rPr>
              <w:t>6</w:t>
            </w:r>
            <w:r>
              <w:rPr>
                <w:rFonts w:hint="eastAsia" w:ascii="宋体" w:hAnsi="宋体" w:cs="宋体"/>
                <w:color w:val="auto"/>
                <w:kern w:val="0"/>
                <w:szCs w:val="21"/>
              </w:rPr>
              <w:t>、维生素B</w:t>
            </w:r>
            <w:r>
              <w:rPr>
                <w:rFonts w:hint="eastAsia" w:ascii="宋体" w:hAnsi="宋体" w:cs="宋体"/>
                <w:color w:val="auto"/>
                <w:kern w:val="0"/>
                <w:szCs w:val="21"/>
                <w:vertAlign w:val="subscript"/>
              </w:rPr>
              <w:t>12</w:t>
            </w:r>
            <w:r>
              <w:rPr>
                <w:rFonts w:hint="eastAsia" w:ascii="宋体" w:hAnsi="宋体" w:cs="宋体"/>
                <w:color w:val="auto"/>
                <w:kern w:val="0"/>
                <w:szCs w:val="21"/>
              </w:rPr>
              <w:t>、烟酸（烟酰胺）、叶酸、泛酸、维生素C、生物素、钠、钾、铜、镁、铁、锌、锰、钙、磷、钙磷比值、碘、氯、硒、胆碱、肌醇、牛磺酸、左旋肉碱、二十二碳六烯酸、二十二碳六烯酸与总脂肪酸比、二十碳四烯酸、二十碳四烯酸与总脂肪酸比、二十二碳六烯酸（22:6n-3）与二十碳四烯酸（20:4n-6）的比、长链不饱和脂肪酸中二十碳五烯酸（20:5n-3）的量与二十二碳六烯酸的量的比、果聚糖、水分、灰分、杂质度、叶黄素、核苷酸、香兰素、乙基香兰素、脲酶活性定性测定、铅（以Pb计）、黄曲霉毒素M</w:t>
            </w:r>
            <w:r>
              <w:rPr>
                <w:rFonts w:hint="eastAsia" w:ascii="宋体" w:hAnsi="宋体" w:cs="宋体"/>
                <w:color w:val="auto"/>
                <w:kern w:val="0"/>
                <w:szCs w:val="21"/>
                <w:vertAlign w:val="subscript"/>
              </w:rPr>
              <w:t>1</w:t>
            </w:r>
            <w:r>
              <w:rPr>
                <w:rFonts w:hint="eastAsia" w:ascii="宋体" w:hAnsi="宋体" w:cs="宋体"/>
                <w:color w:val="auto"/>
                <w:kern w:val="0"/>
                <w:szCs w:val="21"/>
              </w:rPr>
              <w:t>或黄曲霉毒素B</w:t>
            </w:r>
            <w:r>
              <w:rPr>
                <w:rFonts w:hint="eastAsia" w:ascii="宋体" w:hAnsi="宋体" w:cs="宋体"/>
                <w:color w:val="auto"/>
                <w:kern w:val="0"/>
                <w:szCs w:val="21"/>
                <w:vertAlign w:val="subscript"/>
              </w:rPr>
              <w:t>1</w:t>
            </w:r>
            <w:r>
              <w:rPr>
                <w:rFonts w:hint="eastAsia" w:ascii="宋体" w:hAnsi="宋体" w:cs="宋体"/>
                <w:color w:val="auto"/>
                <w:kern w:val="0"/>
                <w:szCs w:val="21"/>
              </w:rPr>
              <w:t>、硝酸盐（以NaNO</w:t>
            </w:r>
            <w:r>
              <w:rPr>
                <w:rFonts w:hint="eastAsia" w:ascii="宋体" w:hAnsi="宋体" w:cs="宋体"/>
                <w:color w:val="auto"/>
                <w:kern w:val="0"/>
                <w:szCs w:val="21"/>
                <w:vertAlign w:val="subscript"/>
              </w:rPr>
              <w:t>3</w:t>
            </w:r>
            <w:r>
              <w:rPr>
                <w:rFonts w:hint="eastAsia" w:ascii="宋体" w:hAnsi="宋体" w:cs="宋体"/>
                <w:color w:val="auto"/>
                <w:kern w:val="0"/>
                <w:szCs w:val="21"/>
              </w:rPr>
              <w:t>计）、亚硝酸盐（以NaNO</w:t>
            </w:r>
            <w:r>
              <w:rPr>
                <w:rFonts w:hint="eastAsia" w:ascii="宋体" w:hAnsi="宋体" w:cs="宋体"/>
                <w:color w:val="auto"/>
                <w:kern w:val="0"/>
                <w:szCs w:val="21"/>
                <w:vertAlign w:val="subscript"/>
              </w:rPr>
              <w:t>2</w:t>
            </w:r>
            <w:r>
              <w:rPr>
                <w:rFonts w:hint="eastAsia" w:ascii="宋体" w:hAnsi="宋体" w:cs="宋体"/>
                <w:color w:val="auto"/>
                <w:kern w:val="0"/>
                <w:szCs w:val="21"/>
              </w:rPr>
              <w:t>计）、三聚氰胺、菌落总数、大肠菌群、金黄色葡萄球菌、沙门氏菌、阪崎肠杆菌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14" w:type="dxa"/>
            <w:vMerge w:val="continue"/>
            <w:noWrap/>
            <w:vAlign w:val="center"/>
          </w:tcPr>
          <w:p>
            <w:pPr>
              <w:widowControl/>
              <w:spacing w:line="300" w:lineRule="exact"/>
              <w:jc w:val="center"/>
              <w:rPr>
                <w:rFonts w:ascii="宋体" w:hAnsi="宋体" w:cs="宋体"/>
                <w:color w:val="auto"/>
                <w:kern w:val="0"/>
                <w:szCs w:val="21"/>
              </w:rPr>
            </w:pPr>
          </w:p>
        </w:tc>
        <w:tc>
          <w:tcPr>
            <w:tcW w:w="1123" w:type="dxa"/>
            <w:vMerge w:val="continue"/>
            <w:noWrap/>
            <w:vAlign w:val="center"/>
          </w:tcPr>
          <w:p>
            <w:pPr>
              <w:widowControl/>
              <w:jc w:val="center"/>
              <w:rPr>
                <w:rFonts w:ascii="宋体" w:hAnsi="宋体" w:cs="宋体"/>
                <w:color w:val="auto"/>
                <w:kern w:val="0"/>
                <w:szCs w:val="21"/>
                <w:highlight w:val="yellow"/>
              </w:rPr>
            </w:pPr>
          </w:p>
        </w:tc>
        <w:tc>
          <w:tcPr>
            <w:tcW w:w="1110" w:type="dxa"/>
            <w:vMerge w:val="continue"/>
            <w:noWrap/>
            <w:vAlign w:val="center"/>
          </w:tcPr>
          <w:p>
            <w:pPr>
              <w:widowControl/>
              <w:jc w:val="center"/>
              <w:rPr>
                <w:rFonts w:ascii="宋体" w:hAnsi="宋体" w:cs="宋体"/>
                <w:color w:val="auto"/>
                <w:kern w:val="0"/>
                <w:szCs w:val="21"/>
                <w:highlight w:val="yellow"/>
              </w:rPr>
            </w:pPr>
          </w:p>
        </w:tc>
        <w:tc>
          <w:tcPr>
            <w:tcW w:w="1311"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较大婴儿和幼儿配方食品</w:t>
            </w:r>
          </w:p>
        </w:tc>
        <w:tc>
          <w:tcPr>
            <w:tcW w:w="1922" w:type="dxa"/>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乳基较大婴儿和幼儿配方食品、豆基较大婴儿和幼儿配方食品</w:t>
            </w:r>
          </w:p>
        </w:tc>
        <w:tc>
          <w:tcPr>
            <w:tcW w:w="913" w:type="dxa"/>
            <w:vMerge w:val="continue"/>
            <w:noWrap/>
            <w:vAlign w:val="center"/>
          </w:tcPr>
          <w:p>
            <w:pPr>
              <w:widowControl/>
              <w:spacing w:line="300" w:lineRule="exact"/>
              <w:jc w:val="center"/>
              <w:rPr>
                <w:rFonts w:ascii="宋体" w:hAnsi="宋体" w:cs="宋体"/>
                <w:color w:val="auto"/>
                <w:kern w:val="0"/>
                <w:szCs w:val="21"/>
              </w:rPr>
            </w:pP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蛋白质、脂肪、亚油酸、维生素A、维生素D、维生素E、维生素K</w:t>
            </w:r>
            <w:r>
              <w:rPr>
                <w:rFonts w:hint="eastAsia" w:ascii="宋体" w:hAnsi="宋体" w:cs="宋体"/>
                <w:color w:val="auto"/>
                <w:kern w:val="0"/>
                <w:szCs w:val="21"/>
                <w:vertAlign w:val="subscript"/>
              </w:rPr>
              <w:t>1</w:t>
            </w:r>
            <w:r>
              <w:rPr>
                <w:rFonts w:hint="eastAsia" w:ascii="宋体" w:hAnsi="宋体" w:cs="宋体"/>
                <w:color w:val="auto"/>
                <w:kern w:val="0"/>
                <w:szCs w:val="21"/>
              </w:rPr>
              <w:t>、维生素B</w:t>
            </w:r>
            <w:r>
              <w:rPr>
                <w:rFonts w:hint="eastAsia" w:ascii="宋体" w:hAnsi="宋体" w:cs="宋体"/>
                <w:color w:val="auto"/>
                <w:kern w:val="0"/>
                <w:szCs w:val="21"/>
                <w:vertAlign w:val="subscript"/>
              </w:rPr>
              <w:t>1</w:t>
            </w:r>
            <w:r>
              <w:rPr>
                <w:rFonts w:hint="eastAsia" w:ascii="宋体" w:hAnsi="宋体" w:cs="宋体"/>
                <w:color w:val="auto"/>
                <w:kern w:val="0"/>
                <w:szCs w:val="21"/>
              </w:rPr>
              <w:t>、维生素B</w:t>
            </w:r>
            <w:r>
              <w:rPr>
                <w:rFonts w:hint="eastAsia" w:ascii="宋体" w:hAnsi="宋体" w:cs="宋体"/>
                <w:color w:val="auto"/>
                <w:kern w:val="0"/>
                <w:szCs w:val="21"/>
                <w:vertAlign w:val="subscript"/>
              </w:rPr>
              <w:t>2</w:t>
            </w:r>
            <w:r>
              <w:rPr>
                <w:rFonts w:hint="eastAsia" w:ascii="宋体" w:hAnsi="宋体" w:cs="宋体"/>
                <w:color w:val="auto"/>
                <w:kern w:val="0"/>
                <w:szCs w:val="21"/>
              </w:rPr>
              <w:t>、维生素B</w:t>
            </w:r>
            <w:r>
              <w:rPr>
                <w:rFonts w:hint="eastAsia" w:ascii="宋体" w:hAnsi="宋体" w:cs="宋体"/>
                <w:color w:val="auto"/>
                <w:kern w:val="0"/>
                <w:szCs w:val="21"/>
                <w:vertAlign w:val="subscript"/>
              </w:rPr>
              <w:t>6</w:t>
            </w:r>
            <w:r>
              <w:rPr>
                <w:rFonts w:hint="eastAsia" w:ascii="宋体" w:hAnsi="宋体" w:cs="宋体"/>
                <w:color w:val="auto"/>
                <w:kern w:val="0"/>
                <w:szCs w:val="21"/>
              </w:rPr>
              <w:t>、维生素B</w:t>
            </w:r>
            <w:r>
              <w:rPr>
                <w:rFonts w:hint="eastAsia" w:ascii="宋体" w:hAnsi="宋体" w:cs="宋体"/>
                <w:color w:val="auto"/>
                <w:kern w:val="0"/>
                <w:szCs w:val="21"/>
                <w:vertAlign w:val="subscript"/>
              </w:rPr>
              <w:t>12</w:t>
            </w:r>
            <w:r>
              <w:rPr>
                <w:rFonts w:hint="eastAsia" w:ascii="宋体" w:hAnsi="宋体" w:cs="宋体"/>
                <w:color w:val="auto"/>
                <w:kern w:val="0"/>
                <w:szCs w:val="21"/>
              </w:rPr>
              <w:t>、烟酸（烟酰胺）、叶酸、泛酸、维生素C、生物素、钠、钾、铜、镁、铁、锌、锰、钙、磷、钙磷比值、碘、氯、硒、胆碱、肌醇、牛磺酸、左旋肉碱、二十二碳六烯酸、二十二碳六烯酸与总脂肪酸比、二十碳四烯酸、二十碳四烯酸与总脂肪酸比、反式脂肪酸与总脂肪酸比值、果聚糖、水分、灰分、杂质度、叶黄素、核苷酸、脲酶活性定性测定、铅（以Pb计）、黄曲霉毒素M</w:t>
            </w:r>
            <w:r>
              <w:rPr>
                <w:rFonts w:hint="eastAsia" w:ascii="宋体" w:hAnsi="宋体" w:cs="宋体"/>
                <w:color w:val="auto"/>
                <w:kern w:val="0"/>
                <w:szCs w:val="21"/>
                <w:vertAlign w:val="subscript"/>
              </w:rPr>
              <w:t>1</w:t>
            </w:r>
            <w:r>
              <w:rPr>
                <w:rFonts w:hint="eastAsia" w:ascii="宋体" w:hAnsi="宋体" w:cs="宋体"/>
                <w:color w:val="auto"/>
                <w:kern w:val="0"/>
                <w:szCs w:val="21"/>
              </w:rPr>
              <w:t>或黄曲霉毒素B</w:t>
            </w:r>
            <w:r>
              <w:rPr>
                <w:rFonts w:hint="eastAsia" w:ascii="宋体" w:hAnsi="宋体" w:cs="宋体"/>
                <w:color w:val="auto"/>
                <w:kern w:val="0"/>
                <w:szCs w:val="21"/>
                <w:vertAlign w:val="subscript"/>
              </w:rPr>
              <w:t>1</w:t>
            </w:r>
            <w:r>
              <w:rPr>
                <w:rFonts w:hint="eastAsia" w:ascii="宋体" w:hAnsi="宋体" w:cs="宋体"/>
                <w:color w:val="auto"/>
                <w:kern w:val="0"/>
                <w:szCs w:val="21"/>
              </w:rPr>
              <w:t>、硝酸盐（以NaNO</w:t>
            </w:r>
            <w:r>
              <w:rPr>
                <w:rFonts w:hint="eastAsia" w:ascii="宋体" w:hAnsi="宋体" w:cs="宋体"/>
                <w:color w:val="auto"/>
                <w:kern w:val="0"/>
                <w:szCs w:val="21"/>
                <w:vertAlign w:val="subscript"/>
              </w:rPr>
              <w:t>3</w:t>
            </w:r>
            <w:r>
              <w:rPr>
                <w:rFonts w:hint="eastAsia" w:ascii="宋体" w:hAnsi="宋体" w:cs="宋体"/>
                <w:color w:val="auto"/>
                <w:kern w:val="0"/>
                <w:szCs w:val="21"/>
              </w:rPr>
              <w:t>计）、亚硝酸盐（以NaNO</w:t>
            </w:r>
            <w:r>
              <w:rPr>
                <w:rFonts w:hint="eastAsia" w:ascii="宋体" w:hAnsi="宋体" w:cs="宋体"/>
                <w:color w:val="auto"/>
                <w:kern w:val="0"/>
                <w:szCs w:val="21"/>
                <w:vertAlign w:val="subscript"/>
              </w:rPr>
              <w:t>2</w:t>
            </w:r>
            <w:r>
              <w:rPr>
                <w:rFonts w:hint="eastAsia" w:ascii="宋体" w:hAnsi="宋体" w:cs="宋体"/>
                <w:color w:val="auto"/>
                <w:kern w:val="0"/>
                <w:szCs w:val="21"/>
              </w:rPr>
              <w:t>计）、三聚氰胺、菌落总数、大肠菌群、沙门氏菌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29</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餐饮食品</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米面及其制品(自制)</w:t>
            </w: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小麦粉制品(自制)</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发酵面制品(自制)</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苯甲酸及其钠盐（以苯甲酸计）、山梨酸及其钾盐（以山梨酸计）、糖精钠（以糖精计）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油炸面制品(自制)</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铝的残留量（干样品，以Al计）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肉制品(自制)</w:t>
            </w: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熟肉制品(自制)</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酱卤肉制品、肉灌肠、其他熟肉(自制)</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胭脂红、苯甲酸及其钠盐（以苯甲酸计）、山梨酸及其钾盐（以山梨酸计）、糖精钠（以糖精计）、脱氢乙酸及其钠盐（以脱氢乙酸计）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肉冻、皮冻(自制)</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铬（以Cr计）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复合调味料(自制)</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半固态调味料(自制)</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火锅调味料(底料、蘸料)(自制)</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罂粟碱、吗啡、可待因、那可丁、蒂巴因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水产及水产制品（餐饮）</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水产及水产制品（餐饮）</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生食动物性水产品（餐饮）</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挥发性盐基氮、镉（以Cd计）、铝的残留量（以即食海蜇中Al计）、吸虫囊蚴、线虫幼虫、绦虫裂头蚴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坚果及籽类食品（餐饮）</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坚果及籽类食品（餐饮）</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花生及其制品（餐饮)</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黄曲霉毒素B</w:t>
            </w:r>
            <w:r>
              <w:rPr>
                <w:rFonts w:hint="eastAsia" w:ascii="宋体" w:hAnsi="宋体" w:cs="宋体"/>
                <w:color w:val="auto"/>
                <w:kern w:val="0"/>
                <w:szCs w:val="21"/>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餐饮具</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复用餐饮具</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复用餐饮具</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游离性余氯、阴离子合成洗涤剂（以十二烷基苯磺酸钠计）、大肠菌群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其他餐饮食品</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其他餐饮食品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其他餐饮食品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各市自定项目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30</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食用农产品</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畜禽肉及副产品</w:t>
            </w: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畜肉</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猪肉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恩诺沙星、氧氟沙星、呋喃唑酮代谢物、磺胺类（总量）、氯霉素、五氯酚酸钠（以五氯酚计）、多西环素、土霉素、克伦特罗、沙丁胺醇、地塞米松、利巴韦林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牛肉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恩诺沙星、氧氟沙星、呋喃唑酮代谢物、磺胺类（总量）、氯霉素、五氯酚酸钠（以五氯酚计）、多西环素、克伦特罗、莱克多巴胺、地塞米松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羊肉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恩诺沙星、氧氟沙星、呋喃唑酮代谢物、磺胺类（总量）、氯霉素、五氯酚酸钠（以五氯酚计）、克伦特罗、莱克多巴胺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其他畜肉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恩诺沙星、氧氟沙星、呋喃唑酮代谢物、磺胺类（总量）、氯霉素、五氯酚酸钠（以五氯酚计）、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禽肉</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鸡肉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恩诺沙星、氧氟沙星、呋喃唑酮代谢物、磺胺类（总量）、氯霉素、五氯酚酸钠（以五氯酚计）、多西环素、土霉素、金刚烷胺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鸭肉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恩诺沙星、氧氟沙星、呋喃唑酮代谢物、磺胺类（总量）、氯霉素、五氯酚酸钠（以五氯酚计）、多西环素、土霉素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其他禽肉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恩诺沙星、氧氟沙星、呋喃唑酮代谢物、磺胺类（总量）、氯霉素、五氯酚酸钠（以五氯酚计）、多西环素、土霉素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30</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食用农产品</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畜禽肉及副产品</w:t>
            </w: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畜副产品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猪肝</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镉（以Cd计）、呋喃唑酮代谢物、磺胺类（总量）、氯霉素、五氯酚酸钠（以五氯酚计）、多西环素、土霉素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牛肝</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恩诺沙星、氧氟沙星、呋喃唑酮代谢物、磺胺类（总量）、多西环素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羊肝</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恩诺沙星、氧氟沙星、呋喃唑酮代谢物、磺胺类（总量）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猪肾</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恩诺沙星、氧氟沙星、呋喃唑酮代谢物、磺胺类（总量）、多西环素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牛肾</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恩诺沙星、氧氟沙星、呋喃唑酮代谢物、磺胺类（总量）、多西环素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羊肾</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恩诺沙星、氧氟沙星、呋喃唑酮代谢物、磺胺类（总量）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其他畜副产品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氧氟沙星、呋喃唑酮代谢物、呋喃西林代谢物、磺胺类（总量）、氯霉素、五氯酚酸钠（以五氯酚计）、克伦特罗、莱克多巴胺、沙丁胺醇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禽副产品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鸡肝</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呋喃唑酮代谢物、氯霉素、五氯酚酸钠（以五氯酚计）、金刚烷胺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其他禽副产品</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呋喃唑酮代谢物、氯霉素、五氯酚酸钠（以五氯酚计）、金刚烷胺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蔬菜</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豆芽</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豆芽</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铅（以Pb计）、亚硫酸盐（以SO</w:t>
            </w:r>
            <w:r>
              <w:rPr>
                <w:rFonts w:hint="eastAsia" w:ascii="宋体" w:hAnsi="宋体" w:cs="宋体"/>
                <w:color w:val="auto"/>
                <w:kern w:val="0"/>
                <w:szCs w:val="21"/>
                <w:vertAlign w:val="subscript"/>
              </w:rPr>
              <w:t>2</w:t>
            </w:r>
            <w:r>
              <w:rPr>
                <w:rFonts w:hint="eastAsia" w:ascii="宋体" w:hAnsi="宋体" w:cs="宋体"/>
                <w:color w:val="auto"/>
                <w:kern w:val="0"/>
                <w:szCs w:val="21"/>
              </w:rPr>
              <w:t>计）、4-氯苯氧乙酸钠、6-苄基腺嘌呤（6-BA）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鳞茎类蔬菜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韭菜</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镉（以Cd计）、腐霉利、毒死蜱、氧乐果、多菌灵、克百威、甲拌磷、氯氟氰菊酯和高效氯氟氰菊酯、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鲜食用菌</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鲜食用菌</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镉（以Cd计）、二氧化硫残留量、氯氰菊酯和高效氯氰菊酯、氯氟氰菊酯和高效氯氟氰菊酯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芸薹属类蔬菜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结球甘蓝</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氧乐果、甲胺磷、乙酰甲胺磷、久效磷、毒死蜱、克百威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芸薹属类蔬菜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菜薹</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氧乐果、氯氰菊酯和高效氯氰菊酯、克百威、甲胺磷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叶菜类蔬菜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菠菜</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阿维菌素、毒死蜱、氧乐果、克百威、甲基异柳磷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茄果类蔬菜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茄子</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氧乐果、克百威、杀扑磷、甲胺磷、水胺硫磷、甲氰菊酯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茄果类蔬菜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辣椒</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镉（以Cd计）、克百威、氧乐果、甲胺磷、水胺硫磷、氯氟氰菊酯和高效氯氟氰菊酯、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茄果类蔬菜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甜椒</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克百威、氧乐果、水胺硫磷、氯氟氰菊酯和高效氯氟氰菊酯、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瓜类蔬菜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黄瓜</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克百威、氧乐果、毒死蜱、腐霉利、敌敌畏、氯氟氰菊酯和高效氯氟氰菊酯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根茎类和薯芋类蔬菜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山药</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铅（以Pb计）、氧乐果、氯氟氰菊酯和高效氯氟氰菊酯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根茎类和薯芋类蔬菜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姜</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铅（以Pb计）、镉（以Cd计）、甲胺磷、氧乐果、氯氟氰菊酯和高效氯氟氰菊酯、氯氰菊酯和高效氯氰菊酯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水生类蔬菜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莲藕</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铅（以Pb计）、镉（以Cd计）、多菌灵、吡虫啉、丙环唑、啶虫脒、敌百虫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叶菜类蔬菜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芹菜</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毒死蜱、克百威、甲拌磷、氧乐果、氟虫腈、辛硫磷、甲基异柳磷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叶菜类蔬菜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普通白菜</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毒死蜱、氟虫腈、啶虫脒、氧乐果、阿维菌素、克百威、甲拌磷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叶菜类蔬菜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大白菜</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毒死蜱、氧乐果、啶虫脒、克百威、甲拌磷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叶菜类蔬菜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油麦菜</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氟虫腈、氧乐果、克百威、甲胺磷、甲拌磷、甲基异柳磷、氯氟氰菊酯和高效氯氟氰菊酯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茄果类蔬菜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番茄</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氧乐果、克百威、氯氟氰菊酯和高效氯氟氰菊酯、毒死蜱、溴氰菊酯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30</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食用农产品</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蔬菜</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豆类蔬菜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豇豆</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克百威、氧乐果、水胺硫磷、灭蝇胺、氟虫腈、甲基异柳磷、氯氰菊酯和高效氯氰菊酯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豆类蔬菜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菜豆</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氧乐果、克百威、氯氟氰菊酯和高效氯氟氰菊酯、溴氰菊酯、灭蝇胺、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水产品</w:t>
            </w: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淡水产品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淡水鱼</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孔雀石绿、氯霉素、呋喃唑酮代谢物、呋喃西林代谢物、恩诺沙星、氧氟沙星、培氟沙星、磺胺类（总量）、地西泮、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淡水虾</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镉（以Cd计）、孔雀石绿、氯霉素、呋喃唑酮代谢物、呋喃西林代谢物、恩诺沙星、氧氟沙星、培氟沙星、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淡水蟹</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镉（以Cd计）、孔雀石绿、氯霉素、呋喃唑酮代谢物、呋喃西林代谢物、恩诺沙星、氧氟沙星、培氟沙星、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海水产品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海水鱼</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镉（以Cd计）、孔雀石绿、氯霉素、呋喃唑酮代谢物、呋喃西林代谢物、恩诺沙星、氧氟沙星、培氟沙星、磺胺类（总量）、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海水虾</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镉（以Cd计）、孔雀石绿、氯霉素、呋喃唑酮代谢物、呋喃西林代谢物、恩诺沙星、氧氟沙星、培氟沙星、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海水蟹</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镉（以Cd计）、孔雀石绿、氯霉素、呋喃唑酮代谢物、呋喃西林代谢物、恩诺沙星、氧氟沙星、培氟沙星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贝类</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贝类</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镉（以Cd计）、孔雀石绿、氯霉素、呋喃唑酮代谢物、呋喃西林代谢物、恩诺沙星、氧氟沙星、培氟沙星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水果类</w:t>
            </w: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仁果类水果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苹果</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丙环唑、丙溴磷、毒死蜱、克百威、三唑醇、氧乐果、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梨</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克百威、氯氟氰菊酯和高效氯氟氰菊酯、氧乐果、水胺硫磷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核果类水果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枣</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多菌灵、甲胺磷、氧乐果、糖精钠（以糖精计）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桃</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苯醚甲环唑、多菌灵、氟虫腈、甲胺磷、克百威、氧乐果、溴氰菊酯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油桃</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多菌灵、甲胺磷、克百威、氧乐果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杏</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克百威、氧乐果、氟硅唑、腈苯唑、抗蚜威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李子</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多菌灵、甲胺磷、氰戊菊酯和S-氰戊菊酯、氧乐果、敌敌畏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柑橘类水果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柑、橘</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苯醚甲环唑、丙溴磷、多菌灵、克百威、三唑磷、水胺硫磷、氧乐果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柚</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辛硫磷、水胺硫磷、氟虫腈、联苯菊酯、溴氰菊酯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柠檬</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狄氏剂、多菌灵、克百威、联苯菊酯、辛硫磷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橙</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丙溴磷、多菌灵、克百威、三唑磷、水胺硫磷、氧乐果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浆果和其他小型水果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葡萄</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苯醚甲环唑、克百威、氧乐果、氯氟氰菊酯和高效氯氟氰菊酯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草莓</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阿维菌素、多菌灵、克百威、烯酰吗啉、氧乐果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猕猴桃</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敌敌畏、多菌灵、氯吡脲、氧乐果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西番莲（百香果）</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苯醚甲环唑、戊唑醇、敌百虫、氯氟氰菊酯和高效氯氟氰菊酯、氰戊菊酯和S-氰戊菊酯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热带和亚热带水果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香蕉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苯醚甲环唑、吡唑醚菌酯、甲拌磷、腈苯唑、辛硫磷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芒果</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多菌灵、氯氟氰菊酯和高效氯氟氰菊酯、氯氰菊酯和高效氯氰菊酯、戊唑醇、氧乐果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火龙果</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氟虫腈、甲胺磷、甲拌磷、克百威、氧乐果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柿子</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克百威、涕灭威、氰戊菊酯和S-氰戊菊酯、杀扑磷、水胺硫磷、辛硫磷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菠萝</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多菌灵、烯酰吗啉、丙环唑、二嗪磷、硫线磷、灭多威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荔枝</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敌敌畏、三唑磷、氧乐果、毒死蜱、氯氰菊酯和高效氯氰菊酯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龙眼</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克百威、氧乐果、敌敌畏、甲胺磷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石榴</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克百威、敌百虫、苯醚甲环唑、硫环磷、硫线磷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瓜果类水果</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西瓜</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敌敌畏、甲胺磷、甲霜灵和精甲霜灵、克百威、噻虫嗪、氧乐果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甜瓜类</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甲基异柳磷、克百威、烯酰吗啉、氧乐果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30</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食用农产品</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鲜蛋</w:t>
            </w: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鲜蛋</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鸡蛋</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氯霉素、氟苯尼考、恩诺沙星、氧氟沙星、多西环素、磺胺类（总量）、呋喃唑酮代谢物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其他禽蛋</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氯霉素、氟苯尼考、恩诺沙星、氧氟沙星、呋喃唑酮代谢物、磺胺类（总量）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豆类</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豆类</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豆类</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铅（以Pb计）、铬（以Cr计）、赭曲霉毒素A、吡虫啉、2,4-滴和2,4-滴钠盐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生干坚果与籽类食品</w:t>
            </w:r>
          </w:p>
        </w:tc>
        <w:tc>
          <w:tcPr>
            <w:tcW w:w="1311"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生干坚果与籽类食品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生干坚果</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酸价（以脂肪计）、过氧化值（以脂肪计）、铅（以Pb计）、吡虫啉、螺螨酯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vMerge w:val="continue"/>
            <w:noWrap/>
            <w:vAlign w:val="center"/>
          </w:tcPr>
          <w:p>
            <w:pPr>
              <w:widowControl/>
              <w:spacing w:line="300" w:lineRule="exact"/>
              <w:jc w:val="left"/>
              <w:rPr>
                <w:rFonts w:ascii="宋体" w:hAnsi="宋体" w:cs="宋体"/>
                <w:color w:val="auto"/>
                <w:kern w:val="0"/>
                <w:szCs w:val="21"/>
              </w:rPr>
            </w:pP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生干籽类</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酸价（以脂肪计）、过氧化值（以脂肪计）、铅（以Pb计）、镉（以Cd计）、黄曲霉毒素B</w:t>
            </w:r>
            <w:r>
              <w:rPr>
                <w:rFonts w:hint="eastAsia" w:ascii="宋体" w:hAnsi="宋体" w:cs="宋体"/>
                <w:color w:val="auto"/>
                <w:kern w:val="0"/>
                <w:szCs w:val="21"/>
                <w:vertAlign w:val="subscript"/>
              </w:rPr>
              <w:t>1</w:t>
            </w:r>
            <w:r>
              <w:rPr>
                <w:rFonts w:hint="eastAsia" w:ascii="宋体" w:hAnsi="宋体" w:cs="宋体"/>
                <w:color w:val="auto"/>
                <w:kern w:val="0"/>
                <w:szCs w:val="21"/>
              </w:rPr>
              <w:t>、阿维菌素、嘧菌酯、辛硫磷、克百威、溴氰菊酯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14"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31　</w:t>
            </w:r>
          </w:p>
        </w:tc>
        <w:tc>
          <w:tcPr>
            <w:tcW w:w="1123"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食品添加剂　</w:t>
            </w:r>
          </w:p>
        </w:tc>
        <w:tc>
          <w:tcPr>
            <w:tcW w:w="1110" w:type="dxa"/>
            <w:vMerge w:val="restart"/>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食品添加剂　</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复配食品添加剂</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复配食品添加剂</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较高</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铅（Pb）、砷（以As计）、致病性微生物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vMerge w:val="continue"/>
            <w:noWrap/>
            <w:vAlign w:val="center"/>
          </w:tcPr>
          <w:p>
            <w:pPr>
              <w:widowControl/>
              <w:spacing w:line="300" w:lineRule="exact"/>
              <w:jc w:val="left"/>
              <w:rPr>
                <w:rFonts w:ascii="宋体" w:hAnsi="宋体" w:cs="宋体"/>
                <w:color w:val="auto"/>
                <w:kern w:val="0"/>
                <w:szCs w:val="21"/>
              </w:rPr>
            </w:pPr>
          </w:p>
        </w:tc>
        <w:tc>
          <w:tcPr>
            <w:tcW w:w="1123" w:type="dxa"/>
            <w:vMerge w:val="continue"/>
            <w:noWrap/>
            <w:vAlign w:val="center"/>
          </w:tcPr>
          <w:p>
            <w:pPr>
              <w:widowControl/>
              <w:spacing w:line="300" w:lineRule="exact"/>
              <w:jc w:val="left"/>
              <w:rPr>
                <w:rFonts w:ascii="宋体" w:hAnsi="宋体" w:cs="宋体"/>
                <w:color w:val="auto"/>
                <w:kern w:val="0"/>
                <w:szCs w:val="21"/>
              </w:rPr>
            </w:pPr>
          </w:p>
        </w:tc>
        <w:tc>
          <w:tcPr>
            <w:tcW w:w="1110" w:type="dxa"/>
            <w:vMerge w:val="continue"/>
            <w:noWrap/>
            <w:vAlign w:val="center"/>
          </w:tcPr>
          <w:p>
            <w:pPr>
              <w:widowControl/>
              <w:spacing w:line="300" w:lineRule="exact"/>
              <w:jc w:val="left"/>
              <w:rPr>
                <w:rFonts w:ascii="宋体" w:hAnsi="宋体" w:cs="宋体"/>
                <w:color w:val="auto"/>
                <w:kern w:val="0"/>
                <w:szCs w:val="21"/>
              </w:rPr>
            </w:pP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食品用香精</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食品用香精</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砷（以As计）含量/无机砷含量、菌落总数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32</w:t>
            </w:r>
          </w:p>
        </w:tc>
        <w:tc>
          <w:tcPr>
            <w:tcW w:w="112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食盐</w:t>
            </w: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食盐</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食盐</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食盐</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widowControl/>
              <w:spacing w:line="300" w:lineRule="exact"/>
              <w:rPr>
                <w:rFonts w:ascii="宋体" w:hAnsi="宋体" w:cs="宋体"/>
                <w:color w:val="auto"/>
                <w:kern w:val="0"/>
                <w:szCs w:val="21"/>
              </w:rPr>
            </w:pPr>
            <w:r>
              <w:rPr>
                <w:rFonts w:hint="eastAsia" w:ascii="宋体" w:hAnsi="宋体" w:cs="宋体"/>
                <w:color w:val="auto"/>
                <w:kern w:val="0"/>
                <w:szCs w:val="21"/>
              </w:rPr>
              <w:t>氯化钠、氯化钾、碘（以I计）、钡（以Ba计）、铅（以Pb计）、总砷（以As计）、镉（以Cd计）、总汞（以Hg计）、亚铁氰化钾/亚铁氰化钠（以亚铁氰根计）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33</w:t>
            </w:r>
          </w:p>
        </w:tc>
        <w:tc>
          <w:tcPr>
            <w:tcW w:w="112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其他食品</w:t>
            </w:r>
          </w:p>
        </w:tc>
        <w:tc>
          <w:tcPr>
            <w:tcW w:w="1110"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其他食品</w:t>
            </w:r>
          </w:p>
        </w:tc>
        <w:tc>
          <w:tcPr>
            <w:tcW w:w="1311"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其他食品</w:t>
            </w:r>
          </w:p>
        </w:tc>
        <w:tc>
          <w:tcPr>
            <w:tcW w:w="1922"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其他食品（柳州螺蛳粉）</w:t>
            </w:r>
          </w:p>
        </w:tc>
        <w:tc>
          <w:tcPr>
            <w:tcW w:w="913" w:type="dxa"/>
            <w:noWrap/>
            <w:vAlign w:val="center"/>
          </w:tcPr>
          <w:p>
            <w:pPr>
              <w:widowControl/>
              <w:spacing w:line="300" w:lineRule="exact"/>
              <w:jc w:val="center"/>
              <w:rPr>
                <w:rFonts w:ascii="宋体" w:hAnsi="宋体" w:cs="宋体"/>
                <w:color w:val="auto"/>
                <w:kern w:val="0"/>
                <w:szCs w:val="21"/>
              </w:rPr>
            </w:pPr>
            <w:r>
              <w:rPr>
                <w:rFonts w:hint="eastAsia" w:ascii="宋体" w:hAnsi="宋体" w:cs="宋体"/>
                <w:color w:val="auto"/>
                <w:kern w:val="0"/>
                <w:szCs w:val="21"/>
              </w:rPr>
              <w:t>一般</w:t>
            </w:r>
          </w:p>
        </w:tc>
        <w:tc>
          <w:tcPr>
            <w:tcW w:w="6379" w:type="dxa"/>
            <w:noWrap/>
            <w:vAlign w:val="center"/>
          </w:tcPr>
          <w:p>
            <w:pPr>
              <w:rPr>
                <w:rFonts w:ascii="宋体" w:hAnsi="宋体" w:cs="宋体"/>
                <w:color w:val="auto"/>
                <w:kern w:val="0"/>
                <w:szCs w:val="21"/>
              </w:rPr>
            </w:pPr>
            <w:r>
              <w:rPr>
                <w:rFonts w:hint="eastAsia" w:ascii="宋体" w:hAnsi="宋体" w:cs="宋体"/>
                <w:color w:val="auto"/>
                <w:kern w:val="0"/>
                <w:szCs w:val="21"/>
              </w:rPr>
              <w:t>霉菌、过氧化值、山梨酸及其钾盐（以山梨酸计）、脱氢乙酸及其钠盐（以脱氢乙酸计）、黄曲霉毒素B</w:t>
            </w:r>
            <w:r>
              <w:rPr>
                <w:rFonts w:hint="eastAsia" w:ascii="宋体" w:hAnsi="宋体" w:cs="宋体"/>
                <w:color w:val="auto"/>
                <w:kern w:val="0"/>
                <w:szCs w:val="21"/>
                <w:vertAlign w:val="subscript"/>
              </w:rPr>
              <w:t>1</w:t>
            </w:r>
          </w:p>
        </w:tc>
      </w:tr>
    </w:tbl>
    <w:p>
      <w:pPr>
        <w:widowControl/>
        <w:spacing w:line="300" w:lineRule="exact"/>
        <w:rPr>
          <w:rFonts w:ascii="宋体" w:hAnsi="宋体" w:cs="宋体"/>
          <w:color w:val="auto"/>
          <w:kern w:val="0"/>
          <w:sz w:val="18"/>
          <w:szCs w:val="18"/>
        </w:rPr>
      </w:pPr>
      <w:r>
        <w:rPr>
          <w:rFonts w:hint="eastAsia" w:ascii="宋体" w:hAnsi="宋体" w:cs="宋体"/>
          <w:color w:val="auto"/>
          <w:kern w:val="0"/>
          <w:sz w:val="18"/>
          <w:szCs w:val="18"/>
        </w:rPr>
        <w:t>备注：a.依据调味面制品相关食品安全国家标准发布实施情况，及时组织安全抽检。</w:t>
      </w:r>
    </w:p>
    <w:p>
      <w:pPr>
        <w:rPr>
          <w:rFonts w:ascii="宋体" w:hAnsi="宋体" w:cs="宋体"/>
          <w:b/>
          <w:color w:val="auto"/>
          <w:sz w:val="24"/>
        </w:rPr>
      </w:pPr>
    </w:p>
    <w:p>
      <w:pPr>
        <w:pStyle w:val="55"/>
        <w:ind w:firstLine="482"/>
        <w:rPr>
          <w:rFonts w:ascii="宋体" w:hAnsi="宋体" w:cs="宋体"/>
          <w:b/>
          <w:color w:val="auto"/>
          <w:sz w:val="24"/>
        </w:rPr>
      </w:pPr>
    </w:p>
    <w:p>
      <w:pPr>
        <w:rPr>
          <w:rFonts w:ascii="宋体" w:hAnsi="宋体" w:cs="宋体"/>
          <w:b/>
          <w:color w:val="auto"/>
          <w:sz w:val="24"/>
        </w:rPr>
      </w:pPr>
      <w:r>
        <w:rPr>
          <w:rFonts w:hint="eastAsia" w:ascii="宋体" w:hAnsi="宋体" w:cs="宋体"/>
          <w:b/>
          <w:color w:val="auto"/>
          <w:sz w:val="24"/>
        </w:rPr>
        <w:br w:type="page"/>
      </w:r>
    </w:p>
    <w:tbl>
      <w:tblPr>
        <w:tblStyle w:val="24"/>
        <w:tblW w:w="13755" w:type="dxa"/>
        <w:tblInd w:w="0" w:type="dxa"/>
        <w:tblLayout w:type="autofit"/>
        <w:tblCellMar>
          <w:top w:w="0" w:type="dxa"/>
          <w:left w:w="0" w:type="dxa"/>
          <w:bottom w:w="0" w:type="dxa"/>
          <w:right w:w="0" w:type="dxa"/>
        </w:tblCellMar>
      </w:tblPr>
      <w:tblGrid>
        <w:gridCol w:w="525"/>
        <w:gridCol w:w="705"/>
        <w:gridCol w:w="915"/>
        <w:gridCol w:w="1080"/>
        <w:gridCol w:w="1500"/>
        <w:gridCol w:w="840"/>
        <w:gridCol w:w="630"/>
        <w:gridCol w:w="630"/>
        <w:gridCol w:w="630"/>
        <w:gridCol w:w="630"/>
        <w:gridCol w:w="630"/>
        <w:gridCol w:w="630"/>
        <w:gridCol w:w="630"/>
        <w:gridCol w:w="630"/>
        <w:gridCol w:w="630"/>
        <w:gridCol w:w="630"/>
        <w:gridCol w:w="630"/>
        <w:gridCol w:w="630"/>
        <w:gridCol w:w="630"/>
      </w:tblGrid>
      <w:tr>
        <w:tblPrEx>
          <w:tblCellMar>
            <w:top w:w="0" w:type="dxa"/>
            <w:left w:w="0" w:type="dxa"/>
            <w:bottom w:w="0" w:type="dxa"/>
            <w:right w:w="0" w:type="dxa"/>
          </w:tblCellMar>
        </w:tblPrEx>
        <w:trPr>
          <w:trHeight w:val="510" w:hRule="atLeast"/>
        </w:trPr>
        <w:tc>
          <w:tcPr>
            <w:tcW w:w="13755" w:type="dxa"/>
            <w:gridSpan w:val="19"/>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30"/>
                <w:szCs w:val="30"/>
              </w:rPr>
              <w:t>2020年区局转移食品安全监督抽检任务分配表</w:t>
            </w:r>
          </w:p>
        </w:tc>
      </w:tr>
      <w:tr>
        <w:tblPrEx>
          <w:tblCellMar>
            <w:top w:w="0" w:type="dxa"/>
            <w:left w:w="0" w:type="dxa"/>
            <w:bottom w:w="0" w:type="dxa"/>
            <w:right w:w="0" w:type="dxa"/>
          </w:tblCellMar>
        </w:tblPrEx>
        <w:trPr>
          <w:trHeight w:val="27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序号</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食品大类（一级）</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食品亚类（二级）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食品品种（三级）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食品细类</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风险等级</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市本级</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金城江</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宜州</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罗城</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环江</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南丹</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天峨</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东兰</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巴马</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凤山</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都安</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大化</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合计</w:t>
            </w:r>
          </w:p>
        </w:tc>
      </w:tr>
      <w:tr>
        <w:tblPrEx>
          <w:tblCellMar>
            <w:top w:w="0" w:type="dxa"/>
            <w:left w:w="0" w:type="dxa"/>
            <w:bottom w:w="0" w:type="dxa"/>
            <w:right w:w="0"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（四级）</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调味品</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酱油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酱油</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酱油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11</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4</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6</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25</w:t>
            </w: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食醋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食醋</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酱类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酱类</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 xml:space="preserve">黄豆酱、甜面酱等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调味料酒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调味料酒</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料酒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香辛料类</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香辛料类</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香辛料调味油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辣椒、花椒、辣椒粉、花椒粉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较高</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其他香辛料调味品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较高</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调味料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固体复合调味料</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鸡粉、鸡精调味料</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其他固体调味料</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半固体复合调味料</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蛋黄酱、沙拉酱</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坚果与籽类的泥（酱），包括花生酱等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辣椒酱</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火锅底料、麻辣烫底料</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其他半固体调味料</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液体复合调味料</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蚝油、虾油、鱼露</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其他液体调味料</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味精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味精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味精</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罐头</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罐头</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畜禽水产罐头</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畜禽肉类罐头</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6</w:t>
            </w: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水产动物类罐头</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果蔬罐头</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水果类罐头</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较高</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蔬菜类罐头</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较高</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食用菌罐头</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较高</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其他罐头</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其他罐头</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冷冻饮品</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冷冻饮品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冷冻饮品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冰淇淋、雪糕、雪泥、冰棍、食用冰、甜味冰、其他类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较高</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3</w:t>
            </w:r>
          </w:p>
        </w:tc>
      </w:tr>
      <w:tr>
        <w:tblPrEx>
          <w:tblCellMar>
            <w:top w:w="0" w:type="dxa"/>
            <w:left w:w="0" w:type="dxa"/>
            <w:bottom w:w="0" w:type="dxa"/>
            <w:right w:w="0" w:type="dxa"/>
          </w:tblCellMar>
        </w:tblPrEx>
        <w:trPr>
          <w:trHeight w:val="24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速冻食品</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速冻面米食品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速冻面米食品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水饺、元宵、馄饨等生制品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较高</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3</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4</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3</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12</w:t>
            </w: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包子、馒头等熟制品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较高</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速冻其他食品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速冻谷物食品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玉米等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速冻肉制品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速冻调理肉制品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速冻水产制品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速冻水产制品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速冻蔬菜制品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速冻蔬菜制品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速冻水果制品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速冻水果制品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糖果制品</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糖果制品(含巧克力及制品)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糖果</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糖果</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6</w:t>
            </w: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巧克力及巧克力制品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巧克力、巧克力制品、代可可脂巧克力及代可可脂巧克力制品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果冻</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果冻</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茶叶及相关制品</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茶叶</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茶叶</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绿茶、红茶、乌龙茶、黄茶、白茶、黑茶、花茶、袋泡茶、紧压茶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3</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3</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4</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6</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22</w:t>
            </w: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砖茶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含茶制品和代用茶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含茶制品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速溶茶类、其它含茶制品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代用茶</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代用茶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水果制品</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蜜饯</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蜜饯类、凉果类、果脯类、话化类、果糕类</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较高</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3</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3</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8</w:t>
            </w: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水果干制品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水果干制品（含干枸杞）</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果酱</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果酱</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8</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炒货食品及坚果制品</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炒货食品及坚果制品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炒货食品及坚果制品（ 烘炒类、油炸类、其他类）</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Style w:val="56"/>
                <w:rFonts w:hint="eastAsia" w:ascii="宋体" w:hAnsi="宋体" w:eastAsia="宋体" w:cs="宋体"/>
                <w:color w:val="auto"/>
                <w:sz w:val="21"/>
                <w:szCs w:val="21"/>
              </w:rPr>
              <w:t>开心果、杏仁</w:t>
            </w:r>
            <w:r>
              <w:rPr>
                <w:rStyle w:val="57"/>
                <w:rFonts w:hint="eastAsia" w:ascii="宋体" w:hAnsi="宋体" w:eastAsia="宋体" w:cs="宋体"/>
                <w:color w:val="auto"/>
                <w:sz w:val="21"/>
                <w:szCs w:val="21"/>
              </w:rPr>
              <w:t>、</w:t>
            </w:r>
            <w:r>
              <w:rPr>
                <w:rStyle w:val="56"/>
                <w:rFonts w:hint="eastAsia" w:ascii="宋体" w:hAnsi="宋体" w:eastAsia="宋体" w:cs="宋体"/>
                <w:color w:val="auto"/>
                <w:sz w:val="21"/>
                <w:szCs w:val="21"/>
              </w:rPr>
              <w:t>松仁、瓜子</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6</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14</w:t>
            </w: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其他炒货食品及坚果制品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蛋制品</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蛋制品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再制蛋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再制蛋</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较高</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其他类</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其他类</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较高</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食糖</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食糖</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食糖</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白砂糖</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3</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3</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6</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3</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3</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20</w:t>
            </w: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绵白糖</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赤砂糖</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红糖</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冰糖</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冰片糖</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方糖</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其他糖</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11</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水产制品</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水产制品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干制水产品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藻类干制品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较高</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预制动物性水产干制品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较高</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盐渍水产品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盐渍鱼</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较高</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盐渍藻</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较高</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其他盐渍水产品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较高</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熟制动物性水产制品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熟制动物性水产制品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高</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生食水产品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生食动物性水产品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高</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其他水产制品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其他水产制品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51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12</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豆制品</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豆制品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发酵性豆制品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腐乳、豆豉、纳豆等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较高</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4</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8</w:t>
            </w:r>
          </w:p>
        </w:tc>
      </w:tr>
      <w:tr>
        <w:tblPrEx>
          <w:tblCellMar>
            <w:top w:w="0" w:type="dxa"/>
            <w:left w:w="0" w:type="dxa"/>
            <w:bottom w:w="0" w:type="dxa"/>
            <w:right w:w="0" w:type="dxa"/>
          </w:tblCellMar>
        </w:tblPrEx>
        <w:trPr>
          <w:trHeight w:val="46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非发酵性豆制品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豆干、豆腐、豆皮等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较高</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57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腐竹、油皮及其再制品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较高</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其他豆制品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大豆蛋白类制品等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较高</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13</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蜂产品</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蜂产品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蜂蜜</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蜂蜜</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高</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r>
      <w:tr>
        <w:tblPrEx>
          <w:tblCellMar>
            <w:top w:w="0" w:type="dxa"/>
            <w:left w:w="0" w:type="dxa"/>
            <w:bottom w:w="0" w:type="dxa"/>
            <w:right w:w="0" w:type="dxa"/>
          </w:tblCellMar>
        </w:tblPrEx>
        <w:trPr>
          <w:trHeight w:val="70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蜂王浆（含蜂王浆冻干粉）</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蜂王浆（含蜂王浆冻干粉）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33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蜂花粉</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蜂花粉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蜂产品制品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蜂产品制品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生干籽类</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24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14</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食品添加剂</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食品添加剂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复配食品添加剂</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复配食品添加剂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较高</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4</w:t>
            </w:r>
          </w:p>
        </w:tc>
      </w:tr>
      <w:tr>
        <w:tblPrEx>
          <w:tblCellMar>
            <w:top w:w="0" w:type="dxa"/>
            <w:left w:w="0" w:type="dxa"/>
            <w:bottom w:w="0" w:type="dxa"/>
            <w:right w:w="0" w:type="dxa"/>
          </w:tblCellMar>
        </w:tblPrEx>
        <w:trPr>
          <w:trHeight w:val="2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食品用香精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食品用香精</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525"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15</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食用农产品</w:t>
            </w:r>
          </w:p>
        </w:tc>
        <w:tc>
          <w:tcPr>
            <w:tcW w:w="9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畜禽肉及副产品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畜肉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猪肉</w:t>
            </w:r>
          </w:p>
        </w:tc>
        <w:tc>
          <w:tcPr>
            <w:tcW w:w="8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b/>
                <w:color w:val="auto"/>
                <w:szCs w:val="21"/>
              </w:rPr>
            </w:pPr>
            <w:r>
              <w:rPr>
                <w:rFonts w:hint="eastAsia" w:ascii="宋体" w:hAnsi="宋体" w:cs="宋体"/>
                <w:b/>
                <w:color w:val="auto"/>
                <w:kern w:val="0"/>
                <w:szCs w:val="21"/>
              </w:rPr>
              <w:t>高</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16</w:t>
            </w:r>
          </w:p>
        </w:tc>
      </w:tr>
      <w:tr>
        <w:tblPrEx>
          <w:tblCellMar>
            <w:top w:w="0" w:type="dxa"/>
            <w:left w:w="0" w:type="dxa"/>
            <w:bottom w:w="0" w:type="dxa"/>
            <w:right w:w="0" w:type="dxa"/>
          </w:tblCellMar>
        </w:tblPrEx>
        <w:trPr>
          <w:trHeight w:val="52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牛肉</w:t>
            </w:r>
          </w:p>
        </w:tc>
        <w:tc>
          <w:tcPr>
            <w:tcW w:w="8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b/>
                <w:color w:val="auto"/>
                <w:szCs w:val="21"/>
              </w:rPr>
            </w:pPr>
            <w:r>
              <w:rPr>
                <w:rFonts w:hint="eastAsia" w:ascii="宋体" w:hAnsi="宋体" w:cs="宋体"/>
                <w:b/>
                <w:color w:val="auto"/>
                <w:kern w:val="0"/>
                <w:szCs w:val="21"/>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9</w:t>
            </w:r>
          </w:p>
        </w:tc>
      </w:tr>
      <w:tr>
        <w:tblPrEx>
          <w:tblCellMar>
            <w:top w:w="0" w:type="dxa"/>
            <w:left w:w="0" w:type="dxa"/>
            <w:bottom w:w="0" w:type="dxa"/>
            <w:right w:w="0" w:type="dxa"/>
          </w:tblCellMar>
        </w:tblPrEx>
        <w:trPr>
          <w:trHeight w:val="52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禽肉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鸡肉</w:t>
            </w:r>
          </w:p>
        </w:tc>
        <w:tc>
          <w:tcPr>
            <w:tcW w:w="8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b/>
                <w:color w:val="auto"/>
                <w:szCs w:val="21"/>
              </w:rPr>
            </w:pPr>
            <w:r>
              <w:rPr>
                <w:rFonts w:hint="eastAsia" w:ascii="宋体" w:hAnsi="宋体" w:cs="宋体"/>
                <w:b/>
                <w:color w:val="auto"/>
                <w:kern w:val="0"/>
                <w:szCs w:val="21"/>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10</w:t>
            </w:r>
          </w:p>
        </w:tc>
      </w:tr>
      <w:tr>
        <w:tblPrEx>
          <w:tblCellMar>
            <w:top w:w="0" w:type="dxa"/>
            <w:left w:w="0" w:type="dxa"/>
            <w:bottom w:w="0" w:type="dxa"/>
            <w:right w:w="0" w:type="dxa"/>
          </w:tblCellMar>
        </w:tblPrEx>
        <w:trPr>
          <w:trHeight w:val="52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鸭肉</w:t>
            </w:r>
          </w:p>
        </w:tc>
        <w:tc>
          <w:tcPr>
            <w:tcW w:w="8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b/>
                <w:color w:val="auto"/>
                <w:szCs w:val="21"/>
              </w:rPr>
            </w:pPr>
            <w:r>
              <w:rPr>
                <w:rFonts w:hint="eastAsia" w:ascii="宋体" w:hAnsi="宋体" w:cs="宋体"/>
                <w:b/>
                <w:color w:val="auto"/>
                <w:kern w:val="0"/>
                <w:szCs w:val="21"/>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14</w:t>
            </w:r>
          </w:p>
        </w:tc>
      </w:tr>
      <w:tr>
        <w:tblPrEx>
          <w:tblCellMar>
            <w:top w:w="0" w:type="dxa"/>
            <w:left w:w="0" w:type="dxa"/>
            <w:bottom w:w="0" w:type="dxa"/>
            <w:right w:w="0" w:type="dxa"/>
          </w:tblCellMar>
        </w:tblPrEx>
        <w:trPr>
          <w:trHeight w:val="52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水产品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淡水产品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淡水鱼（鲤鱼、草鱼）</w:t>
            </w:r>
          </w:p>
        </w:tc>
        <w:tc>
          <w:tcPr>
            <w:tcW w:w="8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b/>
                <w:color w:val="auto"/>
                <w:szCs w:val="21"/>
              </w:rPr>
            </w:pPr>
            <w:r>
              <w:rPr>
                <w:rFonts w:hint="eastAsia" w:ascii="宋体" w:hAnsi="宋体" w:cs="宋体"/>
                <w:b/>
                <w:color w:val="auto"/>
                <w:kern w:val="0"/>
                <w:szCs w:val="21"/>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7</w:t>
            </w:r>
          </w:p>
        </w:tc>
      </w:tr>
      <w:tr>
        <w:tblPrEx>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16</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食盐</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食盐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食盐</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食盐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6</w:t>
            </w:r>
          </w:p>
        </w:tc>
      </w:tr>
      <w:tr>
        <w:tblPrEx>
          <w:tblCellMar>
            <w:top w:w="0" w:type="dxa"/>
            <w:left w:w="0" w:type="dxa"/>
            <w:bottom w:w="0" w:type="dxa"/>
            <w:right w:w="0" w:type="dxa"/>
          </w:tblCellMar>
        </w:tblPrEx>
        <w:trPr>
          <w:trHeight w:val="675"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17</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婴幼儿配方食品</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婴幼儿配方食品（湿法工艺、干法工艺、干湿法混合工艺）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婴儿配方食品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乳基婴儿配方食品、豆基婴儿配方食品</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高</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3</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18</w:t>
            </w:r>
          </w:p>
        </w:tc>
      </w:tr>
      <w:tr>
        <w:tblPrEx>
          <w:tblCellMar>
            <w:top w:w="0" w:type="dxa"/>
            <w:left w:w="0" w:type="dxa"/>
            <w:bottom w:w="0" w:type="dxa"/>
            <w:right w:w="0" w:type="dxa"/>
          </w:tblCellMar>
        </w:tblPrEx>
        <w:trPr>
          <w:trHeight w:val="9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较大婴儿和幼儿配方食品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乳基较大婴儿和幼儿配方食品、豆基较大婴儿和幼儿配方食品</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auto"/>
                <w:szCs w:val="21"/>
              </w:rPr>
            </w:pPr>
          </w:p>
        </w:tc>
      </w:tr>
      <w:tr>
        <w:tblPrEx>
          <w:tblCellMar>
            <w:top w:w="0" w:type="dxa"/>
            <w:left w:w="0" w:type="dxa"/>
            <w:bottom w:w="0" w:type="dxa"/>
            <w:right w:w="0"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18</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食用植物油专项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19</w:t>
            </w:r>
          </w:p>
        </w:tc>
      </w:tr>
      <w:tr>
        <w:tblPrEx>
          <w:tblCellMar>
            <w:top w:w="0" w:type="dxa"/>
            <w:left w:w="0" w:type="dxa"/>
            <w:bottom w:w="0" w:type="dxa"/>
            <w:right w:w="0" w:type="dxa"/>
          </w:tblCellMar>
        </w:tblPrEx>
        <w:trPr>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233</w:t>
            </w:r>
          </w:p>
        </w:tc>
      </w:tr>
    </w:tbl>
    <w:p>
      <w:pPr>
        <w:pStyle w:val="55"/>
        <w:ind w:firstLine="0" w:firstLineChars="0"/>
        <w:rPr>
          <w:rFonts w:ascii="宋体" w:hAnsi="宋体" w:cs="宋体"/>
          <w:b/>
          <w:color w:val="auto"/>
          <w:sz w:val="24"/>
        </w:rPr>
      </w:pPr>
    </w:p>
    <w:p>
      <w:pPr>
        <w:pStyle w:val="55"/>
        <w:ind w:firstLine="482"/>
        <w:rPr>
          <w:rFonts w:ascii="宋体" w:hAnsi="宋体" w:cs="宋体"/>
          <w:b/>
          <w:color w:val="auto"/>
          <w:sz w:val="24"/>
        </w:rPr>
      </w:pPr>
    </w:p>
    <w:p>
      <w:pPr>
        <w:rPr>
          <w:rFonts w:ascii="宋体" w:hAnsi="宋体" w:cs="宋体"/>
          <w:color w:val="auto"/>
          <w:kern w:val="1"/>
          <w:sz w:val="32"/>
          <w:szCs w:val="32"/>
        </w:rPr>
      </w:pPr>
      <w:r>
        <w:rPr>
          <w:rFonts w:hint="eastAsia" w:ascii="宋体" w:hAnsi="宋体" w:cs="宋体"/>
          <w:color w:val="auto"/>
          <w:kern w:val="1"/>
          <w:sz w:val="32"/>
          <w:szCs w:val="32"/>
        </w:rPr>
        <w:br w:type="page"/>
      </w:r>
    </w:p>
    <w:p>
      <w:pPr>
        <w:suppressAutoHyphens/>
        <w:rPr>
          <w:rFonts w:ascii="宋体" w:hAnsi="宋体" w:cs="宋体"/>
          <w:color w:val="auto"/>
          <w:kern w:val="1"/>
          <w:sz w:val="32"/>
          <w:szCs w:val="32"/>
        </w:rPr>
      </w:pPr>
      <w:r>
        <w:rPr>
          <w:rFonts w:hint="eastAsia" w:ascii="宋体" w:hAnsi="宋体" w:cs="宋体"/>
          <w:color w:val="auto"/>
          <w:kern w:val="1"/>
          <w:sz w:val="32"/>
          <w:szCs w:val="32"/>
        </w:rPr>
        <w:t>附件2</w:t>
      </w:r>
    </w:p>
    <w:p>
      <w:pPr>
        <w:suppressAutoHyphens/>
        <w:spacing w:line="580" w:lineRule="exact"/>
        <w:jc w:val="center"/>
        <w:rPr>
          <w:rFonts w:ascii="宋体" w:hAnsi="宋体" w:cs="宋体"/>
          <w:color w:val="auto"/>
          <w:kern w:val="1"/>
          <w:sz w:val="44"/>
          <w:szCs w:val="44"/>
        </w:rPr>
      </w:pPr>
      <w:r>
        <w:rPr>
          <w:rFonts w:hint="eastAsia" w:ascii="宋体" w:hAnsi="宋体" w:cs="宋体"/>
          <w:color w:val="auto"/>
          <w:kern w:val="1"/>
          <w:sz w:val="44"/>
          <w:szCs w:val="44"/>
        </w:rPr>
        <w:t>2020年区局转移食品安全监督抽检任品种和项目表                   （市、县食用农产品）</w:t>
      </w:r>
    </w:p>
    <w:tbl>
      <w:tblPr>
        <w:tblStyle w:val="24"/>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67"/>
        <w:gridCol w:w="1374"/>
        <w:gridCol w:w="1391"/>
        <w:gridCol w:w="1960"/>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867" w:type="dxa"/>
            <w:noWrap/>
            <w:vAlign w:val="center"/>
          </w:tcPr>
          <w:p>
            <w:pPr>
              <w:widowControl/>
              <w:adjustRightInd w:val="0"/>
              <w:snapToGrid w:val="0"/>
              <w:spacing w:beforeLines="20" w:afterLines="20"/>
              <w:jc w:val="center"/>
              <w:textAlignment w:val="center"/>
              <w:rPr>
                <w:rFonts w:ascii="宋体" w:hAnsi="宋体" w:cs="宋体"/>
                <w:b/>
                <w:bCs/>
                <w:color w:val="auto"/>
                <w:sz w:val="24"/>
              </w:rPr>
            </w:pPr>
            <w:r>
              <w:rPr>
                <w:rFonts w:hint="eastAsia" w:ascii="宋体" w:hAnsi="宋体" w:cs="宋体"/>
                <w:b/>
                <w:bCs/>
                <w:color w:val="auto"/>
                <w:kern w:val="0"/>
                <w:sz w:val="24"/>
              </w:rPr>
              <w:t>序列</w:t>
            </w:r>
          </w:p>
        </w:tc>
        <w:tc>
          <w:tcPr>
            <w:tcW w:w="1374" w:type="dxa"/>
            <w:noWrap/>
            <w:vAlign w:val="center"/>
          </w:tcPr>
          <w:p>
            <w:pPr>
              <w:widowControl/>
              <w:adjustRightInd w:val="0"/>
              <w:snapToGrid w:val="0"/>
              <w:spacing w:beforeLines="20" w:afterLines="20"/>
              <w:jc w:val="center"/>
              <w:textAlignment w:val="center"/>
              <w:rPr>
                <w:rFonts w:ascii="宋体" w:hAnsi="宋体" w:cs="宋体"/>
                <w:b/>
                <w:bCs/>
                <w:color w:val="auto"/>
                <w:sz w:val="24"/>
              </w:rPr>
            </w:pPr>
            <w:r>
              <w:rPr>
                <w:rFonts w:hint="eastAsia" w:ascii="宋体" w:hAnsi="宋体" w:cs="宋体"/>
                <w:b/>
                <w:bCs/>
                <w:color w:val="auto"/>
                <w:kern w:val="0"/>
                <w:sz w:val="24"/>
              </w:rPr>
              <w:t>食品亚类</w:t>
            </w:r>
            <w:r>
              <w:rPr>
                <w:rFonts w:hint="eastAsia" w:ascii="宋体" w:hAnsi="宋体" w:cs="宋体"/>
                <w:b/>
                <w:bCs/>
                <w:color w:val="auto"/>
                <w:kern w:val="0"/>
                <w:sz w:val="24"/>
              </w:rPr>
              <w:br w:type="textWrapping"/>
            </w:r>
            <w:r>
              <w:rPr>
                <w:rFonts w:hint="eastAsia" w:ascii="宋体" w:hAnsi="宋体" w:cs="宋体"/>
                <w:b/>
                <w:bCs/>
                <w:color w:val="auto"/>
                <w:kern w:val="0"/>
                <w:sz w:val="24"/>
              </w:rPr>
              <w:t>（二级）</w:t>
            </w:r>
          </w:p>
        </w:tc>
        <w:tc>
          <w:tcPr>
            <w:tcW w:w="1391" w:type="dxa"/>
            <w:noWrap/>
            <w:vAlign w:val="center"/>
          </w:tcPr>
          <w:p>
            <w:pPr>
              <w:widowControl/>
              <w:adjustRightInd w:val="0"/>
              <w:snapToGrid w:val="0"/>
              <w:spacing w:beforeLines="20" w:afterLines="20"/>
              <w:jc w:val="center"/>
              <w:textAlignment w:val="center"/>
              <w:rPr>
                <w:rFonts w:ascii="宋体" w:hAnsi="宋体" w:cs="宋体"/>
                <w:b/>
                <w:bCs/>
                <w:color w:val="auto"/>
                <w:sz w:val="24"/>
              </w:rPr>
            </w:pPr>
            <w:r>
              <w:rPr>
                <w:rFonts w:hint="eastAsia" w:ascii="宋体" w:hAnsi="宋体" w:cs="宋体"/>
                <w:b/>
                <w:bCs/>
                <w:color w:val="auto"/>
                <w:kern w:val="0"/>
                <w:sz w:val="24"/>
              </w:rPr>
              <w:t>食品品种</w:t>
            </w:r>
            <w:r>
              <w:rPr>
                <w:rFonts w:hint="eastAsia" w:ascii="宋体" w:hAnsi="宋体" w:cs="宋体"/>
                <w:b/>
                <w:bCs/>
                <w:color w:val="auto"/>
                <w:kern w:val="0"/>
                <w:sz w:val="24"/>
              </w:rPr>
              <w:br w:type="textWrapping"/>
            </w:r>
            <w:r>
              <w:rPr>
                <w:rFonts w:hint="eastAsia" w:ascii="宋体" w:hAnsi="宋体" w:cs="宋体"/>
                <w:b/>
                <w:bCs/>
                <w:color w:val="auto"/>
                <w:kern w:val="0"/>
                <w:sz w:val="24"/>
              </w:rPr>
              <w:t>（三级）</w:t>
            </w:r>
          </w:p>
        </w:tc>
        <w:tc>
          <w:tcPr>
            <w:tcW w:w="1960" w:type="dxa"/>
            <w:noWrap/>
            <w:vAlign w:val="center"/>
          </w:tcPr>
          <w:p>
            <w:pPr>
              <w:widowControl/>
              <w:adjustRightInd w:val="0"/>
              <w:snapToGrid w:val="0"/>
              <w:spacing w:beforeLines="20" w:afterLines="20"/>
              <w:jc w:val="center"/>
              <w:textAlignment w:val="center"/>
              <w:rPr>
                <w:rFonts w:ascii="宋体" w:hAnsi="宋体" w:cs="宋体"/>
                <w:b/>
                <w:bCs/>
                <w:color w:val="auto"/>
                <w:sz w:val="24"/>
              </w:rPr>
            </w:pPr>
            <w:r>
              <w:rPr>
                <w:rFonts w:hint="eastAsia" w:ascii="宋体" w:hAnsi="宋体" w:cs="宋体"/>
                <w:b/>
                <w:bCs/>
                <w:color w:val="auto"/>
                <w:kern w:val="0"/>
                <w:sz w:val="24"/>
              </w:rPr>
              <w:t>食品细类</w:t>
            </w:r>
            <w:r>
              <w:rPr>
                <w:rFonts w:hint="eastAsia" w:ascii="宋体" w:hAnsi="宋体" w:cs="宋体"/>
                <w:b/>
                <w:bCs/>
                <w:color w:val="auto"/>
                <w:kern w:val="0"/>
                <w:sz w:val="24"/>
              </w:rPr>
              <w:br w:type="textWrapping"/>
            </w:r>
            <w:r>
              <w:rPr>
                <w:rFonts w:hint="eastAsia" w:ascii="宋体" w:hAnsi="宋体" w:cs="宋体"/>
                <w:b/>
                <w:bCs/>
                <w:color w:val="auto"/>
                <w:kern w:val="0"/>
                <w:sz w:val="24"/>
              </w:rPr>
              <w:t>（四级）</w:t>
            </w:r>
          </w:p>
        </w:tc>
        <w:tc>
          <w:tcPr>
            <w:tcW w:w="7797" w:type="dxa"/>
            <w:noWrap/>
            <w:vAlign w:val="center"/>
          </w:tcPr>
          <w:p>
            <w:pPr>
              <w:widowControl/>
              <w:adjustRightInd w:val="0"/>
              <w:snapToGrid w:val="0"/>
              <w:spacing w:beforeLines="20" w:afterLines="20"/>
              <w:jc w:val="center"/>
              <w:textAlignment w:val="center"/>
              <w:rPr>
                <w:rFonts w:ascii="宋体" w:hAnsi="宋体" w:cs="宋体"/>
                <w:b/>
                <w:bCs/>
                <w:color w:val="auto"/>
                <w:sz w:val="24"/>
              </w:rPr>
            </w:pPr>
            <w:r>
              <w:rPr>
                <w:rFonts w:hint="eastAsia" w:ascii="宋体" w:hAnsi="宋体" w:cs="宋体"/>
                <w:b/>
                <w:bCs/>
                <w:color w:val="auto"/>
                <w:kern w:val="0"/>
                <w:sz w:val="24"/>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13389" w:type="dxa"/>
            <w:gridSpan w:val="5"/>
            <w:noWrap/>
            <w:vAlign w:val="center"/>
          </w:tcPr>
          <w:p>
            <w:pPr>
              <w:widowControl/>
              <w:adjustRightInd w:val="0"/>
              <w:snapToGrid w:val="0"/>
              <w:spacing w:beforeLines="20" w:afterLines="20"/>
              <w:ind w:left="105" w:leftChars="50" w:right="105" w:rightChars="50"/>
              <w:jc w:val="center"/>
              <w:textAlignment w:val="center"/>
              <w:rPr>
                <w:rFonts w:ascii="宋体" w:hAnsi="宋体" w:cs="宋体"/>
                <w:b/>
                <w:color w:val="auto"/>
                <w:sz w:val="24"/>
              </w:rPr>
            </w:pPr>
            <w:r>
              <w:rPr>
                <w:rFonts w:hint="eastAsia" w:ascii="宋体" w:hAnsi="宋体" w:cs="宋体"/>
                <w:b/>
                <w:color w:val="auto"/>
                <w:sz w:val="24"/>
              </w:rPr>
              <w:t>一、必检品种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restart"/>
            <w:noWrap/>
            <w:vAlign w:val="center"/>
          </w:tcPr>
          <w:p>
            <w:pPr>
              <w:adjustRightInd w:val="0"/>
              <w:snapToGrid w:val="0"/>
              <w:spacing w:beforeLines="20" w:afterLines="20"/>
              <w:jc w:val="center"/>
              <w:textAlignment w:val="center"/>
              <w:rPr>
                <w:rFonts w:ascii="宋体" w:hAnsi="宋体" w:cs="宋体"/>
                <w:color w:val="auto"/>
                <w:kern w:val="0"/>
                <w:sz w:val="24"/>
              </w:rPr>
            </w:pPr>
            <w:r>
              <w:rPr>
                <w:rFonts w:hint="eastAsia" w:ascii="宋体" w:hAnsi="宋体" w:cs="宋体"/>
                <w:color w:val="auto"/>
                <w:kern w:val="0"/>
                <w:sz w:val="24"/>
              </w:rPr>
              <w:t>1</w:t>
            </w:r>
          </w:p>
        </w:tc>
        <w:tc>
          <w:tcPr>
            <w:tcW w:w="1374" w:type="dxa"/>
            <w:vMerge w:val="restart"/>
            <w:noWrap/>
            <w:vAlign w:val="center"/>
          </w:tcPr>
          <w:p>
            <w:pPr>
              <w:adjustRightInd w:val="0"/>
              <w:snapToGrid w:val="0"/>
              <w:spacing w:beforeLines="20" w:afterLines="20"/>
              <w:jc w:val="center"/>
              <w:textAlignment w:val="center"/>
              <w:rPr>
                <w:rFonts w:ascii="宋体" w:hAnsi="宋体" w:cs="宋体"/>
                <w:color w:val="auto"/>
                <w:kern w:val="0"/>
                <w:sz w:val="24"/>
              </w:rPr>
            </w:pPr>
            <w:r>
              <w:rPr>
                <w:rFonts w:hint="eastAsia" w:ascii="宋体" w:hAnsi="宋体" w:cs="宋体"/>
                <w:color w:val="auto"/>
                <w:kern w:val="0"/>
                <w:sz w:val="24"/>
              </w:rPr>
              <w:t>畜禽肉及副产品</w:t>
            </w:r>
          </w:p>
        </w:tc>
        <w:tc>
          <w:tcPr>
            <w:tcW w:w="1391" w:type="dxa"/>
            <w:vMerge w:val="restart"/>
            <w:noWrap/>
            <w:vAlign w:val="center"/>
          </w:tcPr>
          <w:p>
            <w:pPr>
              <w:adjustRightInd w:val="0"/>
              <w:snapToGrid w:val="0"/>
              <w:spacing w:beforeLines="20" w:afterLines="20"/>
              <w:jc w:val="center"/>
              <w:textAlignment w:val="center"/>
              <w:rPr>
                <w:rFonts w:ascii="宋体" w:hAnsi="宋体" w:cs="宋体"/>
                <w:color w:val="auto"/>
                <w:kern w:val="0"/>
                <w:sz w:val="24"/>
              </w:rPr>
            </w:pPr>
            <w:r>
              <w:rPr>
                <w:rFonts w:hint="eastAsia" w:ascii="宋体" w:hAnsi="宋体" w:cs="宋体"/>
                <w:color w:val="auto"/>
                <w:kern w:val="0"/>
                <w:sz w:val="24"/>
              </w:rPr>
              <w:t>畜肉</w:t>
            </w:r>
          </w:p>
        </w:tc>
        <w:tc>
          <w:tcPr>
            <w:tcW w:w="1960"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猪肉</w:t>
            </w:r>
          </w:p>
        </w:tc>
        <w:tc>
          <w:tcPr>
            <w:tcW w:w="7797" w:type="dxa"/>
            <w:noWrap/>
            <w:vAlign w:val="center"/>
          </w:tcPr>
          <w:p>
            <w:pPr>
              <w:widowControl/>
              <w:adjustRightInd w:val="0"/>
              <w:snapToGrid w:val="0"/>
              <w:spacing w:beforeLines="20" w:afterLines="20"/>
              <w:ind w:left="105" w:leftChars="50" w:right="105" w:rightChars="50"/>
              <w:jc w:val="left"/>
              <w:textAlignment w:val="center"/>
              <w:rPr>
                <w:rFonts w:ascii="宋体" w:hAnsi="宋体" w:cs="宋体"/>
                <w:color w:val="auto"/>
                <w:sz w:val="24"/>
              </w:rPr>
            </w:pPr>
            <w:r>
              <w:rPr>
                <w:rFonts w:hint="eastAsia" w:ascii="宋体" w:hAnsi="宋体" w:cs="宋体"/>
                <w:color w:val="auto"/>
                <w:kern w:val="0"/>
                <w:sz w:val="24"/>
              </w:rPr>
              <w:t>克伦特罗、沙丁胺醇、多西环素(强力霉素)、恩诺沙星(以恩诺沙星与环丙沙星之和计)、呋喃唑酮代谢物、磺胺类(总量)、利巴韦林、氯霉素、氧氟沙星、五氯酚酸钠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kern w:val="0"/>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牛肉</w:t>
            </w:r>
          </w:p>
        </w:tc>
        <w:tc>
          <w:tcPr>
            <w:tcW w:w="7797" w:type="dxa"/>
            <w:noWrap/>
            <w:vAlign w:val="center"/>
          </w:tcPr>
          <w:p>
            <w:pPr>
              <w:widowControl/>
              <w:adjustRightInd w:val="0"/>
              <w:snapToGrid w:val="0"/>
              <w:spacing w:beforeLines="20" w:afterLines="20"/>
              <w:ind w:left="105" w:leftChars="50" w:right="105" w:rightChars="50"/>
              <w:jc w:val="left"/>
              <w:textAlignment w:val="center"/>
              <w:rPr>
                <w:rFonts w:ascii="宋体" w:hAnsi="宋体" w:cs="宋体"/>
                <w:color w:val="auto"/>
                <w:sz w:val="24"/>
              </w:rPr>
            </w:pPr>
            <w:r>
              <w:rPr>
                <w:rFonts w:hint="eastAsia" w:ascii="宋体" w:hAnsi="宋体" w:cs="宋体"/>
                <w:color w:val="auto"/>
                <w:kern w:val="0"/>
                <w:sz w:val="24"/>
              </w:rPr>
              <w:t>克伦特罗、地塞米松、氯霉素、莱克多巴胺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kern w:val="0"/>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羊肉</w:t>
            </w:r>
          </w:p>
        </w:tc>
        <w:tc>
          <w:tcPr>
            <w:tcW w:w="7797" w:type="dxa"/>
            <w:noWrap/>
            <w:vAlign w:val="center"/>
          </w:tcPr>
          <w:p>
            <w:pPr>
              <w:widowControl/>
              <w:adjustRightInd w:val="0"/>
              <w:snapToGrid w:val="0"/>
              <w:spacing w:beforeLines="20" w:afterLines="20"/>
              <w:ind w:left="105" w:leftChars="50" w:right="105" w:rightChars="50"/>
              <w:jc w:val="left"/>
              <w:textAlignment w:val="center"/>
              <w:rPr>
                <w:rFonts w:ascii="宋体" w:hAnsi="宋体" w:cs="宋体"/>
                <w:color w:val="auto"/>
                <w:sz w:val="24"/>
              </w:rPr>
            </w:pPr>
            <w:r>
              <w:rPr>
                <w:rFonts w:hint="eastAsia" w:ascii="宋体" w:hAnsi="宋体" w:cs="宋体"/>
                <w:color w:val="auto"/>
                <w:kern w:val="0"/>
                <w:sz w:val="24"/>
              </w:rPr>
              <w:t>克伦特罗、恩诺沙星、氧氟沙星、氯霉素、莱克多巴胺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kern w:val="0"/>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畜副产品</w:t>
            </w:r>
          </w:p>
        </w:tc>
        <w:tc>
          <w:tcPr>
            <w:tcW w:w="1960"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猪肝</w:t>
            </w:r>
          </w:p>
        </w:tc>
        <w:tc>
          <w:tcPr>
            <w:tcW w:w="7797" w:type="dxa"/>
            <w:noWrap/>
            <w:vAlign w:val="center"/>
          </w:tcPr>
          <w:p>
            <w:pPr>
              <w:widowControl/>
              <w:adjustRightInd w:val="0"/>
              <w:snapToGrid w:val="0"/>
              <w:spacing w:beforeLines="20" w:afterLines="20"/>
              <w:ind w:left="105" w:leftChars="50" w:right="105" w:rightChars="50"/>
              <w:jc w:val="left"/>
              <w:textAlignment w:val="center"/>
              <w:rPr>
                <w:rFonts w:ascii="宋体" w:hAnsi="宋体" w:cs="宋体"/>
                <w:color w:val="auto"/>
                <w:sz w:val="24"/>
              </w:rPr>
            </w:pPr>
            <w:r>
              <w:rPr>
                <w:rFonts w:hint="eastAsia" w:ascii="宋体" w:hAnsi="宋体" w:cs="宋体"/>
                <w:color w:val="auto"/>
                <w:kern w:val="0"/>
                <w:sz w:val="24"/>
              </w:rPr>
              <w:t>克伦特罗、五氯酚酸钠、氧氟沙星、氯霉素、磺胺类（总量）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867" w:type="dxa"/>
            <w:vMerge w:val="continue"/>
            <w:noWrap/>
            <w:vAlign w:val="center"/>
          </w:tcPr>
          <w:p>
            <w:pPr>
              <w:widowControl/>
              <w:jc w:val="left"/>
              <w:rPr>
                <w:rFonts w:ascii="宋体" w:hAnsi="宋体" w:cs="宋体"/>
                <w:color w:val="auto"/>
                <w:kern w:val="0"/>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禽肉</w:t>
            </w:r>
          </w:p>
        </w:tc>
        <w:tc>
          <w:tcPr>
            <w:tcW w:w="1960"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鸡肉（重点品种：乌鸡）</w:t>
            </w:r>
          </w:p>
        </w:tc>
        <w:tc>
          <w:tcPr>
            <w:tcW w:w="7797" w:type="dxa"/>
            <w:noWrap/>
            <w:vAlign w:val="center"/>
          </w:tcPr>
          <w:p>
            <w:pPr>
              <w:jc w:val="left"/>
              <w:rPr>
                <w:rFonts w:ascii="宋体" w:hAnsi="宋体" w:cs="宋体"/>
                <w:color w:val="auto"/>
                <w:sz w:val="24"/>
              </w:rPr>
            </w:pPr>
            <w:r>
              <w:rPr>
                <w:rFonts w:hint="eastAsia" w:ascii="宋体" w:hAnsi="宋体" w:cs="宋体"/>
                <w:color w:val="auto"/>
                <w:kern w:val="0"/>
                <w:sz w:val="24"/>
              </w:rPr>
              <w:t>磺胺类（总量）、氧氟沙星、金刚烷胺、多西环素(强力霉素)、恩诺沙星(以恩诺沙星与环丙沙星之和计)、呋喃唑酮代谢物、氯霉素、尼卡巴嗪、五氯酚酸钠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867" w:type="dxa"/>
            <w:vMerge w:val="restart"/>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2</w:t>
            </w:r>
          </w:p>
        </w:tc>
        <w:tc>
          <w:tcPr>
            <w:tcW w:w="1374" w:type="dxa"/>
            <w:vMerge w:val="restart"/>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蔬菜</w:t>
            </w:r>
          </w:p>
        </w:tc>
        <w:tc>
          <w:tcPr>
            <w:tcW w:w="1391"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鳞茎类蔬菜</w:t>
            </w:r>
          </w:p>
        </w:tc>
        <w:tc>
          <w:tcPr>
            <w:tcW w:w="1960"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韭菜</w:t>
            </w:r>
          </w:p>
        </w:tc>
        <w:tc>
          <w:tcPr>
            <w:tcW w:w="7797" w:type="dxa"/>
            <w:noWrap/>
            <w:vAlign w:val="center"/>
          </w:tcPr>
          <w:p>
            <w:pPr>
              <w:widowControl/>
              <w:adjustRightInd w:val="0"/>
              <w:snapToGrid w:val="0"/>
              <w:spacing w:beforeLines="20" w:afterLines="20"/>
              <w:ind w:left="105" w:leftChars="50" w:right="105" w:rightChars="50"/>
              <w:jc w:val="left"/>
              <w:textAlignment w:val="center"/>
              <w:rPr>
                <w:rFonts w:ascii="宋体" w:hAnsi="宋体" w:cs="宋体"/>
                <w:color w:val="auto"/>
                <w:sz w:val="24"/>
              </w:rPr>
            </w:pPr>
            <w:r>
              <w:rPr>
                <w:rFonts w:hint="eastAsia" w:ascii="宋体" w:hAnsi="宋体" w:cs="宋体"/>
                <w:color w:val="auto"/>
                <w:kern w:val="0"/>
                <w:sz w:val="24"/>
              </w:rPr>
              <w:t>腐霉利、毒死蜱、氧乐果、克百威、甲拌磷、镉(以Cd计)、氯氟氰菊酯和高效氯氟氰菊酯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restart"/>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叶菜类蔬菜</w:t>
            </w:r>
          </w:p>
        </w:tc>
        <w:tc>
          <w:tcPr>
            <w:tcW w:w="1960"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芹菜</w:t>
            </w:r>
          </w:p>
        </w:tc>
        <w:tc>
          <w:tcPr>
            <w:tcW w:w="7797" w:type="dxa"/>
            <w:noWrap/>
            <w:vAlign w:val="center"/>
          </w:tcPr>
          <w:p>
            <w:pPr>
              <w:widowControl/>
              <w:adjustRightInd w:val="0"/>
              <w:snapToGrid w:val="0"/>
              <w:spacing w:beforeLines="20" w:afterLines="20"/>
              <w:ind w:left="105" w:leftChars="50" w:right="105" w:rightChars="50"/>
              <w:jc w:val="left"/>
              <w:textAlignment w:val="center"/>
              <w:rPr>
                <w:rFonts w:ascii="宋体" w:hAnsi="宋体" w:cs="宋体"/>
                <w:color w:val="auto"/>
                <w:sz w:val="24"/>
              </w:rPr>
            </w:pPr>
            <w:r>
              <w:rPr>
                <w:rFonts w:hint="eastAsia" w:ascii="宋体" w:hAnsi="宋体" w:cs="宋体"/>
                <w:color w:val="auto"/>
                <w:kern w:val="0"/>
                <w:sz w:val="24"/>
              </w:rPr>
              <w:t>毒死蜱、甲拌磷、克百威、氟虫腈、氧乐果、甲基异柳磷、镉(以Cd计)、辛硫磷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continue"/>
            <w:noWrap/>
            <w:vAlign w:val="center"/>
          </w:tcPr>
          <w:p>
            <w:pPr>
              <w:widowControl/>
              <w:jc w:val="left"/>
              <w:rPr>
                <w:rFonts w:ascii="宋体" w:hAnsi="宋体" w:cs="宋体"/>
                <w:color w:val="auto"/>
                <w:sz w:val="24"/>
              </w:rPr>
            </w:pPr>
          </w:p>
        </w:tc>
        <w:tc>
          <w:tcPr>
            <w:tcW w:w="1960"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菠菜</w:t>
            </w:r>
          </w:p>
        </w:tc>
        <w:tc>
          <w:tcPr>
            <w:tcW w:w="7797" w:type="dxa"/>
            <w:noWrap/>
            <w:vAlign w:val="center"/>
          </w:tcPr>
          <w:p>
            <w:pPr>
              <w:widowControl/>
              <w:adjustRightInd w:val="0"/>
              <w:snapToGrid w:val="0"/>
              <w:spacing w:beforeLines="20" w:afterLines="20"/>
              <w:ind w:left="105" w:leftChars="50" w:right="105" w:rightChars="50"/>
              <w:jc w:val="left"/>
              <w:textAlignment w:val="center"/>
              <w:rPr>
                <w:rFonts w:ascii="宋体" w:hAnsi="宋体" w:cs="宋体"/>
                <w:color w:val="auto"/>
                <w:sz w:val="24"/>
              </w:rPr>
            </w:pPr>
            <w:r>
              <w:rPr>
                <w:rFonts w:hint="eastAsia" w:ascii="宋体" w:hAnsi="宋体" w:cs="宋体"/>
                <w:color w:val="auto"/>
                <w:kern w:val="0"/>
                <w:sz w:val="24"/>
              </w:rPr>
              <w:t>毒死蜱、氧乐果、阿维菌素、氟虫腈、氯氰菊酯和高效氯氰菊酯、克百威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continue"/>
            <w:noWrap/>
            <w:vAlign w:val="center"/>
          </w:tcPr>
          <w:p>
            <w:pPr>
              <w:widowControl/>
              <w:jc w:val="left"/>
              <w:rPr>
                <w:rFonts w:ascii="宋体" w:hAnsi="宋体" w:cs="宋体"/>
                <w:color w:val="auto"/>
                <w:sz w:val="24"/>
              </w:rPr>
            </w:pPr>
          </w:p>
        </w:tc>
        <w:tc>
          <w:tcPr>
            <w:tcW w:w="1960"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普通白菜</w:t>
            </w:r>
          </w:p>
        </w:tc>
        <w:tc>
          <w:tcPr>
            <w:tcW w:w="7797" w:type="dxa"/>
            <w:noWrap/>
            <w:vAlign w:val="center"/>
          </w:tcPr>
          <w:p>
            <w:pPr>
              <w:widowControl/>
              <w:adjustRightInd w:val="0"/>
              <w:snapToGrid w:val="0"/>
              <w:spacing w:beforeLines="20" w:afterLines="20"/>
              <w:ind w:left="105" w:leftChars="50" w:right="105" w:rightChars="50"/>
              <w:jc w:val="left"/>
              <w:textAlignment w:val="center"/>
              <w:rPr>
                <w:rFonts w:ascii="宋体" w:hAnsi="宋体" w:cs="宋体"/>
                <w:color w:val="auto"/>
                <w:sz w:val="24"/>
              </w:rPr>
            </w:pPr>
            <w:r>
              <w:rPr>
                <w:rFonts w:hint="eastAsia" w:ascii="宋体" w:hAnsi="宋体" w:cs="宋体"/>
                <w:color w:val="auto"/>
                <w:kern w:val="0"/>
                <w:sz w:val="24"/>
              </w:rPr>
              <w:t>毒死蜱、氟虫腈、啶虫脒、氧乐果、克百威、阿维菌素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continue"/>
            <w:noWrap/>
            <w:vAlign w:val="center"/>
          </w:tcPr>
          <w:p>
            <w:pPr>
              <w:widowControl/>
              <w:jc w:val="left"/>
              <w:rPr>
                <w:rFonts w:ascii="宋体" w:hAnsi="宋体" w:cs="宋体"/>
                <w:color w:val="auto"/>
                <w:sz w:val="24"/>
              </w:rPr>
            </w:pPr>
          </w:p>
        </w:tc>
        <w:tc>
          <w:tcPr>
            <w:tcW w:w="1960"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油麦菜</w:t>
            </w:r>
          </w:p>
        </w:tc>
        <w:tc>
          <w:tcPr>
            <w:tcW w:w="7797" w:type="dxa"/>
            <w:noWrap/>
            <w:vAlign w:val="center"/>
          </w:tcPr>
          <w:p>
            <w:pPr>
              <w:widowControl/>
              <w:adjustRightInd w:val="0"/>
              <w:snapToGrid w:val="0"/>
              <w:spacing w:beforeLines="20" w:afterLines="20"/>
              <w:ind w:left="105" w:leftChars="50" w:right="105" w:rightChars="50"/>
              <w:jc w:val="left"/>
              <w:textAlignment w:val="center"/>
              <w:rPr>
                <w:rFonts w:ascii="宋体" w:hAnsi="宋体" w:cs="宋体"/>
                <w:color w:val="auto"/>
                <w:sz w:val="24"/>
              </w:rPr>
            </w:pPr>
            <w:r>
              <w:rPr>
                <w:rFonts w:hint="eastAsia" w:ascii="宋体" w:hAnsi="宋体" w:cs="宋体"/>
                <w:color w:val="auto"/>
                <w:kern w:val="0"/>
                <w:sz w:val="24"/>
              </w:rPr>
              <w:t>氟虫腈、氧乐果、克百威、甲胺磷、甲基异柳磷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茄果类蔬菜</w:t>
            </w:r>
          </w:p>
        </w:tc>
        <w:tc>
          <w:tcPr>
            <w:tcW w:w="1960"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辣椒</w:t>
            </w:r>
          </w:p>
        </w:tc>
        <w:tc>
          <w:tcPr>
            <w:tcW w:w="7797" w:type="dxa"/>
            <w:noWrap/>
            <w:vAlign w:val="center"/>
          </w:tcPr>
          <w:p>
            <w:pPr>
              <w:widowControl/>
              <w:adjustRightInd w:val="0"/>
              <w:snapToGrid w:val="0"/>
              <w:spacing w:beforeLines="20" w:afterLines="20"/>
              <w:ind w:left="105" w:leftChars="50" w:right="105" w:rightChars="50"/>
              <w:jc w:val="left"/>
              <w:textAlignment w:val="center"/>
              <w:rPr>
                <w:rFonts w:ascii="宋体" w:hAnsi="宋体" w:cs="宋体"/>
                <w:color w:val="auto"/>
                <w:sz w:val="24"/>
              </w:rPr>
            </w:pPr>
            <w:r>
              <w:rPr>
                <w:rFonts w:hint="eastAsia" w:ascii="宋体" w:hAnsi="宋体" w:cs="宋体"/>
                <w:color w:val="auto"/>
                <w:kern w:val="0"/>
                <w:sz w:val="24"/>
              </w:rPr>
              <w:t>克百威、氧乐果、镉(以Cd计)、甲胺磷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豆类蔬菜</w:t>
            </w:r>
          </w:p>
        </w:tc>
        <w:tc>
          <w:tcPr>
            <w:tcW w:w="1960"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豇豆</w:t>
            </w:r>
          </w:p>
        </w:tc>
        <w:tc>
          <w:tcPr>
            <w:tcW w:w="7797" w:type="dxa"/>
            <w:noWrap/>
            <w:vAlign w:val="center"/>
          </w:tcPr>
          <w:p>
            <w:pPr>
              <w:widowControl/>
              <w:adjustRightInd w:val="0"/>
              <w:snapToGrid w:val="0"/>
              <w:spacing w:beforeLines="20" w:afterLines="20"/>
              <w:ind w:left="105" w:leftChars="50" w:right="105" w:rightChars="50"/>
              <w:jc w:val="left"/>
              <w:textAlignment w:val="center"/>
              <w:rPr>
                <w:rFonts w:ascii="宋体" w:hAnsi="宋体" w:cs="宋体"/>
                <w:color w:val="auto"/>
                <w:sz w:val="24"/>
              </w:rPr>
            </w:pPr>
            <w:r>
              <w:rPr>
                <w:rFonts w:hint="eastAsia" w:ascii="宋体" w:hAnsi="宋体" w:cs="宋体"/>
                <w:color w:val="auto"/>
                <w:kern w:val="0"/>
                <w:sz w:val="24"/>
              </w:rPr>
              <w:t>克百威、灭蝇胺、氧乐果、水胺硫磷、氟虫腈、甲基异柳磷、氯氰菊酯和高效氯氰菊酯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2</w:t>
            </w:r>
          </w:p>
        </w:tc>
        <w:tc>
          <w:tcPr>
            <w:tcW w:w="1374"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蔬菜</w:t>
            </w:r>
          </w:p>
        </w:tc>
        <w:tc>
          <w:tcPr>
            <w:tcW w:w="1391"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豆芽</w:t>
            </w:r>
          </w:p>
        </w:tc>
        <w:tc>
          <w:tcPr>
            <w:tcW w:w="1960"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豆芽</w:t>
            </w:r>
          </w:p>
        </w:tc>
        <w:tc>
          <w:tcPr>
            <w:tcW w:w="7797" w:type="dxa"/>
            <w:noWrap/>
            <w:vAlign w:val="center"/>
          </w:tcPr>
          <w:p>
            <w:pPr>
              <w:widowControl/>
              <w:adjustRightInd w:val="0"/>
              <w:snapToGrid w:val="0"/>
              <w:spacing w:beforeLines="20" w:afterLines="20"/>
              <w:ind w:left="105" w:leftChars="50" w:right="105" w:rightChars="50"/>
              <w:jc w:val="left"/>
              <w:textAlignment w:val="center"/>
              <w:rPr>
                <w:rFonts w:ascii="宋体" w:hAnsi="宋体" w:cs="宋体"/>
                <w:color w:val="auto"/>
                <w:sz w:val="24"/>
              </w:rPr>
            </w:pPr>
            <w:r>
              <w:rPr>
                <w:rFonts w:hint="eastAsia" w:ascii="宋体" w:hAnsi="宋体" w:cs="宋体"/>
                <w:color w:val="auto"/>
                <w:kern w:val="0"/>
                <w:sz w:val="24"/>
              </w:rPr>
              <w:t>4</w:t>
            </w:r>
            <w:r>
              <w:rPr>
                <w:rFonts w:hint="eastAsia" w:ascii="宋体" w:hAnsi="宋体" w:cs="宋体"/>
                <w:color w:val="auto"/>
                <w:sz w:val="24"/>
              </w:rPr>
              <w:t>-氯苯氧乙酸钠、6-苄基腺嘌呤（6-BA）、亚硫酸盐、</w:t>
            </w:r>
            <w:r>
              <w:rPr>
                <w:rFonts w:hint="eastAsia" w:ascii="宋体" w:hAnsi="宋体" w:cs="宋体"/>
                <w:color w:val="auto"/>
                <w:kern w:val="0"/>
                <w:sz w:val="24"/>
              </w:rPr>
              <w:t>镉(以Cd计)</w:t>
            </w:r>
            <w:r>
              <w:rPr>
                <w:rFonts w:hint="eastAsia" w:ascii="宋体" w:hAnsi="宋体" w:cs="宋体"/>
                <w:color w:val="auto"/>
                <w:sz w:val="24"/>
              </w:rPr>
              <w:t>、总砷（以As计）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atLeast"/>
        </w:trPr>
        <w:tc>
          <w:tcPr>
            <w:tcW w:w="867" w:type="dxa"/>
            <w:vMerge w:val="restart"/>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3</w:t>
            </w:r>
          </w:p>
        </w:tc>
        <w:tc>
          <w:tcPr>
            <w:tcW w:w="1374" w:type="dxa"/>
            <w:vMerge w:val="restart"/>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水产品</w:t>
            </w:r>
          </w:p>
        </w:tc>
        <w:tc>
          <w:tcPr>
            <w:tcW w:w="1391"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贝类</w:t>
            </w:r>
          </w:p>
        </w:tc>
        <w:tc>
          <w:tcPr>
            <w:tcW w:w="1960"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贝类（重点品种：花蛤、花螺等）</w:t>
            </w:r>
          </w:p>
        </w:tc>
        <w:tc>
          <w:tcPr>
            <w:tcW w:w="7797" w:type="dxa"/>
            <w:noWrap/>
            <w:vAlign w:val="center"/>
          </w:tcPr>
          <w:p>
            <w:pPr>
              <w:widowControl/>
              <w:adjustRightInd w:val="0"/>
              <w:snapToGrid w:val="0"/>
              <w:spacing w:beforeLines="20" w:afterLines="20"/>
              <w:ind w:left="105" w:leftChars="50" w:right="105" w:rightChars="50"/>
              <w:jc w:val="left"/>
              <w:textAlignment w:val="center"/>
              <w:rPr>
                <w:rFonts w:ascii="宋体" w:hAnsi="宋体" w:cs="宋体"/>
                <w:color w:val="auto"/>
                <w:sz w:val="24"/>
              </w:rPr>
            </w:pPr>
            <w:r>
              <w:rPr>
                <w:rFonts w:hint="eastAsia" w:ascii="宋体" w:hAnsi="宋体" w:cs="宋体"/>
                <w:color w:val="auto"/>
                <w:kern w:val="0"/>
                <w:sz w:val="24"/>
              </w:rPr>
              <w:t>恩诺沙星(以恩诺沙星与环丙沙星之和计)、呋喃西林代谢物、氟苯尼考、镉(以Cd计)、氯霉素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31"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restart"/>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淡水产品</w:t>
            </w:r>
          </w:p>
        </w:tc>
        <w:tc>
          <w:tcPr>
            <w:tcW w:w="1960"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淡水鱼（重点品种：黄颡鱼、鲶鱼、鳊鱼、鲈鱼、鲫鱼、黑鱼、草鱼、鲤鱼、鲢鱼</w:t>
            </w:r>
            <w:r>
              <w:rPr>
                <w:rFonts w:hint="eastAsia" w:ascii="宋体" w:hAnsi="宋体" w:cs="宋体"/>
                <w:color w:val="auto"/>
                <w:kern w:val="0"/>
                <w:sz w:val="24"/>
              </w:rPr>
              <w:br w:type="textWrapping"/>
            </w:r>
            <w:r>
              <w:rPr>
                <w:rFonts w:hint="eastAsia" w:ascii="宋体" w:hAnsi="宋体" w:cs="宋体"/>
                <w:color w:val="auto"/>
                <w:kern w:val="0"/>
                <w:sz w:val="24"/>
              </w:rPr>
              <w:t>、鳙鱼、鳜鱼、黄鳝 等）</w:t>
            </w:r>
          </w:p>
        </w:tc>
        <w:tc>
          <w:tcPr>
            <w:tcW w:w="7797" w:type="dxa"/>
            <w:noWrap/>
            <w:vAlign w:val="center"/>
          </w:tcPr>
          <w:p>
            <w:pPr>
              <w:widowControl/>
              <w:adjustRightInd w:val="0"/>
              <w:snapToGrid w:val="0"/>
              <w:spacing w:beforeLines="20" w:afterLines="20"/>
              <w:ind w:left="105" w:leftChars="50" w:right="105" w:rightChars="50"/>
              <w:jc w:val="left"/>
              <w:textAlignment w:val="center"/>
              <w:rPr>
                <w:rFonts w:ascii="宋体" w:hAnsi="宋体" w:cs="宋体"/>
                <w:color w:val="auto"/>
                <w:sz w:val="24"/>
              </w:rPr>
            </w:pPr>
            <w:r>
              <w:rPr>
                <w:rFonts w:hint="eastAsia" w:ascii="宋体" w:hAnsi="宋体" w:cs="宋体"/>
                <w:color w:val="auto"/>
                <w:kern w:val="0"/>
                <w:sz w:val="24"/>
              </w:rPr>
              <w:t>恩诺沙星、呋喃唑酮代谢物、孔雀石绿、氧氟沙星、氯霉素、地西泮、磺胺类(总量)、呋喃西林代谢物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continue"/>
            <w:noWrap/>
            <w:vAlign w:val="center"/>
          </w:tcPr>
          <w:p>
            <w:pPr>
              <w:widowControl/>
              <w:jc w:val="left"/>
              <w:rPr>
                <w:rFonts w:ascii="宋体" w:hAnsi="宋体" w:cs="宋体"/>
                <w:color w:val="auto"/>
                <w:sz w:val="24"/>
              </w:rPr>
            </w:pPr>
          </w:p>
        </w:tc>
        <w:tc>
          <w:tcPr>
            <w:tcW w:w="1960"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淡水虾</w:t>
            </w:r>
          </w:p>
        </w:tc>
        <w:tc>
          <w:tcPr>
            <w:tcW w:w="7797" w:type="dxa"/>
            <w:noWrap/>
            <w:vAlign w:val="center"/>
          </w:tcPr>
          <w:p>
            <w:pPr>
              <w:widowControl/>
              <w:adjustRightInd w:val="0"/>
              <w:snapToGrid w:val="0"/>
              <w:spacing w:beforeLines="20" w:afterLines="20"/>
              <w:ind w:left="105" w:leftChars="50" w:right="105" w:rightChars="50"/>
              <w:jc w:val="left"/>
              <w:textAlignment w:val="center"/>
              <w:rPr>
                <w:rFonts w:ascii="宋体" w:hAnsi="宋体" w:cs="宋体"/>
                <w:color w:val="auto"/>
                <w:sz w:val="24"/>
              </w:rPr>
            </w:pPr>
            <w:r>
              <w:rPr>
                <w:rFonts w:hint="eastAsia" w:ascii="宋体" w:hAnsi="宋体" w:cs="宋体"/>
                <w:color w:val="auto"/>
                <w:kern w:val="0"/>
                <w:sz w:val="24"/>
              </w:rPr>
              <w:t>呋喃西林代谢物、呋喃唑酮代谢物、恩诺沙星、氯霉素、孔雀石绿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continue"/>
            <w:noWrap/>
            <w:vAlign w:val="center"/>
          </w:tcPr>
          <w:p>
            <w:pPr>
              <w:widowControl/>
              <w:jc w:val="left"/>
              <w:rPr>
                <w:rFonts w:ascii="宋体" w:hAnsi="宋体" w:cs="宋体"/>
                <w:color w:val="auto"/>
                <w:sz w:val="24"/>
              </w:rPr>
            </w:pPr>
          </w:p>
        </w:tc>
        <w:tc>
          <w:tcPr>
            <w:tcW w:w="1960"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淡水蟹</w:t>
            </w:r>
          </w:p>
        </w:tc>
        <w:tc>
          <w:tcPr>
            <w:tcW w:w="7797" w:type="dxa"/>
            <w:noWrap/>
            <w:vAlign w:val="center"/>
          </w:tcPr>
          <w:p>
            <w:pPr>
              <w:widowControl/>
              <w:adjustRightInd w:val="0"/>
              <w:snapToGrid w:val="0"/>
              <w:spacing w:beforeLines="20" w:afterLines="20"/>
              <w:ind w:left="105" w:leftChars="50" w:right="105" w:rightChars="50"/>
              <w:jc w:val="left"/>
              <w:textAlignment w:val="center"/>
              <w:rPr>
                <w:rFonts w:ascii="宋体" w:hAnsi="宋体" w:cs="宋体"/>
                <w:color w:val="auto"/>
                <w:sz w:val="24"/>
              </w:rPr>
            </w:pPr>
            <w:r>
              <w:rPr>
                <w:rFonts w:hint="eastAsia" w:ascii="宋体" w:hAnsi="宋体" w:cs="宋体"/>
                <w:color w:val="auto"/>
                <w:kern w:val="0"/>
                <w:sz w:val="24"/>
              </w:rPr>
              <w:t>呋喃西林代谢物、呋喃唑酮代谢物、恩诺沙星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restart"/>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海水产品</w:t>
            </w:r>
          </w:p>
        </w:tc>
        <w:tc>
          <w:tcPr>
            <w:tcW w:w="1960"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海水鱼（重点品种：多宝鱼、黄鱼、海鲈 鱼等）</w:t>
            </w:r>
          </w:p>
        </w:tc>
        <w:tc>
          <w:tcPr>
            <w:tcW w:w="7797" w:type="dxa"/>
            <w:noWrap/>
            <w:vAlign w:val="center"/>
          </w:tcPr>
          <w:p>
            <w:pPr>
              <w:widowControl/>
              <w:adjustRightInd w:val="0"/>
              <w:snapToGrid w:val="0"/>
              <w:spacing w:beforeLines="20" w:afterLines="20"/>
              <w:ind w:left="105" w:leftChars="50" w:right="105" w:rightChars="50"/>
              <w:jc w:val="left"/>
              <w:textAlignment w:val="center"/>
              <w:rPr>
                <w:rFonts w:ascii="宋体" w:hAnsi="宋体" w:cs="宋体"/>
                <w:color w:val="auto"/>
                <w:sz w:val="24"/>
              </w:rPr>
            </w:pPr>
            <w:r>
              <w:rPr>
                <w:rFonts w:hint="eastAsia" w:ascii="宋体" w:hAnsi="宋体" w:cs="宋体"/>
                <w:color w:val="auto"/>
                <w:kern w:val="0"/>
                <w:sz w:val="24"/>
              </w:rPr>
              <w:t>恩诺沙星、氧氟沙星、呋喃唑酮代谢物、孔雀石绿、氯霉素、磺胺类(总量)、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continue"/>
            <w:noWrap/>
            <w:vAlign w:val="center"/>
          </w:tcPr>
          <w:p>
            <w:pPr>
              <w:widowControl/>
              <w:jc w:val="left"/>
              <w:rPr>
                <w:rFonts w:ascii="宋体" w:hAnsi="宋体" w:cs="宋体"/>
                <w:color w:val="auto"/>
                <w:sz w:val="24"/>
              </w:rPr>
            </w:pPr>
          </w:p>
        </w:tc>
        <w:tc>
          <w:tcPr>
            <w:tcW w:w="1960"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海水虾（重点品种：虾蛄、基围虾等）</w:t>
            </w:r>
          </w:p>
        </w:tc>
        <w:tc>
          <w:tcPr>
            <w:tcW w:w="7797" w:type="dxa"/>
            <w:noWrap/>
            <w:vAlign w:val="center"/>
          </w:tcPr>
          <w:p>
            <w:pPr>
              <w:widowControl/>
              <w:adjustRightInd w:val="0"/>
              <w:snapToGrid w:val="0"/>
              <w:spacing w:beforeLines="20" w:afterLines="20"/>
              <w:ind w:left="105" w:leftChars="50" w:right="105" w:rightChars="50"/>
              <w:jc w:val="left"/>
              <w:textAlignment w:val="center"/>
              <w:rPr>
                <w:rFonts w:ascii="宋体" w:hAnsi="宋体" w:cs="宋体"/>
                <w:color w:val="auto"/>
                <w:sz w:val="24"/>
              </w:rPr>
            </w:pPr>
            <w:r>
              <w:rPr>
                <w:rFonts w:hint="eastAsia" w:ascii="宋体" w:hAnsi="宋体" w:cs="宋体"/>
                <w:color w:val="auto"/>
                <w:kern w:val="0"/>
                <w:sz w:val="24"/>
              </w:rPr>
              <w:t>呋喃唑酮代谢物、镉、氯霉素、恩诺沙星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trPr>
        <w:tc>
          <w:tcPr>
            <w:tcW w:w="867" w:type="dxa"/>
            <w:noWrap/>
            <w:vAlign w:val="center"/>
          </w:tcPr>
          <w:p>
            <w:pPr>
              <w:widowControl/>
              <w:adjustRightInd w:val="0"/>
              <w:snapToGrid w:val="0"/>
              <w:spacing w:beforeLines="20" w:afterLines="20"/>
              <w:jc w:val="center"/>
              <w:rPr>
                <w:rFonts w:ascii="宋体" w:hAnsi="宋体" w:cs="宋体"/>
                <w:color w:val="auto"/>
                <w:sz w:val="24"/>
              </w:rPr>
            </w:pPr>
            <w:r>
              <w:rPr>
                <w:rFonts w:hint="eastAsia" w:ascii="宋体" w:hAnsi="宋体" w:cs="宋体"/>
                <w:color w:val="auto"/>
                <w:kern w:val="0"/>
                <w:sz w:val="24"/>
              </w:rPr>
              <w:t>3</w:t>
            </w:r>
          </w:p>
        </w:tc>
        <w:tc>
          <w:tcPr>
            <w:tcW w:w="1374" w:type="dxa"/>
            <w:noWrap/>
            <w:vAlign w:val="center"/>
          </w:tcPr>
          <w:p>
            <w:pPr>
              <w:widowControl/>
              <w:adjustRightInd w:val="0"/>
              <w:snapToGrid w:val="0"/>
              <w:spacing w:beforeLines="20" w:afterLines="20"/>
              <w:jc w:val="center"/>
              <w:rPr>
                <w:rFonts w:ascii="宋体" w:hAnsi="宋体" w:cs="宋体"/>
                <w:color w:val="auto"/>
                <w:sz w:val="24"/>
              </w:rPr>
            </w:pPr>
            <w:r>
              <w:rPr>
                <w:rFonts w:hint="eastAsia" w:ascii="宋体" w:hAnsi="宋体" w:cs="宋体"/>
                <w:color w:val="auto"/>
                <w:kern w:val="0"/>
                <w:sz w:val="24"/>
              </w:rPr>
              <w:t>水产品</w:t>
            </w:r>
          </w:p>
        </w:tc>
        <w:tc>
          <w:tcPr>
            <w:tcW w:w="1391" w:type="dxa"/>
            <w:noWrap/>
            <w:vAlign w:val="center"/>
          </w:tcPr>
          <w:p>
            <w:pPr>
              <w:widowControl/>
              <w:adjustRightInd w:val="0"/>
              <w:snapToGrid w:val="0"/>
              <w:spacing w:beforeLines="20" w:afterLines="20"/>
              <w:jc w:val="center"/>
              <w:rPr>
                <w:rFonts w:ascii="宋体" w:hAnsi="宋体" w:cs="宋体"/>
                <w:color w:val="auto"/>
                <w:sz w:val="24"/>
              </w:rPr>
            </w:pPr>
            <w:r>
              <w:rPr>
                <w:rFonts w:hint="eastAsia" w:ascii="宋体" w:hAnsi="宋体" w:cs="宋体"/>
                <w:color w:val="auto"/>
                <w:kern w:val="0"/>
                <w:sz w:val="24"/>
              </w:rPr>
              <w:t>海水产品</w:t>
            </w:r>
          </w:p>
        </w:tc>
        <w:tc>
          <w:tcPr>
            <w:tcW w:w="1960"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海水蟹（重点品种：梭子蟹等）</w:t>
            </w:r>
          </w:p>
        </w:tc>
        <w:tc>
          <w:tcPr>
            <w:tcW w:w="7797" w:type="dxa"/>
            <w:noWrap/>
            <w:vAlign w:val="center"/>
          </w:tcPr>
          <w:p>
            <w:pPr>
              <w:widowControl/>
              <w:adjustRightInd w:val="0"/>
              <w:snapToGrid w:val="0"/>
              <w:spacing w:beforeLines="20" w:afterLines="20"/>
              <w:ind w:left="105" w:leftChars="50" w:right="105" w:rightChars="50"/>
              <w:jc w:val="left"/>
              <w:textAlignment w:val="center"/>
              <w:rPr>
                <w:rFonts w:ascii="宋体" w:hAnsi="宋体" w:cs="宋体"/>
                <w:color w:val="auto"/>
                <w:sz w:val="24"/>
              </w:rPr>
            </w:pPr>
            <w:r>
              <w:rPr>
                <w:rFonts w:hint="eastAsia" w:ascii="宋体" w:hAnsi="宋体" w:cs="宋体"/>
                <w:color w:val="auto"/>
                <w:kern w:val="0"/>
                <w:sz w:val="24"/>
              </w:rPr>
              <w:t>镉、呋喃唑酮代谢物、恩诺沙星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 w:hRule="atLeast"/>
        </w:trPr>
        <w:tc>
          <w:tcPr>
            <w:tcW w:w="867" w:type="dxa"/>
            <w:vMerge w:val="restart"/>
            <w:noWrap/>
            <w:vAlign w:val="center"/>
          </w:tcPr>
          <w:p>
            <w:pPr>
              <w:widowControl/>
              <w:adjustRightInd w:val="0"/>
              <w:snapToGrid w:val="0"/>
              <w:spacing w:beforeLines="20" w:afterLines="20"/>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1374" w:type="dxa"/>
            <w:vMerge w:val="restart"/>
            <w:noWrap/>
            <w:vAlign w:val="center"/>
          </w:tcPr>
          <w:p>
            <w:pPr>
              <w:widowControl/>
              <w:adjustRightInd w:val="0"/>
              <w:snapToGrid w:val="0"/>
              <w:spacing w:beforeLines="20" w:afterLines="20"/>
              <w:jc w:val="center"/>
              <w:textAlignment w:val="center"/>
              <w:rPr>
                <w:rFonts w:ascii="宋体" w:hAnsi="宋体" w:cs="宋体"/>
                <w:color w:val="auto"/>
                <w:kern w:val="0"/>
                <w:sz w:val="24"/>
              </w:rPr>
            </w:pPr>
            <w:r>
              <w:rPr>
                <w:rFonts w:hint="eastAsia" w:ascii="宋体" w:hAnsi="宋体" w:cs="宋体"/>
                <w:color w:val="auto"/>
                <w:kern w:val="0"/>
                <w:sz w:val="24"/>
              </w:rPr>
              <w:t>水果</w:t>
            </w:r>
          </w:p>
        </w:tc>
        <w:tc>
          <w:tcPr>
            <w:tcW w:w="1391"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热带和亚热带水果</w:t>
            </w:r>
          </w:p>
        </w:tc>
        <w:tc>
          <w:tcPr>
            <w:tcW w:w="1960" w:type="dxa"/>
            <w:noWrap/>
            <w:vAlign w:val="center"/>
          </w:tcPr>
          <w:p>
            <w:pPr>
              <w:widowControl/>
              <w:ind w:firstLine="440"/>
              <w:jc w:val="center"/>
              <w:rPr>
                <w:rFonts w:ascii="宋体" w:hAnsi="宋体" w:cs="宋体"/>
                <w:color w:val="auto"/>
                <w:kern w:val="0"/>
                <w:sz w:val="24"/>
              </w:rPr>
            </w:pPr>
            <w:r>
              <w:rPr>
                <w:rFonts w:hint="eastAsia" w:ascii="宋体" w:hAnsi="宋体" w:cs="宋体"/>
                <w:color w:val="auto"/>
                <w:kern w:val="0"/>
                <w:sz w:val="24"/>
              </w:rPr>
              <w:t>香蕉</w:t>
            </w:r>
          </w:p>
        </w:tc>
        <w:tc>
          <w:tcPr>
            <w:tcW w:w="7797" w:type="dxa"/>
            <w:noWrap/>
            <w:vAlign w:val="center"/>
          </w:tcPr>
          <w:p>
            <w:pPr>
              <w:widowControl/>
              <w:jc w:val="left"/>
              <w:rPr>
                <w:rFonts w:ascii="宋体" w:hAnsi="宋体" w:cs="宋体"/>
                <w:color w:val="auto"/>
                <w:kern w:val="0"/>
                <w:sz w:val="24"/>
              </w:rPr>
            </w:pPr>
            <w:r>
              <w:rPr>
                <w:rFonts w:hint="eastAsia" w:ascii="宋体" w:hAnsi="宋体" w:cs="宋体"/>
                <w:color w:val="auto"/>
                <w:kern w:val="0"/>
                <w:sz w:val="24"/>
              </w:rPr>
              <w:t>多菌灵、苯醚甲环唑、吡唑醚菌酯、溴氰菊酯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 w:hRule="atLeast"/>
        </w:trPr>
        <w:tc>
          <w:tcPr>
            <w:tcW w:w="867" w:type="dxa"/>
            <w:vMerge w:val="continue"/>
            <w:noWrap/>
            <w:vAlign w:val="center"/>
          </w:tcPr>
          <w:p>
            <w:pPr>
              <w:widowControl/>
              <w:jc w:val="left"/>
              <w:rPr>
                <w:rFonts w:ascii="宋体" w:hAnsi="宋体" w:cs="宋体"/>
                <w:color w:val="auto"/>
                <w:kern w:val="0"/>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restart"/>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柑橘类水果</w:t>
            </w: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柑、橘</w:t>
            </w:r>
          </w:p>
        </w:tc>
        <w:tc>
          <w:tcPr>
            <w:tcW w:w="7797" w:type="dxa"/>
            <w:noWrap/>
            <w:vAlign w:val="center"/>
          </w:tcPr>
          <w:p>
            <w:pPr>
              <w:widowControl/>
              <w:jc w:val="left"/>
              <w:rPr>
                <w:rFonts w:ascii="宋体" w:hAnsi="宋体" w:cs="宋体"/>
                <w:color w:val="auto"/>
                <w:kern w:val="0"/>
                <w:sz w:val="24"/>
              </w:rPr>
            </w:pPr>
            <w:r>
              <w:rPr>
                <w:rFonts w:hint="eastAsia" w:ascii="宋体" w:hAnsi="宋体" w:cs="宋体"/>
                <w:color w:val="auto"/>
                <w:kern w:val="0"/>
                <w:sz w:val="24"/>
              </w:rPr>
              <w:t>丙溴磷、三唑磷、氧乐果、苯醚甲环唑、克百威、水胺硫磷、多菌灵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 w:hRule="atLeast"/>
        </w:trPr>
        <w:tc>
          <w:tcPr>
            <w:tcW w:w="867" w:type="dxa"/>
            <w:vMerge w:val="continue"/>
            <w:noWrap/>
            <w:vAlign w:val="center"/>
          </w:tcPr>
          <w:p>
            <w:pPr>
              <w:widowControl/>
              <w:jc w:val="left"/>
              <w:rPr>
                <w:rFonts w:ascii="宋体" w:hAnsi="宋体" w:cs="宋体"/>
                <w:color w:val="auto"/>
                <w:kern w:val="0"/>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橙</w:t>
            </w:r>
          </w:p>
        </w:tc>
        <w:tc>
          <w:tcPr>
            <w:tcW w:w="7797" w:type="dxa"/>
            <w:noWrap/>
            <w:vAlign w:val="center"/>
          </w:tcPr>
          <w:p>
            <w:pPr>
              <w:widowControl/>
              <w:jc w:val="left"/>
              <w:rPr>
                <w:rFonts w:ascii="宋体" w:hAnsi="宋体" w:cs="宋体"/>
                <w:color w:val="auto"/>
                <w:kern w:val="0"/>
                <w:sz w:val="24"/>
              </w:rPr>
            </w:pPr>
            <w:r>
              <w:rPr>
                <w:rFonts w:hint="eastAsia" w:ascii="宋体" w:hAnsi="宋体" w:cs="宋体"/>
                <w:color w:val="auto"/>
                <w:kern w:val="0"/>
                <w:sz w:val="24"/>
              </w:rPr>
              <w:t>丙溴磷、三唑磷、氧乐果、克百威、水胺硫磷、多菌灵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 w:hRule="atLeast"/>
        </w:trPr>
        <w:tc>
          <w:tcPr>
            <w:tcW w:w="867" w:type="dxa"/>
            <w:vMerge w:val="continue"/>
            <w:noWrap/>
            <w:vAlign w:val="center"/>
          </w:tcPr>
          <w:p>
            <w:pPr>
              <w:widowControl/>
              <w:jc w:val="left"/>
              <w:rPr>
                <w:rFonts w:ascii="宋体" w:hAnsi="宋体" w:cs="宋体"/>
                <w:color w:val="auto"/>
                <w:kern w:val="0"/>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浆果和其他小型水果</w:t>
            </w: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草莓</w:t>
            </w:r>
          </w:p>
        </w:tc>
        <w:tc>
          <w:tcPr>
            <w:tcW w:w="7797" w:type="dxa"/>
            <w:noWrap/>
            <w:vAlign w:val="center"/>
          </w:tcPr>
          <w:p>
            <w:pPr>
              <w:widowControl/>
              <w:jc w:val="left"/>
              <w:rPr>
                <w:rFonts w:ascii="宋体" w:hAnsi="宋体" w:cs="宋体"/>
                <w:color w:val="auto"/>
                <w:kern w:val="0"/>
                <w:sz w:val="24"/>
              </w:rPr>
            </w:pPr>
            <w:r>
              <w:rPr>
                <w:rFonts w:hint="eastAsia" w:ascii="宋体" w:hAnsi="宋体" w:cs="宋体"/>
                <w:color w:val="auto"/>
                <w:kern w:val="0"/>
                <w:sz w:val="24"/>
              </w:rPr>
              <w:t>烯酰吗啉、阿维菌素、氧乐果、多菌灵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5</w:t>
            </w:r>
          </w:p>
        </w:tc>
        <w:tc>
          <w:tcPr>
            <w:tcW w:w="1374"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鲜蛋</w:t>
            </w:r>
          </w:p>
        </w:tc>
        <w:tc>
          <w:tcPr>
            <w:tcW w:w="1391"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鲜蛋</w:t>
            </w:r>
          </w:p>
        </w:tc>
        <w:tc>
          <w:tcPr>
            <w:tcW w:w="1960"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鸡蛋</w:t>
            </w:r>
          </w:p>
        </w:tc>
        <w:tc>
          <w:tcPr>
            <w:tcW w:w="7797" w:type="dxa"/>
            <w:noWrap/>
            <w:vAlign w:val="center"/>
          </w:tcPr>
          <w:p>
            <w:pPr>
              <w:widowControl/>
              <w:adjustRightInd w:val="0"/>
              <w:snapToGrid w:val="0"/>
              <w:spacing w:beforeLines="20" w:afterLines="20"/>
              <w:ind w:left="105" w:leftChars="50" w:right="105" w:rightChars="50"/>
              <w:jc w:val="left"/>
              <w:textAlignment w:val="center"/>
              <w:rPr>
                <w:rFonts w:ascii="宋体" w:hAnsi="宋体" w:cs="宋体"/>
                <w:color w:val="auto"/>
                <w:sz w:val="24"/>
              </w:rPr>
            </w:pPr>
            <w:r>
              <w:rPr>
                <w:rFonts w:hint="eastAsia" w:ascii="宋体" w:hAnsi="宋体" w:cs="宋体"/>
                <w:color w:val="auto"/>
                <w:kern w:val="0"/>
                <w:sz w:val="24"/>
              </w:rPr>
              <w:t>恩诺沙星、氟苯尼考、氧氟沙星、氯霉素、多西环素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3389" w:type="dxa"/>
            <w:gridSpan w:val="5"/>
            <w:noWrap/>
            <w:vAlign w:val="center"/>
          </w:tcPr>
          <w:p>
            <w:pPr>
              <w:widowControl/>
              <w:adjustRightInd w:val="0"/>
              <w:snapToGrid w:val="0"/>
              <w:spacing w:beforeLines="20" w:afterLines="20"/>
              <w:ind w:left="105" w:leftChars="50" w:right="105" w:rightChars="50"/>
              <w:jc w:val="center"/>
              <w:textAlignment w:val="center"/>
              <w:rPr>
                <w:rFonts w:ascii="宋体" w:hAnsi="宋体" w:cs="宋体"/>
                <w:b/>
                <w:color w:val="auto"/>
                <w:kern w:val="0"/>
                <w:sz w:val="24"/>
              </w:rPr>
            </w:pPr>
            <w:r>
              <w:rPr>
                <w:rFonts w:hint="eastAsia" w:ascii="宋体" w:hAnsi="宋体" w:cs="宋体"/>
                <w:b/>
                <w:color w:val="auto"/>
                <w:kern w:val="0"/>
                <w:sz w:val="24"/>
              </w:rPr>
              <w:t>二、自选品种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noWrap/>
            <w:vAlign w:val="center"/>
          </w:tcPr>
          <w:p>
            <w:pPr>
              <w:widowControl/>
              <w:adjustRightInd w:val="0"/>
              <w:snapToGrid w:val="0"/>
              <w:spacing w:beforeLines="20" w:afterLines="20"/>
              <w:jc w:val="center"/>
              <w:rPr>
                <w:rFonts w:ascii="宋体" w:hAnsi="宋体" w:cs="宋体"/>
                <w:color w:val="auto"/>
                <w:sz w:val="24"/>
              </w:rPr>
            </w:pPr>
            <w:r>
              <w:rPr>
                <w:rFonts w:hint="eastAsia" w:ascii="宋体" w:hAnsi="宋体" w:cs="宋体"/>
                <w:color w:val="auto"/>
                <w:sz w:val="24"/>
              </w:rPr>
              <w:t>1</w:t>
            </w:r>
          </w:p>
        </w:tc>
        <w:tc>
          <w:tcPr>
            <w:tcW w:w="1374" w:type="dxa"/>
            <w:noWrap/>
            <w:vAlign w:val="center"/>
          </w:tcPr>
          <w:p>
            <w:pPr>
              <w:adjustRightInd w:val="0"/>
              <w:snapToGrid w:val="0"/>
              <w:spacing w:beforeLines="20" w:afterLines="20"/>
              <w:jc w:val="center"/>
              <w:textAlignment w:val="center"/>
              <w:rPr>
                <w:rFonts w:ascii="宋体" w:hAnsi="宋体" w:cs="宋体"/>
                <w:color w:val="auto"/>
                <w:kern w:val="0"/>
                <w:sz w:val="24"/>
              </w:rPr>
            </w:pPr>
            <w:r>
              <w:rPr>
                <w:rFonts w:hint="eastAsia" w:ascii="宋体" w:hAnsi="宋体" w:cs="宋体"/>
                <w:color w:val="auto"/>
                <w:kern w:val="0"/>
                <w:sz w:val="24"/>
              </w:rPr>
              <w:t>畜禽肉及副产品</w:t>
            </w:r>
          </w:p>
        </w:tc>
        <w:tc>
          <w:tcPr>
            <w:tcW w:w="1391" w:type="dxa"/>
            <w:noWrap/>
            <w:vAlign w:val="center"/>
          </w:tcPr>
          <w:p>
            <w:pPr>
              <w:widowControl/>
              <w:adjustRightInd w:val="0"/>
              <w:snapToGrid w:val="0"/>
              <w:spacing w:beforeLines="20" w:afterLines="20"/>
              <w:jc w:val="center"/>
              <w:textAlignment w:val="center"/>
              <w:rPr>
                <w:rFonts w:ascii="宋体" w:hAnsi="宋体" w:cs="宋体"/>
                <w:color w:val="auto"/>
                <w:kern w:val="0"/>
                <w:sz w:val="24"/>
              </w:rPr>
            </w:pPr>
            <w:r>
              <w:rPr>
                <w:rFonts w:hint="eastAsia" w:ascii="宋体" w:hAnsi="宋体" w:cs="宋体"/>
                <w:color w:val="auto"/>
                <w:kern w:val="0"/>
                <w:sz w:val="24"/>
              </w:rPr>
              <w:t>禽肉</w:t>
            </w: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鸭肉</w:t>
            </w:r>
          </w:p>
        </w:tc>
        <w:tc>
          <w:tcPr>
            <w:tcW w:w="7797" w:type="dxa"/>
            <w:noWrap/>
            <w:vAlign w:val="center"/>
          </w:tcPr>
          <w:p>
            <w:pPr>
              <w:widowControl/>
              <w:ind w:left="105" w:leftChars="50" w:right="105" w:rightChars="50"/>
              <w:jc w:val="left"/>
              <w:rPr>
                <w:rFonts w:ascii="宋体" w:hAnsi="宋体" w:cs="宋体"/>
                <w:color w:val="auto"/>
                <w:kern w:val="0"/>
                <w:sz w:val="24"/>
              </w:rPr>
            </w:pPr>
            <w:r>
              <w:rPr>
                <w:rFonts w:hint="eastAsia" w:ascii="宋体" w:hAnsi="宋体" w:cs="宋体"/>
                <w:color w:val="auto"/>
                <w:kern w:val="0"/>
                <w:sz w:val="24"/>
              </w:rPr>
              <w:t>呋喃唑酮代谢物、氯霉素、磺胺类（总量）、恩诺沙星(以恩诺沙星与环丙沙星之和计)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restart"/>
            <w:noWrap/>
            <w:vAlign w:val="center"/>
          </w:tcPr>
          <w:p>
            <w:pPr>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2</w:t>
            </w:r>
          </w:p>
        </w:tc>
        <w:tc>
          <w:tcPr>
            <w:tcW w:w="1374" w:type="dxa"/>
            <w:vMerge w:val="restart"/>
            <w:noWrap/>
            <w:vAlign w:val="center"/>
          </w:tcPr>
          <w:p>
            <w:pPr>
              <w:adjustRightInd w:val="0"/>
              <w:snapToGrid w:val="0"/>
              <w:spacing w:beforeLines="20" w:afterLines="20"/>
              <w:jc w:val="center"/>
              <w:textAlignment w:val="center"/>
              <w:rPr>
                <w:rFonts w:ascii="宋体" w:hAnsi="宋体" w:cs="宋体"/>
                <w:color w:val="auto"/>
                <w:kern w:val="0"/>
                <w:sz w:val="24"/>
              </w:rPr>
            </w:pPr>
            <w:r>
              <w:rPr>
                <w:rFonts w:hint="eastAsia" w:ascii="宋体" w:hAnsi="宋体" w:cs="宋体"/>
                <w:color w:val="auto"/>
                <w:kern w:val="0"/>
                <w:sz w:val="24"/>
              </w:rPr>
              <w:t>蔬菜</w:t>
            </w:r>
          </w:p>
        </w:tc>
        <w:tc>
          <w:tcPr>
            <w:tcW w:w="1391" w:type="dxa"/>
            <w:vMerge w:val="restart"/>
            <w:noWrap/>
            <w:vAlign w:val="center"/>
          </w:tcPr>
          <w:p>
            <w:pPr>
              <w:widowControl/>
              <w:adjustRightInd w:val="0"/>
              <w:snapToGrid w:val="0"/>
              <w:spacing w:beforeLines="20" w:afterLines="20"/>
              <w:jc w:val="center"/>
              <w:textAlignment w:val="center"/>
              <w:rPr>
                <w:rFonts w:ascii="宋体" w:hAnsi="宋体" w:cs="宋体"/>
                <w:color w:val="auto"/>
                <w:kern w:val="0"/>
                <w:sz w:val="24"/>
              </w:rPr>
            </w:pPr>
            <w:r>
              <w:rPr>
                <w:rFonts w:hint="eastAsia" w:ascii="宋体" w:hAnsi="宋体" w:cs="宋体"/>
                <w:color w:val="auto"/>
                <w:kern w:val="0"/>
                <w:sz w:val="24"/>
              </w:rPr>
              <w:t>鳞茎类蔬菜</w:t>
            </w: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葱</w:t>
            </w:r>
          </w:p>
        </w:tc>
        <w:tc>
          <w:tcPr>
            <w:tcW w:w="7797" w:type="dxa"/>
            <w:noWrap/>
            <w:vAlign w:val="center"/>
          </w:tcPr>
          <w:p>
            <w:pPr>
              <w:widowControl/>
              <w:ind w:left="105" w:leftChars="50" w:right="105" w:rightChars="50"/>
              <w:jc w:val="left"/>
              <w:rPr>
                <w:rFonts w:ascii="宋体" w:hAnsi="宋体" w:cs="宋体"/>
                <w:color w:val="auto"/>
                <w:kern w:val="0"/>
                <w:sz w:val="24"/>
              </w:rPr>
            </w:pPr>
            <w:r>
              <w:rPr>
                <w:rFonts w:hint="eastAsia" w:ascii="宋体" w:hAnsi="宋体" w:cs="宋体"/>
                <w:color w:val="auto"/>
                <w:kern w:val="0"/>
                <w:sz w:val="24"/>
              </w:rPr>
              <w:t>甲基异柳磷、氧乐果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洋葱</w:t>
            </w:r>
          </w:p>
        </w:tc>
        <w:tc>
          <w:tcPr>
            <w:tcW w:w="7797" w:type="dxa"/>
            <w:noWrap/>
            <w:vAlign w:val="center"/>
          </w:tcPr>
          <w:p>
            <w:pPr>
              <w:widowControl/>
              <w:ind w:left="105" w:leftChars="50" w:right="105" w:rightChars="50"/>
              <w:jc w:val="left"/>
              <w:rPr>
                <w:rFonts w:ascii="宋体" w:hAnsi="宋体" w:cs="宋体"/>
                <w:color w:val="auto"/>
                <w:kern w:val="0"/>
                <w:sz w:val="24"/>
              </w:rPr>
            </w:pPr>
            <w:r>
              <w:rPr>
                <w:rFonts w:hint="eastAsia" w:ascii="宋体" w:hAnsi="宋体" w:cs="宋体"/>
                <w:color w:val="auto"/>
                <w:kern w:val="0"/>
                <w:sz w:val="24"/>
              </w:rPr>
              <w:t>甲基异柳磷、氧乐果、克百威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restart"/>
            <w:noWrap/>
            <w:vAlign w:val="center"/>
          </w:tcPr>
          <w:p>
            <w:pPr>
              <w:widowControl/>
              <w:adjustRightInd w:val="0"/>
              <w:snapToGrid w:val="0"/>
              <w:spacing w:beforeLines="20" w:afterLines="20"/>
              <w:jc w:val="center"/>
              <w:textAlignment w:val="center"/>
              <w:rPr>
                <w:rFonts w:ascii="宋体" w:hAnsi="宋体" w:cs="宋体"/>
                <w:color w:val="auto"/>
                <w:kern w:val="0"/>
                <w:sz w:val="24"/>
              </w:rPr>
            </w:pPr>
            <w:r>
              <w:rPr>
                <w:rFonts w:hint="eastAsia" w:ascii="宋体" w:hAnsi="宋体" w:cs="宋体"/>
                <w:color w:val="auto"/>
                <w:kern w:val="0"/>
                <w:sz w:val="24"/>
              </w:rPr>
              <w:t>芸薹属类蔬菜</w:t>
            </w: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结球甘蓝</w:t>
            </w:r>
          </w:p>
        </w:tc>
        <w:tc>
          <w:tcPr>
            <w:tcW w:w="7797" w:type="dxa"/>
            <w:noWrap/>
            <w:vAlign w:val="center"/>
          </w:tcPr>
          <w:p>
            <w:pPr>
              <w:widowControl/>
              <w:ind w:right="105" w:rightChars="50"/>
              <w:jc w:val="left"/>
              <w:rPr>
                <w:rFonts w:ascii="宋体" w:hAnsi="宋体" w:cs="宋体"/>
                <w:color w:val="auto"/>
                <w:kern w:val="0"/>
                <w:sz w:val="24"/>
              </w:rPr>
            </w:pPr>
            <w:r>
              <w:rPr>
                <w:rFonts w:hint="eastAsia" w:ascii="宋体" w:hAnsi="宋体" w:cs="宋体"/>
                <w:color w:val="auto"/>
                <w:kern w:val="0"/>
                <w:sz w:val="24"/>
              </w:rPr>
              <w:t>氧乐果、甲胺磷、毒死蜱、克百威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菜薹（菜心）</w:t>
            </w:r>
          </w:p>
        </w:tc>
        <w:tc>
          <w:tcPr>
            <w:tcW w:w="7797" w:type="dxa"/>
            <w:noWrap/>
            <w:vAlign w:val="center"/>
          </w:tcPr>
          <w:p>
            <w:pPr>
              <w:widowControl/>
              <w:ind w:right="105" w:rightChars="50"/>
              <w:jc w:val="left"/>
              <w:rPr>
                <w:rFonts w:ascii="宋体" w:hAnsi="宋体" w:cs="宋体"/>
                <w:color w:val="auto"/>
                <w:kern w:val="0"/>
                <w:sz w:val="24"/>
              </w:rPr>
            </w:pPr>
            <w:r>
              <w:rPr>
                <w:rFonts w:hint="eastAsia" w:ascii="宋体" w:hAnsi="宋体" w:cs="宋体"/>
                <w:color w:val="auto"/>
                <w:kern w:val="0"/>
                <w:sz w:val="24"/>
              </w:rPr>
              <w:t>啶虫脒、氧乐果、甲基异柳磷、氟虫腈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restart"/>
            <w:noWrap/>
            <w:vAlign w:val="center"/>
          </w:tcPr>
          <w:p>
            <w:pPr>
              <w:widowControl/>
              <w:adjustRightInd w:val="0"/>
              <w:snapToGrid w:val="0"/>
              <w:spacing w:beforeLines="20" w:afterLines="20"/>
              <w:jc w:val="center"/>
              <w:textAlignment w:val="center"/>
              <w:rPr>
                <w:rFonts w:ascii="宋体" w:hAnsi="宋体" w:cs="宋体"/>
                <w:color w:val="auto"/>
                <w:kern w:val="0"/>
                <w:sz w:val="24"/>
              </w:rPr>
            </w:pPr>
            <w:r>
              <w:rPr>
                <w:rFonts w:hint="eastAsia" w:ascii="宋体" w:hAnsi="宋体" w:cs="宋体"/>
                <w:color w:val="auto"/>
                <w:kern w:val="0"/>
                <w:sz w:val="24"/>
              </w:rPr>
              <w:t>叶菜类蔬菜</w:t>
            </w: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叶用莴苣（生菜）</w:t>
            </w:r>
          </w:p>
        </w:tc>
        <w:tc>
          <w:tcPr>
            <w:tcW w:w="7797" w:type="dxa"/>
            <w:noWrap/>
            <w:vAlign w:val="center"/>
          </w:tcPr>
          <w:p>
            <w:pPr>
              <w:widowControl/>
              <w:ind w:right="105" w:rightChars="50"/>
              <w:jc w:val="left"/>
              <w:rPr>
                <w:rFonts w:ascii="宋体" w:hAnsi="宋体" w:cs="宋体"/>
                <w:color w:val="auto"/>
                <w:kern w:val="0"/>
                <w:sz w:val="24"/>
              </w:rPr>
            </w:pPr>
            <w:r>
              <w:rPr>
                <w:rFonts w:hint="eastAsia" w:ascii="宋体" w:hAnsi="宋体" w:cs="宋体"/>
                <w:color w:val="auto"/>
                <w:kern w:val="0"/>
                <w:sz w:val="24"/>
              </w:rPr>
              <w:t>氧乐果、毒死蜱、氟虫腈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莴笋</w:t>
            </w:r>
          </w:p>
        </w:tc>
        <w:tc>
          <w:tcPr>
            <w:tcW w:w="7797" w:type="dxa"/>
            <w:noWrap/>
            <w:vAlign w:val="center"/>
          </w:tcPr>
          <w:p>
            <w:pPr>
              <w:widowControl/>
              <w:ind w:right="105" w:rightChars="50"/>
              <w:jc w:val="left"/>
              <w:rPr>
                <w:rFonts w:ascii="宋体" w:hAnsi="宋体" w:cs="宋体"/>
                <w:color w:val="auto"/>
                <w:kern w:val="0"/>
                <w:sz w:val="24"/>
              </w:rPr>
            </w:pPr>
            <w:r>
              <w:rPr>
                <w:rFonts w:hint="eastAsia" w:ascii="宋体" w:hAnsi="宋体" w:cs="宋体"/>
                <w:color w:val="auto"/>
                <w:kern w:val="0"/>
                <w:sz w:val="24"/>
              </w:rPr>
              <w:t>氧乐果、甲胺磷、乙酰甲胺磷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雍菜（空心菜）</w:t>
            </w:r>
          </w:p>
        </w:tc>
        <w:tc>
          <w:tcPr>
            <w:tcW w:w="7797" w:type="dxa"/>
            <w:noWrap/>
            <w:vAlign w:val="center"/>
          </w:tcPr>
          <w:p>
            <w:pPr>
              <w:widowControl/>
              <w:ind w:right="105" w:rightChars="50"/>
              <w:jc w:val="left"/>
              <w:rPr>
                <w:rFonts w:ascii="宋体" w:hAnsi="宋体" w:cs="宋体"/>
                <w:color w:val="auto"/>
                <w:kern w:val="0"/>
                <w:sz w:val="24"/>
              </w:rPr>
            </w:pPr>
            <w:r>
              <w:rPr>
                <w:rFonts w:hint="eastAsia" w:ascii="宋体" w:hAnsi="宋体" w:cs="宋体"/>
                <w:color w:val="auto"/>
                <w:kern w:val="0"/>
                <w:sz w:val="24"/>
              </w:rPr>
              <w:t>氧乐果、克百威、甲胺磷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芥菜</w:t>
            </w:r>
          </w:p>
        </w:tc>
        <w:tc>
          <w:tcPr>
            <w:tcW w:w="7797" w:type="dxa"/>
            <w:noWrap/>
            <w:vAlign w:val="center"/>
          </w:tcPr>
          <w:p>
            <w:pPr>
              <w:widowControl/>
              <w:ind w:right="105" w:rightChars="50"/>
              <w:jc w:val="left"/>
              <w:rPr>
                <w:rFonts w:ascii="宋体" w:hAnsi="宋体" w:cs="宋体"/>
                <w:color w:val="auto"/>
                <w:kern w:val="0"/>
                <w:sz w:val="24"/>
              </w:rPr>
            </w:pPr>
            <w:r>
              <w:rPr>
                <w:rFonts w:hint="eastAsia" w:ascii="宋体" w:hAnsi="宋体" w:cs="宋体"/>
                <w:color w:val="auto"/>
                <w:kern w:val="0"/>
                <w:sz w:val="24"/>
              </w:rPr>
              <w:t>氧乐果、阿维菌素、联苯菊酯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大白菜</w:t>
            </w:r>
          </w:p>
        </w:tc>
        <w:tc>
          <w:tcPr>
            <w:tcW w:w="7797" w:type="dxa"/>
            <w:noWrap/>
            <w:vAlign w:val="center"/>
          </w:tcPr>
          <w:p>
            <w:pPr>
              <w:widowControl/>
              <w:ind w:right="105" w:rightChars="50"/>
              <w:jc w:val="left"/>
              <w:rPr>
                <w:rFonts w:ascii="宋体" w:hAnsi="宋体" w:cs="宋体"/>
                <w:color w:val="auto"/>
                <w:kern w:val="0"/>
                <w:sz w:val="24"/>
              </w:rPr>
            </w:pPr>
            <w:r>
              <w:rPr>
                <w:rFonts w:hint="eastAsia" w:ascii="宋体" w:hAnsi="宋体" w:cs="宋体"/>
                <w:color w:val="auto"/>
                <w:kern w:val="0"/>
                <w:sz w:val="24"/>
              </w:rPr>
              <w:t>毒死蜱、氧乐果、啶虫脒、氟虫腈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restart"/>
            <w:noWrap/>
            <w:vAlign w:val="center"/>
          </w:tcPr>
          <w:p>
            <w:pPr>
              <w:widowControl/>
              <w:adjustRightInd w:val="0"/>
              <w:snapToGrid w:val="0"/>
              <w:spacing w:beforeLines="20" w:afterLines="20"/>
              <w:jc w:val="center"/>
              <w:textAlignment w:val="center"/>
              <w:rPr>
                <w:rFonts w:ascii="宋体" w:hAnsi="宋体" w:cs="宋体"/>
                <w:color w:val="auto"/>
                <w:kern w:val="0"/>
                <w:sz w:val="24"/>
              </w:rPr>
            </w:pPr>
            <w:r>
              <w:rPr>
                <w:rFonts w:hint="eastAsia" w:ascii="宋体" w:hAnsi="宋体" w:cs="宋体"/>
                <w:color w:val="auto"/>
                <w:kern w:val="0"/>
                <w:sz w:val="24"/>
              </w:rPr>
              <w:t>茄果类蔬菜</w:t>
            </w: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茄子</w:t>
            </w:r>
          </w:p>
        </w:tc>
        <w:tc>
          <w:tcPr>
            <w:tcW w:w="7797" w:type="dxa"/>
            <w:noWrap/>
            <w:vAlign w:val="center"/>
          </w:tcPr>
          <w:p>
            <w:pPr>
              <w:widowControl/>
              <w:ind w:right="105" w:rightChars="50"/>
              <w:jc w:val="left"/>
              <w:rPr>
                <w:rFonts w:ascii="宋体" w:hAnsi="宋体" w:cs="宋体"/>
                <w:color w:val="auto"/>
                <w:kern w:val="0"/>
                <w:sz w:val="24"/>
              </w:rPr>
            </w:pPr>
            <w:r>
              <w:rPr>
                <w:rFonts w:hint="eastAsia" w:ascii="宋体" w:hAnsi="宋体" w:cs="宋体"/>
                <w:color w:val="auto"/>
                <w:kern w:val="0"/>
                <w:sz w:val="24"/>
              </w:rPr>
              <w:t>氧乐果、克百威、甲胺磷、氟虫腈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番茄</w:t>
            </w:r>
          </w:p>
        </w:tc>
        <w:tc>
          <w:tcPr>
            <w:tcW w:w="7797" w:type="dxa"/>
            <w:noWrap/>
            <w:vAlign w:val="center"/>
          </w:tcPr>
          <w:p>
            <w:pPr>
              <w:widowControl/>
              <w:ind w:right="105" w:rightChars="50"/>
              <w:jc w:val="left"/>
              <w:rPr>
                <w:rFonts w:ascii="宋体" w:hAnsi="宋体" w:cs="宋体"/>
                <w:color w:val="auto"/>
                <w:kern w:val="0"/>
                <w:sz w:val="24"/>
              </w:rPr>
            </w:pPr>
            <w:r>
              <w:rPr>
                <w:rFonts w:hint="eastAsia" w:ascii="宋体" w:hAnsi="宋体" w:cs="宋体"/>
                <w:color w:val="auto"/>
                <w:kern w:val="0"/>
                <w:sz w:val="24"/>
              </w:rPr>
              <w:t>氧乐果、克百威、氯氟氰菊酯和高效氯氟氰菊酯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甜椒</w:t>
            </w:r>
          </w:p>
        </w:tc>
        <w:tc>
          <w:tcPr>
            <w:tcW w:w="7797" w:type="dxa"/>
            <w:noWrap/>
            <w:vAlign w:val="center"/>
          </w:tcPr>
          <w:p>
            <w:pPr>
              <w:widowControl/>
              <w:ind w:right="105" w:rightChars="50"/>
              <w:jc w:val="left"/>
              <w:rPr>
                <w:rFonts w:ascii="宋体" w:hAnsi="宋体" w:cs="宋体"/>
                <w:color w:val="auto"/>
                <w:kern w:val="0"/>
                <w:sz w:val="24"/>
              </w:rPr>
            </w:pPr>
            <w:r>
              <w:rPr>
                <w:rFonts w:hint="eastAsia" w:ascii="宋体" w:hAnsi="宋体" w:cs="宋体"/>
                <w:color w:val="auto"/>
                <w:kern w:val="0"/>
                <w:sz w:val="24"/>
              </w:rPr>
              <w:t>氧乐果、克百威、甲胺磷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restart"/>
            <w:noWrap/>
            <w:vAlign w:val="center"/>
          </w:tcPr>
          <w:p>
            <w:pPr>
              <w:widowControl/>
              <w:adjustRightInd w:val="0"/>
              <w:snapToGrid w:val="0"/>
              <w:spacing w:beforeLines="20" w:afterLines="20"/>
              <w:jc w:val="center"/>
              <w:textAlignment w:val="center"/>
              <w:rPr>
                <w:rFonts w:ascii="宋体" w:hAnsi="宋体" w:cs="宋体"/>
                <w:color w:val="auto"/>
                <w:kern w:val="0"/>
                <w:sz w:val="24"/>
              </w:rPr>
            </w:pPr>
            <w:r>
              <w:rPr>
                <w:rFonts w:hint="eastAsia" w:ascii="宋体" w:hAnsi="宋体" w:cs="宋体"/>
                <w:color w:val="auto"/>
                <w:kern w:val="0"/>
                <w:sz w:val="24"/>
              </w:rPr>
              <w:t>瓜类蔬菜</w:t>
            </w: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黄瓜</w:t>
            </w:r>
          </w:p>
        </w:tc>
        <w:tc>
          <w:tcPr>
            <w:tcW w:w="7797" w:type="dxa"/>
            <w:noWrap/>
            <w:vAlign w:val="center"/>
          </w:tcPr>
          <w:p>
            <w:pPr>
              <w:widowControl/>
              <w:ind w:right="105" w:rightChars="50"/>
              <w:jc w:val="left"/>
              <w:rPr>
                <w:rFonts w:ascii="宋体" w:hAnsi="宋体" w:cs="宋体"/>
                <w:color w:val="auto"/>
                <w:kern w:val="0"/>
                <w:sz w:val="24"/>
              </w:rPr>
            </w:pPr>
            <w:r>
              <w:rPr>
                <w:rFonts w:hint="eastAsia" w:ascii="宋体" w:hAnsi="宋体" w:cs="宋体"/>
                <w:color w:val="auto"/>
                <w:kern w:val="0"/>
                <w:sz w:val="24"/>
              </w:rPr>
              <w:t>克百威、氧乐果、多菌灵、毒死蜱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苦瓜</w:t>
            </w:r>
          </w:p>
        </w:tc>
        <w:tc>
          <w:tcPr>
            <w:tcW w:w="7797" w:type="dxa"/>
            <w:noWrap/>
            <w:vAlign w:val="center"/>
          </w:tcPr>
          <w:p>
            <w:pPr>
              <w:widowControl/>
              <w:ind w:right="105" w:rightChars="50"/>
              <w:jc w:val="left"/>
              <w:rPr>
                <w:rFonts w:ascii="宋体" w:hAnsi="宋体" w:cs="宋体"/>
                <w:color w:val="auto"/>
                <w:kern w:val="0"/>
                <w:sz w:val="24"/>
              </w:rPr>
            </w:pPr>
            <w:r>
              <w:rPr>
                <w:rFonts w:hint="eastAsia" w:ascii="宋体" w:hAnsi="宋体" w:cs="宋体"/>
                <w:color w:val="auto"/>
                <w:kern w:val="0"/>
                <w:sz w:val="24"/>
              </w:rPr>
              <w:t>氧乐果、戊唑醇、百菌清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冬瓜</w:t>
            </w:r>
          </w:p>
        </w:tc>
        <w:tc>
          <w:tcPr>
            <w:tcW w:w="7797" w:type="dxa"/>
            <w:noWrap/>
            <w:vAlign w:val="center"/>
          </w:tcPr>
          <w:p>
            <w:pPr>
              <w:widowControl/>
              <w:ind w:right="105" w:rightChars="50"/>
              <w:jc w:val="left"/>
              <w:rPr>
                <w:rFonts w:ascii="宋体" w:hAnsi="宋体" w:cs="宋体"/>
                <w:color w:val="auto"/>
                <w:kern w:val="0"/>
                <w:sz w:val="24"/>
              </w:rPr>
            </w:pPr>
            <w:r>
              <w:rPr>
                <w:rFonts w:hint="eastAsia" w:ascii="宋体" w:hAnsi="宋体" w:cs="宋体"/>
                <w:color w:val="auto"/>
                <w:kern w:val="0"/>
                <w:sz w:val="24"/>
              </w:rPr>
              <w:t>氧乐果、克百威、百菌清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noWrap/>
            <w:vAlign w:val="center"/>
          </w:tcPr>
          <w:p>
            <w:pPr>
              <w:widowControl/>
              <w:adjustRightInd w:val="0"/>
              <w:snapToGrid w:val="0"/>
              <w:spacing w:beforeLines="20" w:afterLines="20"/>
              <w:jc w:val="center"/>
              <w:textAlignment w:val="center"/>
              <w:rPr>
                <w:rFonts w:ascii="宋体" w:hAnsi="宋体" w:cs="宋体"/>
                <w:color w:val="auto"/>
                <w:kern w:val="0"/>
                <w:sz w:val="24"/>
              </w:rPr>
            </w:pPr>
            <w:r>
              <w:rPr>
                <w:rFonts w:hint="eastAsia" w:ascii="宋体" w:hAnsi="宋体" w:cs="宋体"/>
                <w:color w:val="auto"/>
                <w:kern w:val="0"/>
                <w:sz w:val="24"/>
              </w:rPr>
              <w:t>豆类蔬菜</w:t>
            </w: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菜豆</w:t>
            </w:r>
          </w:p>
        </w:tc>
        <w:tc>
          <w:tcPr>
            <w:tcW w:w="7797" w:type="dxa"/>
            <w:noWrap/>
            <w:vAlign w:val="center"/>
          </w:tcPr>
          <w:p>
            <w:pPr>
              <w:widowControl/>
              <w:ind w:right="105" w:rightChars="50"/>
              <w:jc w:val="left"/>
              <w:rPr>
                <w:rFonts w:ascii="宋体" w:hAnsi="宋体" w:cs="宋体"/>
                <w:color w:val="auto"/>
                <w:kern w:val="0"/>
                <w:sz w:val="24"/>
              </w:rPr>
            </w:pPr>
            <w:r>
              <w:rPr>
                <w:rFonts w:hint="eastAsia" w:ascii="宋体" w:hAnsi="宋体" w:cs="宋体"/>
                <w:color w:val="auto"/>
                <w:kern w:val="0"/>
                <w:sz w:val="24"/>
              </w:rPr>
              <w:t>氧乐果、克百威、氯氟氰菊酯和高效氯氟氰菊酯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restart"/>
            <w:noWrap/>
            <w:vAlign w:val="center"/>
          </w:tcPr>
          <w:p>
            <w:pPr>
              <w:widowControl/>
              <w:adjustRightInd w:val="0"/>
              <w:snapToGrid w:val="0"/>
              <w:spacing w:beforeLines="20" w:afterLines="20"/>
              <w:jc w:val="center"/>
              <w:textAlignment w:val="center"/>
              <w:rPr>
                <w:rFonts w:ascii="宋体" w:hAnsi="宋体" w:cs="宋体"/>
                <w:color w:val="auto"/>
                <w:kern w:val="0"/>
                <w:sz w:val="24"/>
              </w:rPr>
            </w:pPr>
            <w:r>
              <w:rPr>
                <w:rFonts w:hint="eastAsia" w:ascii="宋体" w:hAnsi="宋体" w:cs="宋体"/>
                <w:color w:val="auto"/>
                <w:kern w:val="0"/>
                <w:sz w:val="24"/>
              </w:rPr>
              <w:t>根茎类和薯芋类蔬菜</w:t>
            </w: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马铃薯</w:t>
            </w:r>
          </w:p>
        </w:tc>
        <w:tc>
          <w:tcPr>
            <w:tcW w:w="7797" w:type="dxa"/>
            <w:noWrap/>
            <w:vAlign w:val="center"/>
          </w:tcPr>
          <w:p>
            <w:pPr>
              <w:widowControl/>
              <w:ind w:right="105" w:rightChars="50"/>
              <w:jc w:val="left"/>
              <w:rPr>
                <w:rFonts w:ascii="宋体" w:hAnsi="宋体" w:cs="宋体"/>
                <w:color w:val="auto"/>
                <w:kern w:val="0"/>
                <w:sz w:val="24"/>
              </w:rPr>
            </w:pPr>
            <w:r>
              <w:rPr>
                <w:rFonts w:hint="eastAsia" w:ascii="宋体" w:hAnsi="宋体" w:cs="宋体"/>
                <w:color w:val="auto"/>
                <w:kern w:val="0"/>
                <w:sz w:val="24"/>
              </w:rPr>
              <w:t>氯氟氰菊酯和高效氯氟氰菊酯、涕灭威、克百威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山药</w:t>
            </w:r>
          </w:p>
        </w:tc>
        <w:tc>
          <w:tcPr>
            <w:tcW w:w="7797" w:type="dxa"/>
            <w:noWrap/>
            <w:vAlign w:val="center"/>
          </w:tcPr>
          <w:p>
            <w:pPr>
              <w:widowControl/>
              <w:ind w:right="105" w:rightChars="50"/>
              <w:jc w:val="left"/>
              <w:rPr>
                <w:rFonts w:ascii="宋体" w:hAnsi="宋体" w:cs="宋体"/>
                <w:color w:val="auto"/>
                <w:kern w:val="0"/>
                <w:sz w:val="24"/>
              </w:rPr>
            </w:pPr>
            <w:r>
              <w:rPr>
                <w:rFonts w:hint="eastAsia" w:ascii="宋体" w:hAnsi="宋体" w:cs="宋体"/>
                <w:color w:val="auto"/>
                <w:kern w:val="0"/>
                <w:sz w:val="24"/>
              </w:rPr>
              <w:t>氯氟氰菊酯和高效氯氟氰菊酯、涕灭威、氧乐果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胡萝卜</w:t>
            </w:r>
          </w:p>
        </w:tc>
        <w:tc>
          <w:tcPr>
            <w:tcW w:w="7797" w:type="dxa"/>
            <w:noWrap/>
            <w:vAlign w:val="center"/>
          </w:tcPr>
          <w:p>
            <w:pPr>
              <w:widowControl/>
              <w:ind w:right="105" w:rightChars="50"/>
              <w:jc w:val="left"/>
              <w:rPr>
                <w:rFonts w:ascii="宋体" w:hAnsi="宋体" w:cs="宋体"/>
                <w:color w:val="auto"/>
                <w:kern w:val="0"/>
                <w:sz w:val="24"/>
              </w:rPr>
            </w:pPr>
            <w:r>
              <w:rPr>
                <w:rFonts w:hint="eastAsia" w:ascii="宋体" w:hAnsi="宋体" w:cs="宋体"/>
                <w:color w:val="auto"/>
                <w:kern w:val="0"/>
                <w:sz w:val="24"/>
              </w:rPr>
              <w:t>氯氟氰菊酯和高效氯氟氰菊酯、甲拌磷、辛硫磷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萝卜</w:t>
            </w:r>
          </w:p>
        </w:tc>
        <w:tc>
          <w:tcPr>
            <w:tcW w:w="7797" w:type="dxa"/>
            <w:noWrap/>
            <w:vAlign w:val="center"/>
          </w:tcPr>
          <w:p>
            <w:pPr>
              <w:widowControl/>
              <w:ind w:right="105" w:rightChars="50"/>
              <w:jc w:val="left"/>
              <w:rPr>
                <w:rFonts w:ascii="宋体" w:hAnsi="宋体" w:cs="宋体"/>
                <w:color w:val="auto"/>
                <w:kern w:val="0"/>
                <w:sz w:val="24"/>
              </w:rPr>
            </w:pPr>
            <w:r>
              <w:rPr>
                <w:rFonts w:hint="eastAsia" w:ascii="宋体" w:hAnsi="宋体" w:cs="宋体"/>
                <w:color w:val="auto"/>
                <w:kern w:val="0"/>
                <w:sz w:val="24"/>
              </w:rPr>
              <w:t>氯氟氰菊酯和高效氯氟氰菊酯、氟虫腈、氧乐果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姜</w:t>
            </w:r>
          </w:p>
        </w:tc>
        <w:tc>
          <w:tcPr>
            <w:tcW w:w="7797" w:type="dxa"/>
            <w:noWrap/>
            <w:vAlign w:val="center"/>
          </w:tcPr>
          <w:p>
            <w:pPr>
              <w:widowControl/>
              <w:ind w:right="105" w:rightChars="50"/>
              <w:jc w:val="left"/>
              <w:rPr>
                <w:rFonts w:ascii="宋体" w:hAnsi="宋体" w:cs="宋体"/>
                <w:color w:val="auto"/>
                <w:kern w:val="0"/>
                <w:sz w:val="24"/>
              </w:rPr>
            </w:pPr>
            <w:r>
              <w:rPr>
                <w:rFonts w:hint="eastAsia" w:ascii="宋体" w:hAnsi="宋体" w:cs="宋体"/>
                <w:color w:val="auto"/>
                <w:kern w:val="0"/>
                <w:sz w:val="24"/>
              </w:rPr>
              <w:t>氯氟氰菊酯和高效氯氟氰菊酯、氟虫腈、克百威、氯氰菊酯和高效氯氰菊酯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kern w:val="0"/>
                <w:sz w:val="24"/>
              </w:rPr>
            </w:pPr>
          </w:p>
        </w:tc>
        <w:tc>
          <w:tcPr>
            <w:tcW w:w="1391" w:type="dxa"/>
            <w:noWrap/>
            <w:vAlign w:val="center"/>
          </w:tcPr>
          <w:p>
            <w:pPr>
              <w:widowControl/>
              <w:adjustRightInd w:val="0"/>
              <w:snapToGrid w:val="0"/>
              <w:spacing w:beforeLines="20" w:afterLines="20"/>
              <w:jc w:val="center"/>
              <w:textAlignment w:val="center"/>
              <w:rPr>
                <w:rFonts w:ascii="宋体" w:hAnsi="宋体" w:cs="宋体"/>
                <w:color w:val="auto"/>
                <w:kern w:val="0"/>
                <w:sz w:val="24"/>
              </w:rPr>
            </w:pPr>
            <w:r>
              <w:rPr>
                <w:rFonts w:hint="eastAsia" w:ascii="宋体" w:hAnsi="宋体" w:cs="宋体"/>
                <w:color w:val="auto"/>
                <w:kern w:val="0"/>
                <w:sz w:val="24"/>
              </w:rPr>
              <w:t>水生类蔬菜</w:t>
            </w: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莲藕</w:t>
            </w:r>
          </w:p>
        </w:tc>
        <w:tc>
          <w:tcPr>
            <w:tcW w:w="7797" w:type="dxa"/>
            <w:noWrap/>
            <w:vAlign w:val="center"/>
          </w:tcPr>
          <w:p>
            <w:pPr>
              <w:widowControl/>
              <w:ind w:right="105" w:rightChars="50"/>
              <w:jc w:val="left"/>
              <w:rPr>
                <w:rFonts w:ascii="宋体" w:hAnsi="宋体" w:cs="宋体"/>
                <w:color w:val="auto"/>
                <w:kern w:val="0"/>
                <w:sz w:val="24"/>
              </w:rPr>
            </w:pPr>
            <w:r>
              <w:rPr>
                <w:rFonts w:hint="eastAsia" w:ascii="宋体" w:hAnsi="宋体" w:cs="宋体"/>
                <w:color w:val="auto"/>
                <w:kern w:val="0"/>
                <w:sz w:val="24"/>
              </w:rPr>
              <w:t>多菌灵、嘧菌酯、氧乐果、克百威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noWrap/>
            <w:vAlign w:val="center"/>
          </w:tcPr>
          <w:p>
            <w:pPr>
              <w:widowControl/>
              <w:adjustRightInd w:val="0"/>
              <w:snapToGrid w:val="0"/>
              <w:spacing w:beforeLines="20" w:afterLines="20"/>
              <w:jc w:val="center"/>
              <w:rPr>
                <w:rFonts w:ascii="宋体" w:hAnsi="宋体" w:cs="宋体"/>
                <w:color w:val="auto"/>
                <w:sz w:val="24"/>
              </w:rPr>
            </w:pPr>
            <w:r>
              <w:rPr>
                <w:rFonts w:hint="eastAsia" w:ascii="宋体" w:hAnsi="宋体" w:cs="宋体"/>
                <w:color w:val="auto"/>
                <w:sz w:val="24"/>
              </w:rPr>
              <w:t>3</w:t>
            </w:r>
          </w:p>
        </w:tc>
        <w:tc>
          <w:tcPr>
            <w:tcW w:w="1374" w:type="dxa"/>
            <w:noWrap/>
            <w:vAlign w:val="center"/>
          </w:tcPr>
          <w:p>
            <w:pPr>
              <w:widowControl/>
              <w:adjustRightInd w:val="0"/>
              <w:snapToGrid w:val="0"/>
              <w:spacing w:beforeLines="20" w:afterLines="20"/>
              <w:jc w:val="center"/>
              <w:rPr>
                <w:rFonts w:ascii="宋体" w:hAnsi="宋体" w:cs="宋体"/>
                <w:color w:val="auto"/>
                <w:sz w:val="24"/>
              </w:rPr>
            </w:pPr>
            <w:r>
              <w:rPr>
                <w:rFonts w:hint="eastAsia" w:ascii="宋体" w:hAnsi="宋体" w:cs="宋体"/>
                <w:color w:val="auto"/>
                <w:sz w:val="24"/>
              </w:rPr>
              <w:t>水产品</w:t>
            </w:r>
          </w:p>
        </w:tc>
        <w:tc>
          <w:tcPr>
            <w:tcW w:w="1391" w:type="dxa"/>
            <w:noWrap/>
            <w:vAlign w:val="center"/>
          </w:tcPr>
          <w:p>
            <w:pPr>
              <w:widowControl/>
              <w:adjustRightInd w:val="0"/>
              <w:snapToGrid w:val="0"/>
              <w:spacing w:beforeLines="20" w:afterLines="20"/>
              <w:jc w:val="center"/>
              <w:textAlignment w:val="center"/>
              <w:rPr>
                <w:rFonts w:ascii="宋体" w:hAnsi="宋体" w:cs="宋体"/>
                <w:color w:val="auto"/>
                <w:kern w:val="0"/>
                <w:sz w:val="24"/>
              </w:rPr>
            </w:pPr>
            <w:r>
              <w:rPr>
                <w:rFonts w:hint="eastAsia" w:ascii="宋体" w:hAnsi="宋体" w:cs="宋体"/>
                <w:color w:val="auto"/>
                <w:kern w:val="0"/>
                <w:sz w:val="24"/>
              </w:rPr>
              <w:t>其他水产品</w:t>
            </w: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其他水产品</w:t>
            </w:r>
          </w:p>
        </w:tc>
        <w:tc>
          <w:tcPr>
            <w:tcW w:w="7797" w:type="dxa"/>
            <w:noWrap/>
            <w:vAlign w:val="center"/>
          </w:tcPr>
          <w:p>
            <w:pPr>
              <w:widowControl/>
              <w:ind w:right="105" w:rightChars="50"/>
              <w:jc w:val="left"/>
              <w:rPr>
                <w:rFonts w:ascii="宋体" w:hAnsi="宋体" w:cs="宋体"/>
                <w:color w:val="auto"/>
                <w:kern w:val="0"/>
                <w:sz w:val="24"/>
              </w:rPr>
            </w:pPr>
            <w:r>
              <w:rPr>
                <w:rFonts w:hint="eastAsia" w:ascii="宋体" w:hAnsi="宋体" w:cs="宋体"/>
                <w:color w:val="auto"/>
                <w:kern w:val="0"/>
                <w:sz w:val="24"/>
              </w:rPr>
              <w:t>恩诺沙星、呋喃唑酮代谢物、氧氟沙星、氯霉素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restart"/>
            <w:noWrap/>
            <w:vAlign w:val="center"/>
          </w:tcPr>
          <w:p>
            <w:pPr>
              <w:widowControl/>
              <w:adjustRightInd w:val="0"/>
              <w:snapToGrid w:val="0"/>
              <w:spacing w:beforeLines="20" w:afterLines="20"/>
              <w:jc w:val="center"/>
              <w:rPr>
                <w:rFonts w:ascii="宋体" w:hAnsi="宋体" w:cs="宋体"/>
                <w:color w:val="auto"/>
                <w:sz w:val="24"/>
              </w:rPr>
            </w:pPr>
            <w:r>
              <w:rPr>
                <w:rFonts w:hint="eastAsia" w:ascii="宋体" w:hAnsi="宋体" w:cs="宋体"/>
                <w:color w:val="auto"/>
                <w:sz w:val="24"/>
              </w:rPr>
              <w:t>4</w:t>
            </w:r>
          </w:p>
        </w:tc>
        <w:tc>
          <w:tcPr>
            <w:tcW w:w="1374" w:type="dxa"/>
            <w:vMerge w:val="restart"/>
            <w:noWrap/>
            <w:vAlign w:val="center"/>
          </w:tcPr>
          <w:p>
            <w:pPr>
              <w:widowControl/>
              <w:adjustRightInd w:val="0"/>
              <w:snapToGrid w:val="0"/>
              <w:spacing w:beforeLines="20" w:afterLines="20"/>
              <w:jc w:val="center"/>
              <w:rPr>
                <w:rFonts w:ascii="宋体" w:hAnsi="宋体" w:cs="宋体"/>
                <w:color w:val="auto"/>
                <w:sz w:val="24"/>
              </w:rPr>
            </w:pPr>
            <w:r>
              <w:rPr>
                <w:rFonts w:hint="eastAsia" w:ascii="宋体" w:hAnsi="宋体" w:cs="宋体"/>
                <w:color w:val="auto"/>
                <w:sz w:val="24"/>
              </w:rPr>
              <w:t>水果类</w:t>
            </w:r>
          </w:p>
        </w:tc>
        <w:tc>
          <w:tcPr>
            <w:tcW w:w="1391" w:type="dxa"/>
            <w:vMerge w:val="restart"/>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仁果类</w:t>
            </w:r>
          </w:p>
        </w:tc>
        <w:tc>
          <w:tcPr>
            <w:tcW w:w="1960" w:type="dxa"/>
            <w:noWrap/>
            <w:vAlign w:val="center"/>
          </w:tcPr>
          <w:p>
            <w:pPr>
              <w:widowControl/>
              <w:ind w:firstLine="440"/>
              <w:jc w:val="center"/>
              <w:rPr>
                <w:rFonts w:ascii="宋体" w:hAnsi="宋体" w:cs="宋体"/>
                <w:color w:val="auto"/>
                <w:kern w:val="0"/>
                <w:sz w:val="24"/>
              </w:rPr>
            </w:pPr>
            <w:r>
              <w:rPr>
                <w:rFonts w:hint="eastAsia" w:ascii="宋体" w:hAnsi="宋体" w:cs="宋体"/>
                <w:color w:val="auto"/>
                <w:kern w:val="0"/>
                <w:sz w:val="24"/>
              </w:rPr>
              <w:t>苹果</w:t>
            </w:r>
          </w:p>
        </w:tc>
        <w:tc>
          <w:tcPr>
            <w:tcW w:w="7797" w:type="dxa"/>
            <w:noWrap/>
            <w:vAlign w:val="center"/>
          </w:tcPr>
          <w:p>
            <w:pPr>
              <w:widowControl/>
              <w:jc w:val="left"/>
              <w:rPr>
                <w:rFonts w:ascii="宋体" w:hAnsi="宋体" w:cs="宋体"/>
                <w:color w:val="auto"/>
                <w:kern w:val="0"/>
                <w:sz w:val="24"/>
              </w:rPr>
            </w:pPr>
            <w:r>
              <w:rPr>
                <w:rFonts w:hint="eastAsia" w:ascii="宋体" w:hAnsi="宋体" w:cs="宋体"/>
                <w:color w:val="auto"/>
                <w:kern w:val="0"/>
                <w:sz w:val="24"/>
              </w:rPr>
              <w:t>丙溴磷、毒死蜱、氧乐果、克百威、三唑醇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ind w:firstLine="440"/>
              <w:jc w:val="center"/>
              <w:rPr>
                <w:rFonts w:ascii="宋体" w:hAnsi="宋体" w:cs="宋体"/>
                <w:color w:val="auto"/>
                <w:kern w:val="0"/>
                <w:sz w:val="24"/>
              </w:rPr>
            </w:pPr>
            <w:r>
              <w:rPr>
                <w:rFonts w:hint="eastAsia" w:ascii="宋体" w:hAnsi="宋体" w:cs="宋体"/>
                <w:color w:val="auto"/>
                <w:kern w:val="0"/>
                <w:sz w:val="24"/>
              </w:rPr>
              <w:t>梨</w:t>
            </w:r>
          </w:p>
        </w:tc>
        <w:tc>
          <w:tcPr>
            <w:tcW w:w="7797" w:type="dxa"/>
            <w:noWrap/>
            <w:vAlign w:val="center"/>
          </w:tcPr>
          <w:p>
            <w:pPr>
              <w:widowControl/>
              <w:jc w:val="left"/>
              <w:rPr>
                <w:rFonts w:ascii="宋体" w:hAnsi="宋体" w:cs="宋体"/>
                <w:color w:val="auto"/>
                <w:kern w:val="0"/>
                <w:sz w:val="24"/>
              </w:rPr>
            </w:pPr>
            <w:r>
              <w:rPr>
                <w:rFonts w:hint="eastAsia" w:ascii="宋体" w:hAnsi="宋体" w:cs="宋体"/>
                <w:color w:val="auto"/>
                <w:kern w:val="0"/>
                <w:sz w:val="24"/>
              </w:rPr>
              <w:t>克百威、水胺硫磷、氧乐果、氯氟氰菊酯和高效氯氟氰菊酯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restart"/>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核果类水果</w:t>
            </w:r>
          </w:p>
        </w:tc>
        <w:tc>
          <w:tcPr>
            <w:tcW w:w="1960" w:type="dxa"/>
            <w:noWrap/>
            <w:vAlign w:val="center"/>
          </w:tcPr>
          <w:p>
            <w:pPr>
              <w:widowControl/>
              <w:ind w:firstLine="440"/>
              <w:jc w:val="center"/>
              <w:rPr>
                <w:rFonts w:ascii="宋体" w:hAnsi="宋体" w:cs="宋体"/>
                <w:color w:val="auto"/>
                <w:kern w:val="0"/>
                <w:sz w:val="24"/>
              </w:rPr>
            </w:pPr>
            <w:r>
              <w:rPr>
                <w:rFonts w:hint="eastAsia" w:ascii="宋体" w:hAnsi="宋体" w:cs="宋体"/>
                <w:color w:val="auto"/>
                <w:kern w:val="0"/>
                <w:sz w:val="24"/>
              </w:rPr>
              <w:t>桃</w:t>
            </w:r>
          </w:p>
        </w:tc>
        <w:tc>
          <w:tcPr>
            <w:tcW w:w="7797" w:type="dxa"/>
            <w:noWrap/>
            <w:vAlign w:val="center"/>
          </w:tcPr>
          <w:p>
            <w:pPr>
              <w:widowControl/>
              <w:jc w:val="left"/>
              <w:rPr>
                <w:rFonts w:ascii="宋体" w:hAnsi="宋体" w:cs="宋体"/>
                <w:color w:val="auto"/>
                <w:kern w:val="0"/>
                <w:sz w:val="24"/>
              </w:rPr>
            </w:pPr>
            <w:r>
              <w:rPr>
                <w:rFonts w:hint="eastAsia" w:ascii="宋体" w:hAnsi="宋体" w:cs="宋体"/>
                <w:color w:val="auto"/>
                <w:kern w:val="0"/>
                <w:sz w:val="24"/>
              </w:rPr>
              <w:t>甲胺磷、多菌灵、苯醚甲环唑、克百威、氟虫腈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ind w:firstLine="440"/>
              <w:jc w:val="center"/>
              <w:rPr>
                <w:rFonts w:ascii="宋体" w:hAnsi="宋体" w:cs="宋体"/>
                <w:color w:val="auto"/>
                <w:kern w:val="0"/>
                <w:sz w:val="24"/>
              </w:rPr>
            </w:pPr>
            <w:r>
              <w:rPr>
                <w:rFonts w:hint="eastAsia" w:ascii="宋体" w:hAnsi="宋体" w:cs="宋体"/>
                <w:color w:val="auto"/>
                <w:kern w:val="0"/>
                <w:sz w:val="24"/>
              </w:rPr>
              <w:t>油桃</w:t>
            </w:r>
          </w:p>
        </w:tc>
        <w:tc>
          <w:tcPr>
            <w:tcW w:w="7797" w:type="dxa"/>
            <w:noWrap/>
            <w:vAlign w:val="center"/>
          </w:tcPr>
          <w:p>
            <w:pPr>
              <w:widowControl/>
              <w:jc w:val="left"/>
              <w:rPr>
                <w:rFonts w:ascii="宋体" w:hAnsi="宋体" w:cs="宋体"/>
                <w:color w:val="auto"/>
                <w:kern w:val="0"/>
                <w:sz w:val="24"/>
              </w:rPr>
            </w:pPr>
            <w:r>
              <w:rPr>
                <w:rFonts w:hint="eastAsia" w:ascii="宋体" w:hAnsi="宋体" w:cs="宋体"/>
                <w:color w:val="auto"/>
                <w:kern w:val="0"/>
                <w:sz w:val="24"/>
              </w:rPr>
              <w:t>多菌灵、甲胺磷、氧乐果、克百威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ind w:firstLine="440"/>
              <w:jc w:val="center"/>
              <w:rPr>
                <w:rFonts w:ascii="宋体" w:hAnsi="宋体" w:cs="宋体"/>
                <w:color w:val="auto"/>
                <w:kern w:val="0"/>
                <w:sz w:val="24"/>
              </w:rPr>
            </w:pPr>
            <w:r>
              <w:rPr>
                <w:rFonts w:hint="eastAsia" w:ascii="宋体" w:hAnsi="宋体" w:cs="宋体"/>
                <w:color w:val="auto"/>
                <w:kern w:val="0"/>
                <w:sz w:val="24"/>
              </w:rPr>
              <w:t>枣</w:t>
            </w:r>
          </w:p>
        </w:tc>
        <w:tc>
          <w:tcPr>
            <w:tcW w:w="7797" w:type="dxa"/>
            <w:noWrap/>
            <w:vAlign w:val="center"/>
          </w:tcPr>
          <w:p>
            <w:pPr>
              <w:widowControl/>
              <w:jc w:val="left"/>
              <w:rPr>
                <w:rFonts w:ascii="宋体" w:hAnsi="宋体" w:cs="宋体"/>
                <w:color w:val="auto"/>
                <w:kern w:val="0"/>
                <w:sz w:val="24"/>
              </w:rPr>
            </w:pPr>
            <w:r>
              <w:rPr>
                <w:rFonts w:hint="eastAsia" w:ascii="宋体" w:hAnsi="宋体" w:cs="宋体"/>
                <w:color w:val="auto"/>
                <w:kern w:val="0"/>
                <w:sz w:val="24"/>
              </w:rPr>
              <w:t>氧乐果、多菌灵、甲胺磷、糖精钠（以糖精计）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restart"/>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热带和亚热带水果</w:t>
            </w:r>
          </w:p>
        </w:tc>
        <w:tc>
          <w:tcPr>
            <w:tcW w:w="1960" w:type="dxa"/>
            <w:noWrap/>
            <w:vAlign w:val="center"/>
          </w:tcPr>
          <w:p>
            <w:pPr>
              <w:widowControl/>
              <w:ind w:firstLine="440"/>
              <w:jc w:val="center"/>
              <w:rPr>
                <w:rFonts w:ascii="宋体" w:hAnsi="宋体" w:cs="宋体"/>
                <w:color w:val="auto"/>
                <w:kern w:val="0"/>
                <w:sz w:val="24"/>
              </w:rPr>
            </w:pPr>
            <w:r>
              <w:rPr>
                <w:rFonts w:hint="eastAsia" w:ascii="宋体" w:hAnsi="宋体" w:cs="宋体"/>
                <w:color w:val="auto"/>
                <w:kern w:val="0"/>
                <w:sz w:val="24"/>
              </w:rPr>
              <w:t>芒果</w:t>
            </w:r>
          </w:p>
        </w:tc>
        <w:tc>
          <w:tcPr>
            <w:tcW w:w="7797" w:type="dxa"/>
            <w:noWrap/>
            <w:vAlign w:val="center"/>
          </w:tcPr>
          <w:p>
            <w:pPr>
              <w:widowControl/>
              <w:jc w:val="left"/>
              <w:rPr>
                <w:rFonts w:ascii="宋体" w:hAnsi="宋体" w:cs="宋体"/>
                <w:color w:val="auto"/>
                <w:kern w:val="0"/>
                <w:sz w:val="24"/>
              </w:rPr>
            </w:pPr>
            <w:r>
              <w:rPr>
                <w:rFonts w:hint="eastAsia" w:ascii="宋体" w:hAnsi="宋体" w:cs="宋体"/>
                <w:color w:val="auto"/>
                <w:kern w:val="0"/>
                <w:sz w:val="24"/>
              </w:rPr>
              <w:t>氧乐果、多菌灵、嘧菌酯、苯醚甲环唑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火龙果</w:t>
            </w:r>
          </w:p>
        </w:tc>
        <w:tc>
          <w:tcPr>
            <w:tcW w:w="7797" w:type="dxa"/>
            <w:noWrap/>
            <w:vAlign w:val="center"/>
          </w:tcPr>
          <w:p>
            <w:pPr>
              <w:widowControl/>
              <w:jc w:val="left"/>
              <w:rPr>
                <w:rFonts w:ascii="宋体" w:hAnsi="宋体" w:cs="宋体"/>
                <w:color w:val="auto"/>
                <w:kern w:val="0"/>
                <w:sz w:val="24"/>
              </w:rPr>
            </w:pPr>
            <w:r>
              <w:rPr>
                <w:rFonts w:hint="eastAsia" w:ascii="宋体" w:hAnsi="宋体" w:cs="宋体"/>
                <w:color w:val="auto"/>
                <w:kern w:val="0"/>
                <w:sz w:val="24"/>
              </w:rPr>
              <w:t>氟虫腈、甲胺磷、甲拌磷、克百威、氧乐果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荔枝</w:t>
            </w:r>
          </w:p>
        </w:tc>
        <w:tc>
          <w:tcPr>
            <w:tcW w:w="7797" w:type="dxa"/>
            <w:noWrap/>
            <w:vAlign w:val="center"/>
          </w:tcPr>
          <w:p>
            <w:pPr>
              <w:widowControl/>
              <w:jc w:val="left"/>
              <w:rPr>
                <w:rFonts w:ascii="宋体" w:hAnsi="宋体" w:cs="宋体"/>
                <w:color w:val="auto"/>
                <w:kern w:val="0"/>
                <w:sz w:val="24"/>
              </w:rPr>
            </w:pPr>
            <w:r>
              <w:rPr>
                <w:rFonts w:hint="eastAsia" w:ascii="宋体" w:hAnsi="宋体" w:cs="宋体"/>
                <w:color w:val="auto"/>
                <w:kern w:val="0"/>
                <w:sz w:val="24"/>
              </w:rPr>
              <w:t>氧乐果、毒死蜱、氯氰菊酯和高效氯氰菊酯、三唑磷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龙眼</w:t>
            </w:r>
          </w:p>
        </w:tc>
        <w:tc>
          <w:tcPr>
            <w:tcW w:w="7797" w:type="dxa"/>
            <w:noWrap/>
            <w:vAlign w:val="center"/>
          </w:tcPr>
          <w:p>
            <w:pPr>
              <w:widowControl/>
              <w:jc w:val="left"/>
              <w:rPr>
                <w:rFonts w:ascii="宋体" w:hAnsi="宋体" w:cs="宋体"/>
                <w:color w:val="auto"/>
                <w:kern w:val="0"/>
                <w:sz w:val="24"/>
              </w:rPr>
            </w:pPr>
            <w:r>
              <w:rPr>
                <w:rFonts w:hint="eastAsia" w:ascii="宋体" w:hAnsi="宋体" w:cs="宋体"/>
                <w:color w:val="auto"/>
                <w:kern w:val="0"/>
                <w:sz w:val="24"/>
              </w:rPr>
              <w:t>氧乐果、甲胺磷、克百威、敌敌畏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菠萝</w:t>
            </w:r>
          </w:p>
        </w:tc>
        <w:tc>
          <w:tcPr>
            <w:tcW w:w="7797" w:type="dxa"/>
            <w:noWrap/>
            <w:vAlign w:val="center"/>
          </w:tcPr>
          <w:p>
            <w:pPr>
              <w:widowControl/>
              <w:jc w:val="left"/>
              <w:rPr>
                <w:rFonts w:ascii="宋体" w:hAnsi="宋体" w:cs="宋体"/>
                <w:color w:val="auto"/>
                <w:kern w:val="0"/>
                <w:sz w:val="24"/>
              </w:rPr>
            </w:pPr>
            <w:r>
              <w:rPr>
                <w:rFonts w:hint="eastAsia" w:ascii="宋体" w:hAnsi="宋体" w:cs="宋体"/>
                <w:color w:val="auto"/>
                <w:kern w:val="0"/>
                <w:sz w:val="24"/>
              </w:rPr>
              <w:t>多菌灵、烯酰吗啉、灭多威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restart"/>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柑橘类水果</w:t>
            </w: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柚</w:t>
            </w:r>
          </w:p>
        </w:tc>
        <w:tc>
          <w:tcPr>
            <w:tcW w:w="7797" w:type="dxa"/>
            <w:noWrap/>
            <w:vAlign w:val="center"/>
          </w:tcPr>
          <w:p>
            <w:pPr>
              <w:widowControl/>
              <w:jc w:val="left"/>
              <w:rPr>
                <w:rFonts w:ascii="宋体" w:hAnsi="宋体" w:cs="宋体"/>
                <w:color w:val="auto"/>
                <w:kern w:val="0"/>
                <w:sz w:val="24"/>
              </w:rPr>
            </w:pPr>
            <w:r>
              <w:rPr>
                <w:rFonts w:hint="eastAsia" w:ascii="宋体" w:hAnsi="宋体" w:cs="宋体"/>
                <w:color w:val="auto"/>
                <w:kern w:val="0"/>
                <w:sz w:val="24"/>
              </w:rPr>
              <w:t>辛硫磷、水胺硫磷、氟虫腈、联苯菊酯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金桔</w:t>
            </w:r>
          </w:p>
        </w:tc>
        <w:tc>
          <w:tcPr>
            <w:tcW w:w="7797" w:type="dxa"/>
            <w:noWrap/>
            <w:vAlign w:val="center"/>
          </w:tcPr>
          <w:p>
            <w:pPr>
              <w:widowControl/>
              <w:jc w:val="left"/>
              <w:rPr>
                <w:rFonts w:ascii="宋体" w:hAnsi="宋体" w:cs="宋体"/>
                <w:color w:val="auto"/>
                <w:kern w:val="0"/>
                <w:sz w:val="24"/>
              </w:rPr>
            </w:pPr>
            <w:r>
              <w:rPr>
                <w:rFonts w:hint="eastAsia" w:ascii="宋体" w:hAnsi="宋体" w:cs="宋体"/>
                <w:color w:val="auto"/>
                <w:kern w:val="0"/>
                <w:sz w:val="24"/>
              </w:rPr>
              <w:t>甲胺磷、苯醚甲环唑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restart"/>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浆果和其他小型水果</w:t>
            </w: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葡萄</w:t>
            </w:r>
          </w:p>
        </w:tc>
        <w:tc>
          <w:tcPr>
            <w:tcW w:w="7797" w:type="dxa"/>
            <w:noWrap/>
            <w:vAlign w:val="center"/>
          </w:tcPr>
          <w:p>
            <w:pPr>
              <w:widowControl/>
              <w:jc w:val="left"/>
              <w:rPr>
                <w:rFonts w:ascii="宋体" w:hAnsi="宋体" w:cs="宋体"/>
                <w:color w:val="auto"/>
                <w:kern w:val="0"/>
                <w:sz w:val="24"/>
              </w:rPr>
            </w:pPr>
            <w:r>
              <w:rPr>
                <w:rFonts w:hint="eastAsia" w:ascii="宋体" w:hAnsi="宋体" w:cs="宋体"/>
                <w:color w:val="auto"/>
                <w:kern w:val="0"/>
                <w:sz w:val="24"/>
              </w:rPr>
              <w:t>苯醚甲环唑、氯氟氰菊酯和高效氯氟氰菊酯、克百威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西番莲（百香果）</w:t>
            </w:r>
          </w:p>
        </w:tc>
        <w:tc>
          <w:tcPr>
            <w:tcW w:w="7797" w:type="dxa"/>
            <w:noWrap/>
            <w:vAlign w:val="center"/>
          </w:tcPr>
          <w:p>
            <w:pPr>
              <w:widowControl/>
              <w:jc w:val="left"/>
              <w:rPr>
                <w:rFonts w:ascii="宋体" w:hAnsi="宋体" w:cs="宋体"/>
                <w:color w:val="auto"/>
                <w:kern w:val="0"/>
                <w:sz w:val="24"/>
              </w:rPr>
            </w:pPr>
            <w:r>
              <w:rPr>
                <w:rFonts w:hint="eastAsia" w:ascii="宋体" w:hAnsi="宋体" w:cs="宋体"/>
                <w:color w:val="auto"/>
                <w:kern w:val="0"/>
                <w:sz w:val="24"/>
              </w:rPr>
              <w:t>苯醚甲环唑、戊唑醇、氯氟氰菊酯和高效氯氟氰菊酯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猕猴桃</w:t>
            </w:r>
          </w:p>
        </w:tc>
        <w:tc>
          <w:tcPr>
            <w:tcW w:w="7797" w:type="dxa"/>
            <w:noWrap/>
            <w:vAlign w:val="center"/>
          </w:tcPr>
          <w:p>
            <w:pPr>
              <w:widowControl/>
              <w:jc w:val="left"/>
              <w:rPr>
                <w:rFonts w:ascii="宋体" w:hAnsi="宋体" w:cs="宋体"/>
                <w:color w:val="auto"/>
                <w:kern w:val="0"/>
                <w:sz w:val="24"/>
              </w:rPr>
            </w:pPr>
            <w:r>
              <w:rPr>
                <w:rFonts w:hint="eastAsia" w:ascii="宋体" w:hAnsi="宋体" w:cs="宋体"/>
                <w:color w:val="auto"/>
                <w:kern w:val="0"/>
                <w:sz w:val="24"/>
              </w:rPr>
              <w:t>敌敌畏、多菌灵、氧乐果、氯吡脲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restart"/>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瓜果类水果</w:t>
            </w: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西瓜</w:t>
            </w:r>
          </w:p>
        </w:tc>
        <w:tc>
          <w:tcPr>
            <w:tcW w:w="7797" w:type="dxa"/>
            <w:noWrap/>
            <w:vAlign w:val="center"/>
          </w:tcPr>
          <w:p>
            <w:pPr>
              <w:widowControl/>
              <w:jc w:val="left"/>
              <w:rPr>
                <w:rFonts w:ascii="宋体" w:hAnsi="宋体" w:cs="宋体"/>
                <w:color w:val="auto"/>
                <w:kern w:val="0"/>
                <w:sz w:val="24"/>
              </w:rPr>
            </w:pPr>
            <w:r>
              <w:rPr>
                <w:rFonts w:hint="eastAsia" w:ascii="宋体" w:hAnsi="宋体" w:cs="宋体"/>
                <w:color w:val="auto"/>
                <w:kern w:val="0"/>
                <w:sz w:val="24"/>
              </w:rPr>
              <w:t>敌敌畏、甲胺磷、克百威、氧乐果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vMerge w:val="continue"/>
            <w:noWrap/>
            <w:vAlign w:val="center"/>
          </w:tcPr>
          <w:p>
            <w:pPr>
              <w:widowControl/>
              <w:jc w:val="left"/>
              <w:rPr>
                <w:rFonts w:ascii="宋体" w:hAnsi="宋体" w:cs="宋体"/>
                <w:color w:val="auto"/>
                <w:sz w:val="24"/>
              </w:rPr>
            </w:pPr>
          </w:p>
        </w:tc>
        <w:tc>
          <w:tcPr>
            <w:tcW w:w="1374" w:type="dxa"/>
            <w:vMerge w:val="continue"/>
            <w:noWrap/>
            <w:vAlign w:val="center"/>
          </w:tcPr>
          <w:p>
            <w:pPr>
              <w:widowControl/>
              <w:jc w:val="left"/>
              <w:rPr>
                <w:rFonts w:ascii="宋体" w:hAnsi="宋体" w:cs="宋体"/>
                <w:color w:val="auto"/>
                <w:sz w:val="24"/>
              </w:rPr>
            </w:pPr>
          </w:p>
        </w:tc>
        <w:tc>
          <w:tcPr>
            <w:tcW w:w="1391" w:type="dxa"/>
            <w:vMerge w:val="continue"/>
            <w:noWrap/>
            <w:vAlign w:val="center"/>
          </w:tcPr>
          <w:p>
            <w:pPr>
              <w:widowControl/>
              <w:jc w:val="left"/>
              <w:rPr>
                <w:rFonts w:ascii="宋体" w:hAnsi="宋体" w:cs="宋体"/>
                <w:color w:val="auto"/>
                <w:kern w:val="0"/>
                <w:sz w:val="24"/>
              </w:rPr>
            </w:pP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甜瓜类</w:t>
            </w:r>
          </w:p>
        </w:tc>
        <w:tc>
          <w:tcPr>
            <w:tcW w:w="7797" w:type="dxa"/>
            <w:noWrap/>
            <w:vAlign w:val="center"/>
          </w:tcPr>
          <w:p>
            <w:pPr>
              <w:widowControl/>
              <w:jc w:val="left"/>
              <w:rPr>
                <w:rFonts w:ascii="宋体" w:hAnsi="宋体" w:cs="宋体"/>
                <w:color w:val="auto"/>
                <w:kern w:val="0"/>
                <w:sz w:val="24"/>
              </w:rPr>
            </w:pPr>
            <w:r>
              <w:rPr>
                <w:rFonts w:hint="eastAsia" w:ascii="宋体" w:hAnsi="宋体" w:cs="宋体"/>
                <w:color w:val="auto"/>
                <w:kern w:val="0"/>
                <w:sz w:val="24"/>
              </w:rPr>
              <w:t>甲基异柳磷、克百威、氧乐果、烯酰吗啉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867"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5</w:t>
            </w:r>
          </w:p>
        </w:tc>
        <w:tc>
          <w:tcPr>
            <w:tcW w:w="1374"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鲜蛋</w:t>
            </w:r>
          </w:p>
        </w:tc>
        <w:tc>
          <w:tcPr>
            <w:tcW w:w="1391" w:type="dxa"/>
            <w:noWrap/>
            <w:vAlign w:val="center"/>
          </w:tcPr>
          <w:p>
            <w:pPr>
              <w:widowControl/>
              <w:adjustRightInd w:val="0"/>
              <w:snapToGrid w:val="0"/>
              <w:spacing w:beforeLines="20" w:afterLines="20"/>
              <w:jc w:val="center"/>
              <w:textAlignment w:val="center"/>
              <w:rPr>
                <w:rFonts w:ascii="宋体" w:hAnsi="宋体" w:cs="宋体"/>
                <w:color w:val="auto"/>
                <w:sz w:val="24"/>
              </w:rPr>
            </w:pPr>
            <w:r>
              <w:rPr>
                <w:rFonts w:hint="eastAsia" w:ascii="宋体" w:hAnsi="宋体" w:cs="宋体"/>
                <w:color w:val="auto"/>
                <w:kern w:val="0"/>
                <w:sz w:val="24"/>
              </w:rPr>
              <w:t>鲜蛋</w:t>
            </w:r>
          </w:p>
        </w:tc>
        <w:tc>
          <w:tcPr>
            <w:tcW w:w="1960" w:type="dxa"/>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其他禽蛋</w:t>
            </w:r>
          </w:p>
        </w:tc>
        <w:tc>
          <w:tcPr>
            <w:tcW w:w="7797" w:type="dxa"/>
            <w:noWrap/>
            <w:vAlign w:val="center"/>
          </w:tcPr>
          <w:p>
            <w:pPr>
              <w:widowControl/>
              <w:ind w:left="105" w:leftChars="50" w:right="105" w:rightChars="50"/>
              <w:jc w:val="left"/>
              <w:rPr>
                <w:rFonts w:ascii="宋体" w:hAnsi="宋体" w:cs="宋体"/>
                <w:color w:val="auto"/>
                <w:kern w:val="0"/>
                <w:sz w:val="24"/>
              </w:rPr>
            </w:pPr>
            <w:r>
              <w:rPr>
                <w:rFonts w:hint="eastAsia" w:ascii="宋体" w:hAnsi="宋体" w:cs="宋体"/>
                <w:color w:val="auto"/>
                <w:kern w:val="0"/>
                <w:sz w:val="24"/>
              </w:rPr>
              <w:t>恩诺沙星、氟苯尼考、氧氟沙星</w:t>
            </w:r>
          </w:p>
        </w:tc>
      </w:tr>
    </w:tbl>
    <w:p>
      <w:pPr>
        <w:rPr>
          <w:rFonts w:ascii="宋体" w:hAnsi="宋体" w:cs="宋体"/>
          <w:color w:val="auto"/>
          <w:szCs w:val="21"/>
        </w:rPr>
        <w:sectPr>
          <w:headerReference r:id="rId10" w:type="default"/>
          <w:headerReference r:id="rId11" w:type="even"/>
          <w:pgSz w:w="16838" w:h="11906" w:orient="landscape"/>
          <w:pgMar w:top="1587" w:right="2098" w:bottom="1474" w:left="1985" w:header="851" w:footer="992" w:gutter="0"/>
          <w:cols w:space="720" w:num="1"/>
          <w:docGrid w:type="lines" w:linePitch="315" w:charSpace="0"/>
        </w:sectPr>
      </w:pPr>
      <w:r>
        <w:rPr>
          <w:rFonts w:hint="eastAsia" w:ascii="宋体" w:hAnsi="宋体" w:cs="宋体"/>
          <w:color w:val="auto"/>
          <w:szCs w:val="21"/>
        </w:rPr>
        <w:t>备注：1.各市县食用农产品抽检应完成指定的必检品种，以问题为导向的原则选择所需的自选品种抽检；2.对于表中未能覆盖到的品种和项目，各市县可列入本市县抽检任务内。</w:t>
      </w:r>
    </w:p>
    <w:tbl>
      <w:tblPr>
        <w:tblStyle w:val="24"/>
        <w:tblW w:w="14590" w:type="dxa"/>
        <w:tblInd w:w="0" w:type="dxa"/>
        <w:tblLayout w:type="fixed"/>
        <w:tblCellMar>
          <w:top w:w="0" w:type="dxa"/>
          <w:left w:w="0" w:type="dxa"/>
          <w:bottom w:w="0" w:type="dxa"/>
          <w:right w:w="0" w:type="dxa"/>
        </w:tblCellMar>
      </w:tblPr>
      <w:tblGrid>
        <w:gridCol w:w="1380"/>
        <w:gridCol w:w="1320"/>
        <w:gridCol w:w="1515"/>
        <w:gridCol w:w="3325"/>
        <w:gridCol w:w="705"/>
        <w:gridCol w:w="705"/>
        <w:gridCol w:w="735"/>
        <w:gridCol w:w="705"/>
        <w:gridCol w:w="735"/>
        <w:gridCol w:w="735"/>
        <w:gridCol w:w="705"/>
        <w:gridCol w:w="705"/>
        <w:gridCol w:w="705"/>
        <w:gridCol w:w="615"/>
      </w:tblGrid>
      <w:tr>
        <w:tblPrEx>
          <w:tblCellMar>
            <w:top w:w="0" w:type="dxa"/>
            <w:left w:w="0" w:type="dxa"/>
            <w:bottom w:w="0" w:type="dxa"/>
            <w:right w:w="0" w:type="dxa"/>
          </w:tblCellMar>
        </w:tblPrEx>
        <w:trPr>
          <w:trHeight w:val="510" w:hRule="atLeast"/>
        </w:trPr>
        <w:tc>
          <w:tcPr>
            <w:tcW w:w="14590" w:type="dxa"/>
            <w:gridSpan w:val="14"/>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32"/>
                <w:szCs w:val="32"/>
              </w:rPr>
            </w:pPr>
            <w:r>
              <w:rPr>
                <w:rFonts w:hint="eastAsia" w:ascii="宋体" w:hAnsi="宋体" w:cs="宋体"/>
                <w:b/>
                <w:color w:val="auto"/>
                <w:kern w:val="0"/>
                <w:sz w:val="32"/>
                <w:szCs w:val="32"/>
              </w:rPr>
              <w:t>2020年区局转移市、县食用农产品监督抽检任务分配表</w:t>
            </w:r>
          </w:p>
        </w:tc>
      </w:tr>
      <w:tr>
        <w:tblPrEx>
          <w:tblCellMar>
            <w:top w:w="0" w:type="dxa"/>
            <w:left w:w="0" w:type="dxa"/>
            <w:bottom w:w="0" w:type="dxa"/>
            <w:right w:w="0" w:type="dxa"/>
          </w:tblCellMar>
        </w:tblPrEx>
        <w:trPr>
          <w:trHeight w:val="675"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食品大类(一级）</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食品亚类(二级）</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食品品种（三级）</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食品细类（四级）</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宜州</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罗城</w:t>
            </w:r>
          </w:p>
        </w:tc>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南丹</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天峨</w:t>
            </w:r>
          </w:p>
        </w:tc>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东兰</w:t>
            </w:r>
          </w:p>
        </w:tc>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巴马</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凤山</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都安</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大化</w:t>
            </w:r>
          </w:p>
        </w:tc>
        <w:tc>
          <w:tcPr>
            <w:tcW w:w="6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rPr>
              <w:t>合计</w:t>
            </w:r>
          </w:p>
        </w:tc>
      </w:tr>
      <w:tr>
        <w:tblPrEx>
          <w:tblCellMar>
            <w:top w:w="0" w:type="dxa"/>
            <w:left w:w="0" w:type="dxa"/>
            <w:bottom w:w="0" w:type="dxa"/>
            <w:right w:w="0" w:type="dxa"/>
          </w:tblCellMar>
        </w:tblPrEx>
        <w:trPr>
          <w:trHeight w:val="420"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食用农产品</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畜禽肉及副产品</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畜肉</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猪肉</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180</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牛肉</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90</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羊肉</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45</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畜副产品</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猪肝</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90</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禽肉</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鸡肉（重点品种：乌鸡）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90</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    鸭肉</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鲜蛋</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鲜蛋</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鸡蛋</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180</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蔬菜</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鳞茎类蔬菜</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韭菜</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180</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葱</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90</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叶菜类蔬菜</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芹菜</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90</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菠菜</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90</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普通白菜</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180</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油麦菜</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90</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莴笋</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90</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芸薹属类蔬菜</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  结球甘蓝</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90</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茄果类蔬菜</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辣椒</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180</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根茎类和薯芋类蔬菜</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姜</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165</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豆类蔬菜</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豇豆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180</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蔬菜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豆芽</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豆芽</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180</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水产品</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贝类</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贝类（重点品种：花蛤、花螺等）</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淡水产品</w:t>
            </w:r>
          </w:p>
        </w:tc>
        <w:tc>
          <w:tcPr>
            <w:tcW w:w="3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淡水鱼（重点品种：黄颡鱼、鲶鱼、鳊鱼、鲈鱼、鲫鱼、黑鱼、草鱼、鲤鱼、鲢鱼、鳙鱼、鳜鱼、黄鳝 等）</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57</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3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淡水虾</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45</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淡水蟹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海水产品</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海水鱼（重点品种：多宝鱼、黄鱼、海鲈 鱼等）</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海水虾（重点品种：虾蛄、基围虾等）</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水产品</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海水蟹（重点品种：梭子蟹等）</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水果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热带和亚热带水果</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香蕉</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93</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核果类水果</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油桃</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90</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柑橘类水果</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柑、橘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84</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橙</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75</w:t>
            </w:r>
          </w:p>
        </w:tc>
      </w:tr>
      <w:tr>
        <w:tblPrEx>
          <w:tblCellMar>
            <w:top w:w="0" w:type="dxa"/>
            <w:left w:w="0" w:type="dxa"/>
            <w:bottom w:w="0" w:type="dxa"/>
            <w:right w:w="0" w:type="dxa"/>
          </w:tblCellMar>
        </w:tblPrEx>
        <w:trPr>
          <w:trHeight w:val="42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浆果和其他小型水果</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草莓</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w:t>
            </w:r>
          </w:p>
        </w:tc>
      </w:tr>
      <w:tr>
        <w:tblPrEx>
          <w:tblCellMar>
            <w:top w:w="0" w:type="dxa"/>
            <w:left w:w="0" w:type="dxa"/>
            <w:bottom w:w="0" w:type="dxa"/>
            <w:right w:w="0" w:type="dxa"/>
          </w:tblCellMar>
        </w:tblPrEx>
        <w:trPr>
          <w:trHeight w:val="420" w:hRule="atLeast"/>
        </w:trPr>
        <w:tc>
          <w:tcPr>
            <w:tcW w:w="75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合计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336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313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336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309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309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313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313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336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309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2874</w:t>
            </w:r>
          </w:p>
        </w:tc>
      </w:tr>
    </w:tbl>
    <w:p>
      <w:pPr>
        <w:pStyle w:val="55"/>
        <w:ind w:firstLine="420"/>
        <w:rPr>
          <w:rFonts w:ascii="宋体" w:hAnsi="宋体" w:cs="宋体"/>
          <w:color w:val="auto"/>
        </w:rPr>
        <w:sectPr>
          <w:pgSz w:w="16838" w:h="11906" w:orient="landscape"/>
          <w:pgMar w:top="1474" w:right="1247" w:bottom="1417" w:left="1247" w:header="851" w:footer="992" w:gutter="0"/>
          <w:cols w:space="0" w:num="1"/>
          <w:titlePg/>
          <w:docGrid w:linePitch="312" w:charSpace="0"/>
        </w:sectPr>
      </w:pPr>
    </w:p>
    <w:p>
      <w:pPr>
        <w:pStyle w:val="3"/>
        <w:rPr>
          <w:rFonts w:ascii="宋体" w:hAnsi="宋体" w:cs="宋体"/>
          <w:color w:val="auto"/>
          <w:sz w:val="32"/>
          <w:szCs w:val="32"/>
        </w:rPr>
      </w:pPr>
      <w:bookmarkStart w:id="6" w:name="_Toc7452"/>
      <w:r>
        <w:rPr>
          <w:rFonts w:hint="eastAsia" w:ascii="宋体" w:hAnsi="宋体" w:cs="宋体"/>
          <w:color w:val="auto"/>
          <w:sz w:val="32"/>
          <w:szCs w:val="32"/>
        </w:rPr>
        <w:t>第三章  投标人须知</w:t>
      </w:r>
      <w:bookmarkEnd w:id="6"/>
    </w:p>
    <w:p>
      <w:pPr>
        <w:snapToGrid w:val="0"/>
        <w:spacing w:line="400" w:lineRule="exact"/>
        <w:jc w:val="center"/>
        <w:outlineLvl w:val="1"/>
        <w:rPr>
          <w:rFonts w:ascii="宋体" w:hAnsi="宋体" w:cs="宋体"/>
          <w:b/>
          <w:color w:val="auto"/>
          <w:sz w:val="28"/>
          <w:szCs w:val="28"/>
        </w:rPr>
      </w:pPr>
      <w:bookmarkStart w:id="7" w:name="_Toc254970526"/>
      <w:bookmarkStart w:id="8" w:name="_Toc254970667"/>
      <w:r>
        <w:rPr>
          <w:rFonts w:hint="eastAsia" w:ascii="宋体" w:hAnsi="宋体" w:cs="宋体"/>
          <w:b/>
          <w:color w:val="auto"/>
          <w:sz w:val="28"/>
          <w:szCs w:val="28"/>
        </w:rPr>
        <w:t>前  附  表</w:t>
      </w:r>
      <w:bookmarkEnd w:id="7"/>
      <w:bookmarkEnd w:id="8"/>
    </w:p>
    <w:tbl>
      <w:tblPr>
        <w:tblStyle w:val="24"/>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序号</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1</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宋体"/>
                <w:color w:val="auto"/>
                <w:sz w:val="24"/>
              </w:rPr>
            </w:pPr>
            <w:r>
              <w:rPr>
                <w:rFonts w:hint="eastAsia" w:ascii="宋体" w:hAnsi="宋体" w:cs="宋体"/>
                <w:color w:val="auto"/>
                <w:sz w:val="24"/>
              </w:rPr>
              <w:t xml:space="preserve">项目名称：2020年食品安全抽检检测服务采购  </w:t>
            </w:r>
          </w:p>
          <w:p>
            <w:pPr>
              <w:snapToGrid w:val="0"/>
              <w:spacing w:line="480" w:lineRule="exact"/>
              <w:rPr>
                <w:rFonts w:ascii="宋体" w:hAnsi="宋体" w:cs="宋体"/>
                <w:color w:val="auto"/>
                <w:sz w:val="24"/>
              </w:rPr>
            </w:pPr>
            <w:r>
              <w:rPr>
                <w:rFonts w:hint="eastAsia" w:ascii="宋体" w:hAnsi="宋体" w:cs="宋体"/>
                <w:color w:val="auto"/>
                <w:sz w:val="24"/>
              </w:rPr>
              <w:t xml:space="preserve">项目编号：HCZC2020-G3-000065-GXYQ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2</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宋体"/>
                <w:color w:val="auto"/>
                <w:sz w:val="24"/>
              </w:rPr>
            </w:pPr>
            <w:r>
              <w:rPr>
                <w:rFonts w:hint="eastAsia" w:ascii="宋体" w:hAnsi="宋体" w:cs="宋体"/>
                <w:color w:val="auto"/>
                <w:sz w:val="24"/>
              </w:rPr>
              <w:t>投标报价及费用：</w:t>
            </w:r>
          </w:p>
          <w:p>
            <w:pPr>
              <w:snapToGrid w:val="0"/>
              <w:spacing w:line="480" w:lineRule="exact"/>
              <w:rPr>
                <w:rFonts w:ascii="宋体" w:hAnsi="宋体" w:cs="宋体"/>
                <w:color w:val="auto"/>
                <w:sz w:val="24"/>
              </w:rPr>
            </w:pPr>
            <w:r>
              <w:rPr>
                <w:rFonts w:hint="eastAsia" w:ascii="宋体" w:hAnsi="宋体" w:cs="宋体"/>
                <w:color w:val="auto"/>
                <w:sz w:val="24"/>
              </w:rPr>
              <w:t>1、本项目投标应以人民币报价；</w:t>
            </w:r>
          </w:p>
          <w:p>
            <w:pPr>
              <w:snapToGrid w:val="0"/>
              <w:spacing w:line="480" w:lineRule="exact"/>
              <w:rPr>
                <w:rFonts w:ascii="宋体" w:hAnsi="宋体" w:cs="宋体"/>
                <w:color w:val="auto"/>
                <w:sz w:val="24"/>
              </w:rPr>
            </w:pPr>
            <w:r>
              <w:rPr>
                <w:rFonts w:hint="eastAsia" w:ascii="宋体" w:hAnsi="宋体" w:cs="宋体"/>
                <w:color w:val="auto"/>
                <w:sz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3</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宋体"/>
                <w:color w:val="auto"/>
                <w:sz w:val="24"/>
              </w:rPr>
            </w:pPr>
            <w:r>
              <w:rPr>
                <w:rFonts w:hint="eastAsia" w:ascii="宋体" w:hAnsi="宋体" w:cs="宋体"/>
                <w:color w:val="auto"/>
                <w:sz w:val="24"/>
              </w:rPr>
              <w:t>投标保证金为人民币肆万元整（￥40000.00元）；</w:t>
            </w:r>
          </w:p>
          <w:p>
            <w:pPr>
              <w:snapToGrid w:val="0"/>
              <w:spacing w:line="480" w:lineRule="exact"/>
              <w:rPr>
                <w:rFonts w:ascii="宋体" w:hAnsi="宋体" w:cs="宋体"/>
                <w:color w:val="auto"/>
                <w:sz w:val="24"/>
              </w:rPr>
            </w:pPr>
            <w:r>
              <w:rPr>
                <w:rFonts w:hint="eastAsia" w:ascii="宋体" w:hAnsi="宋体" w:cs="宋体"/>
                <w:color w:val="auto"/>
                <w:sz w:val="24"/>
              </w:rPr>
              <w:t>投标人应于投标截止时间前将投标保证金从银行基本账户以电汇、转帐、汇票等非现金形式交至河池市公共资源交易中心指定账户。</w:t>
            </w:r>
          </w:p>
          <w:p>
            <w:pPr>
              <w:snapToGrid w:val="0"/>
              <w:spacing w:line="480" w:lineRule="exact"/>
              <w:rPr>
                <w:rFonts w:ascii="宋体" w:hAnsi="宋体" w:cs="宋体"/>
                <w:color w:val="auto"/>
                <w:sz w:val="24"/>
              </w:rPr>
            </w:pPr>
            <w:r>
              <w:rPr>
                <w:rFonts w:hint="eastAsia" w:ascii="宋体" w:hAnsi="宋体" w:cs="宋体"/>
                <w:color w:val="auto"/>
                <w:sz w:val="24"/>
              </w:rPr>
              <w:t>账号名称：河池市公共资源交易中心</w:t>
            </w:r>
          </w:p>
          <w:p>
            <w:pPr>
              <w:snapToGrid w:val="0"/>
              <w:spacing w:line="480" w:lineRule="exact"/>
              <w:rPr>
                <w:rFonts w:ascii="宋体" w:hAnsi="宋体" w:cs="宋体"/>
                <w:color w:val="auto"/>
                <w:sz w:val="24"/>
              </w:rPr>
            </w:pPr>
            <w:r>
              <w:rPr>
                <w:rFonts w:hint="eastAsia" w:ascii="宋体" w:hAnsi="宋体" w:cs="宋体"/>
                <w:color w:val="auto"/>
                <w:sz w:val="24"/>
              </w:rPr>
              <w:t>开户银行：河池市区农村信用合作联社兴业信用社</w:t>
            </w:r>
          </w:p>
          <w:p>
            <w:pPr>
              <w:snapToGrid w:val="0"/>
              <w:spacing w:line="480" w:lineRule="exact"/>
              <w:rPr>
                <w:rFonts w:ascii="宋体" w:hAnsi="宋体" w:cs="宋体"/>
                <w:color w:val="auto"/>
                <w:sz w:val="24"/>
              </w:rPr>
            </w:pPr>
            <w:r>
              <w:rPr>
                <w:rFonts w:hint="eastAsia" w:ascii="宋体" w:hAnsi="宋体" w:cs="宋体"/>
                <w:color w:val="auto"/>
                <w:sz w:val="24"/>
              </w:rPr>
              <w:t>账号：20401333455001869</w:t>
            </w:r>
          </w:p>
          <w:p>
            <w:pPr>
              <w:snapToGrid w:val="0"/>
              <w:spacing w:line="480" w:lineRule="exact"/>
              <w:rPr>
                <w:rFonts w:ascii="宋体" w:hAnsi="宋体" w:cs="宋体"/>
                <w:color w:val="auto"/>
                <w:sz w:val="24"/>
              </w:rPr>
            </w:pPr>
            <w:r>
              <w:rPr>
                <w:rFonts w:hint="eastAsia" w:ascii="宋体" w:hAnsi="宋体" w:cs="宋体"/>
                <w:color w:val="auto"/>
                <w:sz w:val="24"/>
              </w:rPr>
              <w:t>（备注中必须写明本项目名称或编号）</w:t>
            </w:r>
          </w:p>
          <w:p>
            <w:pPr>
              <w:snapToGrid w:val="0"/>
              <w:spacing w:line="480" w:lineRule="exact"/>
              <w:rPr>
                <w:rFonts w:ascii="宋体" w:hAnsi="宋体" w:cs="宋体"/>
                <w:color w:val="auto"/>
                <w:sz w:val="24"/>
              </w:rPr>
            </w:pPr>
            <w:r>
              <w:rPr>
                <w:rFonts w:hint="eastAsia" w:ascii="宋体" w:hAnsi="宋体" w:cs="宋体"/>
                <w:b/>
                <w:color w:val="auto"/>
                <w:sz w:val="24"/>
              </w:rPr>
              <w:t>本项目不接受现金形式或从个人帐户转出的投标保证金</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4</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宋体"/>
                <w:color w:val="auto"/>
                <w:sz w:val="24"/>
              </w:rPr>
            </w:pPr>
            <w:r>
              <w:rPr>
                <w:rFonts w:hint="eastAsia" w:ascii="宋体" w:hAnsi="宋体" w:cs="宋体"/>
                <w:color w:val="auto"/>
                <w:sz w:val="24"/>
              </w:rPr>
              <w:t>答疑与澄清：投标人如认为招标文件表述不清晰或对政府采购活动事项有疑问的，应当于收到招标文件之日起七个工作日内，以书面形式向招标采购单位提出询问、澄清；答疑内容是招标文件的组成部分，并将以书面形式送达所有已购买招标文件的供应商；招标采购单位可以视采购具体情况，延长投标截止时间和开标时间，但至少应当在招标文件要求提交投标文件的截止时间三日前，并在财政部门指定的政府采购信息发布媒体上发布更正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5</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80" w:lineRule="exact"/>
              <w:textAlignment w:val="bottom"/>
              <w:rPr>
                <w:rFonts w:ascii="宋体" w:hAnsi="宋体" w:cs="宋体"/>
                <w:color w:val="auto"/>
                <w:sz w:val="24"/>
              </w:rPr>
            </w:pPr>
            <w:r>
              <w:rPr>
                <w:rFonts w:hint="eastAsia" w:ascii="宋体" w:hAnsi="宋体" w:cs="宋体"/>
                <w:color w:val="auto"/>
                <w:sz w:val="24"/>
              </w:rPr>
              <w:t>投标文件组成：</w:t>
            </w:r>
            <w:r>
              <w:rPr>
                <w:rFonts w:hint="eastAsia" w:ascii="宋体" w:hAnsi="宋体" w:cs="宋体"/>
                <w:color w:val="auto"/>
                <w:sz w:val="24"/>
                <w:u w:val="single"/>
              </w:rPr>
              <w:t>投标文件（开标一览表</w:t>
            </w:r>
            <w:bookmarkStart w:id="85" w:name="_GoBack"/>
            <w:bookmarkEnd w:id="85"/>
            <w:r>
              <w:rPr>
                <w:rFonts w:hint="eastAsia" w:ascii="宋体" w:hAnsi="宋体" w:cs="宋体"/>
                <w:color w:val="auto"/>
                <w:sz w:val="24"/>
                <w:u w:val="single"/>
              </w:rPr>
              <w:t>）</w:t>
            </w:r>
            <w:r>
              <w:rPr>
                <w:rFonts w:hint="eastAsia" w:ascii="宋体" w:hAnsi="宋体" w:cs="宋体"/>
                <w:color w:val="auto"/>
                <w:sz w:val="24"/>
              </w:rPr>
              <w:t>一式两份，不分正副本；</w:t>
            </w:r>
            <w:r>
              <w:rPr>
                <w:rFonts w:hint="eastAsia" w:ascii="宋体" w:hAnsi="宋体" w:cs="宋体"/>
                <w:color w:val="auto"/>
                <w:sz w:val="24"/>
                <w:u w:val="single"/>
              </w:rPr>
              <w:t>投标文件（商务部分、价格部分、技术部分）</w:t>
            </w:r>
            <w:r>
              <w:rPr>
                <w:rFonts w:hint="eastAsia" w:ascii="宋体" w:hAnsi="宋体" w:cs="宋体"/>
                <w:color w:val="auto"/>
                <w:sz w:val="24"/>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6</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ind w:left="24" w:hanging="24" w:hangingChars="10"/>
              <w:jc w:val="left"/>
              <w:rPr>
                <w:rFonts w:ascii="宋体" w:hAnsi="宋体" w:cs="宋体"/>
                <w:color w:val="auto"/>
                <w:sz w:val="24"/>
              </w:rPr>
            </w:pPr>
            <w:r>
              <w:rPr>
                <w:rFonts w:hint="eastAsia" w:ascii="宋体" w:hAnsi="宋体" w:cs="宋体"/>
                <w:color w:val="auto"/>
                <w:sz w:val="24"/>
              </w:rPr>
              <w:t>投标截止时间及地点：投标人须于</w:t>
            </w:r>
            <w:r>
              <w:rPr>
                <w:rFonts w:hint="eastAsia" w:ascii="宋体" w:hAnsi="宋体" w:cs="宋体"/>
                <w:color w:val="auto"/>
                <w:kern w:val="0"/>
                <w:sz w:val="24"/>
                <w:szCs w:val="20"/>
              </w:rPr>
              <w:t>2020年</w:t>
            </w:r>
            <w:r>
              <w:rPr>
                <w:rFonts w:hint="eastAsia" w:ascii="宋体" w:hAnsi="宋体" w:cs="宋体"/>
                <w:color w:val="auto"/>
                <w:kern w:val="0"/>
                <w:sz w:val="24"/>
                <w:szCs w:val="20"/>
                <w:lang w:val="en-US" w:eastAsia="zh-CN"/>
              </w:rPr>
              <w:t>5</w:t>
            </w:r>
            <w:r>
              <w:rPr>
                <w:rFonts w:hint="eastAsia" w:ascii="宋体" w:hAnsi="宋体" w:cs="宋体"/>
                <w:color w:val="auto"/>
                <w:kern w:val="0"/>
                <w:sz w:val="24"/>
                <w:szCs w:val="20"/>
              </w:rPr>
              <w:t>月</w:t>
            </w:r>
            <w:r>
              <w:rPr>
                <w:rFonts w:hint="eastAsia" w:ascii="宋体" w:hAnsi="宋体" w:cs="宋体"/>
                <w:color w:val="auto"/>
                <w:kern w:val="0"/>
                <w:sz w:val="24"/>
                <w:szCs w:val="20"/>
                <w:lang w:val="en-US" w:eastAsia="zh-CN"/>
              </w:rPr>
              <w:t>20</w:t>
            </w:r>
            <w:r>
              <w:rPr>
                <w:rFonts w:hint="eastAsia" w:ascii="宋体" w:hAnsi="宋体" w:cs="宋体"/>
                <w:color w:val="auto"/>
                <w:kern w:val="0"/>
                <w:sz w:val="24"/>
                <w:szCs w:val="20"/>
              </w:rPr>
              <w:t>日</w:t>
            </w:r>
            <w:r>
              <w:rPr>
                <w:rFonts w:hint="eastAsia" w:ascii="宋体" w:hAnsi="宋体" w:cs="宋体"/>
                <w:color w:val="auto"/>
                <w:kern w:val="0"/>
                <w:sz w:val="24"/>
                <w:szCs w:val="20"/>
                <w:lang w:val="en-US" w:eastAsia="zh-CN"/>
              </w:rPr>
              <w:t>8</w:t>
            </w:r>
            <w:r>
              <w:rPr>
                <w:rFonts w:hint="eastAsia" w:ascii="宋体" w:hAnsi="宋体" w:cs="宋体"/>
                <w:color w:val="auto"/>
                <w:kern w:val="0"/>
                <w:sz w:val="24"/>
                <w:szCs w:val="20"/>
              </w:rPr>
              <w:t>时</w:t>
            </w:r>
            <w:r>
              <w:rPr>
                <w:rFonts w:hint="eastAsia" w:ascii="宋体" w:hAnsi="宋体" w:cs="宋体"/>
                <w:color w:val="auto"/>
                <w:kern w:val="0"/>
                <w:sz w:val="24"/>
                <w:szCs w:val="20"/>
                <w:lang w:val="en-US" w:eastAsia="zh-CN"/>
              </w:rPr>
              <w:t>30</w:t>
            </w:r>
            <w:r>
              <w:rPr>
                <w:rFonts w:hint="eastAsia" w:ascii="宋体" w:hAnsi="宋体" w:cs="宋体"/>
                <w:color w:val="auto"/>
                <w:kern w:val="0"/>
                <w:sz w:val="24"/>
                <w:szCs w:val="20"/>
              </w:rPr>
              <w:t>分</w:t>
            </w:r>
            <w:r>
              <w:rPr>
                <w:rFonts w:hint="eastAsia" w:ascii="宋体" w:hAnsi="宋体" w:cs="宋体"/>
                <w:color w:val="auto"/>
                <w:sz w:val="24"/>
              </w:rPr>
              <w:t>前将投标文件密封送交到</w:t>
            </w:r>
            <w:r>
              <w:rPr>
                <w:rFonts w:hint="eastAsia" w:ascii="宋体" w:hAnsi="宋体" w:cs="宋体"/>
                <w:color w:val="auto"/>
                <w:sz w:val="24"/>
                <w:u w:val="single"/>
              </w:rPr>
              <w:t>河池市公共资源交易中心（河池市金城江区城东新区肯旺桥西侧北面市工人文化宫办公大楼五楼</w:t>
            </w:r>
            <w:r>
              <w:rPr>
                <w:rFonts w:hint="eastAsia" w:ascii="宋体" w:hAnsi="宋体" w:cs="宋体"/>
                <w:color w:val="auto"/>
                <w:sz w:val="24"/>
              </w:rPr>
              <w:t>），逾期送达将予以拒收。</w:t>
            </w:r>
          </w:p>
          <w:p>
            <w:pPr>
              <w:pStyle w:val="6"/>
              <w:spacing w:before="0" w:line="480" w:lineRule="exact"/>
              <w:ind w:firstLine="480" w:firstLineChars="200"/>
              <w:rPr>
                <w:rFonts w:ascii="宋体" w:hAnsi="宋体" w:cs="宋体"/>
                <w:color w:val="auto"/>
              </w:rPr>
            </w:pPr>
            <w:r>
              <w:rPr>
                <w:rFonts w:hint="eastAsia" w:ascii="宋体" w:hAnsi="宋体" w:cs="宋体"/>
                <w:color w:val="auto"/>
              </w:rPr>
              <w:t>投标人派授权代表或由法定代表人参加开标会议的，必须持有效证件参加。</w:t>
            </w:r>
          </w:p>
          <w:p>
            <w:pPr>
              <w:pStyle w:val="6"/>
              <w:spacing w:before="0" w:line="480" w:lineRule="exact"/>
              <w:rPr>
                <w:rFonts w:ascii="宋体" w:hAnsi="宋体" w:cs="宋体"/>
                <w:color w:val="auto"/>
              </w:rPr>
            </w:pPr>
            <w:r>
              <w:rPr>
                <w:rFonts w:hint="eastAsia" w:ascii="宋体" w:hAnsi="宋体" w:cs="宋体"/>
                <w:color w:val="auto"/>
              </w:rPr>
              <w:t>1、有效的营业执照副本复印件。</w:t>
            </w:r>
          </w:p>
          <w:p>
            <w:pPr>
              <w:pStyle w:val="6"/>
              <w:spacing w:before="0" w:line="480" w:lineRule="exact"/>
              <w:rPr>
                <w:rFonts w:ascii="宋体" w:hAnsi="宋体" w:cs="宋体"/>
                <w:color w:val="auto"/>
              </w:rPr>
            </w:pPr>
            <w:r>
              <w:rPr>
                <w:rFonts w:hint="eastAsia" w:ascii="宋体" w:hAnsi="宋体" w:cs="宋体"/>
                <w:color w:val="auto"/>
              </w:rPr>
              <w:t>2、保证金缴纳证明原件。</w:t>
            </w:r>
          </w:p>
          <w:p>
            <w:pPr>
              <w:pStyle w:val="6"/>
              <w:spacing w:before="0" w:line="480" w:lineRule="exact"/>
              <w:rPr>
                <w:rFonts w:ascii="宋体" w:hAnsi="宋体" w:cs="宋体"/>
                <w:color w:val="auto"/>
              </w:rPr>
            </w:pPr>
            <w:r>
              <w:rPr>
                <w:rFonts w:hint="eastAsia" w:ascii="宋体" w:hAnsi="宋体" w:cs="宋体"/>
                <w:color w:val="auto"/>
              </w:rPr>
              <w:t>3、法定代表人身份证明书（附法定代表人身份证正反面复印件）；法定代表人参加开标的，采购人或代理机构将核对法定代表人身份证原件与法定代表人身份证明原件上姓名是否一致，法人身份证明格式见第六章。</w:t>
            </w:r>
          </w:p>
          <w:p>
            <w:pPr>
              <w:pStyle w:val="6"/>
              <w:spacing w:before="0" w:line="480" w:lineRule="exact"/>
              <w:rPr>
                <w:rFonts w:ascii="宋体" w:hAnsi="宋体" w:cs="宋体"/>
                <w:color w:val="auto"/>
              </w:rPr>
            </w:pPr>
            <w:r>
              <w:rPr>
                <w:rFonts w:hint="eastAsia" w:ascii="宋体" w:hAnsi="宋体" w:cs="宋体"/>
                <w:color w:val="auto"/>
              </w:rPr>
              <w:t>4、授权委托书原件及委托代理人身份证原件；授权代表参加开标的，采购人或代理机构将核对授权代表身份证原件与法定代表人授权委托书上授权代表姓名是否一致，授权委托书格式见第六章；如姓名不一致的或未按要求提交签字加盖公章的，将被拒绝参加开标会议并不得对开标结果提出异议。</w:t>
            </w:r>
          </w:p>
          <w:p>
            <w:pPr>
              <w:pStyle w:val="6"/>
              <w:spacing w:before="0" w:line="480" w:lineRule="exact"/>
              <w:rPr>
                <w:rFonts w:ascii="宋体" w:hAnsi="宋体" w:cs="宋体"/>
                <w:color w:val="auto"/>
              </w:rPr>
            </w:pPr>
            <w:r>
              <w:rPr>
                <w:rFonts w:hint="eastAsia" w:ascii="宋体" w:hAnsi="宋体" w:cs="宋体"/>
                <w:color w:val="auto"/>
              </w:rPr>
              <w:t>若投标人未到开标现场或未按时签到的，视同放弃开标监督权利、认可本项目开标结果。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7</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宋体"/>
                <w:color w:val="auto"/>
                <w:sz w:val="24"/>
              </w:rPr>
            </w:pPr>
            <w:r>
              <w:rPr>
                <w:rFonts w:hint="eastAsia" w:ascii="宋体" w:hAnsi="宋体" w:cs="宋体"/>
                <w:color w:val="auto"/>
                <w:sz w:val="24"/>
              </w:rPr>
              <w:t>开标时间：</w:t>
            </w:r>
            <w:r>
              <w:rPr>
                <w:rFonts w:hint="eastAsia" w:ascii="宋体" w:hAnsi="宋体" w:cs="宋体"/>
                <w:color w:val="auto"/>
                <w:kern w:val="0"/>
                <w:sz w:val="24"/>
                <w:szCs w:val="20"/>
                <w:u w:val="single"/>
              </w:rPr>
              <w:t>2020年5月20日8时30分</w:t>
            </w:r>
            <w:r>
              <w:rPr>
                <w:rFonts w:hint="eastAsia" w:ascii="宋体" w:hAnsi="宋体" w:cs="宋体"/>
                <w:color w:val="auto"/>
                <w:sz w:val="24"/>
                <w:u w:val="single"/>
              </w:rPr>
              <w:t>整</w:t>
            </w:r>
            <w:r>
              <w:rPr>
                <w:rFonts w:hint="eastAsia" w:ascii="宋体" w:hAnsi="宋体" w:cs="宋体"/>
                <w:color w:val="auto"/>
                <w:sz w:val="24"/>
              </w:rPr>
              <w:t>；</w:t>
            </w:r>
          </w:p>
          <w:p>
            <w:pPr>
              <w:snapToGrid w:val="0"/>
              <w:spacing w:line="480" w:lineRule="exact"/>
              <w:rPr>
                <w:rFonts w:ascii="宋体" w:hAnsi="宋体" w:cs="宋体"/>
                <w:color w:val="auto"/>
                <w:sz w:val="24"/>
              </w:rPr>
            </w:pPr>
            <w:r>
              <w:rPr>
                <w:rFonts w:hint="eastAsia" w:ascii="宋体" w:hAnsi="宋体" w:cs="宋体"/>
                <w:color w:val="auto"/>
                <w:sz w:val="24"/>
              </w:rPr>
              <w:t>开标地点：</w:t>
            </w:r>
            <w:r>
              <w:rPr>
                <w:rFonts w:hint="eastAsia" w:ascii="宋体" w:hAnsi="宋体" w:cs="宋体"/>
                <w:color w:val="auto"/>
                <w:sz w:val="24"/>
                <w:u w:val="single"/>
              </w:rPr>
              <w:t>河池市公共资源交易中心（河池市金城江区城东新区肯旺桥西侧北面市工人文化宫办公大楼五楼）</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8</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宋体"/>
                <w:color w:val="auto"/>
                <w:sz w:val="24"/>
              </w:rPr>
            </w:pPr>
            <w:r>
              <w:rPr>
                <w:rFonts w:hint="eastAsia" w:ascii="宋体" w:hAnsi="宋体" w:cs="宋体"/>
                <w:color w:val="auto"/>
                <w:sz w:val="24"/>
              </w:rPr>
              <w:t xml:space="preserve">评标委员会构成：由采购人代表1人、有关技术、经济专家4人，共 </w:t>
            </w:r>
            <w:r>
              <w:rPr>
                <w:rFonts w:hint="eastAsia" w:ascii="宋体" w:hAnsi="宋体" w:cs="宋体"/>
                <w:color w:val="auto"/>
                <w:sz w:val="24"/>
                <w:u w:val="single"/>
              </w:rPr>
              <w:t>5</w:t>
            </w:r>
            <w:r>
              <w:rPr>
                <w:rFonts w:hint="eastAsia" w:ascii="宋体" w:hAnsi="宋体" w:cs="宋体"/>
                <w:color w:val="auto"/>
                <w:sz w:val="24"/>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9</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80" w:lineRule="exact"/>
              <w:textAlignment w:val="bottom"/>
              <w:rPr>
                <w:rFonts w:ascii="宋体" w:hAnsi="宋体" w:cs="宋体"/>
                <w:color w:val="auto"/>
                <w:sz w:val="24"/>
              </w:rPr>
            </w:pPr>
            <w:r>
              <w:rPr>
                <w:rFonts w:hint="eastAsia" w:ascii="宋体" w:hAnsi="宋体" w:cs="宋体"/>
                <w:color w:val="auto"/>
                <w:sz w:val="24"/>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10</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80" w:lineRule="exact"/>
              <w:jc w:val="left"/>
              <w:textAlignment w:val="bottom"/>
              <w:rPr>
                <w:rFonts w:ascii="宋体" w:hAnsi="宋体" w:cs="宋体"/>
                <w:color w:val="auto"/>
                <w:sz w:val="24"/>
              </w:rPr>
            </w:pPr>
            <w:r>
              <w:rPr>
                <w:rFonts w:hint="eastAsia" w:ascii="宋体" w:hAnsi="宋体" w:cs="宋体"/>
                <w:color w:val="auto"/>
                <w:sz w:val="24"/>
              </w:rPr>
              <w:t>网上查询地址：www.ccgp.gov.cn（中国政府采购网）、http://zfcg.gxzf.gov.cn（广西壮族自治区政府采购网）、河池市公共资源交易中心网（http://www.hcjyxxw.com）。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11</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80" w:lineRule="exact"/>
              <w:textAlignment w:val="bottom"/>
              <w:rPr>
                <w:rFonts w:ascii="宋体" w:hAnsi="宋体" w:cs="宋体"/>
                <w:color w:val="auto"/>
                <w:sz w:val="24"/>
              </w:rPr>
            </w:pPr>
            <w:r>
              <w:rPr>
                <w:rFonts w:hint="eastAsia" w:ascii="宋体" w:hAnsi="宋体" w:cs="宋体"/>
                <w:color w:val="auto"/>
                <w:sz w:val="24"/>
              </w:rPr>
              <w:t>中标公告及中标通知书：采购代理机构在采购人依法确认中标人后二个工作日内发布中标公告和中标通知书，中标公告发布于上述媒体。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12</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80" w:lineRule="exact"/>
              <w:textAlignment w:val="bottom"/>
              <w:rPr>
                <w:rFonts w:ascii="宋体" w:hAnsi="宋体" w:cs="宋体"/>
                <w:color w:val="auto"/>
                <w:sz w:val="24"/>
              </w:rPr>
            </w:pPr>
            <w:r>
              <w:rPr>
                <w:rFonts w:hint="eastAsia" w:ascii="宋体" w:hAnsi="宋体" w:cs="宋体"/>
                <w:color w:val="auto"/>
                <w:sz w:val="24"/>
              </w:rPr>
              <w:t>投标保证金退还（不计息）：除招标文件规定不予退还保证金的情形外，投标人的投标保证金一律以转账、电汇方式退还投标人，未中标投标人所提交的投标保证金将在中标通知书发出后五个工作日内退还投标人，中标供应商所提交的投标保证金在与双方签订合同后五个工作日内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13</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80" w:lineRule="exact"/>
              <w:textAlignment w:val="bottom"/>
              <w:rPr>
                <w:rFonts w:ascii="宋体" w:hAnsi="宋体" w:cs="宋体"/>
                <w:color w:val="auto"/>
                <w:sz w:val="24"/>
              </w:rPr>
            </w:pPr>
            <w:r>
              <w:rPr>
                <w:rFonts w:hint="eastAsia" w:ascii="宋体" w:hAnsi="宋体" w:cs="宋体"/>
                <w:color w:val="auto"/>
                <w:sz w:val="24"/>
              </w:rPr>
              <w:t>签订合同时间：中标通知书发出后三十日内。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14</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80" w:lineRule="exact"/>
              <w:textAlignment w:val="bottom"/>
              <w:rPr>
                <w:rFonts w:ascii="宋体" w:hAnsi="宋体" w:cs="宋体"/>
                <w:color w:val="auto"/>
                <w:sz w:val="24"/>
              </w:rPr>
            </w:pPr>
            <w:r>
              <w:rPr>
                <w:rFonts w:hint="eastAsia" w:ascii="宋体" w:hAnsi="宋体" w:cs="宋体"/>
                <w:color w:val="auto"/>
                <w:sz w:val="24"/>
              </w:rPr>
              <w:t>采购资金来源：财政资金</w:t>
            </w:r>
          </w:p>
          <w:p>
            <w:pPr>
              <w:autoSpaceDE w:val="0"/>
              <w:autoSpaceDN w:val="0"/>
              <w:snapToGrid w:val="0"/>
              <w:spacing w:line="480" w:lineRule="exact"/>
              <w:textAlignment w:val="bottom"/>
              <w:rPr>
                <w:rFonts w:ascii="宋体" w:hAnsi="宋体" w:cs="宋体"/>
                <w:color w:val="auto"/>
                <w:sz w:val="24"/>
                <w:u w:val="single"/>
              </w:rPr>
            </w:pPr>
            <w:r>
              <w:rPr>
                <w:rFonts w:hint="eastAsia" w:ascii="宋体" w:hAnsi="宋体" w:cs="宋体"/>
                <w:color w:val="auto"/>
                <w:sz w:val="24"/>
              </w:rPr>
              <w:t>政府采购预算为：人民币贰佰肆拾捌万伍仟陆佰元整（￥2485600.00元）。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15</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宋体"/>
                <w:color w:val="auto"/>
                <w:sz w:val="24"/>
              </w:rPr>
            </w:pPr>
            <w:r>
              <w:rPr>
                <w:rFonts w:hint="eastAsia" w:ascii="宋体" w:hAnsi="宋体" w:cs="宋体"/>
                <w:color w:val="auto"/>
                <w:sz w:val="24"/>
              </w:rPr>
              <w:t>投标文件有效期：投标截止日期后90天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16</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80" w:lineRule="exact"/>
              <w:textAlignment w:val="bottom"/>
              <w:rPr>
                <w:rFonts w:ascii="宋体" w:hAnsi="宋体" w:cs="宋体"/>
                <w:b/>
                <w:bCs/>
                <w:color w:val="auto"/>
                <w:sz w:val="24"/>
              </w:rPr>
            </w:pPr>
            <w:r>
              <w:rPr>
                <w:rFonts w:hint="eastAsia" w:ascii="宋体" w:hAnsi="宋体" w:cs="宋体"/>
                <w:color w:val="auto"/>
                <w:sz w:val="24"/>
              </w:rPr>
              <w:t>履约保证金金额：无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17</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80" w:lineRule="exact"/>
              <w:textAlignment w:val="bottom"/>
              <w:rPr>
                <w:rFonts w:ascii="宋体" w:hAnsi="宋体" w:cs="宋体"/>
                <w:color w:val="auto"/>
                <w:sz w:val="24"/>
              </w:rPr>
            </w:pPr>
            <w:r>
              <w:rPr>
                <w:rFonts w:hint="eastAsia" w:ascii="宋体" w:hAnsi="宋体" w:cs="宋体"/>
                <w:color w:val="auto"/>
                <w:sz w:val="24"/>
              </w:rPr>
              <w:t>在对投标人资格审查时进行信用查询</w:t>
            </w:r>
          </w:p>
          <w:p>
            <w:pPr>
              <w:autoSpaceDE w:val="0"/>
              <w:autoSpaceDN w:val="0"/>
              <w:snapToGrid w:val="0"/>
              <w:spacing w:line="480" w:lineRule="exact"/>
              <w:textAlignment w:val="bottom"/>
              <w:rPr>
                <w:rFonts w:ascii="宋体" w:hAnsi="宋体" w:cs="宋体"/>
                <w:color w:val="auto"/>
                <w:sz w:val="24"/>
              </w:rPr>
            </w:pPr>
            <w:r>
              <w:rPr>
                <w:rFonts w:hint="eastAsia" w:ascii="宋体" w:hAnsi="宋体" w:cs="宋体"/>
                <w:color w:val="auto"/>
                <w:sz w:val="24"/>
              </w:rPr>
              <w:t>查询渠道：“信用中国”网站(www.creditchina.gov.cn)、中国政府采购网(www.ccgp.gov.cn)等</w:t>
            </w:r>
          </w:p>
          <w:p>
            <w:pPr>
              <w:autoSpaceDE w:val="0"/>
              <w:autoSpaceDN w:val="0"/>
              <w:snapToGrid w:val="0"/>
              <w:spacing w:line="480" w:lineRule="exact"/>
              <w:textAlignment w:val="bottom"/>
              <w:rPr>
                <w:rFonts w:ascii="宋体" w:hAnsi="宋体" w:cs="宋体"/>
                <w:color w:val="auto"/>
                <w:sz w:val="24"/>
              </w:rPr>
            </w:pPr>
            <w:r>
              <w:rPr>
                <w:rFonts w:hint="eastAsia" w:ascii="宋体" w:hAnsi="宋体" w:cs="宋体"/>
                <w:color w:val="auto"/>
                <w:sz w:val="24"/>
              </w:rPr>
              <w:t>查询起止时间：公告发布之日起至投标截止时间</w:t>
            </w:r>
          </w:p>
          <w:p>
            <w:pPr>
              <w:autoSpaceDE w:val="0"/>
              <w:autoSpaceDN w:val="0"/>
              <w:snapToGrid w:val="0"/>
              <w:spacing w:line="480" w:lineRule="exact"/>
              <w:textAlignment w:val="bottom"/>
              <w:rPr>
                <w:rFonts w:ascii="宋体" w:hAnsi="宋体" w:cs="宋体"/>
                <w:color w:val="auto"/>
                <w:sz w:val="24"/>
              </w:rPr>
            </w:pPr>
            <w:r>
              <w:rPr>
                <w:rFonts w:hint="eastAsia" w:ascii="宋体" w:hAnsi="宋体" w:cs="宋体"/>
                <w:color w:val="auto"/>
                <w:sz w:val="24"/>
              </w:rPr>
              <w:t>查询记录和证据留存方式：在查询网站中直接打印查询记录，打印材料作为评审资料保存。</w:t>
            </w:r>
          </w:p>
          <w:p>
            <w:pPr>
              <w:autoSpaceDE w:val="0"/>
              <w:autoSpaceDN w:val="0"/>
              <w:snapToGrid w:val="0"/>
              <w:spacing w:line="480" w:lineRule="exact"/>
              <w:textAlignment w:val="bottom"/>
              <w:rPr>
                <w:rFonts w:ascii="宋体" w:hAnsi="宋体" w:cs="宋体"/>
                <w:color w:val="auto"/>
                <w:sz w:val="24"/>
              </w:rPr>
            </w:pPr>
            <w:r>
              <w:rPr>
                <w:rFonts w:hint="eastAsia" w:ascii="宋体" w:hAnsi="宋体" w:cs="宋体"/>
                <w:color w:val="auto"/>
                <w:sz w:val="24"/>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18</w:t>
            </w:r>
          </w:p>
        </w:tc>
        <w:tc>
          <w:tcPr>
            <w:tcW w:w="8371" w:type="dxa"/>
            <w:tcBorders>
              <w:top w:val="single" w:color="auto" w:sz="4" w:space="0"/>
              <w:left w:val="single" w:color="auto" w:sz="4" w:space="0"/>
              <w:bottom w:val="single" w:color="auto" w:sz="4" w:space="0"/>
              <w:right w:val="single" w:color="auto" w:sz="4" w:space="0"/>
            </w:tcBorders>
            <w:vAlign w:val="center"/>
          </w:tcPr>
          <w:p>
            <w:pPr>
              <w:pStyle w:val="6"/>
              <w:spacing w:before="0" w:line="500" w:lineRule="exact"/>
              <w:rPr>
                <w:rFonts w:ascii="宋体" w:hAnsi="宋体" w:cs="宋体"/>
                <w:color w:val="auto"/>
              </w:rPr>
            </w:pPr>
            <w:r>
              <w:rPr>
                <w:rFonts w:hint="eastAsia" w:ascii="宋体" w:hAnsi="宋体" w:cs="宋体"/>
                <w:color w:val="auto"/>
              </w:rPr>
              <w:t>本项目招标代理服务费按每个中标供应商￥10000.00元的标准向成交供应商收取。由成交人在领取中标通知书签订合同前向招标代理机构一次性付清。否则，采购代理机构将视之违约，取消该中标（成交）决定并对中标人已提交的全部保证金不予退还。</w:t>
            </w:r>
          </w:p>
          <w:p>
            <w:pPr>
              <w:pStyle w:val="6"/>
              <w:spacing w:before="0" w:line="500" w:lineRule="exact"/>
              <w:rPr>
                <w:rFonts w:ascii="宋体" w:hAnsi="宋体" w:cs="宋体"/>
                <w:color w:val="auto"/>
              </w:rPr>
            </w:pPr>
            <w:r>
              <w:rPr>
                <w:rFonts w:hint="eastAsia" w:ascii="宋体" w:hAnsi="宋体" w:cs="宋体"/>
                <w:color w:val="auto"/>
              </w:rPr>
              <w:t>服务费专用账号：</w:t>
            </w:r>
          </w:p>
          <w:p>
            <w:pPr>
              <w:pStyle w:val="6"/>
              <w:spacing w:before="0" w:line="500" w:lineRule="exact"/>
              <w:rPr>
                <w:rFonts w:ascii="宋体" w:hAnsi="宋体" w:cs="宋体"/>
                <w:color w:val="auto"/>
              </w:rPr>
            </w:pPr>
            <w:r>
              <w:rPr>
                <w:rFonts w:hint="eastAsia" w:ascii="宋体" w:hAnsi="宋体" w:cs="宋体"/>
                <w:color w:val="auto"/>
              </w:rPr>
              <w:t>开户名称：广西元强建设项目管理有限公司</w:t>
            </w:r>
          </w:p>
          <w:p>
            <w:pPr>
              <w:pStyle w:val="6"/>
              <w:spacing w:before="0" w:line="500" w:lineRule="exact"/>
              <w:rPr>
                <w:rFonts w:ascii="宋体" w:hAnsi="宋体" w:cs="宋体"/>
                <w:color w:val="auto"/>
              </w:rPr>
            </w:pPr>
            <w:r>
              <w:rPr>
                <w:rFonts w:hint="eastAsia" w:ascii="宋体" w:hAnsi="宋体" w:cs="宋体"/>
                <w:color w:val="auto"/>
              </w:rPr>
              <w:t>开户银行：中国工商银行股份有限公司百色市新兴支行</w:t>
            </w:r>
          </w:p>
          <w:p>
            <w:pPr>
              <w:pStyle w:val="6"/>
              <w:spacing w:before="0" w:line="500" w:lineRule="exact"/>
              <w:rPr>
                <w:rFonts w:ascii="宋体" w:hAnsi="宋体" w:cs="宋体"/>
                <w:color w:val="auto"/>
              </w:rPr>
            </w:pPr>
            <w:r>
              <w:rPr>
                <w:rFonts w:hint="eastAsia" w:ascii="宋体" w:hAnsi="宋体" w:cs="宋体"/>
                <w:color w:val="auto"/>
              </w:rPr>
              <w:t>银行帐号：2110600209201049283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19</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80" w:lineRule="exact"/>
              <w:textAlignment w:val="bottom"/>
              <w:rPr>
                <w:rFonts w:ascii="宋体" w:hAnsi="宋体" w:cs="宋体"/>
                <w:color w:val="auto"/>
                <w:sz w:val="24"/>
              </w:rPr>
            </w:pPr>
            <w:r>
              <w:rPr>
                <w:rFonts w:hint="eastAsia" w:ascii="宋体" w:hAnsi="宋体" w:cs="宋体"/>
                <w:color w:val="auto"/>
                <w:sz w:val="24"/>
              </w:rPr>
              <w:t>1.本招标文件中描述供应商的“公章”是指根据我国对公章的管理规定，用供应商法定主体行为名称制作的印章，除本招标文件有特殊规定外，供应商的财务章、部门章、分公司章、工会章、合同章、投标专用章、业务专用章等其它形式印章均不能代替公章。</w:t>
            </w:r>
          </w:p>
          <w:p>
            <w:pPr>
              <w:autoSpaceDE w:val="0"/>
              <w:autoSpaceDN w:val="0"/>
              <w:snapToGrid w:val="0"/>
              <w:spacing w:line="480" w:lineRule="exact"/>
              <w:textAlignment w:val="bottom"/>
              <w:rPr>
                <w:rFonts w:ascii="宋体" w:hAnsi="宋体" w:cs="宋体"/>
                <w:color w:val="auto"/>
                <w:sz w:val="24"/>
              </w:rPr>
            </w:pPr>
            <w:r>
              <w:rPr>
                <w:rFonts w:hint="eastAsia" w:ascii="宋体" w:hAnsi="宋体" w:cs="宋体"/>
                <w:color w:val="auto"/>
                <w:sz w:val="24"/>
              </w:rPr>
              <w:t>2.本招标文件中描述供应商的“签字”是指供应商的法定代表人或被授权人亲自在招标文件规定签署处亲笔写上个人的名字的行为，私章、签字章、印鉴、影印等其它形式均不能代替亲笔签字。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color w:val="auto"/>
                <w:sz w:val="24"/>
              </w:rPr>
            </w:pPr>
            <w:r>
              <w:rPr>
                <w:rFonts w:hint="eastAsia" w:ascii="宋体" w:hAnsi="宋体" w:cs="宋体"/>
                <w:color w:val="auto"/>
                <w:sz w:val="24"/>
              </w:rPr>
              <w:t>20</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宋体"/>
                <w:color w:val="auto"/>
                <w:sz w:val="24"/>
              </w:rPr>
            </w:pPr>
            <w:r>
              <w:rPr>
                <w:rFonts w:hint="eastAsia" w:ascii="宋体" w:hAnsi="宋体" w:cs="宋体"/>
                <w:color w:val="auto"/>
                <w:sz w:val="24"/>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24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宋体"/>
                <w:color w:val="auto"/>
                <w:sz w:val="24"/>
              </w:rPr>
            </w:pPr>
            <w:r>
              <w:rPr>
                <w:rFonts w:hint="eastAsia" w:ascii="宋体" w:hAnsi="宋体" w:cs="宋体"/>
                <w:color w:val="auto"/>
                <w:sz w:val="24"/>
              </w:rPr>
              <w:t xml:space="preserve">监督管理部门：河池市财政局政府采购监督管理科       联系电话：0778-2270025 </w:t>
            </w:r>
          </w:p>
        </w:tc>
      </w:tr>
    </w:tbl>
    <w:p>
      <w:pPr>
        <w:pStyle w:val="11"/>
        <w:snapToGrid w:val="0"/>
        <w:spacing w:line="440" w:lineRule="exact"/>
        <w:rPr>
          <w:rFonts w:hAnsi="宋体" w:cs="宋体"/>
          <w:b/>
          <w:color w:val="auto"/>
          <w:sz w:val="24"/>
          <w:szCs w:val="24"/>
        </w:rPr>
      </w:pPr>
      <w:r>
        <w:rPr>
          <w:rFonts w:hint="eastAsia" w:hAnsi="宋体" w:cs="宋体"/>
          <w:b/>
          <w:color w:val="auto"/>
          <w:sz w:val="24"/>
          <w:szCs w:val="24"/>
        </w:rPr>
        <w:br w:type="page"/>
      </w:r>
      <w:r>
        <w:rPr>
          <w:rFonts w:hint="eastAsia" w:hAnsi="宋体" w:cs="宋体"/>
          <w:b/>
          <w:color w:val="auto"/>
          <w:sz w:val="30"/>
          <w:szCs w:val="30"/>
        </w:rPr>
        <w:t>一、总  则</w:t>
      </w:r>
    </w:p>
    <w:p>
      <w:pPr>
        <w:snapToGrid w:val="0"/>
        <w:spacing w:line="440" w:lineRule="exact"/>
        <w:ind w:firstLine="472" w:firstLineChars="196"/>
        <w:jc w:val="left"/>
        <w:outlineLvl w:val="1"/>
        <w:rPr>
          <w:rFonts w:ascii="宋体" w:hAnsi="宋体" w:cs="宋体"/>
          <w:b/>
          <w:color w:val="auto"/>
          <w:sz w:val="24"/>
        </w:rPr>
      </w:pPr>
      <w:bookmarkStart w:id="9" w:name="_Toc254970527"/>
      <w:bookmarkStart w:id="10" w:name="_Toc254970668"/>
      <w:r>
        <w:rPr>
          <w:rFonts w:hint="eastAsia" w:ascii="宋体" w:hAnsi="宋体" w:cs="宋体"/>
          <w:b/>
          <w:color w:val="auto"/>
          <w:sz w:val="24"/>
        </w:rPr>
        <w:t>（一） 适用范围</w:t>
      </w:r>
      <w:bookmarkEnd w:id="9"/>
      <w:bookmarkEnd w:id="10"/>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本招标文件适用于</w:t>
      </w:r>
      <w:r>
        <w:rPr>
          <w:rFonts w:hint="eastAsia" w:ascii="宋体" w:hAnsi="宋体" w:cs="宋体"/>
          <w:color w:val="auto"/>
          <w:sz w:val="24"/>
          <w:lang w:eastAsia="zh-CN"/>
        </w:rPr>
        <w:t>河池市市场监督管理局</w:t>
      </w:r>
      <w:r>
        <w:rPr>
          <w:rFonts w:hint="eastAsia" w:ascii="宋体" w:hAnsi="宋体" w:cs="宋体"/>
          <w:color w:val="auto"/>
          <w:sz w:val="24"/>
        </w:rPr>
        <w:t>2020年食品安全抽检检测服务采购的招标、投标、评标、定标、验收、合同履约、付款等行为（法律、法规另有规定的，从其规定）。</w:t>
      </w:r>
    </w:p>
    <w:p>
      <w:pPr>
        <w:snapToGrid w:val="0"/>
        <w:spacing w:line="440" w:lineRule="exact"/>
        <w:ind w:firstLine="354" w:firstLineChars="147"/>
        <w:jc w:val="left"/>
        <w:outlineLvl w:val="1"/>
        <w:rPr>
          <w:rFonts w:ascii="宋体" w:hAnsi="宋体" w:cs="宋体"/>
          <w:b/>
          <w:color w:val="auto"/>
          <w:sz w:val="24"/>
        </w:rPr>
      </w:pPr>
      <w:bookmarkStart w:id="11" w:name="_Toc254970528"/>
      <w:bookmarkStart w:id="12" w:name="_Toc254970669"/>
      <w:r>
        <w:rPr>
          <w:rFonts w:hint="eastAsia" w:ascii="宋体" w:hAnsi="宋体" w:cs="宋体"/>
          <w:b/>
          <w:color w:val="auto"/>
          <w:sz w:val="24"/>
        </w:rPr>
        <w:t>（二）定义</w:t>
      </w:r>
      <w:bookmarkEnd w:id="11"/>
      <w:bookmarkEnd w:id="12"/>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1.招标采购单位系指组织本次招标的采购人及采购代理机构。</w:t>
      </w:r>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2.“投标人”系指向招标方提交投标文件的单位或自然人。</w:t>
      </w:r>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3.“产品”系指供方按招标文件规定，须向采购人提供的一切设备、保险、税金、备品备件、工具、手册及其它有关技术资料和材料。</w:t>
      </w:r>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4.“服务”系指招标文件规定投标人须承担的安装、调试、技术协助、校准、培训、技术指导以及其他类似的义务。</w:t>
      </w:r>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5.“项目”系指投标人按招标文件规定向采购人提供的产品和服务。</w:t>
      </w:r>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6.“▲”系指实质性要求条款。</w:t>
      </w:r>
    </w:p>
    <w:p>
      <w:pPr>
        <w:snapToGrid w:val="0"/>
        <w:spacing w:line="440" w:lineRule="exact"/>
        <w:ind w:firstLine="472" w:firstLineChars="196"/>
        <w:jc w:val="left"/>
        <w:outlineLvl w:val="1"/>
        <w:rPr>
          <w:rFonts w:ascii="宋体" w:hAnsi="宋体" w:cs="宋体"/>
          <w:b/>
          <w:color w:val="auto"/>
          <w:sz w:val="24"/>
        </w:rPr>
      </w:pPr>
      <w:bookmarkStart w:id="13" w:name="_Toc254970529"/>
      <w:bookmarkStart w:id="14" w:name="_Toc254970670"/>
      <w:r>
        <w:rPr>
          <w:rFonts w:hint="eastAsia" w:ascii="宋体" w:hAnsi="宋体" w:cs="宋体"/>
          <w:b/>
          <w:color w:val="auto"/>
          <w:sz w:val="24"/>
        </w:rPr>
        <w:t>（三）招标方式</w:t>
      </w:r>
      <w:bookmarkEnd w:id="13"/>
      <w:bookmarkEnd w:id="14"/>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公开招标方式。</w:t>
      </w:r>
    </w:p>
    <w:p>
      <w:pPr>
        <w:snapToGrid w:val="0"/>
        <w:spacing w:line="440" w:lineRule="exact"/>
        <w:ind w:firstLine="472" w:firstLineChars="196"/>
        <w:jc w:val="left"/>
        <w:outlineLvl w:val="1"/>
        <w:rPr>
          <w:rFonts w:ascii="宋体" w:hAnsi="宋体" w:cs="宋体"/>
          <w:b/>
          <w:color w:val="auto"/>
          <w:sz w:val="24"/>
        </w:rPr>
      </w:pPr>
      <w:bookmarkStart w:id="15" w:name="_Toc254970530"/>
      <w:bookmarkStart w:id="16" w:name="_Toc254970671"/>
      <w:r>
        <w:rPr>
          <w:rFonts w:hint="eastAsia" w:ascii="宋体" w:hAnsi="宋体" w:cs="宋体"/>
          <w:b/>
          <w:color w:val="auto"/>
          <w:sz w:val="24"/>
        </w:rPr>
        <w:t>（四）投标委托</w:t>
      </w:r>
      <w:bookmarkEnd w:id="15"/>
      <w:bookmarkEnd w:id="16"/>
    </w:p>
    <w:p>
      <w:pPr>
        <w:pStyle w:val="9"/>
        <w:snapToGrid w:val="0"/>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投标人代表须携带本人有效身份证件。如投标人代表不是法定代表人，须有法定代表人出具的授权委托书（正本用原件，副本用复印件，格式见第六章投标文件格式）。</w:t>
      </w:r>
    </w:p>
    <w:p>
      <w:pPr>
        <w:snapToGrid w:val="0"/>
        <w:spacing w:line="440" w:lineRule="exact"/>
        <w:ind w:firstLine="472" w:firstLineChars="196"/>
        <w:jc w:val="left"/>
        <w:outlineLvl w:val="1"/>
        <w:rPr>
          <w:rFonts w:ascii="宋体" w:hAnsi="宋体" w:cs="宋体"/>
          <w:b/>
          <w:color w:val="auto"/>
          <w:sz w:val="24"/>
        </w:rPr>
      </w:pPr>
      <w:bookmarkStart w:id="17" w:name="_Toc254970672"/>
      <w:bookmarkStart w:id="18" w:name="_Toc254970531"/>
      <w:r>
        <w:rPr>
          <w:rFonts w:hint="eastAsia" w:ascii="宋体" w:hAnsi="宋体" w:cs="宋体"/>
          <w:b/>
          <w:color w:val="auto"/>
          <w:sz w:val="24"/>
        </w:rPr>
        <w:t>（五）投标费用</w:t>
      </w:r>
      <w:bookmarkEnd w:id="17"/>
      <w:bookmarkEnd w:id="18"/>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投标人均应自行承担所有与投标有关的全部费用（招标文件有相关规定的除外）。</w:t>
      </w:r>
    </w:p>
    <w:p>
      <w:pPr>
        <w:snapToGrid w:val="0"/>
        <w:spacing w:line="440" w:lineRule="exact"/>
        <w:ind w:firstLine="472" w:firstLineChars="196"/>
        <w:jc w:val="left"/>
        <w:rPr>
          <w:rFonts w:ascii="宋体" w:hAnsi="宋体" w:cs="宋体"/>
          <w:b/>
          <w:color w:val="auto"/>
          <w:sz w:val="24"/>
        </w:rPr>
      </w:pPr>
      <w:r>
        <w:rPr>
          <w:rFonts w:hint="eastAsia" w:ascii="宋体" w:hAnsi="宋体" w:cs="宋体"/>
          <w:b/>
          <w:color w:val="auto"/>
          <w:sz w:val="24"/>
        </w:rPr>
        <w:t>（六）联合体投标</w:t>
      </w:r>
    </w:p>
    <w:p>
      <w:pPr>
        <w:snapToGrid w:val="0"/>
        <w:spacing w:line="440" w:lineRule="exact"/>
        <w:ind w:firstLine="420"/>
        <w:jc w:val="left"/>
        <w:rPr>
          <w:rFonts w:ascii="宋体" w:hAnsi="宋体" w:cs="宋体"/>
          <w:color w:val="auto"/>
          <w:sz w:val="24"/>
        </w:rPr>
      </w:pPr>
      <w:r>
        <w:rPr>
          <w:rFonts w:hint="eastAsia" w:ascii="宋体" w:hAnsi="宋体" w:cs="宋体"/>
          <w:color w:val="auto"/>
          <w:sz w:val="24"/>
        </w:rPr>
        <w:t>本项目不接受联合体投标。</w:t>
      </w:r>
    </w:p>
    <w:p>
      <w:pPr>
        <w:snapToGrid w:val="0"/>
        <w:spacing w:line="440" w:lineRule="exact"/>
        <w:ind w:firstLine="470" w:firstLineChars="195"/>
        <w:rPr>
          <w:rFonts w:ascii="宋体" w:hAnsi="宋体" w:cs="宋体"/>
          <w:b/>
          <w:color w:val="auto"/>
          <w:kern w:val="0"/>
          <w:sz w:val="24"/>
        </w:rPr>
      </w:pPr>
      <w:r>
        <w:rPr>
          <w:rFonts w:hint="eastAsia" w:ascii="宋体" w:hAnsi="宋体" w:cs="宋体"/>
          <w:b/>
          <w:color w:val="auto"/>
          <w:sz w:val="24"/>
        </w:rPr>
        <w:t>（七）</w:t>
      </w:r>
      <w:r>
        <w:rPr>
          <w:rFonts w:hint="eastAsia" w:ascii="宋体" w:hAnsi="宋体" w:cs="宋体"/>
          <w:b/>
          <w:color w:val="auto"/>
          <w:kern w:val="0"/>
          <w:sz w:val="24"/>
        </w:rPr>
        <w:t xml:space="preserve">转包与分包             </w:t>
      </w:r>
    </w:p>
    <w:p>
      <w:pPr>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1.本项目不允许转包。</w:t>
      </w:r>
    </w:p>
    <w:p>
      <w:pPr>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2.本项目不可以分包。</w:t>
      </w:r>
    </w:p>
    <w:p>
      <w:pPr>
        <w:snapToGrid w:val="0"/>
        <w:spacing w:line="440" w:lineRule="exact"/>
        <w:ind w:firstLine="472" w:firstLineChars="196"/>
        <w:jc w:val="left"/>
        <w:outlineLvl w:val="1"/>
        <w:rPr>
          <w:rFonts w:ascii="宋体" w:hAnsi="宋体" w:cs="宋体"/>
          <w:b/>
          <w:color w:val="auto"/>
          <w:sz w:val="24"/>
        </w:rPr>
      </w:pPr>
      <w:bookmarkStart w:id="19" w:name="_Toc254970532"/>
      <w:bookmarkStart w:id="20" w:name="_Toc254970673"/>
      <w:r>
        <w:rPr>
          <w:rFonts w:hint="eastAsia" w:ascii="宋体" w:hAnsi="宋体" w:cs="宋体"/>
          <w:b/>
          <w:color w:val="auto"/>
          <w:sz w:val="24"/>
        </w:rPr>
        <w:t>（八）特别说明：</w:t>
      </w:r>
      <w:bookmarkEnd w:id="19"/>
      <w:bookmarkEnd w:id="20"/>
    </w:p>
    <w:p>
      <w:pPr>
        <w:pStyle w:val="11"/>
        <w:snapToGrid w:val="0"/>
        <w:spacing w:line="440" w:lineRule="exact"/>
        <w:ind w:firstLine="470" w:firstLineChars="196"/>
        <w:outlineLvl w:val="1"/>
        <w:rPr>
          <w:rFonts w:hAnsi="宋体" w:cs="宋体"/>
          <w:color w:val="auto"/>
          <w:sz w:val="24"/>
          <w:szCs w:val="24"/>
        </w:rPr>
      </w:pPr>
      <w:bookmarkStart w:id="21" w:name="_Toc254970674"/>
      <w:bookmarkStart w:id="22" w:name="_Toc254970533"/>
      <w:r>
        <w:rPr>
          <w:rFonts w:hint="eastAsia" w:hAnsi="宋体" w:cs="宋体"/>
          <w:color w:val="auto"/>
          <w:sz w:val="24"/>
          <w:szCs w:val="24"/>
        </w:rPr>
        <w:t>▲1. 出现下列情形之一的，在评审过程中，取其中通过资格审查、符合性审查且报价最低的参加评审；当报价相同时，则由采购人自主选择确定一个参加评审的投标人，其他投标无效：</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▲2.投标人投标所使用的资格、信誉、荣誉、业绩与企业认证必须为本法人所拥有。投标人投标所使用的采购项目实施人员必须为本法人员工。</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▲3.投标人应仔细阅读招标文件的所有内容，按照招标文件的要求提交投标文件，并对所提供的全部资料的真实性承担法律责任。</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4.投标人在投标活动中提供任何虚假材料,其投标无效，并报监管部门查处；中标后发现的,中标供应商须依照《中华人民共和国消费者权益保护法》第49条之规定双倍赔偿采购人，且民事赔偿并不免除违法投标人的行政与刑事责任。</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▲5.在政府采购活动中，采购人员及相关人员与投标人有下列利害关系之一的，应当回避：</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（1）参加采购活动前3年内与投标人存在劳动关系；</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（2）参加采购活动前3年内担任投标人的董事、监事；</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（3）参加采购活动前3年内是投标人的控股股东或者实际控制人；</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（4）与投标人的法定代表人或者负责人有夫妻、直系血亲、三代以内旁系血亲或者近姻亲关系；</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（5）与投标人有其他可能影响政府采购活动公平、公正进行的关系。</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▲6.有下列情形之一的视为投标人相互串通投标，投标文件将被视为无效：</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（1）不同投标人的投标文件由同一单位或者个人编制；或不同投标人报名的IP地址一致的；</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（2）不同投标人委托同一单位或者个人办理投标事宜；</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（3）不同的投标人的投标文件载明的项目管理员为同一个人；</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（4）不同投标人的投标文件异常一致或投标报价呈规律性差异；</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（5）不同投标人的投标文件相互混装；</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（6）不同投标人的投标保证金从同一单位或者个人账户转出。</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▲7 供应商有下列情形之一的，属于恶意串通行为：</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（1）供应商直接或者间接从采购人或者采购代理机构处获得其他供应商的相关信息并修改其投标文件或者响应文件：</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（2）供应商按照采购人或者采购代理机构的授意撤换、修改投标文件或者响应文件；</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（3）供应商之间协商报价、技术方案等投标文件或者响应文件的实质性内容；</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（4）属于同一集团、协会、商会等组织成员的供应商按照该组织要求协同参加政府采购活动；</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（5）供应商之间事先约定一致抬高或者压低投标报价,或者在招标项目中事先约定轮流以高价位或者低价位中标,或者事先约定由某一特定供应商中标,然后再参加投标；</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（6）供应商之间商定部分供应商放弃参加政府采购活动或者放弃中标；</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（7）供应商与采购人或者采购代理机构之间、供应商相互之间，为谋求特定供应商中标或者排斥其他供应商的其他串通行为。</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▲8.关联供应商不得参加同一合同项下政府采购活动，否则投标文件将被视为无效：</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（1）单位负责人为同一人或者存在直接控股、管理关系的不同的供应商，不得参加同一合同项下的政府采购活动；</w:t>
      </w:r>
    </w:p>
    <w:p>
      <w:pPr>
        <w:pStyle w:val="11"/>
        <w:snapToGrid w:val="0"/>
        <w:spacing w:line="440" w:lineRule="exact"/>
        <w:ind w:firstLine="470" w:firstLineChars="196"/>
        <w:outlineLvl w:val="1"/>
        <w:rPr>
          <w:rFonts w:hAnsi="宋体" w:cs="宋体"/>
          <w:color w:val="auto"/>
          <w:sz w:val="24"/>
          <w:szCs w:val="24"/>
        </w:rPr>
      </w:pPr>
      <w:r>
        <w:rPr>
          <w:rFonts w:hint="eastAsia" w:hAnsi="宋体" w:cs="宋体"/>
          <w:color w:val="auto"/>
          <w:sz w:val="24"/>
          <w:szCs w:val="24"/>
        </w:rPr>
        <w:t>（2）生产厂商授权给供应商后自己不得参加同一合同项下的政府采购活动；生产厂商对同一品牌同一型号的货物，仅能委托一个代理商参加投标。</w:t>
      </w:r>
    </w:p>
    <w:p>
      <w:pPr>
        <w:pStyle w:val="11"/>
        <w:snapToGrid w:val="0"/>
        <w:spacing w:line="440" w:lineRule="exact"/>
        <w:ind w:firstLine="472" w:firstLineChars="196"/>
        <w:outlineLvl w:val="1"/>
        <w:rPr>
          <w:rFonts w:hAnsi="宋体" w:cs="宋体"/>
          <w:b/>
          <w:bCs/>
          <w:color w:val="auto"/>
          <w:sz w:val="24"/>
          <w:szCs w:val="24"/>
        </w:rPr>
      </w:pPr>
      <w:r>
        <w:rPr>
          <w:rFonts w:hint="eastAsia" w:hAnsi="宋体" w:cs="宋体"/>
          <w:b/>
          <w:bCs/>
          <w:color w:val="auto"/>
          <w:sz w:val="24"/>
          <w:szCs w:val="24"/>
        </w:rPr>
        <w:t>（九）质疑和投诉</w:t>
      </w:r>
      <w:bookmarkEnd w:id="21"/>
      <w:bookmarkEnd w:id="22"/>
    </w:p>
    <w:p>
      <w:pPr>
        <w:pStyle w:val="11"/>
        <w:snapToGrid w:val="0"/>
        <w:spacing w:line="440" w:lineRule="exact"/>
        <w:ind w:firstLine="480" w:firstLineChars="200"/>
        <w:rPr>
          <w:rFonts w:hAnsi="宋体" w:cs="宋体"/>
          <w:bCs/>
          <w:color w:val="auto"/>
          <w:sz w:val="24"/>
          <w:szCs w:val="24"/>
        </w:rPr>
      </w:pPr>
      <w:r>
        <w:rPr>
          <w:rFonts w:hint="eastAsia" w:hAnsi="宋体" w:cs="宋体"/>
          <w:bCs/>
          <w:color w:val="auto"/>
          <w:sz w:val="24"/>
          <w:szCs w:val="24"/>
        </w:rPr>
        <w:t>1.投标人认为招标文件、招标过程或中标结果使自己的合法权益受到损害的，应当在知道或者应知其权益受到损害之日起七个工作日内，以书面形式向采购人、采购代理机构提出质疑。具体计算时间如下：</w:t>
      </w:r>
    </w:p>
    <w:p>
      <w:pPr>
        <w:pStyle w:val="11"/>
        <w:snapToGrid w:val="0"/>
        <w:spacing w:line="440" w:lineRule="exact"/>
        <w:ind w:firstLine="480" w:firstLineChars="200"/>
        <w:rPr>
          <w:rFonts w:hAnsi="宋体" w:cs="宋体"/>
          <w:bCs/>
          <w:color w:val="auto"/>
          <w:sz w:val="24"/>
          <w:szCs w:val="24"/>
        </w:rPr>
      </w:pPr>
      <w:r>
        <w:rPr>
          <w:rFonts w:hint="eastAsia" w:hAnsi="宋体" w:cs="宋体"/>
          <w:bCs/>
          <w:color w:val="auto"/>
          <w:sz w:val="24"/>
          <w:szCs w:val="24"/>
        </w:rPr>
        <w:t>（1）对可以质疑的招标采购文件提出质疑的，为招标公告期限届满之日起7个工作日内提出；</w:t>
      </w:r>
    </w:p>
    <w:p>
      <w:pPr>
        <w:pStyle w:val="11"/>
        <w:snapToGrid w:val="0"/>
        <w:spacing w:line="440" w:lineRule="exact"/>
        <w:ind w:firstLine="480" w:firstLineChars="200"/>
        <w:rPr>
          <w:rFonts w:hAnsi="宋体" w:cs="宋体"/>
          <w:bCs/>
          <w:color w:val="auto"/>
          <w:sz w:val="24"/>
          <w:szCs w:val="24"/>
        </w:rPr>
      </w:pPr>
      <w:r>
        <w:rPr>
          <w:rFonts w:hint="eastAsia" w:hAnsi="宋体" w:cs="宋体"/>
          <w:bCs/>
          <w:color w:val="auto"/>
          <w:sz w:val="24"/>
          <w:szCs w:val="24"/>
        </w:rPr>
        <w:t>（2）对招标采购过程提出质疑的，为各采购程序环节结束之日起7个工作日内提出；</w:t>
      </w:r>
    </w:p>
    <w:p>
      <w:pPr>
        <w:pStyle w:val="11"/>
        <w:snapToGrid w:val="0"/>
        <w:spacing w:line="440" w:lineRule="exact"/>
        <w:ind w:firstLine="480" w:firstLineChars="200"/>
        <w:rPr>
          <w:rFonts w:hAnsi="宋体" w:cs="宋体"/>
          <w:bCs/>
          <w:color w:val="auto"/>
          <w:sz w:val="24"/>
          <w:szCs w:val="24"/>
        </w:rPr>
      </w:pPr>
      <w:r>
        <w:rPr>
          <w:rFonts w:hint="eastAsia" w:hAnsi="宋体" w:cs="宋体"/>
          <w:bCs/>
          <w:color w:val="auto"/>
          <w:sz w:val="24"/>
          <w:szCs w:val="24"/>
        </w:rPr>
        <w:t>（3）对中标结果提出质疑的，为中标结果公告期限届满之日起7个工作日内提出投标人对招标采购单位的质疑答复不满意或者招标采购单位未在规定时间内作出答复的，可以在答复期满后十五个工作日内向同级政府采购监管部门投诉。</w:t>
      </w:r>
    </w:p>
    <w:p>
      <w:pPr>
        <w:pStyle w:val="11"/>
        <w:snapToGrid w:val="0"/>
        <w:spacing w:line="440" w:lineRule="exact"/>
        <w:ind w:firstLine="480" w:firstLineChars="200"/>
        <w:rPr>
          <w:rFonts w:hAnsi="宋体" w:cs="宋体"/>
          <w:bCs/>
          <w:color w:val="auto"/>
          <w:sz w:val="24"/>
          <w:szCs w:val="24"/>
        </w:rPr>
      </w:pPr>
      <w:r>
        <w:rPr>
          <w:rFonts w:hint="eastAsia" w:hAnsi="宋体" w:cs="宋体"/>
          <w:bCs/>
          <w:color w:val="auto"/>
          <w:sz w:val="24"/>
          <w:szCs w:val="24"/>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11"/>
        <w:snapToGrid w:val="0"/>
        <w:spacing w:line="440" w:lineRule="exact"/>
        <w:ind w:firstLine="480" w:firstLineChars="200"/>
        <w:rPr>
          <w:rFonts w:hAnsi="宋体" w:cs="宋体"/>
          <w:bCs/>
          <w:color w:val="auto"/>
          <w:sz w:val="24"/>
          <w:szCs w:val="24"/>
        </w:rPr>
      </w:pPr>
      <w:r>
        <w:rPr>
          <w:rFonts w:hint="eastAsia" w:hAnsi="宋体" w:cs="宋体"/>
          <w:bCs/>
          <w:color w:val="auto"/>
          <w:sz w:val="24"/>
          <w:szCs w:val="24"/>
        </w:rPr>
        <w:t>3、质疑书面要求</w:t>
      </w:r>
    </w:p>
    <w:p>
      <w:pPr>
        <w:pStyle w:val="11"/>
        <w:spacing w:line="440" w:lineRule="exact"/>
        <w:ind w:firstLine="480" w:firstLineChars="200"/>
        <w:rPr>
          <w:rFonts w:hAnsi="宋体" w:cs="宋体"/>
          <w:color w:val="auto"/>
          <w:sz w:val="24"/>
          <w:szCs w:val="24"/>
        </w:rPr>
      </w:pPr>
      <w:r>
        <w:rPr>
          <w:rFonts w:hint="eastAsia" w:hAnsi="宋体" w:cs="宋体"/>
          <w:color w:val="auto"/>
          <w:sz w:val="24"/>
          <w:szCs w:val="24"/>
        </w:rPr>
        <w:t>供应商提交质疑应当提交质疑函和必要的证明材料，质疑函应当包括下列内容：</w:t>
      </w:r>
    </w:p>
    <w:p>
      <w:pPr>
        <w:pStyle w:val="11"/>
        <w:spacing w:line="440" w:lineRule="exact"/>
        <w:ind w:firstLine="360"/>
        <w:rPr>
          <w:rFonts w:hAnsi="宋体" w:cs="宋体"/>
          <w:color w:val="auto"/>
          <w:sz w:val="24"/>
          <w:szCs w:val="24"/>
        </w:rPr>
      </w:pPr>
      <w:r>
        <w:rPr>
          <w:rFonts w:hint="eastAsia" w:hAnsi="宋体" w:cs="宋体"/>
          <w:color w:val="auto"/>
          <w:sz w:val="24"/>
          <w:szCs w:val="24"/>
        </w:rPr>
        <w:t>（1）供应商的姓名或者名称、地址、邮编、联系人及联系电话；</w:t>
      </w:r>
    </w:p>
    <w:p>
      <w:pPr>
        <w:pStyle w:val="11"/>
        <w:spacing w:line="440" w:lineRule="exact"/>
        <w:ind w:firstLine="360"/>
        <w:rPr>
          <w:rFonts w:hAnsi="宋体" w:cs="宋体"/>
          <w:color w:val="auto"/>
          <w:sz w:val="24"/>
          <w:szCs w:val="24"/>
        </w:rPr>
      </w:pPr>
      <w:r>
        <w:rPr>
          <w:rFonts w:hint="eastAsia" w:hAnsi="宋体" w:cs="宋体"/>
          <w:color w:val="auto"/>
          <w:sz w:val="24"/>
          <w:szCs w:val="24"/>
        </w:rPr>
        <w:t>（2）质疑项目的名称、编号；</w:t>
      </w:r>
    </w:p>
    <w:p>
      <w:pPr>
        <w:pStyle w:val="11"/>
        <w:spacing w:line="440" w:lineRule="exact"/>
        <w:ind w:firstLine="360"/>
        <w:rPr>
          <w:rFonts w:hAnsi="宋体" w:cs="宋体"/>
          <w:color w:val="auto"/>
          <w:sz w:val="24"/>
          <w:szCs w:val="24"/>
        </w:rPr>
      </w:pPr>
      <w:r>
        <w:rPr>
          <w:rFonts w:hint="eastAsia" w:hAnsi="宋体" w:cs="宋体"/>
          <w:color w:val="auto"/>
          <w:sz w:val="24"/>
          <w:szCs w:val="24"/>
        </w:rPr>
        <w:t>（3）具体、明确的质疑事项和质疑事项相关的请求；</w:t>
      </w:r>
    </w:p>
    <w:p>
      <w:pPr>
        <w:pStyle w:val="11"/>
        <w:spacing w:line="440" w:lineRule="exact"/>
        <w:ind w:firstLine="360"/>
        <w:rPr>
          <w:rFonts w:hAnsi="宋体" w:cs="宋体"/>
          <w:color w:val="auto"/>
          <w:sz w:val="24"/>
          <w:szCs w:val="24"/>
        </w:rPr>
      </w:pPr>
      <w:r>
        <w:rPr>
          <w:rFonts w:hint="eastAsia" w:hAnsi="宋体" w:cs="宋体"/>
          <w:color w:val="auto"/>
          <w:sz w:val="24"/>
          <w:szCs w:val="24"/>
        </w:rPr>
        <w:t>（4）事实依据；</w:t>
      </w:r>
    </w:p>
    <w:p>
      <w:pPr>
        <w:pStyle w:val="11"/>
        <w:spacing w:line="440" w:lineRule="exact"/>
        <w:ind w:firstLine="360"/>
        <w:rPr>
          <w:rFonts w:hAnsi="宋体" w:cs="宋体"/>
          <w:color w:val="auto"/>
          <w:sz w:val="24"/>
          <w:szCs w:val="24"/>
        </w:rPr>
      </w:pPr>
      <w:r>
        <w:rPr>
          <w:rFonts w:hint="eastAsia" w:hAnsi="宋体" w:cs="宋体"/>
          <w:color w:val="auto"/>
          <w:sz w:val="24"/>
          <w:szCs w:val="24"/>
        </w:rPr>
        <w:t>（5）必要的法律依据；</w:t>
      </w:r>
    </w:p>
    <w:p>
      <w:pPr>
        <w:pStyle w:val="11"/>
        <w:spacing w:line="440" w:lineRule="exact"/>
        <w:ind w:firstLine="360"/>
        <w:rPr>
          <w:rFonts w:hAnsi="宋体" w:cs="宋体"/>
          <w:color w:val="auto"/>
          <w:sz w:val="24"/>
          <w:szCs w:val="24"/>
        </w:rPr>
      </w:pPr>
      <w:r>
        <w:rPr>
          <w:rFonts w:hint="eastAsia" w:hAnsi="宋体" w:cs="宋体"/>
          <w:color w:val="auto"/>
          <w:sz w:val="24"/>
          <w:szCs w:val="24"/>
        </w:rPr>
        <w:t>（6）提起质疑的日期；</w:t>
      </w:r>
    </w:p>
    <w:p>
      <w:pPr>
        <w:pStyle w:val="11"/>
        <w:spacing w:line="440" w:lineRule="exact"/>
        <w:ind w:firstLine="360"/>
        <w:rPr>
          <w:rFonts w:hAnsi="宋体" w:cs="宋体"/>
          <w:color w:val="auto"/>
          <w:sz w:val="24"/>
          <w:szCs w:val="24"/>
        </w:rPr>
      </w:pPr>
      <w:r>
        <w:rPr>
          <w:rFonts w:hint="eastAsia" w:hAnsi="宋体" w:cs="宋体"/>
          <w:color w:val="auto"/>
          <w:sz w:val="24"/>
          <w:szCs w:val="24"/>
        </w:rPr>
        <w:t>（7）附件材料：营业执照副本内页复印件等</w:t>
      </w:r>
    </w:p>
    <w:p>
      <w:pPr>
        <w:pStyle w:val="11"/>
        <w:spacing w:line="440" w:lineRule="exact"/>
        <w:ind w:firstLine="360"/>
        <w:rPr>
          <w:rFonts w:hAnsi="宋体" w:cs="宋体"/>
          <w:color w:val="auto"/>
          <w:sz w:val="24"/>
          <w:szCs w:val="24"/>
        </w:rPr>
      </w:pPr>
      <w:r>
        <w:rPr>
          <w:rFonts w:hint="eastAsia" w:hAnsi="宋体" w:cs="宋体"/>
          <w:color w:val="auto"/>
          <w:sz w:val="24"/>
          <w:szCs w:val="24"/>
        </w:rPr>
        <w:t>质疑书应当署名。供应商为自然人的，应当由本人签字；质疑供应商为法人或者其他组织的，应当由法定代表人、主要负责人签字或其授权代表签字或盖章并加盖公章。</w:t>
      </w:r>
    </w:p>
    <w:p>
      <w:pPr>
        <w:pStyle w:val="11"/>
        <w:spacing w:line="440" w:lineRule="exact"/>
        <w:ind w:firstLine="360"/>
        <w:rPr>
          <w:rFonts w:hAnsi="宋体" w:cs="宋体"/>
          <w:color w:val="auto"/>
          <w:sz w:val="24"/>
          <w:szCs w:val="24"/>
        </w:rPr>
      </w:pPr>
      <w:r>
        <w:rPr>
          <w:rFonts w:hint="eastAsia" w:hAnsi="宋体" w:cs="宋体"/>
          <w:color w:val="auto"/>
          <w:sz w:val="24"/>
          <w:szCs w:val="24"/>
        </w:rPr>
        <w:t>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委托代理人身份证明复印件。</w:t>
      </w:r>
    </w:p>
    <w:p>
      <w:pPr>
        <w:pStyle w:val="11"/>
        <w:snapToGrid w:val="0"/>
        <w:spacing w:line="440" w:lineRule="exact"/>
        <w:ind w:firstLine="482" w:firstLineChars="200"/>
        <w:rPr>
          <w:rFonts w:hAnsi="宋体" w:cs="宋体"/>
          <w:bCs/>
          <w:color w:val="auto"/>
          <w:sz w:val="24"/>
          <w:szCs w:val="24"/>
        </w:rPr>
      </w:pPr>
      <w:r>
        <w:rPr>
          <w:rFonts w:hint="eastAsia" w:hAnsi="宋体" w:cs="宋体"/>
          <w:b/>
          <w:bCs/>
          <w:color w:val="auto"/>
          <w:sz w:val="24"/>
          <w:szCs w:val="24"/>
        </w:rPr>
        <w:t>如不按上述要求进行质疑的，视为无效质疑，不予受理。</w:t>
      </w:r>
    </w:p>
    <w:p>
      <w:pPr>
        <w:pStyle w:val="11"/>
        <w:snapToGrid w:val="0"/>
        <w:spacing w:line="440" w:lineRule="exact"/>
        <w:ind w:firstLine="480" w:firstLineChars="200"/>
        <w:rPr>
          <w:rFonts w:hAnsi="宋体" w:cs="宋体"/>
          <w:bCs/>
          <w:color w:val="auto"/>
          <w:sz w:val="24"/>
          <w:szCs w:val="24"/>
        </w:rPr>
      </w:pPr>
      <w:r>
        <w:rPr>
          <w:rFonts w:hint="eastAsia" w:hAnsi="宋体" w:cs="宋体"/>
          <w:bCs/>
          <w:color w:val="auto"/>
          <w:sz w:val="24"/>
          <w:szCs w:val="24"/>
        </w:rPr>
        <w:t>4、质疑、投诉的书面要求</w:t>
      </w:r>
    </w:p>
    <w:p>
      <w:pPr>
        <w:pStyle w:val="11"/>
        <w:spacing w:line="440" w:lineRule="exact"/>
        <w:ind w:left="430"/>
        <w:rPr>
          <w:rFonts w:hAnsi="宋体" w:cs="宋体"/>
          <w:color w:val="auto"/>
          <w:sz w:val="24"/>
          <w:szCs w:val="24"/>
        </w:rPr>
      </w:pPr>
      <w:r>
        <w:rPr>
          <w:rFonts w:hint="eastAsia" w:hAnsi="宋体" w:cs="宋体"/>
          <w:color w:val="auto"/>
          <w:sz w:val="24"/>
          <w:szCs w:val="24"/>
        </w:rPr>
        <w:t>符合《政府采购供应商投诉处理办法》（财政部令第94号）要求。</w:t>
      </w:r>
    </w:p>
    <w:p>
      <w:pPr>
        <w:pStyle w:val="11"/>
        <w:spacing w:line="440" w:lineRule="exact"/>
        <w:ind w:left="430"/>
        <w:rPr>
          <w:rFonts w:hAnsi="宋体" w:cs="宋体"/>
          <w:color w:val="auto"/>
          <w:sz w:val="24"/>
          <w:szCs w:val="24"/>
        </w:rPr>
      </w:pPr>
      <w:r>
        <w:rPr>
          <w:rFonts w:hint="eastAsia" w:hAnsi="宋体" w:cs="宋体"/>
          <w:color w:val="auto"/>
          <w:sz w:val="24"/>
          <w:szCs w:val="24"/>
        </w:rPr>
        <w:t>5、联系方式：</w:t>
      </w:r>
    </w:p>
    <w:p>
      <w:pPr>
        <w:pStyle w:val="11"/>
        <w:spacing w:line="440" w:lineRule="exact"/>
        <w:ind w:left="430"/>
        <w:rPr>
          <w:rFonts w:hAnsi="宋体" w:cs="宋体"/>
          <w:color w:val="auto"/>
          <w:sz w:val="24"/>
          <w:szCs w:val="24"/>
        </w:rPr>
      </w:pPr>
      <w:r>
        <w:rPr>
          <w:rFonts w:hint="eastAsia" w:hAnsi="宋体" w:cs="宋体"/>
          <w:color w:val="auto"/>
          <w:sz w:val="24"/>
          <w:szCs w:val="24"/>
        </w:rPr>
        <w:t>质疑联系部门及电话为：广西元强建设项目管理有限公司招标代理部    0778-2279393；</w:t>
      </w:r>
    </w:p>
    <w:p>
      <w:pPr>
        <w:pStyle w:val="11"/>
        <w:spacing w:line="440" w:lineRule="exact"/>
        <w:ind w:left="430"/>
        <w:rPr>
          <w:rFonts w:hAnsi="宋体" w:cs="宋体"/>
          <w:color w:val="auto"/>
          <w:sz w:val="24"/>
          <w:szCs w:val="24"/>
        </w:rPr>
      </w:pPr>
      <w:r>
        <w:rPr>
          <w:rFonts w:hint="eastAsia" w:hAnsi="宋体" w:cs="宋体"/>
          <w:color w:val="auto"/>
          <w:sz w:val="24"/>
          <w:szCs w:val="24"/>
        </w:rPr>
        <w:t xml:space="preserve">投诉联系部门及电话为：河池市财政局政府采购监督管理科       联系电话：0778-2270025 </w:t>
      </w:r>
    </w:p>
    <w:p>
      <w:pPr>
        <w:pStyle w:val="11"/>
        <w:snapToGrid w:val="0"/>
        <w:spacing w:line="440" w:lineRule="exact"/>
        <w:ind w:firstLine="472" w:firstLineChars="196"/>
        <w:outlineLvl w:val="0"/>
        <w:rPr>
          <w:rFonts w:hAnsi="宋体" w:cs="宋体"/>
          <w:b/>
          <w:color w:val="auto"/>
          <w:sz w:val="24"/>
          <w:szCs w:val="24"/>
        </w:rPr>
      </w:pPr>
      <w:bookmarkStart w:id="23" w:name="_Toc254970675"/>
      <w:bookmarkStart w:id="24" w:name="_Toc254970534"/>
      <w:r>
        <w:rPr>
          <w:rFonts w:hint="eastAsia" w:hAnsi="宋体" w:cs="宋体"/>
          <w:b/>
          <w:color w:val="auto"/>
          <w:sz w:val="24"/>
          <w:szCs w:val="24"/>
        </w:rPr>
        <w:t>二、招标文件</w:t>
      </w:r>
      <w:bookmarkEnd w:id="23"/>
      <w:bookmarkEnd w:id="24"/>
    </w:p>
    <w:p>
      <w:pPr>
        <w:snapToGrid w:val="0"/>
        <w:spacing w:line="440" w:lineRule="exact"/>
        <w:ind w:firstLine="472" w:firstLineChars="196"/>
        <w:jc w:val="left"/>
        <w:rPr>
          <w:rFonts w:ascii="宋体" w:hAnsi="宋体" w:cs="宋体"/>
          <w:b/>
          <w:color w:val="auto"/>
          <w:sz w:val="24"/>
        </w:rPr>
      </w:pPr>
      <w:r>
        <w:rPr>
          <w:rFonts w:hint="eastAsia" w:ascii="宋体" w:hAnsi="宋体" w:cs="宋体"/>
          <w:b/>
          <w:color w:val="auto"/>
          <w:sz w:val="24"/>
        </w:rPr>
        <w:t>（一）招标文件的构成。</w:t>
      </w:r>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1.招标公告；</w:t>
      </w:r>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2.招标项目需求；</w:t>
      </w:r>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3.投标人须知；</w:t>
      </w:r>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4.评标方法及标准；</w:t>
      </w:r>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5.合同主要条款；</w:t>
      </w:r>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6.投标文件格式。</w:t>
      </w:r>
    </w:p>
    <w:p>
      <w:pPr>
        <w:snapToGrid w:val="0"/>
        <w:spacing w:line="440" w:lineRule="exact"/>
        <w:ind w:firstLine="472" w:firstLineChars="196"/>
        <w:jc w:val="left"/>
        <w:rPr>
          <w:rFonts w:ascii="宋体" w:hAnsi="宋体" w:cs="宋体"/>
          <w:b/>
          <w:color w:val="auto"/>
          <w:sz w:val="24"/>
        </w:rPr>
      </w:pPr>
      <w:r>
        <w:rPr>
          <w:rFonts w:hint="eastAsia" w:ascii="宋体" w:hAnsi="宋体" w:cs="宋体"/>
          <w:b/>
          <w:color w:val="auto"/>
          <w:sz w:val="24"/>
        </w:rPr>
        <w:t>（二）投标人的风险</w:t>
      </w:r>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投标人没有按照招标文件要求提供全部资料，或者投标人没有对招标文件在各方面作出实质性响应是投标人的风险，并可能导致其投标被拒绝。</w:t>
      </w:r>
    </w:p>
    <w:p>
      <w:pPr>
        <w:snapToGrid w:val="0"/>
        <w:spacing w:line="440" w:lineRule="exact"/>
        <w:ind w:firstLine="472" w:firstLineChars="196"/>
        <w:jc w:val="left"/>
        <w:rPr>
          <w:rFonts w:ascii="宋体" w:hAnsi="宋体" w:cs="宋体"/>
          <w:b/>
          <w:color w:val="auto"/>
          <w:sz w:val="24"/>
        </w:rPr>
      </w:pPr>
      <w:r>
        <w:rPr>
          <w:rFonts w:hint="eastAsia" w:ascii="宋体" w:hAnsi="宋体" w:cs="宋体"/>
          <w:b/>
          <w:color w:val="auto"/>
          <w:sz w:val="24"/>
        </w:rPr>
        <w:t xml:space="preserve">（三）招标文件的澄清与修改 </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bCs/>
          <w:color w:val="auto"/>
          <w:sz w:val="24"/>
          <w:szCs w:val="24"/>
        </w:rPr>
        <w:t>投标人应认真阅读本招标文件，发现其中有误或有不合理要求的，投标人必须在</w:t>
      </w:r>
      <w:r>
        <w:rPr>
          <w:rFonts w:hint="eastAsia" w:hAnsi="宋体" w:cs="宋体"/>
          <w:bCs/>
          <w:color w:val="auto"/>
          <w:sz w:val="24"/>
          <w:szCs w:val="24"/>
          <w:u w:val="single"/>
        </w:rPr>
        <w:t>投标人须知前附表规定时间</w:t>
      </w:r>
      <w:r>
        <w:rPr>
          <w:rFonts w:hint="eastAsia" w:hAnsi="宋体" w:cs="宋体"/>
          <w:bCs/>
          <w:color w:val="auto"/>
          <w:sz w:val="24"/>
          <w:szCs w:val="24"/>
        </w:rPr>
        <w:t>前以书面形式要求招标采购单位澄清</w:t>
      </w:r>
      <w:r>
        <w:rPr>
          <w:rFonts w:hint="eastAsia" w:hAnsi="宋体" w:cs="宋体"/>
          <w:color w:val="auto"/>
          <w:sz w:val="24"/>
          <w:szCs w:val="24"/>
        </w:rPr>
        <w:t>。采购代理机构对已发出的招标文件进行必要澄清、答复、修改或补充的，应当在招标文件要求提交投标文件截止时间十五日前，在财政部门指定的政府采购信息发布媒体上发布更正公告，并以书面形式通知所有购买招标文件的供应商。该澄清或者修改的内容为招标文件的组成部分。</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2.采购代理机构以书面形式答复投标人要求澄清的问题，并将不包含问题来源的答复书面通知所有购买招标文件的供应商；除书面答复以外的其他澄清方式及澄清内容均无效。</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3.招标文件澄清、答复、修改、补充的内容为招标文件的组成部分。当招标文件与招标文件的答复、澄清、修改、补充通知就同一内容的表述不一致时，以最后发出的书面文件为准。</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4.招标文件的澄清、答复、修改或补充都应该通过本采购代理机构以法定形式发布，采购人非通过代理机构，不得擅自澄清、答复、修改或补充招标文件。</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5.采购人可以视采购具体情况，延长投标截止时间和开标时间，但至少应当在招标文件要求提交投标文件的截止时间三日前将变更时间书面通知所有购买招标文件的供应商，并在财政部门指定的政府采购信息发布媒体上发布更正公告。</w:t>
      </w:r>
    </w:p>
    <w:p>
      <w:pPr>
        <w:snapToGrid w:val="0"/>
        <w:spacing w:line="500" w:lineRule="exact"/>
        <w:ind w:firstLine="472" w:firstLineChars="196"/>
        <w:jc w:val="left"/>
        <w:rPr>
          <w:rFonts w:ascii="宋体" w:hAnsi="宋体" w:cs="宋体"/>
          <w:b/>
          <w:color w:val="auto"/>
          <w:sz w:val="24"/>
        </w:rPr>
      </w:pPr>
      <w:bookmarkStart w:id="25" w:name="_Toc254970535"/>
      <w:bookmarkStart w:id="26" w:name="_Toc254970676"/>
      <w:r>
        <w:rPr>
          <w:rFonts w:hint="eastAsia" w:ascii="宋体" w:hAnsi="宋体" w:cs="宋体"/>
          <w:b/>
          <w:color w:val="auto"/>
          <w:sz w:val="24"/>
        </w:rPr>
        <w:t>三、投标文件的编制</w:t>
      </w:r>
      <w:bookmarkEnd w:id="25"/>
      <w:bookmarkEnd w:id="26"/>
    </w:p>
    <w:p>
      <w:pPr>
        <w:snapToGrid w:val="0"/>
        <w:spacing w:line="500" w:lineRule="exact"/>
        <w:ind w:firstLine="472" w:firstLineChars="196"/>
        <w:jc w:val="left"/>
        <w:rPr>
          <w:rFonts w:ascii="宋体" w:hAnsi="宋体" w:cs="宋体"/>
          <w:b/>
          <w:color w:val="auto"/>
          <w:sz w:val="24"/>
        </w:rPr>
      </w:pPr>
      <w:bookmarkStart w:id="27" w:name="_Toc254970677"/>
      <w:bookmarkStart w:id="28" w:name="_Toc254970536"/>
      <w:r>
        <w:rPr>
          <w:rFonts w:hint="eastAsia" w:ascii="宋体" w:hAnsi="宋体" w:cs="宋体"/>
          <w:b/>
          <w:color w:val="auto"/>
          <w:sz w:val="24"/>
        </w:rPr>
        <w:t>（一）投标文件的组成</w:t>
      </w:r>
      <w:bookmarkEnd w:id="27"/>
      <w:bookmarkEnd w:id="28"/>
    </w:p>
    <w:p>
      <w:pPr>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投标文件由开标一览表、资信商务</w:t>
      </w:r>
      <w:r>
        <w:rPr>
          <w:rFonts w:hint="eastAsia" w:ascii="宋体" w:hAnsi="宋体" w:cs="宋体"/>
          <w:color w:val="auto"/>
          <w:sz w:val="24"/>
          <w:lang w:val="en-US" w:eastAsia="zh-CN"/>
        </w:rPr>
        <w:t>文件</w:t>
      </w:r>
      <w:r>
        <w:rPr>
          <w:rFonts w:hint="eastAsia" w:ascii="宋体" w:hAnsi="宋体" w:cs="宋体"/>
          <w:color w:val="auto"/>
          <w:sz w:val="24"/>
        </w:rPr>
        <w:t>部分、价格部分、技术部分组成。</w:t>
      </w:r>
    </w:p>
    <w:p>
      <w:pPr>
        <w:snapToGrid w:val="0"/>
        <w:spacing w:line="460" w:lineRule="exact"/>
        <w:jc w:val="left"/>
        <w:rPr>
          <w:rFonts w:ascii="宋体" w:hAnsi="宋体" w:cs="宋体"/>
          <w:b/>
          <w:color w:val="auto"/>
          <w:sz w:val="24"/>
        </w:rPr>
      </w:pPr>
      <w:r>
        <w:rPr>
          <w:rFonts w:hint="eastAsia" w:ascii="宋体" w:hAnsi="宋体" w:cs="宋体"/>
          <w:b/>
          <w:color w:val="auto"/>
          <w:sz w:val="24"/>
          <w:lang w:val="en-US" w:eastAsia="zh-CN"/>
        </w:rPr>
        <w:t>1、</w:t>
      </w:r>
      <w:r>
        <w:rPr>
          <w:rFonts w:hint="eastAsia" w:ascii="宋体" w:hAnsi="宋体" w:cs="宋体"/>
          <w:b/>
          <w:color w:val="auto"/>
          <w:sz w:val="24"/>
        </w:rPr>
        <w:t>开标一览表（单独装订成册，一式两份，不分正副本）：</w:t>
      </w:r>
    </w:p>
    <w:p>
      <w:pPr>
        <w:tabs>
          <w:tab w:val="left" w:pos="3870"/>
          <w:tab w:val="left" w:pos="4085"/>
        </w:tabs>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▲（1）开标一览表（按第六章要求格式填写）；</w:t>
      </w:r>
    </w:p>
    <w:p>
      <w:pPr>
        <w:tabs>
          <w:tab w:val="left" w:pos="3870"/>
          <w:tab w:val="left" w:pos="4085"/>
        </w:tabs>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▲（2）保证金交纳证明（按第六章要求格式填写）；</w:t>
      </w:r>
    </w:p>
    <w:p>
      <w:pPr>
        <w:spacing w:line="500" w:lineRule="exact"/>
        <w:ind w:firstLine="480" w:firstLineChars="200"/>
        <w:rPr>
          <w:rFonts w:ascii="宋体" w:hAnsi="宋体" w:cs="宋体"/>
          <w:color w:val="auto"/>
          <w:sz w:val="24"/>
        </w:rPr>
      </w:pPr>
      <w:r>
        <w:rPr>
          <w:rFonts w:hint="eastAsia" w:ascii="宋体" w:hAnsi="宋体" w:cs="宋体"/>
          <w:color w:val="auto"/>
          <w:sz w:val="24"/>
        </w:rPr>
        <w:t>（3）投标人符合中小企业划型标准的，按《政府采购促进中小企业发展暂行办法》（财库〔2011〕181 号）要求，提供有效中小企业声明函，并对声明的真实性负责 (格式见第五章)。监狱企业参加政府采购活动时，应当提供由省级以上监狱管理局、戒毒管理局（含新疆生产建设兵团）出具的属于监狱企业的证明文件；</w:t>
      </w:r>
    </w:p>
    <w:p>
      <w:pPr>
        <w:spacing w:line="500" w:lineRule="exact"/>
        <w:ind w:firstLine="480" w:firstLineChars="200"/>
        <w:rPr>
          <w:rFonts w:ascii="宋体" w:hAnsi="宋体" w:cs="宋体"/>
          <w:color w:val="auto"/>
          <w:sz w:val="24"/>
        </w:rPr>
      </w:pPr>
      <w:r>
        <w:rPr>
          <w:rFonts w:hint="eastAsia" w:ascii="宋体" w:hAnsi="宋体" w:cs="宋体"/>
          <w:color w:val="auto"/>
          <w:sz w:val="24"/>
        </w:rPr>
        <w:t>（4）投标人及其投标产品提供单位按《关于促进残疾人就业政府采购政策的通知》(财库〔2017〕141 号)认定为残疾人福利性单位的，在政府采购活动中，残疾人福利性单位视同小型、微型企业。符合条件的残疾人福利性单位在参加政府采购活动时，应当提供本通知规定的《残疾人福利性单位声明函》，并对声明的真实性负责(格式见第五章)；</w:t>
      </w:r>
    </w:p>
    <w:p>
      <w:pPr>
        <w:tabs>
          <w:tab w:val="left" w:pos="3870"/>
          <w:tab w:val="left" w:pos="4085"/>
        </w:tabs>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（5）投标人针对报价需要说明的其他文件和说明（如有，格式自拟）。</w:t>
      </w:r>
    </w:p>
    <w:p>
      <w:pPr>
        <w:numPr>
          <w:ilvl w:val="0"/>
          <w:numId w:val="0"/>
        </w:numPr>
        <w:snapToGrid w:val="0"/>
        <w:spacing w:line="440" w:lineRule="exact"/>
        <w:jc w:val="left"/>
        <w:rPr>
          <w:rFonts w:ascii="宋体" w:hAnsi="宋体" w:cs="宋体"/>
          <w:b/>
          <w:color w:val="auto"/>
          <w:sz w:val="24"/>
        </w:rPr>
      </w:pPr>
      <w:r>
        <w:rPr>
          <w:rFonts w:hint="eastAsia" w:ascii="宋体" w:hAnsi="宋体" w:cs="宋体"/>
          <w:b/>
          <w:color w:val="auto"/>
          <w:sz w:val="24"/>
          <w:lang w:val="en-US" w:eastAsia="zh-CN"/>
        </w:rPr>
        <w:t>2、</w:t>
      </w:r>
      <w:r>
        <w:rPr>
          <w:rFonts w:hint="eastAsia" w:ascii="宋体" w:hAnsi="宋体" w:cs="宋体"/>
          <w:b/>
          <w:color w:val="auto"/>
          <w:sz w:val="24"/>
        </w:rPr>
        <w:t>价格部分</w:t>
      </w:r>
    </w:p>
    <w:p>
      <w:pPr>
        <w:snapToGrid w:val="0"/>
        <w:spacing w:line="440" w:lineRule="exact"/>
        <w:ind w:firstLine="470" w:firstLineChars="196"/>
        <w:jc w:val="left"/>
        <w:rPr>
          <w:rFonts w:ascii="宋体" w:hAnsi="宋体" w:cs="宋体"/>
          <w:color w:val="auto"/>
          <w:sz w:val="24"/>
        </w:rPr>
      </w:pPr>
      <w:r>
        <w:rPr>
          <w:rFonts w:hint="eastAsia" w:ascii="宋体" w:hAnsi="宋体" w:cs="宋体"/>
          <w:color w:val="auto"/>
          <w:sz w:val="24"/>
        </w:rPr>
        <w:t>▲（1）投标函（按第六章要求格式填写）；</w:t>
      </w:r>
    </w:p>
    <w:p>
      <w:pPr>
        <w:snapToGrid w:val="0"/>
        <w:spacing w:line="440" w:lineRule="exact"/>
        <w:ind w:firstLine="470" w:firstLineChars="196"/>
        <w:jc w:val="left"/>
        <w:rPr>
          <w:rFonts w:ascii="宋体" w:hAnsi="宋体" w:cs="宋体"/>
          <w:color w:val="auto"/>
          <w:sz w:val="24"/>
        </w:rPr>
      </w:pPr>
      <w:r>
        <w:rPr>
          <w:rFonts w:hint="eastAsia" w:ascii="宋体" w:hAnsi="宋体" w:cs="宋体"/>
          <w:color w:val="auto"/>
          <w:sz w:val="24"/>
        </w:rPr>
        <w:t>▲（2）投标报价明细表（按第六章要求格式填写）；</w:t>
      </w:r>
    </w:p>
    <w:p>
      <w:pPr>
        <w:spacing w:line="500" w:lineRule="exact"/>
        <w:ind w:firstLine="480" w:firstLineChars="200"/>
        <w:rPr>
          <w:rFonts w:ascii="宋体" w:hAnsi="宋体" w:cs="宋体"/>
          <w:color w:val="auto"/>
          <w:sz w:val="24"/>
        </w:rPr>
      </w:pPr>
      <w:r>
        <w:rPr>
          <w:rFonts w:hint="eastAsia" w:ascii="宋体" w:hAnsi="宋体" w:cs="宋体"/>
          <w:color w:val="auto"/>
          <w:sz w:val="24"/>
        </w:rPr>
        <w:t>（3）投标人符合中小企业划型标准的，按《政府采购促进中小企业发展暂行办法》（财库〔2011〕181 号）要求，提供有效中小企业声明函，并对声明的真实性负责 (格式见第五章)。监狱企业参加政府采购活动时，应当提供由省级以上监狱管理局、戒毒管理局（含新疆生产建设兵团）出具的属于监狱企业的证明文件；</w:t>
      </w:r>
    </w:p>
    <w:p>
      <w:pPr>
        <w:spacing w:line="500" w:lineRule="exact"/>
        <w:ind w:firstLine="480" w:firstLineChars="200"/>
        <w:rPr>
          <w:rFonts w:ascii="宋体" w:hAnsi="宋体" w:cs="宋体"/>
          <w:color w:val="auto"/>
          <w:sz w:val="24"/>
        </w:rPr>
      </w:pPr>
      <w:r>
        <w:rPr>
          <w:rFonts w:hint="eastAsia" w:ascii="宋体" w:hAnsi="宋体" w:cs="宋体"/>
          <w:color w:val="auto"/>
          <w:sz w:val="24"/>
        </w:rPr>
        <w:t>（4）投标人及其投标产品提供单位按《关于促进残疾人就业政府采购政策的通知》(财库〔2017〕141 号)认定为残疾人福利性单位的，在政府采购活动中，残疾人福利性单位视同小型、微型企业。符合条件的残疾人福利性单位在参加政府采购活动时，应当提供本通知规定的《残疾人福利性单位声明函》，并对声明的真实性负责(格式见第五章)；</w:t>
      </w:r>
    </w:p>
    <w:p>
      <w:pPr>
        <w:pStyle w:val="2"/>
        <w:adjustRightInd/>
        <w:spacing w:line="500" w:lineRule="exact"/>
        <w:ind w:firstLine="480" w:firstLineChars="200"/>
        <w:textAlignment w:val="auto"/>
        <w:rPr>
          <w:rFonts w:ascii="宋体" w:hAnsi="宋体" w:cs="宋体"/>
          <w:color w:val="auto"/>
        </w:rPr>
      </w:pPr>
      <w:r>
        <w:rPr>
          <w:rFonts w:hint="eastAsia" w:ascii="宋体" w:hAnsi="宋体" w:cs="宋体"/>
          <w:color w:val="auto"/>
          <w:sz w:val="24"/>
          <w:szCs w:val="24"/>
        </w:rPr>
        <w:t>（5）供应商</w:t>
      </w:r>
      <w:r>
        <w:rPr>
          <w:rFonts w:hint="eastAsia" w:ascii="宋体" w:hAnsi="宋体" w:cs="宋体"/>
          <w:color w:val="auto"/>
        </w:rPr>
        <w:t>针对报价需要说明的其他文件和说明（格式自拟）。</w:t>
      </w:r>
    </w:p>
    <w:p>
      <w:pPr>
        <w:snapToGrid w:val="0"/>
        <w:spacing w:line="460" w:lineRule="exact"/>
        <w:ind w:firstLine="472" w:firstLineChars="196"/>
        <w:jc w:val="left"/>
        <w:rPr>
          <w:rFonts w:hint="eastAsia" w:ascii="宋体" w:hAnsi="宋体" w:cs="宋体"/>
          <w:b/>
          <w:color w:val="auto"/>
          <w:sz w:val="24"/>
        </w:rPr>
      </w:pPr>
    </w:p>
    <w:p>
      <w:pPr>
        <w:numPr>
          <w:ilvl w:val="0"/>
          <w:numId w:val="0"/>
        </w:numPr>
        <w:snapToGrid w:val="0"/>
        <w:spacing w:line="460" w:lineRule="exact"/>
        <w:jc w:val="left"/>
        <w:rPr>
          <w:color w:val="auto"/>
        </w:rPr>
      </w:pPr>
      <w:r>
        <w:rPr>
          <w:rFonts w:hint="eastAsia" w:ascii="宋体" w:hAnsi="宋体" w:cs="宋体"/>
          <w:b/>
          <w:color w:val="auto"/>
          <w:sz w:val="24"/>
          <w:lang w:val="en-US" w:eastAsia="zh-CN"/>
        </w:rPr>
        <w:t>3、</w:t>
      </w:r>
      <w:r>
        <w:rPr>
          <w:rFonts w:hint="eastAsia" w:ascii="宋体" w:hAnsi="宋体" w:cs="宋体"/>
          <w:b/>
          <w:color w:val="auto"/>
          <w:sz w:val="24"/>
        </w:rPr>
        <w:t>资信商务</w:t>
      </w:r>
      <w:r>
        <w:rPr>
          <w:rFonts w:hint="eastAsia" w:ascii="宋体" w:hAnsi="宋体" w:cs="宋体"/>
          <w:b/>
          <w:color w:val="auto"/>
          <w:sz w:val="24"/>
          <w:lang w:val="en-US" w:eastAsia="zh-CN"/>
        </w:rPr>
        <w:t>文件</w:t>
      </w:r>
      <w:r>
        <w:rPr>
          <w:rFonts w:hint="eastAsia" w:ascii="宋体" w:hAnsi="宋体" w:cs="宋体"/>
          <w:b/>
          <w:color w:val="auto"/>
          <w:sz w:val="24"/>
        </w:rPr>
        <w:t>部分</w:t>
      </w:r>
    </w:p>
    <w:p>
      <w:pPr>
        <w:snapToGrid w:val="0"/>
        <w:spacing w:line="460" w:lineRule="exact"/>
        <w:ind w:firstLine="470" w:firstLineChars="196"/>
        <w:jc w:val="left"/>
        <w:rPr>
          <w:rFonts w:ascii="宋体" w:hAnsi="宋体" w:cs="宋体"/>
          <w:b/>
          <w:bCs/>
          <w:color w:val="auto"/>
          <w:sz w:val="24"/>
        </w:rPr>
      </w:pPr>
      <w:r>
        <w:rPr>
          <w:rFonts w:hint="eastAsia" w:ascii="宋体" w:hAnsi="宋体" w:cs="宋体"/>
          <w:color w:val="auto"/>
          <w:sz w:val="24"/>
        </w:rPr>
        <w:t>▲</w:t>
      </w:r>
      <w:r>
        <w:rPr>
          <w:rFonts w:hint="eastAsia" w:ascii="宋体" w:hAnsi="宋体" w:cs="宋体"/>
          <w:b/>
          <w:bCs/>
          <w:color w:val="auto"/>
          <w:sz w:val="24"/>
        </w:rPr>
        <w:t>注：以下各项均要加盖投标人单位公章，</w:t>
      </w:r>
      <w:r>
        <w:rPr>
          <w:rFonts w:hint="eastAsia" w:ascii="宋体" w:hAnsi="宋体" w:cs="宋体"/>
          <w:bCs/>
          <w:color w:val="auto"/>
          <w:sz w:val="24"/>
        </w:rPr>
        <w:t>否则其投标无效</w:t>
      </w:r>
      <w:r>
        <w:rPr>
          <w:rFonts w:hint="eastAsia" w:ascii="宋体" w:hAnsi="宋体" w:cs="宋体"/>
          <w:b/>
          <w:bCs/>
          <w:color w:val="auto"/>
          <w:sz w:val="24"/>
        </w:rPr>
        <w:t>。</w:t>
      </w:r>
    </w:p>
    <w:p>
      <w:pPr>
        <w:tabs>
          <w:tab w:val="left" w:pos="3870"/>
          <w:tab w:val="left" w:pos="4085"/>
        </w:tabs>
        <w:snapToGrid w:val="0"/>
        <w:spacing w:line="460" w:lineRule="exact"/>
        <w:ind w:firstLine="480" w:firstLineChars="200"/>
        <w:jc w:val="left"/>
        <w:rPr>
          <w:rFonts w:ascii="宋体" w:hAnsi="宋体" w:cs="宋体"/>
          <w:bCs/>
          <w:color w:val="auto"/>
          <w:sz w:val="24"/>
        </w:rPr>
      </w:pPr>
      <w:r>
        <w:rPr>
          <w:rFonts w:hint="eastAsia" w:ascii="宋体" w:hAnsi="宋体" w:cs="宋体"/>
          <w:color w:val="auto"/>
          <w:sz w:val="24"/>
        </w:rPr>
        <w:t>▲</w:t>
      </w:r>
      <w:r>
        <w:rPr>
          <w:rFonts w:hint="eastAsia" w:ascii="宋体" w:hAnsi="宋体" w:cs="宋体"/>
          <w:bCs/>
          <w:color w:val="auto"/>
          <w:sz w:val="24"/>
        </w:rPr>
        <w:t>（1）投标声明书（按第六章要求格式填写）；</w:t>
      </w:r>
    </w:p>
    <w:p>
      <w:pPr>
        <w:pStyle w:val="2"/>
        <w:spacing w:line="460" w:lineRule="exact"/>
        <w:ind w:firstLine="480" w:firstLineChars="200"/>
        <w:rPr>
          <w:rFonts w:ascii="宋体" w:hAnsi="宋体" w:cs="宋体"/>
          <w:color w:val="auto"/>
        </w:rPr>
      </w:pPr>
      <w:r>
        <w:rPr>
          <w:rFonts w:hint="eastAsia" w:ascii="宋体" w:hAnsi="宋体" w:cs="宋体"/>
          <w:color w:val="auto"/>
          <w:sz w:val="24"/>
          <w:szCs w:val="24"/>
        </w:rPr>
        <w:t>▲</w:t>
      </w:r>
      <w:r>
        <w:rPr>
          <w:rFonts w:hint="eastAsia" w:ascii="宋体" w:hAnsi="宋体" w:cs="宋体"/>
          <w:bCs/>
          <w:color w:val="auto"/>
          <w:sz w:val="24"/>
        </w:rPr>
        <w:t>（2）</w:t>
      </w:r>
      <w:r>
        <w:rPr>
          <w:rFonts w:hint="eastAsia" w:ascii="宋体" w:hAnsi="宋体" w:cs="宋体"/>
          <w:bCs/>
          <w:color w:val="auto"/>
          <w:sz w:val="24"/>
          <w:szCs w:val="24"/>
        </w:rPr>
        <w:t>商务响应表</w:t>
      </w:r>
      <w:r>
        <w:rPr>
          <w:rFonts w:hint="eastAsia" w:ascii="宋体" w:hAnsi="宋体" w:cs="宋体"/>
          <w:color w:val="auto"/>
          <w:sz w:val="24"/>
          <w:szCs w:val="24"/>
        </w:rPr>
        <w:t>（必须提供，格式见第六章）；</w:t>
      </w:r>
    </w:p>
    <w:p>
      <w:pPr>
        <w:tabs>
          <w:tab w:val="left" w:pos="3870"/>
          <w:tab w:val="left" w:pos="4085"/>
        </w:tabs>
        <w:snapToGrid w:val="0"/>
        <w:spacing w:line="460" w:lineRule="exact"/>
        <w:ind w:firstLine="480" w:firstLineChars="200"/>
        <w:jc w:val="left"/>
        <w:rPr>
          <w:rFonts w:ascii="宋体" w:hAnsi="宋体" w:cs="宋体"/>
          <w:bCs/>
          <w:color w:val="auto"/>
          <w:sz w:val="24"/>
        </w:rPr>
      </w:pPr>
      <w:r>
        <w:rPr>
          <w:rFonts w:hint="eastAsia" w:ascii="宋体" w:hAnsi="宋体" w:cs="宋体"/>
          <w:color w:val="auto"/>
          <w:sz w:val="24"/>
        </w:rPr>
        <w:t>▲</w:t>
      </w:r>
      <w:r>
        <w:rPr>
          <w:rFonts w:hint="eastAsia" w:ascii="宋体" w:hAnsi="宋体" w:cs="宋体"/>
          <w:bCs/>
          <w:color w:val="auto"/>
          <w:sz w:val="24"/>
        </w:rPr>
        <w:t>（3）投标保证金缴纳证明、基本账户开户许可证复印件</w:t>
      </w:r>
      <w:r>
        <w:rPr>
          <w:rFonts w:hint="eastAsia" w:ascii="宋体" w:hAnsi="宋体" w:cs="宋体"/>
          <w:color w:val="auto"/>
          <w:sz w:val="24"/>
        </w:rPr>
        <w:t>；</w:t>
      </w:r>
    </w:p>
    <w:p>
      <w:pPr>
        <w:tabs>
          <w:tab w:val="left" w:pos="3870"/>
          <w:tab w:val="left" w:pos="4085"/>
        </w:tabs>
        <w:snapToGrid w:val="0"/>
        <w:spacing w:line="460" w:lineRule="exact"/>
        <w:ind w:firstLine="480" w:firstLineChars="200"/>
        <w:jc w:val="left"/>
        <w:rPr>
          <w:rFonts w:ascii="宋体" w:hAnsi="宋体" w:cs="宋体"/>
          <w:bCs/>
          <w:color w:val="auto"/>
          <w:sz w:val="24"/>
        </w:rPr>
      </w:pPr>
      <w:r>
        <w:rPr>
          <w:rFonts w:hint="eastAsia" w:ascii="宋体" w:hAnsi="宋体" w:cs="宋体"/>
          <w:color w:val="auto"/>
          <w:sz w:val="24"/>
        </w:rPr>
        <w:t>▲</w:t>
      </w:r>
      <w:r>
        <w:rPr>
          <w:rFonts w:hint="eastAsia" w:ascii="宋体" w:hAnsi="宋体" w:cs="宋体"/>
          <w:bCs/>
          <w:color w:val="auto"/>
          <w:sz w:val="24"/>
        </w:rPr>
        <w:t>（4）法定代表人身份证明（按第六章要求格式填写）；</w:t>
      </w:r>
    </w:p>
    <w:p>
      <w:pPr>
        <w:tabs>
          <w:tab w:val="left" w:pos="3870"/>
          <w:tab w:val="left" w:pos="4085"/>
        </w:tabs>
        <w:snapToGrid w:val="0"/>
        <w:spacing w:line="460" w:lineRule="exact"/>
        <w:ind w:firstLine="480" w:firstLineChars="200"/>
        <w:jc w:val="left"/>
        <w:rPr>
          <w:rFonts w:ascii="宋体" w:hAnsi="宋体" w:cs="宋体"/>
          <w:bCs/>
          <w:color w:val="auto"/>
          <w:sz w:val="24"/>
        </w:rPr>
      </w:pPr>
      <w:r>
        <w:rPr>
          <w:rFonts w:hint="eastAsia" w:ascii="宋体" w:hAnsi="宋体" w:cs="宋体"/>
          <w:color w:val="auto"/>
          <w:sz w:val="24"/>
        </w:rPr>
        <w:t>▲</w:t>
      </w:r>
      <w:r>
        <w:rPr>
          <w:rFonts w:hint="eastAsia" w:ascii="宋体" w:hAnsi="宋体" w:cs="宋体"/>
          <w:bCs/>
          <w:color w:val="auto"/>
          <w:sz w:val="24"/>
        </w:rPr>
        <w:t>（5）法定代表人授权委托书及委托代理人有效身份证件复印件（委托代理时，按</w:t>
      </w:r>
      <w:r>
        <w:rPr>
          <w:rFonts w:hint="eastAsia" w:ascii="宋体" w:hAnsi="宋体" w:cs="宋体"/>
          <w:color w:val="auto"/>
          <w:sz w:val="24"/>
        </w:rPr>
        <w:t>第六章要求格式填写）；</w:t>
      </w:r>
    </w:p>
    <w:p>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w:t>
      </w:r>
      <w:r>
        <w:rPr>
          <w:rFonts w:hint="eastAsia" w:ascii="宋体" w:hAnsi="宋体" w:cs="宋体"/>
          <w:bCs/>
          <w:color w:val="auto"/>
          <w:sz w:val="24"/>
        </w:rPr>
        <w:t>（6）有效的营业执照</w:t>
      </w:r>
      <w:r>
        <w:rPr>
          <w:rFonts w:hint="eastAsia" w:ascii="宋体" w:hAnsi="宋体" w:cs="宋体"/>
          <w:color w:val="auto"/>
          <w:sz w:val="24"/>
        </w:rPr>
        <w:t>（事业单位法人证书）</w:t>
      </w:r>
      <w:r>
        <w:rPr>
          <w:rFonts w:hint="eastAsia" w:ascii="宋体" w:hAnsi="宋体" w:cs="宋体"/>
          <w:bCs/>
          <w:color w:val="auto"/>
          <w:sz w:val="24"/>
        </w:rPr>
        <w:t>副本复印件；（未办理“三证合一”的还须提供有效的税务登记证复印件和有效的组织机构代码证复印件）；</w:t>
      </w:r>
    </w:p>
    <w:p>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▲（7）有效的食品检验机构资质认定证书或检验检测机构资质认定证书复印件；</w:t>
      </w:r>
    </w:p>
    <w:p>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8）截标时间前半年内，任意三个月投标人依法缴纳税收（国税或地税）的凭证复印件（成立时间不足三个月的投标人按实际月份提供证明）（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p>
    <w:p>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9）截标时间前半年内，任意三个月投标人依法缴纳社会保障资金的凭证复印件（成立时间不足三个月的投标人按实际月份提供证明）（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w:t>
      </w:r>
    </w:p>
    <w:p>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▲（10）参加政府采购活动前3年内在经营活动中没有重大违法记录的书面声明；</w:t>
      </w:r>
    </w:p>
    <w:p>
      <w:pPr>
        <w:spacing w:line="460" w:lineRule="exact"/>
        <w:ind w:firstLine="480" w:firstLineChars="200"/>
        <w:rPr>
          <w:rFonts w:ascii="宋体" w:hAnsi="宋体" w:cs="宋体"/>
          <w:color w:val="auto"/>
          <w:sz w:val="24"/>
        </w:rPr>
      </w:pPr>
      <w:r>
        <w:rPr>
          <w:rFonts w:hint="eastAsia" w:ascii="宋体" w:hAnsi="宋体" w:cs="宋体"/>
          <w:color w:val="auto"/>
          <w:sz w:val="24"/>
        </w:rPr>
        <w:t>▲（11）信用书面声明及信用查询结果复印件：</w:t>
      </w:r>
    </w:p>
    <w:p>
      <w:pPr>
        <w:spacing w:line="460" w:lineRule="exact"/>
        <w:ind w:firstLine="480" w:firstLineChars="200"/>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1 \* GB3 </w:instrText>
      </w:r>
      <w:r>
        <w:rPr>
          <w:rFonts w:hint="eastAsia" w:ascii="宋体" w:hAnsi="宋体" w:cs="宋体"/>
          <w:color w:val="auto"/>
          <w:sz w:val="24"/>
        </w:rPr>
        <w:fldChar w:fldCharType="separate"/>
      </w:r>
      <w:r>
        <w:rPr>
          <w:rFonts w:hint="eastAsia" w:ascii="宋体" w:hAnsi="宋体" w:cs="宋体"/>
          <w:color w:val="auto"/>
          <w:sz w:val="24"/>
        </w:rPr>
        <w:t>①</w:t>
      </w:r>
      <w:r>
        <w:rPr>
          <w:rFonts w:hint="eastAsia" w:ascii="宋体" w:hAnsi="宋体" w:cs="宋体"/>
          <w:color w:val="auto"/>
          <w:sz w:val="24"/>
        </w:rPr>
        <w:fldChar w:fldCharType="end"/>
      </w:r>
      <w:r>
        <w:rPr>
          <w:rFonts w:hint="eastAsia" w:ascii="宋体" w:hAnsi="宋体" w:cs="宋体"/>
          <w:color w:val="auto"/>
          <w:sz w:val="24"/>
        </w:rPr>
        <w:t>“信用中国”查询内容：在该网站下载的信用报告；</w:t>
      </w:r>
    </w:p>
    <w:p>
      <w:pPr>
        <w:spacing w:line="460" w:lineRule="exact"/>
        <w:ind w:firstLine="480" w:firstLineChars="200"/>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2 \* GB3 </w:instrText>
      </w:r>
      <w:r>
        <w:rPr>
          <w:rFonts w:hint="eastAsia" w:ascii="宋体" w:hAnsi="宋体" w:cs="宋体"/>
          <w:color w:val="auto"/>
          <w:sz w:val="24"/>
        </w:rPr>
        <w:fldChar w:fldCharType="separate"/>
      </w:r>
      <w:r>
        <w:rPr>
          <w:rFonts w:hint="eastAsia" w:ascii="宋体" w:hAnsi="宋体" w:cs="宋体"/>
          <w:color w:val="auto"/>
          <w:sz w:val="24"/>
        </w:rPr>
        <w:t>②</w:t>
      </w:r>
      <w:r>
        <w:rPr>
          <w:rFonts w:hint="eastAsia" w:ascii="宋体" w:hAnsi="宋体" w:cs="宋体"/>
          <w:color w:val="auto"/>
          <w:sz w:val="24"/>
        </w:rPr>
        <w:fldChar w:fldCharType="end"/>
      </w:r>
      <w:r>
        <w:rPr>
          <w:rFonts w:hint="eastAsia" w:ascii="宋体" w:hAnsi="宋体" w:cs="宋体"/>
          <w:color w:val="auto"/>
          <w:sz w:val="24"/>
        </w:rPr>
        <w:t>“中国政府采购网”的查询内容：政府采购严重违法失信行为信息记录（查询界面截图须显示供应商名称以及查询结果）；查询时间：为投标文件递交截止时间前三年，起至投标文件递交截止时间前。</w:t>
      </w:r>
    </w:p>
    <w:p>
      <w:pPr>
        <w:pStyle w:val="11"/>
        <w:spacing w:line="460" w:lineRule="exact"/>
        <w:ind w:firstLine="480" w:firstLineChars="200"/>
        <w:rPr>
          <w:rFonts w:hAnsi="宋体" w:cs="宋体"/>
          <w:color w:val="auto"/>
          <w:sz w:val="24"/>
          <w:szCs w:val="24"/>
        </w:rPr>
      </w:pPr>
      <w:r>
        <w:rPr>
          <w:rFonts w:hint="eastAsia" w:hAnsi="宋体" w:cs="宋体"/>
          <w:color w:val="auto"/>
          <w:sz w:val="24"/>
          <w:szCs w:val="24"/>
        </w:rPr>
        <w:t xml:space="preserve">（12）投标人认为必要提供的声明及文件资料。 </w:t>
      </w:r>
    </w:p>
    <w:p>
      <w:pPr>
        <w:snapToGrid w:val="0"/>
        <w:spacing w:line="460" w:lineRule="exact"/>
        <w:ind w:firstLine="482" w:firstLineChars="200"/>
        <w:jc w:val="left"/>
        <w:rPr>
          <w:rFonts w:ascii="宋体" w:hAnsi="宋体" w:cs="宋体"/>
          <w:color w:val="auto"/>
          <w:sz w:val="24"/>
        </w:rPr>
      </w:pPr>
      <w:r>
        <w:rPr>
          <w:rFonts w:hint="eastAsia" w:ascii="宋体" w:hAnsi="宋体" w:cs="宋体"/>
          <w:b/>
          <w:bCs/>
          <w:color w:val="auto"/>
          <w:sz w:val="24"/>
        </w:rPr>
        <w:t>可作为投标人资信评分的资质证明材料</w:t>
      </w:r>
      <w:r>
        <w:rPr>
          <w:rFonts w:hint="eastAsia" w:ascii="宋体" w:hAnsi="宋体" w:cs="宋体"/>
          <w:color w:val="auto"/>
          <w:sz w:val="24"/>
        </w:rPr>
        <w:t>（可选，招标项目采购需求另有要求的，以其要求为准）：</w:t>
      </w:r>
    </w:p>
    <w:p>
      <w:pPr>
        <w:snapToGrid w:val="0"/>
        <w:spacing w:line="420" w:lineRule="exact"/>
        <w:ind w:firstLine="480" w:firstLineChars="200"/>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13</w:t>
      </w:r>
      <w:r>
        <w:rPr>
          <w:rFonts w:hint="eastAsia" w:ascii="宋体" w:hAnsi="宋体" w:cs="宋体"/>
          <w:color w:val="auto"/>
          <w:sz w:val="24"/>
        </w:rPr>
        <w:t>）业绩一览表；（格式自拟）</w:t>
      </w:r>
    </w:p>
    <w:p>
      <w:pPr>
        <w:pStyle w:val="11"/>
        <w:snapToGrid w:val="0"/>
        <w:spacing w:line="420" w:lineRule="exact"/>
        <w:ind w:firstLine="480" w:firstLineChars="200"/>
        <w:rPr>
          <w:rFonts w:hint="eastAsia" w:ascii="宋体"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14</w:t>
      </w:r>
      <w:r>
        <w:rPr>
          <w:rFonts w:hint="eastAsia" w:hAnsi="宋体" w:cs="宋体"/>
          <w:color w:val="auto"/>
          <w:sz w:val="24"/>
          <w:szCs w:val="24"/>
        </w:rPr>
        <w:t>）投标人获得的企业荣誉证书等复印件；</w:t>
      </w:r>
      <w:r>
        <w:rPr>
          <w:rFonts w:hint="eastAsia" w:hAnsi="宋体" w:cs="宋体"/>
          <w:color w:val="auto"/>
          <w:sz w:val="24"/>
        </w:rPr>
        <w:t>（如有请提供）</w:t>
      </w:r>
    </w:p>
    <w:p>
      <w:pPr>
        <w:pStyle w:val="2"/>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）财务会计报表复印件：投标人近三年的财务会计报表；</w:t>
      </w:r>
    </w:p>
    <w:p>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6</w:t>
      </w:r>
      <w:r>
        <w:rPr>
          <w:rFonts w:hint="eastAsia" w:ascii="宋体" w:hAnsi="宋体" w:cs="宋体"/>
          <w:color w:val="auto"/>
          <w:sz w:val="24"/>
        </w:rPr>
        <w:t>）投标人或产品制造商体系等方面的认证证书或文件（如质量管理、环境认证等）；</w:t>
      </w:r>
    </w:p>
    <w:p>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7</w:t>
      </w:r>
      <w:r>
        <w:rPr>
          <w:rFonts w:hint="eastAsia" w:ascii="宋体" w:hAnsi="宋体" w:cs="宋体"/>
          <w:color w:val="auto"/>
          <w:sz w:val="24"/>
        </w:rPr>
        <w:t>）自主创新、节能环保等方面的资质证书；</w:t>
      </w:r>
    </w:p>
    <w:p>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18</w:t>
      </w:r>
      <w:r>
        <w:rPr>
          <w:rFonts w:hint="eastAsia" w:ascii="宋体" w:hAnsi="宋体" w:cs="宋体"/>
          <w:color w:val="auto"/>
          <w:sz w:val="24"/>
        </w:rPr>
        <w:t>）广西企业或广西企业生产产品的有关证明文件；</w:t>
      </w:r>
    </w:p>
    <w:p>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9</w:t>
      </w:r>
      <w:r>
        <w:rPr>
          <w:rFonts w:hint="eastAsia" w:ascii="宋体" w:hAnsi="宋体" w:cs="宋体"/>
          <w:color w:val="auto"/>
          <w:sz w:val="24"/>
        </w:rPr>
        <w:t>）投标人认为可以证明其能力或业绩的其它资质证书或材料；</w:t>
      </w:r>
    </w:p>
    <w:p>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20</w:t>
      </w:r>
      <w:r>
        <w:rPr>
          <w:rFonts w:hint="eastAsia" w:ascii="宋体" w:hAnsi="宋体" w:cs="宋体"/>
          <w:color w:val="auto"/>
          <w:sz w:val="24"/>
        </w:rPr>
        <w:t>）投标文件列明的影响投标人评审的其他证明文件（格式可自拟）：</w:t>
      </w:r>
    </w:p>
    <w:p>
      <w:pPr>
        <w:snapToGrid w:val="0"/>
        <w:spacing w:line="460" w:lineRule="exact"/>
        <w:ind w:firstLine="960" w:firstLineChars="400"/>
        <w:jc w:val="left"/>
        <w:rPr>
          <w:rFonts w:ascii="宋体" w:hAnsi="宋体" w:cs="宋体"/>
          <w:color w:val="auto"/>
          <w:sz w:val="24"/>
        </w:rPr>
      </w:pPr>
      <w:r>
        <w:rPr>
          <w:rFonts w:hint="eastAsia" w:ascii="宋体" w:hAnsi="宋体" w:cs="宋体"/>
          <w:color w:val="auto"/>
          <w:sz w:val="24"/>
        </w:rPr>
        <w:t>之一：主要设备材料的原厂商对本项目的售后服务承诺</w:t>
      </w:r>
    </w:p>
    <w:p>
      <w:pPr>
        <w:snapToGrid w:val="0"/>
        <w:spacing w:line="460" w:lineRule="exact"/>
        <w:ind w:firstLine="960" w:firstLineChars="400"/>
        <w:jc w:val="left"/>
        <w:rPr>
          <w:rFonts w:ascii="宋体" w:hAnsi="宋体" w:cs="宋体"/>
          <w:color w:val="auto"/>
          <w:sz w:val="24"/>
        </w:rPr>
      </w:pPr>
      <w:r>
        <w:rPr>
          <w:rFonts w:hint="eastAsia" w:ascii="宋体" w:hAnsi="宋体" w:cs="宋体"/>
          <w:color w:val="auto"/>
          <w:sz w:val="24"/>
        </w:rPr>
        <w:t>之二：本地化服务能力证明</w:t>
      </w:r>
    </w:p>
    <w:p>
      <w:pPr>
        <w:snapToGrid w:val="0"/>
        <w:spacing w:line="460" w:lineRule="exact"/>
        <w:ind w:firstLine="960" w:firstLineChars="400"/>
        <w:jc w:val="left"/>
        <w:rPr>
          <w:rFonts w:ascii="宋体" w:hAnsi="宋体" w:cs="宋体"/>
          <w:color w:val="auto"/>
          <w:sz w:val="24"/>
        </w:rPr>
      </w:pPr>
      <w:r>
        <w:rPr>
          <w:rFonts w:hint="eastAsia" w:ascii="宋体" w:hAnsi="宋体" w:cs="宋体"/>
          <w:color w:val="auto"/>
          <w:sz w:val="24"/>
        </w:rPr>
        <w:t>之三：其他证明文件（招标文件有规定的，据实提供）</w:t>
      </w:r>
    </w:p>
    <w:p>
      <w:pPr>
        <w:pStyle w:val="11"/>
        <w:spacing w:line="460" w:lineRule="exact"/>
        <w:ind w:firstLine="480" w:firstLineChars="200"/>
        <w:rPr>
          <w:rFonts w:hAnsi="宋体" w:cs="宋体"/>
          <w:color w:val="auto"/>
          <w:sz w:val="24"/>
          <w:szCs w:val="24"/>
        </w:rPr>
      </w:pPr>
      <w:r>
        <w:rPr>
          <w:rFonts w:hint="eastAsia" w:hAnsi="宋体" w:cs="宋体"/>
          <w:color w:val="auto"/>
          <w:sz w:val="24"/>
          <w:szCs w:val="24"/>
        </w:rPr>
        <w:t xml:space="preserve">        </w:t>
      </w:r>
    </w:p>
    <w:p>
      <w:pPr>
        <w:snapToGrid w:val="0"/>
        <w:spacing w:line="440" w:lineRule="exact"/>
        <w:jc w:val="left"/>
        <w:rPr>
          <w:rFonts w:ascii="宋体" w:hAnsi="宋体" w:cs="宋体"/>
          <w:color w:val="auto"/>
          <w:sz w:val="24"/>
        </w:rPr>
      </w:pPr>
      <w:r>
        <w:rPr>
          <w:rFonts w:hint="eastAsia" w:ascii="宋体" w:hAnsi="宋体" w:cs="宋体"/>
          <w:b/>
          <w:color w:val="auto"/>
          <w:sz w:val="24"/>
          <w:lang w:val="en-US" w:eastAsia="zh-CN"/>
        </w:rPr>
        <w:t>4、</w:t>
      </w:r>
      <w:r>
        <w:rPr>
          <w:rFonts w:hint="eastAsia" w:ascii="宋体" w:hAnsi="宋体" w:cs="宋体"/>
          <w:b/>
          <w:color w:val="auto"/>
          <w:sz w:val="24"/>
        </w:rPr>
        <w:t>技术部分</w:t>
      </w:r>
      <w:r>
        <w:rPr>
          <w:rFonts w:hint="eastAsia" w:ascii="宋体" w:hAnsi="宋体" w:cs="宋体"/>
          <w:b/>
          <w:bCs/>
          <w:color w:val="auto"/>
          <w:sz w:val="24"/>
        </w:rPr>
        <w:t xml:space="preserve">                                                                                                                                                                                                                                                                                                                                                                                                                                                                                               </w:t>
      </w:r>
    </w:p>
    <w:p>
      <w:pPr>
        <w:snapToGrid w:val="0"/>
        <w:spacing w:line="420" w:lineRule="exact"/>
        <w:ind w:firstLine="480" w:firstLineChars="200"/>
        <w:jc w:val="left"/>
        <w:rPr>
          <w:rFonts w:ascii="宋体" w:hAnsi="宋体" w:cs="宋体"/>
          <w:color w:val="auto"/>
          <w:sz w:val="24"/>
        </w:rPr>
      </w:pPr>
      <w:r>
        <w:rPr>
          <w:rFonts w:hint="eastAsia" w:ascii="宋体" w:hAnsi="宋体" w:cs="宋体"/>
          <w:color w:val="auto"/>
          <w:sz w:val="24"/>
        </w:rPr>
        <w:t>▲（1）服务响应、偏离情况说明表（按第六章要求格式填写）</w:t>
      </w:r>
      <w:r>
        <w:rPr>
          <w:rFonts w:hint="eastAsia" w:ascii="宋体" w:hAnsi="宋体" w:cs="宋体"/>
          <w:b/>
          <w:color w:val="auto"/>
          <w:sz w:val="24"/>
        </w:rPr>
        <w:t>（必须提供）</w:t>
      </w:r>
      <w:r>
        <w:rPr>
          <w:rFonts w:hint="eastAsia" w:ascii="宋体" w:hAnsi="宋体" w:cs="宋体"/>
          <w:color w:val="auto"/>
          <w:sz w:val="24"/>
        </w:rPr>
        <w:t>；</w:t>
      </w:r>
    </w:p>
    <w:p>
      <w:pPr>
        <w:snapToGrid w:val="0"/>
        <w:spacing w:line="420" w:lineRule="exact"/>
        <w:ind w:firstLine="480" w:firstLineChars="200"/>
        <w:jc w:val="left"/>
        <w:rPr>
          <w:rFonts w:ascii="宋体" w:hAnsi="宋体" w:cs="宋体"/>
          <w:color w:val="auto"/>
          <w:sz w:val="24"/>
        </w:rPr>
      </w:pPr>
      <w:r>
        <w:rPr>
          <w:rFonts w:hint="eastAsia" w:ascii="宋体" w:hAnsi="宋体" w:cs="宋体"/>
          <w:color w:val="auto"/>
          <w:sz w:val="24"/>
        </w:rPr>
        <w:t>▲（2）检测工作方案（包括但不限于投标人检测能力和服务能力证明）</w:t>
      </w:r>
      <w:r>
        <w:rPr>
          <w:rFonts w:hint="eastAsia" w:ascii="宋体" w:hAnsi="宋体" w:cs="宋体"/>
          <w:b/>
          <w:color w:val="auto"/>
          <w:sz w:val="24"/>
        </w:rPr>
        <w:t>（必须提供）</w:t>
      </w:r>
      <w:r>
        <w:rPr>
          <w:rFonts w:hint="eastAsia" w:ascii="宋体" w:hAnsi="宋体" w:cs="宋体"/>
          <w:color w:val="auto"/>
          <w:sz w:val="24"/>
        </w:rPr>
        <w:t>；</w:t>
      </w:r>
    </w:p>
    <w:p>
      <w:pPr>
        <w:pStyle w:val="2"/>
        <w:adjustRightInd/>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检测</w:t>
      </w:r>
      <w:r>
        <w:rPr>
          <w:rFonts w:hint="eastAsia" w:ascii="宋体" w:hAnsi="宋体" w:cs="宋体"/>
          <w:color w:val="auto"/>
          <w:sz w:val="24"/>
          <w:szCs w:val="24"/>
        </w:rPr>
        <w:t>服务承诺方案（按第六章要求格式填写）</w:t>
      </w:r>
      <w:r>
        <w:rPr>
          <w:rFonts w:hint="eastAsia" w:ascii="宋体" w:hAnsi="宋体" w:cs="宋体"/>
          <w:b/>
          <w:color w:val="auto"/>
          <w:sz w:val="24"/>
        </w:rPr>
        <w:t>（必须提供）</w:t>
      </w:r>
      <w:r>
        <w:rPr>
          <w:rFonts w:hint="eastAsia" w:ascii="宋体" w:hAnsi="宋体" w:cs="宋体"/>
          <w:color w:val="auto"/>
          <w:sz w:val="24"/>
          <w:szCs w:val="24"/>
        </w:rPr>
        <w:t>；</w:t>
      </w:r>
    </w:p>
    <w:p>
      <w:pPr>
        <w:pStyle w:val="2"/>
        <w:adjustRightInd/>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）项目实施人员一览表(格式见附件)；（必须提供）</w:t>
      </w:r>
    </w:p>
    <w:p>
      <w:pPr>
        <w:snapToGrid w:val="0"/>
        <w:spacing w:line="420" w:lineRule="exact"/>
        <w:ind w:firstLine="480" w:firstLineChars="200"/>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）投标人需要说明的其他文件和说明（格式自拟）。</w:t>
      </w:r>
    </w:p>
    <w:p>
      <w:pPr>
        <w:snapToGrid w:val="0"/>
        <w:spacing w:line="420" w:lineRule="exact"/>
        <w:ind w:firstLine="482" w:firstLineChars="200"/>
        <w:jc w:val="left"/>
        <w:rPr>
          <w:rFonts w:ascii="宋体" w:hAnsi="宋体" w:cs="宋体"/>
          <w:b/>
          <w:bCs/>
          <w:color w:val="auto"/>
          <w:sz w:val="24"/>
        </w:rPr>
      </w:pPr>
      <w:r>
        <w:rPr>
          <w:rFonts w:hint="eastAsia" w:ascii="宋体" w:hAnsi="宋体" w:cs="宋体"/>
          <w:b/>
          <w:bCs/>
          <w:color w:val="auto"/>
          <w:sz w:val="24"/>
        </w:rPr>
        <w:t>可作为投标人技术评分的材料（可选）：</w:t>
      </w:r>
    </w:p>
    <w:p>
      <w:pPr>
        <w:pStyle w:val="2"/>
        <w:adjustRightInd/>
        <w:spacing w:line="420" w:lineRule="exact"/>
        <w:ind w:firstLine="480" w:firstLineChars="200"/>
        <w:textAlignment w:val="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w:t>
      </w:r>
      <w:r>
        <w:rPr>
          <w:rFonts w:hint="eastAsia" w:ascii="宋体" w:hAnsi="宋体"/>
          <w:color w:val="auto"/>
          <w:szCs w:val="21"/>
        </w:rPr>
        <w:t>投标人拥有主要装备和检测设施的情况及现状（格式自拟）</w:t>
      </w:r>
    </w:p>
    <w:p>
      <w:pPr>
        <w:snapToGrid w:val="0"/>
        <w:spacing w:line="420" w:lineRule="exact"/>
        <w:ind w:firstLine="480" w:firstLineChars="200"/>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）投标人对本项目的合理化建议和改进措施；</w:t>
      </w:r>
    </w:p>
    <w:p>
      <w:pPr>
        <w:pStyle w:val="2"/>
        <w:ind w:firstLine="480" w:firstLineChars="200"/>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8</w:t>
      </w:r>
      <w:r>
        <w:rPr>
          <w:rFonts w:hint="eastAsia" w:ascii="宋体" w:hAnsi="宋体" w:cs="宋体"/>
          <w:color w:val="auto"/>
          <w:sz w:val="24"/>
        </w:rPr>
        <w:t>）投标人需要说明的其他文件和说明（格式略）。</w:t>
      </w:r>
    </w:p>
    <w:p>
      <w:pPr>
        <w:snapToGrid w:val="0"/>
        <w:spacing w:line="440" w:lineRule="exact"/>
        <w:ind w:firstLine="472" w:firstLineChars="196"/>
        <w:jc w:val="left"/>
        <w:outlineLvl w:val="0"/>
        <w:rPr>
          <w:rFonts w:ascii="宋体" w:hAnsi="宋体" w:cs="宋体"/>
          <w:b/>
          <w:color w:val="auto"/>
          <w:sz w:val="24"/>
        </w:rPr>
      </w:pPr>
      <w:bookmarkStart w:id="29" w:name="_Toc254970537"/>
      <w:bookmarkStart w:id="30" w:name="_Toc254970678"/>
      <w:r>
        <w:rPr>
          <w:rFonts w:hint="eastAsia" w:ascii="宋体" w:hAnsi="宋体" w:cs="宋体"/>
          <w:b/>
          <w:color w:val="auto"/>
          <w:sz w:val="24"/>
        </w:rPr>
        <w:t>（二）投标文件的语言及计量</w:t>
      </w:r>
      <w:bookmarkEnd w:id="29"/>
      <w:bookmarkEnd w:id="30"/>
    </w:p>
    <w:p>
      <w:pPr>
        <w:snapToGrid w:val="0"/>
        <w:spacing w:line="440" w:lineRule="exact"/>
        <w:ind w:firstLine="609" w:firstLineChars="254"/>
        <w:jc w:val="left"/>
        <w:rPr>
          <w:rFonts w:ascii="宋体" w:hAnsi="宋体" w:cs="宋体"/>
          <w:color w:val="auto"/>
          <w:sz w:val="24"/>
        </w:rPr>
      </w:pPr>
      <w:r>
        <w:rPr>
          <w:rFonts w:hint="eastAsia" w:ascii="宋体" w:hAnsi="宋体" w:cs="宋体"/>
          <w:color w:val="auto"/>
          <w:sz w:val="24"/>
        </w:rPr>
        <w:t>1.投标文件以及投标人与采购代理机构就有关投标事宜的所有来往函电，均应以中文汉语书写。除签字、盖章、专用名称等特殊情形外，以中文汉语以外的文字表述的投标文件视同未提供。</w:t>
      </w:r>
    </w:p>
    <w:p>
      <w:pPr>
        <w:snapToGrid w:val="0"/>
        <w:spacing w:line="440" w:lineRule="exact"/>
        <w:ind w:firstLine="609" w:firstLineChars="254"/>
        <w:jc w:val="left"/>
        <w:rPr>
          <w:rFonts w:ascii="宋体" w:hAnsi="宋体" w:cs="宋体"/>
          <w:color w:val="auto"/>
          <w:sz w:val="24"/>
        </w:rPr>
      </w:pPr>
      <w:r>
        <w:rPr>
          <w:rFonts w:hint="eastAsia" w:ascii="宋体" w:hAnsi="宋体" w:cs="宋体"/>
          <w:color w:val="auto"/>
          <w:sz w:val="24"/>
        </w:rPr>
        <w:t>2.投标计量单位，招标文件已有明确规定的，使用招标文件规定的计量单位；招标文件没有规定的，应采用中华人民共和国法定计量单位，否则视同未响应。</w:t>
      </w:r>
    </w:p>
    <w:p>
      <w:pPr>
        <w:snapToGrid w:val="0"/>
        <w:spacing w:line="440" w:lineRule="exact"/>
        <w:ind w:firstLine="499" w:firstLineChars="207"/>
        <w:jc w:val="left"/>
        <w:rPr>
          <w:rFonts w:ascii="宋体" w:hAnsi="宋体" w:cs="宋体"/>
          <w:b/>
          <w:color w:val="auto"/>
          <w:sz w:val="24"/>
        </w:rPr>
      </w:pPr>
      <w:bookmarkStart w:id="31" w:name="_Toc254970538"/>
      <w:bookmarkStart w:id="32" w:name="_Toc254970679"/>
      <w:r>
        <w:rPr>
          <w:rFonts w:hint="eastAsia" w:ascii="宋体" w:hAnsi="宋体" w:cs="宋体"/>
          <w:b/>
          <w:color w:val="auto"/>
          <w:sz w:val="24"/>
        </w:rPr>
        <w:t>（三）投标报价</w:t>
      </w:r>
      <w:bookmarkEnd w:id="31"/>
      <w:bookmarkEnd w:id="32"/>
    </w:p>
    <w:p>
      <w:pPr>
        <w:pStyle w:val="11"/>
        <w:snapToGrid w:val="0"/>
        <w:spacing w:line="440" w:lineRule="exact"/>
        <w:ind w:firstLine="609" w:firstLineChars="254"/>
        <w:jc w:val="left"/>
        <w:rPr>
          <w:rFonts w:hAnsi="宋体" w:cs="宋体"/>
          <w:color w:val="auto"/>
          <w:sz w:val="24"/>
          <w:szCs w:val="24"/>
        </w:rPr>
      </w:pPr>
      <w:r>
        <w:rPr>
          <w:rFonts w:hint="eastAsia" w:hAnsi="宋体" w:cs="宋体"/>
          <w:color w:val="auto"/>
          <w:sz w:val="24"/>
          <w:szCs w:val="24"/>
        </w:rPr>
        <w:t>1.投标报价应按招标文件中相关附表格式填写。</w:t>
      </w:r>
    </w:p>
    <w:p>
      <w:pPr>
        <w:pStyle w:val="11"/>
        <w:snapToGrid w:val="0"/>
        <w:spacing w:line="440" w:lineRule="exact"/>
        <w:ind w:firstLine="609" w:firstLineChars="254"/>
        <w:jc w:val="left"/>
        <w:rPr>
          <w:rFonts w:hAnsi="宋体" w:cs="宋体"/>
          <w:color w:val="auto"/>
          <w:sz w:val="24"/>
          <w:szCs w:val="24"/>
        </w:rPr>
      </w:pPr>
      <w:r>
        <w:rPr>
          <w:rFonts w:hint="eastAsia" w:hAnsi="宋体" w:cs="宋体"/>
          <w:color w:val="auto"/>
          <w:sz w:val="24"/>
          <w:szCs w:val="24"/>
        </w:rPr>
        <w:t>2.投标报价是履行合同的最终价格，应包括保险、税金及项目实施过程中软件开发、试运行等所有费用。</w:t>
      </w:r>
    </w:p>
    <w:p>
      <w:pPr>
        <w:tabs>
          <w:tab w:val="left" w:pos="525"/>
        </w:tabs>
        <w:snapToGrid w:val="0"/>
        <w:spacing w:line="440" w:lineRule="exact"/>
        <w:ind w:firstLine="588" w:firstLineChars="245"/>
        <w:jc w:val="left"/>
        <w:rPr>
          <w:rFonts w:ascii="宋体" w:hAnsi="宋体" w:cs="宋体"/>
          <w:color w:val="auto"/>
          <w:sz w:val="24"/>
        </w:rPr>
      </w:pPr>
      <w:r>
        <w:rPr>
          <w:rFonts w:hint="eastAsia" w:ascii="宋体" w:hAnsi="宋体" w:cs="宋体"/>
          <w:color w:val="auto"/>
          <w:sz w:val="24"/>
        </w:rPr>
        <w:t>3.投标文件只允许有一个总报价，有选择的或有条件的报价将不予接受。</w:t>
      </w:r>
    </w:p>
    <w:p>
      <w:pPr>
        <w:snapToGrid w:val="0"/>
        <w:spacing w:line="440" w:lineRule="exact"/>
        <w:ind w:firstLine="499" w:firstLineChars="207"/>
        <w:jc w:val="left"/>
        <w:rPr>
          <w:rFonts w:ascii="宋体" w:hAnsi="宋体" w:cs="宋体"/>
          <w:b/>
          <w:color w:val="auto"/>
          <w:sz w:val="24"/>
        </w:rPr>
      </w:pPr>
      <w:r>
        <w:rPr>
          <w:rFonts w:hint="eastAsia" w:ascii="宋体" w:hAnsi="宋体" w:cs="宋体"/>
          <w:b/>
          <w:color w:val="auto"/>
          <w:sz w:val="24"/>
        </w:rPr>
        <w:t>（四）投标文件的有效期</w:t>
      </w:r>
    </w:p>
    <w:p>
      <w:pPr>
        <w:pStyle w:val="11"/>
        <w:snapToGrid w:val="0"/>
        <w:spacing w:line="440" w:lineRule="exact"/>
        <w:ind w:firstLine="609" w:firstLineChars="254"/>
        <w:jc w:val="left"/>
        <w:rPr>
          <w:rFonts w:hAnsi="宋体" w:cs="宋体"/>
          <w:color w:val="auto"/>
          <w:sz w:val="24"/>
          <w:szCs w:val="24"/>
        </w:rPr>
      </w:pPr>
      <w:r>
        <w:rPr>
          <w:rFonts w:hint="eastAsia" w:hAnsi="宋体" w:cs="宋体"/>
          <w:color w:val="auto"/>
          <w:sz w:val="24"/>
          <w:szCs w:val="24"/>
        </w:rPr>
        <w:t>1.自投标截止日起 90天投标文件应保持有效。有效期不足的投标文件将被拒绝。</w:t>
      </w:r>
    </w:p>
    <w:p>
      <w:pPr>
        <w:pStyle w:val="11"/>
        <w:snapToGrid w:val="0"/>
        <w:spacing w:line="440" w:lineRule="exact"/>
        <w:ind w:firstLine="609" w:firstLineChars="254"/>
        <w:jc w:val="left"/>
        <w:rPr>
          <w:rFonts w:hAnsi="宋体" w:cs="宋体"/>
          <w:color w:val="auto"/>
          <w:sz w:val="24"/>
          <w:szCs w:val="24"/>
        </w:rPr>
      </w:pPr>
      <w:r>
        <w:rPr>
          <w:rFonts w:hint="eastAsia" w:hAnsi="宋体" w:cs="宋体"/>
          <w:color w:val="auto"/>
          <w:sz w:val="24"/>
          <w:szCs w:val="24"/>
        </w:rPr>
        <w:t>2.在特殊情况下，招标人可与投标人协商延长投标书的有效期，这种要求和答复均以书面形式进行。</w:t>
      </w:r>
    </w:p>
    <w:p>
      <w:pPr>
        <w:pStyle w:val="11"/>
        <w:snapToGrid w:val="0"/>
        <w:spacing w:line="440" w:lineRule="exact"/>
        <w:ind w:firstLine="609" w:firstLineChars="254"/>
        <w:jc w:val="left"/>
        <w:rPr>
          <w:rFonts w:hAnsi="宋体" w:cs="宋体"/>
          <w:b/>
          <w:color w:val="auto"/>
          <w:sz w:val="24"/>
          <w:szCs w:val="24"/>
        </w:rPr>
      </w:pPr>
      <w:r>
        <w:rPr>
          <w:rFonts w:hint="eastAsia" w:hAnsi="宋体" w:cs="宋体"/>
          <w:color w:val="auto"/>
          <w:sz w:val="24"/>
          <w:szCs w:val="24"/>
        </w:rPr>
        <w:t>3.投标人可拒绝接受延长有效期要求而不会导致投标保证金被没收。同意延长有效期的投标人需要相应延长投标保证金的有效期，但不能修改投标文件其它内容。</w:t>
      </w:r>
      <w:r>
        <w:rPr>
          <w:rFonts w:hint="eastAsia" w:hAnsi="宋体" w:cs="宋体"/>
          <w:b/>
          <w:color w:val="auto"/>
          <w:sz w:val="24"/>
          <w:szCs w:val="24"/>
        </w:rPr>
        <w:t xml:space="preserve"> </w:t>
      </w:r>
    </w:p>
    <w:p>
      <w:pPr>
        <w:snapToGrid w:val="0"/>
        <w:spacing w:line="440" w:lineRule="exact"/>
        <w:ind w:firstLine="600" w:firstLineChars="250"/>
        <w:jc w:val="left"/>
        <w:outlineLvl w:val="0"/>
        <w:rPr>
          <w:rFonts w:ascii="宋体" w:hAnsi="宋体" w:cs="宋体"/>
          <w:b/>
          <w:color w:val="auto"/>
          <w:sz w:val="24"/>
        </w:rPr>
      </w:pPr>
      <w:r>
        <w:rPr>
          <w:rFonts w:hint="eastAsia" w:ascii="宋体" w:hAnsi="宋体" w:cs="宋体"/>
          <w:color w:val="auto"/>
          <w:sz w:val="24"/>
        </w:rPr>
        <w:t>4.中标人的投标文件自开标之日起至合同履行完毕止均应保持有效。</w:t>
      </w:r>
    </w:p>
    <w:p>
      <w:pPr>
        <w:snapToGrid w:val="0"/>
        <w:spacing w:line="440" w:lineRule="exact"/>
        <w:ind w:firstLine="472" w:firstLineChars="196"/>
        <w:jc w:val="left"/>
        <w:outlineLvl w:val="0"/>
        <w:rPr>
          <w:rFonts w:ascii="宋体" w:hAnsi="宋体" w:cs="宋体"/>
          <w:b/>
          <w:color w:val="auto"/>
          <w:sz w:val="24"/>
        </w:rPr>
      </w:pPr>
      <w:bookmarkStart w:id="33" w:name="_Toc254970682"/>
      <w:bookmarkStart w:id="34" w:name="_Toc254970541"/>
      <w:r>
        <w:rPr>
          <w:rFonts w:hint="eastAsia" w:ascii="宋体" w:hAnsi="宋体" w:cs="宋体"/>
          <w:b/>
          <w:color w:val="auto"/>
          <w:sz w:val="24"/>
        </w:rPr>
        <w:t>（五）投标保证金</w:t>
      </w:r>
      <w:bookmarkEnd w:id="33"/>
      <w:bookmarkEnd w:id="34"/>
    </w:p>
    <w:p>
      <w:pPr>
        <w:snapToGrid w:val="0"/>
        <w:spacing w:line="440" w:lineRule="exact"/>
        <w:ind w:firstLine="480" w:firstLineChars="200"/>
        <w:jc w:val="left"/>
        <w:rPr>
          <w:rFonts w:ascii="宋体" w:hAnsi="宋体" w:cs="宋体"/>
          <w:color w:val="auto"/>
          <w:sz w:val="24"/>
        </w:rPr>
      </w:pPr>
      <w:bookmarkStart w:id="35" w:name="_Toc254970685"/>
      <w:bookmarkStart w:id="36" w:name="_Toc254970544"/>
      <w:r>
        <w:rPr>
          <w:rFonts w:hint="eastAsia" w:ascii="宋体" w:hAnsi="宋体" w:cs="宋体"/>
          <w:color w:val="auto"/>
          <w:sz w:val="24"/>
        </w:rPr>
        <w:t>1. 投标人须按投标人须知前附表的规定提交投标保证金。否则，其投标将被拒绝。</w:t>
      </w:r>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2.投标保证金交纳形式：</w:t>
      </w:r>
      <w:r>
        <w:rPr>
          <w:rFonts w:hint="eastAsia" w:ascii="宋体" w:hAnsi="宋体" w:cs="宋体"/>
          <w:b/>
          <w:bCs/>
          <w:color w:val="auto"/>
          <w:sz w:val="24"/>
          <w:u w:val="single"/>
        </w:rPr>
        <w:t>电汇或转账</w:t>
      </w:r>
      <w:r>
        <w:rPr>
          <w:rFonts w:hint="eastAsia" w:ascii="宋体" w:hAnsi="宋体" w:cs="宋体"/>
          <w:color w:val="auto"/>
          <w:sz w:val="24"/>
        </w:rPr>
        <w:t>形式交至保证金专户，</w:t>
      </w:r>
      <w:r>
        <w:rPr>
          <w:rFonts w:hint="eastAsia" w:ascii="宋体" w:hAnsi="宋体" w:cs="宋体"/>
          <w:color w:val="auto"/>
          <w:kern w:val="0"/>
          <w:sz w:val="24"/>
        </w:rPr>
        <w:t>投标保证金金额和形式见投标人须知前附表。</w:t>
      </w:r>
    </w:p>
    <w:p>
      <w:pPr>
        <w:snapToGrid w:val="0"/>
        <w:spacing w:line="440" w:lineRule="exact"/>
        <w:ind w:firstLine="482" w:firstLineChars="200"/>
        <w:jc w:val="left"/>
        <w:rPr>
          <w:rFonts w:ascii="宋体" w:hAnsi="宋体" w:cs="宋体"/>
          <w:color w:val="auto"/>
          <w:sz w:val="24"/>
        </w:rPr>
      </w:pPr>
      <w:r>
        <w:rPr>
          <w:rFonts w:hint="eastAsia" w:ascii="宋体" w:hAnsi="宋体" w:cs="宋体"/>
          <w:b/>
          <w:color w:val="auto"/>
          <w:sz w:val="24"/>
        </w:rPr>
        <w:t>本项目不接受现金形式或从个人帐户转出的投标保证金</w:t>
      </w:r>
      <w:r>
        <w:rPr>
          <w:rFonts w:hint="eastAsia" w:ascii="宋体" w:hAnsi="宋体" w:cs="宋体"/>
          <w:color w:val="auto"/>
          <w:sz w:val="24"/>
        </w:rPr>
        <w:t>。</w:t>
      </w:r>
    </w:p>
    <w:p>
      <w:pPr>
        <w:snapToGrid w:val="0"/>
        <w:spacing w:line="440" w:lineRule="exact"/>
        <w:ind w:firstLine="482" w:firstLineChars="200"/>
        <w:jc w:val="left"/>
        <w:rPr>
          <w:rFonts w:ascii="宋体" w:hAnsi="宋体" w:cs="宋体"/>
          <w:b/>
          <w:color w:val="auto"/>
          <w:sz w:val="24"/>
        </w:rPr>
      </w:pPr>
      <w:r>
        <w:rPr>
          <w:rFonts w:hint="eastAsia" w:ascii="宋体" w:hAnsi="宋体" w:cs="宋体"/>
          <w:b/>
          <w:color w:val="auto"/>
          <w:sz w:val="24"/>
        </w:rPr>
        <w:t>注：办理投标保证金手续时，请务必在银行进账单或电汇凭证的用途或空白栏上注明采购编号。汇款人、出票人须填写投标人单位全称，不得填写个人姓名，</w:t>
      </w:r>
      <w:r>
        <w:rPr>
          <w:rFonts w:hint="eastAsia" w:ascii="宋体" w:hAnsi="宋体" w:cs="宋体"/>
          <w:b/>
          <w:bCs/>
          <w:color w:val="auto"/>
          <w:sz w:val="24"/>
        </w:rPr>
        <w:t>否则其投标无效</w:t>
      </w:r>
      <w:r>
        <w:rPr>
          <w:rFonts w:hint="eastAsia" w:ascii="宋体" w:hAnsi="宋体" w:cs="宋体"/>
          <w:b/>
          <w:color w:val="auto"/>
          <w:sz w:val="24"/>
        </w:rPr>
        <w:t>。</w:t>
      </w:r>
    </w:p>
    <w:p>
      <w:pPr>
        <w:pStyle w:val="11"/>
        <w:spacing w:line="440" w:lineRule="exact"/>
        <w:ind w:firstLine="420"/>
        <w:rPr>
          <w:rFonts w:hAnsi="宋体" w:cs="宋体"/>
          <w:color w:val="auto"/>
          <w:sz w:val="24"/>
          <w:szCs w:val="24"/>
        </w:rPr>
      </w:pPr>
      <w:r>
        <w:rPr>
          <w:rFonts w:hint="eastAsia" w:hAnsi="宋体" w:cs="宋体"/>
          <w:color w:val="auto"/>
          <w:sz w:val="24"/>
          <w:szCs w:val="24"/>
        </w:rPr>
        <w:t>以转账或电汇方式交纳保证金的，按投标人投标函中所附的进账单或电汇凭证的全称、账号及开户行退还投标人，不计利息（注：投标人投标函提供的全称、账号、开户行务必要完整、正确；所提供电汇凭证或银行进账单，务必要清晰，否则因不完整、不正确、不清晰而造成投标保证金无法退付的，后果由投标人负责）。</w:t>
      </w:r>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3.未中标人的投标保证金在中标通知书发出后五个工作日内退还。</w:t>
      </w:r>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4.中标人应在中标通知书发出后五</w:t>
      </w:r>
      <w:r>
        <w:rPr>
          <w:rFonts w:hint="eastAsia" w:ascii="宋体" w:hAnsi="宋体" w:cs="宋体"/>
          <w:color w:val="auto"/>
          <w:sz w:val="24"/>
          <w:u w:val="single"/>
        </w:rPr>
        <w:t>个工作</w:t>
      </w:r>
      <w:r>
        <w:rPr>
          <w:rFonts w:hint="eastAsia" w:ascii="宋体" w:hAnsi="宋体" w:cs="宋体"/>
          <w:color w:val="auto"/>
          <w:sz w:val="24"/>
        </w:rPr>
        <w:t>日内与采购人签订合同，中标人的投标保证金在双方签订合同后五个工作日内退还。</w:t>
      </w:r>
    </w:p>
    <w:p>
      <w:pPr>
        <w:snapToGrid w:val="0"/>
        <w:spacing w:line="440" w:lineRule="exact"/>
        <w:ind w:firstLine="480" w:firstLineChars="200"/>
        <w:jc w:val="left"/>
        <w:rPr>
          <w:rFonts w:ascii="宋体" w:hAnsi="宋体" w:cs="宋体"/>
          <w:b/>
          <w:color w:val="auto"/>
          <w:sz w:val="24"/>
        </w:rPr>
      </w:pPr>
      <w:r>
        <w:rPr>
          <w:rFonts w:hint="eastAsia" w:ascii="宋体" w:hAnsi="宋体" w:cs="宋体"/>
          <w:color w:val="auto"/>
          <w:sz w:val="24"/>
        </w:rPr>
        <w:t>5.投标保证金不计息。</w:t>
      </w:r>
    </w:p>
    <w:p>
      <w:pPr>
        <w:snapToGrid w:val="0"/>
        <w:spacing w:line="440" w:lineRule="exact"/>
        <w:ind w:firstLine="472" w:firstLineChars="196"/>
        <w:jc w:val="left"/>
        <w:rPr>
          <w:rFonts w:ascii="宋体" w:hAnsi="宋体" w:cs="宋体"/>
          <w:b/>
          <w:color w:val="auto"/>
          <w:sz w:val="24"/>
        </w:rPr>
      </w:pPr>
      <w:r>
        <w:rPr>
          <w:rFonts w:hint="eastAsia" w:ascii="宋体" w:hAnsi="宋体" w:cs="宋体"/>
          <w:b/>
          <w:color w:val="auto"/>
          <w:sz w:val="24"/>
        </w:rPr>
        <w:t>6.投标人有下列情形之一的，投标保证金将不予退还：</w:t>
      </w:r>
    </w:p>
    <w:p>
      <w:pPr>
        <w:snapToGrid w:val="0"/>
        <w:spacing w:line="440" w:lineRule="exact"/>
        <w:ind w:firstLine="470" w:firstLineChars="196"/>
        <w:jc w:val="left"/>
        <w:rPr>
          <w:rFonts w:ascii="宋体" w:hAnsi="宋体" w:cs="宋体"/>
          <w:color w:val="auto"/>
          <w:sz w:val="24"/>
        </w:rPr>
      </w:pPr>
      <w:r>
        <w:rPr>
          <w:rFonts w:hint="eastAsia" w:ascii="宋体" w:hAnsi="宋体" w:cs="宋体"/>
          <w:color w:val="auto"/>
          <w:sz w:val="24"/>
        </w:rPr>
        <w:t>（1）投标人在投标有效期内撤回投标文件的；</w:t>
      </w:r>
    </w:p>
    <w:p>
      <w:pPr>
        <w:snapToGrid w:val="0"/>
        <w:spacing w:line="440" w:lineRule="exact"/>
        <w:ind w:firstLine="470" w:firstLineChars="196"/>
        <w:jc w:val="left"/>
        <w:rPr>
          <w:rFonts w:ascii="宋体" w:hAnsi="宋体" w:cs="宋体"/>
          <w:color w:val="auto"/>
          <w:sz w:val="24"/>
        </w:rPr>
      </w:pPr>
      <w:r>
        <w:rPr>
          <w:rFonts w:hint="eastAsia" w:ascii="宋体" w:hAnsi="宋体" w:cs="宋体"/>
          <w:color w:val="auto"/>
          <w:sz w:val="24"/>
        </w:rPr>
        <w:t>（2）未按规定提交履约保证金的；</w:t>
      </w:r>
    </w:p>
    <w:p>
      <w:pPr>
        <w:snapToGrid w:val="0"/>
        <w:spacing w:line="440" w:lineRule="exact"/>
        <w:ind w:firstLine="470" w:firstLineChars="196"/>
        <w:jc w:val="left"/>
        <w:rPr>
          <w:rFonts w:ascii="宋体" w:hAnsi="宋体" w:cs="宋体"/>
          <w:color w:val="auto"/>
          <w:sz w:val="24"/>
        </w:rPr>
      </w:pPr>
      <w:r>
        <w:rPr>
          <w:rFonts w:hint="eastAsia" w:ascii="宋体" w:hAnsi="宋体" w:cs="宋体"/>
          <w:color w:val="auto"/>
          <w:sz w:val="24"/>
        </w:rPr>
        <w:t>（3）投标人在投标过程中弄虚作假，提供虚假材料的；</w:t>
      </w:r>
    </w:p>
    <w:p>
      <w:pPr>
        <w:snapToGrid w:val="0"/>
        <w:spacing w:line="440" w:lineRule="exact"/>
        <w:ind w:firstLine="470" w:firstLineChars="196"/>
        <w:rPr>
          <w:rFonts w:ascii="宋体" w:hAnsi="宋体" w:cs="宋体"/>
          <w:color w:val="auto"/>
          <w:sz w:val="24"/>
        </w:rPr>
      </w:pPr>
      <w:r>
        <w:rPr>
          <w:rFonts w:hint="eastAsia" w:ascii="宋体" w:hAnsi="宋体" w:cs="宋体"/>
          <w:color w:val="auto"/>
          <w:sz w:val="24"/>
        </w:rPr>
        <w:t>（4）中标人无正当理由不与采购人签订合同的；</w:t>
      </w:r>
    </w:p>
    <w:p>
      <w:pPr>
        <w:snapToGrid w:val="0"/>
        <w:spacing w:line="440" w:lineRule="exact"/>
        <w:ind w:firstLine="470" w:firstLineChars="196"/>
        <w:rPr>
          <w:rFonts w:ascii="宋体" w:hAnsi="宋体" w:cs="宋体"/>
          <w:b/>
          <w:color w:val="auto"/>
          <w:sz w:val="24"/>
        </w:rPr>
      </w:pPr>
      <w:r>
        <w:rPr>
          <w:rFonts w:hint="eastAsia" w:ascii="宋体" w:hAnsi="宋体" w:cs="宋体"/>
          <w:color w:val="auto"/>
          <w:sz w:val="24"/>
        </w:rPr>
        <w:t>（5）</w:t>
      </w:r>
      <w:r>
        <w:rPr>
          <w:rFonts w:hint="eastAsia" w:ascii="宋体" w:hAnsi="宋体" w:cs="宋体"/>
          <w:bCs/>
          <w:color w:val="auto"/>
          <w:sz w:val="24"/>
        </w:rPr>
        <w:t>将中标项目转让给他人或者在投标文件中未说明且未经采购人同意，将中标项目分包给他人的；</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（6）拒绝履行合同义务的；</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（7）严重扰乱招投标程序的。</w:t>
      </w:r>
    </w:p>
    <w:p>
      <w:pPr>
        <w:snapToGrid w:val="0"/>
        <w:spacing w:line="440" w:lineRule="exact"/>
        <w:ind w:firstLine="472" w:firstLineChars="196"/>
        <w:jc w:val="left"/>
        <w:outlineLvl w:val="0"/>
        <w:rPr>
          <w:rFonts w:ascii="宋体" w:hAnsi="宋体" w:cs="宋体"/>
          <w:b/>
          <w:color w:val="auto"/>
          <w:sz w:val="24"/>
        </w:rPr>
      </w:pPr>
      <w:bookmarkStart w:id="37" w:name="_Toc254970542"/>
      <w:bookmarkStart w:id="38" w:name="_Toc254970683"/>
      <w:r>
        <w:rPr>
          <w:rFonts w:hint="eastAsia" w:ascii="宋体" w:hAnsi="宋体" w:cs="宋体"/>
          <w:b/>
          <w:color w:val="auto"/>
          <w:sz w:val="24"/>
        </w:rPr>
        <w:t>（六）投标文件的签署、份数</w:t>
      </w:r>
      <w:bookmarkEnd w:id="37"/>
      <w:bookmarkEnd w:id="38"/>
      <w:r>
        <w:rPr>
          <w:rFonts w:hint="eastAsia" w:ascii="宋体" w:hAnsi="宋体" w:cs="宋体"/>
          <w:b/>
          <w:color w:val="auto"/>
          <w:sz w:val="24"/>
        </w:rPr>
        <w:t>和盖章</w:t>
      </w:r>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1.投标人应按本招标文件规定的格式和顺序编制、装订投标文件并标注页码，投标文件内容不完整、编排混乱导致投标文件被误读、漏读或者查找不到相关内容的，所引起的后果由投标人负责。</w:t>
      </w:r>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2.投标人须按</w:t>
      </w:r>
      <w:r>
        <w:rPr>
          <w:rFonts w:hint="eastAsia" w:ascii="宋体" w:hAnsi="宋体" w:cs="宋体"/>
          <w:color w:val="auto"/>
          <w:sz w:val="24"/>
          <w:u w:val="single"/>
        </w:rPr>
        <w:t>投标文件（开标一览表）</w:t>
      </w:r>
      <w:r>
        <w:rPr>
          <w:rFonts w:hint="eastAsia" w:ascii="宋体" w:hAnsi="宋体" w:cs="宋体"/>
          <w:color w:val="auto"/>
          <w:sz w:val="24"/>
        </w:rPr>
        <w:t>一式两份，不分正副本；</w:t>
      </w:r>
      <w:r>
        <w:rPr>
          <w:rFonts w:hint="eastAsia" w:ascii="宋体" w:hAnsi="宋体" w:cs="宋体"/>
          <w:color w:val="auto"/>
          <w:sz w:val="24"/>
          <w:u w:val="single"/>
        </w:rPr>
        <w:t>投标文件（</w:t>
      </w:r>
      <w:r>
        <w:rPr>
          <w:rFonts w:hint="eastAsia" w:ascii="宋体" w:hAnsi="宋体" w:cs="宋体"/>
          <w:color w:val="auto"/>
          <w:sz w:val="24"/>
          <w:u w:val="single"/>
          <w:lang w:val="en-US" w:eastAsia="zh-CN"/>
        </w:rPr>
        <w:t>资信</w:t>
      </w:r>
      <w:r>
        <w:rPr>
          <w:rFonts w:hint="eastAsia" w:ascii="宋体" w:hAnsi="宋体" w:cs="宋体"/>
          <w:color w:val="auto"/>
          <w:sz w:val="24"/>
          <w:u w:val="single"/>
        </w:rPr>
        <w:t>商务部分、价格部分、技术部分）</w:t>
      </w:r>
      <w:r>
        <w:rPr>
          <w:rFonts w:hint="eastAsia" w:ascii="宋体" w:hAnsi="宋体" w:cs="宋体"/>
          <w:color w:val="auto"/>
          <w:sz w:val="24"/>
        </w:rPr>
        <w:t>正本一份，副本四份（封面右上角应注明“正本”、“副本”字样）编制并装订成册。活页装订的投标文件将被拒绝。</w:t>
      </w:r>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3.投标文件的正本须用A4纸打印或用不褪色的墨水填写，投标文件正本除《投标人须知》中规定提供原件以外的均可提供复印件。副本可为正本的复印件。</w:t>
      </w:r>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4.投标文件须由投标人在规定签字、盖章位置由法定代表人或法定代表人的授权委托人签署并加盖单位公章，</w:t>
      </w:r>
      <w:r>
        <w:rPr>
          <w:rFonts w:hint="eastAsia" w:ascii="宋体" w:hAnsi="宋体" w:cs="宋体"/>
          <w:b/>
          <w:color w:val="auto"/>
          <w:sz w:val="24"/>
        </w:rPr>
        <w:t>否则投标无效</w:t>
      </w:r>
      <w:r>
        <w:rPr>
          <w:rFonts w:hint="eastAsia" w:ascii="宋体" w:hAnsi="宋体" w:cs="宋体"/>
          <w:color w:val="auto"/>
          <w:sz w:val="24"/>
        </w:rPr>
        <w:t>。</w:t>
      </w:r>
    </w:p>
    <w:p>
      <w:pPr>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5.投标文件不得涂改，若有修改错漏处，须加盖单位公章或者法定代表人或授权委托人签字。投标文件因字迹潦草或表达不清所引起的后果由投标人负责。</w:t>
      </w:r>
    </w:p>
    <w:p>
      <w:pPr>
        <w:snapToGrid w:val="0"/>
        <w:spacing w:line="440" w:lineRule="exact"/>
        <w:ind w:firstLine="354" w:firstLineChars="147"/>
        <w:jc w:val="left"/>
        <w:rPr>
          <w:rFonts w:ascii="宋体" w:hAnsi="宋体" w:cs="宋体"/>
          <w:b/>
          <w:color w:val="auto"/>
          <w:sz w:val="24"/>
        </w:rPr>
      </w:pPr>
      <w:r>
        <w:rPr>
          <w:rFonts w:hint="eastAsia" w:ascii="宋体" w:hAnsi="宋体" w:cs="宋体"/>
          <w:b/>
          <w:color w:val="auto"/>
          <w:sz w:val="24"/>
        </w:rPr>
        <w:t>（七）投标文件的密封、递交、修改和撤回</w:t>
      </w:r>
    </w:p>
    <w:p>
      <w:pPr>
        <w:snapToGrid w:val="0"/>
        <w:spacing w:line="440" w:lineRule="exact"/>
        <w:ind w:firstLine="420"/>
        <w:jc w:val="left"/>
        <w:rPr>
          <w:rFonts w:ascii="宋体" w:hAnsi="宋体" w:cs="宋体"/>
          <w:color w:val="auto"/>
          <w:sz w:val="24"/>
        </w:rPr>
      </w:pPr>
      <w:r>
        <w:rPr>
          <w:rFonts w:hint="eastAsia" w:ascii="宋体" w:hAnsi="宋体" w:cs="宋体"/>
          <w:color w:val="auto"/>
          <w:sz w:val="24"/>
        </w:rPr>
        <w:t>1.投标人将</w:t>
      </w:r>
      <w:r>
        <w:rPr>
          <w:rFonts w:hint="eastAsia" w:ascii="宋体" w:hAnsi="宋体" w:cs="宋体"/>
          <w:color w:val="auto"/>
          <w:sz w:val="24"/>
          <w:u w:val="single"/>
        </w:rPr>
        <w:t>投标文件（开标一览表、保证金证明）</w:t>
      </w:r>
      <w:r>
        <w:rPr>
          <w:rFonts w:hint="eastAsia" w:ascii="宋体" w:hAnsi="宋体" w:cs="宋体"/>
          <w:color w:val="auto"/>
          <w:sz w:val="24"/>
        </w:rPr>
        <w:t>一式两份，不分正副本；</w:t>
      </w:r>
      <w:r>
        <w:rPr>
          <w:rFonts w:hint="eastAsia" w:ascii="宋体" w:hAnsi="宋体" w:cs="宋体"/>
          <w:color w:val="auto"/>
          <w:sz w:val="24"/>
          <w:u w:val="single"/>
        </w:rPr>
        <w:t>投标文件（</w:t>
      </w:r>
      <w:r>
        <w:rPr>
          <w:rFonts w:hint="eastAsia" w:ascii="宋体" w:hAnsi="宋体" w:cs="宋体"/>
          <w:color w:val="auto"/>
          <w:sz w:val="24"/>
          <w:u w:val="single"/>
          <w:lang w:val="en-US" w:eastAsia="zh-CN"/>
        </w:rPr>
        <w:t>资信</w:t>
      </w:r>
      <w:r>
        <w:rPr>
          <w:rFonts w:hint="eastAsia" w:ascii="宋体" w:hAnsi="宋体" w:cs="宋体"/>
          <w:color w:val="auto"/>
          <w:sz w:val="24"/>
          <w:u w:val="single"/>
        </w:rPr>
        <w:t>商务部分、价格部分、技术部分）</w:t>
      </w:r>
      <w:r>
        <w:rPr>
          <w:rFonts w:hint="eastAsia" w:ascii="宋体" w:hAnsi="宋体" w:cs="宋体"/>
          <w:color w:val="auto"/>
          <w:sz w:val="24"/>
        </w:rPr>
        <w:t>正本一份，副本四份一并装在投标文件袋中，并在封贴处密封签章（公章、法定代表人或其委托代理人签字均可）。投标文件的外包装封面上应注明投标人名称、投标人地址、投标项目名称、项目编号及“开标时启封”字样，并加盖投标人公章。</w:t>
      </w:r>
    </w:p>
    <w:p>
      <w:pPr>
        <w:snapToGrid w:val="0"/>
        <w:spacing w:line="440" w:lineRule="exact"/>
        <w:ind w:firstLine="420"/>
        <w:jc w:val="left"/>
        <w:rPr>
          <w:rFonts w:ascii="宋体" w:hAnsi="宋体" w:cs="宋体"/>
          <w:color w:val="auto"/>
          <w:sz w:val="24"/>
        </w:rPr>
      </w:pPr>
      <w:r>
        <w:rPr>
          <w:rFonts w:hint="eastAsia" w:ascii="宋体" w:hAnsi="宋体" w:cs="宋体"/>
          <w:color w:val="auto"/>
          <w:sz w:val="24"/>
        </w:rPr>
        <w:t>2.未按规定密封或标记的投标文件</w:t>
      </w:r>
      <w:r>
        <w:rPr>
          <w:rFonts w:hint="eastAsia" w:ascii="宋体" w:hAnsi="宋体" w:cs="宋体"/>
          <w:b/>
          <w:color w:val="auto"/>
          <w:sz w:val="24"/>
        </w:rPr>
        <w:t>投标无效</w:t>
      </w:r>
      <w:r>
        <w:rPr>
          <w:rFonts w:hint="eastAsia" w:ascii="宋体" w:hAnsi="宋体" w:cs="宋体"/>
          <w:color w:val="auto"/>
          <w:sz w:val="24"/>
        </w:rPr>
        <w:t>，由此造成的风险由投标人承担。</w:t>
      </w:r>
    </w:p>
    <w:p>
      <w:pPr>
        <w:snapToGrid w:val="0"/>
        <w:spacing w:line="440" w:lineRule="exact"/>
        <w:ind w:firstLine="420"/>
        <w:jc w:val="left"/>
        <w:rPr>
          <w:rFonts w:ascii="宋体" w:hAnsi="宋体" w:cs="宋体"/>
          <w:color w:val="auto"/>
          <w:sz w:val="24"/>
        </w:rPr>
      </w:pPr>
      <w:r>
        <w:rPr>
          <w:rFonts w:hint="eastAsia" w:ascii="宋体" w:hAnsi="宋体" w:cs="宋体"/>
          <w:color w:val="auto"/>
          <w:sz w:val="24"/>
        </w:rPr>
        <w:t>3.投标人在投标截止时间之前，可以对已提交的投标文件进行修改或撤回，并书面通知采购代理机构；修改后重新递交的投标文件应当按本招标文件的要求签署、盖章和密封。投标截止时间后，投标人不得撤回、修改投标文件。</w:t>
      </w:r>
    </w:p>
    <w:p>
      <w:pPr>
        <w:snapToGrid w:val="0"/>
        <w:spacing w:line="440" w:lineRule="exact"/>
        <w:ind w:firstLine="354" w:firstLineChars="147"/>
        <w:jc w:val="left"/>
        <w:rPr>
          <w:rFonts w:ascii="宋体" w:hAnsi="宋体" w:cs="宋体"/>
          <w:b/>
          <w:color w:val="auto"/>
          <w:sz w:val="24"/>
        </w:rPr>
      </w:pPr>
      <w:bookmarkStart w:id="39" w:name="_Toc254970543"/>
      <w:bookmarkStart w:id="40" w:name="_Toc254970684"/>
      <w:r>
        <w:rPr>
          <w:rFonts w:hint="eastAsia" w:ascii="宋体" w:hAnsi="宋体" w:cs="宋体"/>
          <w:b/>
          <w:color w:val="auto"/>
          <w:sz w:val="24"/>
        </w:rPr>
        <w:t>（八）投标无效的情形</w:t>
      </w:r>
      <w:bookmarkEnd w:id="39"/>
      <w:bookmarkEnd w:id="40"/>
    </w:p>
    <w:p>
      <w:pPr>
        <w:snapToGrid w:val="0"/>
        <w:spacing w:line="440" w:lineRule="exact"/>
        <w:ind w:firstLine="480" w:firstLineChars="200"/>
        <w:rPr>
          <w:rFonts w:ascii="宋体" w:hAnsi="宋体" w:cs="宋体"/>
          <w:bCs/>
          <w:color w:val="auto"/>
          <w:sz w:val="24"/>
        </w:rPr>
      </w:pPr>
      <w:r>
        <w:rPr>
          <w:rFonts w:hint="eastAsia" w:ascii="宋体" w:hAnsi="宋体" w:cs="宋体"/>
          <w:bCs/>
          <w:color w:val="auto"/>
          <w:sz w:val="24"/>
        </w:rPr>
        <w:t>实质上没有响应招标文件要求和条件的投标将被视为无效投标。投标人不得通过修正或撤消不合要求的偏离或保留从而使其投标成为实质上响应的投标，除</w:t>
      </w:r>
      <w:r>
        <w:rPr>
          <w:rFonts w:hint="eastAsia" w:ascii="宋体" w:hAnsi="宋体" w:cs="宋体"/>
          <w:color w:val="auto"/>
          <w:sz w:val="24"/>
        </w:rPr>
        <w:t>投标文件（</w:t>
      </w:r>
      <w:r>
        <w:rPr>
          <w:rFonts w:hint="eastAsia" w:ascii="宋体" w:hAnsi="宋体" w:cs="宋体"/>
          <w:color w:val="auto"/>
          <w:sz w:val="24"/>
          <w:lang w:val="en-US" w:eastAsia="zh-CN"/>
        </w:rPr>
        <w:t>资信</w:t>
      </w:r>
      <w:r>
        <w:rPr>
          <w:rFonts w:hint="eastAsia" w:ascii="宋体" w:hAnsi="宋体" w:cs="宋体"/>
          <w:color w:val="auto"/>
          <w:sz w:val="24"/>
        </w:rPr>
        <w:t>商务部分）资格证明文件外</w:t>
      </w:r>
      <w:r>
        <w:rPr>
          <w:rFonts w:hint="eastAsia" w:ascii="宋体" w:hAnsi="宋体" w:cs="宋体"/>
          <w:bCs/>
          <w:color w:val="auto"/>
          <w:sz w:val="24"/>
        </w:rPr>
        <w:t>经评标委员会认定属于投标人笔误所造成的差错，应当允许其在评标结束之前进行澄清或者补正（可以是复印件、传真件等，原件必须加盖单位公章）。澄清或者补正投标文件必须以书面形式进行，并应在中标结果公告之前查核原件。限期内不补正或经补正后仍不符合招标文件要求的，应认定其投标无效。投标人澄清、补正投标文件后，不影响评标委员会对其投标文件所作的评价和评分结果。</w:t>
      </w:r>
    </w:p>
    <w:p>
      <w:pPr>
        <w:snapToGrid w:val="0"/>
        <w:spacing w:line="440" w:lineRule="exact"/>
        <w:ind w:firstLine="472" w:firstLineChars="196"/>
        <w:rPr>
          <w:rFonts w:ascii="宋体" w:hAnsi="宋体" w:cs="宋体"/>
          <w:b/>
          <w:bCs/>
          <w:color w:val="auto"/>
          <w:sz w:val="24"/>
        </w:rPr>
      </w:pPr>
      <w:r>
        <w:rPr>
          <w:rFonts w:hint="eastAsia" w:ascii="宋体" w:hAnsi="宋体" w:cs="宋体"/>
          <w:b/>
          <w:color w:val="auto"/>
          <w:sz w:val="24"/>
        </w:rPr>
        <w:t>1.在资格性检查和符合性检查时，如发现下列情形之一的，投标文件将被视为无效：</w:t>
      </w:r>
    </w:p>
    <w:p>
      <w:pPr>
        <w:snapToGrid w:val="0"/>
        <w:spacing w:line="440" w:lineRule="exact"/>
        <w:ind w:firstLine="470" w:firstLineChars="196"/>
        <w:rPr>
          <w:rFonts w:ascii="宋体" w:hAnsi="宋体" w:cs="宋体"/>
          <w:color w:val="auto"/>
          <w:sz w:val="24"/>
        </w:rPr>
      </w:pPr>
      <w:r>
        <w:rPr>
          <w:rFonts w:hint="eastAsia" w:ascii="宋体" w:hAnsi="宋体" w:cs="宋体"/>
          <w:color w:val="auto"/>
          <w:sz w:val="24"/>
        </w:rPr>
        <w:t>（1）超越了按照法律法规规定必须获得行政许可证或者行政审批的经营范围的；</w:t>
      </w:r>
    </w:p>
    <w:p>
      <w:pPr>
        <w:snapToGrid w:val="0"/>
        <w:spacing w:line="440" w:lineRule="exact"/>
        <w:ind w:firstLine="470" w:firstLineChars="196"/>
        <w:rPr>
          <w:rFonts w:ascii="宋体" w:hAnsi="宋体" w:cs="宋体"/>
          <w:color w:val="auto"/>
          <w:sz w:val="24"/>
        </w:rPr>
      </w:pPr>
      <w:r>
        <w:rPr>
          <w:rFonts w:hint="eastAsia" w:ascii="宋体" w:hAnsi="宋体" w:cs="宋体"/>
          <w:color w:val="auto"/>
          <w:sz w:val="24"/>
        </w:rPr>
        <w:t>（2）资格证明文件不全的，或者不符合招标文件标明的资格要求的；</w:t>
      </w:r>
    </w:p>
    <w:p>
      <w:pPr>
        <w:snapToGrid w:val="0"/>
        <w:spacing w:line="440" w:lineRule="exact"/>
        <w:ind w:firstLine="470" w:firstLineChars="196"/>
        <w:rPr>
          <w:rFonts w:ascii="宋体" w:hAnsi="宋体" w:cs="宋体"/>
          <w:bCs/>
          <w:color w:val="auto"/>
          <w:kern w:val="0"/>
          <w:sz w:val="24"/>
        </w:rPr>
      </w:pPr>
      <w:r>
        <w:rPr>
          <w:rFonts w:hint="eastAsia" w:ascii="宋体" w:hAnsi="宋体" w:cs="宋体"/>
          <w:color w:val="auto"/>
          <w:sz w:val="24"/>
        </w:rPr>
        <w:t>（3）投标文件无法定代表人签字,或未</w:t>
      </w:r>
      <w:r>
        <w:rPr>
          <w:rFonts w:hint="eastAsia" w:ascii="宋体" w:hAnsi="宋体" w:cs="宋体"/>
          <w:bCs/>
          <w:color w:val="auto"/>
          <w:kern w:val="0"/>
          <w:sz w:val="24"/>
        </w:rPr>
        <w:t>提供法定代表人授权委托书、投标声明书或者填写项目不齐全的；</w:t>
      </w:r>
    </w:p>
    <w:p>
      <w:pPr>
        <w:snapToGrid w:val="0"/>
        <w:spacing w:line="440" w:lineRule="exact"/>
        <w:ind w:firstLine="470" w:firstLineChars="196"/>
        <w:rPr>
          <w:rFonts w:ascii="宋体" w:hAnsi="宋体" w:cs="宋体"/>
          <w:color w:val="auto"/>
          <w:sz w:val="24"/>
        </w:rPr>
      </w:pPr>
      <w:r>
        <w:rPr>
          <w:rFonts w:hint="eastAsia" w:ascii="宋体" w:hAnsi="宋体" w:cs="宋体"/>
          <w:color w:val="auto"/>
          <w:sz w:val="24"/>
        </w:rPr>
        <w:t xml:space="preserve">（4）投标代表人未能出具身份证明或与法定代表人授权委托人身份不符的； </w:t>
      </w:r>
    </w:p>
    <w:p>
      <w:pPr>
        <w:pStyle w:val="9"/>
        <w:snapToGrid w:val="0"/>
        <w:spacing w:line="440" w:lineRule="exact"/>
        <w:ind w:firstLine="470" w:firstLineChars="196"/>
        <w:rPr>
          <w:rFonts w:ascii="宋体" w:hAnsi="宋体" w:eastAsia="宋体" w:cs="宋体"/>
          <w:bCs/>
          <w:color w:val="auto"/>
          <w:sz w:val="24"/>
          <w:szCs w:val="24"/>
        </w:rPr>
      </w:pPr>
      <w:r>
        <w:rPr>
          <w:rFonts w:hint="eastAsia" w:ascii="宋体" w:hAnsi="宋体" w:eastAsia="宋体" w:cs="宋体"/>
          <w:color w:val="auto"/>
          <w:sz w:val="24"/>
          <w:szCs w:val="24"/>
        </w:rPr>
        <w:t>（</w:t>
      </w:r>
      <w:r>
        <w:rPr>
          <w:rFonts w:hint="eastAsia" w:ascii="宋体" w:hAnsi="宋体" w:eastAsia="宋体" w:cs="宋体"/>
          <w:snapToGrid w:val="0"/>
          <w:color w:val="auto"/>
          <w:sz w:val="24"/>
          <w:szCs w:val="24"/>
        </w:rPr>
        <w:t>5）</w:t>
      </w:r>
      <w:r>
        <w:rPr>
          <w:rFonts w:hint="eastAsia" w:ascii="宋体" w:hAnsi="宋体" w:eastAsia="宋体" w:cs="宋体"/>
          <w:bCs/>
          <w:color w:val="auto"/>
          <w:sz w:val="24"/>
          <w:szCs w:val="24"/>
        </w:rPr>
        <w:t>项目不齐全或者内容虚假的；</w:t>
      </w:r>
    </w:p>
    <w:p>
      <w:pPr>
        <w:pStyle w:val="9"/>
        <w:snapToGrid w:val="0"/>
        <w:spacing w:line="440" w:lineRule="exact"/>
        <w:ind w:firstLine="470" w:firstLineChars="196"/>
        <w:rPr>
          <w:rFonts w:ascii="宋体" w:hAnsi="宋体" w:eastAsia="宋体" w:cs="宋体"/>
          <w:bCs/>
          <w:color w:val="auto"/>
          <w:sz w:val="24"/>
          <w:szCs w:val="24"/>
        </w:rPr>
      </w:pPr>
      <w:r>
        <w:rPr>
          <w:rFonts w:hint="eastAsia" w:ascii="宋体" w:hAnsi="宋体" w:eastAsia="宋体" w:cs="宋体"/>
          <w:bCs/>
          <w:color w:val="auto"/>
          <w:sz w:val="24"/>
          <w:szCs w:val="24"/>
        </w:rPr>
        <w:t>（6）投标文件的实质性内容未使用中文表述、意思表述不明确、前后矛盾或者使用计量单位不符合招标文件要求的（经评标委员会认定并允许其当场更正的笔误除外）</w:t>
      </w:r>
    </w:p>
    <w:p>
      <w:pPr>
        <w:pStyle w:val="9"/>
        <w:snapToGrid w:val="0"/>
        <w:spacing w:line="440" w:lineRule="exact"/>
        <w:ind w:firstLine="470" w:firstLineChars="196"/>
        <w:rPr>
          <w:rFonts w:ascii="宋体" w:hAnsi="宋体" w:eastAsia="宋体" w:cs="宋体"/>
          <w:bCs/>
          <w:color w:val="auto"/>
          <w:sz w:val="24"/>
          <w:szCs w:val="24"/>
        </w:rPr>
      </w:pPr>
      <w:r>
        <w:rPr>
          <w:rFonts w:hint="eastAsia" w:ascii="宋体" w:hAnsi="宋体" w:eastAsia="宋体" w:cs="宋体"/>
          <w:bCs/>
          <w:color w:val="auto"/>
          <w:sz w:val="24"/>
          <w:szCs w:val="24"/>
        </w:rPr>
        <w:t>（7）投标有效期、交货时间、质保期等商务条款不能满足招标文件要求的；</w:t>
      </w:r>
    </w:p>
    <w:p>
      <w:pPr>
        <w:pStyle w:val="9"/>
        <w:snapToGrid w:val="0"/>
        <w:spacing w:line="440" w:lineRule="exact"/>
        <w:ind w:firstLine="470" w:firstLineChars="196"/>
        <w:rPr>
          <w:rFonts w:ascii="宋体" w:hAnsi="宋体" w:eastAsia="宋体" w:cs="宋体"/>
          <w:color w:val="auto"/>
          <w:sz w:val="24"/>
          <w:szCs w:val="24"/>
        </w:rPr>
      </w:pPr>
      <w:r>
        <w:rPr>
          <w:rFonts w:hint="eastAsia" w:ascii="宋体" w:hAnsi="宋体" w:eastAsia="宋体" w:cs="宋体"/>
          <w:bCs/>
          <w:color w:val="auto"/>
          <w:sz w:val="24"/>
          <w:szCs w:val="24"/>
        </w:rPr>
        <w:t>（8）未实质性响应招标文件要求或者投标文件有招标方不能接受的附加条件的</w:t>
      </w:r>
      <w:r>
        <w:rPr>
          <w:rFonts w:hint="eastAsia" w:ascii="宋体" w:hAnsi="宋体" w:eastAsia="宋体" w:cs="宋体"/>
          <w:color w:val="auto"/>
          <w:sz w:val="24"/>
          <w:szCs w:val="24"/>
        </w:rPr>
        <w:t>。</w:t>
      </w:r>
    </w:p>
    <w:p>
      <w:pPr>
        <w:snapToGrid w:val="0"/>
        <w:spacing w:line="440" w:lineRule="exact"/>
        <w:ind w:firstLine="472" w:firstLineChars="196"/>
        <w:rPr>
          <w:rFonts w:ascii="宋体" w:hAnsi="宋体" w:cs="宋体"/>
          <w:b/>
          <w:bCs/>
          <w:color w:val="auto"/>
          <w:sz w:val="24"/>
        </w:rPr>
      </w:pPr>
      <w:r>
        <w:rPr>
          <w:rFonts w:hint="eastAsia" w:ascii="宋体" w:hAnsi="宋体" w:cs="宋体"/>
          <w:b/>
          <w:color w:val="auto"/>
          <w:sz w:val="24"/>
        </w:rPr>
        <w:t>2.在技术评审时，如发现下列情形之一的，投标文件将被视为无效：</w:t>
      </w:r>
    </w:p>
    <w:p>
      <w:pPr>
        <w:pStyle w:val="9"/>
        <w:snapToGrid w:val="0"/>
        <w:spacing w:line="440" w:lineRule="exact"/>
        <w:ind w:firstLine="470" w:firstLineChars="196"/>
        <w:rPr>
          <w:rFonts w:ascii="宋体" w:hAnsi="宋体" w:eastAsia="宋体" w:cs="宋体"/>
          <w:bCs/>
          <w:color w:val="auto"/>
          <w:sz w:val="24"/>
          <w:szCs w:val="24"/>
        </w:rPr>
      </w:pPr>
      <w:r>
        <w:rPr>
          <w:rFonts w:hint="eastAsia" w:ascii="宋体" w:hAnsi="宋体" w:eastAsia="宋体" w:cs="宋体"/>
          <w:bCs/>
          <w:color w:val="auto"/>
          <w:sz w:val="24"/>
          <w:szCs w:val="24"/>
        </w:rPr>
        <w:t>（1）未提供或未如实提供投标货物的技术参数，或者投标文件标明的响应或偏离与事实不符或虚假投标的；</w:t>
      </w:r>
    </w:p>
    <w:p>
      <w:pPr>
        <w:pStyle w:val="9"/>
        <w:snapToGrid w:val="0"/>
        <w:spacing w:line="440" w:lineRule="exact"/>
        <w:ind w:firstLine="470" w:firstLineChars="196"/>
        <w:rPr>
          <w:rFonts w:ascii="宋体" w:hAnsi="宋体" w:eastAsia="宋体" w:cs="宋体"/>
          <w:bCs/>
          <w:color w:val="auto"/>
          <w:sz w:val="24"/>
          <w:szCs w:val="24"/>
        </w:rPr>
      </w:pPr>
      <w:r>
        <w:rPr>
          <w:rFonts w:hint="eastAsia" w:ascii="宋体" w:hAnsi="宋体" w:eastAsia="宋体" w:cs="宋体"/>
          <w:bCs/>
          <w:color w:val="auto"/>
          <w:sz w:val="24"/>
          <w:szCs w:val="24"/>
        </w:rPr>
        <w:t>（2）明显不符合招标文件要求的技术性能、质量标准，或者与招标文件中标“▲”的技术指标、主要功能项目发生实质性偏离的；</w:t>
      </w:r>
    </w:p>
    <w:p>
      <w:pPr>
        <w:pStyle w:val="9"/>
        <w:snapToGrid w:val="0"/>
        <w:spacing w:line="440" w:lineRule="exact"/>
        <w:ind w:firstLine="470" w:firstLineChars="196"/>
        <w:rPr>
          <w:rFonts w:ascii="宋体" w:hAnsi="宋体" w:eastAsia="宋体" w:cs="宋体"/>
          <w:bCs/>
          <w:color w:val="auto"/>
          <w:sz w:val="24"/>
          <w:szCs w:val="24"/>
        </w:rPr>
      </w:pPr>
      <w:r>
        <w:rPr>
          <w:rFonts w:hint="eastAsia" w:ascii="宋体" w:hAnsi="宋体" w:eastAsia="宋体" w:cs="宋体"/>
          <w:bCs/>
          <w:color w:val="auto"/>
          <w:sz w:val="24"/>
          <w:szCs w:val="24"/>
        </w:rPr>
        <w:t>（3）投标技术方案不明确，存在一个或一个以上备选（替代）投标方案的；</w:t>
      </w:r>
    </w:p>
    <w:p>
      <w:pPr>
        <w:pStyle w:val="9"/>
        <w:snapToGrid w:val="0"/>
        <w:spacing w:line="440" w:lineRule="exact"/>
        <w:ind w:firstLine="470" w:firstLineChars="196"/>
        <w:rPr>
          <w:rFonts w:ascii="宋体" w:hAnsi="宋体" w:eastAsia="宋体" w:cs="宋体"/>
          <w:bCs/>
          <w:color w:val="auto"/>
          <w:sz w:val="24"/>
          <w:szCs w:val="24"/>
        </w:rPr>
      </w:pPr>
      <w:r>
        <w:rPr>
          <w:rFonts w:hint="eastAsia" w:ascii="宋体" w:hAnsi="宋体" w:eastAsia="宋体" w:cs="宋体"/>
          <w:bCs/>
          <w:color w:val="auto"/>
          <w:sz w:val="24"/>
          <w:szCs w:val="24"/>
        </w:rPr>
        <w:t>（4）与其他参加本次投标供应商的投标文件（技术文件）的文字表述内容相同连续二十行以上或者差错相同二处以上的；</w:t>
      </w:r>
    </w:p>
    <w:p>
      <w:pPr>
        <w:snapToGrid w:val="0"/>
        <w:spacing w:line="440" w:lineRule="exact"/>
        <w:ind w:firstLine="472" w:firstLineChars="196"/>
        <w:rPr>
          <w:rFonts w:ascii="宋体" w:hAnsi="宋体" w:cs="宋体"/>
          <w:b/>
          <w:bCs/>
          <w:color w:val="auto"/>
          <w:sz w:val="24"/>
        </w:rPr>
      </w:pPr>
      <w:r>
        <w:rPr>
          <w:rFonts w:hint="eastAsia" w:ascii="宋体" w:hAnsi="宋体" w:cs="宋体"/>
          <w:b/>
          <w:color w:val="auto"/>
          <w:sz w:val="24"/>
        </w:rPr>
        <w:t>3.在报价评审时，如发现下列情形之一的，投标文件将被视为无效：</w:t>
      </w:r>
    </w:p>
    <w:p>
      <w:pPr>
        <w:pStyle w:val="9"/>
        <w:snapToGrid w:val="0"/>
        <w:spacing w:line="440" w:lineRule="exact"/>
        <w:ind w:firstLine="470" w:firstLineChars="196"/>
        <w:rPr>
          <w:rFonts w:ascii="宋体" w:hAnsi="宋体" w:eastAsia="宋体" w:cs="宋体"/>
          <w:bCs/>
          <w:color w:val="auto"/>
          <w:sz w:val="24"/>
          <w:szCs w:val="24"/>
        </w:rPr>
      </w:pPr>
      <w:r>
        <w:rPr>
          <w:rFonts w:hint="eastAsia" w:ascii="宋体" w:hAnsi="宋体" w:eastAsia="宋体" w:cs="宋体"/>
          <w:bCs/>
          <w:color w:val="auto"/>
          <w:sz w:val="24"/>
          <w:szCs w:val="24"/>
        </w:rPr>
        <w:t>（1）未采用人民币报价或者未按照招标文件标明的币种报价的；</w:t>
      </w:r>
    </w:p>
    <w:p>
      <w:pPr>
        <w:pStyle w:val="9"/>
        <w:snapToGrid w:val="0"/>
        <w:spacing w:line="440" w:lineRule="exact"/>
        <w:ind w:firstLine="470" w:firstLineChars="196"/>
        <w:rPr>
          <w:rFonts w:ascii="宋体" w:hAnsi="宋体" w:eastAsia="宋体" w:cs="宋体"/>
          <w:bCs/>
          <w:color w:val="auto"/>
          <w:sz w:val="24"/>
          <w:szCs w:val="24"/>
        </w:rPr>
      </w:pPr>
      <w:r>
        <w:rPr>
          <w:rFonts w:hint="eastAsia" w:ascii="宋体" w:hAnsi="宋体" w:eastAsia="宋体" w:cs="宋体"/>
          <w:bCs/>
          <w:color w:val="auto"/>
          <w:sz w:val="24"/>
          <w:szCs w:val="24"/>
        </w:rPr>
        <w:t>（2）报价超出最高限价，或者超出采购预算金额，采购人不能支付的；</w:t>
      </w:r>
    </w:p>
    <w:p>
      <w:pPr>
        <w:pStyle w:val="9"/>
        <w:snapToGrid w:val="0"/>
        <w:spacing w:line="440" w:lineRule="exact"/>
        <w:ind w:firstLine="480" w:firstLineChars="200"/>
        <w:rPr>
          <w:rFonts w:ascii="宋体" w:hAnsi="宋体" w:eastAsia="宋体" w:cs="宋体"/>
          <w:color w:val="auto"/>
          <w:sz w:val="24"/>
          <w:szCs w:val="24"/>
        </w:rPr>
      </w:pPr>
      <w:r>
        <w:rPr>
          <w:rFonts w:hint="eastAsia" w:ascii="宋体" w:hAnsi="宋体" w:eastAsia="宋体" w:cs="宋体"/>
          <w:bCs/>
          <w:color w:val="auto"/>
          <w:sz w:val="24"/>
          <w:szCs w:val="24"/>
        </w:rPr>
        <w:t>（3）投标报价具有选择性，或者开标价格与投标文件承诺的优惠（折扣）价格不一致的；</w:t>
      </w:r>
      <w:r>
        <w:rPr>
          <w:rFonts w:hint="eastAsia" w:ascii="宋体" w:hAnsi="宋体" w:eastAsia="宋体" w:cs="宋体"/>
          <w:color w:val="auto"/>
          <w:sz w:val="24"/>
          <w:szCs w:val="24"/>
        </w:rPr>
        <w:t xml:space="preserve">                                                                                                     </w:t>
      </w:r>
    </w:p>
    <w:p>
      <w:pPr>
        <w:snapToGrid w:val="0"/>
        <w:spacing w:line="440" w:lineRule="exact"/>
        <w:ind w:firstLine="472" w:firstLineChars="196"/>
        <w:rPr>
          <w:rFonts w:ascii="宋体" w:hAnsi="宋体" w:cs="宋体"/>
          <w:b/>
          <w:color w:val="auto"/>
          <w:sz w:val="24"/>
        </w:rPr>
      </w:pPr>
      <w:r>
        <w:rPr>
          <w:rFonts w:hint="eastAsia" w:ascii="宋体" w:hAnsi="宋体" w:cs="宋体"/>
          <w:b/>
          <w:color w:val="auto"/>
          <w:sz w:val="24"/>
        </w:rPr>
        <w:t>4.被拒绝的投标文件为无效。</w:t>
      </w:r>
    </w:p>
    <w:p>
      <w:pPr>
        <w:snapToGrid w:val="0"/>
        <w:spacing w:line="440" w:lineRule="exact"/>
        <w:ind w:firstLine="590" w:firstLineChars="245"/>
        <w:rPr>
          <w:rFonts w:ascii="宋体" w:hAnsi="宋体" w:cs="宋体"/>
          <w:b/>
          <w:color w:val="auto"/>
          <w:sz w:val="24"/>
        </w:rPr>
      </w:pPr>
      <w:r>
        <w:rPr>
          <w:rFonts w:hint="eastAsia" w:ascii="宋体" w:hAnsi="宋体" w:cs="宋体"/>
          <w:b/>
          <w:color w:val="auto"/>
          <w:sz w:val="24"/>
        </w:rPr>
        <w:t>四、开标</w:t>
      </w:r>
      <w:bookmarkEnd w:id="35"/>
      <w:bookmarkEnd w:id="36"/>
    </w:p>
    <w:p>
      <w:pPr>
        <w:pStyle w:val="11"/>
        <w:snapToGrid w:val="0"/>
        <w:spacing w:line="440" w:lineRule="exact"/>
        <w:ind w:firstLine="472" w:firstLineChars="196"/>
        <w:rPr>
          <w:rFonts w:hAnsi="宋体" w:cs="宋体"/>
          <w:b/>
          <w:color w:val="auto"/>
          <w:sz w:val="24"/>
          <w:szCs w:val="24"/>
        </w:rPr>
      </w:pPr>
      <w:r>
        <w:rPr>
          <w:rFonts w:hint="eastAsia" w:hAnsi="宋体" w:cs="宋体"/>
          <w:b/>
          <w:color w:val="auto"/>
          <w:sz w:val="24"/>
          <w:szCs w:val="24"/>
        </w:rPr>
        <w:t>（一）开标准备</w:t>
      </w:r>
    </w:p>
    <w:p>
      <w:pPr>
        <w:pStyle w:val="11"/>
        <w:snapToGrid w:val="0"/>
        <w:spacing w:line="440" w:lineRule="exact"/>
        <w:ind w:firstLine="480" w:firstLineChars="200"/>
        <w:rPr>
          <w:rFonts w:hAnsi="宋体" w:cs="宋体"/>
          <w:bCs/>
          <w:color w:val="auto"/>
          <w:sz w:val="24"/>
          <w:szCs w:val="24"/>
        </w:rPr>
      </w:pPr>
      <w:r>
        <w:rPr>
          <w:rFonts w:hint="eastAsia" w:hAnsi="宋体" w:cs="宋体"/>
          <w:bCs/>
          <w:color w:val="auto"/>
          <w:sz w:val="24"/>
          <w:szCs w:val="24"/>
        </w:rPr>
        <w:t>采购代理机构将在“投标人须知”前附表规定的时间和地点进行开标，投标人的法定代表人或其授权委托人参加开标会。投标人的法定代表人或其授权委托人未按时参加的，视同放弃开标监督权利、认可开标结果。</w:t>
      </w:r>
    </w:p>
    <w:p>
      <w:pPr>
        <w:pStyle w:val="11"/>
        <w:snapToGrid w:val="0"/>
        <w:spacing w:line="440" w:lineRule="exact"/>
        <w:ind w:firstLine="472" w:firstLineChars="196"/>
        <w:rPr>
          <w:rFonts w:hAnsi="宋体" w:cs="宋体"/>
          <w:b/>
          <w:color w:val="auto"/>
          <w:sz w:val="24"/>
          <w:szCs w:val="24"/>
        </w:rPr>
      </w:pPr>
      <w:r>
        <w:rPr>
          <w:rFonts w:hint="eastAsia" w:hAnsi="宋体" w:cs="宋体"/>
          <w:b/>
          <w:color w:val="auto"/>
          <w:sz w:val="24"/>
          <w:szCs w:val="24"/>
        </w:rPr>
        <w:t>（二） 开标程序：</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1.开标会由采购代理机构主持，主持人宣布开标会议开始；</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 xml:space="preserve">2.主持人介绍参加开标会的人员； </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3.主持人宣布评标期间的有关事项；告知应当回避的情形,提请有关人员回避；</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4.投标人或其当场推荐的代表检查投标文件密封的完整性并签字确认；</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5.按各投标人提交投标文件时间的先后顺序打开投标文件外包装，清点投标文件正本、副本数量；</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6.唱标；</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7.采购代理机构做开标记录, 投标人代表对开标记录进行当场校核及勘误，并签字确认；同时由记录人、监督人当场签字确认。投标人代表未到场签字确认或者拒绝签字确认的，不影响</w:t>
      </w:r>
      <w:r>
        <w:rPr>
          <w:rFonts w:hint="eastAsia" w:hAnsi="宋体" w:cs="宋体"/>
          <w:bCs/>
          <w:color w:val="auto"/>
          <w:sz w:val="24"/>
          <w:szCs w:val="24"/>
        </w:rPr>
        <w:t>开标结果</w:t>
      </w:r>
      <w:r>
        <w:rPr>
          <w:rFonts w:hint="eastAsia" w:hAnsi="宋体" w:cs="宋体"/>
          <w:color w:val="auto"/>
          <w:sz w:val="24"/>
          <w:szCs w:val="24"/>
        </w:rPr>
        <w:t>；</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8.开标会议结束。</w:t>
      </w:r>
    </w:p>
    <w:p>
      <w:pPr>
        <w:pStyle w:val="11"/>
        <w:snapToGrid w:val="0"/>
        <w:spacing w:line="440" w:lineRule="exact"/>
        <w:ind w:left="802" w:leftChars="267" w:hanging="241" w:hangingChars="100"/>
        <w:outlineLvl w:val="1"/>
        <w:rPr>
          <w:rFonts w:hAnsi="宋体" w:cs="宋体"/>
          <w:b/>
          <w:color w:val="auto"/>
          <w:sz w:val="24"/>
          <w:szCs w:val="24"/>
        </w:rPr>
      </w:pPr>
      <w:bookmarkStart w:id="41" w:name="_Toc254970545"/>
      <w:bookmarkStart w:id="42" w:name="_Toc254970686"/>
      <w:r>
        <w:rPr>
          <w:rFonts w:hint="eastAsia" w:hAnsi="宋体" w:cs="宋体"/>
          <w:b/>
          <w:color w:val="auto"/>
          <w:sz w:val="24"/>
          <w:szCs w:val="24"/>
        </w:rPr>
        <w:t>五、评标</w:t>
      </w:r>
      <w:bookmarkEnd w:id="41"/>
      <w:bookmarkEnd w:id="42"/>
    </w:p>
    <w:p>
      <w:pPr>
        <w:pStyle w:val="11"/>
        <w:snapToGrid w:val="0"/>
        <w:spacing w:line="440" w:lineRule="exact"/>
        <w:ind w:left="720" w:leftChars="228" w:hanging="241" w:hangingChars="100"/>
        <w:rPr>
          <w:rFonts w:hAnsi="宋体" w:cs="宋体"/>
          <w:b/>
          <w:color w:val="auto"/>
          <w:sz w:val="24"/>
          <w:szCs w:val="24"/>
        </w:rPr>
      </w:pPr>
      <w:r>
        <w:rPr>
          <w:rFonts w:hint="eastAsia" w:hAnsi="宋体" w:cs="宋体"/>
          <w:b/>
          <w:color w:val="auto"/>
          <w:sz w:val="24"/>
          <w:szCs w:val="24"/>
        </w:rPr>
        <w:t>（一）组建评标委员会</w:t>
      </w:r>
    </w:p>
    <w:p>
      <w:pPr>
        <w:pStyle w:val="11"/>
        <w:snapToGrid w:val="0"/>
        <w:spacing w:line="440" w:lineRule="exact"/>
        <w:ind w:left="2" w:firstLine="547" w:firstLineChars="228"/>
        <w:rPr>
          <w:rFonts w:hAnsi="宋体" w:cs="宋体"/>
          <w:color w:val="auto"/>
          <w:sz w:val="24"/>
          <w:szCs w:val="24"/>
        </w:rPr>
      </w:pPr>
      <w:r>
        <w:rPr>
          <w:rFonts w:hint="eastAsia" w:hAnsi="宋体" w:cs="宋体"/>
          <w:color w:val="auto"/>
          <w:sz w:val="24"/>
          <w:szCs w:val="24"/>
        </w:rPr>
        <w:t>本招标采购项目的评委分别由依法组成的评审专家、采购单位代表共5人或5人以上单数构成，其中专家人数不少于成员总数的三分之二。</w:t>
      </w:r>
    </w:p>
    <w:p>
      <w:pPr>
        <w:pStyle w:val="11"/>
        <w:snapToGrid w:val="0"/>
        <w:spacing w:line="440" w:lineRule="exact"/>
        <w:ind w:left="720" w:leftChars="228" w:hanging="241" w:hangingChars="100"/>
        <w:rPr>
          <w:rFonts w:hAnsi="宋体" w:cs="宋体"/>
          <w:b/>
          <w:color w:val="auto"/>
          <w:sz w:val="24"/>
          <w:szCs w:val="24"/>
        </w:rPr>
      </w:pPr>
      <w:r>
        <w:rPr>
          <w:rFonts w:hint="eastAsia" w:hAnsi="宋体" w:cs="宋体"/>
          <w:b/>
          <w:color w:val="auto"/>
          <w:sz w:val="24"/>
          <w:szCs w:val="24"/>
        </w:rPr>
        <w:t>（二）评标的方式</w:t>
      </w:r>
    </w:p>
    <w:p>
      <w:pPr>
        <w:pStyle w:val="11"/>
        <w:snapToGrid w:val="0"/>
        <w:spacing w:line="440" w:lineRule="exact"/>
        <w:ind w:left="719" w:leftChars="228" w:hanging="240" w:hangingChars="100"/>
        <w:rPr>
          <w:rFonts w:hAnsi="宋体" w:cs="宋体"/>
          <w:color w:val="auto"/>
          <w:sz w:val="24"/>
          <w:szCs w:val="24"/>
        </w:rPr>
      </w:pPr>
      <w:r>
        <w:rPr>
          <w:rFonts w:hint="eastAsia" w:hAnsi="宋体" w:cs="宋体"/>
          <w:color w:val="auto"/>
          <w:sz w:val="24"/>
          <w:szCs w:val="24"/>
        </w:rPr>
        <w:t>本项目采用不公开方式评标，评标的依据为招标文件和投标文件。</w:t>
      </w:r>
    </w:p>
    <w:p>
      <w:pPr>
        <w:pStyle w:val="11"/>
        <w:snapToGrid w:val="0"/>
        <w:spacing w:line="440" w:lineRule="exact"/>
        <w:ind w:left="720" w:leftChars="228" w:hanging="241" w:hangingChars="100"/>
        <w:rPr>
          <w:rFonts w:hAnsi="宋体" w:cs="宋体"/>
          <w:b/>
          <w:color w:val="auto"/>
          <w:sz w:val="24"/>
          <w:szCs w:val="24"/>
        </w:rPr>
      </w:pPr>
      <w:r>
        <w:rPr>
          <w:rFonts w:hint="eastAsia" w:hAnsi="宋体" w:cs="宋体"/>
          <w:b/>
          <w:color w:val="auto"/>
          <w:sz w:val="24"/>
          <w:szCs w:val="24"/>
        </w:rPr>
        <w:t>（三）</w:t>
      </w:r>
      <w:r>
        <w:rPr>
          <w:rFonts w:hint="eastAsia" w:hAnsi="宋体" w:cs="宋体"/>
          <w:b/>
          <w:bCs/>
          <w:color w:val="auto"/>
          <w:sz w:val="24"/>
          <w:szCs w:val="24"/>
        </w:rPr>
        <w:t>评标程序</w:t>
      </w:r>
    </w:p>
    <w:p>
      <w:pPr>
        <w:snapToGrid w:val="0"/>
        <w:spacing w:line="440" w:lineRule="exact"/>
        <w:ind w:firstLine="472" w:firstLineChars="196"/>
        <w:rPr>
          <w:rFonts w:ascii="宋体" w:hAnsi="宋体" w:cs="宋体"/>
          <w:b/>
          <w:bCs/>
          <w:color w:val="auto"/>
          <w:kern w:val="0"/>
          <w:sz w:val="24"/>
        </w:rPr>
      </w:pPr>
      <w:r>
        <w:rPr>
          <w:rFonts w:hint="eastAsia" w:ascii="宋体" w:hAnsi="宋体" w:cs="宋体"/>
          <w:b/>
          <w:bCs/>
          <w:color w:val="auto"/>
          <w:kern w:val="0"/>
          <w:sz w:val="24"/>
        </w:rPr>
        <w:t>1.形式审查</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采购代理机构组织评标委员会对投标人的资格和投标文件的完整性、合法性等进行审查。</w:t>
      </w:r>
    </w:p>
    <w:p>
      <w:pPr>
        <w:snapToGrid w:val="0"/>
        <w:spacing w:line="440" w:lineRule="exact"/>
        <w:ind w:firstLine="472" w:firstLineChars="196"/>
        <w:rPr>
          <w:rFonts w:ascii="宋体" w:hAnsi="宋体" w:cs="宋体"/>
          <w:b/>
          <w:bCs/>
          <w:color w:val="auto"/>
          <w:kern w:val="0"/>
          <w:sz w:val="24"/>
        </w:rPr>
      </w:pPr>
      <w:r>
        <w:rPr>
          <w:rFonts w:hint="eastAsia" w:ascii="宋体" w:hAnsi="宋体" w:cs="宋体"/>
          <w:b/>
          <w:bCs/>
          <w:color w:val="auto"/>
          <w:kern w:val="0"/>
          <w:sz w:val="24"/>
        </w:rPr>
        <w:t>2.实质审查与比较</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（1）评标委员会审查投标文件的实质性内容是否符合招标文件的实质性要求。</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（2）评标委员会将根据投标人的投标文件进行审查、核对,如有疑问,将对投标人进行询问,投标人要向评标委员会澄清有关问题,并最终以书面形式进行答复。</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投标人代表未到场或者拒绝澄清或者澄清的内容改变了投标文件的实质性内容的，评标委员会有权视该投标文件无效。</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（3）各投标人的技术得分为所有评委的有效评分的算术平均数，由指定专人进行计算复核。</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（4）代理机构工作人员协助评标委员会根据本项目的评分办法计算各投标人的商务报价得分。</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（5）评标委员会完成评标后,评委对各部分得分汇总,计算出本项目最终得分等。评标委员会按评标标准推荐中标候选人同时起草评标报告。</w:t>
      </w:r>
    </w:p>
    <w:p>
      <w:pPr>
        <w:snapToGrid w:val="0"/>
        <w:spacing w:line="440" w:lineRule="exact"/>
        <w:ind w:firstLine="482" w:firstLineChars="200"/>
        <w:rPr>
          <w:rFonts w:ascii="宋体" w:hAnsi="宋体" w:cs="宋体"/>
          <w:b/>
          <w:color w:val="auto"/>
          <w:sz w:val="24"/>
        </w:rPr>
      </w:pPr>
      <w:r>
        <w:rPr>
          <w:rFonts w:hint="eastAsia" w:ascii="宋体" w:hAnsi="宋体" w:cs="宋体"/>
          <w:b/>
          <w:color w:val="auto"/>
          <w:sz w:val="24"/>
        </w:rPr>
        <w:t>（四）澄清问题的形式</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对投标文件中含义不明确、同类问题表述不一致或者有明显文字和计算错误的内容，评标委员会可要求投标人作出必要的澄清、说明或者纠正。投标人的澄清、说明或者补正应当采用书面形式，由其法定代表人或授权委托人签字确认，并不得超出投标文件的范围或者改变投标文件的实质性内容。</w:t>
      </w:r>
    </w:p>
    <w:p>
      <w:pPr>
        <w:pStyle w:val="11"/>
        <w:snapToGrid w:val="0"/>
        <w:spacing w:line="440" w:lineRule="exact"/>
        <w:ind w:left="720" w:leftChars="228" w:hanging="241" w:hangingChars="100"/>
        <w:rPr>
          <w:rFonts w:hAnsi="宋体" w:cs="宋体"/>
          <w:b/>
          <w:color w:val="auto"/>
          <w:sz w:val="24"/>
          <w:szCs w:val="24"/>
        </w:rPr>
      </w:pPr>
      <w:r>
        <w:rPr>
          <w:rFonts w:hint="eastAsia" w:hAnsi="宋体" w:cs="宋体"/>
          <w:b/>
          <w:color w:val="auto"/>
          <w:sz w:val="24"/>
          <w:szCs w:val="24"/>
        </w:rPr>
        <w:t>（五）错误修正</w:t>
      </w:r>
    </w:p>
    <w:p>
      <w:pPr>
        <w:pStyle w:val="11"/>
        <w:snapToGrid w:val="0"/>
        <w:spacing w:line="440" w:lineRule="exact"/>
        <w:ind w:left="719" w:leftChars="228" w:hanging="240" w:hangingChars="100"/>
        <w:rPr>
          <w:rFonts w:hAnsi="宋体" w:cs="宋体"/>
          <w:color w:val="auto"/>
          <w:sz w:val="24"/>
          <w:szCs w:val="24"/>
        </w:rPr>
      </w:pPr>
      <w:r>
        <w:rPr>
          <w:rFonts w:hint="eastAsia" w:hAnsi="宋体" w:cs="宋体"/>
          <w:color w:val="auto"/>
          <w:sz w:val="24"/>
          <w:szCs w:val="24"/>
        </w:rPr>
        <w:t>投标文件如果出现计算或表达上的错误，修正错误的原则如下：</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1.开标一览表总价与投标报价明细表汇总数不一致的，以开标一览表为准；</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2.投标文件的大写金额和小写金额不一致的，以大写金额为准；</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3.总价金额与按单价汇总金额不一致的，以单价金额计算结果为准；</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4.单价金额小数点有明显错位的，应以总价为准，并修改单价；</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5.对不同文字文本投标文件的解释发生异议的，以中文文本为准。</w:t>
      </w:r>
    </w:p>
    <w:p>
      <w:pPr>
        <w:pStyle w:val="11"/>
        <w:snapToGrid w:val="0"/>
        <w:spacing w:line="440" w:lineRule="exact"/>
        <w:ind w:firstLine="482" w:firstLineChars="200"/>
        <w:rPr>
          <w:rFonts w:hAnsi="宋体" w:cs="宋体"/>
          <w:b/>
          <w:bCs/>
          <w:color w:val="auto"/>
          <w:sz w:val="24"/>
          <w:szCs w:val="24"/>
        </w:rPr>
      </w:pPr>
      <w:r>
        <w:rPr>
          <w:rFonts w:hint="eastAsia" w:hAnsi="宋体" w:cs="宋体"/>
          <w:b/>
          <w:bCs/>
          <w:color w:val="auto"/>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1"/>
        <w:tabs>
          <w:tab w:val="left" w:pos="630"/>
        </w:tabs>
        <w:snapToGrid w:val="0"/>
        <w:spacing w:line="440" w:lineRule="exact"/>
        <w:ind w:firstLine="472" w:firstLineChars="196"/>
        <w:rPr>
          <w:rFonts w:hAnsi="宋体" w:cs="宋体"/>
          <w:b/>
          <w:color w:val="auto"/>
          <w:sz w:val="24"/>
          <w:szCs w:val="24"/>
        </w:rPr>
      </w:pPr>
      <w:r>
        <w:rPr>
          <w:rFonts w:hint="eastAsia" w:hAnsi="宋体" w:cs="宋体"/>
          <w:b/>
          <w:color w:val="auto"/>
          <w:sz w:val="24"/>
          <w:szCs w:val="24"/>
        </w:rPr>
        <w:t>（六）评标原则和评标方法</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本项目评标方法是综合评分法，具体评标内容及评标标准等详见第四章：评标方法及评标标准。</w:t>
      </w:r>
    </w:p>
    <w:p>
      <w:pPr>
        <w:pStyle w:val="11"/>
        <w:snapToGrid w:val="0"/>
        <w:spacing w:line="440" w:lineRule="exact"/>
        <w:ind w:firstLine="472" w:firstLineChars="196"/>
        <w:rPr>
          <w:rFonts w:hAnsi="宋体" w:cs="宋体"/>
          <w:b/>
          <w:color w:val="auto"/>
          <w:sz w:val="24"/>
          <w:szCs w:val="24"/>
        </w:rPr>
      </w:pPr>
      <w:r>
        <w:rPr>
          <w:rFonts w:hint="eastAsia" w:hAnsi="宋体" w:cs="宋体"/>
          <w:b/>
          <w:color w:val="auto"/>
          <w:sz w:val="24"/>
          <w:szCs w:val="24"/>
        </w:rPr>
        <w:t>（七）评标过程的监控</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本项目评标过程实行全程录音、录像监控，投标人在评标过程中所进行的试图影响评标结果的不公正活动，可能导致其投标被拒绝。</w:t>
      </w:r>
    </w:p>
    <w:p>
      <w:pPr>
        <w:pStyle w:val="11"/>
        <w:snapToGrid w:val="0"/>
        <w:spacing w:line="440" w:lineRule="exact"/>
        <w:ind w:firstLine="590" w:firstLineChars="245"/>
        <w:outlineLvl w:val="1"/>
        <w:rPr>
          <w:rFonts w:hAnsi="宋体" w:cs="宋体"/>
          <w:b/>
          <w:color w:val="auto"/>
          <w:sz w:val="24"/>
          <w:szCs w:val="24"/>
        </w:rPr>
      </w:pPr>
      <w:r>
        <w:rPr>
          <w:rFonts w:hint="eastAsia" w:hAnsi="宋体" w:cs="宋体"/>
          <w:b/>
          <w:color w:val="auto"/>
          <w:sz w:val="24"/>
          <w:szCs w:val="24"/>
        </w:rPr>
        <w:t>六、评标结果</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一）采购代理机构在评标结束后二个工作日内将评标报告交采购人确认，采购人在五个工作日内按照评标报告中推荐的中标候选供应商顺序确定中标供应商。采购人也可以事先授权评标委员会直接确定中标供应商。</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（二）中标供应商确定后，采购代理机构在中国政府采购网、广西壮族自治区政府采购网、河池市公共资源交易中心、广西元强建设项目管理有限公司网发布中标公告。</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三）在发布中标公告的同时，采购代理机构向中标供应商发出中标通知书。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排名第二的中标候选人因前款规定的同样原因被取消中标资格的，采购人可以确定排名第三的中标候选人为中标人。</w:t>
      </w:r>
    </w:p>
    <w:p>
      <w:pPr>
        <w:snapToGrid w:val="0"/>
        <w:spacing w:line="440" w:lineRule="exact"/>
        <w:ind w:firstLine="600" w:firstLineChars="250"/>
        <w:rPr>
          <w:rFonts w:ascii="宋体" w:hAnsi="宋体" w:cs="宋体"/>
          <w:color w:val="auto"/>
          <w:sz w:val="24"/>
        </w:rPr>
      </w:pPr>
      <w:r>
        <w:rPr>
          <w:rFonts w:hint="eastAsia" w:ascii="宋体" w:hAnsi="宋体" w:cs="宋体"/>
          <w:color w:val="auto"/>
          <w:sz w:val="24"/>
        </w:rPr>
        <w:t>以上信息查询记录及相关证据与采购文件一并保存。</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（四）投标人对中标公告有异议的，应当在中标公告期限届满之日起七个工作日内，以书面形式向采购人或采购代理机构提出质疑。</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（五）被质疑的采购人或采购代理机构（采购代理机构应当按照有关规定就采购人委托授权范围内的事项）在收到投标人的书面质疑后七个工作日内作出答复，但答复的内容不得涉及商业秘密。</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（六）采购代理机构无义务向未中标的供应商解释未中标原因和退还投标文件。</w:t>
      </w:r>
    </w:p>
    <w:p>
      <w:pPr>
        <w:snapToGrid w:val="0"/>
        <w:spacing w:line="440" w:lineRule="exact"/>
        <w:ind w:firstLine="482" w:firstLineChars="200"/>
        <w:rPr>
          <w:rFonts w:ascii="宋体" w:hAnsi="宋体" w:cs="宋体"/>
          <w:b/>
          <w:color w:val="auto"/>
          <w:sz w:val="24"/>
        </w:rPr>
      </w:pPr>
      <w:r>
        <w:rPr>
          <w:rFonts w:hint="eastAsia" w:ascii="宋体" w:hAnsi="宋体" w:cs="宋体"/>
          <w:b/>
          <w:color w:val="auto"/>
          <w:sz w:val="24"/>
        </w:rPr>
        <w:t>七、履约保证金</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(一)</w:t>
      </w:r>
      <w:r>
        <w:rPr>
          <w:rFonts w:hint="eastAsia" w:ascii="宋体" w:hAnsi="宋体" w:cs="宋体"/>
          <w:color w:val="auto"/>
          <w:sz w:val="24"/>
        </w:rPr>
        <w:tab/>
      </w:r>
      <w:r>
        <w:rPr>
          <w:rFonts w:hint="eastAsia" w:ascii="宋体" w:hAnsi="宋体" w:cs="宋体"/>
          <w:color w:val="auto"/>
          <w:sz w:val="24"/>
        </w:rPr>
        <w:t>履约保证金金额详见本须知前附表规定，应由中标供应商在签订合同前向采购人交纳。否则，不予签订合同。</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(二)</w:t>
      </w:r>
      <w:r>
        <w:rPr>
          <w:rFonts w:hint="eastAsia" w:ascii="宋体" w:hAnsi="宋体" w:cs="宋体"/>
          <w:color w:val="auto"/>
          <w:sz w:val="24"/>
        </w:rPr>
        <w:tab/>
      </w:r>
      <w:r>
        <w:rPr>
          <w:rFonts w:hint="eastAsia" w:ascii="宋体" w:hAnsi="宋体" w:cs="宋体"/>
          <w:color w:val="auto"/>
          <w:sz w:val="24"/>
        </w:rPr>
        <w:t>签订合同后，如中标供应商不按双方签订的合同规定履约，则没收其全部履约保证金，履约保证金不足以赔偿损失的，按采购合同的履行、违约责任和解决争议的方式等适用《中华人民共和国合同法》。供应商在履约过程中有政府采购法律法规规定的违法违规情形的，采购人应当及时报告本级财政部门。</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(三)</w:t>
      </w:r>
      <w:r>
        <w:rPr>
          <w:rFonts w:hint="eastAsia" w:ascii="宋体" w:hAnsi="宋体" w:cs="宋体"/>
          <w:color w:val="auto"/>
          <w:sz w:val="24"/>
        </w:rPr>
        <w:tab/>
      </w:r>
      <w:r>
        <w:rPr>
          <w:rFonts w:hint="eastAsia" w:ascii="宋体" w:hAnsi="宋体" w:cs="宋体"/>
          <w:color w:val="auto"/>
          <w:sz w:val="24"/>
        </w:rPr>
        <w:t>履约保证金在中标供应商按合同约定交货验收合格后，由中标供应商向采购人提供《政府采购项目履约保证金退付意见书》及《政府采购项目合同验收报告》（详见附件），采购人在收到合格材料后10个工作日内以银行转帐方式如数退还（不计利息）。</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(四)</w:t>
      </w:r>
      <w:r>
        <w:rPr>
          <w:rFonts w:hint="eastAsia" w:ascii="宋体" w:hAnsi="宋体" w:cs="宋体"/>
          <w:color w:val="auto"/>
          <w:sz w:val="24"/>
        </w:rPr>
        <w:tab/>
      </w:r>
      <w:r>
        <w:rPr>
          <w:rFonts w:hint="eastAsia" w:ascii="宋体" w:hAnsi="宋体" w:cs="宋体"/>
          <w:color w:val="auto"/>
          <w:sz w:val="24"/>
        </w:rPr>
        <w:t>在履约保证金退还日期前，若中标供应商的开户名称、开户银行、帐号有变动的，请以书面形式通知采购代理机构，否则由此产生的后果由中标供应商自负。</w:t>
      </w:r>
    </w:p>
    <w:p>
      <w:pPr>
        <w:pStyle w:val="11"/>
        <w:snapToGrid w:val="0"/>
        <w:spacing w:line="440" w:lineRule="exact"/>
        <w:ind w:firstLine="472" w:firstLineChars="196"/>
        <w:outlineLvl w:val="1"/>
        <w:rPr>
          <w:rFonts w:hAnsi="宋体" w:cs="宋体"/>
          <w:b/>
          <w:color w:val="auto"/>
          <w:sz w:val="24"/>
          <w:szCs w:val="24"/>
        </w:rPr>
      </w:pPr>
      <w:bookmarkStart w:id="43" w:name="_Toc254970547"/>
      <w:bookmarkStart w:id="44" w:name="_Toc254970688"/>
      <w:r>
        <w:rPr>
          <w:rFonts w:hint="eastAsia" w:hAnsi="宋体" w:cs="宋体"/>
          <w:b/>
          <w:color w:val="auto"/>
          <w:sz w:val="24"/>
          <w:szCs w:val="24"/>
        </w:rPr>
        <w:t>八、</w:t>
      </w:r>
      <w:bookmarkEnd w:id="43"/>
      <w:bookmarkEnd w:id="44"/>
      <w:r>
        <w:rPr>
          <w:rFonts w:hint="eastAsia" w:hAnsi="宋体" w:cs="宋体"/>
          <w:b/>
          <w:color w:val="auto"/>
          <w:sz w:val="24"/>
          <w:szCs w:val="24"/>
        </w:rPr>
        <w:t>签订合同</w:t>
      </w:r>
    </w:p>
    <w:p>
      <w:pPr>
        <w:pStyle w:val="11"/>
        <w:snapToGrid w:val="0"/>
        <w:spacing w:line="440" w:lineRule="exact"/>
        <w:ind w:firstLine="472" w:firstLineChars="196"/>
        <w:outlineLvl w:val="1"/>
        <w:rPr>
          <w:rFonts w:hAnsi="宋体" w:cs="宋体"/>
          <w:b/>
          <w:bCs/>
          <w:color w:val="auto"/>
          <w:sz w:val="24"/>
          <w:szCs w:val="24"/>
        </w:rPr>
      </w:pPr>
      <w:r>
        <w:rPr>
          <w:rFonts w:hint="eastAsia" w:hAnsi="宋体" w:cs="宋体"/>
          <w:b/>
          <w:color w:val="auto"/>
          <w:sz w:val="24"/>
          <w:szCs w:val="24"/>
        </w:rPr>
        <w:t>（一）合同授予标准</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合同将授予被确定实质上相应招标文件要求，具备履行合同能力，综合评分排名第一的投标人。</w:t>
      </w:r>
    </w:p>
    <w:p>
      <w:pPr>
        <w:pStyle w:val="11"/>
        <w:snapToGrid w:val="0"/>
        <w:spacing w:line="440" w:lineRule="exact"/>
        <w:ind w:firstLine="472" w:firstLineChars="196"/>
        <w:rPr>
          <w:rFonts w:hAnsi="宋体" w:cs="宋体"/>
          <w:b/>
          <w:color w:val="auto"/>
          <w:sz w:val="24"/>
          <w:szCs w:val="24"/>
        </w:rPr>
      </w:pPr>
      <w:r>
        <w:rPr>
          <w:rFonts w:hint="eastAsia" w:hAnsi="宋体" w:cs="宋体"/>
          <w:b/>
          <w:color w:val="auto"/>
          <w:sz w:val="24"/>
          <w:szCs w:val="24"/>
        </w:rPr>
        <w:t>（二）签订合同</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（1）投标人接到中标通知书后，应按中标通知书规定的时间、地点与采购人签订合同。</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（2）如中标供应商不按中标通知书的规定签订合同，则按中标供应商违约处理，采购代理机构将不予退还中标供应商投标的全部投标保证金并上缴同级财政国库。</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（3）中标供应商因不可抗力或者自身原因不能履行采购合同的，采购人可以与中标供应商之后排名第一的中标候选供应商签订采购合同，以此类推。</w:t>
      </w:r>
    </w:p>
    <w:p>
      <w:pPr>
        <w:pStyle w:val="11"/>
        <w:snapToGrid w:val="0"/>
        <w:spacing w:line="440" w:lineRule="exact"/>
        <w:ind w:firstLine="482" w:firstLineChars="200"/>
        <w:rPr>
          <w:rFonts w:hAnsi="宋体" w:cs="宋体"/>
          <w:b/>
          <w:color w:val="auto"/>
          <w:sz w:val="24"/>
          <w:szCs w:val="24"/>
        </w:rPr>
      </w:pPr>
    </w:p>
    <w:p>
      <w:pPr>
        <w:pStyle w:val="11"/>
        <w:snapToGrid w:val="0"/>
        <w:spacing w:line="440" w:lineRule="exact"/>
        <w:ind w:firstLine="482" w:firstLineChars="200"/>
        <w:rPr>
          <w:rFonts w:hAnsi="宋体" w:cs="宋体"/>
          <w:b/>
          <w:color w:val="auto"/>
          <w:sz w:val="24"/>
          <w:szCs w:val="24"/>
        </w:rPr>
      </w:pPr>
      <w:r>
        <w:rPr>
          <w:rFonts w:hint="eastAsia" w:hAnsi="宋体" w:cs="宋体"/>
          <w:b/>
          <w:color w:val="auto"/>
          <w:sz w:val="24"/>
          <w:szCs w:val="24"/>
        </w:rPr>
        <w:t>九、其他事项</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（1）本项目的采购代理服务费根据国家发展计划委员会（计价格〔2002〕1980号）《招标代理服务收费管理暂行办法》</w:t>
      </w:r>
      <w:r>
        <w:rPr>
          <w:rFonts w:hint="eastAsia" w:hAnsi="宋体" w:cs="宋体"/>
          <w:bCs/>
          <w:color w:val="auto"/>
          <w:sz w:val="24"/>
        </w:rPr>
        <w:t>收费标准向中标供应商收取</w:t>
      </w:r>
      <w:r>
        <w:rPr>
          <w:rFonts w:hint="eastAsia" w:hAnsi="宋体" w:cs="宋体"/>
          <w:color w:val="auto"/>
          <w:sz w:val="24"/>
          <w:szCs w:val="24"/>
        </w:rPr>
        <w:t>。签订合同前，中标人应向采购代理机构一次付清代理服务费。否则，采购代理机构将视之为违约，取消该中标决定并对中标人已提交的全部投标保证金不予退还。</w:t>
      </w:r>
    </w:p>
    <w:p>
      <w:pPr>
        <w:pStyle w:val="11"/>
        <w:snapToGrid w:val="0"/>
        <w:spacing w:line="440" w:lineRule="exact"/>
        <w:ind w:firstLine="480" w:firstLineChars="200"/>
        <w:rPr>
          <w:rFonts w:hAnsi="宋体" w:cs="宋体"/>
          <w:color w:val="auto"/>
          <w:sz w:val="24"/>
          <w:szCs w:val="24"/>
        </w:rPr>
      </w:pPr>
      <w:r>
        <w:rPr>
          <w:rFonts w:hint="eastAsia" w:hAnsi="宋体" w:cs="宋体"/>
          <w:color w:val="auto"/>
          <w:sz w:val="24"/>
          <w:szCs w:val="24"/>
        </w:rPr>
        <w:t>（2）代理服务收费标准：</w:t>
      </w:r>
    </w:p>
    <w:tbl>
      <w:tblPr>
        <w:tblStyle w:val="24"/>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6"/>
        <w:gridCol w:w="2027"/>
        <w:gridCol w:w="2027"/>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06" w:type="dxa"/>
          </w:tcPr>
          <w:p>
            <w:pPr>
              <w:spacing w:line="440" w:lineRule="exact"/>
              <w:jc w:val="right"/>
              <w:rPr>
                <w:rFonts w:ascii="宋体" w:hAnsi="宋体" w:cs="宋体"/>
                <w:b/>
                <w:color w:val="auto"/>
                <w:sz w:val="24"/>
              </w:rPr>
            </w:pPr>
            <w:r>
              <w:rPr>
                <w:rFonts w:ascii="宋体" w:hAnsi="宋体" w:cs="宋体"/>
                <w:b/>
                <w:color w:val="auto"/>
                <w:sz w:val="24"/>
              </w:rPr>
              <w:pict>
                <v:line id="_x0000_s1035" o:spid="_x0000_s1035" o:spt="20" style="position:absolute;left:0pt;flip:x y;margin-left:-4.15pt;margin-top:19.1pt;height:45.85pt;width:120.7pt;z-index:251659264;mso-width-relative:page;mso-height-relative:page;" filled="f" stroked="t" coordsize="21600,21600" o:gfxdata="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w++2PVAAAA&#10;CQEAAA8AAAAAAAAAAQAgAAAAIgAAAGRycy9kb3ducmV2LnhtbFBLAQIUABQAAAAIAIdO4kD4U3mA&#10;5wEAALEDAAAOAAAAAAAAAAEAIAAAACQBAABkcnMvZTJvRG9jLnhtbFBLBQYAAAAABgAGAFkBAAB9&#10;BQAAAAA=&#10;">
                  <v:path arrowok="t"/>
                  <v:fill on="f" focussize="0,0"/>
                  <v:stroke color="#000000"/>
                  <v:imagedata o:title=""/>
                  <o:lock v:ext="edit" aspectratio="f"/>
                </v:line>
              </w:pict>
            </w:r>
            <w:r>
              <w:rPr>
                <w:rFonts w:hint="eastAsia" w:ascii="宋体" w:hAnsi="宋体" w:cs="宋体"/>
                <w:b/>
                <w:color w:val="auto"/>
                <w:sz w:val="24"/>
              </w:rPr>
              <w:t>费率</w:t>
            </w:r>
            <w:r>
              <w:rPr>
                <w:rFonts w:ascii="宋体" w:hAnsi="宋体" w:cs="宋体"/>
                <w:b/>
                <w:color w:val="auto"/>
                <w:sz w:val="24"/>
              </w:rPr>
              <w:pict>
                <v:line id="_x0000_s1026" o:spid="_x0000_s1026" o:spt="20" style="position:absolute;left:0pt;flip:x y;margin-left:43.35pt;margin-top:-0.3pt;height:63.75pt;width:73.2pt;z-index:251660288;mso-width-relative:page;mso-height-relative:page;" coordsize="21600,21600" o:gfxdata="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7Evnp1AAAAAgBAAAP&#10;AAAAAAAAAAEAIAAAACIAAABkcnMvZG93bnJldi54bWxQSwECFAAUAAAACACHTuJARECBS+MBAACw&#10;AwAADgAAAAAAAAABACAAAAAjAQAAZHJzL2Uyb0RvYy54bWxQSwUGAAAAAAYABgBZAQAAeAUAAAAA&#10;">
                  <v:path arrowok="t"/>
                  <v:fill focussize="0,0"/>
                  <v:stroke/>
                  <v:imagedata o:title=""/>
                  <o:lock v:ext="edit"/>
                </v:line>
              </w:pict>
            </w:r>
            <w:r>
              <w:rPr>
                <w:rFonts w:ascii="宋体" w:hAnsi="宋体" w:cs="宋体"/>
                <w:b/>
                <w:color w:val="auto"/>
                <w:sz w:val="24"/>
              </w:rPr>
              <w:pict>
                <v:line id="_x0000_s1034" o:spid="_x0000_s1034" o:spt="20" style="position:absolute;left:0pt;margin-left:-9pt;margin-top:-0.5pt;height:0pt;width:0.05pt;z-index:251658240;mso-width-relative:page;mso-height-relative:page;"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rkdN+1QAAAAkBAAAPAAAAAAAAAAEAIAAAACIA&#10;AABkcnMvZG93bnJldi54bWxQSwECFAAUAAAACACHTuJAKvU1BtMBAACUAwAADgAAAAAAAAABACAA&#10;AAAkAQAAZHJzL2Uyb0RvYy54bWxQSwUGAAAAAAYABgBZAQAAaQUAAAAA&#10;">
                  <v:path arrowok="t"/>
                  <v:fill focussize="0,0"/>
                  <v:stroke/>
                  <v:imagedata o:title=""/>
                  <o:lock v:ext="edit"/>
                </v:line>
              </w:pict>
            </w:r>
            <w:r>
              <w:rPr>
                <w:rFonts w:hint="eastAsia" w:ascii="宋体" w:hAnsi="宋体" w:cs="宋体"/>
                <w:b/>
                <w:color w:val="auto"/>
                <w:sz w:val="24"/>
              </w:rPr>
              <w:t xml:space="preserve">    服务类型</w:t>
            </w:r>
          </w:p>
          <w:p>
            <w:pPr>
              <w:spacing w:line="440" w:lineRule="exact"/>
              <w:jc w:val="center"/>
              <w:rPr>
                <w:rFonts w:ascii="宋体" w:hAnsi="宋体" w:cs="宋体"/>
                <w:b/>
                <w:color w:val="auto"/>
                <w:sz w:val="24"/>
              </w:rPr>
            </w:pPr>
          </w:p>
          <w:p>
            <w:pPr>
              <w:spacing w:line="440" w:lineRule="exact"/>
              <w:rPr>
                <w:rFonts w:ascii="宋体" w:hAnsi="宋体" w:cs="宋体"/>
                <w:b/>
                <w:color w:val="auto"/>
                <w:sz w:val="24"/>
              </w:rPr>
            </w:pPr>
            <w:r>
              <w:rPr>
                <w:rFonts w:hint="eastAsia" w:ascii="宋体" w:hAnsi="宋体" w:cs="宋体"/>
                <w:b/>
                <w:color w:val="auto"/>
                <w:sz w:val="24"/>
              </w:rPr>
              <w:t>中标金额</w:t>
            </w:r>
          </w:p>
        </w:tc>
        <w:tc>
          <w:tcPr>
            <w:tcW w:w="2027" w:type="dxa"/>
            <w:vAlign w:val="center"/>
          </w:tcPr>
          <w:p>
            <w:pPr>
              <w:spacing w:line="440" w:lineRule="exact"/>
              <w:jc w:val="center"/>
              <w:rPr>
                <w:rFonts w:ascii="宋体" w:hAnsi="宋体" w:cs="宋体"/>
                <w:b/>
                <w:color w:val="auto"/>
                <w:sz w:val="24"/>
              </w:rPr>
            </w:pPr>
            <w:r>
              <w:rPr>
                <w:rFonts w:hint="eastAsia" w:ascii="宋体" w:hAnsi="宋体" w:cs="宋体"/>
                <w:b/>
                <w:color w:val="auto"/>
                <w:sz w:val="24"/>
              </w:rPr>
              <w:t>货物招标</w:t>
            </w:r>
          </w:p>
        </w:tc>
        <w:tc>
          <w:tcPr>
            <w:tcW w:w="2027" w:type="dxa"/>
            <w:vAlign w:val="center"/>
          </w:tcPr>
          <w:p>
            <w:pPr>
              <w:spacing w:line="440" w:lineRule="exact"/>
              <w:jc w:val="center"/>
              <w:rPr>
                <w:rFonts w:ascii="宋体" w:hAnsi="宋体" w:cs="宋体"/>
                <w:b/>
                <w:color w:val="auto"/>
                <w:sz w:val="24"/>
              </w:rPr>
            </w:pPr>
            <w:r>
              <w:rPr>
                <w:rFonts w:hint="eastAsia" w:ascii="宋体" w:hAnsi="宋体" w:cs="宋体"/>
                <w:b/>
                <w:color w:val="auto"/>
                <w:sz w:val="24"/>
              </w:rPr>
              <w:t>服务招标</w:t>
            </w:r>
          </w:p>
        </w:tc>
        <w:tc>
          <w:tcPr>
            <w:tcW w:w="2296" w:type="dxa"/>
            <w:vAlign w:val="center"/>
          </w:tcPr>
          <w:p>
            <w:pPr>
              <w:spacing w:line="440" w:lineRule="exact"/>
              <w:jc w:val="center"/>
              <w:rPr>
                <w:rFonts w:ascii="宋体" w:hAnsi="宋体" w:cs="宋体"/>
                <w:b/>
                <w:color w:val="auto"/>
                <w:sz w:val="24"/>
              </w:rPr>
            </w:pPr>
            <w:r>
              <w:rPr>
                <w:rFonts w:hint="eastAsia" w:ascii="宋体" w:hAnsi="宋体" w:cs="宋体"/>
                <w:b/>
                <w:color w:val="auto"/>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506" w:type="dxa"/>
          </w:tcPr>
          <w:p>
            <w:pPr>
              <w:spacing w:line="440" w:lineRule="exact"/>
              <w:jc w:val="center"/>
              <w:rPr>
                <w:rFonts w:ascii="宋体" w:hAnsi="宋体" w:cs="宋体"/>
                <w:color w:val="auto"/>
                <w:sz w:val="24"/>
              </w:rPr>
            </w:pPr>
            <w:r>
              <w:rPr>
                <w:rFonts w:hint="eastAsia" w:ascii="宋体" w:hAnsi="宋体" w:cs="宋体"/>
                <w:color w:val="auto"/>
                <w:sz w:val="24"/>
              </w:rPr>
              <w:t>100万元以下</w:t>
            </w:r>
          </w:p>
        </w:tc>
        <w:tc>
          <w:tcPr>
            <w:tcW w:w="2027" w:type="dxa"/>
          </w:tcPr>
          <w:p>
            <w:pPr>
              <w:spacing w:line="440" w:lineRule="exact"/>
              <w:jc w:val="center"/>
              <w:rPr>
                <w:rFonts w:ascii="宋体" w:hAnsi="宋体" w:cs="宋体"/>
                <w:color w:val="auto"/>
                <w:sz w:val="24"/>
              </w:rPr>
            </w:pPr>
            <w:r>
              <w:rPr>
                <w:rFonts w:hint="eastAsia" w:ascii="宋体" w:hAnsi="宋体" w:cs="宋体"/>
                <w:color w:val="auto"/>
                <w:sz w:val="24"/>
              </w:rPr>
              <w:t>1.5%</w:t>
            </w:r>
          </w:p>
        </w:tc>
        <w:tc>
          <w:tcPr>
            <w:tcW w:w="2027" w:type="dxa"/>
          </w:tcPr>
          <w:p>
            <w:pPr>
              <w:spacing w:line="440" w:lineRule="exact"/>
              <w:jc w:val="center"/>
              <w:rPr>
                <w:rFonts w:ascii="宋体" w:hAnsi="宋体" w:cs="宋体"/>
                <w:color w:val="auto"/>
                <w:sz w:val="24"/>
              </w:rPr>
            </w:pPr>
            <w:r>
              <w:rPr>
                <w:rFonts w:hint="eastAsia" w:ascii="宋体" w:hAnsi="宋体" w:cs="宋体"/>
                <w:color w:val="auto"/>
                <w:sz w:val="24"/>
              </w:rPr>
              <w:t>1.5%</w:t>
            </w:r>
          </w:p>
        </w:tc>
        <w:tc>
          <w:tcPr>
            <w:tcW w:w="2296" w:type="dxa"/>
          </w:tcPr>
          <w:p>
            <w:pPr>
              <w:spacing w:line="440" w:lineRule="exact"/>
              <w:jc w:val="center"/>
              <w:rPr>
                <w:rFonts w:ascii="宋体" w:hAnsi="宋体" w:cs="宋体"/>
                <w:color w:val="auto"/>
                <w:sz w:val="24"/>
              </w:rPr>
            </w:pPr>
            <w:r>
              <w:rPr>
                <w:rFonts w:hint="eastAsia" w:ascii="宋体" w:hAnsi="宋体" w:cs="宋体"/>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506" w:type="dxa"/>
          </w:tcPr>
          <w:p>
            <w:pPr>
              <w:spacing w:line="440" w:lineRule="exact"/>
              <w:jc w:val="center"/>
              <w:rPr>
                <w:rFonts w:ascii="宋体" w:hAnsi="宋体" w:cs="宋体"/>
                <w:color w:val="auto"/>
                <w:sz w:val="24"/>
              </w:rPr>
            </w:pPr>
            <w:r>
              <w:rPr>
                <w:rFonts w:hint="eastAsia" w:ascii="宋体" w:hAnsi="宋体" w:cs="宋体"/>
                <w:color w:val="auto"/>
                <w:sz w:val="24"/>
              </w:rPr>
              <w:t>100-500万元</w:t>
            </w:r>
          </w:p>
        </w:tc>
        <w:tc>
          <w:tcPr>
            <w:tcW w:w="2027" w:type="dxa"/>
          </w:tcPr>
          <w:p>
            <w:pPr>
              <w:spacing w:line="440" w:lineRule="exact"/>
              <w:jc w:val="center"/>
              <w:rPr>
                <w:rFonts w:ascii="宋体" w:hAnsi="宋体" w:cs="宋体"/>
                <w:color w:val="auto"/>
                <w:sz w:val="24"/>
              </w:rPr>
            </w:pPr>
            <w:r>
              <w:rPr>
                <w:rFonts w:hint="eastAsia" w:ascii="宋体" w:hAnsi="宋体" w:cs="宋体"/>
                <w:color w:val="auto"/>
                <w:sz w:val="24"/>
              </w:rPr>
              <w:t>1.1%</w:t>
            </w:r>
          </w:p>
        </w:tc>
        <w:tc>
          <w:tcPr>
            <w:tcW w:w="2027" w:type="dxa"/>
          </w:tcPr>
          <w:p>
            <w:pPr>
              <w:spacing w:line="440" w:lineRule="exact"/>
              <w:jc w:val="center"/>
              <w:rPr>
                <w:rFonts w:ascii="宋体" w:hAnsi="宋体" w:cs="宋体"/>
                <w:color w:val="auto"/>
                <w:sz w:val="24"/>
              </w:rPr>
            </w:pPr>
            <w:r>
              <w:rPr>
                <w:rFonts w:hint="eastAsia" w:ascii="宋体" w:hAnsi="宋体" w:cs="宋体"/>
                <w:color w:val="auto"/>
                <w:sz w:val="24"/>
              </w:rPr>
              <w:t>0.8%</w:t>
            </w:r>
          </w:p>
        </w:tc>
        <w:tc>
          <w:tcPr>
            <w:tcW w:w="2296" w:type="dxa"/>
          </w:tcPr>
          <w:p>
            <w:pPr>
              <w:spacing w:line="440" w:lineRule="exact"/>
              <w:jc w:val="center"/>
              <w:rPr>
                <w:rFonts w:ascii="宋体" w:hAnsi="宋体" w:cs="宋体"/>
                <w:color w:val="auto"/>
                <w:sz w:val="24"/>
              </w:rPr>
            </w:pPr>
            <w:r>
              <w:rPr>
                <w:rFonts w:hint="eastAsia" w:ascii="宋体" w:hAnsi="宋体" w:cs="宋体"/>
                <w:color w:val="auto"/>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506" w:type="dxa"/>
          </w:tcPr>
          <w:p>
            <w:pPr>
              <w:spacing w:line="440" w:lineRule="exact"/>
              <w:jc w:val="center"/>
              <w:rPr>
                <w:rFonts w:ascii="宋体" w:hAnsi="宋体" w:cs="宋体"/>
                <w:color w:val="auto"/>
                <w:sz w:val="24"/>
              </w:rPr>
            </w:pPr>
            <w:r>
              <w:rPr>
                <w:rFonts w:hint="eastAsia" w:ascii="宋体" w:hAnsi="宋体" w:cs="宋体"/>
                <w:color w:val="auto"/>
                <w:sz w:val="24"/>
              </w:rPr>
              <w:t>500-1000万元</w:t>
            </w:r>
          </w:p>
        </w:tc>
        <w:tc>
          <w:tcPr>
            <w:tcW w:w="2027" w:type="dxa"/>
          </w:tcPr>
          <w:p>
            <w:pPr>
              <w:spacing w:line="440" w:lineRule="exact"/>
              <w:jc w:val="center"/>
              <w:rPr>
                <w:rFonts w:ascii="宋体" w:hAnsi="宋体" w:cs="宋体"/>
                <w:color w:val="auto"/>
                <w:sz w:val="24"/>
              </w:rPr>
            </w:pPr>
            <w:r>
              <w:rPr>
                <w:rFonts w:hint="eastAsia" w:ascii="宋体" w:hAnsi="宋体" w:cs="宋体"/>
                <w:color w:val="auto"/>
                <w:sz w:val="24"/>
              </w:rPr>
              <w:t>0.8%</w:t>
            </w:r>
          </w:p>
        </w:tc>
        <w:tc>
          <w:tcPr>
            <w:tcW w:w="2027" w:type="dxa"/>
          </w:tcPr>
          <w:p>
            <w:pPr>
              <w:spacing w:line="440" w:lineRule="exact"/>
              <w:jc w:val="center"/>
              <w:rPr>
                <w:rFonts w:ascii="宋体" w:hAnsi="宋体" w:cs="宋体"/>
                <w:color w:val="auto"/>
                <w:sz w:val="24"/>
              </w:rPr>
            </w:pPr>
            <w:r>
              <w:rPr>
                <w:rFonts w:hint="eastAsia" w:ascii="宋体" w:hAnsi="宋体" w:cs="宋体"/>
                <w:color w:val="auto"/>
                <w:sz w:val="24"/>
              </w:rPr>
              <w:t>0.45%</w:t>
            </w:r>
          </w:p>
        </w:tc>
        <w:tc>
          <w:tcPr>
            <w:tcW w:w="2296" w:type="dxa"/>
          </w:tcPr>
          <w:p>
            <w:pPr>
              <w:spacing w:line="440" w:lineRule="exact"/>
              <w:jc w:val="center"/>
              <w:rPr>
                <w:rFonts w:ascii="宋体" w:hAnsi="宋体" w:cs="宋体"/>
                <w:color w:val="auto"/>
                <w:sz w:val="24"/>
              </w:rPr>
            </w:pPr>
            <w:r>
              <w:rPr>
                <w:rFonts w:hint="eastAsia" w:ascii="宋体" w:hAnsi="宋体" w:cs="宋体"/>
                <w:color w:val="auto"/>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506" w:type="dxa"/>
          </w:tcPr>
          <w:p>
            <w:pPr>
              <w:spacing w:line="440" w:lineRule="exact"/>
              <w:jc w:val="center"/>
              <w:rPr>
                <w:rFonts w:ascii="宋体" w:hAnsi="宋体" w:cs="宋体"/>
                <w:color w:val="auto"/>
                <w:sz w:val="24"/>
              </w:rPr>
            </w:pPr>
            <w:r>
              <w:rPr>
                <w:rFonts w:hint="eastAsia" w:ascii="宋体" w:hAnsi="宋体" w:cs="宋体"/>
                <w:color w:val="auto"/>
                <w:sz w:val="24"/>
              </w:rPr>
              <w:t>1000-5000万元</w:t>
            </w:r>
          </w:p>
        </w:tc>
        <w:tc>
          <w:tcPr>
            <w:tcW w:w="2027" w:type="dxa"/>
          </w:tcPr>
          <w:p>
            <w:pPr>
              <w:spacing w:line="440" w:lineRule="exact"/>
              <w:jc w:val="center"/>
              <w:rPr>
                <w:rFonts w:ascii="宋体" w:hAnsi="宋体" w:cs="宋体"/>
                <w:color w:val="auto"/>
                <w:sz w:val="24"/>
              </w:rPr>
            </w:pPr>
            <w:r>
              <w:rPr>
                <w:rFonts w:hint="eastAsia" w:ascii="宋体" w:hAnsi="宋体" w:cs="宋体"/>
                <w:color w:val="auto"/>
                <w:sz w:val="24"/>
              </w:rPr>
              <w:t>0.5%</w:t>
            </w:r>
          </w:p>
        </w:tc>
        <w:tc>
          <w:tcPr>
            <w:tcW w:w="2027" w:type="dxa"/>
          </w:tcPr>
          <w:p>
            <w:pPr>
              <w:spacing w:line="440" w:lineRule="exact"/>
              <w:jc w:val="center"/>
              <w:rPr>
                <w:rFonts w:ascii="宋体" w:hAnsi="宋体" w:cs="宋体"/>
                <w:color w:val="auto"/>
                <w:sz w:val="24"/>
              </w:rPr>
            </w:pPr>
            <w:r>
              <w:rPr>
                <w:rFonts w:hint="eastAsia" w:ascii="宋体" w:hAnsi="宋体" w:cs="宋体"/>
                <w:color w:val="auto"/>
                <w:sz w:val="24"/>
              </w:rPr>
              <w:t>0.25%</w:t>
            </w:r>
          </w:p>
        </w:tc>
        <w:tc>
          <w:tcPr>
            <w:tcW w:w="2296" w:type="dxa"/>
          </w:tcPr>
          <w:p>
            <w:pPr>
              <w:spacing w:line="440" w:lineRule="exact"/>
              <w:jc w:val="center"/>
              <w:rPr>
                <w:rFonts w:ascii="宋体" w:hAnsi="宋体" w:cs="宋体"/>
                <w:color w:val="auto"/>
                <w:sz w:val="24"/>
              </w:rPr>
            </w:pPr>
            <w:r>
              <w:rPr>
                <w:rFonts w:hint="eastAsia" w:ascii="宋体" w:hAnsi="宋体" w:cs="宋体"/>
                <w:color w:val="auto"/>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506" w:type="dxa"/>
          </w:tcPr>
          <w:p>
            <w:pPr>
              <w:spacing w:line="440" w:lineRule="exact"/>
              <w:jc w:val="center"/>
              <w:rPr>
                <w:rFonts w:ascii="宋体" w:hAnsi="宋体" w:cs="宋体"/>
                <w:color w:val="auto"/>
                <w:sz w:val="24"/>
              </w:rPr>
            </w:pPr>
            <w:r>
              <w:rPr>
                <w:rFonts w:hint="eastAsia" w:ascii="宋体" w:hAnsi="宋体" w:cs="宋体"/>
                <w:color w:val="auto"/>
                <w:sz w:val="24"/>
              </w:rPr>
              <w:t>5000万元-1亿</w:t>
            </w:r>
          </w:p>
        </w:tc>
        <w:tc>
          <w:tcPr>
            <w:tcW w:w="2027" w:type="dxa"/>
          </w:tcPr>
          <w:p>
            <w:pPr>
              <w:spacing w:line="440" w:lineRule="exact"/>
              <w:jc w:val="center"/>
              <w:rPr>
                <w:rFonts w:ascii="宋体" w:hAnsi="宋体" w:cs="宋体"/>
                <w:color w:val="auto"/>
                <w:sz w:val="24"/>
              </w:rPr>
            </w:pPr>
            <w:r>
              <w:rPr>
                <w:rFonts w:hint="eastAsia" w:ascii="宋体" w:hAnsi="宋体" w:cs="宋体"/>
                <w:color w:val="auto"/>
                <w:sz w:val="24"/>
              </w:rPr>
              <w:t>0.25%</w:t>
            </w:r>
          </w:p>
        </w:tc>
        <w:tc>
          <w:tcPr>
            <w:tcW w:w="2027" w:type="dxa"/>
          </w:tcPr>
          <w:p>
            <w:pPr>
              <w:spacing w:line="440" w:lineRule="exact"/>
              <w:jc w:val="center"/>
              <w:rPr>
                <w:rFonts w:ascii="宋体" w:hAnsi="宋体" w:cs="宋体"/>
                <w:color w:val="auto"/>
                <w:sz w:val="24"/>
              </w:rPr>
            </w:pPr>
            <w:r>
              <w:rPr>
                <w:rFonts w:hint="eastAsia" w:ascii="宋体" w:hAnsi="宋体" w:cs="宋体"/>
                <w:color w:val="auto"/>
                <w:sz w:val="24"/>
              </w:rPr>
              <w:t>0.1%</w:t>
            </w:r>
          </w:p>
        </w:tc>
        <w:tc>
          <w:tcPr>
            <w:tcW w:w="2296" w:type="dxa"/>
          </w:tcPr>
          <w:p>
            <w:pPr>
              <w:spacing w:line="440" w:lineRule="exact"/>
              <w:jc w:val="center"/>
              <w:rPr>
                <w:rFonts w:ascii="宋体" w:hAnsi="宋体" w:cs="宋体"/>
                <w:color w:val="auto"/>
                <w:sz w:val="24"/>
              </w:rPr>
            </w:pPr>
            <w:r>
              <w:rPr>
                <w:rFonts w:hint="eastAsia" w:ascii="宋体" w:hAnsi="宋体" w:cs="宋体"/>
                <w:color w:val="auto"/>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506" w:type="dxa"/>
          </w:tcPr>
          <w:p>
            <w:pPr>
              <w:spacing w:line="440" w:lineRule="exact"/>
              <w:jc w:val="center"/>
              <w:rPr>
                <w:rFonts w:ascii="宋体" w:hAnsi="宋体" w:cs="宋体"/>
                <w:color w:val="auto"/>
                <w:sz w:val="24"/>
              </w:rPr>
            </w:pPr>
            <w:r>
              <w:rPr>
                <w:rFonts w:hint="eastAsia" w:ascii="宋体" w:hAnsi="宋体" w:cs="宋体"/>
                <w:color w:val="auto"/>
                <w:sz w:val="24"/>
              </w:rPr>
              <w:t>1亿-5亿</w:t>
            </w:r>
          </w:p>
        </w:tc>
        <w:tc>
          <w:tcPr>
            <w:tcW w:w="2027" w:type="dxa"/>
          </w:tcPr>
          <w:p>
            <w:pPr>
              <w:spacing w:line="440" w:lineRule="exact"/>
              <w:jc w:val="center"/>
              <w:rPr>
                <w:rFonts w:ascii="宋体" w:hAnsi="宋体" w:cs="宋体"/>
                <w:color w:val="auto"/>
                <w:sz w:val="24"/>
              </w:rPr>
            </w:pPr>
            <w:r>
              <w:rPr>
                <w:rFonts w:hint="eastAsia" w:ascii="宋体" w:hAnsi="宋体" w:cs="宋体"/>
                <w:color w:val="auto"/>
                <w:sz w:val="24"/>
              </w:rPr>
              <w:t>0.05%</w:t>
            </w:r>
          </w:p>
        </w:tc>
        <w:tc>
          <w:tcPr>
            <w:tcW w:w="2027" w:type="dxa"/>
          </w:tcPr>
          <w:p>
            <w:pPr>
              <w:spacing w:line="440" w:lineRule="exact"/>
              <w:jc w:val="center"/>
              <w:rPr>
                <w:rFonts w:ascii="宋体" w:hAnsi="宋体" w:cs="宋体"/>
                <w:color w:val="auto"/>
                <w:sz w:val="24"/>
              </w:rPr>
            </w:pPr>
            <w:r>
              <w:rPr>
                <w:rFonts w:hint="eastAsia" w:ascii="宋体" w:hAnsi="宋体" w:cs="宋体"/>
                <w:color w:val="auto"/>
                <w:sz w:val="24"/>
              </w:rPr>
              <w:t>0.05%</w:t>
            </w:r>
          </w:p>
        </w:tc>
        <w:tc>
          <w:tcPr>
            <w:tcW w:w="2296" w:type="dxa"/>
          </w:tcPr>
          <w:p>
            <w:pPr>
              <w:spacing w:line="440" w:lineRule="exact"/>
              <w:jc w:val="center"/>
              <w:rPr>
                <w:rFonts w:ascii="宋体" w:hAnsi="宋体" w:cs="宋体"/>
                <w:color w:val="auto"/>
                <w:sz w:val="24"/>
              </w:rPr>
            </w:pPr>
            <w:r>
              <w:rPr>
                <w:rFonts w:hint="eastAsia" w:ascii="宋体" w:hAnsi="宋体" w:cs="宋体"/>
                <w:color w:val="auto"/>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506" w:type="dxa"/>
          </w:tcPr>
          <w:p>
            <w:pPr>
              <w:spacing w:line="440" w:lineRule="exact"/>
              <w:jc w:val="center"/>
              <w:rPr>
                <w:rFonts w:ascii="宋体" w:hAnsi="宋体" w:cs="宋体"/>
                <w:color w:val="auto"/>
                <w:sz w:val="24"/>
              </w:rPr>
            </w:pPr>
            <w:r>
              <w:rPr>
                <w:rFonts w:hint="eastAsia" w:ascii="宋体" w:hAnsi="宋体" w:cs="宋体"/>
                <w:color w:val="auto"/>
                <w:sz w:val="24"/>
              </w:rPr>
              <w:t>5亿-10亿</w:t>
            </w:r>
          </w:p>
        </w:tc>
        <w:tc>
          <w:tcPr>
            <w:tcW w:w="2027" w:type="dxa"/>
          </w:tcPr>
          <w:p>
            <w:pPr>
              <w:spacing w:line="440" w:lineRule="exact"/>
              <w:jc w:val="center"/>
              <w:rPr>
                <w:rFonts w:ascii="宋体" w:hAnsi="宋体" w:cs="宋体"/>
                <w:color w:val="auto"/>
                <w:sz w:val="24"/>
              </w:rPr>
            </w:pPr>
            <w:r>
              <w:rPr>
                <w:rFonts w:hint="eastAsia" w:ascii="宋体" w:hAnsi="宋体" w:cs="宋体"/>
                <w:color w:val="auto"/>
                <w:sz w:val="24"/>
              </w:rPr>
              <w:t>0.035%</w:t>
            </w:r>
          </w:p>
        </w:tc>
        <w:tc>
          <w:tcPr>
            <w:tcW w:w="2027" w:type="dxa"/>
          </w:tcPr>
          <w:p>
            <w:pPr>
              <w:spacing w:line="440" w:lineRule="exact"/>
              <w:jc w:val="center"/>
              <w:rPr>
                <w:rFonts w:ascii="宋体" w:hAnsi="宋体" w:cs="宋体"/>
                <w:color w:val="auto"/>
                <w:sz w:val="24"/>
              </w:rPr>
            </w:pPr>
            <w:r>
              <w:rPr>
                <w:rFonts w:hint="eastAsia" w:ascii="宋体" w:hAnsi="宋体" w:cs="宋体"/>
                <w:color w:val="auto"/>
                <w:sz w:val="24"/>
              </w:rPr>
              <w:t>0.035%</w:t>
            </w:r>
          </w:p>
        </w:tc>
        <w:tc>
          <w:tcPr>
            <w:tcW w:w="2296" w:type="dxa"/>
          </w:tcPr>
          <w:p>
            <w:pPr>
              <w:spacing w:line="440" w:lineRule="exact"/>
              <w:jc w:val="center"/>
              <w:rPr>
                <w:rFonts w:ascii="宋体" w:hAnsi="宋体" w:cs="宋体"/>
                <w:color w:val="auto"/>
                <w:sz w:val="24"/>
              </w:rPr>
            </w:pPr>
            <w:r>
              <w:rPr>
                <w:rFonts w:hint="eastAsia" w:ascii="宋体" w:hAnsi="宋体" w:cs="宋体"/>
                <w:color w:val="auto"/>
                <w:sz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506" w:type="dxa"/>
          </w:tcPr>
          <w:p>
            <w:pPr>
              <w:spacing w:line="440" w:lineRule="exact"/>
              <w:jc w:val="center"/>
              <w:rPr>
                <w:rFonts w:ascii="宋体" w:hAnsi="宋体" w:cs="宋体"/>
                <w:color w:val="auto"/>
                <w:sz w:val="24"/>
              </w:rPr>
            </w:pPr>
            <w:r>
              <w:rPr>
                <w:rFonts w:hint="eastAsia" w:ascii="宋体" w:hAnsi="宋体" w:cs="宋体"/>
                <w:color w:val="auto"/>
                <w:sz w:val="24"/>
              </w:rPr>
              <w:t>10亿-50亿</w:t>
            </w:r>
          </w:p>
        </w:tc>
        <w:tc>
          <w:tcPr>
            <w:tcW w:w="2027" w:type="dxa"/>
          </w:tcPr>
          <w:p>
            <w:pPr>
              <w:spacing w:line="440" w:lineRule="exact"/>
              <w:jc w:val="center"/>
              <w:rPr>
                <w:rFonts w:ascii="宋体" w:hAnsi="宋体" w:cs="宋体"/>
                <w:color w:val="auto"/>
                <w:sz w:val="24"/>
              </w:rPr>
            </w:pPr>
            <w:r>
              <w:rPr>
                <w:rFonts w:hint="eastAsia" w:ascii="宋体" w:hAnsi="宋体" w:cs="宋体"/>
                <w:color w:val="auto"/>
                <w:sz w:val="24"/>
              </w:rPr>
              <w:t>0.008%</w:t>
            </w:r>
          </w:p>
        </w:tc>
        <w:tc>
          <w:tcPr>
            <w:tcW w:w="2027" w:type="dxa"/>
          </w:tcPr>
          <w:p>
            <w:pPr>
              <w:spacing w:line="440" w:lineRule="exact"/>
              <w:jc w:val="center"/>
              <w:rPr>
                <w:rFonts w:ascii="宋体" w:hAnsi="宋体" w:cs="宋体"/>
                <w:color w:val="auto"/>
                <w:sz w:val="24"/>
              </w:rPr>
            </w:pPr>
            <w:r>
              <w:rPr>
                <w:rFonts w:hint="eastAsia" w:ascii="宋体" w:hAnsi="宋体" w:cs="宋体"/>
                <w:color w:val="auto"/>
                <w:sz w:val="24"/>
              </w:rPr>
              <w:t>0.008%</w:t>
            </w:r>
          </w:p>
        </w:tc>
        <w:tc>
          <w:tcPr>
            <w:tcW w:w="2296" w:type="dxa"/>
          </w:tcPr>
          <w:p>
            <w:pPr>
              <w:spacing w:line="440" w:lineRule="exact"/>
              <w:jc w:val="center"/>
              <w:rPr>
                <w:rFonts w:ascii="宋体" w:hAnsi="宋体" w:cs="宋体"/>
                <w:color w:val="auto"/>
                <w:sz w:val="24"/>
              </w:rPr>
            </w:pPr>
            <w:r>
              <w:rPr>
                <w:rFonts w:hint="eastAsia" w:ascii="宋体" w:hAnsi="宋体" w:cs="宋体"/>
                <w:color w:val="auto"/>
                <w:sz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506" w:type="dxa"/>
          </w:tcPr>
          <w:p>
            <w:pPr>
              <w:spacing w:line="440" w:lineRule="exact"/>
              <w:jc w:val="center"/>
              <w:rPr>
                <w:rFonts w:ascii="宋体" w:hAnsi="宋体" w:cs="宋体"/>
                <w:color w:val="auto"/>
                <w:sz w:val="24"/>
              </w:rPr>
            </w:pPr>
            <w:r>
              <w:rPr>
                <w:rFonts w:hint="eastAsia" w:ascii="宋体" w:hAnsi="宋体" w:cs="宋体"/>
                <w:color w:val="auto"/>
                <w:sz w:val="24"/>
              </w:rPr>
              <w:t>50亿-100亿</w:t>
            </w:r>
          </w:p>
        </w:tc>
        <w:tc>
          <w:tcPr>
            <w:tcW w:w="2027" w:type="dxa"/>
          </w:tcPr>
          <w:p>
            <w:pPr>
              <w:spacing w:line="440" w:lineRule="exact"/>
              <w:jc w:val="center"/>
              <w:rPr>
                <w:rFonts w:ascii="宋体" w:hAnsi="宋体" w:cs="宋体"/>
                <w:color w:val="auto"/>
                <w:sz w:val="24"/>
              </w:rPr>
            </w:pPr>
            <w:r>
              <w:rPr>
                <w:rFonts w:hint="eastAsia" w:ascii="宋体" w:hAnsi="宋体" w:cs="宋体"/>
                <w:color w:val="auto"/>
                <w:sz w:val="24"/>
              </w:rPr>
              <w:t>0.006%</w:t>
            </w:r>
          </w:p>
        </w:tc>
        <w:tc>
          <w:tcPr>
            <w:tcW w:w="2027" w:type="dxa"/>
          </w:tcPr>
          <w:p>
            <w:pPr>
              <w:spacing w:line="440" w:lineRule="exact"/>
              <w:jc w:val="center"/>
              <w:rPr>
                <w:rFonts w:ascii="宋体" w:hAnsi="宋体" w:cs="宋体"/>
                <w:color w:val="auto"/>
                <w:sz w:val="24"/>
              </w:rPr>
            </w:pPr>
            <w:r>
              <w:rPr>
                <w:rFonts w:hint="eastAsia" w:ascii="宋体" w:hAnsi="宋体" w:cs="宋体"/>
                <w:color w:val="auto"/>
                <w:sz w:val="24"/>
              </w:rPr>
              <w:t>0.006%</w:t>
            </w:r>
          </w:p>
        </w:tc>
        <w:tc>
          <w:tcPr>
            <w:tcW w:w="2296" w:type="dxa"/>
          </w:tcPr>
          <w:p>
            <w:pPr>
              <w:spacing w:line="440" w:lineRule="exact"/>
              <w:jc w:val="center"/>
              <w:rPr>
                <w:rFonts w:ascii="宋体" w:hAnsi="宋体" w:cs="宋体"/>
                <w:color w:val="auto"/>
                <w:sz w:val="24"/>
              </w:rPr>
            </w:pPr>
            <w:r>
              <w:rPr>
                <w:rFonts w:hint="eastAsia" w:ascii="宋体" w:hAnsi="宋体" w:cs="宋体"/>
                <w:color w:val="auto"/>
                <w:sz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2506" w:type="dxa"/>
          </w:tcPr>
          <w:p>
            <w:pPr>
              <w:spacing w:line="440" w:lineRule="exact"/>
              <w:jc w:val="center"/>
              <w:rPr>
                <w:rFonts w:ascii="宋体" w:hAnsi="宋体" w:cs="宋体"/>
                <w:color w:val="auto"/>
                <w:sz w:val="24"/>
              </w:rPr>
            </w:pPr>
            <w:r>
              <w:rPr>
                <w:rFonts w:hint="eastAsia" w:ascii="宋体" w:hAnsi="宋体" w:cs="宋体"/>
                <w:color w:val="auto"/>
                <w:sz w:val="24"/>
              </w:rPr>
              <w:t xml:space="preserve">100亿以上 </w:t>
            </w:r>
          </w:p>
        </w:tc>
        <w:tc>
          <w:tcPr>
            <w:tcW w:w="2027" w:type="dxa"/>
          </w:tcPr>
          <w:p>
            <w:pPr>
              <w:spacing w:line="440" w:lineRule="exact"/>
              <w:jc w:val="center"/>
              <w:rPr>
                <w:rFonts w:ascii="宋体" w:hAnsi="宋体" w:cs="宋体"/>
                <w:color w:val="auto"/>
                <w:sz w:val="24"/>
              </w:rPr>
            </w:pPr>
            <w:r>
              <w:rPr>
                <w:rFonts w:hint="eastAsia" w:ascii="宋体" w:hAnsi="宋体" w:cs="宋体"/>
                <w:color w:val="auto"/>
                <w:sz w:val="24"/>
              </w:rPr>
              <w:t>0.004%</w:t>
            </w:r>
          </w:p>
        </w:tc>
        <w:tc>
          <w:tcPr>
            <w:tcW w:w="2027" w:type="dxa"/>
          </w:tcPr>
          <w:p>
            <w:pPr>
              <w:spacing w:line="440" w:lineRule="exact"/>
              <w:jc w:val="center"/>
              <w:rPr>
                <w:rFonts w:ascii="宋体" w:hAnsi="宋体" w:cs="宋体"/>
                <w:color w:val="auto"/>
                <w:sz w:val="24"/>
              </w:rPr>
            </w:pPr>
            <w:r>
              <w:rPr>
                <w:rFonts w:hint="eastAsia" w:ascii="宋体" w:hAnsi="宋体" w:cs="宋体"/>
                <w:color w:val="auto"/>
                <w:sz w:val="24"/>
              </w:rPr>
              <w:t>0.004%</w:t>
            </w:r>
          </w:p>
        </w:tc>
        <w:tc>
          <w:tcPr>
            <w:tcW w:w="2296" w:type="dxa"/>
          </w:tcPr>
          <w:p>
            <w:pPr>
              <w:spacing w:line="440" w:lineRule="exact"/>
              <w:jc w:val="center"/>
              <w:rPr>
                <w:rFonts w:ascii="宋体" w:hAnsi="宋体" w:cs="宋体"/>
                <w:color w:val="auto"/>
                <w:sz w:val="24"/>
              </w:rPr>
            </w:pPr>
            <w:r>
              <w:rPr>
                <w:rFonts w:hint="eastAsia" w:ascii="宋体" w:hAnsi="宋体" w:cs="宋体"/>
                <w:color w:val="auto"/>
                <w:sz w:val="24"/>
              </w:rPr>
              <w:t>0.004%</w:t>
            </w:r>
          </w:p>
        </w:tc>
      </w:tr>
    </w:tbl>
    <w:p>
      <w:pPr>
        <w:spacing w:line="440" w:lineRule="exact"/>
        <w:jc w:val="left"/>
        <w:rPr>
          <w:rFonts w:ascii="宋体" w:hAnsi="宋体" w:cs="宋体"/>
          <w:color w:val="auto"/>
          <w:sz w:val="24"/>
        </w:rPr>
      </w:pPr>
      <w:r>
        <w:rPr>
          <w:rFonts w:hint="eastAsia" w:ascii="宋体" w:hAnsi="宋体" w:cs="宋体"/>
          <w:color w:val="auto"/>
          <w:sz w:val="24"/>
        </w:rPr>
        <w:t>注:招标代理服务收费按差额定率累进法计算。</w:t>
      </w: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jc w:val="left"/>
        <w:rPr>
          <w:rFonts w:ascii="宋体" w:hAnsi="宋体" w:cs="宋体"/>
          <w:color w:val="auto"/>
        </w:rPr>
      </w:pPr>
      <w:r>
        <w:rPr>
          <w:rFonts w:hint="eastAsia" w:ascii="宋体" w:hAnsi="宋体" w:cs="宋体"/>
          <w:color w:val="auto"/>
          <w:sz w:val="24"/>
        </w:rPr>
        <w:br w:type="page"/>
      </w:r>
      <w:r>
        <w:rPr>
          <w:rFonts w:hint="eastAsia" w:ascii="宋体" w:hAnsi="宋体" w:cs="宋体"/>
          <w:color w:val="auto"/>
        </w:rPr>
        <w:t>附件1：</w:t>
      </w:r>
    </w:p>
    <w:p>
      <w:pPr>
        <w:widowControl/>
        <w:shd w:val="clear" w:color="auto" w:fill="FFFFFF"/>
        <w:spacing w:line="480" w:lineRule="atLeast"/>
        <w:jc w:val="center"/>
        <w:rPr>
          <w:rFonts w:ascii="宋体" w:hAnsi="宋体" w:cs="宋体"/>
          <w:color w:val="auto"/>
          <w:kern w:val="0"/>
          <w:sz w:val="32"/>
          <w:szCs w:val="32"/>
        </w:rPr>
      </w:pPr>
      <w:r>
        <w:rPr>
          <w:rFonts w:hint="eastAsia" w:ascii="宋体" w:hAnsi="宋体" w:cs="宋体"/>
          <w:color w:val="auto"/>
          <w:kern w:val="0"/>
          <w:sz w:val="32"/>
          <w:szCs w:val="32"/>
        </w:rPr>
        <w:t>广西壮族自治区政府采购项目合同验收书（格式）</w:t>
      </w:r>
    </w:p>
    <w:p>
      <w:pPr>
        <w:widowControl/>
        <w:shd w:val="clear" w:color="auto" w:fill="FFFFFF"/>
        <w:snapToGrid w:val="0"/>
        <w:spacing w:line="320" w:lineRule="atLeast"/>
        <w:ind w:firstLine="480"/>
        <w:jc w:val="left"/>
        <w:rPr>
          <w:rFonts w:ascii="宋体" w:hAnsi="宋体" w:cs="宋体"/>
          <w:color w:val="auto"/>
          <w:kern w:val="0"/>
          <w:szCs w:val="21"/>
        </w:rPr>
      </w:pPr>
      <w:r>
        <w:rPr>
          <w:rFonts w:hint="eastAsia" w:ascii="宋体" w:hAnsi="宋体" w:cs="宋体"/>
          <w:color w:val="auto"/>
          <w:kern w:val="0"/>
          <w:szCs w:val="21"/>
        </w:rPr>
        <w:t>根据政府采购项目（</w:t>
      </w:r>
      <w:r>
        <w:rPr>
          <w:rFonts w:hint="eastAsia" w:ascii="宋体" w:hAnsi="宋体" w:cs="宋体"/>
          <w:color w:val="auto"/>
          <w:kern w:val="0"/>
          <w:szCs w:val="21"/>
          <w:u w:val="single"/>
        </w:rPr>
        <w:t>采购合同编号：</w:t>
      </w:r>
      <w:r>
        <w:rPr>
          <w:rFonts w:hint="eastAsia" w:ascii="宋体" w:hAnsi="宋体" w:cs="宋体"/>
          <w:color w:val="auto"/>
          <w:kern w:val="0"/>
          <w:szCs w:val="21"/>
          <w:u w:val="single"/>
        </w:rPr>
        <w:softHyphen/>
      </w:r>
      <w:r>
        <w:rPr>
          <w:rFonts w:hint="eastAsia" w:ascii="宋体" w:hAnsi="宋体" w:cs="宋体"/>
          <w:color w:val="auto"/>
          <w:kern w:val="0"/>
          <w:szCs w:val="21"/>
          <w:u w:val="single"/>
        </w:rPr>
        <w:t xml:space="preserve"> </w:t>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 项目名称 </w:t>
      </w:r>
      <w:r>
        <w:rPr>
          <w:rFonts w:hint="eastAsia" w:ascii="宋体" w:hAnsi="宋体" w:cs="宋体"/>
          <w:color w:val="auto"/>
          <w:kern w:val="0"/>
          <w:szCs w:val="21"/>
        </w:rPr>
        <w:t>） 政府采购项目中标（或成交）供应商（</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 提供的货物（或工程、服务）进行了验收，验收情况如下：</w:t>
      </w:r>
    </w:p>
    <w:tbl>
      <w:tblPr>
        <w:tblStyle w:val="24"/>
        <w:tblW w:w="9088" w:type="dxa"/>
        <w:jc w:val="center"/>
        <w:tblLayout w:type="fixed"/>
        <w:tblCellMar>
          <w:top w:w="0" w:type="dxa"/>
          <w:left w:w="0" w:type="dxa"/>
          <w:bottom w:w="0" w:type="dxa"/>
          <w:right w:w="0" w:type="dxa"/>
        </w:tblCellMar>
      </w:tblPr>
      <w:tblGrid>
        <w:gridCol w:w="1331"/>
        <w:gridCol w:w="1921"/>
        <w:gridCol w:w="798"/>
        <w:gridCol w:w="102"/>
        <w:gridCol w:w="2002"/>
        <w:gridCol w:w="178"/>
        <w:gridCol w:w="1328"/>
        <w:gridCol w:w="1428"/>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Cs w:val="21"/>
              </w:rPr>
            </w:pPr>
            <w:r>
              <w:rPr>
                <w:rFonts w:hint="eastAsia" w:ascii="宋体" w:hAnsi="宋体" w:cs="宋体"/>
                <w:color w:val="auto"/>
                <w:kern w:val="0"/>
                <w:szCs w:val="21"/>
              </w:rPr>
              <w:t>验收方式：</w:t>
            </w:r>
          </w:p>
        </w:tc>
        <w:tc>
          <w:tcPr>
            <w:tcW w:w="5836"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宋体" w:hAnsi="宋体" w:cs="宋体"/>
                <w:color w:val="auto"/>
                <w:kern w:val="0"/>
                <w:szCs w:val="21"/>
              </w:rPr>
            </w:pPr>
            <w:r>
              <w:rPr>
                <w:rFonts w:hint="eastAsia" w:ascii="宋体" w:hAnsi="宋体" w:cs="宋体"/>
                <w:color w:val="auto"/>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序号</w:t>
            </w:r>
          </w:p>
        </w:tc>
        <w:tc>
          <w:tcPr>
            <w:tcW w:w="192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名 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货物型号规格、标准及配置等（或服务内容、标准）</w:t>
            </w:r>
          </w:p>
        </w:tc>
        <w:tc>
          <w:tcPr>
            <w:tcW w:w="15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rPr>
            </w:pPr>
            <w:r>
              <w:rPr>
                <w:rFonts w:hint="eastAsia" w:ascii="宋体" w:hAnsi="宋体" w:cs="宋体"/>
                <w:color w:val="auto"/>
                <w:kern w:val="0"/>
                <w:szCs w:val="21"/>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c>
          <w:tcPr>
            <w:tcW w:w="1506"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c>
          <w:tcPr>
            <w:tcW w:w="1506"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c>
          <w:tcPr>
            <w:tcW w:w="1506"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Cs w:val="21"/>
              </w:rPr>
            </w:pPr>
            <w:r>
              <w:rPr>
                <w:rFonts w:hint="eastAsia" w:ascii="宋体" w:hAnsi="宋体" w:cs="宋体"/>
                <w:color w:val="auto"/>
                <w:kern w:val="0"/>
                <w:szCs w:val="21"/>
              </w:rPr>
              <w:t>合 计</w:t>
            </w:r>
          </w:p>
        </w:tc>
        <w:tc>
          <w:tcPr>
            <w:tcW w:w="1506"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r>
      <w:tr>
        <w:tblPrEx>
          <w:tblCellMar>
            <w:top w:w="0" w:type="dxa"/>
            <w:left w:w="0" w:type="dxa"/>
            <w:bottom w:w="0" w:type="dxa"/>
            <w:right w:w="0" w:type="dxa"/>
          </w:tblCellMar>
        </w:tblPrEx>
        <w:trPr>
          <w:trHeight w:val="641" w:hRule="atLeast"/>
          <w:jc w:val="center"/>
        </w:trPr>
        <w:tc>
          <w:tcPr>
            <w:tcW w:w="9088"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color w:val="auto"/>
                <w:kern w:val="0"/>
                <w:szCs w:val="21"/>
              </w:rPr>
            </w:pPr>
            <w:r>
              <w:rPr>
                <w:rFonts w:hint="eastAsia" w:ascii="宋体" w:hAnsi="宋体" w:cs="宋体"/>
                <w:color w:val="auto"/>
                <w:kern w:val="0"/>
                <w:szCs w:val="21"/>
              </w:rPr>
              <w:t>合计大写金额：</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实际供货日期</w:t>
            </w: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宋体" w:hAnsi="宋体" w:cs="宋体"/>
                <w:color w:val="auto"/>
                <w:kern w:val="0"/>
                <w:szCs w:val="21"/>
              </w:rPr>
            </w:pPr>
            <w:r>
              <w:rPr>
                <w:rFonts w:hint="eastAsia" w:ascii="宋体" w:hAnsi="宋体" w:cs="宋体"/>
                <w:color w:val="auto"/>
                <w:kern w:val="0"/>
                <w:szCs w:val="21"/>
              </w:rPr>
              <w:t>合同交货验收日期</w:t>
            </w:r>
          </w:p>
        </w:tc>
        <w:tc>
          <w:tcPr>
            <w:tcW w:w="2756"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c>
          <w:tcPr>
            <w:tcW w:w="2756"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center"/>
              <w:rPr>
                <w:rFonts w:ascii="宋体" w:hAnsi="宋体" w:cs="宋体"/>
                <w:color w:val="auto"/>
                <w:kern w:val="0"/>
                <w:szCs w:val="21"/>
              </w:rPr>
            </w:pPr>
            <w:r>
              <w:rPr>
                <w:rFonts w:hint="eastAsia" w:ascii="宋体" w:hAnsi="宋体" w:cs="宋体"/>
                <w:color w:val="auto"/>
                <w:kern w:val="0"/>
                <w:szCs w:val="21"/>
              </w:rPr>
              <w:t>验收具体</w:t>
            </w:r>
          </w:p>
          <w:p>
            <w:pPr>
              <w:widowControl/>
              <w:snapToGrid w:val="0"/>
              <w:spacing w:before="100" w:beforeAutospacing="1" w:after="100" w:afterAutospacing="1" w:line="320" w:lineRule="atLeast"/>
              <w:jc w:val="center"/>
              <w:rPr>
                <w:rFonts w:ascii="宋体" w:hAnsi="宋体" w:cs="宋体"/>
                <w:color w:val="auto"/>
                <w:kern w:val="0"/>
                <w:szCs w:val="21"/>
              </w:rPr>
            </w:pPr>
            <w:r>
              <w:rPr>
                <w:rFonts w:hint="eastAsia" w:ascii="宋体" w:hAnsi="宋体" w:cs="宋体"/>
                <w:color w:val="auto"/>
                <w:kern w:val="0"/>
                <w:szCs w:val="21"/>
              </w:rPr>
              <w:t>内容</w:t>
            </w:r>
          </w:p>
        </w:tc>
        <w:tc>
          <w:tcPr>
            <w:tcW w:w="7757"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center"/>
              <w:rPr>
                <w:rFonts w:ascii="宋体" w:hAnsi="宋体" w:cs="宋体"/>
                <w:color w:val="auto"/>
                <w:kern w:val="0"/>
                <w:szCs w:val="21"/>
              </w:rPr>
            </w:pPr>
            <w:r>
              <w:rPr>
                <w:rFonts w:hint="eastAsia" w:ascii="宋体" w:hAnsi="宋体" w:cs="宋体"/>
                <w:color w:val="auto"/>
                <w:kern w:val="0"/>
                <w:szCs w:val="21"/>
              </w:rPr>
              <w:t>验收小组</w:t>
            </w:r>
          </w:p>
          <w:p>
            <w:pPr>
              <w:widowControl/>
              <w:spacing w:before="100" w:beforeAutospacing="1" w:after="100" w:afterAutospacing="1" w:line="320" w:lineRule="atLeast"/>
              <w:jc w:val="center"/>
              <w:rPr>
                <w:rFonts w:ascii="宋体" w:hAnsi="宋体" w:cs="宋体"/>
                <w:color w:val="auto"/>
                <w:kern w:val="0"/>
                <w:szCs w:val="21"/>
              </w:rPr>
            </w:pPr>
            <w:r>
              <w:rPr>
                <w:rFonts w:hint="eastAsia" w:ascii="宋体" w:hAnsi="宋体" w:cs="宋体"/>
                <w:color w:val="auto"/>
                <w:kern w:val="0"/>
                <w:szCs w:val="21"/>
              </w:rPr>
              <w:t>意见</w:t>
            </w:r>
          </w:p>
        </w:tc>
        <w:tc>
          <w:tcPr>
            <w:tcW w:w="7757"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Cs w:val="21"/>
              </w:rPr>
            </w:pPr>
          </w:p>
        </w:tc>
        <w:tc>
          <w:tcPr>
            <w:tcW w:w="7757"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宋体" w:hAnsi="宋体" w:cs="宋体"/>
                <w:color w:val="auto"/>
                <w:kern w:val="0"/>
                <w:szCs w:val="21"/>
              </w:rPr>
            </w:pPr>
            <w:r>
              <w:rPr>
                <w:rFonts w:hint="eastAsia" w:ascii="宋体" w:hAnsi="宋体" w:cs="宋体"/>
                <w:color w:val="auto"/>
                <w:kern w:val="0"/>
                <w:szCs w:val="21"/>
              </w:rPr>
              <w:t>有异议的意见和说明理由：</w:t>
            </w:r>
          </w:p>
          <w:p>
            <w:pPr>
              <w:widowControl/>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签字：</w:t>
            </w:r>
          </w:p>
        </w:tc>
      </w:tr>
      <w:tr>
        <w:tblPrEx>
          <w:tblCellMar>
            <w:top w:w="0" w:type="dxa"/>
            <w:left w:w="0" w:type="dxa"/>
            <w:bottom w:w="0" w:type="dxa"/>
            <w:right w:w="0" w:type="dxa"/>
          </w:tblCellMar>
        </w:tblPrEx>
        <w:trPr>
          <w:trHeight w:val="507" w:hRule="atLeast"/>
          <w:jc w:val="center"/>
        </w:trPr>
        <w:tc>
          <w:tcPr>
            <w:tcW w:w="9088"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验收小组成员签字：</w:t>
            </w:r>
          </w:p>
        </w:tc>
      </w:tr>
      <w:tr>
        <w:tblPrEx>
          <w:tblCellMar>
            <w:top w:w="0" w:type="dxa"/>
            <w:left w:w="0" w:type="dxa"/>
            <w:bottom w:w="0" w:type="dxa"/>
            <w:right w:w="0" w:type="dxa"/>
          </w:tblCellMar>
        </w:tblPrEx>
        <w:trPr>
          <w:trHeight w:val="736" w:hRule="atLeast"/>
          <w:jc w:val="center"/>
        </w:trPr>
        <w:tc>
          <w:tcPr>
            <w:tcW w:w="9088" w:type="dxa"/>
            <w:gridSpan w:val="8"/>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监督人员或其他相关人员签字：</w:t>
            </w:r>
          </w:p>
          <w:p>
            <w:pPr>
              <w:widowControl/>
              <w:spacing w:before="100" w:beforeAutospacing="1" w:after="100" w:afterAutospacing="1" w:line="320" w:lineRule="atLeast"/>
              <w:ind w:firstLine="74"/>
              <w:jc w:val="left"/>
              <w:rPr>
                <w:rFonts w:ascii="宋体" w:hAnsi="宋体" w:cs="宋体"/>
                <w:color w:val="auto"/>
                <w:kern w:val="0"/>
                <w:szCs w:val="21"/>
              </w:rPr>
            </w:pPr>
            <w:r>
              <w:rPr>
                <w:rFonts w:hint="eastAsia" w:ascii="宋体" w:hAnsi="宋体" w:cs="宋体"/>
                <w:color w:val="auto"/>
                <w:kern w:val="0"/>
                <w:szCs w:val="21"/>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ind w:firstLine="74"/>
              <w:jc w:val="left"/>
              <w:rPr>
                <w:rFonts w:ascii="宋体" w:hAnsi="宋体" w:cs="宋体"/>
                <w:color w:val="auto"/>
                <w:kern w:val="0"/>
                <w:szCs w:val="21"/>
              </w:rPr>
            </w:pPr>
            <w:r>
              <w:rPr>
                <w:rFonts w:hint="eastAsia" w:ascii="宋体" w:hAnsi="宋体" w:cs="宋体"/>
                <w:color w:val="auto"/>
                <w:kern w:val="0"/>
                <w:szCs w:val="21"/>
              </w:rPr>
              <w:t>中标或者成交供应商负责人签字或盖章：</w:t>
            </w:r>
          </w:p>
          <w:p>
            <w:pPr>
              <w:widowControl/>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联系电话： 年 月 日</w:t>
            </w:r>
          </w:p>
        </w:tc>
        <w:tc>
          <w:tcPr>
            <w:tcW w:w="4936"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采购人或受托机构的意见（盖章）：</w:t>
            </w:r>
          </w:p>
          <w:p>
            <w:pPr>
              <w:widowControl/>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联系电话： 年 月 日</w:t>
            </w:r>
          </w:p>
        </w:tc>
      </w:tr>
    </w:tbl>
    <w:p>
      <w:pPr>
        <w:pStyle w:val="11"/>
        <w:snapToGrid w:val="0"/>
        <w:spacing w:line="350" w:lineRule="exact"/>
        <w:rPr>
          <w:rFonts w:hAnsi="宋体" w:cs="宋体"/>
          <w:color w:val="auto"/>
          <w:sz w:val="24"/>
          <w:szCs w:val="24"/>
        </w:rPr>
      </w:pPr>
    </w:p>
    <w:p>
      <w:pPr>
        <w:pStyle w:val="11"/>
        <w:snapToGrid w:val="0"/>
        <w:spacing w:before="120" w:after="120"/>
        <w:rPr>
          <w:rFonts w:hAnsi="宋体" w:cs="宋体"/>
          <w:color w:val="auto"/>
          <w:sz w:val="24"/>
          <w:szCs w:val="24"/>
        </w:rPr>
      </w:pPr>
    </w:p>
    <w:p>
      <w:pPr>
        <w:pStyle w:val="11"/>
        <w:snapToGrid w:val="0"/>
        <w:spacing w:before="120" w:after="120"/>
        <w:rPr>
          <w:rFonts w:hAnsi="宋体" w:cs="宋体"/>
          <w:color w:val="auto"/>
          <w:sz w:val="24"/>
          <w:szCs w:val="24"/>
        </w:rPr>
      </w:pPr>
    </w:p>
    <w:p>
      <w:pPr>
        <w:pStyle w:val="11"/>
        <w:snapToGrid w:val="0"/>
        <w:spacing w:before="120" w:after="120"/>
        <w:rPr>
          <w:rFonts w:hAnsi="宋体" w:cs="宋体"/>
          <w:color w:val="auto"/>
          <w:sz w:val="24"/>
          <w:szCs w:val="24"/>
        </w:rPr>
      </w:pPr>
    </w:p>
    <w:p>
      <w:pPr>
        <w:pStyle w:val="11"/>
        <w:snapToGrid w:val="0"/>
        <w:spacing w:before="120" w:after="120"/>
        <w:rPr>
          <w:rFonts w:hAnsi="宋体" w:cs="宋体"/>
          <w:color w:val="auto"/>
          <w:sz w:val="24"/>
          <w:szCs w:val="24"/>
        </w:rPr>
      </w:pPr>
    </w:p>
    <w:p>
      <w:pPr>
        <w:jc w:val="left"/>
        <w:rPr>
          <w:rFonts w:ascii="宋体" w:hAnsi="宋体" w:cs="宋体"/>
          <w:color w:val="auto"/>
        </w:rPr>
      </w:pPr>
      <w:r>
        <w:rPr>
          <w:rFonts w:hint="eastAsia" w:ascii="宋体" w:hAnsi="宋体" w:cs="宋体"/>
          <w:color w:val="auto"/>
        </w:rPr>
        <w:t>附件2：</w:t>
      </w:r>
    </w:p>
    <w:p>
      <w:pPr>
        <w:jc w:val="center"/>
        <w:rPr>
          <w:rFonts w:ascii="宋体" w:hAnsi="宋体" w:cs="宋体"/>
          <w:color w:val="auto"/>
          <w:sz w:val="32"/>
          <w:szCs w:val="32"/>
        </w:rPr>
      </w:pPr>
      <w:r>
        <w:rPr>
          <w:rFonts w:hint="eastAsia" w:ascii="宋体" w:hAnsi="宋体" w:cs="宋体"/>
          <w:color w:val="auto"/>
          <w:sz w:val="32"/>
          <w:szCs w:val="32"/>
        </w:rPr>
        <w:t>政府采购项目履约保证金退付意见书</w:t>
      </w:r>
    </w:p>
    <w:tbl>
      <w:tblPr>
        <w:tblStyle w:val="24"/>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rFonts w:ascii="宋体" w:hAnsi="宋体" w:cs="宋体"/>
                <w:color w:val="auto"/>
                <w:szCs w:val="21"/>
              </w:rPr>
            </w:pPr>
            <w:r>
              <w:rPr>
                <w:rFonts w:hint="eastAsia" w:ascii="宋体" w:hAnsi="宋体" w:cs="宋体"/>
                <w:color w:val="auto"/>
                <w:szCs w:val="21"/>
              </w:rPr>
              <w:t>供</w:t>
            </w:r>
          </w:p>
          <w:p>
            <w:pPr>
              <w:jc w:val="center"/>
              <w:rPr>
                <w:rFonts w:ascii="宋体" w:hAnsi="宋体" w:cs="宋体"/>
                <w:color w:val="auto"/>
                <w:szCs w:val="21"/>
              </w:rPr>
            </w:pPr>
            <w:r>
              <w:rPr>
                <w:rFonts w:hint="eastAsia" w:ascii="宋体" w:hAnsi="宋体" w:cs="宋体"/>
                <w:color w:val="auto"/>
                <w:szCs w:val="21"/>
              </w:rPr>
              <w:t>应</w:t>
            </w:r>
          </w:p>
          <w:p>
            <w:pPr>
              <w:jc w:val="center"/>
              <w:rPr>
                <w:rFonts w:ascii="宋体" w:hAnsi="宋体" w:cs="宋体"/>
                <w:color w:val="auto"/>
                <w:szCs w:val="21"/>
              </w:rPr>
            </w:pPr>
            <w:r>
              <w:rPr>
                <w:rFonts w:hint="eastAsia" w:ascii="宋体" w:hAnsi="宋体" w:cs="宋体"/>
                <w:color w:val="auto"/>
                <w:szCs w:val="21"/>
              </w:rPr>
              <w:t>商</w:t>
            </w:r>
          </w:p>
          <w:p>
            <w:pPr>
              <w:jc w:val="center"/>
              <w:rPr>
                <w:rFonts w:ascii="宋体" w:hAnsi="宋体" w:cs="宋体"/>
                <w:color w:val="auto"/>
                <w:szCs w:val="21"/>
              </w:rPr>
            </w:pPr>
            <w:r>
              <w:rPr>
                <w:rFonts w:hint="eastAsia" w:ascii="宋体" w:hAnsi="宋体" w:cs="宋体"/>
                <w:color w:val="auto"/>
                <w:szCs w:val="21"/>
              </w:rPr>
              <w:t>申</w:t>
            </w:r>
          </w:p>
          <w:p>
            <w:pPr>
              <w:jc w:val="center"/>
              <w:rPr>
                <w:rFonts w:ascii="宋体" w:hAnsi="宋体" w:cs="宋体"/>
                <w:color w:val="auto"/>
                <w:szCs w:val="21"/>
              </w:rPr>
            </w:pPr>
            <w:r>
              <w:rPr>
                <w:rFonts w:hint="eastAsia" w:ascii="宋体" w:hAnsi="宋体" w:cs="宋体"/>
                <w:color w:val="auto"/>
                <w:szCs w:val="21"/>
              </w:rPr>
              <w:t>请</w:t>
            </w:r>
          </w:p>
        </w:tc>
        <w:tc>
          <w:tcPr>
            <w:tcW w:w="8318" w:type="dxa"/>
            <w:vAlign w:val="center"/>
          </w:tcPr>
          <w:p>
            <w:pPr>
              <w:rPr>
                <w:rFonts w:ascii="宋体" w:hAnsi="宋体" w:cs="宋体"/>
                <w:color w:val="auto"/>
                <w:szCs w:val="21"/>
              </w:rPr>
            </w:pPr>
            <w:r>
              <w:rPr>
                <w:rFonts w:hint="eastAsia" w:ascii="宋体" w:hAnsi="宋体" w:cs="宋体"/>
                <w:color w:val="auto"/>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rFonts w:ascii="宋体" w:hAnsi="宋体" w:cs="宋体"/>
                <w:color w:val="auto"/>
                <w:szCs w:val="21"/>
              </w:rPr>
            </w:pPr>
          </w:p>
        </w:tc>
        <w:tc>
          <w:tcPr>
            <w:tcW w:w="8318" w:type="dxa"/>
            <w:vAlign w:val="center"/>
          </w:tcPr>
          <w:p>
            <w:pPr>
              <w:rPr>
                <w:rFonts w:ascii="宋体" w:hAnsi="宋体" w:cs="宋体"/>
                <w:color w:val="auto"/>
                <w:szCs w:val="21"/>
              </w:rPr>
            </w:pPr>
            <w:r>
              <w:rPr>
                <w:rFonts w:hint="eastAsia" w:ascii="宋体"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rFonts w:ascii="宋体" w:hAnsi="宋体" w:cs="宋体"/>
                <w:color w:val="auto"/>
                <w:szCs w:val="21"/>
              </w:rPr>
            </w:pPr>
          </w:p>
        </w:tc>
        <w:tc>
          <w:tcPr>
            <w:tcW w:w="8318" w:type="dxa"/>
          </w:tcPr>
          <w:p>
            <w:pPr>
              <w:rPr>
                <w:rFonts w:ascii="宋体" w:hAnsi="宋体" w:cs="宋体"/>
                <w:color w:val="auto"/>
                <w:szCs w:val="21"/>
              </w:rPr>
            </w:pPr>
            <w:r>
              <w:rPr>
                <w:rFonts w:hint="eastAsia" w:ascii="宋体" w:hAnsi="宋体" w:cs="宋体"/>
                <w:color w:val="auto"/>
                <w:szCs w:val="21"/>
              </w:rPr>
              <w:t xml:space="preserve">  </w:t>
            </w:r>
          </w:p>
          <w:p>
            <w:pPr>
              <w:spacing w:line="400" w:lineRule="exact"/>
              <w:ind w:firstLine="420" w:firstLineChars="200"/>
              <w:rPr>
                <w:rFonts w:ascii="宋体" w:hAnsi="宋体" w:cs="宋体"/>
                <w:color w:val="auto"/>
                <w:szCs w:val="21"/>
              </w:rPr>
            </w:pPr>
            <w:r>
              <w:rPr>
                <w:rFonts w:hint="eastAsia" w:ascii="宋体" w:hAnsi="宋体" w:cs="宋体"/>
                <w:color w:val="auto"/>
                <w:szCs w:val="21"/>
              </w:rPr>
              <w:t>该项目已于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日验收并交付使用。根据合同规定，该项目的履约保证金期限于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日已满，请将履约保证金</w:t>
            </w:r>
          </w:p>
          <w:p>
            <w:pPr>
              <w:spacing w:line="400" w:lineRule="exac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（大写）￥</w:t>
            </w:r>
            <w:r>
              <w:rPr>
                <w:rFonts w:hint="eastAsia" w:ascii="宋体" w:hAnsi="宋体" w:cs="宋体"/>
                <w:color w:val="auto"/>
                <w:szCs w:val="21"/>
                <w:u w:val="single"/>
              </w:rPr>
              <w:t xml:space="preserve">          </w:t>
            </w:r>
            <w:r>
              <w:rPr>
                <w:rFonts w:hint="eastAsia" w:ascii="宋体" w:hAnsi="宋体" w:cs="宋体"/>
                <w:color w:val="auto"/>
                <w:szCs w:val="21"/>
              </w:rPr>
              <w:t>（小写）退付到达以下帐户。</w:t>
            </w:r>
          </w:p>
          <w:p>
            <w:pPr>
              <w:spacing w:line="400" w:lineRule="exact"/>
              <w:ind w:firstLine="705"/>
              <w:rPr>
                <w:rFonts w:ascii="宋体" w:hAnsi="宋体" w:cs="宋体"/>
                <w:color w:val="auto"/>
                <w:szCs w:val="21"/>
              </w:rPr>
            </w:pPr>
            <w:r>
              <w:rPr>
                <w:rFonts w:hint="eastAsia" w:ascii="宋体" w:hAnsi="宋体" w:cs="宋体"/>
                <w:color w:val="auto"/>
                <w:szCs w:val="21"/>
              </w:rPr>
              <w:t>单位名称：</w:t>
            </w:r>
          </w:p>
          <w:p>
            <w:pPr>
              <w:spacing w:line="400" w:lineRule="exact"/>
              <w:ind w:firstLine="705"/>
              <w:rPr>
                <w:rFonts w:ascii="宋体" w:hAnsi="宋体" w:cs="宋体"/>
                <w:color w:val="auto"/>
                <w:szCs w:val="21"/>
              </w:rPr>
            </w:pPr>
            <w:r>
              <w:rPr>
                <w:rFonts w:hint="eastAsia" w:ascii="宋体" w:hAnsi="宋体" w:cs="宋体"/>
                <w:color w:val="auto"/>
                <w:szCs w:val="21"/>
              </w:rPr>
              <w:t>开户银行：</w:t>
            </w:r>
          </w:p>
          <w:p>
            <w:pPr>
              <w:spacing w:line="400" w:lineRule="exact"/>
              <w:ind w:firstLine="705"/>
              <w:rPr>
                <w:rFonts w:ascii="宋体" w:hAnsi="宋体" w:cs="宋体"/>
                <w:color w:val="auto"/>
                <w:szCs w:val="21"/>
              </w:rPr>
            </w:pPr>
            <w:r>
              <w:rPr>
                <w:rFonts w:hint="eastAsia" w:ascii="宋体" w:hAnsi="宋体" w:cs="宋体"/>
                <w:color w:val="auto"/>
                <w:szCs w:val="21"/>
              </w:rPr>
              <w:t>帐   号：</w:t>
            </w:r>
          </w:p>
          <w:p>
            <w:pPr>
              <w:spacing w:line="400" w:lineRule="exact"/>
              <w:rPr>
                <w:rFonts w:ascii="宋体" w:hAnsi="宋体" w:cs="宋体"/>
                <w:color w:val="auto"/>
                <w:szCs w:val="21"/>
              </w:rPr>
            </w:pPr>
            <w:r>
              <w:rPr>
                <w:rFonts w:hint="eastAsia" w:ascii="宋体" w:hAnsi="宋体" w:cs="宋体"/>
                <w:color w:val="auto"/>
                <w:szCs w:val="21"/>
              </w:rPr>
              <w:t>联系人及电话：</w:t>
            </w:r>
          </w:p>
          <w:p>
            <w:pPr>
              <w:spacing w:line="400" w:lineRule="exact"/>
              <w:rPr>
                <w:rFonts w:ascii="宋体" w:hAnsi="宋体" w:cs="宋体"/>
                <w:color w:val="auto"/>
                <w:szCs w:val="21"/>
              </w:rPr>
            </w:pPr>
          </w:p>
          <w:p>
            <w:pPr>
              <w:spacing w:line="520" w:lineRule="exact"/>
              <w:jc w:val="center"/>
              <w:rPr>
                <w:rFonts w:ascii="宋体" w:hAnsi="宋体" w:cs="宋体"/>
                <w:color w:val="auto"/>
                <w:szCs w:val="21"/>
              </w:rPr>
            </w:pPr>
            <w:r>
              <w:rPr>
                <w:rFonts w:hint="eastAsia" w:ascii="宋体" w:hAnsi="宋体" w:cs="宋体"/>
                <w:color w:val="auto"/>
                <w:szCs w:val="21"/>
              </w:rPr>
              <w:t xml:space="preserve">                                     供应商签章：</w:t>
            </w:r>
          </w:p>
          <w:p>
            <w:pPr>
              <w:spacing w:line="520" w:lineRule="exact"/>
              <w:jc w:val="center"/>
              <w:rPr>
                <w:rFonts w:ascii="宋体" w:hAnsi="宋体" w:cs="宋体"/>
                <w:color w:val="auto"/>
                <w:szCs w:val="21"/>
              </w:rPr>
            </w:pPr>
            <w:r>
              <w:rPr>
                <w:rFonts w:hint="eastAsia" w:ascii="宋体" w:hAnsi="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rPr>
            </w:pPr>
            <w:r>
              <w:rPr>
                <w:rFonts w:hint="eastAsia" w:ascii="宋体" w:hAnsi="宋体" w:cs="宋体"/>
                <w:color w:val="auto"/>
                <w:szCs w:val="21"/>
              </w:rPr>
              <w:t>采</w:t>
            </w:r>
          </w:p>
          <w:p>
            <w:pPr>
              <w:jc w:val="center"/>
              <w:rPr>
                <w:rFonts w:ascii="宋体" w:hAnsi="宋体" w:cs="宋体"/>
                <w:color w:val="auto"/>
                <w:szCs w:val="21"/>
              </w:rPr>
            </w:pPr>
            <w:r>
              <w:rPr>
                <w:rFonts w:hint="eastAsia" w:ascii="宋体" w:hAnsi="宋体" w:cs="宋体"/>
                <w:color w:val="auto"/>
                <w:szCs w:val="21"/>
              </w:rPr>
              <w:t>购</w:t>
            </w:r>
          </w:p>
          <w:p>
            <w:pPr>
              <w:jc w:val="center"/>
              <w:rPr>
                <w:rFonts w:ascii="宋体" w:hAnsi="宋体" w:cs="宋体"/>
                <w:color w:val="auto"/>
                <w:szCs w:val="21"/>
              </w:rPr>
            </w:pPr>
            <w:r>
              <w:rPr>
                <w:rFonts w:hint="eastAsia" w:ascii="宋体" w:hAnsi="宋体" w:cs="宋体"/>
                <w:color w:val="auto"/>
                <w:szCs w:val="21"/>
              </w:rPr>
              <w:t>单</w:t>
            </w:r>
          </w:p>
          <w:p>
            <w:pPr>
              <w:jc w:val="center"/>
              <w:rPr>
                <w:rFonts w:ascii="宋体" w:hAnsi="宋体" w:cs="宋体"/>
                <w:color w:val="auto"/>
                <w:szCs w:val="21"/>
              </w:rPr>
            </w:pPr>
            <w:r>
              <w:rPr>
                <w:rFonts w:hint="eastAsia" w:ascii="宋体" w:hAnsi="宋体" w:cs="宋体"/>
                <w:color w:val="auto"/>
                <w:szCs w:val="21"/>
              </w:rPr>
              <w:t>位</w:t>
            </w:r>
          </w:p>
          <w:p>
            <w:pPr>
              <w:jc w:val="center"/>
              <w:rPr>
                <w:rFonts w:ascii="宋体" w:hAnsi="宋体" w:cs="宋体"/>
                <w:color w:val="auto"/>
                <w:szCs w:val="21"/>
              </w:rPr>
            </w:pPr>
            <w:r>
              <w:rPr>
                <w:rFonts w:hint="eastAsia" w:ascii="宋体" w:hAnsi="宋体" w:cs="宋体"/>
                <w:color w:val="auto"/>
                <w:szCs w:val="21"/>
              </w:rPr>
              <w:t>意</w:t>
            </w:r>
          </w:p>
          <w:p>
            <w:pPr>
              <w:jc w:val="center"/>
              <w:rPr>
                <w:rFonts w:ascii="宋体" w:hAnsi="宋体" w:cs="宋体"/>
                <w:color w:val="auto"/>
                <w:szCs w:val="21"/>
              </w:rPr>
            </w:pPr>
            <w:r>
              <w:rPr>
                <w:rFonts w:hint="eastAsia" w:ascii="宋体" w:hAnsi="宋体" w:cs="宋体"/>
                <w:color w:val="auto"/>
                <w:szCs w:val="21"/>
              </w:rPr>
              <w:t>见</w:t>
            </w:r>
          </w:p>
        </w:tc>
        <w:tc>
          <w:tcPr>
            <w:tcW w:w="8318" w:type="dxa"/>
          </w:tcPr>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退付意见：是否同意退付履约保证金及退付金额：</w:t>
            </w:r>
          </w:p>
          <w:p>
            <w:pPr>
              <w:rPr>
                <w:rFonts w:ascii="宋体" w:hAnsi="宋体" w:cs="宋体"/>
                <w:color w:val="auto"/>
                <w:szCs w:val="21"/>
              </w:rPr>
            </w:pPr>
          </w:p>
          <w:p>
            <w:pPr>
              <w:rPr>
                <w:rFonts w:ascii="宋体" w:hAnsi="宋体" w:cs="宋体"/>
                <w:color w:val="auto"/>
                <w:szCs w:val="21"/>
              </w:rPr>
            </w:pPr>
          </w:p>
          <w:p>
            <w:pPr>
              <w:spacing w:line="520" w:lineRule="exact"/>
              <w:rPr>
                <w:rFonts w:ascii="宋体" w:hAnsi="宋体" w:cs="宋体"/>
                <w:color w:val="auto"/>
                <w:szCs w:val="21"/>
              </w:rPr>
            </w:pPr>
            <w:r>
              <w:rPr>
                <w:rFonts w:hint="eastAsia" w:ascii="宋体" w:hAnsi="宋体" w:cs="宋体"/>
                <w:color w:val="auto"/>
                <w:szCs w:val="21"/>
              </w:rPr>
              <w:t>联系人及电话：                                 采购单位签章</w:t>
            </w:r>
          </w:p>
          <w:p>
            <w:pPr>
              <w:spacing w:line="520" w:lineRule="exact"/>
              <w:jc w:val="center"/>
              <w:rPr>
                <w:rFonts w:ascii="宋体" w:hAnsi="宋体" w:cs="宋体"/>
                <w:color w:val="auto"/>
                <w:szCs w:val="21"/>
              </w:rPr>
            </w:pPr>
            <w:r>
              <w:rPr>
                <w:rFonts w:hint="eastAsia" w:ascii="宋体" w:hAnsi="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rPr>
            </w:pPr>
            <w:r>
              <w:rPr>
                <w:rFonts w:hint="eastAsia" w:ascii="宋体" w:hAnsi="宋体" w:cs="宋体"/>
                <w:color w:val="auto"/>
                <w:szCs w:val="21"/>
              </w:rPr>
              <w:t>财</w:t>
            </w:r>
          </w:p>
          <w:p>
            <w:pPr>
              <w:jc w:val="center"/>
              <w:rPr>
                <w:rFonts w:ascii="宋体" w:hAnsi="宋体" w:cs="宋体"/>
                <w:color w:val="auto"/>
                <w:szCs w:val="21"/>
              </w:rPr>
            </w:pPr>
            <w:r>
              <w:rPr>
                <w:rFonts w:hint="eastAsia" w:ascii="宋体" w:hAnsi="宋体" w:cs="宋体"/>
                <w:color w:val="auto"/>
                <w:szCs w:val="21"/>
              </w:rPr>
              <w:t>务</w:t>
            </w:r>
          </w:p>
          <w:p>
            <w:pPr>
              <w:jc w:val="center"/>
              <w:rPr>
                <w:rFonts w:ascii="宋体" w:hAnsi="宋体" w:cs="宋体"/>
                <w:color w:val="auto"/>
                <w:szCs w:val="21"/>
              </w:rPr>
            </w:pPr>
            <w:r>
              <w:rPr>
                <w:rFonts w:hint="eastAsia" w:ascii="宋体" w:hAnsi="宋体" w:cs="宋体"/>
                <w:color w:val="auto"/>
                <w:szCs w:val="21"/>
              </w:rPr>
              <w:t>部</w:t>
            </w:r>
          </w:p>
          <w:p>
            <w:pPr>
              <w:jc w:val="center"/>
              <w:rPr>
                <w:rFonts w:ascii="宋体" w:hAnsi="宋体" w:cs="宋体"/>
                <w:color w:val="auto"/>
                <w:szCs w:val="21"/>
              </w:rPr>
            </w:pPr>
            <w:r>
              <w:rPr>
                <w:rFonts w:hint="eastAsia" w:ascii="宋体" w:hAnsi="宋体" w:cs="宋体"/>
                <w:color w:val="auto"/>
                <w:szCs w:val="21"/>
              </w:rPr>
              <w:t>门</w:t>
            </w:r>
          </w:p>
          <w:p>
            <w:pPr>
              <w:jc w:val="center"/>
              <w:rPr>
                <w:rFonts w:ascii="宋体" w:hAnsi="宋体" w:cs="宋体"/>
                <w:color w:val="auto"/>
                <w:szCs w:val="21"/>
              </w:rPr>
            </w:pPr>
            <w:r>
              <w:rPr>
                <w:rFonts w:hint="eastAsia" w:ascii="宋体" w:hAnsi="宋体" w:cs="宋体"/>
                <w:color w:val="auto"/>
                <w:szCs w:val="21"/>
              </w:rPr>
              <w:t>意</w:t>
            </w:r>
          </w:p>
          <w:p>
            <w:pPr>
              <w:jc w:val="center"/>
              <w:rPr>
                <w:rFonts w:ascii="宋体" w:hAnsi="宋体" w:cs="宋体"/>
                <w:color w:val="auto"/>
                <w:szCs w:val="21"/>
              </w:rPr>
            </w:pPr>
            <w:r>
              <w:rPr>
                <w:rFonts w:hint="eastAsia" w:ascii="宋体" w:hAnsi="宋体" w:cs="宋体"/>
                <w:color w:val="auto"/>
                <w:szCs w:val="21"/>
              </w:rPr>
              <w:t>见</w:t>
            </w:r>
          </w:p>
        </w:tc>
        <w:tc>
          <w:tcPr>
            <w:tcW w:w="8318" w:type="dxa"/>
          </w:tcPr>
          <w:p>
            <w:pPr>
              <w:spacing w:line="640" w:lineRule="exact"/>
              <w:rPr>
                <w:rFonts w:ascii="宋体" w:hAnsi="宋体" w:cs="宋体"/>
                <w:color w:val="auto"/>
                <w:szCs w:val="21"/>
              </w:rPr>
            </w:pPr>
            <w:r>
              <w:rPr>
                <w:rFonts w:hint="eastAsia" w:ascii="宋体" w:hAnsi="宋体" w:cs="宋体"/>
                <w:color w:val="auto"/>
                <w:szCs w:val="21"/>
              </w:rPr>
              <w:t>此表于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 xml:space="preserve"> 月 </w:t>
            </w:r>
            <w:r>
              <w:rPr>
                <w:rFonts w:hint="eastAsia" w:ascii="宋体" w:hAnsi="宋体" w:cs="宋体"/>
                <w:color w:val="auto"/>
                <w:szCs w:val="21"/>
                <w:u w:val="single"/>
              </w:rPr>
              <w:t xml:space="preserve">   </w:t>
            </w:r>
            <w:r>
              <w:rPr>
                <w:rFonts w:hint="eastAsia" w:ascii="宋体" w:hAnsi="宋体" w:cs="宋体"/>
                <w:color w:val="auto"/>
                <w:szCs w:val="21"/>
              </w:rPr>
              <w:t xml:space="preserve"> 日收到。</w:t>
            </w:r>
          </w:p>
          <w:p>
            <w:pPr>
              <w:spacing w:line="640" w:lineRule="exact"/>
              <w:rPr>
                <w:rFonts w:ascii="宋体" w:hAnsi="宋体" w:cs="宋体"/>
                <w:color w:val="auto"/>
                <w:szCs w:val="21"/>
              </w:rPr>
            </w:pPr>
            <w:r>
              <w:rPr>
                <w:rFonts w:hint="eastAsia" w:ascii="宋体" w:hAnsi="宋体" w:cs="宋体"/>
                <w:color w:val="auto"/>
                <w:szCs w:val="21"/>
              </w:rPr>
              <w:t>会计审核：</w:t>
            </w:r>
          </w:p>
          <w:p>
            <w:pPr>
              <w:spacing w:line="640" w:lineRule="exact"/>
              <w:rPr>
                <w:rFonts w:ascii="宋体" w:hAnsi="宋体" w:cs="宋体"/>
                <w:color w:val="auto"/>
                <w:szCs w:val="21"/>
              </w:rPr>
            </w:pPr>
            <w:r>
              <w:rPr>
                <w:rFonts w:hint="eastAsia" w:ascii="宋体" w:hAnsi="宋体" w:cs="宋体"/>
                <w:color w:val="auto"/>
                <w:szCs w:val="21"/>
              </w:rPr>
              <w:t>财务负责人审核：</w:t>
            </w:r>
          </w:p>
          <w:p>
            <w:pPr>
              <w:spacing w:line="640" w:lineRule="exact"/>
              <w:rPr>
                <w:rFonts w:ascii="宋体" w:hAnsi="宋体" w:cs="宋体"/>
                <w:color w:val="auto"/>
                <w:szCs w:val="21"/>
              </w:rPr>
            </w:pPr>
            <w:r>
              <w:rPr>
                <w:rFonts w:hint="eastAsia" w:ascii="宋体" w:hAnsi="宋体" w:cs="宋体"/>
                <w:color w:val="auto"/>
                <w:szCs w:val="21"/>
              </w:rPr>
              <w:t>单位负责人签字：</w:t>
            </w:r>
          </w:p>
          <w:p>
            <w:pPr>
              <w:spacing w:line="640" w:lineRule="exact"/>
              <w:rPr>
                <w:rFonts w:ascii="宋体" w:hAnsi="宋体" w:cs="宋体"/>
                <w:color w:val="auto"/>
                <w:szCs w:val="21"/>
              </w:rPr>
            </w:pPr>
            <w:r>
              <w:rPr>
                <w:rFonts w:hint="eastAsia" w:ascii="宋体" w:hAnsi="宋体" w:cs="宋体"/>
                <w:color w:val="auto"/>
                <w:szCs w:val="21"/>
              </w:rPr>
              <w:t>出纳办理转帐日期：</w:t>
            </w:r>
          </w:p>
        </w:tc>
      </w:tr>
    </w:tbl>
    <w:p>
      <w:pPr>
        <w:rPr>
          <w:rFonts w:ascii="宋体" w:hAnsi="宋体" w:cs="宋体"/>
          <w:color w:val="auto"/>
          <w:sz w:val="36"/>
          <w:szCs w:val="36"/>
        </w:rPr>
      </w:pPr>
    </w:p>
    <w:p>
      <w:pPr>
        <w:pStyle w:val="8"/>
        <w:ind w:left="839" w:leftChars="200" w:hanging="419" w:hangingChars="232"/>
        <w:rPr>
          <w:rFonts w:ascii="宋体" w:hAnsi="宋体" w:cs="宋体"/>
          <w:b/>
          <w:bCs/>
          <w:color w:val="auto"/>
          <w:sz w:val="18"/>
        </w:rPr>
      </w:pPr>
      <w:r>
        <w:rPr>
          <w:rFonts w:hint="eastAsia" w:ascii="宋体" w:hAnsi="宋体" w:cs="宋体"/>
          <w:b/>
          <w:bCs/>
          <w:color w:val="auto"/>
          <w:sz w:val="18"/>
        </w:rPr>
        <w:t>注：供应商凭经采购单位审批的退付意见书到财务部办理履约保证金退付事宜。</w:t>
      </w:r>
    </w:p>
    <w:p>
      <w:pPr>
        <w:pStyle w:val="11"/>
        <w:snapToGrid w:val="0"/>
        <w:spacing w:before="120" w:after="120"/>
        <w:rPr>
          <w:rFonts w:hAnsi="宋体" w:cs="宋体"/>
          <w:color w:val="auto"/>
          <w:sz w:val="24"/>
          <w:szCs w:val="24"/>
        </w:rPr>
      </w:pPr>
    </w:p>
    <w:p>
      <w:pPr>
        <w:pStyle w:val="11"/>
        <w:snapToGrid w:val="0"/>
        <w:spacing w:before="120" w:after="120"/>
        <w:rPr>
          <w:rFonts w:hAnsi="宋体" w:cs="宋体"/>
          <w:color w:val="auto"/>
        </w:rPr>
      </w:pPr>
    </w:p>
    <w:p>
      <w:pPr>
        <w:pStyle w:val="11"/>
        <w:snapToGrid w:val="0"/>
        <w:spacing w:before="120" w:after="120"/>
        <w:rPr>
          <w:rFonts w:hAnsi="宋体" w:cs="宋体"/>
          <w:color w:val="auto"/>
        </w:rPr>
      </w:pPr>
    </w:p>
    <w:p>
      <w:pPr>
        <w:pStyle w:val="11"/>
        <w:snapToGrid w:val="0"/>
        <w:spacing w:before="120" w:after="120"/>
        <w:rPr>
          <w:rFonts w:hAnsi="宋体" w:cs="宋体"/>
          <w:color w:val="auto"/>
        </w:rPr>
      </w:pPr>
    </w:p>
    <w:p>
      <w:pPr>
        <w:pStyle w:val="11"/>
        <w:snapToGrid w:val="0"/>
        <w:spacing w:before="120" w:after="120"/>
        <w:rPr>
          <w:rFonts w:hAnsi="宋体" w:cs="宋体"/>
          <w:color w:val="auto"/>
        </w:rPr>
      </w:pPr>
    </w:p>
    <w:p>
      <w:pPr>
        <w:pStyle w:val="11"/>
        <w:snapToGrid w:val="0"/>
        <w:spacing w:before="120" w:after="120"/>
        <w:rPr>
          <w:rFonts w:hAnsi="宋体" w:cs="宋体"/>
          <w:color w:val="auto"/>
        </w:rPr>
      </w:pPr>
    </w:p>
    <w:p>
      <w:pPr>
        <w:rPr>
          <w:rFonts w:ascii="宋体" w:hAnsi="宋体" w:cs="宋体"/>
          <w:color w:val="auto"/>
        </w:rPr>
      </w:pPr>
    </w:p>
    <w:p>
      <w:pPr>
        <w:rPr>
          <w:rFonts w:ascii="宋体" w:hAnsi="宋体" w:cs="宋体"/>
          <w:color w:val="auto"/>
        </w:rPr>
      </w:pPr>
    </w:p>
    <w:p>
      <w:pPr>
        <w:pStyle w:val="2"/>
        <w:rPr>
          <w:rFonts w:ascii="宋体" w:hAnsi="宋体" w:cs="宋体"/>
          <w:color w:val="auto"/>
        </w:rPr>
      </w:pPr>
    </w:p>
    <w:p>
      <w:pPr>
        <w:pStyle w:val="11"/>
        <w:snapToGrid w:val="0"/>
        <w:spacing w:before="120" w:after="120"/>
        <w:rPr>
          <w:rFonts w:hAnsi="宋体" w:cs="宋体"/>
          <w:color w:val="auto"/>
        </w:rPr>
      </w:pPr>
    </w:p>
    <w:p>
      <w:pPr>
        <w:pStyle w:val="11"/>
        <w:snapToGrid w:val="0"/>
        <w:spacing w:before="120" w:after="120"/>
        <w:rPr>
          <w:rFonts w:hAnsi="宋体" w:cs="宋体"/>
          <w:color w:val="auto"/>
        </w:rPr>
      </w:pPr>
    </w:p>
    <w:p>
      <w:pPr>
        <w:pStyle w:val="11"/>
        <w:snapToGrid w:val="0"/>
        <w:spacing w:before="120" w:after="120"/>
        <w:rPr>
          <w:rFonts w:hAnsi="宋体" w:cs="宋体"/>
          <w:color w:val="auto"/>
        </w:rPr>
      </w:pPr>
    </w:p>
    <w:p>
      <w:pPr>
        <w:pStyle w:val="11"/>
        <w:snapToGrid w:val="0"/>
        <w:spacing w:before="120" w:after="120"/>
        <w:rPr>
          <w:rFonts w:hAnsi="宋体" w:cs="宋体"/>
          <w:color w:val="auto"/>
        </w:rPr>
      </w:pPr>
    </w:p>
    <w:p>
      <w:pPr>
        <w:pStyle w:val="11"/>
        <w:snapToGrid w:val="0"/>
        <w:spacing w:before="120" w:after="120"/>
        <w:rPr>
          <w:rFonts w:hAnsi="宋体" w:cs="宋体"/>
          <w:color w:val="auto"/>
        </w:rPr>
      </w:pPr>
    </w:p>
    <w:p>
      <w:pPr>
        <w:pStyle w:val="11"/>
        <w:snapToGrid w:val="0"/>
        <w:spacing w:before="120" w:after="120"/>
        <w:rPr>
          <w:rFonts w:hAnsi="宋体" w:cs="宋体"/>
          <w:color w:val="auto"/>
        </w:rPr>
      </w:pPr>
    </w:p>
    <w:p>
      <w:pPr>
        <w:pStyle w:val="11"/>
        <w:snapToGrid w:val="0"/>
        <w:spacing w:before="120" w:after="120"/>
        <w:rPr>
          <w:rFonts w:hAnsi="宋体" w:cs="宋体"/>
          <w:color w:val="auto"/>
        </w:rPr>
      </w:pPr>
    </w:p>
    <w:p>
      <w:pPr>
        <w:pStyle w:val="11"/>
        <w:snapToGrid w:val="0"/>
        <w:spacing w:before="120" w:after="120"/>
        <w:rPr>
          <w:rFonts w:hAnsi="宋体" w:cs="宋体"/>
          <w:color w:val="auto"/>
        </w:rPr>
      </w:pPr>
    </w:p>
    <w:p>
      <w:pPr>
        <w:pStyle w:val="3"/>
        <w:keepNext/>
        <w:keepLines/>
        <w:pageBreakBefore w:val="0"/>
        <w:widowControl w:val="0"/>
        <w:kinsoku/>
        <w:wordWrap/>
        <w:overflowPunct/>
        <w:topLinePunct w:val="0"/>
        <w:autoSpaceDE/>
        <w:autoSpaceDN/>
        <w:bidi w:val="0"/>
        <w:adjustRightInd/>
        <w:snapToGrid/>
        <w:spacing w:line="500" w:lineRule="exact"/>
        <w:textAlignment w:val="auto"/>
        <w:rPr>
          <w:rFonts w:ascii="宋体" w:hAnsi="宋体" w:cs="宋体"/>
          <w:color w:val="auto"/>
          <w:sz w:val="36"/>
          <w:szCs w:val="36"/>
        </w:rPr>
      </w:pPr>
      <w:bookmarkStart w:id="45" w:name="_Toc254970548"/>
      <w:bookmarkStart w:id="46" w:name="_Toc254970689"/>
      <w:bookmarkStart w:id="47" w:name="_Toc11423"/>
      <w:r>
        <w:rPr>
          <w:rFonts w:hint="eastAsia" w:ascii="宋体" w:hAnsi="宋体" w:cs="宋体"/>
          <w:color w:val="auto"/>
          <w:sz w:val="36"/>
          <w:szCs w:val="36"/>
        </w:rPr>
        <w:t xml:space="preserve">第四章  </w:t>
      </w:r>
      <w:bookmarkEnd w:id="45"/>
      <w:bookmarkEnd w:id="46"/>
      <w:r>
        <w:rPr>
          <w:rFonts w:hint="eastAsia" w:ascii="宋体" w:hAnsi="宋体" w:cs="宋体"/>
          <w:color w:val="auto"/>
          <w:sz w:val="36"/>
          <w:szCs w:val="36"/>
        </w:rPr>
        <w:t>评标方法及评标标准</w:t>
      </w:r>
      <w:bookmarkEnd w:id="47"/>
    </w:p>
    <w:p>
      <w:pPr>
        <w:pStyle w:val="9"/>
        <w:ind w:firstLine="1126"/>
        <w:rPr>
          <w:rFonts w:ascii="宋体" w:hAnsi="宋体" w:eastAsia="宋体" w:cs="宋体"/>
          <w:color w:val="auto"/>
        </w:rPr>
      </w:pPr>
      <w:bookmarkStart w:id="48" w:name="_Toc254970549"/>
      <w:bookmarkStart w:id="49" w:name="_Toc254970690"/>
    </w:p>
    <w:bookmarkEnd w:id="48"/>
    <w:bookmarkEnd w:id="49"/>
    <w:p>
      <w:pPr>
        <w:pStyle w:val="9"/>
        <w:ind w:firstLine="1126"/>
        <w:rPr>
          <w:rFonts w:ascii="宋体" w:hAnsi="宋体" w:eastAsia="宋体" w:cs="宋体"/>
          <w:color w:val="auto"/>
        </w:rPr>
      </w:pPr>
    </w:p>
    <w:p>
      <w:pPr>
        <w:pStyle w:val="9"/>
        <w:ind w:firstLine="1126"/>
        <w:rPr>
          <w:rFonts w:ascii="宋体" w:hAnsi="宋体" w:eastAsia="宋体" w:cs="宋体"/>
          <w:color w:val="auto"/>
        </w:rPr>
      </w:pPr>
    </w:p>
    <w:p>
      <w:pPr>
        <w:jc w:val="left"/>
        <w:rPr>
          <w:rFonts w:ascii="宋体" w:hAnsi="宋体" w:cs="宋体"/>
          <w:b/>
          <w:bCs/>
          <w:color w:val="auto"/>
          <w:sz w:val="28"/>
          <w:szCs w:val="28"/>
        </w:rPr>
      </w:pPr>
      <w:r>
        <w:rPr>
          <w:rFonts w:hint="eastAsia" w:ascii="宋体" w:hAnsi="宋体" w:cs="宋体"/>
          <w:bCs/>
          <w:color w:val="auto"/>
          <w:sz w:val="32"/>
          <w:szCs w:val="32"/>
        </w:rPr>
        <w:br w:type="page"/>
      </w:r>
      <w:r>
        <w:rPr>
          <w:rFonts w:hint="eastAsia" w:ascii="宋体" w:hAnsi="宋体" w:cs="宋体"/>
          <w:color w:val="auto"/>
          <w:kern w:val="0"/>
        </w:rPr>
        <w:t xml:space="preserve"> </w:t>
      </w:r>
    </w:p>
    <w:p>
      <w:pPr>
        <w:pStyle w:val="11"/>
        <w:spacing w:line="360" w:lineRule="exact"/>
        <w:ind w:firstLine="562" w:firstLineChars="200"/>
        <w:jc w:val="center"/>
        <w:rPr>
          <w:rFonts w:hAnsi="宋体" w:cs="宋体"/>
          <w:b/>
          <w:bCs/>
          <w:color w:val="auto"/>
        </w:rPr>
      </w:pPr>
      <w:r>
        <w:rPr>
          <w:rFonts w:hint="eastAsia" w:hAnsi="宋体" w:cs="宋体"/>
          <w:b/>
          <w:bCs/>
          <w:color w:val="auto"/>
          <w:sz w:val="28"/>
          <w:szCs w:val="28"/>
        </w:rPr>
        <w:t>评分方法及评标标准</w:t>
      </w:r>
    </w:p>
    <w:p>
      <w:pPr>
        <w:pStyle w:val="11"/>
        <w:spacing w:line="460" w:lineRule="exact"/>
        <w:ind w:firstLine="482" w:firstLineChars="200"/>
        <w:rPr>
          <w:rFonts w:hAnsi="宋体" w:cs="宋体"/>
          <w:b/>
          <w:bCs/>
          <w:color w:val="auto"/>
          <w:sz w:val="24"/>
          <w:szCs w:val="24"/>
        </w:rPr>
      </w:pPr>
      <w:r>
        <w:rPr>
          <w:rFonts w:hint="eastAsia" w:hAnsi="宋体" w:cs="宋体"/>
          <w:b/>
          <w:bCs/>
          <w:color w:val="auto"/>
          <w:sz w:val="24"/>
          <w:szCs w:val="24"/>
        </w:rPr>
        <w:t>一、评标方法</w:t>
      </w:r>
    </w:p>
    <w:p>
      <w:pPr>
        <w:pStyle w:val="11"/>
        <w:spacing w:line="460" w:lineRule="exact"/>
        <w:ind w:firstLine="480" w:firstLineChars="200"/>
        <w:rPr>
          <w:rFonts w:hAnsi="宋体" w:cs="宋体"/>
          <w:color w:val="auto"/>
          <w:sz w:val="24"/>
          <w:szCs w:val="24"/>
        </w:rPr>
      </w:pPr>
      <w:r>
        <w:rPr>
          <w:rFonts w:hint="eastAsia" w:hAnsi="宋体" w:cs="宋体"/>
          <w:color w:val="auto"/>
          <w:sz w:val="24"/>
          <w:szCs w:val="24"/>
        </w:rPr>
        <w:t>（一）评标委员会构成：本招标采购项目的评委分别由依法组成的评审专家、采购单位代表共5人或5人以上单数构成，其中专家人数不少于成员总数的三分之二。</w:t>
      </w:r>
    </w:p>
    <w:p>
      <w:pPr>
        <w:pStyle w:val="11"/>
        <w:spacing w:line="460" w:lineRule="exact"/>
        <w:ind w:firstLine="480" w:firstLineChars="200"/>
        <w:rPr>
          <w:rFonts w:hAnsi="宋体" w:cs="宋体"/>
          <w:color w:val="auto"/>
          <w:sz w:val="24"/>
          <w:szCs w:val="24"/>
        </w:rPr>
      </w:pPr>
      <w:r>
        <w:rPr>
          <w:rFonts w:hint="eastAsia" w:hAnsi="宋体" w:cs="宋体"/>
          <w:color w:val="auto"/>
          <w:sz w:val="24"/>
          <w:szCs w:val="24"/>
        </w:rPr>
        <w:t>（二）评标依据：“评标委员会”将以招标文件、投标文件为评标依据，采用综合评分法对投标人的价格分、技术分、商务分等方面内容按百分制打分。其中：</w:t>
      </w:r>
    </w:p>
    <w:p>
      <w:pPr>
        <w:pStyle w:val="11"/>
        <w:spacing w:line="460" w:lineRule="exact"/>
        <w:ind w:firstLine="420"/>
        <w:rPr>
          <w:rFonts w:hAnsi="宋体" w:cs="宋体"/>
          <w:b/>
          <w:color w:val="auto"/>
          <w:sz w:val="24"/>
          <w:szCs w:val="24"/>
        </w:rPr>
      </w:pPr>
      <w:r>
        <w:rPr>
          <w:rFonts w:hint="eastAsia" w:hAnsi="宋体" w:cs="宋体"/>
          <w:b/>
          <w:color w:val="auto"/>
          <w:sz w:val="24"/>
          <w:szCs w:val="24"/>
        </w:rPr>
        <w:t>1.</w:t>
      </w:r>
      <w:r>
        <w:rPr>
          <w:rFonts w:hint="eastAsia" w:hAnsi="宋体" w:cs="宋体"/>
          <w:b/>
          <w:bCs/>
          <w:color w:val="auto"/>
          <w:sz w:val="24"/>
          <w:szCs w:val="24"/>
        </w:rPr>
        <w:t xml:space="preserve"> 价格分……………………………………………</w:t>
      </w:r>
      <w:r>
        <w:rPr>
          <w:rFonts w:hint="eastAsia" w:hAnsi="宋体" w:cs="宋体"/>
          <w:b/>
          <w:color w:val="auto"/>
          <w:sz w:val="24"/>
          <w:szCs w:val="24"/>
        </w:rPr>
        <w:t>…</w:t>
      </w:r>
      <w:r>
        <w:rPr>
          <w:rFonts w:hint="eastAsia" w:hAnsi="宋体" w:cs="宋体"/>
          <w:b/>
          <w:bCs/>
          <w:color w:val="auto"/>
          <w:sz w:val="24"/>
          <w:szCs w:val="24"/>
        </w:rPr>
        <w:t>…………………………10分</w:t>
      </w:r>
    </w:p>
    <w:p>
      <w:pPr>
        <w:pStyle w:val="11"/>
        <w:spacing w:line="500" w:lineRule="exact"/>
        <w:ind w:firstLine="480" w:firstLineChars="200"/>
        <w:rPr>
          <w:rFonts w:hAnsi="宋体" w:cs="宋体"/>
          <w:color w:val="auto"/>
          <w:sz w:val="24"/>
          <w:szCs w:val="24"/>
        </w:rPr>
      </w:pPr>
      <w:r>
        <w:rPr>
          <w:rFonts w:hint="eastAsia" w:hAnsi="宋体" w:cs="宋体"/>
          <w:color w:val="auto"/>
          <w:sz w:val="24"/>
          <w:szCs w:val="24"/>
        </w:rPr>
        <w:t xml:space="preserve"> （1）按照《政府采购促进中小企业发展暂行办法》（财库[2011]181 号），投标单位认定为小型和微型企业的（提供符合规定的有效声明函），并提供本企业制造的产品，由本企业承担工程、提供服务，或者提供其他小型、微型企业制造的产品的（不包括使用大型企业注册商标的产品），对投标价给予 6%的扣除，扣除后的价格为评标报价，即评标报价=投标价×（1-6%）；除上述情况外，评标报价=投标价。</w:t>
      </w:r>
    </w:p>
    <w:p>
      <w:pPr>
        <w:pStyle w:val="11"/>
        <w:spacing w:line="500" w:lineRule="exact"/>
        <w:ind w:firstLine="480" w:firstLineChars="200"/>
        <w:rPr>
          <w:rFonts w:hAnsi="宋体" w:cs="宋体"/>
          <w:color w:val="auto"/>
          <w:sz w:val="24"/>
          <w:szCs w:val="24"/>
        </w:rPr>
      </w:pPr>
      <w:r>
        <w:rPr>
          <w:rFonts w:hint="eastAsia" w:hAnsi="宋体" w:cs="宋体"/>
          <w:color w:val="auto"/>
          <w:sz w:val="24"/>
          <w:szCs w:val="24"/>
        </w:rPr>
        <w:t xml:space="preserve">（2）投标产品提供企业按《关于政府采购支持监狱企业发展有关问题的通知》(财库[2014]68 号)认定为监狱企业的，在政府采购活动中，监狱企业视同小型、微型企业。监狱企业参加政府采购活动时，应当提供由省级以上监狱管理局、戒毒管理局（含新疆生产建设兵团）出具的属于监狱企业的证明文件。 </w:t>
      </w:r>
    </w:p>
    <w:p>
      <w:pPr>
        <w:pStyle w:val="11"/>
        <w:spacing w:line="500" w:lineRule="exact"/>
        <w:ind w:firstLine="480" w:firstLineChars="200"/>
        <w:rPr>
          <w:rFonts w:hAnsi="宋体" w:cs="宋体"/>
          <w:color w:val="auto"/>
          <w:sz w:val="24"/>
          <w:szCs w:val="24"/>
        </w:rPr>
      </w:pPr>
      <w:r>
        <w:rPr>
          <w:rFonts w:hint="eastAsia" w:hAnsi="宋体" w:cs="宋体"/>
          <w:color w:val="auto"/>
          <w:sz w:val="24"/>
          <w:szCs w:val="24"/>
        </w:rPr>
        <w:t>（3）投标人及其投标产品提供单位按《关于促进残疾人就业政府采购政策的通知》(财库〔2017〕141 号)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pPr>
        <w:pStyle w:val="11"/>
        <w:spacing w:line="500" w:lineRule="exact"/>
        <w:ind w:firstLine="480" w:firstLineChars="200"/>
        <w:rPr>
          <w:rFonts w:hAnsi="宋体" w:cs="宋体"/>
          <w:bCs/>
          <w:color w:val="auto"/>
          <w:sz w:val="24"/>
          <w:szCs w:val="24"/>
        </w:rPr>
      </w:pPr>
      <w:r>
        <w:rPr>
          <w:rFonts w:hint="eastAsia" w:hAnsi="宋体" w:cs="宋体"/>
          <w:color w:val="auto"/>
          <w:sz w:val="24"/>
          <w:szCs w:val="24"/>
        </w:rPr>
        <w:t>（4）满足招标文件要求且以进入综合评分环节的最高的评标价格优惠率为基准价格优惠率，基准价格优惠率报价得分为10分。</w:t>
      </w:r>
    </w:p>
    <w:p>
      <w:pPr>
        <w:pStyle w:val="11"/>
        <w:spacing w:line="500" w:lineRule="exact"/>
        <w:ind w:firstLine="480" w:firstLineChars="200"/>
        <w:rPr>
          <w:rFonts w:hAnsi="宋体" w:cs="宋体"/>
          <w:color w:val="auto"/>
          <w:sz w:val="24"/>
          <w:szCs w:val="24"/>
        </w:rPr>
      </w:pPr>
      <w:r>
        <w:rPr>
          <w:rFonts w:hint="eastAsia" w:hAnsi="宋体" w:cs="宋体"/>
          <w:color w:val="auto"/>
          <w:sz w:val="24"/>
          <w:szCs w:val="24"/>
        </w:rPr>
        <w:t xml:space="preserve">（5）价格分计算公式：        </w:t>
      </w:r>
    </w:p>
    <w:p>
      <w:pPr>
        <w:pStyle w:val="11"/>
        <w:spacing w:line="460" w:lineRule="exact"/>
        <w:ind w:firstLine="480" w:firstLineChars="200"/>
        <w:rPr>
          <w:rFonts w:hAnsi="宋体" w:cs="宋体"/>
          <w:bCs/>
          <w:color w:val="auto"/>
          <w:sz w:val="24"/>
          <w:szCs w:val="24"/>
        </w:rPr>
      </w:pPr>
      <w:r>
        <w:rPr>
          <w:rFonts w:hint="eastAsia" w:hAnsi="宋体" w:cs="宋体"/>
          <w:color w:val="auto"/>
          <w:sz w:val="24"/>
          <w:szCs w:val="24"/>
        </w:rPr>
        <w:t xml:space="preserve">某投标人价格分=（1-基准价格优惠率）/（1-某投标人评标价格优惠率）×10分 </w:t>
      </w:r>
    </w:p>
    <w:p>
      <w:pPr>
        <w:tabs>
          <w:tab w:val="left" w:pos="6172"/>
        </w:tabs>
        <w:spacing w:line="460" w:lineRule="exact"/>
        <w:rPr>
          <w:rFonts w:ascii="宋体" w:hAnsi="宋体" w:cs="宋体"/>
          <w:b/>
          <w:color w:val="auto"/>
          <w:sz w:val="24"/>
        </w:rPr>
      </w:pPr>
      <w:r>
        <w:rPr>
          <w:rFonts w:hint="eastAsia" w:ascii="宋体" w:hAnsi="宋体" w:cs="宋体"/>
          <w:b/>
          <w:color w:val="auto"/>
          <w:sz w:val="24"/>
        </w:rPr>
        <w:t>2、技术分 ……………………………………………………………………8</w:t>
      </w:r>
      <w:r>
        <w:rPr>
          <w:rFonts w:hint="eastAsia" w:ascii="宋体" w:hAnsi="宋体" w:cs="宋体"/>
          <w:b/>
          <w:color w:val="auto"/>
          <w:sz w:val="24"/>
          <w:lang w:val="en-US" w:eastAsia="zh-CN"/>
        </w:rPr>
        <w:t>0</w:t>
      </w:r>
      <w:r>
        <w:rPr>
          <w:rFonts w:hint="eastAsia" w:ascii="宋体" w:hAnsi="宋体" w:cs="宋体"/>
          <w:b/>
          <w:color w:val="auto"/>
          <w:sz w:val="24"/>
        </w:rPr>
        <w:t>分</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270"/>
        <w:gridCol w:w="768"/>
        <w:gridCol w:w="6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blHeader/>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27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评分内容</w:t>
            </w:r>
          </w:p>
        </w:tc>
        <w:tc>
          <w:tcPr>
            <w:tcW w:w="6925"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7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投标人检测能力</w:t>
            </w:r>
          </w:p>
          <w:p>
            <w:pPr>
              <w:widowControl/>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（42分）</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满分5分</w:t>
            </w:r>
          </w:p>
        </w:tc>
        <w:tc>
          <w:tcPr>
            <w:tcW w:w="615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食品检验业务相关人员的数量（投标文件中提供上岗相关证件复印件， 2019年10月至2020年3月其中连续三个月由投标人代缴纳社保记录或发放工资证明材料复印件）：</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25（含）～50（不含）人：1分；</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50（含）～90（不含）人：3分；</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90（含）人以上：5分。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1"/>
                <w:szCs w:val="21"/>
              </w:rPr>
            </w:pPr>
          </w:p>
        </w:tc>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4"/>
                <w:szCs w:val="24"/>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满分5分</w:t>
            </w:r>
          </w:p>
        </w:tc>
        <w:tc>
          <w:tcPr>
            <w:tcW w:w="615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eastAsia="宋体" w:cs="宋体"/>
                <w:color w:val="auto"/>
                <w:sz w:val="21"/>
                <w:szCs w:val="21"/>
              </w:rPr>
            </w:pPr>
            <w:r>
              <w:rPr>
                <w:rFonts w:hint="eastAsia" w:ascii="宋体" w:hAnsi="宋体" w:eastAsia="宋体" w:cs="宋体"/>
                <w:b/>
                <w:color w:val="auto"/>
                <w:sz w:val="21"/>
                <w:szCs w:val="21"/>
              </w:rPr>
              <w:t>（1）直接从事食品检验工作满2年及以上检验人员数量（投标文件中提供上岗相关证件复印件，2019年10月至2020年3月其中连续三个月由投标人代缴纳社保记录或发放工资证明材料复印件）</w:t>
            </w:r>
            <w:r>
              <w:rPr>
                <w:rFonts w:hint="eastAsia" w:ascii="宋体" w:hAnsi="宋体" w:eastAsia="宋体" w:cs="宋体"/>
                <w:color w:val="auto"/>
                <w:sz w:val="21"/>
                <w:szCs w:val="21"/>
              </w:rPr>
              <w:t>：</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30（含）～40（不含）人：1分；</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40（含）～50（不含）：2分；</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50（含）以上：3分。</w:t>
            </w:r>
          </w:p>
          <w:p>
            <w:pPr>
              <w:widowControl/>
              <w:spacing w:line="400" w:lineRule="exact"/>
              <w:rPr>
                <w:rFonts w:hint="eastAsia" w:ascii="宋体" w:hAnsi="宋体" w:eastAsia="宋体" w:cs="宋体"/>
                <w:color w:val="auto"/>
                <w:sz w:val="21"/>
                <w:szCs w:val="21"/>
              </w:rPr>
            </w:pPr>
            <w:r>
              <w:rPr>
                <w:rFonts w:hint="eastAsia" w:ascii="宋体" w:hAnsi="宋体" w:eastAsia="宋体" w:cs="宋体"/>
                <w:b/>
                <w:color w:val="auto"/>
                <w:sz w:val="21"/>
                <w:szCs w:val="21"/>
              </w:rPr>
              <w:t>（2）从事食品检验工作满2年以上具</w:t>
            </w:r>
            <w:r>
              <w:rPr>
                <w:rFonts w:hint="eastAsia" w:ascii="宋体" w:hAnsi="宋体" w:eastAsia="宋体" w:cs="宋体"/>
                <w:b/>
                <w:color w:val="auto"/>
                <w:sz w:val="21"/>
                <w:szCs w:val="21"/>
                <w:highlight w:val="none"/>
              </w:rPr>
              <w:t>有</w:t>
            </w:r>
            <w:r>
              <w:rPr>
                <w:rFonts w:hint="eastAsia" w:ascii="宋体" w:hAnsi="宋体" w:eastAsia="宋体" w:cs="宋体"/>
                <w:b/>
                <w:bCs/>
                <w:color w:val="auto"/>
                <w:sz w:val="21"/>
                <w:szCs w:val="21"/>
                <w:highlight w:val="none"/>
              </w:rPr>
              <w:t>具有中级及以上技术职称（或同等能力）</w:t>
            </w:r>
            <w:r>
              <w:rPr>
                <w:rFonts w:hint="eastAsia" w:ascii="宋体" w:hAnsi="宋体" w:eastAsia="宋体" w:cs="宋体"/>
                <w:b/>
                <w:color w:val="auto"/>
                <w:sz w:val="21"/>
                <w:szCs w:val="21"/>
                <w:highlight w:val="none"/>
              </w:rPr>
              <w:t>的技术人员数量（投标文件中提供上岗相关证件复印件， 2019年10月至2020年3月其中连续三个月由投标人代缴纳社保记录或发放工资证明材料复印件以及个人职称证书复印件为准，原件备查）：</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10（含）～20（不含）人：1分；</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20人（含）以上：2分。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6"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1"/>
                <w:szCs w:val="21"/>
              </w:rPr>
            </w:pPr>
          </w:p>
        </w:tc>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4"/>
                <w:szCs w:val="24"/>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满分3分</w:t>
            </w:r>
          </w:p>
        </w:tc>
        <w:tc>
          <w:tcPr>
            <w:tcW w:w="615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eastAsia="宋体" w:cs="宋体"/>
                <w:color w:val="auto"/>
                <w:sz w:val="21"/>
                <w:szCs w:val="21"/>
              </w:rPr>
            </w:pPr>
            <w:r>
              <w:rPr>
                <w:rFonts w:hint="eastAsia" w:ascii="宋体" w:hAnsi="宋体" w:eastAsia="宋体" w:cs="宋体"/>
                <w:b/>
                <w:color w:val="auto"/>
                <w:sz w:val="21"/>
                <w:szCs w:val="21"/>
              </w:rPr>
              <w:t>有承担食品抽检工作的独立抽样人员（投标文件中提供上岗相关证件复印件， 2019年10月至2020年3月其中连续三个月由投标人代缴纳社保记录或发放工资证明材料复印件，原件备查）</w:t>
            </w:r>
            <w:r>
              <w:rPr>
                <w:rFonts w:hint="eastAsia" w:ascii="宋体" w:hAnsi="宋体" w:eastAsia="宋体" w:cs="宋体"/>
                <w:color w:val="auto"/>
                <w:sz w:val="21"/>
                <w:szCs w:val="21"/>
              </w:rPr>
              <w:t>：</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10人以下：1分；</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10（含）～20（不含）人：2分；</w:t>
            </w:r>
          </w:p>
          <w:p>
            <w:pPr>
              <w:widowControl/>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20人（含）以上：3分。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1"/>
                <w:szCs w:val="21"/>
              </w:rPr>
            </w:pPr>
          </w:p>
        </w:tc>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4"/>
                <w:szCs w:val="24"/>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b/>
                <w:bCs/>
                <w:color w:val="auto"/>
              </w:rPr>
            </w:pPr>
            <w:r>
              <w:rPr>
                <w:rFonts w:hint="eastAsia"/>
                <w:b/>
                <w:bCs/>
                <w:color w:val="auto"/>
              </w:rPr>
              <w:t>实验室管理人员情况（投标文件中提供2019年10月至2020年3月其中连续三个月由投标人代缴纳社保记录或发放工资证明材料复印件以及个人职称证书复印件，原件备查）：</w:t>
            </w:r>
          </w:p>
          <w:p>
            <w:pPr>
              <w:keepNext w:val="0"/>
              <w:keepLines w:val="0"/>
              <w:pageBreakBefore w:val="0"/>
              <w:widowControl/>
              <w:numPr>
                <w:ilvl w:val="0"/>
                <w:numId w:val="3"/>
              </w:numPr>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食品检测技术负责人、质量负责人和授权签字人均应当具有高级工程师职称，并具有5年以上相关工作经验，每1人得1分，满分3分。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w:t>
            </w:r>
            <w:r>
              <w:rPr>
                <w:rFonts w:hint="eastAsia"/>
                <w:color w:val="auto"/>
                <w:lang w:val="en-US" w:eastAsia="zh-CN"/>
              </w:rPr>
              <w:t>2</w:t>
            </w:r>
            <w:r>
              <w:rPr>
                <w:rFonts w:hint="eastAsia"/>
                <w:color w:val="auto"/>
              </w:rPr>
              <w:t>）</w:t>
            </w:r>
            <w:r>
              <w:rPr>
                <w:rFonts w:hint="eastAsia" w:ascii="宋体" w:hAnsi="宋体" w:cs="宋体"/>
                <w:color w:val="auto"/>
                <w:szCs w:val="21"/>
              </w:rPr>
              <w:t>食品检测技术负责人、质量负责人和授权签字人均应当具有中</w:t>
            </w:r>
            <w:r>
              <w:rPr>
                <w:rFonts w:hint="eastAsia"/>
                <w:color w:val="auto"/>
              </w:rPr>
              <w:t>级及以上技术职称（或同等能力）</w:t>
            </w:r>
            <w:r>
              <w:rPr>
                <w:rFonts w:hint="eastAsia"/>
                <w:color w:val="auto"/>
                <w:lang w:eastAsia="zh-CN"/>
              </w:rPr>
              <w:t>，</w:t>
            </w:r>
            <w:r>
              <w:rPr>
                <w:rFonts w:hint="eastAsia" w:ascii="宋体" w:hAnsi="宋体" w:cs="宋体"/>
                <w:color w:val="auto"/>
                <w:sz w:val="21"/>
                <w:szCs w:val="21"/>
              </w:rPr>
              <w:t>并具有5年以上相关工作经验，</w:t>
            </w:r>
            <w:r>
              <w:rPr>
                <w:rFonts w:hint="eastAsia"/>
                <w:color w:val="auto"/>
              </w:rPr>
              <w:t>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1"/>
                <w:szCs w:val="21"/>
              </w:rPr>
            </w:pPr>
          </w:p>
        </w:tc>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4"/>
                <w:szCs w:val="24"/>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满分2分</w:t>
            </w:r>
          </w:p>
        </w:tc>
        <w:tc>
          <w:tcPr>
            <w:tcW w:w="615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从事食品检验管理相关工作满10年及以上的高水平检验和技术管理人员情况（投标文件中提供聘用证书复印件及2019年10月至2020年3月其中连续三个月由投标人代缴纳社保记录或发放工资证明材料复印件，否则不得分，原件备查）：</w:t>
            </w:r>
          </w:p>
          <w:p>
            <w:pPr>
              <w:widowControl/>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拥有国家级食品专业委员会委员：2分；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拥有省部级食品专业委员会委员：1</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拥有行业食品专业委员会委员：</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7"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1"/>
                <w:szCs w:val="21"/>
              </w:rPr>
            </w:pPr>
          </w:p>
        </w:tc>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4"/>
                <w:szCs w:val="24"/>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tc>
        <w:tc>
          <w:tcPr>
            <w:tcW w:w="6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开展食品安全抽检工作实验室面积（投标文件中提供投标人实验室有效的房屋产权使用证明或租赁合同及实验室平面图复印件）：</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1000（不含）平方米以下的不得分；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1000（含）～3000（不含）平方米：1分；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3000（含）～</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000（不含）平方米：2分；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5000（含）平方米以上：</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1"/>
                <w:szCs w:val="21"/>
              </w:rPr>
            </w:pPr>
          </w:p>
        </w:tc>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4"/>
                <w:szCs w:val="24"/>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满分7分</w:t>
            </w:r>
          </w:p>
        </w:tc>
        <w:tc>
          <w:tcPr>
            <w:tcW w:w="615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（1）用于食品检验的大型检验仪器设备情况：</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须具有液相色谱仪、气相色谱仪、液相色谱-质谱联用仪、气相色谱-质谱联用仪、原子吸收仪和原子荧光仪（有电感耦合等离子发射光谱仪或电感耦合等离子体质谱仪的可没有原子吸收仪和原子荧光仪）等仪器设备，满分3分，缺项不得分。 </w:t>
            </w:r>
          </w:p>
          <w:p>
            <w:pPr>
              <w:widowControl/>
              <w:spacing w:line="400" w:lineRule="exact"/>
              <w:rPr>
                <w:rFonts w:hint="eastAsia" w:ascii="宋体" w:hAnsi="宋体" w:eastAsia="宋体" w:cs="宋体"/>
                <w:color w:val="auto"/>
                <w:sz w:val="21"/>
                <w:szCs w:val="21"/>
              </w:rPr>
            </w:pPr>
            <w:r>
              <w:rPr>
                <w:rFonts w:hint="eastAsia" w:ascii="宋体" w:hAnsi="宋体" w:eastAsia="宋体" w:cs="宋体"/>
                <w:b/>
                <w:color w:val="auto"/>
                <w:sz w:val="21"/>
                <w:szCs w:val="21"/>
              </w:rPr>
              <w:t>（2）用于食品检验的大型检验仪器设备固定资产情况：</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500（含）万～800（不含）万：1分；</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800（含）万～1200（不含）万：2分；</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1200（含）万～</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00（不含）万：3分；</w:t>
            </w:r>
          </w:p>
          <w:p>
            <w:pPr>
              <w:widowControl/>
              <w:spacing w:line="400" w:lineRule="exact"/>
              <w:rPr>
                <w:rFonts w:hint="eastAsia" w:ascii="宋体" w:hAnsi="宋体" w:eastAsia="宋体" w:cs="宋体"/>
                <w:b/>
                <w:bCs/>
                <w:color w:val="auto"/>
                <w:sz w:val="21"/>
                <w:szCs w:val="21"/>
                <w:highlight w:val="green"/>
                <w:lang w:eastAsia="zh-CN"/>
              </w:rPr>
            </w:pPr>
            <w:r>
              <w:rPr>
                <w:rFonts w:hint="eastAsia" w:ascii="宋体" w:hAnsi="宋体" w:cs="宋体"/>
                <w:color w:val="auto"/>
                <w:sz w:val="21"/>
                <w:szCs w:val="21"/>
                <w:lang w:val="en-US" w:eastAsia="zh-CN"/>
              </w:rPr>
              <w:t>2000</w:t>
            </w:r>
            <w:r>
              <w:rPr>
                <w:rFonts w:hint="eastAsia" w:ascii="宋体" w:hAnsi="宋体" w:eastAsia="宋体" w:cs="宋体"/>
                <w:color w:val="auto"/>
                <w:sz w:val="21"/>
                <w:szCs w:val="21"/>
              </w:rPr>
              <w:t>（含）万以上：4分。</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（大型检验仪器设备指单台仪器设备价值在10万元（含）以上者，投标文件中需提供大型检验仪器设备一览表及购置发票复印件）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1"/>
                <w:szCs w:val="21"/>
              </w:rPr>
            </w:pPr>
          </w:p>
        </w:tc>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4"/>
                <w:szCs w:val="24"/>
              </w:rPr>
            </w:pPr>
          </w:p>
        </w:tc>
        <w:tc>
          <w:tcPr>
            <w:tcW w:w="76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满分8分</w:t>
            </w:r>
          </w:p>
        </w:tc>
        <w:tc>
          <w:tcPr>
            <w:tcW w:w="615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资质覆盖能力占全部采购项的比例情况：</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比例为85%以下的：0分；</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比例为85%（含）～88%（不含）的：1分；</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比例为88%（含）～90%（不含）的：2分；</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比例为90%（含）～92%（不含）的：4分；</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比例为92%（含）～94%（不含）的：6分；</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比例为94%（含）～100%（含）的：8分；</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需提供实验室资质认定证书及能力附表、检验项目资质覆盖情况自查表（显示最终覆盖能力比例），如涉及非标方法（或地方标准）项目需提供非标方法（或地方标准）和方法学验证材料。否则不得分。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1"/>
                <w:szCs w:val="21"/>
              </w:rPr>
            </w:pPr>
          </w:p>
        </w:tc>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4"/>
                <w:szCs w:val="24"/>
              </w:rPr>
            </w:pPr>
          </w:p>
        </w:tc>
        <w:tc>
          <w:tcPr>
            <w:tcW w:w="76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tc>
        <w:tc>
          <w:tcPr>
            <w:tcW w:w="615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满足样品运输条件情况：</w:t>
            </w:r>
          </w:p>
          <w:p>
            <w:pPr>
              <w:spacing w:line="360" w:lineRule="exact"/>
              <w:jc w:val="left"/>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自有冷藏（冷冻）车辆的或签订租用冷藏（冷冻）车协议的，3分；</w:t>
            </w:r>
          </w:p>
          <w:p>
            <w:pPr>
              <w:spacing w:line="360" w:lineRule="exact"/>
              <w:jc w:val="left"/>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自有具备冷藏（冷冻）能力车辆的（指车上具有车载冰箱或具有保温功能冷藏箱和温度记录设备）或签订租用具备冷藏（冷冻）能力车辆协议的：2分；</w:t>
            </w:r>
          </w:p>
          <w:p>
            <w:pPr>
              <w:spacing w:line="360" w:lineRule="exact"/>
              <w:jc w:val="left"/>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仅具有保温功能冷藏箱和温度记录设备的：1分；</w:t>
            </w:r>
          </w:p>
          <w:p>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投标文件中需提供车型行驶证及冷藏冷冻设备照片或租用协议复印件并加盖投标人单位公章，否则不予计分。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1"/>
                <w:szCs w:val="21"/>
              </w:rPr>
            </w:pPr>
          </w:p>
        </w:tc>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4"/>
                <w:szCs w:val="24"/>
              </w:rPr>
            </w:pPr>
          </w:p>
        </w:tc>
        <w:tc>
          <w:tcPr>
            <w:tcW w:w="76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满分3分</w:t>
            </w:r>
          </w:p>
        </w:tc>
        <w:tc>
          <w:tcPr>
            <w:tcW w:w="615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eastAsia="宋体" w:cs="宋体"/>
                <w:color w:val="auto"/>
                <w:sz w:val="21"/>
                <w:szCs w:val="21"/>
              </w:rPr>
            </w:pPr>
            <w:r>
              <w:rPr>
                <w:rFonts w:hint="eastAsia" w:ascii="宋体" w:hAnsi="宋体" w:eastAsia="宋体" w:cs="宋体"/>
                <w:b/>
                <w:color w:val="auto"/>
                <w:sz w:val="21"/>
                <w:szCs w:val="21"/>
              </w:rPr>
              <w:t>实验室存放备用样品储存间必须具备冷藏（冷冻）能力</w:t>
            </w:r>
            <w:r>
              <w:rPr>
                <w:rFonts w:hint="eastAsia" w:ascii="宋体" w:hAnsi="宋体" w:eastAsia="宋体" w:cs="宋体"/>
                <w:color w:val="auto"/>
                <w:sz w:val="21"/>
                <w:szCs w:val="21"/>
              </w:rPr>
              <w:t>：</w:t>
            </w:r>
          </w:p>
          <w:p>
            <w:pPr>
              <w:widowControl/>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储存冰</w:t>
            </w:r>
            <w:r>
              <w:rPr>
                <w:rFonts w:hint="eastAsia" w:ascii="宋体" w:hAnsi="宋体" w:eastAsia="宋体" w:cs="宋体"/>
                <w:color w:val="auto"/>
                <w:sz w:val="21"/>
                <w:szCs w:val="21"/>
                <w:highlight w:val="none"/>
              </w:rPr>
              <w:t>箱/冰柜容积总和大于</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（含）立方米或冷冻（冷藏）库面积大于</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0（含）平方米的：3分；</w:t>
            </w:r>
          </w:p>
          <w:p>
            <w:pPr>
              <w:widowControl/>
              <w:spacing w:line="400" w:lineRule="exact"/>
              <w:rPr>
                <w:color w:val="auto"/>
                <w:highlight w:val="none"/>
              </w:rPr>
            </w:pPr>
            <w:r>
              <w:rPr>
                <w:rFonts w:hint="eastAsia"/>
                <w:color w:val="auto"/>
                <w:highlight w:val="none"/>
              </w:rPr>
              <w:t>储存冰箱/冰柜容积总和</w:t>
            </w:r>
            <w:r>
              <w:rPr>
                <w:rFonts w:hint="eastAsia"/>
                <w:color w:val="auto"/>
                <w:highlight w:val="none"/>
                <w:lang w:val="en-US" w:eastAsia="zh-CN"/>
              </w:rPr>
              <w:t>30</w:t>
            </w:r>
            <w:r>
              <w:rPr>
                <w:rFonts w:hint="eastAsia"/>
                <w:color w:val="auto"/>
                <w:highlight w:val="none"/>
              </w:rPr>
              <w:t>（含）～</w:t>
            </w:r>
            <w:r>
              <w:rPr>
                <w:rFonts w:hint="eastAsia"/>
                <w:color w:val="auto"/>
                <w:highlight w:val="none"/>
                <w:lang w:val="en-US" w:eastAsia="zh-CN"/>
              </w:rPr>
              <w:t>40</w:t>
            </w:r>
            <w:r>
              <w:rPr>
                <w:rFonts w:hint="eastAsia"/>
                <w:color w:val="auto"/>
                <w:highlight w:val="none"/>
              </w:rPr>
              <w:t>（不含）立方米或冷冻（冷藏）库面积</w:t>
            </w:r>
            <w:r>
              <w:rPr>
                <w:rFonts w:hint="eastAsia"/>
                <w:color w:val="auto"/>
                <w:highlight w:val="none"/>
                <w:lang w:val="en-US" w:eastAsia="zh-CN"/>
              </w:rPr>
              <w:t>40</w:t>
            </w:r>
            <w:r>
              <w:rPr>
                <w:rFonts w:hint="eastAsia"/>
                <w:color w:val="auto"/>
                <w:highlight w:val="none"/>
              </w:rPr>
              <w:t>（含）～</w:t>
            </w:r>
            <w:r>
              <w:rPr>
                <w:rFonts w:hint="eastAsia"/>
                <w:color w:val="auto"/>
                <w:highlight w:val="none"/>
                <w:lang w:val="en-US" w:eastAsia="zh-CN"/>
              </w:rPr>
              <w:t>50</w:t>
            </w:r>
            <w:r>
              <w:rPr>
                <w:rFonts w:hint="eastAsia"/>
                <w:color w:val="auto"/>
                <w:highlight w:val="none"/>
              </w:rPr>
              <w:t>（不含）平方米的：2分；</w:t>
            </w:r>
          </w:p>
          <w:p>
            <w:pPr>
              <w:widowControl/>
              <w:spacing w:line="400" w:lineRule="exact"/>
              <w:rPr>
                <w:color w:val="auto"/>
                <w:highlight w:val="none"/>
              </w:rPr>
            </w:pPr>
            <w:r>
              <w:rPr>
                <w:rFonts w:hint="eastAsia"/>
                <w:color w:val="auto"/>
                <w:highlight w:val="none"/>
              </w:rPr>
              <w:t>储存冰箱/冰柜容积总和</w:t>
            </w:r>
            <w:r>
              <w:rPr>
                <w:rFonts w:hint="eastAsia"/>
                <w:color w:val="auto"/>
                <w:highlight w:val="none"/>
                <w:lang w:val="en-US" w:eastAsia="zh-CN"/>
              </w:rPr>
              <w:t>20</w:t>
            </w:r>
            <w:r>
              <w:rPr>
                <w:rFonts w:hint="eastAsia"/>
                <w:color w:val="auto"/>
                <w:highlight w:val="none"/>
              </w:rPr>
              <w:t>（含）～</w:t>
            </w:r>
            <w:r>
              <w:rPr>
                <w:rFonts w:hint="eastAsia"/>
                <w:color w:val="auto"/>
                <w:highlight w:val="none"/>
                <w:lang w:val="en-US" w:eastAsia="zh-CN"/>
              </w:rPr>
              <w:t>30</w:t>
            </w:r>
            <w:r>
              <w:rPr>
                <w:rFonts w:hint="eastAsia"/>
                <w:color w:val="auto"/>
                <w:highlight w:val="none"/>
              </w:rPr>
              <w:t>（不含）立方米或冷冻（冷藏）库面积</w:t>
            </w:r>
            <w:r>
              <w:rPr>
                <w:rFonts w:hint="eastAsia"/>
                <w:color w:val="auto"/>
                <w:highlight w:val="none"/>
                <w:lang w:val="en-US" w:eastAsia="zh-CN"/>
              </w:rPr>
              <w:t>30</w:t>
            </w:r>
            <w:r>
              <w:rPr>
                <w:rFonts w:hint="eastAsia"/>
                <w:color w:val="auto"/>
                <w:highlight w:val="none"/>
              </w:rPr>
              <w:t>（含）～</w:t>
            </w:r>
            <w:r>
              <w:rPr>
                <w:rFonts w:hint="eastAsia"/>
                <w:color w:val="auto"/>
                <w:highlight w:val="none"/>
                <w:lang w:val="en-US" w:eastAsia="zh-CN"/>
              </w:rPr>
              <w:t>40</w:t>
            </w:r>
            <w:r>
              <w:rPr>
                <w:rFonts w:hint="eastAsia"/>
                <w:color w:val="auto"/>
                <w:highlight w:val="none"/>
              </w:rPr>
              <w:t>（不含）平方米的：1分；</w:t>
            </w:r>
          </w:p>
          <w:p>
            <w:pPr>
              <w:widowControl/>
              <w:spacing w:line="400" w:lineRule="exact"/>
              <w:rPr>
                <w:color w:val="auto"/>
              </w:rPr>
            </w:pPr>
            <w:r>
              <w:rPr>
                <w:rFonts w:hint="eastAsia"/>
                <w:color w:val="auto"/>
                <w:highlight w:val="none"/>
              </w:rPr>
              <w:t>储存冰箱/冰柜容积总和低于</w:t>
            </w:r>
            <w:r>
              <w:rPr>
                <w:rFonts w:hint="eastAsia"/>
                <w:color w:val="auto"/>
                <w:highlight w:val="none"/>
                <w:lang w:val="en-US" w:eastAsia="zh-CN"/>
              </w:rPr>
              <w:t>20</w:t>
            </w:r>
            <w:r>
              <w:rPr>
                <w:rFonts w:hint="eastAsia"/>
                <w:color w:val="auto"/>
                <w:highlight w:val="none"/>
              </w:rPr>
              <w:t>（不含）立方米或冷冻（冷藏）库面积少于</w:t>
            </w:r>
            <w:r>
              <w:rPr>
                <w:rFonts w:hint="eastAsia"/>
                <w:color w:val="auto"/>
                <w:highlight w:val="none"/>
                <w:lang w:val="en-US" w:eastAsia="zh-CN"/>
              </w:rPr>
              <w:t>30</w:t>
            </w:r>
            <w:r>
              <w:rPr>
                <w:rFonts w:hint="eastAsia"/>
                <w:color w:val="auto"/>
                <w:highlight w:val="none"/>
              </w:rPr>
              <w:t>（不含）平方米的，</w:t>
            </w:r>
            <w:r>
              <w:rPr>
                <w:rFonts w:hint="eastAsia"/>
                <w:color w:val="auto"/>
              </w:rPr>
              <w:t>不得分；</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（储存间应为投标人所有，地址应与所提供资质认定证书的地址相符，冰箱/冰柜提供购置发票、容积证明及照片；冷库需提供平面图及照片等证明材料。）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7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7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投标人服务能力（</w:t>
            </w: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分）</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满分12分</w:t>
            </w:r>
          </w:p>
        </w:tc>
        <w:tc>
          <w:tcPr>
            <w:tcW w:w="61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承担本次抽检任务的工作方案：</w:t>
            </w:r>
          </w:p>
          <w:p>
            <w:p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承担本</w:t>
            </w:r>
            <w:r>
              <w:rPr>
                <w:rFonts w:hint="eastAsia" w:ascii="宋体" w:hAnsi="宋体" w:cs="宋体"/>
                <w:color w:val="auto"/>
                <w:sz w:val="21"/>
                <w:szCs w:val="21"/>
                <w:lang w:val="en-US" w:eastAsia="zh-CN"/>
              </w:rPr>
              <w:t>次</w:t>
            </w:r>
            <w:r>
              <w:rPr>
                <w:rFonts w:hint="eastAsia" w:ascii="宋体" w:hAnsi="宋体" w:eastAsia="宋体" w:cs="宋体"/>
                <w:color w:val="auto"/>
                <w:sz w:val="21"/>
                <w:szCs w:val="21"/>
              </w:rPr>
              <w:t>的抽检工作方案，应包括组织实施的方式（包括抽检监测时间安排、整体工作进度、抽样人员安排、异议处理的程序、异议联络人员名单等）、抽样方案（包括采样点分布、生产企业覆盖率、保存运输方法）、检测方案（包括检验项目、检验依据、检测方法等）、报告判定原则、结果报送要求、异议及后处理、备份样品处置规范、检验过程的质量控制体系及方法，统计分析报告纲要、工作纪律、应急预案等相关内容。</w:t>
            </w:r>
          </w:p>
          <w:p>
            <w:pPr>
              <w:pStyle w:val="2"/>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一档（2分）：基本能够理解本项目的特点，提出了基本可行的工作方案；</w:t>
            </w:r>
          </w:p>
          <w:p>
            <w:pPr>
              <w:pStyle w:val="2"/>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二档（6分）：在满足一档的基础上，准确理解本项目的特点，能够把握本项目服务的工作重点和难点，提出完整可行的工作方案；</w:t>
            </w:r>
          </w:p>
          <w:p>
            <w:pPr>
              <w:pStyle w:val="2"/>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三档（12分）：在满足二档的基础上，把握本项目服务的工作重点和难点，提出完整可行的服务工作方案，方案全面、明确、科学合理，有实施计划、组织方案等方面的详细描述、可操作性强，同比更完善有效、更优化、切实可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781" w:type="dxa"/>
            <w:vMerge w:val="continue"/>
            <w:tcBorders>
              <w:left w:val="single" w:color="000000" w:sz="4" w:space="0"/>
              <w:right w:val="single" w:color="000000" w:sz="4" w:space="0"/>
            </w:tcBorders>
            <w:vAlign w:val="center"/>
          </w:tcPr>
          <w:p>
            <w:pPr>
              <w:widowControl/>
              <w:spacing w:line="400" w:lineRule="exact"/>
              <w:jc w:val="center"/>
              <w:rPr>
                <w:rFonts w:hint="eastAsia" w:ascii="宋体" w:hAnsi="宋体" w:eastAsia="宋体" w:cs="宋体"/>
                <w:color w:val="auto"/>
                <w:sz w:val="21"/>
                <w:szCs w:val="21"/>
              </w:rPr>
            </w:pPr>
          </w:p>
        </w:tc>
        <w:tc>
          <w:tcPr>
            <w:tcW w:w="1270" w:type="dxa"/>
            <w:vMerge w:val="continue"/>
            <w:tcBorders>
              <w:left w:val="single" w:color="000000" w:sz="4" w:space="0"/>
              <w:right w:val="single" w:color="000000" w:sz="4" w:space="0"/>
            </w:tcBorders>
            <w:vAlign w:val="center"/>
          </w:tcPr>
          <w:p>
            <w:pPr>
              <w:widowControl/>
              <w:spacing w:line="400" w:lineRule="exact"/>
              <w:jc w:val="center"/>
              <w:rPr>
                <w:rFonts w:hint="eastAsia" w:ascii="宋体" w:hAnsi="宋体" w:eastAsia="宋体" w:cs="宋体"/>
                <w:color w:val="auto"/>
                <w:sz w:val="24"/>
                <w:szCs w:val="24"/>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满分10分</w:t>
            </w:r>
          </w:p>
        </w:tc>
        <w:tc>
          <w:tcPr>
            <w:tcW w:w="61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售后服务方案：</w:t>
            </w:r>
          </w:p>
          <w:p>
            <w:pPr>
              <w:pStyle w:val="2"/>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由评委根据投标人提供的售后服务方案进行评分，从售后服务方案的计划、内容、范围等进行评审。</w:t>
            </w:r>
          </w:p>
          <w:p>
            <w:pPr>
              <w:pStyle w:val="2"/>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一档（1分）：售后服务方案较为简单，得1分；</w:t>
            </w:r>
          </w:p>
          <w:p>
            <w:pPr>
              <w:pStyle w:val="2"/>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二档（5分）：在满足一档的基础上，售后服务方案满足项目需求，表述合理、清晰、有详细的售后服务保障措施及方案，得5分；</w:t>
            </w:r>
          </w:p>
          <w:p>
            <w:pPr>
              <w:pStyle w:val="2"/>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三档（10分）：在满足二档的基础上，售后服务方案更加明确合理，方案内容清晰、完整，保障措施有效可行，有更加完善的后续服务方案和服务保障体系，同比操作性强更强、更优化、切实可行的，得10分。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781" w:type="dxa"/>
            <w:vMerge w:val="continue"/>
            <w:tcBorders>
              <w:left w:val="single" w:color="000000" w:sz="4" w:space="0"/>
              <w:right w:val="single" w:color="000000" w:sz="4" w:space="0"/>
            </w:tcBorders>
            <w:vAlign w:val="center"/>
          </w:tcPr>
          <w:p>
            <w:pPr>
              <w:widowControl/>
              <w:spacing w:line="400" w:lineRule="exact"/>
              <w:jc w:val="center"/>
              <w:rPr>
                <w:rFonts w:hint="eastAsia" w:ascii="宋体" w:hAnsi="宋体" w:eastAsia="宋体" w:cs="宋体"/>
                <w:color w:val="auto"/>
                <w:sz w:val="21"/>
                <w:szCs w:val="21"/>
              </w:rPr>
            </w:pPr>
          </w:p>
        </w:tc>
        <w:tc>
          <w:tcPr>
            <w:tcW w:w="1270" w:type="dxa"/>
            <w:vMerge w:val="continue"/>
            <w:tcBorders>
              <w:left w:val="single" w:color="000000" w:sz="4" w:space="0"/>
              <w:right w:val="single" w:color="000000" w:sz="4" w:space="0"/>
            </w:tcBorders>
            <w:vAlign w:val="center"/>
          </w:tcPr>
          <w:p>
            <w:pPr>
              <w:widowControl/>
              <w:spacing w:line="400" w:lineRule="exact"/>
              <w:jc w:val="center"/>
              <w:rPr>
                <w:rFonts w:hint="eastAsia" w:ascii="宋体" w:hAnsi="宋体" w:eastAsia="宋体" w:cs="宋体"/>
                <w:color w:val="auto"/>
                <w:sz w:val="24"/>
                <w:szCs w:val="24"/>
              </w:rPr>
            </w:pPr>
          </w:p>
        </w:tc>
        <w:tc>
          <w:tcPr>
            <w:tcW w:w="76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tc>
        <w:tc>
          <w:tcPr>
            <w:tcW w:w="615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本地化服务及临时性和应急性服务能力：</w:t>
            </w:r>
          </w:p>
          <w:p>
            <w:pPr>
              <w:widowControl/>
              <w:spacing w:line="400" w:lineRule="exact"/>
              <w:rPr>
                <w:rFonts w:hint="eastAsia" w:ascii="宋体" w:hAnsi="宋体" w:eastAsia="宋体" w:cs="宋体"/>
                <w:color w:val="auto"/>
                <w:sz w:val="21"/>
                <w:szCs w:val="21"/>
              </w:rPr>
            </w:pPr>
            <w:r>
              <w:rPr>
                <w:rFonts w:hint="eastAsia" w:ascii="宋体" w:hAnsi="宋体" w:eastAsia="宋体" w:cs="宋体"/>
                <w:color w:val="auto"/>
              </w:rPr>
              <w:t>投标人在广西区内设有实验室，面积在1000平方米以上且有能力及时开展食品安全</w:t>
            </w:r>
            <w:r>
              <w:rPr>
                <w:rFonts w:hint="eastAsia" w:ascii="宋体" w:hAnsi="宋体" w:eastAsia="宋体" w:cs="宋体"/>
                <w:color w:val="auto"/>
                <w:lang w:eastAsia="zh-CN"/>
              </w:rPr>
              <w:t>监督</w:t>
            </w:r>
            <w:r>
              <w:rPr>
                <w:rFonts w:hint="eastAsia" w:ascii="宋体" w:hAnsi="宋体" w:eastAsia="宋体" w:cs="宋体"/>
                <w:color w:val="auto"/>
              </w:rPr>
              <w:t>抽检</w:t>
            </w:r>
            <w:r>
              <w:rPr>
                <w:rFonts w:hint="eastAsia" w:ascii="宋体" w:hAnsi="宋体" w:eastAsia="宋体" w:cs="宋体"/>
                <w:color w:val="auto"/>
                <w:lang w:eastAsia="zh-CN"/>
              </w:rPr>
              <w:t>、</w:t>
            </w:r>
            <w:r>
              <w:rPr>
                <w:rFonts w:hint="eastAsia" w:ascii="宋体" w:hAnsi="宋体" w:eastAsia="宋体" w:cs="宋体"/>
                <w:color w:val="auto"/>
              </w:rPr>
              <w:t>临时性和应急性食品安全抽检工作（以有效的营业执照注册地为准，提供实验室场所面积相关证明，原件备查）的得</w:t>
            </w:r>
            <w:r>
              <w:rPr>
                <w:rFonts w:hint="eastAsia" w:ascii="宋体" w:hAnsi="宋体" w:cs="宋体"/>
                <w:color w:val="auto"/>
                <w:lang w:val="en-US" w:eastAsia="zh-CN"/>
              </w:rPr>
              <w:t>2</w:t>
            </w:r>
            <w:r>
              <w:rPr>
                <w:rFonts w:hint="eastAsia" w:ascii="宋体" w:hAnsi="宋体" w:eastAsia="宋体" w:cs="宋体"/>
                <w:color w:val="auto"/>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781" w:type="dxa"/>
            <w:vMerge w:val="continue"/>
            <w:tcBorders>
              <w:left w:val="single" w:color="000000" w:sz="4" w:space="0"/>
              <w:right w:val="single" w:color="000000" w:sz="4" w:space="0"/>
            </w:tcBorders>
            <w:vAlign w:val="center"/>
          </w:tcPr>
          <w:p>
            <w:pPr>
              <w:widowControl/>
              <w:spacing w:line="400" w:lineRule="exact"/>
              <w:jc w:val="center"/>
              <w:rPr>
                <w:rFonts w:hint="eastAsia" w:ascii="宋体" w:hAnsi="宋体" w:eastAsia="宋体" w:cs="宋体"/>
                <w:color w:val="auto"/>
                <w:sz w:val="21"/>
                <w:szCs w:val="21"/>
              </w:rPr>
            </w:pPr>
          </w:p>
        </w:tc>
        <w:tc>
          <w:tcPr>
            <w:tcW w:w="1270" w:type="dxa"/>
            <w:vMerge w:val="continue"/>
            <w:tcBorders>
              <w:left w:val="single" w:color="000000" w:sz="4" w:space="0"/>
              <w:right w:val="single" w:color="000000" w:sz="4" w:space="0"/>
            </w:tcBorders>
            <w:vAlign w:val="center"/>
          </w:tcPr>
          <w:p>
            <w:pPr>
              <w:widowControl/>
              <w:spacing w:line="400" w:lineRule="exact"/>
              <w:jc w:val="center"/>
              <w:rPr>
                <w:rFonts w:hint="eastAsia" w:ascii="宋体" w:hAnsi="宋体" w:eastAsia="宋体" w:cs="宋体"/>
                <w:color w:val="auto"/>
                <w:sz w:val="24"/>
                <w:szCs w:val="24"/>
              </w:rPr>
            </w:pPr>
          </w:p>
        </w:tc>
        <w:tc>
          <w:tcPr>
            <w:tcW w:w="76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tc>
        <w:tc>
          <w:tcPr>
            <w:tcW w:w="6157"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实验室综合能力情况：</w:t>
            </w:r>
          </w:p>
          <w:p>
            <w:pPr>
              <w:pStyle w:val="11"/>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具有省级实验室（CMA）资质或者省级食品相关重点实验室资质的：2分。</w:t>
            </w:r>
          </w:p>
          <w:p>
            <w:pPr>
              <w:pStyle w:val="11"/>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具有国家级实验室（CMA）资质或者国家级食品重点实验室资质或由国家市场管总局认定的具有行政许可、备案检验和复检机构之一资质的：</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2"/>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（注：所提供的有效证书复印件均加盖投标人公章）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1"/>
                <w:szCs w:val="21"/>
              </w:rPr>
            </w:pPr>
          </w:p>
        </w:tc>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4"/>
                <w:szCs w:val="24"/>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满分5分</w:t>
            </w:r>
          </w:p>
        </w:tc>
        <w:tc>
          <w:tcPr>
            <w:tcW w:w="6157"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检验机构考核情况（满分5分）：</w:t>
            </w:r>
          </w:p>
          <w:p>
            <w:pPr>
              <w:pStyle w:val="11"/>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Cs/>
                <w:strike/>
                <w:color w:val="auto"/>
                <w:sz w:val="21"/>
                <w:szCs w:val="21"/>
              </w:rPr>
            </w:pPr>
            <w:r>
              <w:rPr>
                <w:rFonts w:hint="eastAsia" w:ascii="宋体" w:hAnsi="宋体" w:eastAsia="宋体" w:cs="宋体"/>
                <w:color w:val="auto"/>
                <w:sz w:val="21"/>
                <w:szCs w:val="21"/>
              </w:rPr>
              <w:t>2018年～2019年度</w:t>
            </w:r>
            <w:r>
              <w:rPr>
                <w:rFonts w:hint="eastAsia" w:hAnsi="宋体" w:cs="宋体"/>
                <w:color w:val="auto"/>
                <w:sz w:val="21"/>
                <w:szCs w:val="21"/>
                <w:lang w:val="en-US" w:eastAsia="zh-CN"/>
              </w:rPr>
              <w:t>政府监督部门</w:t>
            </w:r>
            <w:r>
              <w:rPr>
                <w:rFonts w:hint="eastAsia" w:ascii="宋体" w:hAnsi="宋体" w:eastAsia="宋体" w:cs="宋体"/>
                <w:color w:val="auto"/>
                <w:sz w:val="21"/>
                <w:szCs w:val="21"/>
              </w:rPr>
              <w:t>通报的盲样考核情况：没有获得满意结果的不得分；每获得1项满意结果的得1分，最高得5分；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rPr>
              <w:t>提供</w:t>
            </w:r>
            <w:r>
              <w:rPr>
                <w:rFonts w:hint="eastAsia" w:ascii="宋体" w:hAnsi="宋体" w:eastAsia="宋体" w:cs="宋体"/>
                <w:b w:val="0"/>
                <w:bCs w:val="0"/>
                <w:color w:val="auto"/>
                <w:sz w:val="21"/>
                <w:szCs w:val="21"/>
                <w:lang w:val="en-US" w:eastAsia="zh-CN"/>
              </w:rPr>
              <w:t>相关</w:t>
            </w:r>
            <w:r>
              <w:rPr>
                <w:rFonts w:hint="eastAsia" w:ascii="宋体" w:hAnsi="宋体" w:eastAsia="宋体" w:cs="宋体"/>
                <w:b w:val="0"/>
                <w:bCs w:val="0"/>
                <w:color w:val="auto"/>
                <w:sz w:val="21"/>
                <w:szCs w:val="21"/>
              </w:rPr>
              <w:t>证明材料，否则不得分</w:t>
            </w:r>
            <w:r>
              <w:rPr>
                <w:rFonts w:hint="eastAsia" w:ascii="宋体" w:hAnsi="宋体" w:eastAsia="宋体" w:cs="宋体"/>
                <w:b w:val="0"/>
                <w:bCs w:val="0"/>
                <w:color w:val="auto"/>
                <w:sz w:val="21"/>
                <w:szCs w:val="21"/>
                <w:lang w:val="en-US" w:eastAsia="zh-CN"/>
              </w:rPr>
              <w:t>。</w:t>
            </w:r>
            <w:r>
              <w:rPr>
                <w:rFonts w:hint="eastAsia" w:ascii="宋体" w:hAnsi="宋体" w:eastAsia="宋体" w:cs="宋体"/>
                <w:b/>
                <w:bCs/>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1"/>
                <w:szCs w:val="21"/>
              </w:rPr>
            </w:pPr>
          </w:p>
        </w:tc>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auto"/>
                <w:sz w:val="24"/>
                <w:szCs w:val="24"/>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满分5分</w:t>
            </w:r>
          </w:p>
        </w:tc>
        <w:tc>
          <w:tcPr>
            <w:tcW w:w="6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（1）近两年（2018年1月1日～2019年12月31日）参与国内外相关组织的实验室能力验证项目涵盖情况：</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项目属于重金属 、微生物/毒素 、农兽药、食品添加剂、非法添加物（或非食用物质）等5个领域，每参加1个领域且结果是满意的，得0.4分，满分2分，其他领域不得分。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（2）近两年（2018年1月1日～2019年12月31日）参与国内外相关组织的实验室能力验证情况（项目应属于上述5个领域，其他领域不得分）</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获得不少于35项次（含）满意结果的：1分；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获得不少于40项次（含）满意结果的：2分；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获得不少于</w:t>
            </w:r>
            <w:r>
              <w:rPr>
                <w:rFonts w:hint="eastAsia" w:ascii="宋体" w:hAnsi="宋体" w:cs="宋体"/>
                <w:color w:val="auto"/>
                <w:sz w:val="21"/>
                <w:szCs w:val="21"/>
                <w:lang w:val="en-US" w:eastAsia="zh-CN"/>
              </w:rPr>
              <w:t>50</w:t>
            </w:r>
            <w:r>
              <w:rPr>
                <w:rFonts w:hint="eastAsia" w:ascii="宋体" w:hAnsi="宋体" w:eastAsia="宋体" w:cs="宋体"/>
                <w:color w:val="auto"/>
                <w:sz w:val="21"/>
                <w:szCs w:val="21"/>
              </w:rPr>
              <w:t>项次（含）满意结果的：3分；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rPr>
              <w:t>提供证明材料，否则不得分。</w:t>
            </w:r>
          </w:p>
        </w:tc>
      </w:tr>
    </w:tbl>
    <w:p>
      <w:pPr>
        <w:spacing w:line="460" w:lineRule="exact"/>
        <w:jc w:val="left"/>
        <w:rPr>
          <w:rFonts w:ascii="宋体" w:hAnsi="宋体" w:cs="宋体"/>
          <w:b/>
          <w:color w:val="auto"/>
          <w:sz w:val="24"/>
        </w:rPr>
      </w:pPr>
      <w:r>
        <w:rPr>
          <w:rFonts w:hint="eastAsia" w:ascii="宋体" w:hAnsi="宋体" w:cs="宋体"/>
          <w:b/>
          <w:color w:val="auto"/>
          <w:sz w:val="24"/>
        </w:rPr>
        <w:t>3、商务分……………………………………………………………………………</w:t>
      </w:r>
      <w:r>
        <w:rPr>
          <w:rFonts w:hint="eastAsia" w:ascii="宋体" w:hAnsi="宋体" w:cs="宋体"/>
          <w:b/>
          <w:color w:val="auto"/>
          <w:sz w:val="24"/>
          <w:lang w:val="en-US" w:eastAsia="zh-CN"/>
        </w:rPr>
        <w:t>10</w:t>
      </w:r>
      <w:r>
        <w:rPr>
          <w:rFonts w:hint="eastAsia" w:ascii="宋体" w:hAnsi="宋体" w:cs="宋体"/>
          <w:b/>
          <w:color w:val="auto"/>
          <w:sz w:val="24"/>
        </w:rPr>
        <w:t>分</w:t>
      </w:r>
    </w:p>
    <w:tbl>
      <w:tblPr>
        <w:tblStyle w:val="24"/>
        <w:tblW w:w="89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270"/>
        <w:gridCol w:w="768"/>
        <w:gridCol w:w="6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781"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70"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业绩分</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w:t>
            </w:r>
          </w:p>
        </w:tc>
        <w:tc>
          <w:tcPr>
            <w:tcW w:w="6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（1）投标人自2018年1月1日以来完成的省级（含）以上食品安全抽样检验工作任务及类似项目检验案例，需提供合同和检验报告复印件，每个案例得1分，最高2分。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（2）投标人自2018年1月1日以来完成的地市级（含）以上食品安全抽样检验工作任务及类似项目检验案例，需提供合同和检验报告复印件，每个案例得1分，最高2分。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highlight w:val="none"/>
              </w:rPr>
              <w:t>（3）投标人自2018年1月1日以来承担过地市级（含）以上食品应急或专项评价性抽检类任务的，需提供合同和检验报告复印件，每项得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分，最高得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信誉分</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tc>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tc>
        <w:tc>
          <w:tcPr>
            <w:tcW w:w="6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（1）投标人具有农产品质量安全检测机构考核合格证书的，得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（2）投标人</w:t>
            </w:r>
            <w:r>
              <w:rPr>
                <w:rFonts w:hint="eastAsia" w:ascii="宋体" w:hAnsi="宋体" w:cs="宋体"/>
                <w:color w:val="auto"/>
                <w:sz w:val="21"/>
                <w:szCs w:val="21"/>
                <w:lang w:eastAsia="zh-CN"/>
              </w:rPr>
              <w:t>具有</w:t>
            </w:r>
            <w:r>
              <w:rPr>
                <w:rFonts w:hint="eastAsia" w:ascii="宋体" w:hAnsi="宋体" w:eastAsia="宋体" w:cs="宋体"/>
                <w:color w:val="auto"/>
                <w:sz w:val="21"/>
                <w:szCs w:val="21"/>
              </w:rPr>
              <w:t>ISO9000系列国际质量管理体系认证（或ISO/IEC17025实验室质量管理体系认证）、ISO14001环境管理体系认证、职业健康安全管理体系认证</w:t>
            </w:r>
            <w:r>
              <w:rPr>
                <w:rFonts w:hint="eastAsia" w:ascii="宋体" w:hAnsi="宋体" w:cs="宋体"/>
                <w:color w:val="auto"/>
                <w:sz w:val="21"/>
                <w:szCs w:val="21"/>
                <w:lang w:eastAsia="zh-CN"/>
              </w:rPr>
              <w:t>、</w:t>
            </w:r>
            <w:r>
              <w:rPr>
                <w:rFonts w:hint="eastAsia" w:ascii="宋体" w:hAnsi="宋体" w:eastAsia="宋体" w:cs="宋体"/>
                <w:color w:val="auto"/>
                <w:sz w:val="21"/>
                <w:szCs w:val="21"/>
              </w:rPr>
              <w:t>中国合格评定国家认可委员会实验室认可证书，</w:t>
            </w:r>
            <w:r>
              <w:rPr>
                <w:rFonts w:hint="eastAsia" w:ascii="宋体" w:hAnsi="宋体" w:cs="宋体"/>
                <w:color w:val="auto"/>
                <w:sz w:val="21"/>
                <w:szCs w:val="21"/>
                <w:lang w:eastAsia="zh-CN"/>
              </w:rPr>
              <w:t>获得其中</w:t>
            </w:r>
            <w:r>
              <w:rPr>
                <w:rFonts w:hint="eastAsia" w:ascii="宋体" w:hAnsi="宋体" w:eastAsia="宋体" w:cs="宋体"/>
                <w:color w:val="auto"/>
                <w:sz w:val="21"/>
                <w:szCs w:val="21"/>
              </w:rPr>
              <w:t>之一</w:t>
            </w:r>
            <w:r>
              <w:rPr>
                <w:rFonts w:hint="eastAsia" w:ascii="宋体" w:hAnsi="宋体" w:cs="宋体"/>
                <w:color w:val="auto"/>
                <w:sz w:val="21"/>
                <w:szCs w:val="21"/>
                <w:lang w:eastAsia="zh-CN"/>
              </w:rPr>
              <w:t>证书的</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tc>
      </w:tr>
    </w:tbl>
    <w:p>
      <w:pPr>
        <w:pStyle w:val="8"/>
        <w:autoSpaceDE w:val="0"/>
        <w:autoSpaceDN w:val="0"/>
        <w:spacing w:line="480" w:lineRule="exact"/>
        <w:ind w:firstLine="484" w:firstLineChars="200"/>
        <w:rPr>
          <w:rFonts w:hint="eastAsia" w:ascii="宋体" w:hAnsi="宋体" w:eastAsia="宋体" w:cs="宋体"/>
          <w:color w:val="auto"/>
          <w:spacing w:val="1"/>
          <w:position w:val="-3"/>
        </w:rPr>
      </w:pPr>
    </w:p>
    <w:p>
      <w:pPr>
        <w:pStyle w:val="8"/>
        <w:autoSpaceDE w:val="0"/>
        <w:autoSpaceDN w:val="0"/>
        <w:spacing w:line="480" w:lineRule="exact"/>
        <w:ind w:firstLine="480" w:firstLineChars="200"/>
        <w:rPr>
          <w:rFonts w:hint="eastAsia" w:ascii="宋体" w:hAnsi="宋体" w:eastAsia="宋体" w:cs="宋体"/>
          <w:color w:val="auto"/>
        </w:rPr>
      </w:pPr>
      <w:r>
        <w:rPr>
          <w:rFonts w:hint="eastAsia" w:ascii="宋体" w:hAnsi="宋体" w:eastAsia="宋体" w:cs="宋体"/>
          <w:color w:val="auto"/>
        </w:rPr>
        <w:t>总得分＝1＋2＋3</w:t>
      </w:r>
    </w:p>
    <w:p>
      <w:pPr>
        <w:pStyle w:val="11"/>
        <w:spacing w:line="480" w:lineRule="exact"/>
        <w:ind w:firstLine="545" w:firstLineChars="226"/>
        <w:rPr>
          <w:rFonts w:hAnsi="宋体" w:cs="宋体"/>
          <w:b/>
          <w:bCs/>
          <w:color w:val="auto"/>
          <w:sz w:val="24"/>
          <w:szCs w:val="24"/>
        </w:rPr>
      </w:pPr>
      <w:r>
        <w:rPr>
          <w:rFonts w:hint="eastAsia" w:hAnsi="宋体" w:cs="宋体"/>
          <w:b/>
          <w:bCs/>
          <w:color w:val="auto"/>
          <w:sz w:val="24"/>
          <w:szCs w:val="24"/>
        </w:rPr>
        <w:t>二、评标标准</w:t>
      </w:r>
    </w:p>
    <w:p>
      <w:pPr>
        <w:pStyle w:val="11"/>
        <w:spacing w:line="500" w:lineRule="exact"/>
        <w:ind w:firstLine="480" w:firstLineChars="200"/>
        <w:rPr>
          <w:rFonts w:hAnsi="宋体" w:cs="宋体"/>
          <w:bCs/>
          <w:color w:val="auto"/>
          <w:sz w:val="24"/>
          <w:szCs w:val="24"/>
        </w:rPr>
      </w:pPr>
      <w:r>
        <w:rPr>
          <w:rFonts w:hint="eastAsia" w:hAnsi="宋体" w:cs="宋体"/>
          <w:bCs/>
          <w:color w:val="auto"/>
          <w:sz w:val="24"/>
          <w:szCs w:val="24"/>
        </w:rPr>
        <w:t>（1）评标委员会将根据得分由高到低排列次序（得分相同时，以价格优惠率由高到低排列；得分相同且投标报价相同的，按技术分由高到低顺序排列）推荐中标候选供应商。采购人应当确定评标委员会推荐的前3名候选供应商为中标（成交）供应商。</w:t>
      </w:r>
    </w:p>
    <w:p>
      <w:pPr>
        <w:pStyle w:val="4"/>
        <w:spacing w:before="0" w:after="0" w:line="500" w:lineRule="exact"/>
        <w:ind w:firstLine="480" w:firstLineChars="200"/>
        <w:rPr>
          <w:rFonts w:ascii="宋体" w:hAnsi="宋体" w:eastAsia="宋体" w:cs="宋体"/>
          <w:b w:val="0"/>
          <w:color w:val="auto"/>
          <w:sz w:val="24"/>
          <w:szCs w:val="24"/>
        </w:rPr>
      </w:pPr>
      <w:r>
        <w:rPr>
          <w:rFonts w:hint="eastAsia" w:ascii="宋体" w:hAnsi="宋体" w:eastAsia="宋体" w:cs="宋体"/>
          <w:b w:val="0"/>
          <w:color w:val="auto"/>
          <w:sz w:val="24"/>
          <w:szCs w:val="24"/>
        </w:rPr>
        <w:t>（2）如确定的中标供应商放弃中标、因不可抗力提出不能履行合同，或者招标文件规定应当提交履约保证金而在规定的期限内未能提交的，招标采购单位可以按排名先后依次确定推荐的中标候选单位为中标供应商，以此类推。</w:t>
      </w:r>
    </w:p>
    <w:p>
      <w:pPr>
        <w:pStyle w:val="11"/>
        <w:spacing w:line="500" w:lineRule="exact"/>
        <w:ind w:firstLine="480" w:firstLineChars="200"/>
        <w:rPr>
          <w:rFonts w:hAnsi="宋体" w:cs="宋体"/>
          <w:bCs/>
          <w:color w:val="auto"/>
          <w:sz w:val="24"/>
          <w:szCs w:val="24"/>
        </w:rPr>
      </w:pPr>
      <w:r>
        <w:rPr>
          <w:rFonts w:hint="eastAsia" w:hAnsi="宋体" w:cs="宋体"/>
          <w:bCs/>
          <w:color w:val="auto"/>
          <w:sz w:val="24"/>
          <w:szCs w:val="24"/>
        </w:rPr>
        <w:t>（3）评标委员会认为，某投标人的有效投标报价明显低于其他通过符合审查投标人的报价，</w:t>
      </w:r>
      <w:r>
        <w:rPr>
          <w:rFonts w:hint="eastAsia" w:hAnsi="宋体" w:cs="宋体"/>
          <w:color w:val="auto"/>
          <w:sz w:val="24"/>
        </w:rPr>
        <w:t>有可能影响商品质量和不能诚信履约的，应要求其在谈判现场规定合理的时间内提供书面说明，必要时提交相关证明材料，投标人不能证明其报价合理性的，谈判小组应当将其作为无效投标处理。</w:t>
      </w:r>
    </w:p>
    <w:p>
      <w:pPr>
        <w:pStyle w:val="11"/>
        <w:spacing w:line="400" w:lineRule="exact"/>
        <w:ind w:firstLine="420" w:firstLineChars="200"/>
        <w:rPr>
          <w:rFonts w:hAnsi="宋体" w:cs="宋体"/>
          <w:bCs/>
          <w:color w:val="auto"/>
          <w:sz w:val="24"/>
          <w:szCs w:val="24"/>
        </w:rPr>
      </w:pPr>
      <w:r>
        <w:rPr>
          <w:rFonts w:hint="eastAsia" w:hAnsi="宋体" w:cs="宋体"/>
          <w:color w:val="auto"/>
        </w:rPr>
        <w:t>相关证明材料包含：本项目成本分析报告，同时提供（包括但不限于）以下支撑证明材料：①投标人近3个月以来依法纳税的完税凭证，以及投标人主要负责人的《依法缴纳个人所得税或依法免缴个人所得税的凭证》和依法缴纳社保证明；②2017年度～2019年度经第三方具备审计资质的机构出具的审计报告（包括其固定资产成本及折旧、管理成本、人工费成本（如人员工资、奖金、福利及差旅等费用）、税收等所有成本及利润）复印件；③提供2019年以来至少2项同类产品销售业绩的费用成本组成明细。</w:t>
      </w:r>
      <w:r>
        <w:rPr>
          <w:rFonts w:hint="eastAsia" w:hAnsi="宋体" w:cs="宋体"/>
          <w:bCs/>
          <w:color w:val="auto"/>
          <w:sz w:val="24"/>
          <w:szCs w:val="24"/>
        </w:rPr>
        <w:t xml:space="preserve">              </w:t>
      </w:r>
    </w:p>
    <w:p>
      <w:pPr>
        <w:pStyle w:val="11"/>
        <w:spacing w:line="440" w:lineRule="exact"/>
        <w:rPr>
          <w:rFonts w:hAnsi="宋体" w:cs="宋体"/>
          <w:color w:val="auto"/>
        </w:rPr>
      </w:pPr>
      <w:r>
        <w:rPr>
          <w:rFonts w:hint="eastAsia" w:hAnsi="宋体" w:cs="宋体"/>
          <w:color w:val="auto"/>
          <w:sz w:val="24"/>
          <w:szCs w:val="24"/>
        </w:rPr>
        <w:br w:type="page"/>
      </w:r>
    </w:p>
    <w:p>
      <w:pPr>
        <w:rPr>
          <w:rFonts w:ascii="宋体" w:hAnsi="宋体" w:cs="宋体"/>
          <w:color w:val="auto"/>
        </w:rPr>
      </w:pPr>
    </w:p>
    <w:p>
      <w:pPr>
        <w:rPr>
          <w:rFonts w:ascii="宋体" w:hAnsi="宋体" w:cs="宋体"/>
          <w:color w:val="auto"/>
          <w:sz w:val="30"/>
          <w:szCs w:val="30"/>
        </w:rPr>
      </w:pPr>
    </w:p>
    <w:p>
      <w:pPr>
        <w:pStyle w:val="2"/>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pStyle w:val="3"/>
        <w:keepNext/>
        <w:keepLines/>
        <w:pageBreakBefore w:val="0"/>
        <w:widowControl w:val="0"/>
        <w:kinsoku/>
        <w:wordWrap/>
        <w:overflowPunct/>
        <w:topLinePunct w:val="0"/>
        <w:autoSpaceDE/>
        <w:autoSpaceDN/>
        <w:bidi w:val="0"/>
        <w:adjustRightInd/>
        <w:snapToGrid/>
        <w:spacing w:line="500" w:lineRule="exact"/>
        <w:textAlignment w:val="auto"/>
        <w:rPr>
          <w:rFonts w:ascii="宋体" w:hAnsi="宋体" w:cs="宋体"/>
          <w:b w:val="0"/>
          <w:bCs w:val="0"/>
          <w:color w:val="auto"/>
          <w:sz w:val="32"/>
          <w:szCs w:val="32"/>
        </w:rPr>
      </w:pPr>
      <w:bookmarkStart w:id="50" w:name="_Toc9743"/>
      <w:r>
        <w:rPr>
          <w:rFonts w:hint="eastAsia" w:ascii="宋体" w:hAnsi="宋体" w:cs="宋体"/>
          <w:color w:val="auto"/>
          <w:sz w:val="36"/>
          <w:szCs w:val="36"/>
        </w:rPr>
        <w:t>第五章  合同主要条款格式</w:t>
      </w:r>
      <w:bookmarkEnd w:id="50"/>
      <w:r>
        <w:rPr>
          <w:rFonts w:hint="eastAsia" w:ascii="宋体" w:hAnsi="宋体" w:cs="宋体"/>
          <w:color w:val="auto"/>
          <w:sz w:val="36"/>
          <w:szCs w:val="36"/>
        </w:rPr>
        <w:t xml:space="preserve"> </w:t>
      </w:r>
      <w:r>
        <w:rPr>
          <w:rFonts w:hint="eastAsia" w:ascii="宋体" w:hAnsi="宋体" w:cs="宋体"/>
          <w:b w:val="0"/>
          <w:bCs w:val="0"/>
          <w:color w:val="auto"/>
          <w:sz w:val="36"/>
          <w:szCs w:val="36"/>
        </w:rPr>
        <w:t xml:space="preserve">    </w:t>
      </w:r>
      <w:r>
        <w:rPr>
          <w:rFonts w:hint="eastAsia" w:ascii="宋体" w:hAnsi="宋体" w:cs="宋体"/>
          <w:b w:val="0"/>
          <w:bCs w:val="0"/>
          <w:color w:val="auto"/>
          <w:sz w:val="32"/>
          <w:szCs w:val="32"/>
        </w:rPr>
        <w:t xml:space="preserve">                     </w:t>
      </w:r>
    </w:p>
    <w:p>
      <w:pPr>
        <w:snapToGrid w:val="0"/>
        <w:jc w:val="center"/>
        <w:rPr>
          <w:rFonts w:ascii="宋体" w:hAnsi="宋体" w:cs="宋体"/>
          <w:bCs/>
          <w:color w:val="auto"/>
          <w:sz w:val="32"/>
          <w:szCs w:val="32"/>
        </w:rPr>
      </w:pPr>
    </w:p>
    <w:p>
      <w:pPr>
        <w:snapToGrid w:val="0"/>
        <w:jc w:val="center"/>
        <w:rPr>
          <w:rFonts w:ascii="宋体" w:hAnsi="宋体" w:cs="宋体"/>
          <w:bCs/>
          <w:color w:val="auto"/>
          <w:sz w:val="32"/>
          <w:szCs w:val="32"/>
        </w:rPr>
      </w:pPr>
    </w:p>
    <w:p>
      <w:pPr>
        <w:snapToGrid w:val="0"/>
        <w:jc w:val="center"/>
        <w:rPr>
          <w:rFonts w:ascii="宋体" w:hAnsi="宋体" w:cs="宋体"/>
          <w:bCs/>
          <w:color w:val="auto"/>
          <w:sz w:val="32"/>
          <w:szCs w:val="32"/>
        </w:rPr>
      </w:pPr>
    </w:p>
    <w:p>
      <w:pPr>
        <w:snapToGrid w:val="0"/>
        <w:jc w:val="center"/>
        <w:rPr>
          <w:rFonts w:ascii="宋体" w:hAnsi="宋体" w:cs="宋体"/>
          <w:bCs/>
          <w:color w:val="auto"/>
          <w:sz w:val="32"/>
          <w:szCs w:val="32"/>
        </w:rPr>
      </w:pPr>
    </w:p>
    <w:p>
      <w:pPr>
        <w:snapToGrid w:val="0"/>
        <w:jc w:val="center"/>
        <w:rPr>
          <w:rFonts w:ascii="宋体" w:hAnsi="宋体" w:cs="宋体"/>
          <w:bCs/>
          <w:color w:val="auto"/>
          <w:sz w:val="32"/>
          <w:szCs w:val="32"/>
        </w:rPr>
      </w:pPr>
    </w:p>
    <w:p>
      <w:pPr>
        <w:snapToGrid w:val="0"/>
        <w:jc w:val="center"/>
        <w:rPr>
          <w:rFonts w:ascii="宋体" w:hAnsi="宋体" w:cs="宋体"/>
          <w:bCs/>
          <w:color w:val="auto"/>
          <w:sz w:val="32"/>
          <w:szCs w:val="32"/>
        </w:rPr>
      </w:pPr>
    </w:p>
    <w:p>
      <w:pPr>
        <w:pStyle w:val="11"/>
        <w:spacing w:line="440" w:lineRule="exact"/>
        <w:jc w:val="center"/>
        <w:rPr>
          <w:rFonts w:hAnsi="宋体" w:cs="宋体"/>
          <w:b/>
          <w:bCs/>
          <w:color w:val="auto"/>
          <w:sz w:val="32"/>
          <w:szCs w:val="32"/>
        </w:rPr>
      </w:pPr>
      <w:r>
        <w:rPr>
          <w:rFonts w:hint="eastAsia" w:hAnsi="宋体" w:cs="宋体"/>
          <w:b/>
          <w:bCs/>
          <w:color w:val="auto"/>
          <w:sz w:val="32"/>
          <w:szCs w:val="32"/>
        </w:rPr>
        <w:br w:type="page"/>
      </w:r>
    </w:p>
    <w:p>
      <w:pPr>
        <w:snapToGrid w:val="0"/>
        <w:spacing w:line="300" w:lineRule="exact"/>
        <w:ind w:leftChars="-7" w:right="480" w:hanging="14" w:hangingChars="7"/>
        <w:jc w:val="center"/>
        <w:rPr>
          <w:rFonts w:ascii="宋体" w:hAnsi="宋体" w:cs="宋体"/>
          <w:bCs/>
          <w:color w:val="auto"/>
          <w:szCs w:val="21"/>
        </w:rPr>
      </w:pPr>
      <w:r>
        <w:rPr>
          <w:rFonts w:hint="eastAsia" w:ascii="宋体" w:hAnsi="宋体" w:cs="宋体"/>
          <w:bCs/>
          <w:color w:val="auto"/>
          <w:szCs w:val="21"/>
        </w:rPr>
        <w:t xml:space="preserve">                                                           </w:t>
      </w:r>
    </w:p>
    <w:p>
      <w:pPr>
        <w:snapToGrid w:val="0"/>
        <w:spacing w:line="340" w:lineRule="exact"/>
        <w:ind w:firstLine="424" w:firstLineChars="202"/>
        <w:rPr>
          <w:rFonts w:ascii="宋体" w:hAnsi="宋体" w:cs="宋体"/>
          <w:bCs/>
          <w:color w:val="auto"/>
          <w:szCs w:val="21"/>
        </w:rPr>
      </w:pPr>
    </w:p>
    <w:p>
      <w:pPr>
        <w:ind w:left="560"/>
        <w:jc w:val="center"/>
        <w:rPr>
          <w:rFonts w:ascii="宋体" w:hAnsi="宋体" w:cs="宋体"/>
          <w:b/>
          <w:bCs/>
          <w:color w:val="auto"/>
          <w:sz w:val="52"/>
          <w:szCs w:val="52"/>
        </w:rPr>
      </w:pPr>
    </w:p>
    <w:p>
      <w:pPr>
        <w:ind w:left="560"/>
        <w:jc w:val="center"/>
        <w:rPr>
          <w:rFonts w:ascii="宋体" w:hAnsi="宋体" w:cs="宋体"/>
          <w:b/>
          <w:bCs/>
          <w:color w:val="auto"/>
          <w:sz w:val="52"/>
          <w:szCs w:val="52"/>
        </w:rPr>
      </w:pPr>
    </w:p>
    <w:p>
      <w:pPr>
        <w:ind w:left="560"/>
        <w:jc w:val="center"/>
        <w:rPr>
          <w:rFonts w:ascii="宋体" w:hAnsi="宋体" w:cs="宋体"/>
          <w:b/>
          <w:bCs/>
          <w:color w:val="auto"/>
          <w:sz w:val="52"/>
          <w:szCs w:val="52"/>
        </w:rPr>
      </w:pPr>
    </w:p>
    <w:p>
      <w:pPr>
        <w:ind w:left="560"/>
        <w:jc w:val="center"/>
        <w:rPr>
          <w:rFonts w:ascii="宋体" w:hAnsi="宋体" w:cs="宋体"/>
          <w:color w:val="auto"/>
          <w:sz w:val="24"/>
        </w:rPr>
      </w:pPr>
      <w:r>
        <w:rPr>
          <w:rFonts w:hint="eastAsia" w:ascii="宋体" w:hAnsi="宋体" w:cs="宋体"/>
          <w:b/>
          <w:bCs/>
          <w:color w:val="auto"/>
          <w:sz w:val="52"/>
          <w:szCs w:val="52"/>
        </w:rPr>
        <w:t>《2020年食品安全抽检检测服务采购》政府采购合同</w:t>
      </w:r>
    </w:p>
    <w:p>
      <w:pPr>
        <w:ind w:left="560"/>
        <w:jc w:val="center"/>
        <w:rPr>
          <w:rFonts w:ascii="宋体" w:hAnsi="宋体" w:cs="宋体"/>
          <w:color w:val="auto"/>
          <w:sz w:val="24"/>
        </w:rPr>
      </w:pPr>
      <w:r>
        <w:rPr>
          <w:rFonts w:hint="eastAsia" w:ascii="宋体" w:hAnsi="宋体" w:cs="宋体"/>
          <w:color w:val="auto"/>
          <w:sz w:val="24"/>
        </w:rPr>
        <w:t xml:space="preserve"> </w:t>
      </w:r>
    </w:p>
    <w:p>
      <w:pPr>
        <w:ind w:left="560"/>
        <w:jc w:val="center"/>
        <w:rPr>
          <w:rFonts w:ascii="宋体" w:hAnsi="宋体" w:cs="宋体"/>
          <w:color w:val="auto"/>
          <w:sz w:val="24"/>
        </w:rPr>
      </w:pPr>
      <w:r>
        <w:rPr>
          <w:rFonts w:hint="eastAsia" w:ascii="宋体" w:hAnsi="宋体" w:cs="宋体"/>
          <w:color w:val="auto"/>
          <w:sz w:val="24"/>
        </w:rPr>
        <w:t xml:space="preserve"> </w:t>
      </w:r>
    </w:p>
    <w:p>
      <w:pPr>
        <w:ind w:left="560"/>
        <w:jc w:val="center"/>
        <w:rPr>
          <w:rFonts w:ascii="宋体" w:hAnsi="宋体" w:cs="宋体"/>
          <w:color w:val="auto"/>
          <w:sz w:val="24"/>
        </w:rPr>
      </w:pPr>
      <w:r>
        <w:rPr>
          <w:rFonts w:hint="eastAsia" w:ascii="宋体" w:hAnsi="宋体" w:cs="宋体"/>
          <w:color w:val="auto"/>
          <w:sz w:val="24"/>
        </w:rPr>
        <w:t xml:space="preserve"> </w:t>
      </w:r>
    </w:p>
    <w:p>
      <w:pPr>
        <w:ind w:left="560"/>
        <w:jc w:val="center"/>
        <w:rPr>
          <w:rFonts w:ascii="宋体" w:hAnsi="宋体" w:cs="宋体"/>
          <w:color w:val="auto"/>
          <w:sz w:val="24"/>
        </w:rPr>
      </w:pPr>
      <w:r>
        <w:rPr>
          <w:rFonts w:hint="eastAsia" w:ascii="宋体" w:hAnsi="宋体" w:cs="宋体"/>
          <w:color w:val="auto"/>
          <w:sz w:val="24"/>
        </w:rPr>
        <w:t xml:space="preserve"> </w:t>
      </w:r>
    </w:p>
    <w:p>
      <w:pPr>
        <w:ind w:left="560"/>
        <w:jc w:val="center"/>
        <w:rPr>
          <w:rFonts w:ascii="宋体" w:hAnsi="宋体" w:cs="宋体"/>
          <w:color w:val="auto"/>
          <w:sz w:val="24"/>
        </w:rPr>
      </w:pPr>
      <w:r>
        <w:rPr>
          <w:rFonts w:hint="eastAsia" w:ascii="宋体" w:hAnsi="宋体" w:cs="宋体"/>
          <w:color w:val="auto"/>
          <w:sz w:val="24"/>
        </w:rPr>
        <w:t xml:space="preserve"> </w:t>
      </w:r>
    </w:p>
    <w:p>
      <w:pPr>
        <w:ind w:left="560"/>
        <w:jc w:val="center"/>
        <w:rPr>
          <w:rFonts w:ascii="宋体" w:hAnsi="宋体" w:cs="宋体"/>
          <w:color w:val="auto"/>
          <w:sz w:val="24"/>
        </w:rPr>
      </w:pPr>
      <w:r>
        <w:rPr>
          <w:rFonts w:hint="eastAsia" w:ascii="宋体" w:hAnsi="宋体" w:cs="宋体"/>
          <w:b/>
          <w:bCs/>
          <w:color w:val="auto"/>
          <w:sz w:val="24"/>
        </w:rPr>
        <w:t xml:space="preserve"> </w:t>
      </w:r>
    </w:p>
    <w:p>
      <w:pPr>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ind w:firstLine="480" w:firstLineChars="200"/>
        <w:rPr>
          <w:rFonts w:ascii="宋体" w:hAnsi="宋体" w:cs="宋体"/>
          <w:color w:val="auto"/>
          <w:sz w:val="24"/>
        </w:rPr>
      </w:pPr>
      <w:r>
        <w:rPr>
          <w:rFonts w:hint="eastAsia" w:ascii="宋体" w:hAnsi="宋体" w:cs="宋体"/>
          <w:color w:val="auto"/>
          <w:sz w:val="24"/>
        </w:rPr>
        <w:t xml:space="preserve"> </w:t>
      </w:r>
    </w:p>
    <w:p>
      <w:pPr>
        <w:spacing w:line="360" w:lineRule="exact"/>
        <w:ind w:firstLine="1958" w:firstLineChars="650"/>
        <w:rPr>
          <w:rFonts w:ascii="宋体" w:hAnsi="宋体" w:cs="宋体"/>
          <w:b/>
          <w:bCs/>
          <w:color w:val="auto"/>
          <w:sz w:val="28"/>
          <w:szCs w:val="28"/>
        </w:rPr>
      </w:pPr>
      <w:r>
        <w:rPr>
          <w:rFonts w:hint="eastAsia" w:ascii="宋体" w:hAnsi="宋体" w:cs="宋体"/>
          <w:b/>
          <w:bCs/>
          <w:color w:val="auto"/>
          <w:sz w:val="30"/>
          <w:szCs w:val="30"/>
        </w:rPr>
        <w:t>甲方：</w:t>
      </w:r>
      <w:r>
        <w:rPr>
          <w:rFonts w:hint="eastAsia" w:ascii="宋体" w:hAnsi="宋体" w:cs="宋体"/>
          <w:b/>
          <w:bCs/>
          <w:color w:val="auto"/>
          <w:sz w:val="28"/>
          <w:szCs w:val="28"/>
        </w:rPr>
        <w:t xml:space="preserve"> </w:t>
      </w:r>
    </w:p>
    <w:p>
      <w:pPr>
        <w:spacing w:line="360" w:lineRule="exact"/>
        <w:ind w:firstLine="1958" w:firstLineChars="650"/>
        <w:rPr>
          <w:rFonts w:ascii="宋体" w:hAnsi="宋体" w:cs="宋体"/>
          <w:b/>
          <w:bCs/>
          <w:color w:val="auto"/>
          <w:sz w:val="30"/>
          <w:szCs w:val="30"/>
        </w:rPr>
      </w:pPr>
      <w:r>
        <w:rPr>
          <w:rFonts w:hint="eastAsia" w:ascii="宋体" w:hAnsi="宋体" w:cs="宋体"/>
          <w:b/>
          <w:bCs/>
          <w:color w:val="auto"/>
          <w:sz w:val="30"/>
          <w:szCs w:val="30"/>
        </w:rPr>
        <w:t xml:space="preserve"> </w:t>
      </w:r>
    </w:p>
    <w:p>
      <w:pPr>
        <w:spacing w:line="360" w:lineRule="exact"/>
        <w:rPr>
          <w:rFonts w:ascii="宋体" w:hAnsi="宋体" w:cs="宋体"/>
          <w:b/>
          <w:bCs/>
          <w:color w:val="auto"/>
          <w:spacing w:val="70"/>
          <w:sz w:val="30"/>
          <w:szCs w:val="30"/>
        </w:rPr>
      </w:pPr>
      <w:r>
        <w:rPr>
          <w:rFonts w:hint="eastAsia" w:ascii="宋体" w:hAnsi="宋体" w:cs="宋体"/>
          <w:b/>
          <w:bCs/>
          <w:color w:val="auto"/>
          <w:sz w:val="30"/>
          <w:szCs w:val="30"/>
        </w:rPr>
        <w:t xml:space="preserve">             乙方：</w:t>
      </w:r>
      <w:r>
        <w:rPr>
          <w:rFonts w:hint="eastAsia" w:ascii="宋体" w:hAnsi="宋体" w:cs="宋体"/>
          <w:b/>
          <w:bCs/>
          <w:color w:val="auto"/>
          <w:spacing w:val="70"/>
          <w:sz w:val="30"/>
          <w:szCs w:val="30"/>
        </w:rPr>
        <w:t xml:space="preserve"> </w:t>
      </w:r>
    </w:p>
    <w:p>
      <w:pPr>
        <w:pStyle w:val="2"/>
        <w:rPr>
          <w:rFonts w:ascii="宋体" w:hAnsi="宋体" w:cs="宋体"/>
          <w:b/>
          <w:bCs/>
          <w:color w:val="auto"/>
          <w:spacing w:val="70"/>
          <w:sz w:val="30"/>
          <w:szCs w:val="30"/>
        </w:rPr>
      </w:pPr>
    </w:p>
    <w:p>
      <w:pPr>
        <w:pStyle w:val="2"/>
        <w:rPr>
          <w:rFonts w:ascii="宋体" w:hAnsi="宋体" w:cs="宋体"/>
          <w:b/>
          <w:bCs/>
          <w:color w:val="auto"/>
          <w:spacing w:val="70"/>
          <w:sz w:val="30"/>
          <w:szCs w:val="30"/>
        </w:rPr>
      </w:pPr>
    </w:p>
    <w:p>
      <w:pPr>
        <w:widowControl/>
        <w:jc w:val="left"/>
        <w:rPr>
          <w:rFonts w:ascii="宋体" w:hAnsi="宋体" w:cs="宋体"/>
          <w:color w:val="auto"/>
          <w:sz w:val="30"/>
          <w:szCs w:val="30"/>
        </w:rPr>
      </w:pPr>
      <w:r>
        <w:rPr>
          <w:rFonts w:hint="eastAsia" w:ascii="宋体" w:hAnsi="宋体" w:cs="宋体"/>
          <w:color w:val="auto"/>
          <w:sz w:val="30"/>
          <w:szCs w:val="30"/>
        </w:rPr>
        <w:t xml:space="preserve"> </w:t>
      </w: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r>
        <w:rPr>
          <w:rFonts w:hint="eastAsia" w:ascii="宋体" w:hAnsi="宋体" w:cs="宋体"/>
          <w:b/>
          <w:bCs/>
          <w:color w:val="auto"/>
          <w:sz w:val="28"/>
          <w:szCs w:val="28"/>
        </w:rPr>
        <w:t xml:space="preserve">   二0二0年    月    日</w:t>
      </w:r>
    </w:p>
    <w:p>
      <w:pPr>
        <w:ind w:firstLine="480" w:firstLineChars="200"/>
        <w:rPr>
          <w:rFonts w:ascii="宋体" w:hAnsi="宋体" w:cs="宋体"/>
          <w:color w:val="auto"/>
          <w:sz w:val="24"/>
        </w:rPr>
      </w:pPr>
      <w:r>
        <w:rPr>
          <w:rFonts w:hint="eastAsia" w:ascii="宋体" w:hAnsi="宋体" w:cs="宋体"/>
          <w:color w:val="auto"/>
          <w:sz w:val="24"/>
        </w:rPr>
        <w:t xml:space="preserve"> </w:t>
      </w:r>
    </w:p>
    <w:p>
      <w:pPr>
        <w:ind w:firstLine="480" w:firstLineChars="200"/>
        <w:rPr>
          <w:rFonts w:ascii="宋体" w:hAnsi="宋体" w:cs="宋体"/>
          <w:color w:val="auto"/>
          <w:sz w:val="24"/>
        </w:rPr>
      </w:pPr>
      <w:r>
        <w:rPr>
          <w:rFonts w:hint="eastAsia" w:ascii="宋体" w:hAnsi="宋体" w:cs="宋体"/>
          <w:color w:val="auto"/>
          <w:sz w:val="24"/>
        </w:rPr>
        <w:t xml:space="preserve"> </w:t>
      </w:r>
    </w:p>
    <w:p>
      <w:pPr>
        <w:pStyle w:val="11"/>
        <w:spacing w:line="340" w:lineRule="exact"/>
        <w:rPr>
          <w:rFonts w:hAnsi="宋体" w:cs="宋体"/>
          <w:b/>
          <w:color w:val="auto"/>
        </w:rPr>
      </w:pPr>
      <w:r>
        <w:rPr>
          <w:rFonts w:hint="eastAsia" w:hAnsi="宋体" w:cs="宋体"/>
          <w:color w:val="auto"/>
        </w:rPr>
        <w:br w:type="page"/>
      </w:r>
      <w:r>
        <w:rPr>
          <w:rFonts w:hint="eastAsia" w:hAnsi="宋体" w:cs="宋体"/>
          <w:b/>
          <w:color w:val="auto"/>
        </w:rPr>
        <w:t>说明：</w:t>
      </w:r>
    </w:p>
    <w:p>
      <w:pPr>
        <w:spacing w:line="360" w:lineRule="auto"/>
        <w:rPr>
          <w:rFonts w:ascii="宋体" w:hAnsi="宋体" w:cs="宋体"/>
          <w:b/>
          <w:color w:val="auto"/>
        </w:rPr>
      </w:pPr>
      <w:r>
        <w:rPr>
          <w:rFonts w:hint="eastAsia" w:ascii="宋体" w:hAnsi="宋体" w:cs="宋体"/>
          <w:b/>
          <w:color w:val="auto"/>
        </w:rPr>
        <w:t>1、本合同书仅供签订正式检测服务合同时参考用，正式合同书应包括此参考格式之内容。</w:t>
      </w:r>
    </w:p>
    <w:p>
      <w:pPr>
        <w:pStyle w:val="11"/>
        <w:spacing w:line="340" w:lineRule="exact"/>
        <w:rPr>
          <w:rFonts w:hAnsi="宋体" w:cs="宋体"/>
          <w:b/>
          <w:color w:val="auto"/>
        </w:rPr>
      </w:pPr>
      <w:r>
        <w:rPr>
          <w:rFonts w:hint="eastAsia" w:hAnsi="宋体" w:cs="宋体"/>
          <w:b/>
          <w:color w:val="auto"/>
        </w:rPr>
        <w:t>2、</w:t>
      </w:r>
      <w:r>
        <w:rPr>
          <w:rFonts w:hint="eastAsia" w:hAnsi="宋体" w:cs="宋体"/>
          <w:b/>
          <w:color w:val="auto"/>
          <w:szCs w:val="24"/>
        </w:rPr>
        <w:t>合同签订双方可根据项目的具体要求进行修订，但合同条款不得与招标文件和投标文件有实质性偏离。</w:t>
      </w:r>
    </w:p>
    <w:p>
      <w:pPr>
        <w:snapToGrid w:val="0"/>
        <w:spacing w:line="400" w:lineRule="exact"/>
        <w:jc w:val="center"/>
        <w:rPr>
          <w:rFonts w:ascii="宋体" w:hAnsi="宋体" w:cs="宋体"/>
          <w:b/>
          <w:bCs/>
          <w:color w:val="auto"/>
          <w:sz w:val="32"/>
          <w:szCs w:val="32"/>
        </w:rPr>
      </w:pPr>
    </w:p>
    <w:p>
      <w:pPr>
        <w:snapToGrid w:val="0"/>
        <w:spacing w:line="360" w:lineRule="auto"/>
        <w:jc w:val="center"/>
        <w:rPr>
          <w:rFonts w:ascii="宋体" w:hAnsi="宋体" w:cs="宋体"/>
          <w:b/>
          <w:bCs/>
          <w:color w:val="auto"/>
          <w:sz w:val="32"/>
          <w:szCs w:val="32"/>
        </w:rPr>
      </w:pPr>
      <w:r>
        <w:rPr>
          <w:rFonts w:hint="eastAsia" w:ascii="宋体" w:hAnsi="宋体" w:cs="宋体"/>
          <w:b/>
          <w:bCs/>
          <w:color w:val="auto"/>
          <w:sz w:val="32"/>
          <w:szCs w:val="32"/>
        </w:rPr>
        <w:t>《政府采购合同》</w:t>
      </w:r>
    </w:p>
    <w:p>
      <w:pPr>
        <w:snapToGrid w:val="0"/>
        <w:spacing w:line="360" w:lineRule="auto"/>
        <w:ind w:right="480" w:firstLine="6000" w:firstLineChars="2500"/>
        <w:rPr>
          <w:rFonts w:ascii="宋体" w:hAnsi="宋体" w:cs="宋体"/>
          <w:bCs/>
          <w:color w:val="auto"/>
          <w:sz w:val="24"/>
        </w:rPr>
      </w:pPr>
    </w:p>
    <w:p>
      <w:pPr>
        <w:snapToGrid w:val="0"/>
        <w:spacing w:line="360" w:lineRule="auto"/>
        <w:ind w:right="480" w:firstLine="6000" w:firstLineChars="2500"/>
        <w:rPr>
          <w:rFonts w:ascii="宋体" w:hAnsi="宋体" w:cs="宋体"/>
          <w:bCs/>
          <w:color w:val="auto"/>
          <w:sz w:val="24"/>
          <w:u w:val="single"/>
        </w:rPr>
      </w:pPr>
      <w:r>
        <w:rPr>
          <w:rFonts w:hint="eastAsia" w:ascii="宋体" w:hAnsi="宋体" w:cs="宋体"/>
          <w:bCs/>
          <w:color w:val="auto"/>
          <w:sz w:val="24"/>
        </w:rPr>
        <w:t>合同编号：</w:t>
      </w:r>
    </w:p>
    <w:p>
      <w:pPr>
        <w:snapToGrid w:val="0"/>
        <w:spacing w:line="360" w:lineRule="auto"/>
        <w:rPr>
          <w:rFonts w:ascii="宋体" w:hAnsi="宋体" w:cs="宋体"/>
          <w:color w:val="auto"/>
          <w:sz w:val="24"/>
          <w:u w:val="single"/>
        </w:rPr>
      </w:pPr>
      <w:r>
        <w:rPr>
          <w:rFonts w:hint="eastAsia" w:ascii="宋体" w:hAnsi="宋体" w:cs="宋体"/>
          <w:color w:val="auto"/>
          <w:sz w:val="24"/>
        </w:rPr>
        <w:t>采购单位（甲方）</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pacing w:val="-20"/>
          <w:sz w:val="24"/>
        </w:rPr>
        <w:t>采 购 计 划 号</w:t>
      </w:r>
      <w:r>
        <w:rPr>
          <w:rFonts w:hint="eastAsia" w:ascii="宋体" w:hAnsi="宋体" w:cs="宋体"/>
          <w:color w:val="auto"/>
          <w:sz w:val="24"/>
          <w:u w:val="single"/>
        </w:rPr>
        <w:t xml:space="preserve">                     </w:t>
      </w:r>
    </w:p>
    <w:p>
      <w:pPr>
        <w:snapToGrid w:val="0"/>
        <w:spacing w:line="360" w:lineRule="auto"/>
        <w:rPr>
          <w:rFonts w:ascii="宋体" w:hAnsi="宋体" w:cs="宋体"/>
          <w:color w:val="auto"/>
          <w:sz w:val="24"/>
          <w:u w:val="single"/>
        </w:rPr>
      </w:pPr>
      <w:r>
        <w:rPr>
          <w:rFonts w:hint="eastAsia" w:ascii="宋体" w:hAnsi="宋体" w:cs="宋体"/>
          <w:color w:val="auto"/>
          <w:sz w:val="24"/>
        </w:rPr>
        <w:t>供 应 商（乙方）</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pacing w:val="-20"/>
          <w:sz w:val="24"/>
        </w:rPr>
        <w:t>招  标  编  号</w:t>
      </w:r>
      <w:r>
        <w:rPr>
          <w:rFonts w:hint="eastAsia" w:ascii="宋体" w:hAnsi="宋体" w:cs="宋体"/>
          <w:color w:val="auto"/>
          <w:sz w:val="24"/>
          <w:u w:val="single"/>
        </w:rPr>
        <w:t xml:space="preserve">                     </w:t>
      </w:r>
    </w:p>
    <w:p>
      <w:pPr>
        <w:snapToGrid w:val="0"/>
        <w:spacing w:line="360" w:lineRule="auto"/>
        <w:rPr>
          <w:rFonts w:ascii="宋体" w:hAnsi="宋体" w:cs="宋体"/>
          <w:color w:val="auto"/>
          <w:sz w:val="24"/>
          <w:u w:val="single"/>
        </w:rPr>
      </w:pPr>
      <w:r>
        <w:rPr>
          <w:rFonts w:hint="eastAsia" w:ascii="宋体" w:hAnsi="宋体" w:cs="宋体"/>
          <w:color w:val="auto"/>
          <w:sz w:val="24"/>
        </w:rPr>
        <w:t xml:space="preserve">签  订  地  点  </w:t>
      </w:r>
      <w:r>
        <w:rPr>
          <w:rFonts w:hint="eastAsia" w:ascii="宋体" w:hAnsi="宋体" w:cs="宋体"/>
          <w:color w:val="auto"/>
          <w:sz w:val="24"/>
          <w:u w:val="single"/>
        </w:rPr>
        <w:t xml:space="preserve">                          </w:t>
      </w:r>
      <w:r>
        <w:rPr>
          <w:rFonts w:hint="eastAsia" w:ascii="宋体" w:hAnsi="宋体" w:cs="宋体"/>
          <w:color w:val="auto"/>
          <w:sz w:val="24"/>
        </w:rPr>
        <w:t xml:space="preserve">  签 订 时 间</w:t>
      </w:r>
      <w:r>
        <w:rPr>
          <w:rFonts w:hint="eastAsia" w:ascii="宋体" w:hAnsi="宋体" w:cs="宋体"/>
          <w:color w:val="auto"/>
          <w:sz w:val="24"/>
          <w:u w:val="single"/>
        </w:rPr>
        <w:t xml:space="preserve">                    </w:t>
      </w:r>
    </w:p>
    <w:p>
      <w:pPr>
        <w:snapToGrid w:val="0"/>
        <w:spacing w:line="360" w:lineRule="auto"/>
        <w:ind w:firstLine="480" w:firstLineChars="200"/>
        <w:rPr>
          <w:rFonts w:ascii="宋体" w:hAnsi="宋体" w:cs="宋体"/>
          <w:color w:val="auto"/>
          <w:sz w:val="24"/>
        </w:rPr>
      </w:pP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根据《中华人民共和国政府采购法》、《中华人民共和国合同法》等法律、法规规定，按照招标文件规定条款和中标供应商承诺，甲乙双方签订本合同。</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第一条　合同标的</w:t>
      </w:r>
    </w:p>
    <w:tbl>
      <w:tblPr>
        <w:tblStyle w:val="24"/>
        <w:tblW w:w="100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34"/>
        <w:gridCol w:w="991"/>
        <w:gridCol w:w="259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sz w:val="24"/>
              </w:rPr>
            </w:pPr>
            <w:r>
              <w:rPr>
                <w:rFonts w:hint="eastAsia" w:ascii="宋体" w:hAnsi="宋体" w:cs="宋体"/>
                <w:color w:val="auto"/>
                <w:sz w:val="24"/>
              </w:rPr>
              <w:t>序号</w:t>
            </w:r>
          </w:p>
        </w:tc>
        <w:tc>
          <w:tcPr>
            <w:tcW w:w="353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sz w:val="24"/>
              </w:rPr>
            </w:pPr>
            <w:r>
              <w:rPr>
                <w:rFonts w:hint="eastAsia" w:ascii="宋体" w:hAnsi="宋体" w:cs="宋体"/>
                <w:color w:val="auto"/>
                <w:sz w:val="24"/>
              </w:rPr>
              <w:t>服务名称</w:t>
            </w:r>
          </w:p>
        </w:tc>
        <w:tc>
          <w:tcPr>
            <w:tcW w:w="9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sz w:val="24"/>
              </w:rPr>
            </w:pPr>
            <w:r>
              <w:rPr>
                <w:rFonts w:hint="eastAsia" w:ascii="宋体" w:hAnsi="宋体" w:cs="宋体"/>
                <w:color w:val="auto"/>
                <w:sz w:val="24"/>
              </w:rPr>
              <w:t>数量</w:t>
            </w:r>
          </w:p>
        </w:tc>
        <w:tc>
          <w:tcPr>
            <w:tcW w:w="25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sz w:val="24"/>
              </w:rPr>
            </w:pPr>
            <w:r>
              <w:rPr>
                <w:rFonts w:hint="eastAsia" w:ascii="宋体" w:hAnsi="宋体" w:cs="宋体"/>
                <w:color w:val="auto"/>
                <w:sz w:val="24"/>
              </w:rPr>
              <w:t>单价（元或优惠率）</w:t>
            </w:r>
          </w:p>
        </w:tc>
        <w:tc>
          <w:tcPr>
            <w:tcW w:w="225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auto"/>
                <w:sz w:val="24"/>
              </w:rPr>
            </w:pPr>
            <w:r>
              <w:rPr>
                <w:rFonts w:hint="eastAsia" w:ascii="宋体" w:hAnsi="宋体" w:cs="宋体"/>
                <w:color w:val="auto"/>
                <w:sz w:val="24"/>
              </w:rPr>
              <w:t>合价（元或优惠率）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3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sz w:val="24"/>
              </w:rPr>
            </w:pPr>
          </w:p>
        </w:tc>
        <w:tc>
          <w:tcPr>
            <w:tcW w:w="259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auto"/>
                <w:sz w:val="24"/>
              </w:rPr>
            </w:pPr>
          </w:p>
        </w:tc>
        <w:tc>
          <w:tcPr>
            <w:tcW w:w="225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090"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auto"/>
                <w:sz w:val="24"/>
              </w:rPr>
            </w:pPr>
            <w:r>
              <w:rPr>
                <w:rFonts w:hint="eastAsia" w:ascii="宋体" w:hAnsi="宋体" w:cs="宋体"/>
                <w:color w:val="auto"/>
                <w:sz w:val="24"/>
              </w:rPr>
              <w:t>合同金额（含其他优惠条件）：人民币              （¥                 ）</w:t>
            </w:r>
          </w:p>
        </w:tc>
      </w:tr>
    </w:tbl>
    <w:p>
      <w:pPr>
        <w:tabs>
          <w:tab w:val="left" w:pos="8280"/>
        </w:tabs>
        <w:snapToGrid w:val="0"/>
        <w:spacing w:line="360" w:lineRule="auto"/>
        <w:ind w:right="26" w:firstLine="482" w:firstLineChars="200"/>
        <w:rPr>
          <w:rFonts w:ascii="宋体" w:hAnsi="宋体" w:cs="宋体"/>
          <w:color w:val="auto"/>
          <w:sz w:val="24"/>
        </w:rPr>
      </w:pPr>
      <w:r>
        <w:rPr>
          <w:rFonts w:hint="eastAsia" w:ascii="宋体" w:hAnsi="宋体" w:cs="宋体"/>
          <w:b/>
          <w:color w:val="auto"/>
          <w:sz w:val="24"/>
        </w:rPr>
        <w:t>第二条　质量保证</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乙方所提供的技术服务质量必须与招标文件和投标文件承诺相一致。</w:t>
      </w:r>
    </w:p>
    <w:p>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第三条　权力保证</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甲方根据工作需要，可为乙方开展服务提供相关资料。</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乙方应按规定时间提交服务成果。</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乙方应保证所提供的服务成果不会侵犯任何第三方的专利权、著作权或其他权利。</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乙方应按招标文件、投标文件规定的时间向甲方提供服务成果的有关技术资料。</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乙方所交付的成果知识产权归甲方所有。</w:t>
      </w:r>
    </w:p>
    <w:p>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第四条　服务时间和地点</w:t>
      </w:r>
    </w:p>
    <w:p>
      <w:pPr>
        <w:widowControl/>
        <w:numPr>
          <w:ilvl w:val="0"/>
          <w:numId w:val="4"/>
        </w:numPr>
        <w:spacing w:line="360" w:lineRule="auto"/>
        <w:jc w:val="left"/>
        <w:rPr>
          <w:rFonts w:ascii="宋体" w:hAnsi="宋体" w:cs="宋体"/>
          <w:color w:val="auto"/>
          <w:sz w:val="24"/>
        </w:rPr>
      </w:pPr>
      <w:r>
        <w:rPr>
          <w:rFonts w:hint="eastAsia" w:ascii="宋体" w:hAnsi="宋体" w:cs="宋体"/>
          <w:color w:val="auto"/>
          <w:sz w:val="24"/>
        </w:rPr>
        <w:t>服务时间：</w:t>
      </w:r>
      <w:r>
        <w:rPr>
          <w:rFonts w:hint="eastAsia" w:ascii="宋体" w:hAnsi="宋体" w:cs="宋体"/>
          <w:color w:val="auto"/>
          <w:sz w:val="24"/>
          <w:u w:val="single"/>
        </w:rPr>
        <w:t xml:space="preserve">        </w:t>
      </w:r>
      <w:r>
        <w:rPr>
          <w:rFonts w:hint="eastAsia" w:ascii="宋体" w:hAnsi="宋体" w:cs="宋体"/>
          <w:color w:val="auto"/>
          <w:sz w:val="24"/>
        </w:rPr>
        <w:t>。</w:t>
      </w:r>
    </w:p>
    <w:p>
      <w:pPr>
        <w:numPr>
          <w:ilvl w:val="0"/>
          <w:numId w:val="4"/>
        </w:numPr>
        <w:snapToGrid w:val="0"/>
        <w:spacing w:line="360" w:lineRule="auto"/>
        <w:rPr>
          <w:rFonts w:ascii="宋体" w:hAnsi="宋体" w:cs="宋体"/>
          <w:color w:val="auto"/>
          <w:sz w:val="24"/>
        </w:rPr>
      </w:pPr>
      <w:r>
        <w:rPr>
          <w:rFonts w:hint="eastAsia" w:ascii="宋体" w:hAnsi="宋体" w:cs="宋体"/>
          <w:color w:val="auto"/>
          <w:sz w:val="24"/>
        </w:rPr>
        <w:t>服务地点：</w:t>
      </w:r>
      <w:r>
        <w:rPr>
          <w:rFonts w:hint="eastAsia" w:ascii="宋体" w:hAnsi="宋体" w:cs="宋体"/>
          <w:color w:val="auto"/>
          <w:sz w:val="24"/>
          <w:u w:val="single"/>
        </w:rPr>
        <w:t xml:space="preserve">       </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4、乙方提供不符合招标文件、投标文件和本合同规定的服务成果，甲方有权拒绝接受。</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第五条  服务、质量保证期</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乙方应按照国家有关法律法规以及招标文件和本合同所附的《售后服务承诺》，为甲方提供技术服务。</w:t>
      </w:r>
    </w:p>
    <w:p>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第六条　付款方式</w:t>
      </w:r>
    </w:p>
    <w:p>
      <w:pPr>
        <w:pStyle w:val="11"/>
        <w:snapToGrid w:val="0"/>
        <w:spacing w:line="360" w:lineRule="auto"/>
        <w:ind w:firstLine="480" w:firstLineChars="200"/>
        <w:rPr>
          <w:rFonts w:hAnsi="宋体" w:cs="宋体"/>
          <w:color w:val="auto"/>
          <w:sz w:val="24"/>
          <w:szCs w:val="24"/>
        </w:rPr>
      </w:pPr>
      <w:r>
        <w:rPr>
          <w:rFonts w:hint="eastAsia" w:hAnsi="宋体" w:cs="宋体"/>
          <w:bCs/>
          <w:color w:val="auto"/>
          <w:sz w:val="24"/>
          <w:szCs w:val="24"/>
        </w:rPr>
        <w:t>1、按乙方实际工作量进行结算。</w:t>
      </w:r>
      <w:r>
        <w:rPr>
          <w:rFonts w:hint="eastAsia" w:hAnsi="宋体" w:cs="宋体"/>
          <w:color w:val="auto"/>
          <w:sz w:val="24"/>
          <w:szCs w:val="24"/>
        </w:rPr>
        <w:t>在合同履行期间，甲方要求终止或解除合同，乙方已开始工作的，甲方应根据乙方已进行的实际工作量给予适当的补偿。</w:t>
      </w:r>
    </w:p>
    <w:p>
      <w:pPr>
        <w:snapToGrid w:val="0"/>
        <w:spacing w:line="360" w:lineRule="auto"/>
        <w:ind w:firstLine="480" w:firstLineChars="200"/>
        <w:rPr>
          <w:rFonts w:ascii="宋体" w:hAnsi="宋体" w:cs="宋体"/>
          <w:color w:val="auto"/>
          <w:kern w:val="0"/>
          <w:sz w:val="24"/>
        </w:rPr>
      </w:pPr>
      <w:r>
        <w:rPr>
          <w:rFonts w:hint="eastAsia" w:ascii="宋体" w:hAnsi="宋体" w:cs="宋体"/>
          <w:color w:val="auto"/>
          <w:sz w:val="24"/>
        </w:rPr>
        <w:t>2、资</w:t>
      </w:r>
      <w:r>
        <w:rPr>
          <w:rFonts w:hint="eastAsia" w:ascii="宋体" w:hAnsi="宋体" w:cs="宋体"/>
          <w:color w:val="auto"/>
          <w:kern w:val="0"/>
          <w:sz w:val="24"/>
        </w:rPr>
        <w:t>金性质：财政性资金。</w:t>
      </w:r>
    </w:p>
    <w:p>
      <w:pPr>
        <w:snapToGrid w:val="0"/>
        <w:spacing w:line="360" w:lineRule="auto"/>
        <w:ind w:left="-61" w:leftChars="-29" w:firstLine="588" w:firstLineChars="245"/>
        <w:rPr>
          <w:rFonts w:ascii="宋体" w:hAnsi="宋体" w:cs="宋体"/>
          <w:color w:val="auto"/>
          <w:kern w:val="0"/>
          <w:sz w:val="24"/>
        </w:rPr>
      </w:pPr>
      <w:r>
        <w:rPr>
          <w:rFonts w:hint="eastAsia" w:ascii="宋体" w:hAnsi="宋体" w:cs="宋体"/>
          <w:color w:val="auto"/>
          <w:kern w:val="0"/>
          <w:sz w:val="24"/>
        </w:rPr>
        <w:t>3、付款方式：详见各分标。</w:t>
      </w:r>
    </w:p>
    <w:p>
      <w:pPr>
        <w:snapToGrid w:val="0"/>
        <w:spacing w:line="360" w:lineRule="auto"/>
        <w:ind w:left="-61" w:leftChars="-29" w:firstLine="590" w:firstLineChars="245"/>
        <w:rPr>
          <w:rFonts w:ascii="宋体" w:hAnsi="宋体" w:cs="宋体"/>
          <w:b/>
          <w:color w:val="auto"/>
          <w:sz w:val="24"/>
        </w:rPr>
      </w:pPr>
      <w:r>
        <w:rPr>
          <w:rFonts w:hint="eastAsia" w:ascii="宋体" w:hAnsi="宋体" w:cs="宋体"/>
          <w:b/>
          <w:color w:val="auto"/>
          <w:sz w:val="24"/>
        </w:rPr>
        <w:t>第七条  税费</w:t>
      </w:r>
    </w:p>
    <w:p>
      <w:pPr>
        <w:snapToGrid w:val="0"/>
        <w:spacing w:line="360" w:lineRule="auto"/>
        <w:ind w:left="-61" w:firstLine="514"/>
        <w:rPr>
          <w:rFonts w:ascii="宋体" w:hAnsi="宋体" w:cs="宋体"/>
          <w:color w:val="auto"/>
          <w:sz w:val="24"/>
        </w:rPr>
      </w:pPr>
      <w:r>
        <w:rPr>
          <w:rFonts w:hint="eastAsia" w:ascii="宋体" w:hAnsi="宋体" w:cs="宋体"/>
          <w:color w:val="auto"/>
          <w:sz w:val="24"/>
        </w:rPr>
        <w:t>本合同执行中相关的一切税费均由乙方负担。</w:t>
      </w:r>
    </w:p>
    <w:p>
      <w:pPr>
        <w:snapToGrid w:val="0"/>
        <w:spacing w:line="360" w:lineRule="auto"/>
        <w:ind w:left="-61" w:firstLine="514"/>
        <w:rPr>
          <w:rFonts w:ascii="宋体" w:hAnsi="宋体" w:cs="宋体"/>
          <w:color w:val="auto"/>
          <w:sz w:val="24"/>
        </w:rPr>
      </w:pPr>
      <w:r>
        <w:rPr>
          <w:rFonts w:hint="eastAsia" w:ascii="宋体" w:hAnsi="宋体" w:cs="宋体"/>
          <w:b/>
          <w:color w:val="auto"/>
          <w:sz w:val="24"/>
        </w:rPr>
        <w:t>第八条  质量保证及售后服务</w:t>
      </w:r>
    </w:p>
    <w:p>
      <w:pPr>
        <w:pStyle w:val="11"/>
        <w:snapToGrid w:val="0"/>
        <w:spacing w:line="360" w:lineRule="auto"/>
        <w:ind w:firstLine="480" w:firstLineChars="200"/>
        <w:rPr>
          <w:rFonts w:hAnsi="宋体" w:cs="宋体"/>
          <w:color w:val="auto"/>
          <w:sz w:val="24"/>
          <w:szCs w:val="24"/>
        </w:rPr>
      </w:pPr>
      <w:r>
        <w:rPr>
          <w:rFonts w:hint="eastAsia" w:hAnsi="宋体" w:cs="宋体"/>
          <w:color w:val="auto"/>
          <w:sz w:val="24"/>
          <w:szCs w:val="24"/>
        </w:rPr>
        <w:t>1. 乙方应按招标文件规定的服务内容、技术要求、质量标准向甲方提供无瑕疵的服务成果。乙方对提交的最终服务成果质量负责。</w:t>
      </w:r>
    </w:p>
    <w:p>
      <w:pPr>
        <w:pStyle w:val="11"/>
        <w:snapToGrid w:val="0"/>
        <w:spacing w:line="360" w:lineRule="auto"/>
        <w:ind w:firstLine="480" w:firstLineChars="200"/>
        <w:rPr>
          <w:rFonts w:hAnsi="宋体" w:cs="宋体"/>
          <w:color w:val="auto"/>
          <w:sz w:val="24"/>
          <w:szCs w:val="24"/>
        </w:rPr>
      </w:pPr>
      <w:r>
        <w:rPr>
          <w:rFonts w:hint="eastAsia" w:hAnsi="宋体" w:cs="宋体"/>
          <w:color w:val="auto"/>
          <w:sz w:val="24"/>
          <w:szCs w:val="24"/>
        </w:rPr>
        <w:t>2. 成果提交后，如有修改，乙方应在规定时间按要求完成修改工作，甲方不另行支付修改费用。</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第九条　违约责任</w:t>
      </w:r>
    </w:p>
    <w:p>
      <w:pPr>
        <w:pStyle w:val="11"/>
        <w:spacing w:before="120" w:after="120" w:line="360" w:lineRule="auto"/>
        <w:ind w:firstLine="470" w:firstLineChars="196"/>
        <w:rPr>
          <w:rFonts w:hAnsi="宋体" w:cs="宋体"/>
          <w:color w:val="auto"/>
          <w:sz w:val="24"/>
          <w:szCs w:val="24"/>
        </w:rPr>
      </w:pPr>
      <w:r>
        <w:rPr>
          <w:rFonts w:hint="eastAsia" w:hAnsi="宋体" w:cs="宋体"/>
          <w:color w:val="auto"/>
          <w:sz w:val="24"/>
          <w:szCs w:val="24"/>
        </w:rPr>
        <w:t>1、乙方提供的服务如侵犯第三方合法权益而引发的任何纠纷或诉讼，均由乙方负责交涉并承担全部责任。</w:t>
      </w:r>
    </w:p>
    <w:p>
      <w:pPr>
        <w:pStyle w:val="11"/>
        <w:spacing w:before="120" w:after="120" w:line="360" w:lineRule="auto"/>
        <w:ind w:firstLine="470" w:firstLineChars="196"/>
        <w:rPr>
          <w:rFonts w:hAnsi="宋体" w:cs="宋体"/>
          <w:color w:val="auto"/>
          <w:sz w:val="24"/>
          <w:szCs w:val="24"/>
        </w:rPr>
      </w:pPr>
      <w:r>
        <w:rPr>
          <w:rFonts w:hint="eastAsia" w:hAnsi="宋体" w:cs="宋体"/>
          <w:color w:val="auto"/>
          <w:sz w:val="24"/>
          <w:szCs w:val="24"/>
        </w:rPr>
        <w:t>2、乙方未按本合同和响应文件中规定的服务承诺提供售后服务的，乙方应按本合同合计金额 5%向甲方支付违约金。</w:t>
      </w:r>
    </w:p>
    <w:p>
      <w:pPr>
        <w:pStyle w:val="11"/>
        <w:snapToGrid w:val="0"/>
        <w:spacing w:line="360" w:lineRule="auto"/>
        <w:ind w:firstLine="470" w:firstLineChars="196"/>
        <w:rPr>
          <w:rFonts w:hAnsi="宋体" w:cs="宋体"/>
          <w:color w:val="auto"/>
          <w:sz w:val="24"/>
          <w:szCs w:val="24"/>
        </w:rPr>
      </w:pPr>
      <w:r>
        <w:rPr>
          <w:rFonts w:hint="eastAsia" w:hAnsi="宋体" w:cs="宋体"/>
          <w:color w:val="auto"/>
          <w:sz w:val="24"/>
          <w:szCs w:val="24"/>
        </w:rPr>
        <w:t>3、其它违约行为按违约货款额5%收取违约金并赔偿经济损失。</w:t>
      </w:r>
    </w:p>
    <w:p>
      <w:pPr>
        <w:pStyle w:val="11"/>
        <w:snapToGrid w:val="0"/>
        <w:spacing w:line="360" w:lineRule="auto"/>
        <w:ind w:firstLine="472" w:firstLineChars="196"/>
        <w:rPr>
          <w:rFonts w:hAnsi="宋体" w:cs="宋体"/>
          <w:b/>
          <w:color w:val="auto"/>
          <w:sz w:val="24"/>
          <w:szCs w:val="24"/>
        </w:rPr>
      </w:pPr>
      <w:r>
        <w:rPr>
          <w:rFonts w:hint="eastAsia" w:hAnsi="宋体" w:cs="宋体"/>
          <w:b/>
          <w:color w:val="auto"/>
          <w:sz w:val="24"/>
          <w:szCs w:val="24"/>
        </w:rPr>
        <w:t>第十条  不可抗力事件处理</w:t>
      </w:r>
    </w:p>
    <w:p>
      <w:pPr>
        <w:pStyle w:val="11"/>
        <w:snapToGrid w:val="0"/>
        <w:spacing w:line="360" w:lineRule="auto"/>
        <w:ind w:firstLine="480" w:firstLineChars="200"/>
        <w:rPr>
          <w:rFonts w:hAnsi="宋体" w:cs="宋体"/>
          <w:color w:val="auto"/>
          <w:sz w:val="24"/>
          <w:szCs w:val="24"/>
        </w:rPr>
      </w:pPr>
      <w:r>
        <w:rPr>
          <w:rFonts w:hint="eastAsia" w:hAnsi="宋体" w:cs="宋体"/>
          <w:color w:val="auto"/>
          <w:sz w:val="24"/>
          <w:szCs w:val="24"/>
        </w:rPr>
        <w:t>1. 在合同有效期内，任何一方因不可抗力事件导致不能履行合同，则合同履行期可延长，其延长期与不可抗力影响期相同。</w:t>
      </w:r>
    </w:p>
    <w:p>
      <w:pPr>
        <w:pStyle w:val="11"/>
        <w:snapToGrid w:val="0"/>
        <w:spacing w:line="360" w:lineRule="auto"/>
        <w:ind w:firstLine="480" w:firstLineChars="200"/>
        <w:rPr>
          <w:rFonts w:hAnsi="宋体" w:cs="宋体"/>
          <w:color w:val="auto"/>
          <w:sz w:val="24"/>
          <w:szCs w:val="24"/>
        </w:rPr>
      </w:pPr>
      <w:r>
        <w:rPr>
          <w:rFonts w:hint="eastAsia" w:hAnsi="宋体" w:cs="宋体"/>
          <w:color w:val="auto"/>
          <w:sz w:val="24"/>
          <w:szCs w:val="24"/>
        </w:rPr>
        <w:t>2. 不可抗力事件发生后，应立即通知对方，并寄送有关权威机构出具的证明。</w:t>
      </w:r>
    </w:p>
    <w:p>
      <w:pPr>
        <w:snapToGrid w:val="0"/>
        <w:spacing w:line="360" w:lineRule="auto"/>
        <w:ind w:left="-61" w:firstLine="514"/>
        <w:rPr>
          <w:rFonts w:ascii="宋体" w:hAnsi="宋体" w:cs="宋体"/>
          <w:color w:val="auto"/>
          <w:sz w:val="24"/>
        </w:rPr>
      </w:pPr>
      <w:r>
        <w:rPr>
          <w:rFonts w:hint="eastAsia" w:ascii="宋体" w:hAnsi="宋体" w:cs="宋体"/>
          <w:color w:val="auto"/>
          <w:sz w:val="24"/>
        </w:rPr>
        <w:t>3. 不可抗力事件延续一百二十天以上，双方应通过友好协商，确定是否继续履行合同。</w:t>
      </w:r>
    </w:p>
    <w:p>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第十一条  合同争议解决</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1、因履行本合同引起的或与本合同有关的争议，甲乙双方应首先通过友好协商解决，如果协商不能解决，可向仲裁委员会申请仲裁或向人民法院提起诉讼。</w:t>
      </w:r>
    </w:p>
    <w:p>
      <w:pPr>
        <w:snapToGrid w:val="0"/>
        <w:spacing w:line="360" w:lineRule="auto"/>
        <w:ind w:left="-61" w:firstLine="514"/>
        <w:rPr>
          <w:rFonts w:ascii="宋体" w:hAnsi="宋体" w:cs="宋体"/>
          <w:color w:val="auto"/>
          <w:sz w:val="24"/>
        </w:rPr>
      </w:pPr>
      <w:r>
        <w:rPr>
          <w:rFonts w:hint="eastAsia" w:ascii="宋体" w:hAnsi="宋体" w:cs="宋体"/>
          <w:color w:val="auto"/>
          <w:sz w:val="24"/>
        </w:rPr>
        <w:t>2、诉讼期间，本合同继续履行。</w:t>
      </w:r>
    </w:p>
    <w:p>
      <w:pPr>
        <w:pStyle w:val="11"/>
        <w:snapToGrid w:val="0"/>
        <w:spacing w:line="360" w:lineRule="auto"/>
        <w:ind w:firstLine="472" w:firstLineChars="196"/>
        <w:rPr>
          <w:rFonts w:hAnsi="宋体" w:cs="宋体"/>
          <w:b/>
          <w:color w:val="auto"/>
          <w:sz w:val="24"/>
          <w:szCs w:val="24"/>
        </w:rPr>
      </w:pPr>
      <w:r>
        <w:rPr>
          <w:rFonts w:hint="eastAsia" w:hAnsi="宋体" w:cs="宋体"/>
          <w:b/>
          <w:color w:val="auto"/>
          <w:sz w:val="24"/>
          <w:szCs w:val="24"/>
        </w:rPr>
        <w:t>第十二条  合同生效及其它</w:t>
      </w:r>
    </w:p>
    <w:p>
      <w:pPr>
        <w:pStyle w:val="11"/>
        <w:snapToGrid w:val="0"/>
        <w:spacing w:line="360" w:lineRule="auto"/>
        <w:ind w:firstLine="480" w:firstLineChars="200"/>
        <w:rPr>
          <w:rFonts w:hAnsi="宋体" w:cs="宋体"/>
          <w:color w:val="auto"/>
          <w:sz w:val="24"/>
          <w:szCs w:val="24"/>
        </w:rPr>
      </w:pPr>
      <w:r>
        <w:rPr>
          <w:rFonts w:hint="eastAsia" w:hAnsi="宋体" w:cs="宋体"/>
          <w:color w:val="auto"/>
          <w:sz w:val="24"/>
          <w:szCs w:val="24"/>
        </w:rPr>
        <w:t>1.合同经双方法定代表人或被授权代表签字并加盖单位公章后生效。</w:t>
      </w:r>
    </w:p>
    <w:p>
      <w:pPr>
        <w:pStyle w:val="11"/>
        <w:snapToGrid w:val="0"/>
        <w:spacing w:line="360" w:lineRule="auto"/>
        <w:ind w:firstLine="480" w:firstLineChars="200"/>
        <w:rPr>
          <w:rFonts w:hAnsi="宋体" w:cs="宋体"/>
          <w:color w:val="auto"/>
          <w:sz w:val="24"/>
          <w:szCs w:val="24"/>
        </w:rPr>
      </w:pPr>
      <w:r>
        <w:rPr>
          <w:rFonts w:hint="eastAsia" w:hAnsi="宋体" w:cs="宋体"/>
          <w:color w:val="auto"/>
          <w:sz w:val="24"/>
          <w:szCs w:val="24"/>
        </w:rPr>
        <w:t>2.合同执行中涉及采购资金和采购内容修改或补充的，须经财政部门审批，并签书面补充协议报财政部门备案，方可作为主合同不可分割的一部分。</w:t>
      </w:r>
    </w:p>
    <w:p>
      <w:pPr>
        <w:pStyle w:val="11"/>
        <w:snapToGrid w:val="0"/>
        <w:spacing w:line="360" w:lineRule="auto"/>
        <w:ind w:left="420" w:leftChars="200"/>
        <w:rPr>
          <w:rFonts w:hAnsi="宋体" w:cs="宋体"/>
          <w:color w:val="auto"/>
          <w:sz w:val="24"/>
          <w:szCs w:val="24"/>
        </w:rPr>
      </w:pPr>
      <w:r>
        <w:rPr>
          <w:rFonts w:hint="eastAsia" w:hAnsi="宋体" w:cs="宋体"/>
          <w:color w:val="auto"/>
          <w:sz w:val="24"/>
          <w:szCs w:val="24"/>
        </w:rPr>
        <w:t>3.本合同未尽事宜，遵照《合同法》有关条文执行。</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第十三条　合同的变更、终止与转让</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1、除《中华人民共和国政府采购法》第五十条规定的情形外，本合同一经签订，甲乙双方不得擅自变更、中止或终止。</w:t>
      </w:r>
    </w:p>
    <w:p>
      <w:pPr>
        <w:snapToGrid w:val="0"/>
        <w:spacing w:line="360" w:lineRule="auto"/>
        <w:ind w:left="-61" w:firstLine="514"/>
        <w:rPr>
          <w:rFonts w:ascii="宋体" w:hAnsi="宋体" w:cs="宋体"/>
          <w:color w:val="auto"/>
          <w:sz w:val="24"/>
        </w:rPr>
      </w:pPr>
      <w:r>
        <w:rPr>
          <w:rFonts w:hint="eastAsia" w:ascii="宋体" w:hAnsi="宋体" w:cs="宋体"/>
          <w:color w:val="auto"/>
          <w:sz w:val="24"/>
        </w:rPr>
        <w:t>2、乙方不得擅自转让其应履行的合同义务。</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第十四条　签订本合同依据</w:t>
      </w:r>
    </w:p>
    <w:p>
      <w:pPr>
        <w:pStyle w:val="11"/>
        <w:snapToGrid w:val="0"/>
        <w:spacing w:line="360" w:lineRule="auto"/>
        <w:ind w:left="420" w:leftChars="200"/>
        <w:rPr>
          <w:rFonts w:hAnsi="宋体" w:cs="宋体"/>
          <w:color w:val="auto"/>
          <w:sz w:val="24"/>
          <w:szCs w:val="24"/>
        </w:rPr>
      </w:pPr>
      <w:r>
        <w:rPr>
          <w:rFonts w:hint="eastAsia" w:hAnsi="宋体" w:cs="宋体"/>
          <w:color w:val="auto"/>
          <w:sz w:val="24"/>
          <w:szCs w:val="24"/>
        </w:rPr>
        <w:t>1、政府采购招标文件；</w:t>
      </w:r>
    </w:p>
    <w:p>
      <w:pPr>
        <w:pStyle w:val="11"/>
        <w:snapToGrid w:val="0"/>
        <w:spacing w:line="360" w:lineRule="auto"/>
        <w:ind w:left="420" w:leftChars="200"/>
        <w:rPr>
          <w:rFonts w:hAnsi="宋体" w:cs="宋体"/>
          <w:color w:val="auto"/>
          <w:sz w:val="24"/>
          <w:szCs w:val="24"/>
        </w:rPr>
      </w:pPr>
      <w:r>
        <w:rPr>
          <w:rFonts w:hint="eastAsia" w:hAnsi="宋体" w:cs="宋体"/>
          <w:color w:val="auto"/>
          <w:sz w:val="24"/>
          <w:szCs w:val="24"/>
        </w:rPr>
        <w:t>2、乙方提供的投标文件及应答文件；</w:t>
      </w:r>
    </w:p>
    <w:p>
      <w:pPr>
        <w:pStyle w:val="11"/>
        <w:snapToGrid w:val="0"/>
        <w:spacing w:line="360" w:lineRule="auto"/>
        <w:ind w:left="420" w:leftChars="200"/>
        <w:rPr>
          <w:rFonts w:hAnsi="宋体" w:cs="宋体"/>
          <w:b/>
          <w:color w:val="auto"/>
          <w:sz w:val="24"/>
          <w:szCs w:val="24"/>
        </w:rPr>
      </w:pPr>
      <w:r>
        <w:rPr>
          <w:rFonts w:hint="eastAsia" w:hAnsi="宋体" w:cs="宋体"/>
          <w:color w:val="auto"/>
          <w:sz w:val="24"/>
          <w:szCs w:val="24"/>
        </w:rPr>
        <w:t>3、中标通知书。</w:t>
      </w:r>
    </w:p>
    <w:p>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第十五条　</w:t>
      </w:r>
      <w:r>
        <w:rPr>
          <w:rFonts w:hint="eastAsia" w:ascii="宋体" w:hAnsi="宋体" w:cs="宋体"/>
          <w:color w:val="auto"/>
          <w:sz w:val="24"/>
        </w:rPr>
        <w:t>本合同一式六份，具有同等法律效力，采购代理机构一份，甲方三份，乙方二份。本合同甲乙双方签字盖章后生效。</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4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rPr>
            </w:pPr>
            <w:r>
              <w:rPr>
                <w:rFonts w:hint="eastAsia" w:ascii="宋体" w:hAnsi="宋体" w:cs="宋体"/>
                <w:color w:val="auto"/>
                <w:sz w:val="24"/>
              </w:rPr>
              <w:t xml:space="preserve">甲方（章）           </w:t>
            </w:r>
          </w:p>
          <w:p>
            <w:pPr>
              <w:snapToGrid w:val="0"/>
              <w:spacing w:line="360" w:lineRule="auto"/>
              <w:rPr>
                <w:rFonts w:ascii="宋体" w:hAnsi="宋体" w:cs="宋体"/>
                <w:color w:val="auto"/>
                <w:sz w:val="24"/>
              </w:rPr>
            </w:pPr>
          </w:p>
          <w:p>
            <w:pPr>
              <w:snapToGrid w:val="0"/>
              <w:spacing w:line="360" w:lineRule="auto"/>
              <w:ind w:firstLine="1080" w:firstLineChars="450"/>
              <w:jc w:val="right"/>
              <w:rPr>
                <w:rFonts w:ascii="宋体" w:hAnsi="宋体" w:cs="宋体"/>
                <w:color w:val="auto"/>
                <w:sz w:val="24"/>
              </w:rPr>
            </w:pPr>
            <w:r>
              <w:rPr>
                <w:rFonts w:hint="eastAsia" w:ascii="宋体" w:hAnsi="宋体" w:cs="宋体"/>
                <w:color w:val="auto"/>
                <w:sz w:val="24"/>
              </w:rPr>
              <w:t>年   月   日</w:t>
            </w:r>
          </w:p>
        </w:tc>
        <w:tc>
          <w:tcPr>
            <w:tcW w:w="4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rPr>
            </w:pPr>
            <w:r>
              <w:rPr>
                <w:rFonts w:hint="eastAsia" w:ascii="宋体" w:hAnsi="宋体" w:cs="宋体"/>
                <w:color w:val="auto"/>
                <w:sz w:val="24"/>
              </w:rPr>
              <w:t xml:space="preserve">乙方（章）              </w:t>
            </w:r>
          </w:p>
          <w:p>
            <w:pPr>
              <w:snapToGrid w:val="0"/>
              <w:spacing w:line="360" w:lineRule="auto"/>
              <w:rPr>
                <w:rFonts w:ascii="宋体" w:hAnsi="宋体" w:cs="宋体"/>
                <w:color w:val="auto"/>
                <w:sz w:val="24"/>
              </w:rPr>
            </w:pPr>
          </w:p>
          <w:p>
            <w:pPr>
              <w:snapToGrid w:val="0"/>
              <w:spacing w:line="360" w:lineRule="auto"/>
              <w:jc w:val="right"/>
              <w:rPr>
                <w:rFonts w:ascii="宋体" w:hAnsi="宋体" w:cs="宋体"/>
                <w:color w:val="auto"/>
                <w:sz w:val="24"/>
              </w:rPr>
            </w:pPr>
            <w:r>
              <w:rPr>
                <w:rFonts w:hint="eastAsia" w:ascii="宋体" w:hAnsi="宋体" w:cs="宋体"/>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rPr>
            </w:pPr>
            <w:r>
              <w:rPr>
                <w:rFonts w:hint="eastAsia" w:ascii="宋体" w:hAnsi="宋体" w:cs="宋体"/>
                <w:color w:val="auto"/>
                <w:sz w:val="24"/>
              </w:rPr>
              <w:t>单位地址：</w:t>
            </w:r>
          </w:p>
        </w:tc>
        <w:tc>
          <w:tcPr>
            <w:tcW w:w="4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rPr>
            </w:pPr>
            <w:r>
              <w:rPr>
                <w:rFonts w:hint="eastAsia" w:ascii="宋体" w:hAnsi="宋体" w:cs="宋体"/>
                <w:color w:val="auto"/>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rPr>
            </w:pPr>
            <w:r>
              <w:rPr>
                <w:rFonts w:hint="eastAsia" w:ascii="宋体" w:hAnsi="宋体" w:cs="宋体"/>
                <w:color w:val="auto"/>
                <w:sz w:val="24"/>
              </w:rPr>
              <w:t>法定代表人（或委托代理人）：</w:t>
            </w:r>
          </w:p>
        </w:tc>
        <w:tc>
          <w:tcPr>
            <w:tcW w:w="4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rPr>
            </w:pPr>
            <w:r>
              <w:rPr>
                <w:rFonts w:hint="eastAsia" w:ascii="宋体" w:hAnsi="宋体" w:cs="宋体"/>
                <w:color w:val="auto"/>
                <w:sz w:val="24"/>
              </w:rPr>
              <w:t>法定代表人（或委托代理人）：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rPr>
            </w:pPr>
            <w:r>
              <w:rPr>
                <w:rFonts w:hint="eastAsia" w:ascii="宋体" w:hAnsi="宋体" w:cs="宋体"/>
                <w:color w:val="auto"/>
                <w:sz w:val="24"/>
              </w:rPr>
              <w:t>电话：</w:t>
            </w:r>
          </w:p>
        </w:tc>
        <w:tc>
          <w:tcPr>
            <w:tcW w:w="4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rPr>
            </w:pPr>
            <w:r>
              <w:rPr>
                <w:rFonts w:hint="eastAsia" w:ascii="宋体" w:hAnsi="宋体" w:cs="宋体"/>
                <w:color w:val="auto"/>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rPr>
            </w:pPr>
            <w:r>
              <w:rPr>
                <w:rFonts w:hint="eastAsia" w:ascii="宋体" w:hAnsi="宋体" w:cs="宋体"/>
                <w:color w:val="auto"/>
                <w:sz w:val="24"/>
              </w:rPr>
              <w:t>电子邮箱：</w:t>
            </w:r>
          </w:p>
        </w:tc>
        <w:tc>
          <w:tcPr>
            <w:tcW w:w="4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rPr>
            </w:pPr>
            <w:r>
              <w:rPr>
                <w:rFonts w:hint="eastAsia" w:ascii="宋体" w:hAnsi="宋体" w:cs="宋体"/>
                <w:color w:val="auto"/>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rPr>
            </w:pPr>
            <w:r>
              <w:rPr>
                <w:rFonts w:hint="eastAsia" w:ascii="宋体" w:hAnsi="宋体" w:cs="宋体"/>
                <w:color w:val="auto"/>
                <w:sz w:val="24"/>
              </w:rPr>
              <w:t>开户银行：</w:t>
            </w:r>
          </w:p>
        </w:tc>
        <w:tc>
          <w:tcPr>
            <w:tcW w:w="4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rPr>
            </w:pPr>
            <w:r>
              <w:rPr>
                <w:rFonts w:hint="eastAsia" w:ascii="宋体" w:hAnsi="宋体" w:cs="宋体"/>
                <w:color w:val="auto"/>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rPr>
            </w:pPr>
            <w:r>
              <w:rPr>
                <w:rFonts w:hint="eastAsia" w:ascii="宋体" w:hAnsi="宋体" w:cs="宋体"/>
                <w:color w:val="auto"/>
                <w:sz w:val="24"/>
              </w:rPr>
              <w:t>账号：</w:t>
            </w:r>
          </w:p>
        </w:tc>
        <w:tc>
          <w:tcPr>
            <w:tcW w:w="4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rPr>
            </w:pPr>
            <w:r>
              <w:rPr>
                <w:rFonts w:hint="eastAsia" w:ascii="宋体" w:hAnsi="宋体" w:cs="宋体"/>
                <w:color w:val="auto"/>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rPr>
            </w:pPr>
            <w:r>
              <w:rPr>
                <w:rFonts w:hint="eastAsia" w:ascii="宋体" w:hAnsi="宋体" w:cs="宋体"/>
                <w:color w:val="auto"/>
                <w:sz w:val="24"/>
              </w:rPr>
              <w:t>纳税人识别号或统一社会信用代码：</w:t>
            </w:r>
          </w:p>
        </w:tc>
        <w:tc>
          <w:tcPr>
            <w:tcW w:w="4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rPr>
            </w:pPr>
            <w:r>
              <w:rPr>
                <w:rFonts w:hint="eastAsia" w:ascii="宋体" w:hAnsi="宋体" w:cs="宋体"/>
                <w:color w:val="auto"/>
                <w:sz w:val="24"/>
              </w:rPr>
              <w:t>纳税人识别号或统一社会信用代码：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rPr>
            </w:pPr>
            <w:r>
              <w:rPr>
                <w:rFonts w:hint="eastAsia" w:ascii="宋体" w:hAnsi="宋体" w:cs="宋体"/>
                <w:color w:val="auto"/>
                <w:sz w:val="24"/>
              </w:rPr>
              <w:t>邮政编码：</w:t>
            </w:r>
          </w:p>
        </w:tc>
        <w:tc>
          <w:tcPr>
            <w:tcW w:w="4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rPr>
            </w:pPr>
            <w:r>
              <w:rPr>
                <w:rFonts w:hint="eastAsia" w:ascii="宋体" w:hAnsi="宋体" w:cs="宋体"/>
                <w:color w:val="auto"/>
                <w:sz w:val="24"/>
              </w:rPr>
              <w:t>邮政编码：</w:t>
            </w:r>
          </w:p>
        </w:tc>
      </w:tr>
    </w:tbl>
    <w:p>
      <w:pPr>
        <w:snapToGrid w:val="0"/>
        <w:spacing w:line="360" w:lineRule="auto"/>
        <w:jc w:val="center"/>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合 同 附 件</w:t>
      </w:r>
    </w:p>
    <w:tbl>
      <w:tblPr>
        <w:tblStyle w:val="24"/>
        <w:tblW w:w="9854" w:type="dxa"/>
        <w:tblInd w:w="0" w:type="dxa"/>
        <w:tblLayout w:type="fixed"/>
        <w:tblCellMar>
          <w:top w:w="0" w:type="dxa"/>
          <w:left w:w="108" w:type="dxa"/>
          <w:bottom w:w="0" w:type="dxa"/>
          <w:right w:w="108" w:type="dxa"/>
        </w:tblCellMar>
      </w:tblPr>
      <w:tblGrid>
        <w:gridCol w:w="4911"/>
        <w:gridCol w:w="4943"/>
      </w:tblGrid>
      <w:tr>
        <w:tblPrEx>
          <w:tblCellMar>
            <w:top w:w="0" w:type="dxa"/>
            <w:left w:w="108" w:type="dxa"/>
            <w:bottom w:w="0" w:type="dxa"/>
            <w:right w:w="108" w:type="dxa"/>
          </w:tblCellMar>
        </w:tblPrEx>
        <w:trPr>
          <w:trHeight w:val="454" w:hRule="exact"/>
        </w:trPr>
        <w:tc>
          <w:tcPr>
            <w:tcW w:w="9854" w:type="dxa"/>
            <w:gridSpan w:val="2"/>
            <w:tcBorders>
              <w:top w:val="single" w:color="auto" w:sz="4" w:space="0"/>
              <w:left w:val="single" w:color="auto" w:sz="4" w:space="0"/>
              <w:right w:val="single" w:color="auto" w:sz="4" w:space="0"/>
            </w:tcBorders>
            <w:vAlign w:val="center"/>
          </w:tcPr>
          <w:p>
            <w:pPr>
              <w:snapToGrid w:val="0"/>
              <w:spacing w:line="400" w:lineRule="exact"/>
              <w:ind w:firstLine="482" w:firstLineChars="200"/>
              <w:rPr>
                <w:rFonts w:ascii="宋体" w:hAnsi="宋体" w:cs="宋体"/>
                <w:b/>
                <w:color w:val="auto"/>
                <w:sz w:val="24"/>
              </w:rPr>
            </w:pPr>
            <w:r>
              <w:rPr>
                <w:rFonts w:hint="eastAsia" w:ascii="宋体" w:hAnsi="宋体" w:cs="宋体"/>
                <w:b/>
                <w:color w:val="auto"/>
                <w:sz w:val="24"/>
              </w:rPr>
              <w:t>1、供应商承诺具体事项：</w:t>
            </w:r>
          </w:p>
        </w:tc>
      </w:tr>
      <w:tr>
        <w:tblPrEx>
          <w:tblCellMar>
            <w:top w:w="0" w:type="dxa"/>
            <w:left w:w="108" w:type="dxa"/>
            <w:bottom w:w="0" w:type="dxa"/>
            <w:right w:w="108" w:type="dxa"/>
          </w:tblCellMar>
        </w:tblPrEx>
        <w:trPr>
          <w:trHeight w:val="1793" w:hRule="atLeast"/>
        </w:trPr>
        <w:tc>
          <w:tcPr>
            <w:tcW w:w="9854"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hAnsi="宋体" w:cs="宋体"/>
                <w:b/>
                <w:color w:val="auto"/>
                <w:sz w:val="24"/>
              </w:rPr>
            </w:pPr>
          </w:p>
        </w:tc>
      </w:tr>
      <w:tr>
        <w:tblPrEx>
          <w:tblCellMar>
            <w:top w:w="0" w:type="dxa"/>
            <w:left w:w="108" w:type="dxa"/>
            <w:bottom w:w="0" w:type="dxa"/>
            <w:right w:w="108" w:type="dxa"/>
          </w:tblCellMar>
        </w:tblPrEx>
        <w:trPr>
          <w:trHeight w:val="454" w:hRule="exact"/>
        </w:trPr>
        <w:tc>
          <w:tcPr>
            <w:tcW w:w="9854" w:type="dxa"/>
            <w:gridSpan w:val="2"/>
            <w:tcBorders>
              <w:top w:val="single" w:color="auto" w:sz="4" w:space="0"/>
              <w:left w:val="single" w:color="auto" w:sz="4" w:space="0"/>
              <w:right w:val="single" w:color="auto" w:sz="4" w:space="0"/>
            </w:tcBorders>
            <w:vAlign w:val="center"/>
          </w:tcPr>
          <w:p>
            <w:pPr>
              <w:snapToGrid w:val="0"/>
              <w:spacing w:line="400" w:lineRule="exact"/>
              <w:ind w:firstLine="482" w:firstLineChars="200"/>
              <w:rPr>
                <w:rFonts w:ascii="宋体" w:hAnsi="宋体" w:cs="宋体"/>
                <w:b/>
                <w:color w:val="auto"/>
                <w:sz w:val="24"/>
              </w:rPr>
            </w:pPr>
            <w:r>
              <w:rPr>
                <w:rFonts w:hint="eastAsia" w:ascii="宋体" w:hAnsi="宋体" w:cs="宋体"/>
                <w:b/>
                <w:color w:val="auto"/>
                <w:sz w:val="24"/>
              </w:rPr>
              <w:t>2、售后服务具体事项：</w:t>
            </w:r>
          </w:p>
        </w:tc>
      </w:tr>
      <w:tr>
        <w:tblPrEx>
          <w:tblCellMar>
            <w:top w:w="0" w:type="dxa"/>
            <w:left w:w="108" w:type="dxa"/>
            <w:bottom w:w="0" w:type="dxa"/>
            <w:right w:w="108" w:type="dxa"/>
          </w:tblCellMar>
        </w:tblPrEx>
        <w:trPr>
          <w:trHeight w:val="1793" w:hRule="atLeast"/>
        </w:trPr>
        <w:tc>
          <w:tcPr>
            <w:tcW w:w="9854"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hAnsi="宋体" w:cs="宋体"/>
                <w:b/>
                <w:color w:val="auto"/>
                <w:sz w:val="24"/>
              </w:rPr>
            </w:pPr>
          </w:p>
        </w:tc>
      </w:tr>
      <w:tr>
        <w:tblPrEx>
          <w:tblCellMar>
            <w:top w:w="0" w:type="dxa"/>
            <w:left w:w="108" w:type="dxa"/>
            <w:bottom w:w="0" w:type="dxa"/>
            <w:right w:w="108" w:type="dxa"/>
          </w:tblCellMar>
        </w:tblPrEx>
        <w:trPr>
          <w:trHeight w:val="454" w:hRule="exact"/>
        </w:trPr>
        <w:tc>
          <w:tcPr>
            <w:tcW w:w="9854" w:type="dxa"/>
            <w:gridSpan w:val="2"/>
            <w:tcBorders>
              <w:top w:val="single" w:color="auto" w:sz="4" w:space="0"/>
              <w:left w:val="single" w:color="auto" w:sz="4" w:space="0"/>
              <w:right w:val="single" w:color="auto" w:sz="4" w:space="0"/>
            </w:tcBorders>
            <w:vAlign w:val="center"/>
          </w:tcPr>
          <w:p>
            <w:pPr>
              <w:snapToGrid w:val="0"/>
              <w:spacing w:line="400" w:lineRule="exact"/>
              <w:ind w:firstLine="482" w:firstLineChars="200"/>
              <w:rPr>
                <w:rFonts w:ascii="宋体" w:hAnsi="宋体" w:cs="宋体"/>
                <w:b/>
                <w:color w:val="auto"/>
                <w:sz w:val="24"/>
              </w:rPr>
            </w:pPr>
            <w:r>
              <w:rPr>
                <w:rFonts w:hint="eastAsia" w:ascii="宋体" w:hAnsi="宋体" w:cs="宋体"/>
                <w:b/>
                <w:color w:val="auto"/>
                <w:sz w:val="24"/>
              </w:rPr>
              <w:t>3、保修期责任：</w:t>
            </w:r>
          </w:p>
        </w:tc>
      </w:tr>
      <w:tr>
        <w:tblPrEx>
          <w:tblCellMar>
            <w:top w:w="0" w:type="dxa"/>
            <w:left w:w="108" w:type="dxa"/>
            <w:bottom w:w="0" w:type="dxa"/>
            <w:right w:w="108" w:type="dxa"/>
          </w:tblCellMar>
        </w:tblPrEx>
        <w:trPr>
          <w:trHeight w:val="2242" w:hRule="atLeast"/>
        </w:trPr>
        <w:tc>
          <w:tcPr>
            <w:tcW w:w="9854"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hAnsi="宋体" w:cs="宋体"/>
                <w:b/>
                <w:color w:val="auto"/>
                <w:sz w:val="24"/>
              </w:rPr>
            </w:pPr>
          </w:p>
        </w:tc>
      </w:tr>
      <w:tr>
        <w:tblPrEx>
          <w:tblCellMar>
            <w:top w:w="0" w:type="dxa"/>
            <w:left w:w="108" w:type="dxa"/>
            <w:bottom w:w="0" w:type="dxa"/>
            <w:right w:w="108" w:type="dxa"/>
          </w:tblCellMar>
        </w:tblPrEx>
        <w:trPr>
          <w:trHeight w:val="454" w:hRule="exact"/>
        </w:trPr>
        <w:tc>
          <w:tcPr>
            <w:tcW w:w="9854" w:type="dxa"/>
            <w:gridSpan w:val="2"/>
            <w:tcBorders>
              <w:top w:val="single" w:color="auto" w:sz="4" w:space="0"/>
              <w:left w:val="single" w:color="auto" w:sz="4" w:space="0"/>
              <w:right w:val="single" w:color="auto" w:sz="4" w:space="0"/>
            </w:tcBorders>
            <w:vAlign w:val="center"/>
          </w:tcPr>
          <w:p>
            <w:pPr>
              <w:snapToGrid w:val="0"/>
              <w:spacing w:line="400" w:lineRule="exact"/>
              <w:ind w:firstLine="482" w:firstLineChars="200"/>
              <w:rPr>
                <w:rFonts w:ascii="宋体" w:hAnsi="宋体" w:cs="宋体"/>
                <w:b/>
                <w:color w:val="auto"/>
                <w:sz w:val="24"/>
              </w:rPr>
            </w:pPr>
            <w:r>
              <w:rPr>
                <w:rFonts w:hint="eastAsia" w:ascii="宋体" w:hAnsi="宋体" w:cs="宋体"/>
                <w:b/>
                <w:color w:val="auto"/>
                <w:sz w:val="24"/>
              </w:rPr>
              <w:t>4、其他具体事项：</w:t>
            </w:r>
          </w:p>
        </w:tc>
      </w:tr>
      <w:tr>
        <w:tblPrEx>
          <w:tblCellMar>
            <w:top w:w="0" w:type="dxa"/>
            <w:left w:w="108" w:type="dxa"/>
            <w:bottom w:w="0" w:type="dxa"/>
            <w:right w:w="108" w:type="dxa"/>
          </w:tblCellMar>
        </w:tblPrEx>
        <w:trPr>
          <w:trHeight w:val="1689" w:hRule="atLeast"/>
        </w:trPr>
        <w:tc>
          <w:tcPr>
            <w:tcW w:w="9854"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hAnsi="宋体" w:cs="宋体"/>
                <w:b/>
                <w:color w:val="auto"/>
                <w:sz w:val="24"/>
              </w:rPr>
            </w:pPr>
          </w:p>
        </w:tc>
      </w:tr>
      <w:tr>
        <w:tblPrEx>
          <w:tblCellMar>
            <w:top w:w="0" w:type="dxa"/>
            <w:left w:w="108" w:type="dxa"/>
            <w:bottom w:w="0" w:type="dxa"/>
            <w:right w:w="108" w:type="dxa"/>
          </w:tblCellMar>
        </w:tblPrEx>
        <w:trPr>
          <w:trHeight w:val="2577" w:hRule="atLeast"/>
        </w:trPr>
        <w:tc>
          <w:tcPr>
            <w:tcW w:w="491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hAnsi="宋体" w:cs="宋体"/>
                <w:b/>
                <w:color w:val="auto"/>
                <w:sz w:val="24"/>
              </w:rPr>
            </w:pPr>
            <w:r>
              <w:rPr>
                <w:rFonts w:hint="eastAsia" w:ascii="宋体" w:hAnsi="宋体" w:cs="宋体"/>
                <w:b/>
                <w:color w:val="auto"/>
                <w:sz w:val="24"/>
              </w:rPr>
              <w:t>甲方（章）</w:t>
            </w:r>
          </w:p>
          <w:p>
            <w:pPr>
              <w:snapToGrid w:val="0"/>
              <w:spacing w:line="400" w:lineRule="exact"/>
              <w:ind w:firstLine="482" w:firstLineChars="200"/>
              <w:rPr>
                <w:rFonts w:ascii="宋体" w:hAnsi="宋体" w:cs="宋体"/>
                <w:b/>
                <w:color w:val="auto"/>
                <w:sz w:val="24"/>
              </w:rPr>
            </w:pPr>
          </w:p>
          <w:p>
            <w:pPr>
              <w:snapToGrid w:val="0"/>
              <w:spacing w:line="400" w:lineRule="exact"/>
              <w:ind w:firstLine="482" w:firstLineChars="200"/>
              <w:rPr>
                <w:rFonts w:ascii="宋体" w:hAnsi="宋体" w:cs="宋体"/>
                <w:b/>
                <w:color w:val="auto"/>
                <w:sz w:val="24"/>
              </w:rPr>
            </w:pPr>
          </w:p>
          <w:p>
            <w:pPr>
              <w:snapToGrid w:val="0"/>
              <w:spacing w:line="400" w:lineRule="exact"/>
              <w:ind w:firstLine="482" w:firstLineChars="200"/>
              <w:rPr>
                <w:rFonts w:ascii="宋体" w:hAnsi="宋体" w:cs="宋体"/>
                <w:b/>
                <w:color w:val="auto"/>
                <w:sz w:val="24"/>
              </w:rPr>
            </w:pPr>
          </w:p>
          <w:p>
            <w:pPr>
              <w:snapToGrid w:val="0"/>
              <w:spacing w:line="400" w:lineRule="exact"/>
              <w:ind w:firstLine="482" w:firstLineChars="200"/>
              <w:rPr>
                <w:rFonts w:ascii="宋体" w:hAnsi="宋体" w:cs="宋体"/>
                <w:b/>
                <w:color w:val="auto"/>
                <w:sz w:val="24"/>
              </w:rPr>
            </w:pPr>
          </w:p>
          <w:p>
            <w:pPr>
              <w:snapToGrid w:val="0"/>
              <w:spacing w:line="400" w:lineRule="exact"/>
              <w:ind w:firstLine="482" w:firstLineChars="200"/>
              <w:rPr>
                <w:rFonts w:ascii="宋体" w:hAnsi="宋体" w:cs="宋体"/>
                <w:b/>
                <w:color w:val="auto"/>
                <w:sz w:val="24"/>
              </w:rPr>
            </w:pPr>
          </w:p>
          <w:p>
            <w:pPr>
              <w:snapToGrid w:val="0"/>
              <w:spacing w:line="400" w:lineRule="exact"/>
              <w:ind w:firstLine="482" w:firstLineChars="200"/>
              <w:rPr>
                <w:rFonts w:ascii="宋体" w:hAnsi="宋体" w:cs="宋体"/>
                <w:b/>
                <w:color w:val="auto"/>
                <w:sz w:val="24"/>
              </w:rPr>
            </w:pPr>
          </w:p>
          <w:p>
            <w:pPr>
              <w:snapToGrid w:val="0"/>
              <w:spacing w:line="400" w:lineRule="exact"/>
              <w:ind w:firstLine="482" w:firstLineChars="200"/>
              <w:rPr>
                <w:rFonts w:ascii="宋体" w:hAnsi="宋体" w:cs="宋体"/>
                <w:b/>
                <w:color w:val="auto"/>
                <w:sz w:val="24"/>
              </w:rPr>
            </w:pPr>
            <w:r>
              <w:rPr>
                <w:rFonts w:hint="eastAsia" w:ascii="宋体" w:hAnsi="宋体" w:cs="宋体"/>
                <w:b/>
                <w:color w:val="auto"/>
                <w:sz w:val="24"/>
              </w:rPr>
              <w:t xml:space="preserve">                 年   月   日 </w:t>
            </w:r>
          </w:p>
        </w:tc>
        <w:tc>
          <w:tcPr>
            <w:tcW w:w="49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hAnsi="宋体" w:cs="宋体"/>
                <w:b/>
                <w:color w:val="auto"/>
                <w:sz w:val="24"/>
              </w:rPr>
            </w:pPr>
            <w:r>
              <w:rPr>
                <w:rFonts w:hint="eastAsia" w:ascii="宋体" w:hAnsi="宋体" w:cs="宋体"/>
                <w:b/>
                <w:color w:val="auto"/>
                <w:sz w:val="24"/>
              </w:rPr>
              <w:t>乙方（章）</w:t>
            </w:r>
          </w:p>
          <w:p>
            <w:pPr>
              <w:snapToGrid w:val="0"/>
              <w:spacing w:line="400" w:lineRule="exact"/>
              <w:ind w:firstLine="482" w:firstLineChars="200"/>
              <w:rPr>
                <w:rFonts w:ascii="宋体" w:hAnsi="宋体" w:cs="宋体"/>
                <w:b/>
                <w:color w:val="auto"/>
                <w:sz w:val="24"/>
              </w:rPr>
            </w:pPr>
          </w:p>
          <w:p>
            <w:pPr>
              <w:snapToGrid w:val="0"/>
              <w:spacing w:line="400" w:lineRule="exact"/>
              <w:ind w:firstLine="482" w:firstLineChars="200"/>
              <w:rPr>
                <w:rFonts w:ascii="宋体" w:hAnsi="宋体" w:cs="宋体"/>
                <w:b/>
                <w:color w:val="auto"/>
                <w:sz w:val="24"/>
              </w:rPr>
            </w:pPr>
          </w:p>
          <w:p>
            <w:pPr>
              <w:snapToGrid w:val="0"/>
              <w:spacing w:line="400" w:lineRule="exact"/>
              <w:ind w:firstLine="482" w:firstLineChars="200"/>
              <w:rPr>
                <w:rFonts w:ascii="宋体" w:hAnsi="宋体" w:cs="宋体"/>
                <w:b/>
                <w:color w:val="auto"/>
                <w:sz w:val="24"/>
              </w:rPr>
            </w:pPr>
          </w:p>
          <w:p>
            <w:pPr>
              <w:snapToGrid w:val="0"/>
              <w:spacing w:line="400" w:lineRule="exact"/>
              <w:ind w:firstLine="482" w:firstLineChars="200"/>
              <w:rPr>
                <w:rFonts w:ascii="宋体" w:hAnsi="宋体" w:cs="宋体"/>
                <w:b/>
                <w:color w:val="auto"/>
                <w:sz w:val="24"/>
              </w:rPr>
            </w:pPr>
          </w:p>
          <w:p>
            <w:pPr>
              <w:snapToGrid w:val="0"/>
              <w:spacing w:line="400" w:lineRule="exact"/>
              <w:ind w:firstLine="482" w:firstLineChars="200"/>
              <w:rPr>
                <w:rFonts w:ascii="宋体" w:hAnsi="宋体" w:cs="宋体"/>
                <w:b/>
                <w:color w:val="auto"/>
                <w:sz w:val="24"/>
              </w:rPr>
            </w:pPr>
          </w:p>
          <w:p>
            <w:pPr>
              <w:snapToGrid w:val="0"/>
              <w:spacing w:line="400" w:lineRule="exact"/>
              <w:ind w:firstLine="482" w:firstLineChars="200"/>
              <w:rPr>
                <w:rFonts w:ascii="宋体" w:hAnsi="宋体" w:cs="宋体"/>
                <w:b/>
                <w:color w:val="auto"/>
                <w:sz w:val="24"/>
              </w:rPr>
            </w:pPr>
          </w:p>
          <w:p>
            <w:pPr>
              <w:snapToGrid w:val="0"/>
              <w:spacing w:line="400" w:lineRule="exact"/>
              <w:ind w:firstLine="482" w:firstLineChars="200"/>
              <w:rPr>
                <w:rFonts w:ascii="宋体" w:hAnsi="宋体" w:cs="宋体"/>
                <w:b/>
                <w:color w:val="auto"/>
                <w:sz w:val="24"/>
              </w:rPr>
            </w:pPr>
            <w:r>
              <w:rPr>
                <w:rFonts w:hint="eastAsia" w:ascii="宋体" w:hAnsi="宋体" w:cs="宋体"/>
                <w:b/>
                <w:color w:val="auto"/>
                <w:sz w:val="24"/>
              </w:rPr>
              <w:t xml:space="preserve">                年   月   日</w:t>
            </w:r>
          </w:p>
        </w:tc>
      </w:tr>
    </w:tbl>
    <w:p>
      <w:pPr>
        <w:snapToGrid w:val="0"/>
        <w:rPr>
          <w:rFonts w:ascii="宋体" w:hAnsi="宋体" w:cs="宋体"/>
          <w:color w:val="auto"/>
          <w:sz w:val="24"/>
        </w:rPr>
      </w:pPr>
      <w:r>
        <w:rPr>
          <w:rFonts w:hint="eastAsia" w:ascii="宋体" w:hAnsi="宋体" w:cs="宋体"/>
          <w:color w:val="auto"/>
          <w:sz w:val="24"/>
        </w:rPr>
        <w:t xml:space="preserve">  注：售后服务事项填不下时可另加附页</w:t>
      </w:r>
    </w:p>
    <w:p>
      <w:pPr>
        <w:widowControl/>
        <w:jc w:val="left"/>
        <w:rPr>
          <w:rFonts w:ascii="宋体" w:hAnsi="宋体" w:cs="宋体"/>
          <w:b/>
          <w:bCs/>
          <w:color w:val="auto"/>
          <w:kern w:val="0"/>
          <w:sz w:val="28"/>
          <w:szCs w:val="28"/>
        </w:rPr>
      </w:pPr>
    </w:p>
    <w:p>
      <w:pPr>
        <w:snapToGrid w:val="0"/>
        <w:spacing w:line="360" w:lineRule="exact"/>
        <w:rPr>
          <w:rFonts w:ascii="宋体" w:hAnsi="宋体" w:cs="宋体"/>
          <w:color w:val="auto"/>
          <w:szCs w:val="21"/>
        </w:rPr>
      </w:pPr>
    </w:p>
    <w:p>
      <w:pPr>
        <w:spacing w:line="360" w:lineRule="auto"/>
        <w:ind w:left="420"/>
        <w:rPr>
          <w:rFonts w:ascii="宋体" w:hAnsi="宋体" w:cs="宋体"/>
          <w:color w:val="auto"/>
          <w:sz w:val="24"/>
        </w:rPr>
      </w:pPr>
      <w:r>
        <w:rPr>
          <w:rFonts w:hint="eastAsia" w:ascii="宋体" w:hAnsi="宋体" w:cs="宋体"/>
          <w:color w:val="auto"/>
          <w:sz w:val="24"/>
        </w:rPr>
        <w:t xml:space="preserve"> </w:t>
      </w:r>
    </w:p>
    <w:p>
      <w:pPr>
        <w:snapToGrid w:val="0"/>
        <w:jc w:val="center"/>
        <w:rPr>
          <w:rFonts w:ascii="宋体" w:hAnsi="宋体" w:cs="宋体"/>
          <w:color w:val="auto"/>
          <w:sz w:val="24"/>
        </w:rPr>
      </w:pPr>
      <w:r>
        <w:rPr>
          <w:rFonts w:hint="eastAsia" w:ascii="宋体" w:hAnsi="宋体" w:cs="宋体"/>
          <w:color w:val="auto"/>
          <w:sz w:val="24"/>
        </w:rPr>
        <w:t xml:space="preserve"> </w:t>
      </w: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snapToGrid w:val="0"/>
        <w:rPr>
          <w:rFonts w:ascii="宋体" w:hAnsi="宋体" w:cs="宋体"/>
          <w:bCs/>
          <w:color w:val="auto"/>
          <w:sz w:val="32"/>
          <w:szCs w:val="32"/>
        </w:rPr>
      </w:pPr>
    </w:p>
    <w:p>
      <w:pPr>
        <w:snapToGrid w:val="0"/>
        <w:jc w:val="center"/>
        <w:rPr>
          <w:rFonts w:ascii="宋体" w:hAnsi="宋体" w:cs="宋体"/>
          <w:bCs/>
          <w:color w:val="auto"/>
          <w:sz w:val="32"/>
          <w:szCs w:val="32"/>
        </w:rPr>
      </w:pPr>
    </w:p>
    <w:p>
      <w:pPr>
        <w:pStyle w:val="3"/>
        <w:keepNext/>
        <w:keepLines/>
        <w:pageBreakBefore w:val="0"/>
        <w:widowControl w:val="0"/>
        <w:kinsoku/>
        <w:wordWrap/>
        <w:overflowPunct/>
        <w:topLinePunct w:val="0"/>
        <w:autoSpaceDE/>
        <w:autoSpaceDN/>
        <w:bidi w:val="0"/>
        <w:adjustRightInd/>
        <w:snapToGrid/>
        <w:spacing w:line="500" w:lineRule="exact"/>
        <w:textAlignment w:val="auto"/>
        <w:rPr>
          <w:rFonts w:ascii="宋体" w:hAnsi="宋体" w:cs="宋体"/>
          <w:color w:val="auto"/>
          <w:sz w:val="36"/>
          <w:szCs w:val="36"/>
        </w:rPr>
      </w:pPr>
      <w:bookmarkStart w:id="51" w:name="_Toc18695"/>
      <w:r>
        <w:rPr>
          <w:rFonts w:hint="eastAsia" w:ascii="宋体" w:hAnsi="宋体" w:cs="宋体"/>
          <w:color w:val="auto"/>
          <w:sz w:val="36"/>
          <w:szCs w:val="36"/>
        </w:rPr>
        <w:t>第六章　投标文件格式</w:t>
      </w:r>
      <w:bookmarkEnd w:id="51"/>
    </w:p>
    <w:p>
      <w:pPr>
        <w:snapToGrid w:val="0"/>
        <w:spacing w:before="50" w:after="50"/>
        <w:outlineLvl w:val="1"/>
        <w:rPr>
          <w:rFonts w:ascii="宋体" w:hAnsi="宋体" w:cs="宋体"/>
          <w:color w:val="auto"/>
          <w:sz w:val="32"/>
          <w:szCs w:val="20"/>
        </w:rPr>
      </w:pPr>
    </w:p>
    <w:p>
      <w:pPr>
        <w:snapToGrid w:val="0"/>
        <w:spacing w:before="50" w:after="50"/>
        <w:outlineLvl w:val="1"/>
        <w:rPr>
          <w:rFonts w:ascii="宋体" w:hAnsi="宋体" w:cs="宋体"/>
          <w:color w:val="auto"/>
          <w:sz w:val="32"/>
          <w:szCs w:val="20"/>
        </w:rPr>
      </w:pPr>
    </w:p>
    <w:p>
      <w:pPr>
        <w:snapToGrid w:val="0"/>
        <w:spacing w:beforeLines="50" w:after="50"/>
        <w:outlineLvl w:val="1"/>
        <w:rPr>
          <w:rFonts w:ascii="宋体" w:hAnsi="宋体" w:cs="宋体"/>
          <w:b/>
          <w:bCs/>
          <w:color w:val="auto"/>
          <w:szCs w:val="21"/>
        </w:rPr>
      </w:pPr>
      <w:r>
        <w:rPr>
          <w:rFonts w:hint="eastAsia" w:ascii="宋体" w:hAnsi="宋体" w:cs="宋体"/>
          <w:b/>
          <w:bCs/>
          <w:color w:val="auto"/>
          <w:szCs w:val="21"/>
        </w:rPr>
        <w:br w:type="page"/>
      </w:r>
    </w:p>
    <w:p>
      <w:pPr>
        <w:snapToGrid w:val="0"/>
        <w:spacing w:beforeLines="50" w:after="50"/>
        <w:outlineLvl w:val="1"/>
        <w:rPr>
          <w:rFonts w:ascii="宋体" w:hAnsi="宋体" w:cs="宋体"/>
          <w:b/>
          <w:bCs/>
          <w:color w:val="auto"/>
          <w:sz w:val="36"/>
          <w:szCs w:val="36"/>
        </w:rPr>
      </w:pPr>
      <w:r>
        <w:rPr>
          <w:rFonts w:hint="eastAsia" w:ascii="宋体" w:hAnsi="宋体" w:cs="宋体"/>
          <w:b/>
          <w:bCs/>
          <w:color w:val="auto"/>
          <w:sz w:val="36"/>
          <w:szCs w:val="36"/>
        </w:rPr>
        <w:t>一、投标文件外层包装封面格式</w:t>
      </w:r>
    </w:p>
    <w:p>
      <w:pPr>
        <w:snapToGrid w:val="0"/>
        <w:spacing w:beforeLines="50" w:after="50"/>
        <w:jc w:val="center"/>
        <w:rPr>
          <w:rFonts w:ascii="宋体" w:hAnsi="宋体" w:cs="宋体"/>
          <w:bCs/>
          <w:color w:val="auto"/>
          <w:szCs w:val="21"/>
        </w:rPr>
      </w:pPr>
    </w:p>
    <w:p>
      <w:pPr>
        <w:pStyle w:val="2"/>
        <w:rPr>
          <w:rFonts w:ascii="宋体" w:hAnsi="宋体" w:cs="宋体"/>
          <w:bCs/>
          <w:color w:val="auto"/>
          <w:szCs w:val="21"/>
        </w:rPr>
      </w:pPr>
    </w:p>
    <w:p>
      <w:pPr>
        <w:snapToGrid w:val="0"/>
        <w:spacing w:beforeLines="50" w:after="50" w:line="1000" w:lineRule="exact"/>
        <w:jc w:val="center"/>
        <w:rPr>
          <w:rFonts w:ascii="宋体" w:hAnsi="宋体" w:cs="宋体"/>
          <w:b/>
          <w:color w:val="auto"/>
          <w:sz w:val="44"/>
          <w:szCs w:val="44"/>
        </w:rPr>
      </w:pPr>
      <w:r>
        <w:rPr>
          <w:rFonts w:hint="eastAsia" w:ascii="宋体" w:hAnsi="宋体" w:cs="宋体"/>
          <w:b/>
          <w:color w:val="auto"/>
          <w:sz w:val="44"/>
          <w:szCs w:val="44"/>
        </w:rPr>
        <w:t>投 标 文 件</w:t>
      </w:r>
    </w:p>
    <w:p>
      <w:pPr>
        <w:snapToGrid w:val="0"/>
        <w:spacing w:beforeLines="50" w:after="50" w:line="1000" w:lineRule="exact"/>
        <w:ind w:firstLine="900" w:firstLineChars="300"/>
        <w:rPr>
          <w:rFonts w:ascii="宋体" w:hAnsi="宋体" w:cs="宋体"/>
          <w:bCs/>
          <w:color w:val="auto"/>
          <w:sz w:val="30"/>
          <w:szCs w:val="30"/>
        </w:rPr>
      </w:pPr>
    </w:p>
    <w:p>
      <w:pPr>
        <w:snapToGrid w:val="0"/>
        <w:spacing w:beforeLines="50" w:after="50" w:line="1000" w:lineRule="exact"/>
        <w:ind w:firstLine="900" w:firstLineChars="300"/>
        <w:rPr>
          <w:rFonts w:ascii="宋体" w:hAnsi="宋体" w:cs="宋体"/>
          <w:bCs/>
          <w:color w:val="auto"/>
          <w:sz w:val="30"/>
          <w:szCs w:val="30"/>
        </w:rPr>
      </w:pPr>
      <w:r>
        <w:rPr>
          <w:rFonts w:hint="eastAsia" w:ascii="宋体" w:hAnsi="宋体" w:cs="宋体"/>
          <w:bCs/>
          <w:color w:val="auto"/>
          <w:sz w:val="30"/>
          <w:szCs w:val="30"/>
        </w:rPr>
        <w:t>项目名称：</w:t>
      </w:r>
      <w:r>
        <w:rPr>
          <w:rFonts w:hAnsi="宋体" w:cs="Arial"/>
          <w:bCs/>
          <w:color w:val="auto"/>
          <w:sz w:val="30"/>
          <w:szCs w:val="30"/>
          <w:u w:val="single"/>
        </w:rPr>
        <w:t xml:space="preserve">                     </w:t>
      </w:r>
      <w:r>
        <w:rPr>
          <w:rFonts w:hint="eastAsia" w:hAnsi="宋体" w:cs="Arial"/>
          <w:bCs/>
          <w:color w:val="auto"/>
          <w:sz w:val="30"/>
          <w:szCs w:val="30"/>
          <w:u w:val="single"/>
        </w:rPr>
        <w:t xml:space="preserve">       </w:t>
      </w:r>
      <w:r>
        <w:rPr>
          <w:rFonts w:hAnsi="宋体" w:cs="Arial"/>
          <w:bCs/>
          <w:color w:val="auto"/>
          <w:sz w:val="30"/>
          <w:szCs w:val="30"/>
          <w:u w:val="single"/>
        </w:rPr>
        <w:t xml:space="preserve">  </w:t>
      </w:r>
      <w:r>
        <w:rPr>
          <w:rFonts w:hint="eastAsia" w:hAnsi="宋体" w:cs="Arial"/>
          <w:bCs/>
          <w:color w:val="auto"/>
          <w:sz w:val="30"/>
          <w:szCs w:val="30"/>
          <w:u w:val="single"/>
        </w:rPr>
        <w:t xml:space="preserve"> </w:t>
      </w:r>
      <w:r>
        <w:rPr>
          <w:rFonts w:hAnsi="宋体" w:cs="Arial"/>
          <w:bCs/>
          <w:color w:val="auto"/>
          <w:sz w:val="30"/>
          <w:szCs w:val="30"/>
          <w:u w:val="single"/>
        </w:rPr>
        <w:t xml:space="preserve">     </w:t>
      </w:r>
      <w:r>
        <w:rPr>
          <w:rFonts w:hint="eastAsia" w:ascii="宋体" w:hAnsi="宋体" w:cs="宋体"/>
          <w:bCs/>
          <w:color w:val="auto"/>
          <w:sz w:val="30"/>
          <w:szCs w:val="30"/>
        </w:rPr>
        <w:t xml:space="preserve"> </w:t>
      </w:r>
    </w:p>
    <w:p>
      <w:pPr>
        <w:pStyle w:val="21"/>
        <w:snapToGrid w:val="0"/>
        <w:spacing w:before="50" w:after="50" w:line="1000" w:lineRule="exact"/>
        <w:ind w:firstLine="900" w:firstLineChars="300"/>
        <w:rPr>
          <w:rFonts w:cs="宋体"/>
          <w:bCs/>
          <w:color w:val="auto"/>
          <w:sz w:val="30"/>
          <w:szCs w:val="30"/>
          <w:u w:val="single"/>
        </w:rPr>
      </w:pPr>
      <w:r>
        <w:rPr>
          <w:rFonts w:hint="eastAsia" w:cs="宋体"/>
          <w:bCs/>
          <w:color w:val="auto"/>
          <w:sz w:val="30"/>
          <w:szCs w:val="30"/>
        </w:rPr>
        <w:t>项目编号：</w:t>
      </w:r>
      <w:r>
        <w:rPr>
          <w:rFonts w:cs="Arial"/>
          <w:bCs/>
          <w:color w:val="auto"/>
          <w:sz w:val="30"/>
          <w:szCs w:val="30"/>
          <w:u w:val="single"/>
        </w:rPr>
        <w:t xml:space="preserve">                       </w:t>
      </w:r>
      <w:r>
        <w:rPr>
          <w:rFonts w:hint="eastAsia" w:cs="Arial"/>
          <w:bCs/>
          <w:color w:val="auto"/>
          <w:sz w:val="30"/>
          <w:szCs w:val="30"/>
          <w:u w:val="single"/>
        </w:rPr>
        <w:t xml:space="preserve">        </w:t>
      </w:r>
      <w:r>
        <w:rPr>
          <w:rFonts w:cs="Arial"/>
          <w:bCs/>
          <w:color w:val="auto"/>
          <w:sz w:val="30"/>
          <w:szCs w:val="30"/>
          <w:u w:val="single"/>
        </w:rPr>
        <w:t xml:space="preserve">     </w:t>
      </w:r>
    </w:p>
    <w:p>
      <w:pPr>
        <w:pStyle w:val="21"/>
        <w:snapToGrid w:val="0"/>
        <w:spacing w:before="50" w:after="50" w:line="1000" w:lineRule="exact"/>
        <w:ind w:firstLine="900" w:firstLineChars="300"/>
        <w:rPr>
          <w:rFonts w:cs="宋体"/>
          <w:bCs/>
          <w:color w:val="auto"/>
          <w:sz w:val="30"/>
          <w:szCs w:val="30"/>
          <w:u w:val="single"/>
        </w:rPr>
      </w:pPr>
      <w:r>
        <w:rPr>
          <w:rFonts w:hint="eastAsia" w:cs="宋体"/>
          <w:bCs/>
          <w:color w:val="auto"/>
          <w:sz w:val="30"/>
          <w:szCs w:val="30"/>
        </w:rPr>
        <w:t>投标单位：</w:t>
      </w:r>
      <w:r>
        <w:rPr>
          <w:rFonts w:hint="eastAsia" w:cs="宋体"/>
          <w:bCs/>
          <w:color w:val="auto"/>
          <w:sz w:val="30"/>
          <w:szCs w:val="30"/>
          <w:u w:val="single"/>
        </w:rPr>
        <w:t xml:space="preserve">                            （盖章）</w:t>
      </w:r>
    </w:p>
    <w:p>
      <w:pPr>
        <w:pStyle w:val="21"/>
        <w:snapToGrid w:val="0"/>
        <w:spacing w:before="50" w:after="50" w:line="1000" w:lineRule="exact"/>
        <w:ind w:firstLine="900" w:firstLineChars="300"/>
        <w:rPr>
          <w:rFonts w:cs="宋体"/>
          <w:bCs/>
          <w:color w:val="auto"/>
          <w:sz w:val="30"/>
          <w:szCs w:val="30"/>
          <w:u w:val="single"/>
        </w:rPr>
      </w:pPr>
      <w:r>
        <w:rPr>
          <w:rFonts w:hint="eastAsia" w:cs="宋体"/>
          <w:bCs/>
          <w:color w:val="auto"/>
          <w:sz w:val="30"/>
          <w:szCs w:val="30"/>
        </w:rPr>
        <w:t>联系地址：</w:t>
      </w:r>
      <w:r>
        <w:rPr>
          <w:rFonts w:hint="eastAsia" w:cs="宋体"/>
          <w:bCs/>
          <w:color w:val="auto"/>
          <w:sz w:val="30"/>
          <w:szCs w:val="30"/>
          <w:u w:val="single"/>
        </w:rPr>
        <w:t xml:space="preserve">                                    </w:t>
      </w:r>
    </w:p>
    <w:p>
      <w:pPr>
        <w:pStyle w:val="21"/>
        <w:snapToGrid w:val="0"/>
        <w:spacing w:before="50" w:after="50" w:line="1000" w:lineRule="exact"/>
        <w:ind w:firstLine="900" w:firstLineChars="300"/>
        <w:rPr>
          <w:rFonts w:cs="宋体"/>
          <w:bCs/>
          <w:color w:val="auto"/>
          <w:sz w:val="30"/>
          <w:szCs w:val="30"/>
          <w:u w:val="single"/>
        </w:rPr>
      </w:pPr>
      <w:r>
        <w:rPr>
          <w:rFonts w:hint="eastAsia" w:cs="宋体"/>
          <w:bCs/>
          <w:color w:val="auto"/>
          <w:sz w:val="30"/>
          <w:szCs w:val="30"/>
        </w:rPr>
        <w:t>联系人及电话：</w:t>
      </w:r>
      <w:r>
        <w:rPr>
          <w:rFonts w:hint="eastAsia" w:cs="宋体"/>
          <w:bCs/>
          <w:color w:val="auto"/>
          <w:sz w:val="30"/>
          <w:szCs w:val="30"/>
          <w:u w:val="single"/>
        </w:rPr>
        <w:t xml:space="preserve">                                </w:t>
      </w:r>
    </w:p>
    <w:p>
      <w:pPr>
        <w:pStyle w:val="5"/>
        <w:snapToGrid w:val="0"/>
        <w:spacing w:before="50" w:after="50" w:line="1000" w:lineRule="exact"/>
        <w:ind w:firstLine="900" w:firstLineChars="300"/>
        <w:rPr>
          <w:rFonts w:ascii="宋体" w:hAnsi="宋体" w:cs="宋体"/>
          <w:bCs/>
          <w:color w:val="auto"/>
          <w:sz w:val="30"/>
          <w:szCs w:val="30"/>
        </w:rPr>
      </w:pPr>
      <w:r>
        <w:rPr>
          <w:rFonts w:hint="eastAsia" w:ascii="宋体" w:hAnsi="宋体" w:cs="宋体"/>
          <w:bCs/>
          <w:color w:val="auto"/>
          <w:sz w:val="30"/>
          <w:szCs w:val="30"/>
        </w:rPr>
        <w:t>在   年   月   日  时  分之前不得启封</w:t>
      </w:r>
    </w:p>
    <w:p>
      <w:pPr>
        <w:pStyle w:val="2"/>
        <w:rPr>
          <w:rFonts w:ascii="宋体" w:hAnsi="宋体" w:cs="宋体"/>
          <w:bCs/>
          <w:color w:val="auto"/>
          <w:szCs w:val="21"/>
        </w:rPr>
      </w:pPr>
    </w:p>
    <w:p>
      <w:pPr>
        <w:rPr>
          <w:rFonts w:ascii="宋体" w:hAnsi="宋体" w:cs="宋体"/>
          <w:bCs/>
          <w:color w:val="auto"/>
          <w:szCs w:val="21"/>
        </w:rPr>
      </w:pPr>
      <w:r>
        <w:rPr>
          <w:rFonts w:hint="eastAsia" w:ascii="宋体" w:hAnsi="宋体" w:cs="宋体"/>
          <w:bCs/>
          <w:color w:val="auto"/>
          <w:szCs w:val="21"/>
        </w:rPr>
        <w:br w:type="page"/>
      </w:r>
    </w:p>
    <w:p>
      <w:pPr>
        <w:jc w:val="left"/>
        <w:rPr>
          <w:b/>
          <w:bCs/>
          <w:color w:val="auto"/>
          <w:sz w:val="36"/>
          <w:szCs w:val="36"/>
        </w:rPr>
      </w:pPr>
      <w:r>
        <w:rPr>
          <w:rFonts w:hint="eastAsia"/>
          <w:b/>
          <w:bCs/>
          <w:color w:val="auto"/>
          <w:sz w:val="36"/>
          <w:szCs w:val="36"/>
        </w:rPr>
        <w:t>二、投标文件格式</w:t>
      </w:r>
    </w:p>
    <w:p>
      <w:pPr>
        <w:pStyle w:val="11"/>
        <w:jc w:val="center"/>
        <w:rPr>
          <w:rFonts w:hAnsi="宋体"/>
          <w:color w:val="auto"/>
          <w:sz w:val="36"/>
          <w:szCs w:val="36"/>
        </w:rPr>
      </w:pPr>
    </w:p>
    <w:p>
      <w:pPr>
        <w:pStyle w:val="5"/>
        <w:snapToGrid w:val="0"/>
        <w:spacing w:before="50" w:after="50"/>
        <w:ind w:firstLine="360" w:firstLineChars="150"/>
        <w:jc w:val="center"/>
        <w:rPr>
          <w:rFonts w:ascii="宋体" w:hAnsi="宋体" w:cs="宋体"/>
          <w:b/>
          <w:color w:val="auto"/>
          <w:sz w:val="32"/>
          <w:szCs w:val="32"/>
        </w:rPr>
      </w:pPr>
      <w:r>
        <w:rPr>
          <w:rFonts w:hint="eastAsia" w:ascii="仿宋_GB2312" w:hAnsi="宋体" w:eastAsia="仿宋_GB2312" w:cs="仿宋_GB2312"/>
          <w:color w:val="auto"/>
          <w:sz w:val="24"/>
        </w:rPr>
        <w:t xml:space="preserve">      </w:t>
      </w:r>
    </w:p>
    <w:p>
      <w:pPr>
        <w:snapToGrid w:val="0"/>
        <w:spacing w:beforeLines="50" w:after="50" w:line="380" w:lineRule="exact"/>
        <w:jc w:val="left"/>
        <w:rPr>
          <w:rFonts w:ascii="宋体" w:hAnsi="宋体"/>
          <w:b/>
          <w:color w:val="auto"/>
          <w:sz w:val="24"/>
        </w:rPr>
      </w:pPr>
      <w:r>
        <w:rPr>
          <w:rFonts w:hint="eastAsia" w:ascii="宋体" w:hAnsi="宋体" w:cs="宋体"/>
          <w:b/>
          <w:color w:val="auto"/>
          <w:sz w:val="32"/>
          <w:szCs w:val="32"/>
        </w:rPr>
        <w:t>1、开标</w:t>
      </w:r>
      <w:r>
        <w:rPr>
          <w:rFonts w:hint="eastAsia" w:ascii="宋体" w:hAnsi="宋体"/>
          <w:b/>
          <w:color w:val="auto"/>
          <w:sz w:val="32"/>
          <w:szCs w:val="32"/>
        </w:rPr>
        <w:t>一览表信封格式（密封）</w:t>
      </w:r>
      <w:r>
        <w:rPr>
          <w:rFonts w:hint="eastAsia" w:ascii="宋体" w:hAnsi="宋体"/>
          <w:b/>
          <w:color w:val="auto"/>
          <w:sz w:val="24"/>
        </w:rPr>
        <w:t>：</w:t>
      </w:r>
    </w:p>
    <w:p>
      <w:pPr>
        <w:snapToGrid w:val="0"/>
        <w:spacing w:before="50" w:after="50"/>
        <w:rPr>
          <w:rFonts w:ascii="宋体" w:hAnsi="宋体"/>
          <w:color w:val="auto"/>
          <w:sz w:val="24"/>
        </w:rPr>
      </w:pPr>
    </w:p>
    <w:p>
      <w:pPr>
        <w:snapToGrid w:val="0"/>
        <w:spacing w:beforeLines="50" w:after="50" w:line="1000" w:lineRule="exact"/>
        <w:rPr>
          <w:rFonts w:ascii="宋体" w:hAnsi="宋体" w:cs="宋体"/>
          <w:bCs/>
          <w:color w:val="auto"/>
          <w:sz w:val="28"/>
          <w:szCs w:val="28"/>
        </w:rPr>
      </w:pPr>
      <w:r>
        <w:rPr>
          <w:rFonts w:hint="eastAsia" w:ascii="宋体" w:hAnsi="宋体" w:cs="宋体"/>
          <w:bCs/>
          <w:color w:val="auto"/>
          <w:sz w:val="28"/>
          <w:szCs w:val="28"/>
        </w:rPr>
        <w:t>项目名称：</w:t>
      </w:r>
      <w:r>
        <w:rPr>
          <w:rFonts w:hAnsi="宋体" w:cs="Arial"/>
          <w:bCs/>
          <w:color w:val="auto"/>
          <w:sz w:val="28"/>
          <w:szCs w:val="28"/>
          <w:u w:val="single"/>
        </w:rPr>
        <w:t xml:space="preserve">                  </w:t>
      </w:r>
      <w:r>
        <w:rPr>
          <w:rFonts w:hint="eastAsia" w:hAnsi="宋体" w:cs="Arial"/>
          <w:bCs/>
          <w:color w:val="auto"/>
          <w:sz w:val="28"/>
          <w:szCs w:val="28"/>
          <w:u w:val="single"/>
        </w:rPr>
        <w:t xml:space="preserve">  </w:t>
      </w:r>
      <w:r>
        <w:rPr>
          <w:rFonts w:hAnsi="宋体" w:cs="Arial"/>
          <w:bCs/>
          <w:color w:val="auto"/>
          <w:sz w:val="28"/>
          <w:szCs w:val="28"/>
          <w:u w:val="single"/>
        </w:rPr>
        <w:t xml:space="preserve">  </w:t>
      </w:r>
      <w:r>
        <w:rPr>
          <w:rFonts w:hint="eastAsia" w:hAnsi="宋体" w:cs="Arial"/>
          <w:bCs/>
          <w:color w:val="auto"/>
          <w:sz w:val="28"/>
          <w:szCs w:val="28"/>
          <w:u w:val="single"/>
        </w:rPr>
        <w:t xml:space="preserve"> </w:t>
      </w:r>
      <w:r>
        <w:rPr>
          <w:rFonts w:hAnsi="宋体" w:cs="Arial"/>
          <w:bCs/>
          <w:color w:val="auto"/>
          <w:sz w:val="28"/>
          <w:szCs w:val="28"/>
          <w:u w:val="single"/>
        </w:rPr>
        <w:t xml:space="preserve">     </w:t>
      </w:r>
      <w:r>
        <w:rPr>
          <w:rFonts w:hint="eastAsia" w:ascii="宋体" w:hAnsi="宋体" w:cs="宋体"/>
          <w:bCs/>
          <w:color w:val="auto"/>
          <w:sz w:val="28"/>
          <w:szCs w:val="28"/>
        </w:rPr>
        <w:t xml:space="preserve"> </w:t>
      </w:r>
    </w:p>
    <w:p>
      <w:pPr>
        <w:pStyle w:val="21"/>
        <w:snapToGrid w:val="0"/>
        <w:spacing w:before="50" w:after="50" w:line="1000" w:lineRule="exact"/>
        <w:rPr>
          <w:rFonts w:cs="宋体"/>
          <w:bCs/>
          <w:color w:val="auto"/>
          <w:sz w:val="28"/>
          <w:szCs w:val="28"/>
          <w:u w:val="single"/>
        </w:rPr>
      </w:pPr>
      <w:r>
        <w:rPr>
          <w:rFonts w:hint="eastAsia" w:cs="宋体"/>
          <w:color w:val="auto"/>
          <w:sz w:val="28"/>
          <w:szCs w:val="28"/>
        </w:rPr>
        <w:t>项目编号：</w:t>
      </w:r>
      <w:r>
        <w:rPr>
          <w:rFonts w:cs="Arial"/>
          <w:bCs/>
          <w:color w:val="auto"/>
          <w:sz w:val="28"/>
          <w:szCs w:val="28"/>
          <w:u w:val="single"/>
        </w:rPr>
        <w:t xml:space="preserve">                  </w:t>
      </w:r>
      <w:r>
        <w:rPr>
          <w:rFonts w:hint="eastAsia" w:cs="Arial"/>
          <w:bCs/>
          <w:color w:val="auto"/>
          <w:sz w:val="28"/>
          <w:szCs w:val="28"/>
          <w:u w:val="single"/>
        </w:rPr>
        <w:t xml:space="preserve">     </w:t>
      </w:r>
      <w:r>
        <w:rPr>
          <w:rFonts w:cs="Arial"/>
          <w:bCs/>
          <w:color w:val="auto"/>
          <w:sz w:val="28"/>
          <w:szCs w:val="28"/>
          <w:u w:val="single"/>
        </w:rPr>
        <w:t xml:space="preserve">     </w:t>
      </w:r>
    </w:p>
    <w:p>
      <w:pPr>
        <w:pStyle w:val="21"/>
        <w:snapToGrid w:val="0"/>
        <w:spacing w:before="50" w:after="50" w:line="1000" w:lineRule="exact"/>
        <w:rPr>
          <w:rFonts w:cs="宋体"/>
          <w:bCs/>
          <w:color w:val="auto"/>
          <w:sz w:val="28"/>
          <w:szCs w:val="28"/>
          <w:u w:val="single"/>
        </w:rPr>
      </w:pPr>
      <w:r>
        <w:rPr>
          <w:rFonts w:hint="eastAsia" w:cs="宋体"/>
          <w:bCs/>
          <w:color w:val="auto"/>
          <w:sz w:val="28"/>
          <w:szCs w:val="28"/>
        </w:rPr>
        <w:t>投标单位：</w:t>
      </w:r>
      <w:r>
        <w:rPr>
          <w:rFonts w:hint="eastAsia" w:cs="宋体"/>
          <w:bCs/>
          <w:color w:val="auto"/>
          <w:sz w:val="28"/>
          <w:szCs w:val="28"/>
          <w:u w:val="single"/>
        </w:rPr>
        <w:t xml:space="preserve">                     </w:t>
      </w:r>
      <w:r>
        <w:rPr>
          <w:rFonts w:hint="eastAsia" w:cs="宋体"/>
          <w:color w:val="auto"/>
          <w:sz w:val="28"/>
          <w:szCs w:val="28"/>
          <w:u w:val="single"/>
        </w:rPr>
        <w:t>（盖章）</w:t>
      </w:r>
    </w:p>
    <w:p>
      <w:pPr>
        <w:snapToGrid w:val="0"/>
        <w:spacing w:beforeLines="50" w:after="50"/>
        <w:ind w:firstLine="10"/>
        <w:jc w:val="center"/>
        <w:rPr>
          <w:rFonts w:ascii="宋体" w:hAnsi="宋体" w:cs="宋体"/>
          <w:color w:val="auto"/>
          <w:sz w:val="30"/>
          <w:szCs w:val="30"/>
        </w:rPr>
      </w:pPr>
    </w:p>
    <w:p>
      <w:pPr>
        <w:snapToGrid w:val="0"/>
        <w:spacing w:before="50" w:after="50"/>
        <w:rPr>
          <w:rFonts w:ascii="宋体" w:hAnsi="宋体" w:cs="宋体"/>
          <w:b/>
          <w:color w:val="auto"/>
          <w:sz w:val="24"/>
        </w:rPr>
      </w:pPr>
    </w:p>
    <w:p>
      <w:pPr>
        <w:snapToGrid w:val="0"/>
        <w:spacing w:before="50" w:after="50"/>
        <w:rPr>
          <w:rFonts w:ascii="宋体" w:hAnsi="宋体" w:cs="宋体"/>
          <w:b/>
          <w:color w:val="auto"/>
          <w:szCs w:val="21"/>
        </w:rPr>
      </w:pPr>
      <w:r>
        <w:rPr>
          <w:rFonts w:hint="eastAsia" w:ascii="宋体" w:hAnsi="宋体" w:cs="宋体"/>
          <w:b/>
          <w:color w:val="auto"/>
          <w:szCs w:val="21"/>
        </w:rPr>
        <w:br w:type="page"/>
      </w:r>
    </w:p>
    <w:p>
      <w:pPr>
        <w:snapToGrid w:val="0"/>
        <w:spacing w:before="50" w:after="50"/>
        <w:rPr>
          <w:rFonts w:ascii="宋体" w:hAnsi="宋体" w:cs="宋体"/>
          <w:b/>
          <w:color w:val="auto"/>
          <w:szCs w:val="21"/>
        </w:rPr>
      </w:pPr>
    </w:p>
    <w:p>
      <w:pPr>
        <w:tabs>
          <w:tab w:val="left" w:pos="3870"/>
          <w:tab w:val="left" w:pos="4085"/>
        </w:tabs>
        <w:snapToGrid w:val="0"/>
        <w:spacing w:line="500" w:lineRule="exact"/>
        <w:jc w:val="center"/>
        <w:rPr>
          <w:rFonts w:ascii="宋体" w:hAnsi="宋体" w:cs="宋体"/>
          <w:color w:val="auto"/>
          <w:sz w:val="44"/>
          <w:szCs w:val="44"/>
        </w:rPr>
      </w:pPr>
      <w:r>
        <w:rPr>
          <w:rFonts w:hint="eastAsia" w:ascii="宋体" w:hAnsi="宋体" w:cs="宋体"/>
          <w:color w:val="auto"/>
          <w:sz w:val="44"/>
          <w:szCs w:val="44"/>
        </w:rPr>
        <w:t>目  录</w:t>
      </w:r>
    </w:p>
    <w:p>
      <w:pPr>
        <w:tabs>
          <w:tab w:val="left" w:pos="3870"/>
          <w:tab w:val="left" w:pos="4085"/>
        </w:tabs>
        <w:snapToGrid w:val="0"/>
        <w:spacing w:line="500" w:lineRule="exact"/>
        <w:ind w:firstLine="640" w:firstLineChars="200"/>
        <w:jc w:val="left"/>
        <w:rPr>
          <w:rFonts w:ascii="宋体" w:hAnsi="宋体" w:cs="宋体"/>
          <w:color w:val="auto"/>
          <w:sz w:val="32"/>
          <w:szCs w:val="32"/>
        </w:rPr>
      </w:pPr>
    </w:p>
    <w:p>
      <w:pPr>
        <w:tabs>
          <w:tab w:val="left" w:pos="3870"/>
          <w:tab w:val="left" w:pos="4085"/>
        </w:tabs>
        <w:snapToGrid w:val="0"/>
        <w:spacing w:line="600" w:lineRule="exact"/>
        <w:jc w:val="left"/>
        <w:rPr>
          <w:rFonts w:ascii="宋体" w:hAnsi="宋体" w:cs="宋体"/>
          <w:color w:val="auto"/>
          <w:sz w:val="24"/>
        </w:rPr>
      </w:pPr>
      <w:r>
        <w:rPr>
          <w:rFonts w:hint="eastAsia" w:ascii="宋体" w:hAnsi="宋体" w:cs="宋体"/>
          <w:color w:val="auto"/>
          <w:sz w:val="28"/>
          <w:szCs w:val="28"/>
        </w:rPr>
        <w:t>（</w:t>
      </w:r>
      <w:r>
        <w:rPr>
          <w:rFonts w:hint="eastAsia" w:ascii="宋体" w:hAnsi="宋体" w:cs="宋体"/>
          <w:color w:val="auto"/>
          <w:sz w:val="24"/>
        </w:rPr>
        <w:t>1）开标一览表………………………………………………………………</w:t>
      </w:r>
    </w:p>
    <w:p>
      <w:pPr>
        <w:tabs>
          <w:tab w:val="left" w:pos="3870"/>
          <w:tab w:val="left" w:pos="4085"/>
        </w:tabs>
        <w:snapToGrid w:val="0"/>
        <w:spacing w:line="600" w:lineRule="exact"/>
        <w:jc w:val="left"/>
        <w:rPr>
          <w:rFonts w:ascii="宋体" w:hAnsi="宋体" w:cs="宋体"/>
          <w:color w:val="auto"/>
          <w:sz w:val="24"/>
        </w:rPr>
      </w:pPr>
      <w:r>
        <w:rPr>
          <w:rFonts w:hint="eastAsia" w:ascii="宋体" w:hAnsi="宋体" w:cs="宋体"/>
          <w:color w:val="auto"/>
          <w:sz w:val="24"/>
        </w:rPr>
        <w:t>（2）保证金证明………………………………………………………………</w:t>
      </w:r>
    </w:p>
    <w:p>
      <w:pPr>
        <w:snapToGrid w:val="0"/>
        <w:spacing w:before="50" w:after="50" w:line="600" w:lineRule="exact"/>
        <w:jc w:val="left"/>
        <w:rPr>
          <w:rFonts w:ascii="宋体" w:hAnsi="宋体" w:cs="宋体"/>
          <w:bCs/>
          <w:color w:val="auto"/>
          <w:sz w:val="24"/>
        </w:rPr>
      </w:pPr>
      <w:r>
        <w:rPr>
          <w:rFonts w:hint="eastAsia" w:ascii="宋体" w:hAnsi="宋体" w:cs="宋体"/>
          <w:bCs/>
          <w:color w:val="auto"/>
          <w:sz w:val="24"/>
        </w:rPr>
        <w:t>（3）投标人符合中小企业划型标准的，按《政府采购促进中小企业发展暂行办法》（财库〔2011〕181 号）要求，提供有效中小企业声明函，并对声明的真实性负责 (格式见第五章)。监狱企业参加政府采购活动时，应当提供由省级以上监狱管理局、戒毒管理局（含新疆生产建设兵团）出具的属于监狱企业的证明文件；</w:t>
      </w:r>
    </w:p>
    <w:p>
      <w:pPr>
        <w:snapToGrid w:val="0"/>
        <w:spacing w:before="50" w:after="50" w:line="600" w:lineRule="exact"/>
        <w:jc w:val="left"/>
        <w:rPr>
          <w:rFonts w:ascii="宋体" w:hAnsi="宋体" w:cs="宋体"/>
          <w:bCs/>
          <w:color w:val="auto"/>
          <w:sz w:val="24"/>
        </w:rPr>
      </w:pPr>
      <w:r>
        <w:rPr>
          <w:rFonts w:hint="eastAsia" w:ascii="宋体" w:hAnsi="宋体" w:cs="宋体"/>
          <w:bCs/>
          <w:color w:val="auto"/>
          <w:sz w:val="24"/>
        </w:rPr>
        <w:t>（4）投标人及其投标产品提供单位按《关于促进残疾人就业政府采购政策的通知》(财库〔2017〕141 号)认定为残疾人福利性单位的，在政府采购活动中，残疾人福利性单位视同小型、微型企业。符合条件的残疾人福利性单位在参加政府采购活动时，应当提供本通知规定的《残疾人福利性单位声明函》，并对声明的真实性负责(格式见第五章)；</w:t>
      </w:r>
    </w:p>
    <w:p>
      <w:pPr>
        <w:snapToGrid w:val="0"/>
        <w:spacing w:before="50" w:after="50" w:line="600" w:lineRule="exact"/>
        <w:jc w:val="left"/>
        <w:rPr>
          <w:rFonts w:ascii="宋体" w:hAnsi="宋体" w:cs="宋体"/>
          <w:b/>
          <w:color w:val="auto"/>
          <w:sz w:val="24"/>
        </w:rPr>
      </w:pPr>
      <w:r>
        <w:rPr>
          <w:rFonts w:hint="eastAsia" w:ascii="宋体" w:hAnsi="宋体" w:cs="宋体"/>
          <w:bCs/>
          <w:color w:val="auto"/>
          <w:sz w:val="24"/>
        </w:rPr>
        <w:t>（5）供应商针对报价需要说明的其他文件和说明（格式自拟）。</w:t>
      </w:r>
      <w:r>
        <w:rPr>
          <w:rFonts w:hint="eastAsia" w:ascii="宋体" w:hAnsi="宋体" w:cs="宋体"/>
          <w:b/>
          <w:color w:val="auto"/>
          <w:sz w:val="24"/>
        </w:rPr>
        <w:br w:type="page"/>
      </w:r>
    </w:p>
    <w:p>
      <w:pPr>
        <w:snapToGrid w:val="0"/>
        <w:spacing w:before="50" w:after="50"/>
        <w:jc w:val="center"/>
        <w:rPr>
          <w:rFonts w:ascii="宋体" w:hAnsi="宋体" w:cs="宋体"/>
          <w:color w:val="auto"/>
          <w:sz w:val="32"/>
          <w:szCs w:val="32"/>
        </w:rPr>
      </w:pPr>
    </w:p>
    <w:p>
      <w:pPr>
        <w:snapToGrid w:val="0"/>
        <w:spacing w:before="50" w:after="50"/>
        <w:jc w:val="center"/>
        <w:rPr>
          <w:rFonts w:ascii="宋体" w:hAnsi="宋体" w:cs="宋体"/>
          <w:color w:val="auto"/>
          <w:sz w:val="32"/>
          <w:szCs w:val="32"/>
        </w:rPr>
      </w:pPr>
      <w:r>
        <w:rPr>
          <w:rFonts w:hint="eastAsia" w:ascii="宋体" w:hAnsi="宋体" w:cs="宋体"/>
          <w:color w:val="auto"/>
          <w:sz w:val="32"/>
          <w:szCs w:val="32"/>
        </w:rPr>
        <w:t>开标一览表（格式）</w:t>
      </w:r>
    </w:p>
    <w:p>
      <w:pPr>
        <w:snapToGrid w:val="0"/>
        <w:spacing w:before="50" w:after="50"/>
        <w:rPr>
          <w:rFonts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before="50" w:after="50"/>
        <w:rPr>
          <w:rFonts w:ascii="宋体" w:hAnsi="宋体" w:cs="宋体"/>
          <w:color w:val="auto"/>
          <w:sz w:val="24"/>
        </w:rPr>
      </w:pPr>
      <w:r>
        <w:rPr>
          <w:rFonts w:hint="eastAsia" w:ascii="宋体" w:hAnsi="宋体" w:cs="宋体"/>
          <w:color w:val="auto"/>
          <w:sz w:val="24"/>
        </w:rPr>
        <w:t>投标人名称：</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20" w:lineRule="exact"/>
        <w:ind w:left="723" w:hanging="723" w:hangingChars="300"/>
        <w:rPr>
          <w:rFonts w:ascii="宋体" w:hAnsi="宋体" w:cs="宋体"/>
          <w:b/>
          <w:bCs/>
          <w:color w:val="auto"/>
          <w:sz w:val="24"/>
        </w:rPr>
      </w:pPr>
    </w:p>
    <w:tbl>
      <w:tblPr>
        <w:tblStyle w:val="24"/>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701"/>
        <w:gridCol w:w="3378"/>
        <w:gridCol w:w="3134"/>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876" w:type="dxa"/>
            <w:noWrap/>
            <w:vAlign w:val="center"/>
          </w:tcPr>
          <w:p>
            <w:pPr>
              <w:pStyle w:val="11"/>
              <w:jc w:val="center"/>
              <w:rPr>
                <w:rFonts w:hAnsi="宋体" w:cs="宋体"/>
                <w:color w:val="auto"/>
                <w:sz w:val="24"/>
                <w:szCs w:val="24"/>
              </w:rPr>
            </w:pPr>
            <w:r>
              <w:rPr>
                <w:rFonts w:hint="eastAsia" w:hAnsi="宋体" w:cs="宋体"/>
                <w:color w:val="auto"/>
                <w:sz w:val="24"/>
                <w:szCs w:val="24"/>
              </w:rPr>
              <w:t>项号</w:t>
            </w:r>
          </w:p>
        </w:tc>
        <w:tc>
          <w:tcPr>
            <w:tcW w:w="1701" w:type="dxa"/>
            <w:noWrap/>
            <w:vAlign w:val="center"/>
          </w:tcPr>
          <w:p>
            <w:pPr>
              <w:pStyle w:val="11"/>
              <w:jc w:val="center"/>
              <w:rPr>
                <w:rFonts w:hAnsi="宋体" w:cs="宋体"/>
                <w:color w:val="auto"/>
                <w:sz w:val="24"/>
                <w:szCs w:val="24"/>
              </w:rPr>
            </w:pPr>
            <w:r>
              <w:rPr>
                <w:rFonts w:hint="eastAsia" w:hAnsi="宋体" w:cs="宋体"/>
                <w:color w:val="auto"/>
                <w:sz w:val="24"/>
                <w:szCs w:val="24"/>
              </w:rPr>
              <w:t>服务名称</w:t>
            </w:r>
          </w:p>
        </w:tc>
        <w:tc>
          <w:tcPr>
            <w:tcW w:w="3378" w:type="dxa"/>
            <w:noWrap/>
            <w:vAlign w:val="center"/>
          </w:tcPr>
          <w:p>
            <w:pPr>
              <w:pStyle w:val="11"/>
              <w:jc w:val="center"/>
              <w:rPr>
                <w:rFonts w:hAnsi="宋体" w:cs="宋体"/>
                <w:color w:val="auto"/>
                <w:sz w:val="24"/>
                <w:szCs w:val="24"/>
              </w:rPr>
            </w:pPr>
            <w:r>
              <w:rPr>
                <w:rFonts w:hint="eastAsia" w:hAnsi="宋体" w:cs="宋体"/>
                <w:color w:val="auto"/>
                <w:sz w:val="24"/>
                <w:szCs w:val="24"/>
              </w:rPr>
              <w:t>服务内容</w:t>
            </w:r>
          </w:p>
        </w:tc>
        <w:tc>
          <w:tcPr>
            <w:tcW w:w="3134" w:type="dxa"/>
            <w:noWrap/>
            <w:vAlign w:val="center"/>
          </w:tcPr>
          <w:p>
            <w:pPr>
              <w:pStyle w:val="11"/>
              <w:spacing w:line="260" w:lineRule="exact"/>
              <w:jc w:val="center"/>
              <w:rPr>
                <w:rFonts w:hAnsi="宋体" w:cs="宋体"/>
                <w:color w:val="auto"/>
                <w:sz w:val="24"/>
                <w:szCs w:val="24"/>
              </w:rPr>
            </w:pPr>
            <w:r>
              <w:rPr>
                <w:rFonts w:hint="eastAsia" w:hAnsi="宋体" w:cs="宋体"/>
                <w:color w:val="auto"/>
                <w:sz w:val="24"/>
                <w:szCs w:val="24"/>
              </w:rPr>
              <w:t>投标报价</w:t>
            </w:r>
          </w:p>
        </w:tc>
        <w:tc>
          <w:tcPr>
            <w:tcW w:w="754" w:type="dxa"/>
            <w:noWrap/>
            <w:vAlign w:val="center"/>
          </w:tcPr>
          <w:p>
            <w:pPr>
              <w:pStyle w:val="11"/>
              <w:jc w:val="center"/>
              <w:rPr>
                <w:rFonts w:hAnsi="宋体" w:cs="宋体"/>
                <w:color w:val="auto"/>
                <w:sz w:val="24"/>
                <w:szCs w:val="24"/>
              </w:rPr>
            </w:pPr>
            <w:r>
              <w:rPr>
                <w:rFonts w:hint="eastAsia"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76" w:type="dxa"/>
            <w:noWrap/>
            <w:vAlign w:val="center"/>
          </w:tcPr>
          <w:p>
            <w:pPr>
              <w:spacing w:line="360" w:lineRule="exact"/>
              <w:jc w:val="center"/>
              <w:rPr>
                <w:rFonts w:ascii="宋体" w:hAnsi="宋体" w:cs="宋体"/>
                <w:color w:val="auto"/>
                <w:kern w:val="0"/>
                <w:sz w:val="24"/>
              </w:rPr>
            </w:pPr>
          </w:p>
        </w:tc>
        <w:tc>
          <w:tcPr>
            <w:tcW w:w="1701" w:type="dxa"/>
            <w:noWrap/>
            <w:vAlign w:val="center"/>
          </w:tcPr>
          <w:p>
            <w:pPr>
              <w:snapToGrid w:val="0"/>
              <w:spacing w:line="360" w:lineRule="exact"/>
              <w:jc w:val="center"/>
              <w:rPr>
                <w:rFonts w:ascii="宋体" w:hAnsi="宋体" w:cs="宋体"/>
                <w:color w:val="auto"/>
                <w:kern w:val="0"/>
                <w:sz w:val="24"/>
              </w:rPr>
            </w:pPr>
          </w:p>
        </w:tc>
        <w:tc>
          <w:tcPr>
            <w:tcW w:w="3378" w:type="dxa"/>
            <w:noWrap/>
            <w:vAlign w:val="center"/>
          </w:tcPr>
          <w:p>
            <w:pPr>
              <w:spacing w:line="360" w:lineRule="exact"/>
              <w:rPr>
                <w:rFonts w:ascii="宋体" w:hAnsi="宋体" w:cs="宋体"/>
                <w:color w:val="auto"/>
                <w:kern w:val="0"/>
                <w:sz w:val="24"/>
              </w:rPr>
            </w:pPr>
          </w:p>
        </w:tc>
        <w:tc>
          <w:tcPr>
            <w:tcW w:w="3134" w:type="dxa"/>
            <w:noWrap/>
            <w:vAlign w:val="center"/>
          </w:tcPr>
          <w:p>
            <w:pPr>
              <w:pStyle w:val="11"/>
              <w:rPr>
                <w:rFonts w:hAnsi="宋体" w:cs="宋体"/>
                <w:color w:val="auto"/>
                <w:sz w:val="24"/>
                <w:szCs w:val="24"/>
              </w:rPr>
            </w:pPr>
            <w:r>
              <w:rPr>
                <w:rFonts w:hint="eastAsia" w:hAnsi="宋体" w:cs="宋体"/>
                <w:color w:val="auto"/>
                <w:sz w:val="24"/>
                <w:szCs w:val="24"/>
              </w:rPr>
              <w:t>价格优惠率：</w:t>
            </w:r>
            <w:r>
              <w:rPr>
                <w:rFonts w:hint="eastAsia" w:hAnsi="宋体" w:cs="宋体"/>
                <w:color w:val="auto"/>
                <w:sz w:val="24"/>
                <w:szCs w:val="24"/>
                <w:u w:val="single"/>
              </w:rPr>
              <w:t xml:space="preserve">    </w:t>
            </w:r>
            <w:r>
              <w:rPr>
                <w:rFonts w:hint="eastAsia" w:hAnsi="宋体" w:cs="宋体"/>
                <w:color w:val="auto"/>
                <w:sz w:val="24"/>
                <w:szCs w:val="24"/>
              </w:rPr>
              <w:t>%</w:t>
            </w:r>
          </w:p>
          <w:p>
            <w:pPr>
              <w:pStyle w:val="11"/>
              <w:rPr>
                <w:rFonts w:hAnsi="宋体" w:cs="宋体"/>
                <w:color w:val="auto"/>
                <w:sz w:val="24"/>
                <w:szCs w:val="24"/>
              </w:rPr>
            </w:pPr>
            <w:r>
              <w:rPr>
                <w:rFonts w:hint="eastAsia" w:hAnsi="宋体" w:cs="宋体"/>
                <w:color w:val="auto"/>
                <w:sz w:val="24"/>
              </w:rPr>
              <w:t>投标人实际检验价:</w:t>
            </w:r>
            <w:r>
              <w:rPr>
                <w:rFonts w:hint="eastAsia" w:hAnsi="宋体" w:cs="宋体"/>
                <w:color w:val="auto"/>
                <w:sz w:val="24"/>
                <w:szCs w:val="24"/>
                <w:u w:val="single"/>
              </w:rPr>
              <w:t xml:space="preserve">    </w:t>
            </w:r>
            <w:r>
              <w:rPr>
                <w:rFonts w:hint="eastAsia" w:hAnsi="宋体" w:cs="宋体"/>
                <w:color w:val="auto"/>
                <w:sz w:val="24"/>
                <w:szCs w:val="24"/>
              </w:rPr>
              <w:t>元</w:t>
            </w:r>
          </w:p>
        </w:tc>
        <w:tc>
          <w:tcPr>
            <w:tcW w:w="754" w:type="dxa"/>
            <w:noWrap/>
            <w:vAlign w:val="center"/>
          </w:tcPr>
          <w:p>
            <w:pPr>
              <w:pStyle w:val="11"/>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843" w:type="dxa"/>
            <w:gridSpan w:val="5"/>
            <w:noWrap/>
            <w:vAlign w:val="center"/>
          </w:tcPr>
          <w:p>
            <w:pPr>
              <w:pStyle w:val="11"/>
              <w:rPr>
                <w:rFonts w:hAnsi="宋体" w:cs="宋体"/>
                <w:color w:val="auto"/>
                <w:sz w:val="24"/>
                <w:szCs w:val="24"/>
              </w:rPr>
            </w:pPr>
            <w:r>
              <w:rPr>
                <w:rFonts w:hint="eastAsia" w:hAnsi="宋体" w:cs="宋体"/>
                <w:color w:val="auto"/>
                <w:sz w:val="24"/>
                <w:szCs w:val="24"/>
              </w:rPr>
              <w:t>服务期限：</w:t>
            </w:r>
            <w:r>
              <w:rPr>
                <w:rFonts w:hint="eastAsia" w:hAnsi="宋体" w:cs="宋体"/>
                <w:color w:val="auto"/>
                <w:sz w:val="24"/>
                <w:szCs w:val="24"/>
                <w:u w:val="single"/>
              </w:rPr>
              <w:t xml:space="preserve">                                        </w:t>
            </w:r>
          </w:p>
        </w:tc>
      </w:tr>
    </w:tbl>
    <w:p>
      <w:pPr>
        <w:snapToGrid w:val="0"/>
        <w:spacing w:before="50" w:after="50"/>
        <w:jc w:val="left"/>
        <w:rPr>
          <w:rFonts w:ascii="宋体" w:hAnsi="宋体" w:cs="宋体"/>
          <w:color w:val="auto"/>
          <w:sz w:val="24"/>
        </w:rPr>
      </w:pPr>
    </w:p>
    <w:p>
      <w:pPr>
        <w:snapToGrid w:val="0"/>
        <w:spacing w:line="360" w:lineRule="exact"/>
        <w:jc w:val="left"/>
        <w:rPr>
          <w:rFonts w:ascii="宋体" w:hAnsi="宋体" w:cs="宋体"/>
          <w:color w:val="auto"/>
          <w:sz w:val="24"/>
        </w:rPr>
      </w:pPr>
      <w:r>
        <w:rPr>
          <w:rFonts w:hint="eastAsia" w:ascii="宋体" w:hAnsi="宋体" w:cs="宋体"/>
          <w:color w:val="auto"/>
          <w:sz w:val="24"/>
        </w:rPr>
        <w:t xml:space="preserve">注: </w:t>
      </w:r>
    </w:p>
    <w:p>
      <w:pPr>
        <w:numPr>
          <w:ilvl w:val="0"/>
          <w:numId w:val="5"/>
        </w:numPr>
        <w:snapToGrid w:val="0"/>
        <w:spacing w:before="50" w:after="50" w:line="360" w:lineRule="exact"/>
        <w:ind w:firstLine="480" w:firstLineChars="200"/>
        <w:jc w:val="left"/>
        <w:rPr>
          <w:rFonts w:ascii="宋体" w:hAnsi="宋体" w:cs="宋体"/>
          <w:color w:val="auto"/>
          <w:sz w:val="24"/>
        </w:rPr>
      </w:pPr>
      <w:r>
        <w:rPr>
          <w:rFonts w:hint="eastAsia" w:ascii="宋体" w:hAnsi="宋体" w:cs="宋体"/>
          <w:color w:val="auto"/>
          <w:sz w:val="24"/>
        </w:rPr>
        <w:t>报价方式：抽检监测报价为价格优惠率。价格优惠率＝〔（检验指导价－投标人实际检验价）/检验指导价〕×100%。</w:t>
      </w:r>
    </w:p>
    <w:p>
      <w:pPr>
        <w:spacing w:line="360" w:lineRule="exact"/>
        <w:ind w:firstLine="480" w:firstLineChars="200"/>
        <w:rPr>
          <w:rFonts w:ascii="宋体" w:hAnsi="宋体" w:cs="宋体"/>
          <w:bCs/>
          <w:color w:val="auto"/>
          <w:sz w:val="24"/>
        </w:rPr>
      </w:pPr>
      <w:r>
        <w:rPr>
          <w:rFonts w:hint="eastAsia" w:ascii="宋体" w:hAnsi="宋体" w:cs="宋体"/>
          <w:bCs/>
          <w:color w:val="auto"/>
          <w:sz w:val="24"/>
        </w:rPr>
        <w:t>检验指导价=市场价。市场价：800元/批次。</w:t>
      </w:r>
    </w:p>
    <w:p>
      <w:pPr>
        <w:snapToGrid w:val="0"/>
        <w:spacing w:line="360" w:lineRule="exact"/>
        <w:ind w:firstLine="480" w:firstLineChars="200"/>
        <w:jc w:val="left"/>
        <w:rPr>
          <w:rFonts w:ascii="宋体" w:hAnsi="宋体" w:cs="宋体"/>
          <w:color w:val="auto"/>
          <w:sz w:val="24"/>
        </w:rPr>
      </w:pPr>
      <w:r>
        <w:rPr>
          <w:rFonts w:hint="eastAsia" w:ascii="宋体" w:hAnsi="宋体" w:cs="宋体"/>
          <w:color w:val="auto"/>
          <w:sz w:val="24"/>
        </w:rPr>
        <w:t>2、报价一经涂改，应在涂改处加盖单位公章或者由法定代表人或授权委托人签字或盖章，否则其投标作无效标处理。</w:t>
      </w:r>
    </w:p>
    <w:p>
      <w:pPr>
        <w:snapToGrid w:val="0"/>
        <w:spacing w:line="360" w:lineRule="exact"/>
        <w:ind w:firstLine="480" w:firstLineChars="200"/>
        <w:jc w:val="left"/>
        <w:rPr>
          <w:rFonts w:ascii="宋体" w:hAnsi="宋体" w:cs="宋体"/>
          <w:color w:val="auto"/>
          <w:sz w:val="24"/>
        </w:rPr>
      </w:pPr>
      <w:r>
        <w:rPr>
          <w:rFonts w:hint="eastAsia" w:ascii="宋体" w:hAnsi="宋体" w:cs="宋体"/>
          <w:color w:val="auto"/>
          <w:sz w:val="24"/>
        </w:rPr>
        <w:t>3、注：投标价格优惠率比例超过30%（不含）的投标人必须提供对其报价的合理性说明（签字盖章），格式自行编写。</w:t>
      </w:r>
    </w:p>
    <w:p>
      <w:pPr>
        <w:snapToGrid w:val="0"/>
        <w:spacing w:before="50" w:after="50"/>
        <w:jc w:val="left"/>
        <w:rPr>
          <w:rFonts w:ascii="宋体" w:hAnsi="宋体" w:cs="宋体"/>
          <w:color w:val="auto"/>
          <w:sz w:val="24"/>
        </w:rPr>
      </w:pP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500" w:lineRule="exact"/>
        <w:ind w:right="-817" w:rightChars="-389" w:firstLine="3158" w:firstLineChars="1316"/>
        <w:rPr>
          <w:rFonts w:ascii="宋体" w:hAnsi="宋体" w:cs="宋体"/>
          <w:b/>
          <w:color w:val="auto"/>
          <w:sz w:val="24"/>
        </w:rPr>
      </w:pPr>
      <w:r>
        <w:rPr>
          <w:rFonts w:hint="eastAsia" w:ascii="宋体" w:hAnsi="宋体" w:cs="宋体"/>
          <w:color w:val="auto"/>
          <w:sz w:val="24"/>
        </w:rPr>
        <w:t>日期：    年   月   日</w:t>
      </w:r>
    </w:p>
    <w:p>
      <w:pPr>
        <w:pStyle w:val="11"/>
        <w:ind w:firstLine="5400" w:firstLineChars="2250"/>
        <w:rPr>
          <w:rFonts w:hAnsi="宋体" w:cs="宋体"/>
          <w:color w:val="auto"/>
          <w:sz w:val="24"/>
          <w:szCs w:val="24"/>
          <w:u w:val="single"/>
        </w:rPr>
      </w:pPr>
    </w:p>
    <w:p>
      <w:pPr>
        <w:pStyle w:val="11"/>
        <w:spacing w:line="440" w:lineRule="exact"/>
        <w:ind w:firstLine="420"/>
        <w:jc w:val="center"/>
        <w:rPr>
          <w:rFonts w:hAnsi="宋体" w:cs="宋体"/>
          <w:b/>
          <w:color w:val="auto"/>
          <w:sz w:val="32"/>
        </w:rPr>
      </w:pPr>
      <w:r>
        <w:rPr>
          <w:rFonts w:hint="eastAsia" w:hAnsi="宋体" w:cs="宋体"/>
          <w:b/>
          <w:color w:val="auto"/>
          <w:sz w:val="32"/>
        </w:rPr>
        <w:br w:type="page"/>
      </w:r>
    </w:p>
    <w:p>
      <w:pPr>
        <w:pStyle w:val="11"/>
        <w:spacing w:line="440" w:lineRule="exact"/>
        <w:ind w:firstLine="420"/>
        <w:jc w:val="center"/>
        <w:rPr>
          <w:rFonts w:hAnsi="宋体" w:cs="宋体"/>
          <w:b/>
          <w:color w:val="auto"/>
          <w:sz w:val="32"/>
        </w:rPr>
      </w:pPr>
      <w:r>
        <w:rPr>
          <w:rFonts w:hint="eastAsia" w:hAnsi="宋体" w:cs="宋体"/>
          <w:b/>
          <w:color w:val="auto"/>
          <w:sz w:val="32"/>
        </w:rPr>
        <w:t>保证金证明（格式）</w:t>
      </w:r>
    </w:p>
    <w:p>
      <w:pPr>
        <w:spacing w:line="380" w:lineRule="exact"/>
        <w:ind w:firstLine="420" w:firstLineChars="200"/>
        <w:rPr>
          <w:rFonts w:ascii="宋体" w:hAnsi="宋体" w:cs="宋体"/>
          <w:color w:val="auto"/>
        </w:rPr>
      </w:pPr>
    </w:p>
    <w:p>
      <w:pPr>
        <w:pStyle w:val="11"/>
        <w:spacing w:line="360" w:lineRule="exact"/>
        <w:rPr>
          <w:rFonts w:hAnsi="宋体" w:cs="宋体"/>
          <w:color w:val="auto"/>
        </w:rPr>
      </w:pPr>
      <w:r>
        <w:rPr>
          <w:rFonts w:hint="eastAsia" w:hAnsi="宋体" w:cs="宋体"/>
          <w:color w:val="auto"/>
        </w:rPr>
        <w:t xml:space="preserve">                                                                                                                                                                                        </w:t>
      </w:r>
    </w:p>
    <w:p>
      <w:pPr>
        <w:pStyle w:val="11"/>
        <w:spacing w:line="480" w:lineRule="exact"/>
        <w:rPr>
          <w:rFonts w:hAnsi="宋体" w:cs="宋体"/>
          <w:color w:val="auto"/>
        </w:rPr>
      </w:pPr>
      <w:r>
        <w:rPr>
          <w:rFonts w:hint="eastAsia" w:hAnsi="宋体" w:cs="宋体"/>
          <w:color w:val="auto"/>
        </w:rPr>
        <w:t xml:space="preserve">  </w:t>
      </w:r>
    </w:p>
    <w:p>
      <w:pPr>
        <w:pStyle w:val="11"/>
        <w:spacing w:line="480" w:lineRule="exact"/>
        <w:rPr>
          <w:rFonts w:hAnsi="宋体" w:cs="宋体"/>
          <w:color w:val="auto"/>
        </w:rPr>
      </w:pPr>
      <w:r>
        <w:rPr>
          <w:rFonts w:hAnsi="宋体" w:cs="宋体"/>
          <w:color w:val="auto"/>
          <w:sz w:val="20"/>
        </w:rPr>
        <w:pict>
          <v:rect id="_x0000_s1033" o:spid="_x0000_s1033" o:spt="1" style="position:absolute;left:0pt;margin-left:0pt;margin-top:6pt;height:226.75pt;width:481.9pt;z-index:251661312;mso-width-relative:page;mso-height-relative:page;" coordsize="21600,21600" o:gfxdata="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ASdndYAAAAHAQAADwAAAAAAAAABACAAAAAiAAAAZHJzL2Rvd25yZXYueG1sUEsBAhQAFAAAAAgA&#10;h07iQEajJ0vuAQAA6gMAAA4AAAAAAAAAAQAgAAAAJQEAAGRycy9lMm9Eb2MueG1sUEsFBgAAAAAG&#10;AAYAWQEAAIUFAAAAAA==&#10;">
            <v:path/>
            <v:fill focussize="0,0"/>
            <v:stroke/>
            <v:imagedata o:title=""/>
            <o:lock v:ext="edit"/>
            <v:textbo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szCs w:val="21"/>
                    </w:rPr>
                  </w:pPr>
                  <w:r>
                    <w:rPr>
                      <w:rFonts w:hint="eastAsia"/>
                      <w:color w:val="000000"/>
                    </w:rPr>
                    <w:t>进</w:t>
                  </w:r>
                  <w:r>
                    <w:rPr>
                      <w:rFonts w:hint="eastAsia"/>
                    </w:rPr>
                    <w:t>账</w:t>
                  </w:r>
                  <w:r>
                    <w:rPr>
                      <w:rFonts w:hint="eastAsia"/>
                      <w:color w:val="000000"/>
                    </w:rPr>
                    <w:t>单或电汇单存款凭证</w:t>
                  </w:r>
                  <w:r>
                    <w:rPr>
                      <w:rFonts w:hint="eastAsia"/>
                      <w:szCs w:val="21"/>
                    </w:rPr>
                    <w:t>复印件</w:t>
                  </w:r>
                </w:p>
              </w:txbxContent>
            </v:textbox>
          </v:rect>
        </w:pict>
      </w:r>
    </w:p>
    <w:p>
      <w:pPr>
        <w:pStyle w:val="11"/>
        <w:spacing w:line="240" w:lineRule="exact"/>
        <w:rPr>
          <w:rFonts w:hAnsi="宋体" w:cs="宋体"/>
          <w:color w:val="auto"/>
        </w:rPr>
      </w:pPr>
    </w:p>
    <w:p>
      <w:pPr>
        <w:pStyle w:val="11"/>
        <w:spacing w:line="240" w:lineRule="exact"/>
        <w:rPr>
          <w:rFonts w:hAnsi="宋体" w:cs="宋体"/>
          <w:color w:val="auto"/>
        </w:rPr>
      </w:pPr>
    </w:p>
    <w:p>
      <w:pPr>
        <w:pStyle w:val="11"/>
        <w:spacing w:line="240" w:lineRule="exact"/>
        <w:rPr>
          <w:rFonts w:hAnsi="宋体" w:cs="宋体"/>
          <w:color w:val="auto"/>
          <w:sz w:val="44"/>
        </w:rPr>
      </w:pPr>
    </w:p>
    <w:p>
      <w:pPr>
        <w:pStyle w:val="11"/>
        <w:spacing w:line="240" w:lineRule="exact"/>
        <w:rPr>
          <w:rFonts w:hAnsi="宋体" w:cs="宋体"/>
          <w:color w:val="auto"/>
          <w:sz w:val="44"/>
        </w:rPr>
      </w:pPr>
    </w:p>
    <w:p>
      <w:pPr>
        <w:pStyle w:val="11"/>
        <w:spacing w:line="240" w:lineRule="exact"/>
        <w:rPr>
          <w:rFonts w:hAnsi="宋体" w:cs="宋体"/>
          <w:color w:val="auto"/>
          <w:sz w:val="44"/>
        </w:rPr>
      </w:pPr>
    </w:p>
    <w:p>
      <w:pPr>
        <w:pStyle w:val="11"/>
        <w:spacing w:line="240" w:lineRule="exact"/>
        <w:rPr>
          <w:rFonts w:hAnsi="宋体" w:cs="宋体"/>
          <w:color w:val="auto"/>
          <w:sz w:val="44"/>
        </w:rPr>
      </w:pPr>
    </w:p>
    <w:p>
      <w:pPr>
        <w:pStyle w:val="11"/>
        <w:spacing w:line="240" w:lineRule="exact"/>
        <w:rPr>
          <w:rFonts w:hAnsi="宋体" w:cs="宋体"/>
          <w:color w:val="auto"/>
          <w:sz w:val="44"/>
        </w:rPr>
      </w:pPr>
    </w:p>
    <w:p>
      <w:pPr>
        <w:pStyle w:val="11"/>
        <w:ind w:firstLine="4830" w:firstLineChars="2300"/>
        <w:rPr>
          <w:rFonts w:hAnsi="宋体" w:cs="宋体"/>
          <w:color w:val="auto"/>
        </w:rPr>
      </w:pPr>
    </w:p>
    <w:p>
      <w:pPr>
        <w:pStyle w:val="11"/>
        <w:ind w:firstLine="4830" w:firstLineChars="2300"/>
        <w:rPr>
          <w:rFonts w:hAnsi="宋体" w:cs="宋体"/>
          <w:color w:val="auto"/>
        </w:rPr>
      </w:pPr>
    </w:p>
    <w:p>
      <w:pPr>
        <w:pStyle w:val="11"/>
        <w:ind w:firstLine="4830" w:firstLineChars="2300"/>
        <w:rPr>
          <w:rFonts w:hAnsi="宋体" w:cs="宋体"/>
          <w:color w:val="auto"/>
        </w:rPr>
      </w:pPr>
    </w:p>
    <w:p>
      <w:pPr>
        <w:pStyle w:val="11"/>
        <w:ind w:firstLine="4830" w:firstLineChars="2300"/>
        <w:rPr>
          <w:rFonts w:hAnsi="宋体" w:cs="宋体"/>
          <w:color w:val="auto"/>
        </w:rPr>
      </w:pPr>
    </w:p>
    <w:p>
      <w:pPr>
        <w:pStyle w:val="11"/>
        <w:ind w:firstLine="4830" w:firstLineChars="2300"/>
        <w:rPr>
          <w:rFonts w:hAnsi="宋体" w:cs="宋体"/>
          <w:color w:val="auto"/>
        </w:rPr>
      </w:pPr>
    </w:p>
    <w:p>
      <w:pPr>
        <w:pStyle w:val="11"/>
        <w:ind w:firstLine="4830" w:firstLineChars="2300"/>
        <w:rPr>
          <w:rFonts w:hAnsi="宋体" w:cs="宋体"/>
          <w:color w:val="auto"/>
        </w:rPr>
      </w:pPr>
    </w:p>
    <w:p>
      <w:pPr>
        <w:pStyle w:val="11"/>
        <w:ind w:firstLine="4830" w:firstLineChars="2300"/>
        <w:rPr>
          <w:rFonts w:hAnsi="宋体" w:cs="宋体"/>
          <w:color w:val="auto"/>
        </w:rPr>
      </w:pPr>
    </w:p>
    <w:p>
      <w:pPr>
        <w:pStyle w:val="11"/>
        <w:ind w:firstLine="4830" w:firstLineChars="2300"/>
        <w:rPr>
          <w:rFonts w:hAnsi="宋体" w:cs="宋体"/>
          <w:color w:val="auto"/>
        </w:rPr>
      </w:pPr>
    </w:p>
    <w:p>
      <w:pPr>
        <w:pStyle w:val="11"/>
        <w:ind w:firstLine="4830" w:firstLineChars="2300"/>
        <w:rPr>
          <w:rFonts w:hAnsi="宋体" w:cs="宋体"/>
          <w:color w:val="auto"/>
        </w:rPr>
      </w:pPr>
    </w:p>
    <w:p>
      <w:pPr>
        <w:pStyle w:val="11"/>
        <w:ind w:firstLine="4830" w:firstLineChars="2300"/>
        <w:rPr>
          <w:rFonts w:hAnsi="宋体" w:cs="宋体"/>
          <w:color w:val="auto"/>
        </w:rPr>
      </w:pPr>
    </w:p>
    <w:p>
      <w:pPr>
        <w:pStyle w:val="11"/>
        <w:ind w:firstLine="5520" w:firstLineChars="2300"/>
        <w:rPr>
          <w:rFonts w:hAnsi="宋体" w:cs="宋体"/>
          <w:color w:val="auto"/>
          <w:sz w:val="24"/>
          <w:szCs w:val="24"/>
        </w:rPr>
      </w:pP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500" w:lineRule="exact"/>
        <w:ind w:right="-817" w:rightChars="-389" w:firstLine="3158" w:firstLineChars="1316"/>
        <w:rPr>
          <w:rFonts w:ascii="宋体" w:hAnsi="宋体" w:cs="宋体"/>
          <w:b/>
          <w:color w:val="auto"/>
          <w:sz w:val="24"/>
        </w:rPr>
      </w:pPr>
      <w:r>
        <w:rPr>
          <w:rFonts w:hint="eastAsia" w:ascii="宋体" w:hAnsi="宋体" w:cs="宋体"/>
          <w:color w:val="auto"/>
          <w:sz w:val="24"/>
        </w:rPr>
        <w:t>日期：    年   月   日</w:t>
      </w: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360" w:lineRule="exact"/>
        <w:ind w:firstLine="420"/>
        <w:rPr>
          <w:rFonts w:hAnsi="宋体" w:cs="宋体"/>
          <w:color w:val="auto"/>
          <w:sz w:val="24"/>
          <w:szCs w:val="24"/>
        </w:rPr>
      </w:pPr>
      <w:r>
        <w:rPr>
          <w:rFonts w:hint="eastAsia" w:hAnsi="宋体" w:cs="宋体"/>
          <w:color w:val="auto"/>
          <w:sz w:val="24"/>
          <w:szCs w:val="24"/>
        </w:rPr>
        <w:t>说明：</w:t>
      </w:r>
    </w:p>
    <w:p>
      <w:pPr>
        <w:pStyle w:val="11"/>
        <w:numPr>
          <w:ilvl w:val="0"/>
          <w:numId w:val="6"/>
        </w:numPr>
        <w:spacing w:line="360" w:lineRule="exact"/>
        <w:rPr>
          <w:rFonts w:hAnsi="宋体" w:cs="宋体"/>
          <w:color w:val="auto"/>
          <w:sz w:val="24"/>
          <w:szCs w:val="24"/>
        </w:rPr>
      </w:pPr>
      <w:r>
        <w:rPr>
          <w:rFonts w:hint="eastAsia" w:hAnsi="宋体" w:cs="宋体"/>
          <w:color w:val="auto"/>
          <w:sz w:val="24"/>
          <w:szCs w:val="24"/>
        </w:rPr>
        <w:t>请务必在银行进账单或电汇单的用途或空白栏上</w:t>
      </w:r>
      <w:r>
        <w:rPr>
          <w:rFonts w:hint="eastAsia" w:hAnsi="宋体" w:cs="宋体"/>
          <w:b/>
          <w:color w:val="auto"/>
          <w:sz w:val="24"/>
          <w:szCs w:val="24"/>
        </w:rPr>
        <w:t>注明采购编号</w:t>
      </w:r>
      <w:r>
        <w:rPr>
          <w:rFonts w:hint="eastAsia" w:hAnsi="宋体" w:cs="宋体"/>
          <w:color w:val="auto"/>
          <w:sz w:val="24"/>
          <w:szCs w:val="24"/>
        </w:rPr>
        <w:t>，汇款人、出票人、解款部门须填写投标人单位名称，</w:t>
      </w:r>
      <w:r>
        <w:rPr>
          <w:rFonts w:hint="eastAsia" w:hAnsi="宋体" w:cs="宋体"/>
          <w:b/>
          <w:color w:val="auto"/>
          <w:sz w:val="24"/>
          <w:szCs w:val="24"/>
        </w:rPr>
        <w:t>不得填写个人姓名，</w:t>
      </w:r>
      <w:r>
        <w:rPr>
          <w:rFonts w:hint="eastAsia" w:hAnsi="宋体" w:cs="宋体"/>
          <w:b/>
          <w:bCs/>
          <w:color w:val="auto"/>
          <w:sz w:val="24"/>
          <w:szCs w:val="24"/>
        </w:rPr>
        <w:t>否则其投标无效</w:t>
      </w:r>
      <w:r>
        <w:rPr>
          <w:rFonts w:hint="eastAsia" w:hAnsi="宋体" w:cs="宋体"/>
          <w:color w:val="auto"/>
          <w:sz w:val="24"/>
          <w:szCs w:val="24"/>
        </w:rPr>
        <w:t>。</w:t>
      </w:r>
    </w:p>
    <w:p>
      <w:pPr>
        <w:pStyle w:val="11"/>
        <w:numPr>
          <w:ilvl w:val="0"/>
          <w:numId w:val="6"/>
        </w:numPr>
        <w:spacing w:line="360" w:lineRule="exact"/>
        <w:rPr>
          <w:rFonts w:hAnsi="宋体" w:cs="宋体"/>
          <w:color w:val="auto"/>
          <w:sz w:val="24"/>
          <w:szCs w:val="24"/>
        </w:rPr>
      </w:pPr>
      <w:r>
        <w:rPr>
          <w:rFonts w:hint="eastAsia" w:hAnsi="宋体" w:cs="宋体"/>
          <w:color w:val="auto"/>
          <w:sz w:val="24"/>
          <w:szCs w:val="24"/>
        </w:rPr>
        <w:t>进账单或电汇单存款凭证复印件务必保持清晰完整，如模糊不清而造成该证明被视为无效或</w:t>
      </w:r>
      <w:r>
        <w:rPr>
          <w:rFonts w:hint="eastAsia" w:hAnsi="宋体" w:cs="宋体"/>
          <w:b/>
          <w:color w:val="auto"/>
          <w:sz w:val="24"/>
          <w:szCs w:val="24"/>
        </w:rPr>
        <w:t>投标无效</w:t>
      </w:r>
      <w:r>
        <w:rPr>
          <w:rFonts w:hint="eastAsia" w:hAnsi="宋体" w:cs="宋体"/>
          <w:color w:val="auto"/>
          <w:sz w:val="24"/>
          <w:szCs w:val="24"/>
        </w:rPr>
        <w:t>的，后果由投标人负责。</w:t>
      </w:r>
    </w:p>
    <w:p>
      <w:pPr>
        <w:pStyle w:val="11"/>
        <w:numPr>
          <w:ilvl w:val="0"/>
          <w:numId w:val="6"/>
        </w:numPr>
        <w:spacing w:line="360" w:lineRule="exact"/>
        <w:rPr>
          <w:rFonts w:hAnsi="宋体" w:cs="宋体"/>
          <w:color w:val="auto"/>
          <w:sz w:val="24"/>
          <w:szCs w:val="24"/>
        </w:rPr>
      </w:pPr>
      <w:r>
        <w:rPr>
          <w:rFonts w:hint="eastAsia" w:hAnsi="宋体" w:cs="宋体"/>
          <w:color w:val="auto"/>
          <w:sz w:val="24"/>
          <w:szCs w:val="24"/>
        </w:rPr>
        <w:t>若保证金专户在保证金递交规定时间内没有收到投标人足额交纳的投标保证金，其</w:t>
      </w:r>
      <w:r>
        <w:rPr>
          <w:rFonts w:hint="eastAsia" w:hAnsi="宋体" w:cs="宋体"/>
          <w:b/>
          <w:color w:val="auto"/>
          <w:sz w:val="24"/>
          <w:szCs w:val="24"/>
        </w:rPr>
        <w:t>投标无效</w:t>
      </w:r>
      <w:r>
        <w:rPr>
          <w:rFonts w:hint="eastAsia" w:hAnsi="宋体" w:cs="宋体"/>
          <w:color w:val="auto"/>
          <w:sz w:val="24"/>
          <w:szCs w:val="24"/>
        </w:rPr>
        <w:t>。</w:t>
      </w:r>
    </w:p>
    <w:p>
      <w:pPr>
        <w:ind w:left="386" w:leftChars="184"/>
        <w:rPr>
          <w:rFonts w:ascii="宋体" w:hAnsi="宋体" w:cs="宋体"/>
          <w:color w:val="auto"/>
          <w:sz w:val="24"/>
        </w:rPr>
      </w:pPr>
    </w:p>
    <w:p>
      <w:pPr>
        <w:rPr>
          <w:rFonts w:ascii="宋体" w:hAnsi="宋体" w:cs="宋体"/>
          <w:color w:val="auto"/>
          <w:sz w:val="24"/>
        </w:rPr>
      </w:pPr>
    </w:p>
    <w:p>
      <w:pPr>
        <w:snapToGrid w:val="0"/>
        <w:spacing w:before="50" w:after="50"/>
        <w:rPr>
          <w:rFonts w:ascii="宋体" w:hAnsi="宋体" w:cs="宋体"/>
          <w:bCs/>
          <w:color w:val="auto"/>
          <w:sz w:val="24"/>
        </w:rPr>
      </w:pPr>
    </w:p>
    <w:p>
      <w:pPr>
        <w:snapToGrid w:val="0"/>
        <w:spacing w:line="400" w:lineRule="exact"/>
        <w:ind w:firstLine="480" w:firstLineChars="200"/>
        <w:jc w:val="left"/>
        <w:rPr>
          <w:rFonts w:ascii="宋体" w:hAnsi="宋体" w:cs="宋体"/>
          <w:color w:val="auto"/>
          <w:spacing w:val="6"/>
          <w:sz w:val="24"/>
        </w:rPr>
      </w:pPr>
      <w:r>
        <w:rPr>
          <w:rFonts w:hint="eastAsia" w:ascii="宋体" w:hAnsi="宋体" w:cs="宋体"/>
          <w:bCs/>
          <w:color w:val="auto"/>
          <w:sz w:val="24"/>
        </w:rPr>
        <w:br w:type="page"/>
      </w:r>
    </w:p>
    <w:p>
      <w:pPr>
        <w:snapToGrid w:val="0"/>
        <w:spacing w:before="50" w:after="50"/>
        <w:rPr>
          <w:rFonts w:ascii="宋体" w:hAnsi="宋体" w:cs="宋体"/>
          <w:b/>
          <w:bCs/>
          <w:color w:val="auto"/>
          <w:sz w:val="32"/>
          <w:szCs w:val="32"/>
        </w:rPr>
      </w:pPr>
    </w:p>
    <w:p>
      <w:pPr>
        <w:snapToGrid w:val="0"/>
        <w:spacing w:beforeLines="50" w:after="50" w:line="380" w:lineRule="exact"/>
        <w:rPr>
          <w:rFonts w:ascii="宋体" w:hAnsi="宋体" w:cs="宋体"/>
          <w:b/>
          <w:bCs/>
          <w:color w:val="auto"/>
          <w:sz w:val="32"/>
          <w:szCs w:val="32"/>
        </w:rPr>
      </w:pPr>
      <w:r>
        <w:rPr>
          <w:rFonts w:hint="eastAsia" w:ascii="宋体" w:hAnsi="宋体" w:cs="宋体"/>
          <w:b/>
          <w:bCs/>
          <w:color w:val="auto"/>
          <w:sz w:val="32"/>
          <w:szCs w:val="32"/>
        </w:rPr>
        <w:t>2、投标文件封面格式：</w:t>
      </w:r>
    </w:p>
    <w:p>
      <w:pPr>
        <w:snapToGrid w:val="0"/>
        <w:spacing w:beforeLines="50" w:after="50" w:line="380" w:lineRule="exact"/>
        <w:rPr>
          <w:rFonts w:ascii="仿宋_GB2312" w:hAnsi="宋体" w:eastAsia="仿宋_GB2312" w:cs="仿宋_GB2312"/>
          <w:color w:val="auto"/>
          <w:sz w:val="24"/>
        </w:rPr>
      </w:pPr>
      <w:r>
        <w:rPr>
          <w:rFonts w:hint="eastAsia" w:ascii="仿宋_GB2312" w:hAnsi="宋体" w:eastAsia="仿宋_GB2312" w:cs="仿宋_GB2312"/>
          <w:color w:val="auto"/>
          <w:sz w:val="24"/>
        </w:rPr>
        <w:t xml:space="preserve">             </w:t>
      </w:r>
    </w:p>
    <w:p>
      <w:pPr>
        <w:pStyle w:val="11"/>
        <w:jc w:val="center"/>
        <w:rPr>
          <w:rFonts w:hAnsi="宋体"/>
          <w:color w:val="auto"/>
          <w:sz w:val="36"/>
          <w:szCs w:val="36"/>
        </w:rPr>
      </w:pPr>
    </w:p>
    <w:p>
      <w:pPr>
        <w:pStyle w:val="11"/>
        <w:jc w:val="center"/>
        <w:rPr>
          <w:rFonts w:hAnsi="宋体"/>
          <w:color w:val="auto"/>
          <w:sz w:val="36"/>
          <w:szCs w:val="36"/>
        </w:rPr>
      </w:pPr>
      <w:r>
        <w:rPr>
          <w:rFonts w:hint="eastAsia" w:hAnsi="宋体"/>
          <w:color w:val="auto"/>
          <w:sz w:val="36"/>
          <w:szCs w:val="36"/>
        </w:rPr>
        <w:t>××××××（投标人名称）</w:t>
      </w:r>
    </w:p>
    <w:p>
      <w:pPr>
        <w:pStyle w:val="21"/>
        <w:snapToGrid w:val="0"/>
        <w:spacing w:before="50" w:after="50" w:line="380" w:lineRule="exact"/>
        <w:ind w:firstLine="540" w:firstLineChars="225"/>
        <w:rPr>
          <w:rFonts w:cs="宋体"/>
          <w:b/>
          <w:color w:val="auto"/>
          <w:sz w:val="32"/>
          <w:szCs w:val="32"/>
        </w:rPr>
      </w:pPr>
      <w:r>
        <w:rPr>
          <w:rFonts w:hint="eastAsia" w:cs="宋体"/>
          <w:color w:val="auto"/>
        </w:rPr>
        <w:t xml:space="preserve">              </w:t>
      </w:r>
      <w:r>
        <w:rPr>
          <w:rFonts w:hint="eastAsia" w:cs="宋体"/>
          <w:b/>
          <w:color w:val="auto"/>
          <w:sz w:val="32"/>
          <w:szCs w:val="32"/>
        </w:rPr>
        <w:t xml:space="preserve">                      </w:t>
      </w:r>
    </w:p>
    <w:p>
      <w:pPr>
        <w:pStyle w:val="21"/>
        <w:snapToGrid w:val="0"/>
        <w:spacing w:before="50" w:after="50" w:line="380" w:lineRule="exact"/>
        <w:ind w:firstLine="540" w:firstLineChars="225"/>
        <w:rPr>
          <w:rFonts w:cs="宋体"/>
          <w:b/>
          <w:color w:val="auto"/>
          <w:sz w:val="32"/>
          <w:szCs w:val="32"/>
        </w:rPr>
      </w:pPr>
      <w:r>
        <w:rPr>
          <w:rFonts w:hint="eastAsia" w:cs="宋体"/>
          <w:bCs/>
          <w:color w:val="auto"/>
          <w:szCs w:val="21"/>
        </w:rPr>
        <w:t xml:space="preserve">                                                     （正/副本）</w:t>
      </w:r>
    </w:p>
    <w:p>
      <w:pPr>
        <w:snapToGrid w:val="0"/>
        <w:spacing w:beforeLines="50" w:after="50" w:line="1000" w:lineRule="exact"/>
        <w:jc w:val="center"/>
        <w:rPr>
          <w:rFonts w:ascii="宋体" w:hAnsi="宋体" w:cs="宋体"/>
          <w:b/>
          <w:color w:val="auto"/>
          <w:sz w:val="44"/>
          <w:szCs w:val="44"/>
        </w:rPr>
      </w:pPr>
      <w:r>
        <w:rPr>
          <w:rFonts w:hint="eastAsia" w:ascii="宋体" w:hAnsi="宋体" w:cs="宋体"/>
          <w:b/>
          <w:color w:val="auto"/>
          <w:sz w:val="44"/>
          <w:szCs w:val="44"/>
        </w:rPr>
        <w:t>投 标 文 件</w:t>
      </w:r>
    </w:p>
    <w:p>
      <w:pPr>
        <w:snapToGrid w:val="0"/>
        <w:spacing w:beforeLines="50" w:after="50" w:line="1000" w:lineRule="exact"/>
        <w:ind w:firstLine="840" w:firstLineChars="300"/>
        <w:jc w:val="center"/>
        <w:rPr>
          <w:rFonts w:ascii="宋体" w:hAnsi="宋体" w:cs="宋体"/>
          <w:bCs/>
          <w:color w:val="auto"/>
          <w:sz w:val="30"/>
          <w:szCs w:val="30"/>
        </w:rPr>
      </w:pPr>
      <w:r>
        <w:rPr>
          <w:rFonts w:hint="eastAsia" w:ascii="宋体" w:hAnsi="宋体" w:cs="宋体"/>
          <w:bCs/>
          <w:color w:val="auto"/>
          <w:sz w:val="28"/>
          <w:szCs w:val="28"/>
          <w:u w:val="single"/>
        </w:rPr>
        <w:t>（</w:t>
      </w:r>
      <w:r>
        <w:rPr>
          <w:rFonts w:hint="eastAsia" w:ascii="宋体" w:hAnsi="宋体" w:cs="宋体"/>
          <w:bCs/>
          <w:color w:val="auto"/>
          <w:sz w:val="28"/>
          <w:szCs w:val="28"/>
          <w:u w:val="single"/>
          <w:lang w:val="en-US" w:eastAsia="zh-CN"/>
        </w:rPr>
        <w:t>资信</w:t>
      </w:r>
      <w:r>
        <w:rPr>
          <w:rFonts w:hint="eastAsia" w:ascii="宋体" w:hAnsi="宋体" w:cs="宋体"/>
          <w:bCs/>
          <w:color w:val="auto"/>
          <w:sz w:val="28"/>
          <w:szCs w:val="28"/>
          <w:u w:val="single"/>
        </w:rPr>
        <w:t>商务部分或价格部分或技术部分）</w:t>
      </w:r>
    </w:p>
    <w:p>
      <w:pPr>
        <w:snapToGrid w:val="0"/>
        <w:spacing w:beforeLines="50" w:after="50" w:line="1000" w:lineRule="exact"/>
        <w:ind w:firstLine="900" w:firstLineChars="300"/>
        <w:rPr>
          <w:rFonts w:ascii="宋体" w:hAnsi="宋体" w:cs="宋体"/>
          <w:bCs/>
          <w:color w:val="auto"/>
          <w:sz w:val="30"/>
          <w:szCs w:val="30"/>
        </w:rPr>
      </w:pPr>
      <w:r>
        <w:rPr>
          <w:rFonts w:hint="eastAsia" w:ascii="宋体" w:hAnsi="宋体" w:cs="宋体"/>
          <w:bCs/>
          <w:color w:val="auto"/>
          <w:sz w:val="30"/>
          <w:szCs w:val="30"/>
        </w:rPr>
        <w:t>项目名称：</w:t>
      </w:r>
      <w:r>
        <w:rPr>
          <w:rFonts w:hAnsi="宋体" w:cs="Arial"/>
          <w:bCs/>
          <w:color w:val="auto"/>
          <w:sz w:val="30"/>
          <w:szCs w:val="30"/>
          <w:u w:val="single"/>
        </w:rPr>
        <w:t xml:space="preserve">                     </w:t>
      </w:r>
      <w:r>
        <w:rPr>
          <w:rFonts w:hint="eastAsia" w:hAnsi="宋体" w:cs="Arial"/>
          <w:bCs/>
          <w:color w:val="auto"/>
          <w:sz w:val="30"/>
          <w:szCs w:val="30"/>
          <w:u w:val="single"/>
        </w:rPr>
        <w:t xml:space="preserve">       </w:t>
      </w:r>
      <w:r>
        <w:rPr>
          <w:rFonts w:hAnsi="宋体" w:cs="Arial"/>
          <w:bCs/>
          <w:color w:val="auto"/>
          <w:sz w:val="30"/>
          <w:szCs w:val="30"/>
          <w:u w:val="single"/>
        </w:rPr>
        <w:t xml:space="preserve">  </w:t>
      </w:r>
      <w:r>
        <w:rPr>
          <w:rFonts w:hint="eastAsia" w:hAnsi="宋体" w:cs="Arial"/>
          <w:bCs/>
          <w:color w:val="auto"/>
          <w:sz w:val="30"/>
          <w:szCs w:val="30"/>
          <w:u w:val="single"/>
        </w:rPr>
        <w:t xml:space="preserve"> </w:t>
      </w:r>
      <w:r>
        <w:rPr>
          <w:rFonts w:hAnsi="宋体" w:cs="Arial"/>
          <w:bCs/>
          <w:color w:val="auto"/>
          <w:sz w:val="30"/>
          <w:szCs w:val="30"/>
          <w:u w:val="single"/>
        </w:rPr>
        <w:t xml:space="preserve">     </w:t>
      </w:r>
      <w:r>
        <w:rPr>
          <w:rFonts w:hint="eastAsia" w:ascii="宋体" w:hAnsi="宋体" w:cs="宋体"/>
          <w:bCs/>
          <w:color w:val="auto"/>
          <w:sz w:val="30"/>
          <w:szCs w:val="30"/>
        </w:rPr>
        <w:t xml:space="preserve"> </w:t>
      </w:r>
    </w:p>
    <w:p>
      <w:pPr>
        <w:pStyle w:val="21"/>
        <w:snapToGrid w:val="0"/>
        <w:spacing w:before="50" w:after="50" w:line="1000" w:lineRule="exact"/>
        <w:ind w:firstLine="900" w:firstLineChars="300"/>
        <w:rPr>
          <w:rFonts w:cs="宋体"/>
          <w:bCs/>
          <w:color w:val="auto"/>
          <w:sz w:val="30"/>
          <w:szCs w:val="30"/>
          <w:u w:val="single"/>
        </w:rPr>
      </w:pPr>
      <w:r>
        <w:rPr>
          <w:rFonts w:hint="eastAsia" w:cs="宋体"/>
          <w:color w:val="auto"/>
          <w:sz w:val="30"/>
          <w:szCs w:val="30"/>
        </w:rPr>
        <w:t>项目编号：</w:t>
      </w:r>
      <w:r>
        <w:rPr>
          <w:rFonts w:cs="Arial"/>
          <w:bCs/>
          <w:color w:val="auto"/>
          <w:sz w:val="30"/>
          <w:szCs w:val="30"/>
          <w:u w:val="single"/>
        </w:rPr>
        <w:t xml:space="preserve">                       </w:t>
      </w:r>
      <w:r>
        <w:rPr>
          <w:rFonts w:hint="eastAsia" w:cs="Arial"/>
          <w:bCs/>
          <w:color w:val="auto"/>
          <w:sz w:val="30"/>
          <w:szCs w:val="30"/>
          <w:u w:val="single"/>
        </w:rPr>
        <w:t xml:space="preserve">        </w:t>
      </w:r>
      <w:r>
        <w:rPr>
          <w:rFonts w:cs="Arial"/>
          <w:bCs/>
          <w:color w:val="auto"/>
          <w:sz w:val="30"/>
          <w:szCs w:val="30"/>
          <w:u w:val="single"/>
        </w:rPr>
        <w:t xml:space="preserve">     </w:t>
      </w:r>
    </w:p>
    <w:p>
      <w:pPr>
        <w:pStyle w:val="21"/>
        <w:snapToGrid w:val="0"/>
        <w:spacing w:before="50" w:after="50" w:line="1000" w:lineRule="exact"/>
        <w:ind w:firstLine="900" w:firstLineChars="300"/>
        <w:rPr>
          <w:rFonts w:cs="宋体"/>
          <w:bCs/>
          <w:color w:val="auto"/>
          <w:sz w:val="30"/>
          <w:szCs w:val="30"/>
          <w:u w:val="single"/>
        </w:rPr>
      </w:pPr>
      <w:r>
        <w:rPr>
          <w:rFonts w:hint="eastAsia" w:cs="宋体"/>
          <w:bCs/>
          <w:color w:val="auto"/>
          <w:sz w:val="30"/>
          <w:szCs w:val="30"/>
        </w:rPr>
        <w:t>投标单位：</w:t>
      </w:r>
      <w:r>
        <w:rPr>
          <w:rFonts w:hint="eastAsia" w:cs="宋体"/>
          <w:bCs/>
          <w:color w:val="auto"/>
          <w:sz w:val="30"/>
          <w:szCs w:val="30"/>
          <w:u w:val="single"/>
        </w:rPr>
        <w:t xml:space="preserve">                            </w:t>
      </w:r>
      <w:r>
        <w:rPr>
          <w:rFonts w:hint="eastAsia" w:cs="宋体"/>
          <w:color w:val="auto"/>
          <w:sz w:val="30"/>
          <w:szCs w:val="30"/>
          <w:u w:val="single"/>
        </w:rPr>
        <w:t>（盖章）</w:t>
      </w:r>
    </w:p>
    <w:p>
      <w:pPr>
        <w:pStyle w:val="21"/>
        <w:snapToGrid w:val="0"/>
        <w:spacing w:before="50" w:after="50" w:line="1000" w:lineRule="exact"/>
        <w:ind w:firstLine="900" w:firstLineChars="300"/>
        <w:rPr>
          <w:rFonts w:cs="宋体"/>
          <w:bCs/>
          <w:color w:val="auto"/>
          <w:sz w:val="30"/>
          <w:szCs w:val="30"/>
          <w:u w:val="single"/>
        </w:rPr>
      </w:pPr>
      <w:r>
        <w:rPr>
          <w:rFonts w:hint="eastAsia" w:cs="宋体"/>
          <w:bCs/>
          <w:color w:val="auto"/>
          <w:sz w:val="30"/>
          <w:szCs w:val="30"/>
        </w:rPr>
        <w:t>联系地址：</w:t>
      </w:r>
      <w:r>
        <w:rPr>
          <w:rFonts w:hint="eastAsia" w:cs="宋体"/>
          <w:bCs/>
          <w:color w:val="auto"/>
          <w:sz w:val="30"/>
          <w:szCs w:val="30"/>
          <w:u w:val="single"/>
        </w:rPr>
        <w:t xml:space="preserve">                                    </w:t>
      </w:r>
    </w:p>
    <w:p>
      <w:pPr>
        <w:pStyle w:val="21"/>
        <w:snapToGrid w:val="0"/>
        <w:spacing w:before="50" w:after="50" w:line="1000" w:lineRule="exact"/>
        <w:ind w:firstLine="900" w:firstLineChars="300"/>
        <w:rPr>
          <w:rFonts w:cs="宋体"/>
          <w:bCs/>
          <w:color w:val="auto"/>
          <w:sz w:val="30"/>
          <w:szCs w:val="30"/>
          <w:u w:val="single"/>
        </w:rPr>
      </w:pPr>
      <w:r>
        <w:rPr>
          <w:rFonts w:hint="eastAsia" w:cs="宋体"/>
          <w:bCs/>
          <w:color w:val="auto"/>
          <w:sz w:val="30"/>
          <w:szCs w:val="30"/>
        </w:rPr>
        <w:t>联系人及电话：</w:t>
      </w:r>
      <w:r>
        <w:rPr>
          <w:rFonts w:hint="eastAsia" w:cs="宋体"/>
          <w:bCs/>
          <w:color w:val="auto"/>
          <w:sz w:val="30"/>
          <w:szCs w:val="30"/>
          <w:u w:val="single"/>
        </w:rPr>
        <w:t xml:space="preserve">                                </w:t>
      </w:r>
    </w:p>
    <w:p>
      <w:pPr>
        <w:pStyle w:val="2"/>
        <w:rPr>
          <w:rFonts w:ascii="宋体" w:hAnsi="宋体" w:cs="宋体"/>
          <w:bCs/>
          <w:color w:val="auto"/>
          <w:szCs w:val="21"/>
        </w:rPr>
      </w:pPr>
    </w:p>
    <w:p>
      <w:pPr>
        <w:pStyle w:val="5"/>
        <w:snapToGrid w:val="0"/>
        <w:spacing w:before="50" w:after="50"/>
        <w:ind w:firstLineChars="150"/>
        <w:rPr>
          <w:rFonts w:ascii="宋体" w:hAnsi="宋体" w:cs="宋体"/>
          <w:bCs/>
          <w:color w:val="auto"/>
          <w:sz w:val="28"/>
          <w:szCs w:val="28"/>
        </w:rPr>
      </w:pPr>
    </w:p>
    <w:p>
      <w:pPr>
        <w:pStyle w:val="5"/>
        <w:snapToGrid w:val="0"/>
        <w:spacing w:before="50" w:after="50"/>
        <w:ind w:firstLineChars="150"/>
        <w:jc w:val="center"/>
        <w:rPr>
          <w:rFonts w:ascii="宋体" w:hAnsi="宋体" w:cs="宋体"/>
          <w:bCs/>
          <w:color w:val="auto"/>
          <w:sz w:val="28"/>
          <w:szCs w:val="28"/>
        </w:rPr>
      </w:pPr>
      <w:r>
        <w:rPr>
          <w:rFonts w:hint="eastAsia" w:ascii="宋体" w:hAnsi="宋体" w:cs="宋体"/>
          <w:bCs/>
          <w:color w:val="auto"/>
          <w:sz w:val="28"/>
          <w:szCs w:val="28"/>
        </w:rPr>
        <w:t xml:space="preserve">                          年    月    日</w:t>
      </w:r>
    </w:p>
    <w:p>
      <w:pPr>
        <w:snapToGrid w:val="0"/>
        <w:spacing w:before="50" w:after="50"/>
        <w:rPr>
          <w:rFonts w:ascii="宋体" w:hAnsi="宋体" w:cs="宋体"/>
          <w:b/>
          <w:color w:val="auto"/>
          <w:szCs w:val="21"/>
        </w:rPr>
      </w:pPr>
    </w:p>
    <w:p>
      <w:pPr>
        <w:snapToGrid w:val="0"/>
        <w:spacing w:before="50" w:after="50"/>
        <w:rPr>
          <w:rFonts w:ascii="宋体" w:hAnsi="宋体" w:cs="宋体"/>
          <w:b/>
          <w:bCs/>
          <w:color w:val="auto"/>
          <w:szCs w:val="21"/>
        </w:rPr>
      </w:pPr>
      <w:r>
        <w:rPr>
          <w:rFonts w:hint="eastAsia" w:ascii="宋体" w:hAnsi="宋体" w:cs="宋体"/>
          <w:b/>
          <w:color w:val="auto"/>
          <w:szCs w:val="21"/>
        </w:rPr>
        <w:br w:type="page"/>
      </w:r>
      <w:r>
        <w:rPr>
          <w:rFonts w:hint="eastAsia" w:ascii="宋体" w:hAnsi="宋体" w:cs="宋体"/>
          <w:b/>
          <w:bCs/>
          <w:color w:val="auto"/>
          <w:sz w:val="32"/>
          <w:szCs w:val="32"/>
        </w:rPr>
        <w:t>投标文件（</w:t>
      </w:r>
      <w:r>
        <w:rPr>
          <w:rFonts w:hint="eastAsia" w:ascii="宋体" w:hAnsi="宋体" w:cs="宋体"/>
          <w:b/>
          <w:bCs/>
          <w:color w:val="auto"/>
          <w:sz w:val="32"/>
          <w:szCs w:val="32"/>
          <w:lang w:val="en-US" w:eastAsia="zh-CN"/>
        </w:rPr>
        <w:t>资信</w:t>
      </w:r>
      <w:r>
        <w:rPr>
          <w:rFonts w:hint="eastAsia" w:ascii="宋体" w:hAnsi="宋体" w:cs="宋体"/>
          <w:b/>
          <w:bCs/>
          <w:color w:val="auto"/>
          <w:sz w:val="32"/>
          <w:szCs w:val="32"/>
        </w:rPr>
        <w:t>商务部分、价格部分、技术部分）目录：</w:t>
      </w:r>
    </w:p>
    <w:p>
      <w:pPr>
        <w:snapToGrid w:val="0"/>
        <w:spacing w:before="50" w:after="50"/>
        <w:rPr>
          <w:rFonts w:ascii="宋体" w:hAnsi="宋体" w:cs="宋体"/>
          <w:color w:val="auto"/>
          <w:sz w:val="44"/>
          <w:szCs w:val="44"/>
        </w:rPr>
      </w:pPr>
    </w:p>
    <w:p>
      <w:pPr>
        <w:tabs>
          <w:tab w:val="left" w:pos="3870"/>
          <w:tab w:val="left" w:pos="4085"/>
        </w:tabs>
        <w:snapToGrid w:val="0"/>
        <w:spacing w:line="500" w:lineRule="exact"/>
        <w:jc w:val="center"/>
        <w:rPr>
          <w:rFonts w:ascii="宋体" w:hAnsi="宋体" w:cs="宋体"/>
          <w:color w:val="auto"/>
          <w:sz w:val="44"/>
          <w:szCs w:val="44"/>
        </w:rPr>
      </w:pPr>
      <w:r>
        <w:rPr>
          <w:rFonts w:hint="eastAsia" w:ascii="宋体" w:hAnsi="宋体" w:cs="宋体"/>
          <w:color w:val="auto"/>
          <w:sz w:val="44"/>
          <w:szCs w:val="44"/>
        </w:rPr>
        <w:t>目    录</w:t>
      </w:r>
    </w:p>
    <w:p>
      <w:pPr>
        <w:snapToGrid w:val="0"/>
        <w:spacing w:line="440" w:lineRule="exact"/>
        <w:jc w:val="center"/>
        <w:rPr>
          <w:rFonts w:ascii="宋体" w:hAnsi="宋体" w:cs="宋体"/>
          <w:b/>
          <w:color w:val="auto"/>
          <w:sz w:val="24"/>
        </w:rPr>
      </w:pPr>
      <w:r>
        <w:rPr>
          <w:rFonts w:hint="eastAsia" w:ascii="宋体" w:hAnsi="宋体" w:cs="宋体"/>
          <w:b/>
          <w:color w:val="auto"/>
          <w:sz w:val="24"/>
        </w:rPr>
        <w:t>（</w:t>
      </w:r>
      <w:r>
        <w:rPr>
          <w:rFonts w:hint="eastAsia" w:ascii="宋体" w:hAnsi="宋体" w:cs="宋体"/>
          <w:b/>
          <w:color w:val="auto"/>
          <w:sz w:val="24"/>
          <w:lang w:val="en-US" w:eastAsia="zh-CN"/>
        </w:rPr>
        <w:t>根据投标文件组成</w:t>
      </w:r>
      <w:r>
        <w:rPr>
          <w:rFonts w:hint="eastAsia" w:ascii="宋体" w:hAnsi="宋体" w:cs="宋体"/>
          <w:b/>
          <w:color w:val="auto"/>
          <w:sz w:val="24"/>
        </w:rPr>
        <w:t>自编目录）</w:t>
      </w:r>
      <w:r>
        <w:rPr>
          <w:rFonts w:hint="eastAsia" w:ascii="宋体" w:hAnsi="宋体" w:cs="宋体"/>
          <w:b/>
          <w:color w:val="auto"/>
          <w:sz w:val="24"/>
        </w:rPr>
        <w:br w:type="page"/>
      </w:r>
    </w:p>
    <w:p>
      <w:pPr>
        <w:pStyle w:val="39"/>
        <w:spacing w:line="520" w:lineRule="exact"/>
        <w:ind w:firstLine="782" w:firstLineChars="177"/>
        <w:rPr>
          <w:rFonts w:ascii="宋体" w:hAnsi="宋体" w:cs="宋体"/>
          <w:b/>
          <w:color w:val="auto"/>
          <w:sz w:val="44"/>
          <w:szCs w:val="44"/>
        </w:rPr>
      </w:pPr>
      <w:r>
        <w:rPr>
          <w:rFonts w:hint="eastAsia" w:ascii="宋体" w:hAnsi="宋体" w:cs="宋体"/>
          <w:b/>
          <w:color w:val="auto"/>
          <w:sz w:val="44"/>
          <w:szCs w:val="44"/>
        </w:rPr>
        <w:t>一、</w:t>
      </w:r>
      <w:r>
        <w:rPr>
          <w:rFonts w:hint="eastAsia" w:ascii="宋体" w:hAnsi="宋体" w:cs="宋体"/>
          <w:b/>
          <w:color w:val="auto"/>
          <w:sz w:val="44"/>
          <w:szCs w:val="44"/>
          <w:lang w:val="en-US" w:eastAsia="zh-CN"/>
        </w:rPr>
        <w:t>资信</w:t>
      </w:r>
      <w:r>
        <w:rPr>
          <w:rFonts w:hint="eastAsia" w:ascii="宋体" w:hAnsi="宋体" w:cs="宋体"/>
          <w:b/>
          <w:color w:val="auto"/>
          <w:sz w:val="44"/>
          <w:szCs w:val="44"/>
        </w:rPr>
        <w:t>商务部分</w:t>
      </w:r>
    </w:p>
    <w:p>
      <w:pPr>
        <w:snapToGrid w:val="0"/>
        <w:spacing w:line="440" w:lineRule="exact"/>
        <w:jc w:val="center"/>
        <w:rPr>
          <w:rFonts w:ascii="宋体" w:hAnsi="宋体" w:cs="宋体"/>
          <w:b/>
          <w:color w:val="auto"/>
          <w:sz w:val="24"/>
        </w:rPr>
      </w:pPr>
    </w:p>
    <w:p>
      <w:pPr>
        <w:snapToGrid w:val="0"/>
        <w:spacing w:line="440" w:lineRule="exact"/>
        <w:jc w:val="center"/>
        <w:rPr>
          <w:rFonts w:ascii="宋体" w:hAnsi="宋体" w:cs="宋体"/>
          <w:color w:val="auto"/>
          <w:sz w:val="32"/>
          <w:szCs w:val="32"/>
        </w:rPr>
      </w:pPr>
      <w:r>
        <w:rPr>
          <w:rFonts w:hint="eastAsia" w:ascii="宋体" w:hAnsi="宋体" w:cs="宋体"/>
          <w:b/>
          <w:bCs/>
          <w:color w:val="auto"/>
          <w:sz w:val="32"/>
          <w:szCs w:val="32"/>
        </w:rPr>
        <w:t xml:space="preserve">投标声明书 </w:t>
      </w:r>
      <w:r>
        <w:rPr>
          <w:rFonts w:hint="eastAsia" w:ascii="宋体" w:hAnsi="宋体" w:cs="宋体"/>
          <w:b/>
          <w:bCs/>
          <w:color w:val="auto"/>
          <w:sz w:val="28"/>
          <w:szCs w:val="28"/>
        </w:rPr>
        <w:t>（格式）</w:t>
      </w:r>
    </w:p>
    <w:p>
      <w:pPr>
        <w:snapToGrid w:val="0"/>
        <w:spacing w:beforeLines="50" w:after="50" w:line="360" w:lineRule="exact"/>
        <w:jc w:val="center"/>
        <w:rPr>
          <w:rFonts w:ascii="宋体" w:hAnsi="宋体" w:cs="宋体"/>
          <w:b/>
          <w:color w:val="auto"/>
          <w:sz w:val="32"/>
          <w:szCs w:val="32"/>
        </w:rPr>
      </w:pPr>
    </w:p>
    <w:p>
      <w:pPr>
        <w:snapToGrid w:val="0"/>
        <w:spacing w:beforeLines="50" w:after="50" w:line="380" w:lineRule="exact"/>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 xml:space="preserve">            </w:t>
      </w:r>
      <w:r>
        <w:rPr>
          <w:rFonts w:hint="eastAsia" w:ascii="宋体" w:hAnsi="宋体" w:cs="宋体"/>
          <w:color w:val="auto"/>
          <w:szCs w:val="21"/>
        </w:rPr>
        <w:t xml:space="preserve"> （招标采购单位名称）：</w:t>
      </w:r>
    </w:p>
    <w:p>
      <w:pPr>
        <w:snapToGrid w:val="0"/>
        <w:spacing w:beforeLines="50" w:after="50" w:line="380" w:lineRule="exact"/>
        <w:ind w:firstLine="630" w:firstLineChars="30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 xml:space="preserve"> （投标人名称）系中华人民共和国合法企业，经营地址</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beforeLines="50" w:line="380" w:lineRule="exact"/>
        <w:ind w:firstLine="420" w:firstLineChars="200"/>
        <w:rPr>
          <w:rFonts w:ascii="宋体" w:hAnsi="宋体" w:cs="宋体"/>
          <w:color w:val="auto"/>
          <w:szCs w:val="21"/>
        </w:rPr>
      </w:pPr>
      <w:r>
        <w:rPr>
          <w:rFonts w:hint="eastAsia" w:ascii="宋体" w:hAnsi="宋体" w:cs="宋体"/>
          <w:color w:val="auto"/>
          <w:szCs w:val="21"/>
        </w:rPr>
        <w:t>我</w:t>
      </w:r>
      <w:r>
        <w:rPr>
          <w:rFonts w:hint="eastAsia" w:ascii="宋体" w:hAnsi="宋体" w:cs="宋体"/>
          <w:color w:val="auto"/>
          <w:szCs w:val="21"/>
          <w:u w:val="single"/>
        </w:rPr>
        <w:t xml:space="preserve">            </w:t>
      </w:r>
      <w:r>
        <w:rPr>
          <w:rFonts w:hint="eastAsia" w:ascii="宋体" w:hAnsi="宋体" w:cs="宋体"/>
          <w:color w:val="auto"/>
          <w:szCs w:val="21"/>
        </w:rPr>
        <w:t xml:space="preserve"> （姓名）系</w:t>
      </w:r>
      <w:r>
        <w:rPr>
          <w:rFonts w:hint="eastAsia" w:ascii="宋体" w:hAnsi="宋体" w:cs="宋体"/>
          <w:color w:val="auto"/>
          <w:szCs w:val="21"/>
          <w:u w:val="single"/>
        </w:rPr>
        <w:t xml:space="preserve">            </w:t>
      </w:r>
      <w:r>
        <w:rPr>
          <w:rFonts w:hint="eastAsia" w:ascii="宋体" w:hAnsi="宋体" w:cs="宋体"/>
          <w:color w:val="auto"/>
          <w:szCs w:val="21"/>
        </w:rPr>
        <w:t xml:space="preserve"> （投标人名称）的法定代表人，我方愿意参加贵方组织的</w:t>
      </w:r>
      <w:r>
        <w:rPr>
          <w:rFonts w:hint="eastAsia" w:ascii="宋体" w:hAnsi="宋体" w:cs="宋体"/>
          <w:color w:val="auto"/>
          <w:szCs w:val="21"/>
          <w:u w:val="single"/>
        </w:rPr>
        <w:t xml:space="preserve">             （项目名称及编号）        </w:t>
      </w:r>
      <w:r>
        <w:rPr>
          <w:rFonts w:hint="eastAsia" w:ascii="宋体" w:hAnsi="宋体" w:cs="宋体"/>
          <w:color w:val="auto"/>
          <w:szCs w:val="21"/>
        </w:rPr>
        <w:t xml:space="preserve">的投标，为便于贵方公正、择优地确定中标人及其投标产品和服务，我方就本次投标有关事项郑重声明如下： </w:t>
      </w:r>
    </w:p>
    <w:p>
      <w:pPr>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1.我方向贵方提交的所有投标文件、资料都是准确的和真实的。</w:t>
      </w:r>
    </w:p>
    <w:p>
      <w:pPr>
        <w:snapToGrid w:val="0"/>
        <w:spacing w:beforeLines="50" w:line="380" w:lineRule="exact"/>
        <w:ind w:firstLine="420" w:firstLineChars="200"/>
        <w:rPr>
          <w:rFonts w:ascii="宋体" w:hAnsi="宋体" w:cs="宋体"/>
          <w:color w:val="auto"/>
          <w:szCs w:val="21"/>
        </w:rPr>
      </w:pPr>
      <w:r>
        <w:rPr>
          <w:rFonts w:hint="eastAsia" w:ascii="宋体" w:hAnsi="宋体" w:cs="宋体"/>
          <w:color w:val="auto"/>
          <w:szCs w:val="21"/>
        </w:rPr>
        <w:t>2.我方不是采购人的附属机构；在获知本项目采购信息后，与采购人聘请的为此项目提供咨询服务的公司及其附属机构没有任何联系。</w:t>
      </w:r>
    </w:p>
    <w:p>
      <w:pPr>
        <w:snapToGrid w:val="0"/>
        <w:spacing w:beforeLines="50" w:line="380" w:lineRule="exact"/>
        <w:ind w:firstLine="420" w:firstLineChars="200"/>
        <w:rPr>
          <w:rFonts w:ascii="宋体" w:hAnsi="宋体" w:cs="宋体"/>
          <w:color w:val="auto"/>
          <w:szCs w:val="21"/>
        </w:rPr>
      </w:pPr>
      <w:r>
        <w:rPr>
          <w:rFonts w:hint="eastAsia" w:ascii="宋体" w:hAnsi="宋体" w:cs="宋体"/>
          <w:color w:val="auto"/>
          <w:szCs w:val="21"/>
        </w:rPr>
        <w:t>3.我方此次向贵方提供的产品名称为：</w:t>
      </w:r>
      <w:r>
        <w:rPr>
          <w:rFonts w:hint="eastAsia" w:ascii="宋体" w:hAnsi="宋体" w:cs="宋体"/>
          <w:color w:val="auto"/>
          <w:szCs w:val="21"/>
          <w:u w:val="single"/>
        </w:rPr>
        <w:t xml:space="preserve">                              </w:t>
      </w:r>
      <w:r>
        <w:rPr>
          <w:rFonts w:hint="eastAsia" w:ascii="宋体" w:hAnsi="宋体" w:cs="宋体"/>
          <w:color w:val="auto"/>
          <w:szCs w:val="21"/>
        </w:rPr>
        <w:t>；规格型号：</w:t>
      </w:r>
      <w:r>
        <w:rPr>
          <w:rFonts w:hint="eastAsia" w:ascii="宋体" w:hAnsi="宋体" w:cs="宋体"/>
          <w:color w:val="auto"/>
          <w:szCs w:val="21"/>
          <w:u w:val="single"/>
        </w:rPr>
        <w:t xml:space="preserve">                           </w:t>
      </w:r>
      <w:r>
        <w:rPr>
          <w:rFonts w:hint="eastAsia" w:ascii="宋体" w:hAnsi="宋体" w:cs="宋体"/>
          <w:color w:val="auto"/>
          <w:szCs w:val="21"/>
        </w:rPr>
        <w:t>；该型号产品我方有现货可供，并已于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月生产完工或向</w:t>
      </w:r>
      <w:r>
        <w:rPr>
          <w:rFonts w:hint="eastAsia" w:ascii="宋体" w:hAnsi="宋体" w:cs="宋体"/>
          <w:color w:val="auto"/>
          <w:szCs w:val="21"/>
          <w:u w:val="single"/>
        </w:rPr>
        <w:t>　　              （原厂商名称）</w:t>
      </w:r>
      <w:r>
        <w:rPr>
          <w:rFonts w:hint="eastAsia" w:ascii="宋体" w:hAnsi="宋体" w:cs="宋体"/>
          <w:color w:val="auto"/>
          <w:szCs w:val="21"/>
        </w:rPr>
        <w:t>购进［或需在中标后向</w:t>
      </w:r>
      <w:r>
        <w:rPr>
          <w:rFonts w:hint="eastAsia" w:ascii="宋体" w:hAnsi="宋体" w:cs="宋体"/>
          <w:color w:val="auto"/>
          <w:szCs w:val="21"/>
          <w:u w:val="single"/>
        </w:rPr>
        <w:t xml:space="preserve">               </w:t>
      </w:r>
      <w:r>
        <w:rPr>
          <w:rFonts w:hint="eastAsia" w:ascii="宋体" w:hAnsi="宋体" w:cs="宋体"/>
          <w:color w:val="auto"/>
          <w:szCs w:val="21"/>
        </w:rPr>
        <w:t>订购］。</w:t>
      </w:r>
    </w:p>
    <w:p>
      <w:pPr>
        <w:snapToGrid w:val="0"/>
        <w:spacing w:beforeLines="50" w:line="380" w:lineRule="exact"/>
        <w:ind w:firstLine="420" w:firstLineChars="200"/>
        <w:rPr>
          <w:rFonts w:ascii="宋体" w:hAnsi="宋体" w:cs="宋体"/>
          <w:color w:val="auto"/>
          <w:szCs w:val="21"/>
        </w:rPr>
      </w:pPr>
      <w:r>
        <w:rPr>
          <w:rFonts w:hint="eastAsia" w:ascii="宋体" w:hAnsi="宋体" w:cs="宋体"/>
          <w:color w:val="auto"/>
          <w:szCs w:val="21"/>
        </w:rPr>
        <w:t>4.我方诚意提请贵方关注：近期有关该型号产品的生产、供货、售后服务以及性能等方面的重大决策和事项有：</w:t>
      </w:r>
      <w:r>
        <w:rPr>
          <w:rFonts w:hint="eastAsia" w:ascii="宋体" w:hAnsi="宋体" w:cs="宋体"/>
          <w:color w:val="auto"/>
          <w:szCs w:val="21"/>
          <w:u w:val="single"/>
        </w:rPr>
        <w:t>　　　　　　　　　　　　　　　　　　　　　　</w:t>
      </w:r>
    </w:p>
    <w:p>
      <w:pPr>
        <w:pStyle w:val="21"/>
        <w:snapToGrid w:val="0"/>
        <w:spacing w:line="380" w:lineRule="exact"/>
        <w:ind w:firstLine="420" w:firstLineChars="200"/>
        <w:rPr>
          <w:rFonts w:ascii="宋体" w:hAnsi="宋体" w:cs="宋体"/>
          <w:color w:val="auto"/>
          <w:sz w:val="21"/>
          <w:szCs w:val="21"/>
        </w:rPr>
      </w:pPr>
      <w:r>
        <w:rPr>
          <w:rFonts w:hint="eastAsia" w:ascii="宋体" w:hAnsi="宋体" w:cs="宋体"/>
          <w:color w:val="auto"/>
          <w:sz w:val="21"/>
          <w:szCs w:val="21"/>
        </w:rPr>
        <w:t>5.我方及由本人担任法定代表人的其他机构最近三年内被通报或者被处罚的违法行为有：</w:t>
      </w:r>
    </w:p>
    <w:p>
      <w:pPr>
        <w:snapToGrid w:val="0"/>
        <w:spacing w:beforeLines="50" w:line="380" w:lineRule="exact"/>
        <w:ind w:firstLine="420" w:firstLineChars="200"/>
        <w:rPr>
          <w:rFonts w:ascii="宋体" w:hAnsi="宋体" w:cs="宋体"/>
          <w:color w:val="auto"/>
          <w:szCs w:val="21"/>
          <w:u w:val="single"/>
        </w:rPr>
      </w:pPr>
      <w:r>
        <w:rPr>
          <w:rFonts w:hint="eastAsia" w:ascii="宋体" w:hAnsi="宋体" w:cs="宋体"/>
          <w:color w:val="auto"/>
          <w:szCs w:val="21"/>
          <w:u w:val="single"/>
        </w:rPr>
        <w:t>　　　　　　　　　　　　　　　　　　　　　　　　　　　</w:t>
      </w:r>
    </w:p>
    <w:p>
      <w:pPr>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6、我方承诺，在本次项目投标过程中，如发生财政部第18号令《政府采购货物和服务招标投标管理办法》第七十四、七十五条，我方愿意完全接受该管理办法的相关处罚，并依照有关民事法律规定承担民事责任。</w:t>
      </w:r>
    </w:p>
    <w:p>
      <w:pPr>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7、我方承诺，在本次项目投标过程中，按桂财采【2007】65号文《关于印发广西壮族自治区政府采购当事人行为规则的通知》 “第三章 供应商行为规则”规定的行为参加本次采购活动，如有违反此规则的，我方愿意接受《中华人民共和政府采购法》及政府采购有关规定依法处理、处罚。</w:t>
      </w:r>
    </w:p>
    <w:p>
      <w:pPr>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8.以上事项如有虚假或隐瞒，我方愿意承担一切后果，不再寻求任何旨在减轻或免除法律责任的辩解,并自愿放弃投标保证金。</w:t>
      </w:r>
    </w:p>
    <w:p>
      <w:pPr>
        <w:snapToGrid w:val="0"/>
        <w:spacing w:line="400" w:lineRule="exact"/>
        <w:ind w:firstLine="420" w:firstLineChars="200"/>
        <w:rPr>
          <w:rFonts w:ascii="宋体" w:hAnsi="宋体" w:cs="宋体"/>
          <w:color w:val="auto"/>
          <w:szCs w:val="21"/>
        </w:rPr>
      </w:pP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p>
    <w:p>
      <w:pPr>
        <w:autoSpaceDE w:val="0"/>
        <w:autoSpaceDN w:val="0"/>
        <w:spacing w:line="500" w:lineRule="exact"/>
        <w:ind w:firstLine="3158" w:firstLineChars="1316"/>
        <w:rPr>
          <w:rFonts w:ascii="宋体" w:hAnsi="宋体" w:cs="宋体"/>
          <w:color w:val="auto"/>
          <w:sz w:val="24"/>
          <w:lang w:val="zh-CN"/>
        </w:rPr>
      </w:pPr>
      <w:r>
        <w:rPr>
          <w:rFonts w:hint="eastAsia" w:ascii="宋体" w:hAnsi="宋体" w:cs="宋体"/>
          <w:color w:val="auto"/>
          <w:sz w:val="24"/>
          <w:lang w:val="zh-CN"/>
        </w:rPr>
        <w:t>日期：</w:t>
      </w: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p>
    <w:p>
      <w:pPr>
        <w:snapToGrid w:val="0"/>
        <w:spacing w:before="50" w:afterLines="50"/>
        <w:ind w:firstLine="422" w:firstLineChars="200"/>
        <w:jc w:val="left"/>
        <w:rPr>
          <w:rFonts w:ascii="宋体" w:hAnsi="宋体" w:cs="宋体"/>
          <w:b/>
          <w:color w:val="auto"/>
          <w:szCs w:val="21"/>
        </w:rPr>
      </w:pPr>
    </w:p>
    <w:p>
      <w:pPr>
        <w:pStyle w:val="11"/>
        <w:ind w:left="-10" w:firstLine="10" w:firstLineChars="3"/>
        <w:jc w:val="center"/>
        <w:rPr>
          <w:rFonts w:hAnsi="宋体" w:cs="宋体"/>
          <w:b/>
          <w:color w:val="auto"/>
          <w:sz w:val="32"/>
        </w:rPr>
      </w:pPr>
    </w:p>
    <w:p>
      <w:pPr>
        <w:pStyle w:val="11"/>
        <w:ind w:left="-10" w:firstLine="10" w:firstLineChars="3"/>
        <w:jc w:val="center"/>
        <w:rPr>
          <w:rFonts w:hAnsi="宋体" w:cs="宋体"/>
          <w:b/>
          <w:color w:val="auto"/>
          <w:sz w:val="32"/>
        </w:rPr>
      </w:pPr>
      <w:r>
        <w:rPr>
          <w:rFonts w:hint="eastAsia" w:hAnsi="宋体" w:cs="宋体"/>
          <w:b/>
          <w:color w:val="auto"/>
          <w:sz w:val="32"/>
        </w:rPr>
        <w:t>法定代表人身份证明书（格式）</w:t>
      </w:r>
    </w:p>
    <w:p>
      <w:pPr>
        <w:pStyle w:val="11"/>
        <w:ind w:left="-10" w:firstLine="13" w:firstLineChars="3"/>
        <w:jc w:val="center"/>
        <w:rPr>
          <w:rFonts w:hAnsi="宋体" w:cs="宋体"/>
          <w:b/>
          <w:color w:val="auto"/>
          <w:sz w:val="44"/>
        </w:rPr>
      </w:pPr>
    </w:p>
    <w:p>
      <w:pPr>
        <w:pStyle w:val="11"/>
        <w:ind w:firstLine="277"/>
        <w:rPr>
          <w:rFonts w:hAnsi="宋体" w:cs="宋体"/>
          <w:color w:val="auto"/>
          <w:sz w:val="24"/>
          <w:szCs w:val="24"/>
          <w:u w:val="single"/>
        </w:rPr>
      </w:pPr>
      <w:r>
        <w:rPr>
          <w:rFonts w:hint="eastAsia" w:hAnsi="宋体" w:cs="宋体"/>
          <w:color w:val="auto"/>
          <w:sz w:val="24"/>
          <w:szCs w:val="24"/>
        </w:rPr>
        <w:t>单位名称：</w:t>
      </w:r>
      <w:r>
        <w:rPr>
          <w:rFonts w:hint="eastAsia" w:hAnsi="宋体" w:cs="宋体"/>
          <w:color w:val="auto"/>
          <w:sz w:val="24"/>
          <w:szCs w:val="24"/>
          <w:u w:val="single"/>
        </w:rPr>
        <w:t xml:space="preserve">                         </w:t>
      </w:r>
    </w:p>
    <w:p>
      <w:pPr>
        <w:pStyle w:val="11"/>
        <w:ind w:firstLine="277"/>
        <w:rPr>
          <w:rFonts w:hAnsi="宋体" w:cs="宋体"/>
          <w:color w:val="auto"/>
          <w:sz w:val="24"/>
          <w:szCs w:val="24"/>
        </w:rPr>
      </w:pPr>
      <w:r>
        <w:rPr>
          <w:rFonts w:hint="eastAsia" w:hAnsi="宋体" w:cs="宋体"/>
          <w:color w:val="auto"/>
          <w:sz w:val="24"/>
          <w:szCs w:val="24"/>
        </w:rPr>
        <w:t>单位性质：</w:t>
      </w:r>
      <w:r>
        <w:rPr>
          <w:rFonts w:hint="eastAsia" w:hAnsi="宋体" w:cs="宋体"/>
          <w:color w:val="auto"/>
          <w:sz w:val="24"/>
          <w:szCs w:val="24"/>
          <w:u w:val="single"/>
        </w:rPr>
        <w:t xml:space="preserve">                         </w:t>
      </w:r>
    </w:p>
    <w:p>
      <w:pPr>
        <w:pStyle w:val="11"/>
        <w:ind w:firstLine="277"/>
        <w:rPr>
          <w:rFonts w:hAnsi="宋体" w:cs="宋体"/>
          <w:color w:val="auto"/>
          <w:sz w:val="24"/>
          <w:szCs w:val="24"/>
        </w:rPr>
      </w:pPr>
      <w:r>
        <w:rPr>
          <w:rFonts w:hint="eastAsia" w:hAnsi="宋体" w:cs="宋体"/>
          <w:color w:val="auto"/>
          <w:sz w:val="24"/>
          <w:szCs w:val="24"/>
        </w:rPr>
        <w:t>地    址：</w:t>
      </w:r>
      <w:r>
        <w:rPr>
          <w:rFonts w:hint="eastAsia" w:hAnsi="宋体" w:cs="宋体"/>
          <w:color w:val="auto"/>
          <w:sz w:val="24"/>
          <w:szCs w:val="24"/>
          <w:u w:val="single"/>
        </w:rPr>
        <w:t xml:space="preserve">                         </w:t>
      </w:r>
    </w:p>
    <w:p>
      <w:pPr>
        <w:pStyle w:val="11"/>
        <w:ind w:firstLine="277"/>
        <w:rPr>
          <w:rFonts w:hAnsi="宋体" w:cs="宋体"/>
          <w:color w:val="auto"/>
          <w:sz w:val="24"/>
          <w:szCs w:val="24"/>
        </w:rPr>
      </w:pPr>
      <w:r>
        <w:rPr>
          <w:rFonts w:hint="eastAsia" w:hAnsi="宋体" w:cs="宋体"/>
          <w:color w:val="auto"/>
          <w:sz w:val="24"/>
          <w:szCs w:val="24"/>
        </w:rPr>
        <w:t>成立时间：</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p>
    <w:p>
      <w:pPr>
        <w:pStyle w:val="11"/>
        <w:ind w:firstLine="277"/>
        <w:rPr>
          <w:rFonts w:hAnsi="宋体" w:cs="宋体"/>
          <w:color w:val="auto"/>
          <w:sz w:val="24"/>
          <w:szCs w:val="24"/>
          <w:u w:val="single"/>
        </w:rPr>
      </w:pPr>
      <w:r>
        <w:rPr>
          <w:rFonts w:hint="eastAsia" w:hAnsi="宋体" w:cs="宋体"/>
          <w:color w:val="auto"/>
          <w:sz w:val="24"/>
          <w:szCs w:val="24"/>
        </w:rPr>
        <w:t>经营期限：</w:t>
      </w:r>
      <w:r>
        <w:rPr>
          <w:rFonts w:hint="eastAsia" w:hAnsi="宋体" w:cs="宋体"/>
          <w:color w:val="auto"/>
          <w:sz w:val="24"/>
          <w:szCs w:val="24"/>
          <w:u w:val="single"/>
        </w:rPr>
        <w:t xml:space="preserve">                          </w:t>
      </w:r>
    </w:p>
    <w:p>
      <w:pPr>
        <w:pStyle w:val="11"/>
        <w:ind w:firstLine="277"/>
        <w:rPr>
          <w:rFonts w:hAnsi="宋体" w:cs="宋体"/>
          <w:color w:val="auto"/>
          <w:sz w:val="24"/>
          <w:szCs w:val="24"/>
        </w:rPr>
      </w:pPr>
      <w:r>
        <w:rPr>
          <w:rFonts w:hint="eastAsia" w:hAnsi="宋体" w:cs="宋体"/>
          <w:color w:val="auto"/>
          <w:sz w:val="24"/>
          <w:szCs w:val="24"/>
        </w:rPr>
        <w:t>姓名：</w:t>
      </w:r>
      <w:r>
        <w:rPr>
          <w:rFonts w:hint="eastAsia" w:hAnsi="宋体" w:cs="宋体"/>
          <w:color w:val="auto"/>
          <w:sz w:val="24"/>
          <w:szCs w:val="24"/>
          <w:u w:val="single"/>
        </w:rPr>
        <w:t xml:space="preserve">       </w:t>
      </w:r>
      <w:r>
        <w:rPr>
          <w:rFonts w:hint="eastAsia" w:hAnsi="宋体" w:cs="宋体"/>
          <w:color w:val="auto"/>
          <w:sz w:val="24"/>
          <w:szCs w:val="24"/>
        </w:rPr>
        <w:t>性别：</w:t>
      </w:r>
      <w:r>
        <w:rPr>
          <w:rFonts w:hint="eastAsia" w:hAnsi="宋体" w:cs="宋体"/>
          <w:color w:val="auto"/>
          <w:sz w:val="24"/>
          <w:szCs w:val="24"/>
          <w:u w:val="single"/>
        </w:rPr>
        <w:t xml:space="preserve">     </w:t>
      </w:r>
      <w:r>
        <w:rPr>
          <w:rFonts w:hint="eastAsia" w:hAnsi="宋体" w:cs="宋体"/>
          <w:color w:val="auto"/>
          <w:sz w:val="24"/>
          <w:szCs w:val="24"/>
        </w:rPr>
        <w:t>年龄：</w:t>
      </w:r>
      <w:r>
        <w:rPr>
          <w:rFonts w:hint="eastAsia" w:hAnsi="宋体" w:cs="宋体"/>
          <w:color w:val="auto"/>
          <w:sz w:val="24"/>
          <w:szCs w:val="24"/>
          <w:u w:val="single"/>
        </w:rPr>
        <w:t xml:space="preserve">     </w:t>
      </w:r>
      <w:r>
        <w:rPr>
          <w:rFonts w:hint="eastAsia" w:hAnsi="宋体" w:cs="宋体"/>
          <w:color w:val="auto"/>
          <w:sz w:val="24"/>
          <w:szCs w:val="24"/>
        </w:rPr>
        <w:t>职务：</w:t>
      </w:r>
      <w:r>
        <w:rPr>
          <w:rFonts w:hint="eastAsia" w:hAnsi="宋体" w:cs="宋体"/>
          <w:color w:val="auto"/>
          <w:sz w:val="24"/>
          <w:szCs w:val="24"/>
          <w:u w:val="single"/>
        </w:rPr>
        <w:t xml:space="preserve">       </w:t>
      </w:r>
    </w:p>
    <w:p>
      <w:pPr>
        <w:pStyle w:val="11"/>
        <w:ind w:firstLine="277"/>
        <w:rPr>
          <w:rFonts w:hAnsi="宋体" w:cs="宋体"/>
          <w:color w:val="auto"/>
          <w:sz w:val="24"/>
          <w:szCs w:val="24"/>
        </w:rPr>
      </w:pPr>
      <w:r>
        <w:rPr>
          <w:rFonts w:hint="eastAsia" w:hAnsi="宋体" w:cs="宋体"/>
          <w:color w:val="auto"/>
          <w:sz w:val="24"/>
          <w:szCs w:val="24"/>
        </w:rPr>
        <w:t>系</w:t>
      </w:r>
      <w:r>
        <w:rPr>
          <w:rFonts w:hint="eastAsia" w:hAnsi="宋体" w:cs="宋体"/>
          <w:color w:val="auto"/>
          <w:sz w:val="24"/>
          <w:szCs w:val="24"/>
          <w:u w:val="single"/>
        </w:rPr>
        <w:t xml:space="preserve">     （投标人单位名称）  </w:t>
      </w:r>
      <w:r>
        <w:rPr>
          <w:rFonts w:hint="eastAsia" w:hAnsi="宋体" w:cs="宋体"/>
          <w:color w:val="auto"/>
          <w:sz w:val="24"/>
          <w:szCs w:val="24"/>
        </w:rPr>
        <w:t>的法定代表人。</w:t>
      </w:r>
    </w:p>
    <w:p>
      <w:pPr>
        <w:pStyle w:val="11"/>
        <w:ind w:firstLine="277"/>
        <w:rPr>
          <w:rFonts w:hAnsi="宋体" w:cs="宋体"/>
          <w:color w:val="auto"/>
          <w:sz w:val="24"/>
          <w:szCs w:val="24"/>
        </w:rPr>
      </w:pPr>
      <w:r>
        <w:rPr>
          <w:rFonts w:hint="eastAsia" w:hAnsi="宋体" w:cs="宋体"/>
          <w:color w:val="auto"/>
          <w:sz w:val="24"/>
          <w:szCs w:val="24"/>
        </w:rPr>
        <w:t>特此证明。</w:t>
      </w:r>
    </w:p>
    <w:p>
      <w:pPr>
        <w:pStyle w:val="11"/>
        <w:spacing w:line="320" w:lineRule="exact"/>
        <w:ind w:right="420" w:firstLine="5520" w:firstLineChars="2300"/>
        <w:rPr>
          <w:rFonts w:hAnsi="宋体" w:cs="宋体"/>
          <w:color w:val="auto"/>
          <w:sz w:val="24"/>
          <w:szCs w:val="24"/>
        </w:rPr>
      </w:pPr>
      <w:r>
        <w:rPr>
          <w:rFonts w:hint="eastAsia" w:hAnsi="宋体" w:cs="宋体"/>
          <w:color w:val="auto"/>
          <w:sz w:val="24"/>
          <w:szCs w:val="24"/>
        </w:rPr>
        <w:t>投标人：            （</w:t>
      </w:r>
      <w:r>
        <w:rPr>
          <w:rFonts w:hint="eastAsia" w:hAnsi="宋体" w:cs="宋体"/>
          <w:b/>
          <w:bCs/>
          <w:color w:val="auto"/>
          <w:sz w:val="24"/>
          <w:szCs w:val="24"/>
        </w:rPr>
        <w:t>公章</w:t>
      </w:r>
      <w:r>
        <w:rPr>
          <w:rFonts w:hint="eastAsia" w:hAnsi="宋体" w:cs="宋体"/>
          <w:color w:val="auto"/>
          <w:sz w:val="24"/>
          <w:szCs w:val="24"/>
        </w:rPr>
        <w:t xml:space="preserve">） </w:t>
      </w:r>
    </w:p>
    <w:p>
      <w:pPr>
        <w:pStyle w:val="11"/>
        <w:spacing w:line="320" w:lineRule="exact"/>
        <w:ind w:firstLine="420"/>
        <w:jc w:val="center"/>
        <w:rPr>
          <w:rFonts w:hAnsi="宋体" w:cs="宋体"/>
          <w:color w:val="auto"/>
          <w:sz w:val="24"/>
          <w:szCs w:val="24"/>
        </w:rPr>
      </w:pPr>
    </w:p>
    <w:p>
      <w:pPr>
        <w:pStyle w:val="11"/>
        <w:spacing w:line="320" w:lineRule="exact"/>
        <w:ind w:firstLine="420"/>
        <w:jc w:val="center"/>
        <w:rPr>
          <w:rFonts w:hAnsi="宋体" w:cs="宋体"/>
          <w:color w:val="auto"/>
          <w:sz w:val="24"/>
          <w:szCs w:val="24"/>
        </w:rPr>
      </w:pPr>
      <w:r>
        <w:rPr>
          <w:rFonts w:hint="eastAsia" w:hAnsi="宋体" w:cs="宋体"/>
          <w:color w:val="auto"/>
          <w:sz w:val="24"/>
          <w:szCs w:val="24"/>
        </w:rPr>
        <w:t xml:space="preserve">                                        时间：       年      月     日</w:t>
      </w:r>
    </w:p>
    <w:p>
      <w:pPr>
        <w:pStyle w:val="11"/>
        <w:spacing w:line="360" w:lineRule="exact"/>
        <w:rPr>
          <w:rFonts w:hAnsi="宋体" w:cs="宋体"/>
          <w:color w:val="auto"/>
          <w:sz w:val="24"/>
          <w:szCs w:val="24"/>
        </w:rPr>
      </w:pPr>
      <w:r>
        <w:rPr>
          <w:rFonts w:hint="eastAsia" w:hAnsi="宋体" w:cs="宋体"/>
          <w:color w:val="auto"/>
          <w:sz w:val="24"/>
          <w:szCs w:val="24"/>
        </w:rPr>
        <w:t xml:space="preserve">                                                                                                                                                                                        </w:t>
      </w:r>
    </w:p>
    <w:p>
      <w:pPr>
        <w:pStyle w:val="11"/>
        <w:spacing w:line="480" w:lineRule="exact"/>
        <w:rPr>
          <w:rFonts w:hAnsi="宋体" w:cs="宋体"/>
          <w:color w:val="auto"/>
          <w:sz w:val="24"/>
          <w:szCs w:val="24"/>
        </w:rPr>
      </w:pPr>
      <w:r>
        <w:rPr>
          <w:rFonts w:hAnsi="宋体" w:cs="宋体"/>
          <w:color w:val="auto"/>
          <w:sz w:val="24"/>
          <w:szCs w:val="24"/>
        </w:rPr>
        <w:pict>
          <v:rect id="_x0000_s1032" o:spid="_x0000_s1032" o:spt="1" style="position:absolute;left:0pt;margin-left:9pt;margin-top:1pt;height:159.8pt;width:255.1pt;z-index:251664384;mso-width-relative:page;mso-height-relative:page;" coordsize="21600,21600" o:gfxdata="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xyeZ7WAAAACAEAAA8AAAAAAAAAAQAgAAAAIgAAAGRycy9kb3ducmV2LnhtbFBLAQIUABQAAAAI&#10;AIdO4kAzPbPD7wEAAOoDAAAOAAAAAAAAAAEAIAAAACUBAABkcnMvZTJvRG9jLnhtbFBLBQYAAAAA&#10;BgAGAFkBAACGBQAAAAA=&#10;">
            <v:path/>
            <v:fill focussize="0,0"/>
            <v:stroke/>
            <v:imagedata o:title=""/>
            <o:lock v:ext="edit"/>
            <v:textbox>
              <w:txbxContent>
                <w:p/>
                <w:p/>
                <w:p/>
                <w:p/>
                <w:p/>
                <w:p/>
                <w:p>
                  <w:pPr>
                    <w:jc w:val="center"/>
                  </w:pPr>
                  <w:r>
                    <w:rPr>
                      <w:rFonts w:hint="eastAsia"/>
                    </w:rPr>
                    <w:t>法定代表人第二代居民身份证复印件</w:t>
                  </w:r>
                </w:p>
                <w:p>
                  <w:pPr>
                    <w:jc w:val="center"/>
                    <w:rPr>
                      <w:b/>
                    </w:rPr>
                  </w:pPr>
                  <w:r>
                    <w:rPr>
                      <w:rFonts w:hint="eastAsia"/>
                      <w:b/>
                    </w:rPr>
                    <w:t>（正面）</w:t>
                  </w:r>
                </w:p>
              </w:txbxContent>
            </v:textbox>
          </v:rect>
        </w:pict>
      </w:r>
      <w:r>
        <w:rPr>
          <w:rFonts w:hAnsi="宋体" w:cs="宋体"/>
          <w:color w:val="auto"/>
          <w:sz w:val="24"/>
          <w:szCs w:val="24"/>
        </w:rPr>
        <w:pict>
          <v:line id="_x0000_s1031" o:spid="_x0000_s1031" o:spt="20" style="position:absolute;left:0pt;margin-left:0pt;margin-top:0pt;height:0pt;width:483pt;mso-wrap-distance-bottom:0pt;mso-wrap-distance-top:14.2pt;z-index:251662336;mso-width-relative:page;mso-height-relative:page;"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wHVPfQAAAAAgEAAA8AAAAAAAAAAQAgAAAAIgAA&#10;AGRycy9kb3ducmV2LnhtbFBLAQIUABQAAAAIAIdO4kCaqXO61wEAAJgDAAAOAAAAAAAAAAEAIAAA&#10;AB8BAABkcnMvZTJvRG9jLnhtbFBLBQYAAAAABgAGAFkBAABoBQAAAAA=&#10;">
            <v:path arrowok="t"/>
            <v:fill focussize="0,0"/>
            <v:stroke/>
            <v:imagedata o:title=""/>
            <o:lock v:ext="edit"/>
            <w10:wrap type="topAndBottom"/>
          </v:line>
        </w:pict>
      </w:r>
      <w:r>
        <w:rPr>
          <w:rFonts w:hint="eastAsia" w:hAnsi="宋体" w:cs="宋体"/>
          <w:color w:val="auto"/>
          <w:sz w:val="24"/>
          <w:szCs w:val="24"/>
        </w:rPr>
        <w:t xml:space="preserve">  </w:t>
      </w:r>
    </w:p>
    <w:p>
      <w:pPr>
        <w:pStyle w:val="11"/>
        <w:spacing w:line="480" w:lineRule="exact"/>
        <w:rPr>
          <w:rFonts w:hAnsi="宋体" w:cs="宋体"/>
          <w:color w:val="auto"/>
          <w:sz w:val="24"/>
          <w:szCs w:val="24"/>
        </w:rPr>
      </w:pPr>
    </w:p>
    <w:p>
      <w:pPr>
        <w:pStyle w:val="11"/>
        <w:spacing w:line="480" w:lineRule="exact"/>
        <w:rPr>
          <w:rFonts w:hAnsi="宋体" w:cs="宋体"/>
          <w:color w:val="auto"/>
          <w:sz w:val="24"/>
          <w:szCs w:val="24"/>
        </w:rPr>
      </w:pPr>
    </w:p>
    <w:p>
      <w:pPr>
        <w:pStyle w:val="11"/>
        <w:spacing w:line="480" w:lineRule="exact"/>
        <w:rPr>
          <w:rFonts w:hAnsi="宋体" w:cs="宋体"/>
          <w:color w:val="auto"/>
          <w:sz w:val="24"/>
          <w:szCs w:val="24"/>
        </w:rPr>
      </w:pPr>
    </w:p>
    <w:p>
      <w:pPr>
        <w:pStyle w:val="11"/>
        <w:spacing w:line="480" w:lineRule="exact"/>
        <w:rPr>
          <w:rFonts w:hAnsi="宋体" w:cs="宋体"/>
          <w:color w:val="auto"/>
          <w:sz w:val="24"/>
          <w:szCs w:val="24"/>
        </w:rPr>
      </w:pPr>
    </w:p>
    <w:p>
      <w:pPr>
        <w:pStyle w:val="11"/>
        <w:spacing w:line="240" w:lineRule="atLeast"/>
        <w:ind w:firstLine="7200" w:firstLineChars="3000"/>
        <w:rPr>
          <w:rFonts w:hAnsi="宋体" w:cs="宋体"/>
          <w:color w:val="auto"/>
          <w:sz w:val="24"/>
          <w:szCs w:val="24"/>
        </w:rPr>
      </w:pPr>
    </w:p>
    <w:p>
      <w:pPr>
        <w:pStyle w:val="11"/>
        <w:spacing w:line="48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r>
        <w:rPr>
          <w:rFonts w:hAnsi="宋体" w:cs="宋体"/>
          <w:color w:val="auto"/>
          <w:sz w:val="24"/>
          <w:szCs w:val="24"/>
        </w:rPr>
        <w:pict>
          <v:rect id="_x0000_s1030" o:spid="_x0000_s1030" o:spt="1" style="position:absolute;left:0pt;margin-left:9pt;margin-top:5.2pt;height:170.1pt;width:255.1pt;z-index:251663360;mso-width-relative:page;mso-height-relative:page;" coordsize="21600,21600" o:gfxdata="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z5&#10;a9cAAAAJAQAADwAAAAAAAAABACAAAAAiAAAAZHJzL2Rvd25yZXYueG1sUEsBAhQAFAAAAAgAh07i&#10;QPeGg3HqAQAA6gMAAA4AAAAAAAAAAQAgAAAAJgEAAGRycy9lMm9Eb2MueG1sUEsFBgAAAAAGAAYA&#10;WQEAAIIFAAAAAA==&#10;">
            <v:path/>
            <v:fill focussize="0,0"/>
            <v:stroke/>
            <v:imagedata o:title=""/>
            <o:lock v:ext="edit"/>
            <v:textbox>
              <w:txbxContent>
                <w:p/>
                <w:p/>
                <w:p/>
                <w:p/>
                <w:p/>
                <w:p/>
                <w:p>
                  <w:pPr>
                    <w:jc w:val="center"/>
                  </w:pPr>
                  <w:r>
                    <w:rPr>
                      <w:rFonts w:hint="eastAsia"/>
                    </w:rPr>
                    <w:t>法定代表人第二代居民身份证复印件</w:t>
                  </w:r>
                </w:p>
                <w:p>
                  <w:pPr>
                    <w:jc w:val="center"/>
                    <w:rPr>
                      <w:b/>
                    </w:rPr>
                  </w:pPr>
                  <w:r>
                    <w:rPr>
                      <w:rFonts w:hint="eastAsia"/>
                      <w:b/>
                    </w:rPr>
                    <w:t>（背面）</w:t>
                  </w:r>
                </w:p>
              </w:txbxContent>
            </v:textbox>
          </v:rect>
        </w:pict>
      </w: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jc w:val="center"/>
        <w:rPr>
          <w:rFonts w:ascii="宋体" w:hAnsi="宋体" w:cs="宋体"/>
          <w:color w:val="auto"/>
          <w:sz w:val="24"/>
        </w:rPr>
      </w:pPr>
    </w:p>
    <w:p>
      <w:pPr>
        <w:jc w:val="center"/>
        <w:rPr>
          <w:rFonts w:ascii="宋体" w:hAnsi="宋体" w:cs="宋体"/>
          <w:color w:val="auto"/>
          <w:sz w:val="24"/>
        </w:rPr>
      </w:pPr>
      <w:r>
        <w:rPr>
          <w:rFonts w:hint="eastAsia" w:ascii="宋体" w:hAnsi="宋体" w:cs="宋体"/>
          <w:color w:val="auto"/>
          <w:sz w:val="24"/>
        </w:rPr>
        <w:t xml:space="preserve">      </w:t>
      </w:r>
    </w:p>
    <w:p>
      <w:pPr>
        <w:jc w:val="center"/>
        <w:rPr>
          <w:rFonts w:ascii="宋体" w:hAnsi="宋体" w:cs="宋体"/>
          <w:color w:val="auto"/>
          <w:sz w:val="24"/>
          <w:u w:val="single"/>
        </w:rPr>
      </w:pPr>
      <w:r>
        <w:rPr>
          <w:rFonts w:hint="eastAsia" w:ascii="宋体" w:hAnsi="宋体" w:cs="宋体"/>
          <w:color w:val="auto"/>
          <w:sz w:val="24"/>
        </w:rPr>
        <w:t xml:space="preserve">                               </w:t>
      </w:r>
    </w:p>
    <w:p>
      <w:pPr>
        <w:pStyle w:val="11"/>
        <w:spacing w:line="240" w:lineRule="exact"/>
        <w:rPr>
          <w:rFonts w:hAnsi="宋体" w:cs="宋体"/>
          <w:color w:val="auto"/>
          <w:sz w:val="24"/>
          <w:szCs w:val="24"/>
        </w:rPr>
      </w:pPr>
    </w:p>
    <w:p>
      <w:pPr>
        <w:pStyle w:val="11"/>
        <w:spacing w:line="240" w:lineRule="atLeast"/>
        <w:ind w:firstLine="5952" w:firstLineChars="2480"/>
        <w:rPr>
          <w:rFonts w:hAnsi="宋体" w:cs="宋体"/>
          <w:color w:val="auto"/>
          <w:sz w:val="24"/>
          <w:szCs w:val="24"/>
        </w:rPr>
      </w:pPr>
      <w:r>
        <w:rPr>
          <w:rFonts w:hint="eastAsia" w:hAnsi="宋体" w:cs="宋体"/>
          <w:color w:val="auto"/>
          <w:sz w:val="24"/>
          <w:szCs w:val="24"/>
        </w:rPr>
        <w:t>法定代表人</w:t>
      </w:r>
      <w:r>
        <w:rPr>
          <w:rFonts w:hint="eastAsia" w:hAnsi="宋体" w:cs="宋体"/>
          <w:b/>
          <w:bCs/>
          <w:color w:val="auto"/>
          <w:sz w:val="24"/>
          <w:szCs w:val="24"/>
        </w:rPr>
        <w:t>签字：</w:t>
      </w:r>
      <w:r>
        <w:rPr>
          <w:rFonts w:hint="eastAsia" w:hAnsi="宋体" w:cs="宋体"/>
          <w:color w:val="auto"/>
          <w:sz w:val="24"/>
          <w:szCs w:val="24"/>
          <w:u w:val="single"/>
        </w:rPr>
        <w:t xml:space="preserve">                 </w:t>
      </w:r>
    </w:p>
    <w:p>
      <w:pPr>
        <w:pStyle w:val="11"/>
        <w:spacing w:line="240" w:lineRule="atLeast"/>
        <w:ind w:firstLine="6240" w:firstLineChars="2600"/>
        <w:rPr>
          <w:rFonts w:hAnsi="宋体" w:cs="宋体"/>
          <w:color w:val="auto"/>
          <w:sz w:val="24"/>
          <w:szCs w:val="24"/>
          <w:u w:val="single"/>
        </w:rPr>
      </w:pPr>
    </w:p>
    <w:p>
      <w:pPr>
        <w:pStyle w:val="11"/>
        <w:spacing w:line="240" w:lineRule="exact"/>
        <w:rPr>
          <w:rFonts w:hAnsi="宋体" w:cs="宋体"/>
          <w:color w:val="auto"/>
          <w:sz w:val="24"/>
          <w:szCs w:val="24"/>
        </w:rPr>
      </w:pPr>
    </w:p>
    <w:p>
      <w:pPr>
        <w:pStyle w:val="11"/>
        <w:spacing w:line="320" w:lineRule="exact"/>
        <w:ind w:firstLine="420"/>
        <w:rPr>
          <w:rFonts w:hAnsi="宋体" w:cs="宋体"/>
          <w:color w:val="auto"/>
          <w:spacing w:val="-4"/>
          <w:sz w:val="24"/>
          <w:szCs w:val="24"/>
        </w:rPr>
      </w:pPr>
      <w:r>
        <w:rPr>
          <w:rFonts w:hint="eastAsia" w:hAnsi="宋体" w:cs="宋体"/>
          <w:b/>
          <w:color w:val="auto"/>
          <w:sz w:val="24"/>
          <w:szCs w:val="24"/>
        </w:rPr>
        <w:br w:type="page"/>
      </w:r>
    </w:p>
    <w:p>
      <w:pPr>
        <w:pStyle w:val="11"/>
        <w:spacing w:line="460" w:lineRule="exact"/>
        <w:jc w:val="center"/>
        <w:rPr>
          <w:rFonts w:hAnsi="宋体" w:cs="宋体"/>
          <w:b/>
          <w:bCs/>
          <w:color w:val="auto"/>
          <w:sz w:val="32"/>
          <w:szCs w:val="32"/>
        </w:rPr>
      </w:pPr>
      <w:r>
        <w:rPr>
          <w:rFonts w:hint="eastAsia" w:hAnsi="宋体" w:cs="宋体"/>
          <w:b/>
          <w:bCs/>
          <w:color w:val="auto"/>
          <w:sz w:val="32"/>
          <w:szCs w:val="32"/>
        </w:rPr>
        <w:t>法定代表人授权委托书（格式）</w:t>
      </w:r>
    </w:p>
    <w:p>
      <w:pPr>
        <w:snapToGrid w:val="0"/>
        <w:spacing w:line="400" w:lineRule="exact"/>
        <w:rPr>
          <w:rFonts w:ascii="宋体" w:hAnsi="宋体" w:cs="宋体"/>
          <w:bCs/>
          <w:color w:val="auto"/>
          <w:sz w:val="24"/>
        </w:rPr>
      </w:pPr>
    </w:p>
    <w:p>
      <w:pPr>
        <w:snapToGrid w:val="0"/>
        <w:spacing w:line="360" w:lineRule="exact"/>
        <w:rPr>
          <w:rFonts w:ascii="宋体" w:hAnsi="宋体" w:cs="宋体"/>
          <w:b/>
          <w:bCs/>
          <w:color w:val="auto"/>
          <w:sz w:val="24"/>
        </w:rPr>
      </w:pPr>
      <w:r>
        <w:rPr>
          <w:rFonts w:hint="eastAsia" w:ascii="宋体" w:hAnsi="宋体" w:cs="宋体"/>
          <w:bCs/>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（招标采购单位、采购代理机构名称）：</w:t>
      </w:r>
    </w:p>
    <w:p>
      <w:pPr>
        <w:snapToGrid w:val="0"/>
        <w:spacing w:line="360" w:lineRule="exact"/>
        <w:ind w:firstLine="720" w:firstLineChars="300"/>
        <w:rPr>
          <w:rFonts w:ascii="宋体" w:hAnsi="宋体" w:cs="宋体"/>
          <w:color w:val="auto"/>
          <w:sz w:val="24"/>
        </w:rPr>
      </w:pPr>
      <w:r>
        <w:rPr>
          <w:rFonts w:hint="eastAsia" w:ascii="宋体" w:hAnsi="宋体" w:cs="宋体"/>
          <w:color w:val="auto"/>
          <w:sz w:val="24"/>
        </w:rPr>
        <w:t xml:space="preserve">我 </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（投标人名称）的法定代表人，现授权委托</w:t>
      </w:r>
      <w:r>
        <w:rPr>
          <w:rFonts w:hint="eastAsia" w:ascii="宋体" w:hAnsi="宋体" w:cs="宋体"/>
          <w:color w:val="auto"/>
          <w:sz w:val="24"/>
          <w:u w:val="single"/>
        </w:rPr>
        <w:t xml:space="preserve">              </w:t>
      </w:r>
      <w:r>
        <w:rPr>
          <w:rFonts w:hint="eastAsia" w:ascii="宋体" w:hAnsi="宋体" w:cs="宋体"/>
          <w:color w:val="auto"/>
          <w:sz w:val="24"/>
        </w:rPr>
        <w:t>（姓名）以我方的名义参加</w:t>
      </w:r>
      <w:r>
        <w:rPr>
          <w:rFonts w:hint="eastAsia" w:ascii="宋体" w:hAnsi="宋体" w:cs="宋体"/>
          <w:color w:val="auto"/>
          <w:sz w:val="24"/>
          <w:u w:val="single"/>
        </w:rPr>
        <w:t xml:space="preserve">              </w:t>
      </w:r>
      <w:r>
        <w:rPr>
          <w:rFonts w:hint="eastAsia" w:ascii="宋体" w:hAnsi="宋体" w:cs="宋体"/>
          <w:color w:val="auto"/>
          <w:sz w:val="24"/>
        </w:rPr>
        <w:t>项目的投标活动，并代表我方全权办理针对上述项目的投标、开标、评标、签约等具体事务和签署相关文件。</w:t>
      </w:r>
    </w:p>
    <w:p>
      <w:pPr>
        <w:snapToGrid w:val="0"/>
        <w:spacing w:line="360" w:lineRule="exact"/>
        <w:rPr>
          <w:rFonts w:ascii="宋体" w:hAnsi="宋体" w:cs="宋体"/>
          <w:color w:val="auto"/>
          <w:sz w:val="24"/>
        </w:rPr>
      </w:pPr>
      <w:r>
        <w:rPr>
          <w:rFonts w:hint="eastAsia" w:ascii="宋体" w:hAnsi="宋体" w:cs="宋体"/>
          <w:color w:val="auto"/>
          <w:sz w:val="24"/>
        </w:rPr>
        <w:t xml:space="preserve">    我方对被授权人的签字事项负全部责任。</w:t>
      </w:r>
    </w:p>
    <w:p>
      <w:pPr>
        <w:snapToGrid w:val="0"/>
        <w:spacing w:line="360" w:lineRule="exact"/>
        <w:ind w:firstLine="480"/>
        <w:rPr>
          <w:rFonts w:ascii="宋体" w:hAnsi="宋体" w:cs="宋体"/>
          <w:color w:val="auto"/>
          <w:sz w:val="24"/>
        </w:rPr>
      </w:pPr>
      <w:r>
        <w:rPr>
          <w:rFonts w:hint="eastAsia" w:ascii="宋体" w:hAnsi="宋体" w:cs="宋体"/>
          <w:color w:val="auto"/>
          <w:sz w:val="24"/>
          <w:u w:val="single"/>
        </w:rPr>
        <w:t>在撤销授权的书面通知以前，本授权书一直有效。</w:t>
      </w:r>
      <w:r>
        <w:rPr>
          <w:rFonts w:hint="eastAsia" w:ascii="宋体" w:hAnsi="宋体" w:cs="宋体"/>
          <w:color w:val="auto"/>
          <w:sz w:val="24"/>
        </w:rPr>
        <w:t>被授权人在授权书有效期内签署的所有文件不因授权的撤销而失效。</w:t>
      </w:r>
    </w:p>
    <w:p>
      <w:pPr>
        <w:snapToGrid w:val="0"/>
        <w:spacing w:line="360" w:lineRule="exact"/>
        <w:ind w:firstLine="480"/>
        <w:rPr>
          <w:rFonts w:ascii="宋体" w:hAnsi="宋体" w:cs="宋体"/>
          <w:color w:val="auto"/>
          <w:sz w:val="24"/>
        </w:rPr>
      </w:pPr>
      <w:r>
        <w:rPr>
          <w:rFonts w:hint="eastAsia" w:ascii="宋体" w:hAnsi="宋体" w:cs="宋体"/>
          <w:color w:val="auto"/>
          <w:sz w:val="24"/>
        </w:rPr>
        <w:t>被授权人无转委托权，特此委托。</w:t>
      </w:r>
    </w:p>
    <w:p>
      <w:pPr>
        <w:snapToGrid w:val="0"/>
        <w:spacing w:line="360" w:lineRule="exact"/>
        <w:rPr>
          <w:rFonts w:ascii="宋体" w:hAnsi="宋体" w:cs="宋体"/>
          <w:color w:val="auto"/>
          <w:sz w:val="24"/>
        </w:rPr>
      </w:pPr>
    </w:p>
    <w:p>
      <w:pPr>
        <w:snapToGrid w:val="0"/>
        <w:spacing w:line="360" w:lineRule="exact"/>
        <w:rPr>
          <w:rFonts w:ascii="宋体" w:hAnsi="宋体" w:cs="宋体"/>
          <w:color w:val="auto"/>
          <w:sz w:val="24"/>
          <w:u w:val="single"/>
        </w:rPr>
      </w:pPr>
      <w:r>
        <w:rPr>
          <w:rFonts w:hint="eastAsia" w:ascii="宋体" w:hAnsi="宋体" w:cs="宋体"/>
          <w:color w:val="auto"/>
          <w:sz w:val="24"/>
        </w:rPr>
        <w:t>被授权人</w:t>
      </w:r>
      <w:r>
        <w:rPr>
          <w:rFonts w:hint="eastAsia" w:ascii="宋体" w:hAnsi="宋体" w:cs="宋体"/>
          <w:b/>
          <w:color w:val="auto"/>
          <w:sz w:val="24"/>
        </w:rPr>
        <w:t>签字</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 xml:space="preserve">            法定代表人</w:t>
      </w:r>
      <w:r>
        <w:rPr>
          <w:rFonts w:hint="eastAsia" w:ascii="宋体" w:hAnsi="宋体" w:cs="宋体"/>
          <w:b/>
          <w:color w:val="auto"/>
          <w:sz w:val="24"/>
        </w:rPr>
        <w:t>签字</w:t>
      </w:r>
      <w:r>
        <w:rPr>
          <w:rFonts w:hint="eastAsia" w:ascii="宋体" w:hAnsi="宋体" w:cs="宋体"/>
          <w:color w:val="auto"/>
          <w:sz w:val="24"/>
        </w:rPr>
        <w:t>：</w:t>
      </w:r>
      <w:r>
        <w:rPr>
          <w:rFonts w:hint="eastAsia" w:ascii="宋体" w:hAnsi="宋体" w:cs="宋体"/>
          <w:color w:val="auto"/>
          <w:sz w:val="24"/>
          <w:u w:val="single"/>
        </w:rPr>
        <w:t xml:space="preserve">                             </w:t>
      </w:r>
    </w:p>
    <w:p>
      <w:pPr>
        <w:snapToGrid w:val="0"/>
        <w:spacing w:line="360" w:lineRule="exact"/>
        <w:rPr>
          <w:rFonts w:ascii="宋体" w:hAnsi="宋体" w:cs="宋体"/>
          <w:color w:val="auto"/>
          <w:sz w:val="24"/>
        </w:rPr>
      </w:pPr>
      <w:r>
        <w:rPr>
          <w:rFonts w:hint="eastAsia" w:ascii="宋体" w:hAnsi="宋体" w:cs="宋体"/>
          <w:color w:val="auto"/>
          <w:sz w:val="24"/>
        </w:rPr>
        <w:t>所在部门职务：</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p>
    <w:p>
      <w:pPr>
        <w:snapToGrid w:val="0"/>
        <w:spacing w:line="360" w:lineRule="exact"/>
        <w:rPr>
          <w:rFonts w:ascii="宋体" w:hAnsi="宋体" w:cs="宋体"/>
          <w:color w:val="auto"/>
          <w:sz w:val="24"/>
        </w:rPr>
      </w:pPr>
      <w:r>
        <w:rPr>
          <w:rFonts w:hint="eastAsia" w:ascii="宋体" w:hAnsi="宋体" w:cs="宋体"/>
          <w:color w:val="auto"/>
          <w:sz w:val="24"/>
        </w:rPr>
        <w:t>被授权人身份证号码：</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360" w:lineRule="exact"/>
        <w:jc w:val="center"/>
        <w:rPr>
          <w:rFonts w:ascii="宋体" w:hAnsi="宋体" w:cs="宋体"/>
          <w:color w:val="auto"/>
          <w:sz w:val="24"/>
        </w:rPr>
      </w:pPr>
      <w:r>
        <w:rPr>
          <w:rFonts w:hint="eastAsia" w:ascii="宋体" w:hAnsi="宋体" w:cs="宋体"/>
          <w:color w:val="auto"/>
          <w:sz w:val="24"/>
        </w:rPr>
        <w:t xml:space="preserve">                                   投标人（</w:t>
      </w:r>
      <w:r>
        <w:rPr>
          <w:rFonts w:hint="eastAsia" w:ascii="宋体" w:hAnsi="宋体" w:cs="宋体"/>
          <w:b/>
          <w:bCs/>
          <w:color w:val="auto"/>
          <w:sz w:val="24"/>
        </w:rPr>
        <w:t>公章</w:t>
      </w:r>
      <w:r>
        <w:rPr>
          <w:rFonts w:hint="eastAsia" w:ascii="宋体" w:hAnsi="宋体" w:cs="宋体"/>
          <w:color w:val="auto"/>
          <w:sz w:val="24"/>
        </w:rPr>
        <w:t>）</w:t>
      </w:r>
      <w:r>
        <w:rPr>
          <w:rFonts w:hint="eastAsia" w:ascii="宋体" w:hAnsi="宋体" w:cs="宋体"/>
          <w:color w:val="auto"/>
          <w:sz w:val="24"/>
          <w:u w:val="single"/>
        </w:rPr>
        <w:t xml:space="preserve">                </w:t>
      </w:r>
    </w:p>
    <w:p>
      <w:pPr>
        <w:pStyle w:val="11"/>
        <w:spacing w:line="360" w:lineRule="exact"/>
        <w:rPr>
          <w:rFonts w:hAnsi="宋体" w:cs="宋体"/>
          <w:color w:val="auto"/>
          <w:sz w:val="24"/>
          <w:szCs w:val="24"/>
        </w:rPr>
      </w:pPr>
      <w:r>
        <w:rPr>
          <w:rFonts w:hint="eastAsia" w:hAnsi="宋体" w:cs="宋体"/>
          <w:color w:val="auto"/>
          <w:sz w:val="24"/>
          <w:szCs w:val="24"/>
        </w:rPr>
        <w:t xml:space="preserve">                                                           年    月    日</w:t>
      </w:r>
    </w:p>
    <w:p>
      <w:pPr>
        <w:pStyle w:val="11"/>
        <w:spacing w:line="360" w:lineRule="exact"/>
        <w:rPr>
          <w:rFonts w:hAnsi="宋体" w:cs="宋体"/>
          <w:color w:val="auto"/>
          <w:sz w:val="24"/>
          <w:szCs w:val="24"/>
        </w:rPr>
      </w:pPr>
      <w:r>
        <w:rPr>
          <w:rFonts w:hint="eastAsia" w:hAnsi="宋体" w:cs="宋体"/>
          <w:color w:val="auto"/>
          <w:sz w:val="24"/>
          <w:szCs w:val="24"/>
        </w:rPr>
        <w:t xml:space="preserve">                                                                                                                                                                                        </w:t>
      </w:r>
    </w:p>
    <w:p>
      <w:pPr>
        <w:pStyle w:val="11"/>
        <w:spacing w:line="480" w:lineRule="exact"/>
        <w:rPr>
          <w:rFonts w:hAnsi="宋体" w:cs="宋体"/>
          <w:color w:val="auto"/>
          <w:sz w:val="24"/>
          <w:szCs w:val="24"/>
        </w:rPr>
      </w:pPr>
      <w:r>
        <w:rPr>
          <w:rFonts w:hAnsi="宋体" w:cs="宋体"/>
          <w:color w:val="auto"/>
          <w:sz w:val="24"/>
          <w:szCs w:val="24"/>
        </w:rPr>
        <w:pict>
          <v:rect id="_x0000_s1029" o:spid="_x0000_s1029" o:spt="1" style="position:absolute;left:0pt;margin-left:9pt;margin-top:1pt;height:145.15pt;width:269.25pt;z-index:251667456;mso-width-relative:page;mso-height-relative:page;" coordsize="21600,21600" o:gfxdata="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RII&#10;yNYAAAAIAQAADwAAAAAAAAABACAAAAAiAAAAZHJzL2Rvd25yZXYueG1sUEsBAhQAFAAAAAgAh07i&#10;QGfEPKXrAQAA6gMAAA4AAAAAAAAAAQAgAAAAJQEAAGRycy9lMm9Eb2MueG1sUEsFBgAAAAAGAAYA&#10;WQEAAIIFAAAAAA==&#10;">
            <v:path/>
            <v:fill focussize="0,0"/>
            <v:stroke/>
            <v:imagedata o:title=""/>
            <o:lock v:ext="edit"/>
            <v:textbox>
              <w:txbxContent>
                <w:p/>
                <w:p/>
                <w:p/>
                <w:p/>
                <w:p/>
                <w:p>
                  <w:pPr>
                    <w:jc w:val="center"/>
                  </w:pPr>
                  <w:r>
                    <w:rPr>
                      <w:rFonts w:hint="eastAsia"/>
                    </w:rPr>
                    <w:t>委托代理人第二代居民身份证复印件</w:t>
                  </w:r>
                </w:p>
                <w:p>
                  <w:pPr>
                    <w:jc w:val="center"/>
                  </w:pPr>
                  <w:r>
                    <w:rPr>
                      <w:rFonts w:hint="eastAsia"/>
                      <w:b/>
                    </w:rPr>
                    <w:t>（正面）</w:t>
                  </w:r>
                </w:p>
                <w:p>
                  <w:pPr>
                    <w:jc w:val="center"/>
                  </w:pPr>
                </w:p>
              </w:txbxContent>
            </v:textbox>
          </v:rect>
        </w:pict>
      </w:r>
      <w:r>
        <w:rPr>
          <w:rFonts w:hAnsi="宋体" w:cs="宋体"/>
          <w:color w:val="auto"/>
          <w:sz w:val="24"/>
          <w:szCs w:val="24"/>
        </w:rPr>
        <w:pict>
          <v:line id="_x0000_s1028" o:spid="_x0000_s1028" o:spt="20" style="position:absolute;left:0pt;margin-left:0pt;margin-top:0pt;height:0pt;width:483pt;mso-wrap-distance-bottom:0pt;mso-wrap-distance-top:14.2pt;z-index:251665408;mso-width-relative:page;mso-height-relative:page;"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wHVPfQAAAAAgEAAA8AAAAAAAAAAQAgAAAAIgAA&#10;AGRycy9kb3ducmV2LnhtbFBLAQIUABQAAAAIAIdO4kAsNhhu1wEAAJoDAAAOAAAAAAAAAAEAIAAA&#10;AB8BAABkcnMvZTJvRG9jLnhtbFBLBQYAAAAABgAGAFkBAABoBQAAAAA=&#10;">
            <v:path arrowok="t"/>
            <v:fill focussize="0,0"/>
            <v:stroke/>
            <v:imagedata o:title=""/>
            <o:lock v:ext="edit"/>
            <w10:wrap type="topAndBottom"/>
          </v:line>
        </w:pict>
      </w:r>
      <w:r>
        <w:rPr>
          <w:rFonts w:hint="eastAsia" w:hAnsi="宋体" w:cs="宋体"/>
          <w:color w:val="auto"/>
          <w:sz w:val="24"/>
          <w:szCs w:val="24"/>
        </w:rPr>
        <w:t xml:space="preserve">  </w:t>
      </w:r>
    </w:p>
    <w:p>
      <w:pPr>
        <w:pStyle w:val="11"/>
        <w:spacing w:line="480" w:lineRule="exact"/>
        <w:rPr>
          <w:rFonts w:hAnsi="宋体" w:cs="宋体"/>
          <w:color w:val="auto"/>
          <w:sz w:val="24"/>
          <w:szCs w:val="24"/>
        </w:rPr>
      </w:pPr>
    </w:p>
    <w:p>
      <w:pPr>
        <w:pStyle w:val="11"/>
        <w:spacing w:line="480" w:lineRule="exact"/>
        <w:rPr>
          <w:rFonts w:hAnsi="宋体" w:cs="宋体"/>
          <w:color w:val="auto"/>
          <w:sz w:val="24"/>
          <w:szCs w:val="24"/>
        </w:rPr>
      </w:pPr>
    </w:p>
    <w:p>
      <w:pPr>
        <w:pStyle w:val="11"/>
        <w:spacing w:line="480" w:lineRule="exact"/>
        <w:rPr>
          <w:rFonts w:hAnsi="宋体" w:cs="宋体"/>
          <w:color w:val="auto"/>
          <w:sz w:val="24"/>
          <w:szCs w:val="24"/>
        </w:rPr>
      </w:pPr>
    </w:p>
    <w:p>
      <w:pPr>
        <w:pStyle w:val="11"/>
        <w:spacing w:line="480" w:lineRule="exact"/>
        <w:rPr>
          <w:rFonts w:hAnsi="宋体" w:cs="宋体"/>
          <w:color w:val="auto"/>
          <w:sz w:val="24"/>
          <w:szCs w:val="24"/>
        </w:rPr>
      </w:pPr>
    </w:p>
    <w:p>
      <w:pPr>
        <w:pStyle w:val="11"/>
        <w:spacing w:line="240" w:lineRule="atLeast"/>
        <w:ind w:firstLine="6240" w:firstLineChars="2600"/>
        <w:rPr>
          <w:rFonts w:hAnsi="宋体" w:cs="宋体"/>
          <w:color w:val="auto"/>
          <w:sz w:val="24"/>
          <w:szCs w:val="24"/>
          <w:u w:val="single"/>
        </w:rPr>
      </w:pPr>
    </w:p>
    <w:p>
      <w:pPr>
        <w:pStyle w:val="11"/>
        <w:spacing w:line="240" w:lineRule="atLeast"/>
        <w:ind w:firstLine="6240" w:firstLineChars="2600"/>
        <w:rPr>
          <w:rFonts w:hAnsi="宋体" w:cs="宋体"/>
          <w:color w:val="auto"/>
          <w:sz w:val="24"/>
          <w:szCs w:val="24"/>
          <w:u w:val="single"/>
        </w:rPr>
      </w:pPr>
    </w:p>
    <w:p>
      <w:pPr>
        <w:pStyle w:val="11"/>
        <w:spacing w:line="480" w:lineRule="exact"/>
        <w:rPr>
          <w:rFonts w:hAnsi="宋体" w:cs="宋体"/>
          <w:color w:val="auto"/>
          <w:sz w:val="24"/>
          <w:szCs w:val="24"/>
        </w:rPr>
      </w:pPr>
      <w:r>
        <w:rPr>
          <w:rFonts w:hAnsi="宋体" w:cs="宋体"/>
          <w:color w:val="auto"/>
          <w:sz w:val="24"/>
          <w:szCs w:val="24"/>
        </w:rPr>
        <w:pict>
          <v:rect id="_x0000_s1027" o:spid="_x0000_s1027" o:spt="1" style="position:absolute;left:0pt;margin-left:8.5pt;margin-top:7.6pt;height:150.95pt;width:272.55pt;z-index:251666432;mso-width-relative:page;mso-height-relative:page;" coordsize="21600,21600" o:gfxdata="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K&#10;U63H1wAAAAkBAAAPAAAAAAAAAAEAIAAAACIAAABkcnMvZG93bnJldi54bWxQSwECFAAUAAAACACH&#10;TuJAChEJlOwBAADsAwAADgAAAAAAAAABACAAAAAmAQAAZHJzL2Uyb0RvYy54bWxQSwUGAAAAAAYA&#10;BgBZAQAAhAUAAAAA&#10;">
            <v:path/>
            <v:fill focussize="0,0"/>
            <v:stroke/>
            <v:imagedata o:title=""/>
            <o:lock v:ext="edit"/>
            <v:textbox>
              <w:txbxContent>
                <w:p/>
                <w:p/>
                <w:p/>
                <w:p/>
                <w:p/>
                <w:p>
                  <w:pPr>
                    <w:jc w:val="center"/>
                  </w:pPr>
                  <w:r>
                    <w:rPr>
                      <w:rFonts w:hint="eastAsia"/>
                    </w:rPr>
                    <w:t>委托代理人第二代居民身份证复印件</w:t>
                  </w:r>
                </w:p>
                <w:p>
                  <w:pPr>
                    <w:jc w:val="center"/>
                  </w:pPr>
                  <w:r>
                    <w:rPr>
                      <w:rFonts w:hint="eastAsia"/>
                      <w:b/>
                    </w:rPr>
                    <w:t>（背面）</w:t>
                  </w:r>
                </w:p>
              </w:txbxContent>
            </v:textbox>
          </v:rect>
        </w:pict>
      </w: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240" w:lineRule="exact"/>
        <w:rPr>
          <w:rFonts w:hAnsi="宋体" w:cs="宋体"/>
          <w:color w:val="auto"/>
          <w:sz w:val="24"/>
          <w:szCs w:val="24"/>
        </w:rPr>
      </w:pPr>
    </w:p>
    <w:p>
      <w:pPr>
        <w:pStyle w:val="11"/>
        <w:spacing w:line="360" w:lineRule="exact"/>
        <w:ind w:firstLine="210" w:firstLineChars="100"/>
        <w:rPr>
          <w:rFonts w:hAnsi="宋体" w:cs="宋体"/>
          <w:color w:val="auto"/>
        </w:rPr>
      </w:pPr>
    </w:p>
    <w:p>
      <w:pPr>
        <w:pStyle w:val="11"/>
        <w:spacing w:line="360" w:lineRule="exact"/>
        <w:ind w:firstLine="210" w:firstLineChars="100"/>
        <w:rPr>
          <w:rFonts w:hAnsi="宋体" w:cs="宋体"/>
          <w:color w:val="auto"/>
          <w:sz w:val="24"/>
          <w:szCs w:val="24"/>
        </w:rPr>
      </w:pPr>
      <w:r>
        <w:rPr>
          <w:rFonts w:hint="eastAsia" w:hAnsi="宋体" w:cs="宋体"/>
          <w:color w:val="auto"/>
        </w:rPr>
        <w:t>【备注：附法定代表人身份证明及其身份证、委托代理人身份证等材料的复印件。】</w:t>
      </w:r>
    </w:p>
    <w:p>
      <w:pPr>
        <w:pStyle w:val="5"/>
        <w:overflowPunct w:val="0"/>
        <w:spacing w:line="400" w:lineRule="exact"/>
        <w:ind w:firstLine="0"/>
        <w:rPr>
          <w:rFonts w:ascii="宋体" w:hAnsi="宋体" w:cs="宋体"/>
          <w:color w:val="auto"/>
          <w:sz w:val="24"/>
          <w:szCs w:val="24"/>
        </w:rPr>
        <w:sectPr>
          <w:pgSz w:w="11906" w:h="16838"/>
          <w:pgMar w:top="1247" w:right="1417" w:bottom="1247" w:left="1474" w:header="851" w:footer="992" w:gutter="0"/>
          <w:cols w:space="0" w:num="1"/>
          <w:titlePg/>
          <w:docGrid w:linePitch="312" w:charSpace="0"/>
        </w:sectPr>
      </w:pPr>
    </w:p>
    <w:p>
      <w:pPr>
        <w:pStyle w:val="11"/>
        <w:spacing w:line="400" w:lineRule="exact"/>
        <w:jc w:val="center"/>
        <w:rPr>
          <w:rFonts w:hAnsi="宋体" w:cs="宋体"/>
          <w:b/>
          <w:color w:val="auto"/>
          <w:sz w:val="32"/>
          <w:szCs w:val="32"/>
        </w:rPr>
      </w:pPr>
      <w:r>
        <w:rPr>
          <w:rFonts w:hint="eastAsia" w:hAnsi="宋体" w:cs="宋体"/>
          <w:b/>
          <w:color w:val="auto"/>
          <w:sz w:val="32"/>
          <w:szCs w:val="32"/>
        </w:rPr>
        <w:t>投标人参加政府采购活动前3年内在经营活动中没有重大违法记录的书面声明（</w:t>
      </w:r>
      <w:r>
        <w:rPr>
          <w:rFonts w:hint="eastAsia" w:hAnsi="宋体" w:cs="宋体"/>
          <w:b/>
          <w:color w:val="auto"/>
          <w:sz w:val="32"/>
        </w:rPr>
        <w:t>格式</w:t>
      </w:r>
      <w:r>
        <w:rPr>
          <w:rFonts w:hint="eastAsia" w:hAnsi="宋体" w:cs="宋体"/>
          <w:b/>
          <w:color w:val="auto"/>
          <w:sz w:val="32"/>
          <w:szCs w:val="32"/>
        </w:rPr>
        <w:t>）</w:t>
      </w:r>
    </w:p>
    <w:p>
      <w:pPr>
        <w:pStyle w:val="11"/>
        <w:spacing w:line="400" w:lineRule="exact"/>
        <w:jc w:val="center"/>
        <w:rPr>
          <w:rFonts w:hAnsi="宋体" w:cs="宋体"/>
          <w:b/>
          <w:color w:val="auto"/>
          <w:sz w:val="32"/>
          <w:szCs w:val="32"/>
        </w:rPr>
      </w:pPr>
    </w:p>
    <w:p>
      <w:pPr>
        <w:pStyle w:val="11"/>
        <w:spacing w:line="400" w:lineRule="exact"/>
        <w:jc w:val="center"/>
        <w:rPr>
          <w:rFonts w:hAnsi="宋体" w:cs="宋体"/>
          <w:b/>
          <w:color w:val="auto"/>
          <w:sz w:val="32"/>
          <w:szCs w:val="32"/>
        </w:rPr>
      </w:pPr>
    </w:p>
    <w:p>
      <w:pPr>
        <w:pStyle w:val="11"/>
        <w:spacing w:line="400" w:lineRule="exact"/>
        <w:jc w:val="center"/>
        <w:rPr>
          <w:rFonts w:hAnsi="宋体" w:cs="宋体"/>
          <w:b/>
          <w:color w:val="auto"/>
          <w:sz w:val="32"/>
          <w:szCs w:val="32"/>
        </w:rPr>
      </w:pPr>
      <w:r>
        <w:rPr>
          <w:rFonts w:hint="eastAsia" w:hAnsi="宋体" w:cs="宋体"/>
          <w:b/>
          <w:color w:val="auto"/>
          <w:sz w:val="32"/>
          <w:szCs w:val="32"/>
        </w:rPr>
        <w:t>声   明</w:t>
      </w:r>
    </w:p>
    <w:p>
      <w:pPr>
        <w:pStyle w:val="53"/>
        <w:spacing w:before="0" w:beforeAutospacing="0" w:after="0" w:afterAutospacing="0" w:line="400" w:lineRule="exact"/>
        <w:rPr>
          <w:color w:val="auto"/>
        </w:rPr>
      </w:pPr>
      <w:r>
        <w:rPr>
          <w:rFonts w:hint="eastAsia"/>
          <w:color w:val="auto"/>
        </w:rPr>
        <w:t>致：</w:t>
      </w:r>
      <w:r>
        <w:rPr>
          <w:rFonts w:hint="eastAsia"/>
          <w:color w:val="auto"/>
          <w:u w:val="single"/>
        </w:rPr>
        <w:t>（采购人）</w:t>
      </w:r>
      <w:r>
        <w:rPr>
          <w:rStyle w:val="54"/>
          <w:rFonts w:hint="eastAsia"/>
          <w:color w:val="auto"/>
        </w:rPr>
        <w:t>：</w:t>
      </w:r>
    </w:p>
    <w:p>
      <w:pPr>
        <w:spacing w:line="640" w:lineRule="exact"/>
        <w:ind w:firstLine="480" w:firstLineChars="200"/>
        <w:rPr>
          <w:rFonts w:ascii="宋体" w:hAnsi="宋体" w:cs="宋体"/>
          <w:color w:val="auto"/>
          <w:sz w:val="24"/>
        </w:rPr>
      </w:pPr>
      <w:r>
        <w:rPr>
          <w:rStyle w:val="54"/>
          <w:rFonts w:hint="eastAsia" w:ascii="宋体" w:hAnsi="宋体" w:cs="宋体"/>
          <w:color w:val="auto"/>
          <w:sz w:val="24"/>
        </w:rPr>
        <w:t>我公司参加贵公司组织</w:t>
      </w:r>
      <w:r>
        <w:rPr>
          <w:rStyle w:val="54"/>
          <w:rFonts w:hint="eastAsia" w:ascii="宋体" w:hAnsi="宋体" w:cs="宋体"/>
          <w:color w:val="auto"/>
          <w:sz w:val="24"/>
          <w:u w:val="single"/>
        </w:rPr>
        <w:t xml:space="preserve">         </w:t>
      </w:r>
      <w:r>
        <w:rPr>
          <w:rStyle w:val="54"/>
          <w:rFonts w:hint="eastAsia" w:ascii="宋体" w:hAnsi="宋体" w:cs="宋体"/>
          <w:color w:val="auto"/>
          <w:sz w:val="24"/>
        </w:rPr>
        <w:t>项目的政府采购活动。我公司在此郑重声明，我公司参加本项目的政府采购活动前三年内在经营活动中没有重大违法记录（重大违法记录是指投标人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投标人资格条件，我方对此声明负全部法律责任。</w:t>
      </w:r>
    </w:p>
    <w:p>
      <w:pPr>
        <w:spacing w:line="640" w:lineRule="exact"/>
        <w:ind w:firstLine="480" w:firstLineChars="200"/>
        <w:rPr>
          <w:rFonts w:ascii="宋体" w:hAnsi="宋体" w:cs="宋体"/>
          <w:color w:val="auto"/>
          <w:sz w:val="24"/>
        </w:rPr>
      </w:pPr>
      <w:r>
        <w:rPr>
          <w:rStyle w:val="54"/>
          <w:rFonts w:hint="eastAsia" w:ascii="宋体" w:hAnsi="宋体" w:cs="宋体"/>
          <w:color w:val="auto"/>
          <w:sz w:val="24"/>
        </w:rPr>
        <w:t>特此承诺。</w:t>
      </w:r>
    </w:p>
    <w:p>
      <w:pPr>
        <w:spacing w:line="640" w:lineRule="exact"/>
        <w:ind w:firstLine="480" w:firstLineChars="200"/>
        <w:rPr>
          <w:rFonts w:ascii="宋体" w:hAnsi="宋体" w:cs="宋体"/>
          <w:color w:val="auto"/>
          <w:sz w:val="24"/>
        </w:rPr>
      </w:pPr>
    </w:p>
    <w:p>
      <w:pPr>
        <w:spacing w:line="640" w:lineRule="exact"/>
        <w:ind w:firstLine="480" w:firstLineChars="200"/>
        <w:rPr>
          <w:rFonts w:ascii="宋体" w:hAnsi="宋体" w:cs="宋体"/>
          <w:color w:val="auto"/>
          <w:sz w:val="24"/>
        </w:rPr>
      </w:pP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p>
    <w:p>
      <w:pPr>
        <w:autoSpaceDE w:val="0"/>
        <w:autoSpaceDN w:val="0"/>
        <w:spacing w:line="500" w:lineRule="exact"/>
        <w:ind w:firstLine="3158" w:firstLineChars="1316"/>
        <w:rPr>
          <w:rFonts w:ascii="宋体" w:hAnsi="宋体" w:cs="宋体"/>
          <w:color w:val="auto"/>
          <w:sz w:val="24"/>
          <w:lang w:val="zh-CN"/>
        </w:rPr>
      </w:pPr>
      <w:r>
        <w:rPr>
          <w:rFonts w:hint="eastAsia" w:ascii="宋体" w:hAnsi="宋体" w:cs="宋体"/>
          <w:color w:val="auto"/>
          <w:sz w:val="24"/>
          <w:lang w:val="zh-CN"/>
        </w:rPr>
        <w:t>日期：</w:t>
      </w: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br w:type="page"/>
      </w:r>
    </w:p>
    <w:p>
      <w:pPr>
        <w:pStyle w:val="2"/>
        <w:rPr>
          <w:rFonts w:ascii="宋体" w:hAnsi="宋体" w:cs="宋体"/>
          <w:color w:val="auto"/>
        </w:rPr>
      </w:pP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信用书面声明及信用查询结果复印件</w:t>
      </w:r>
    </w:p>
    <w:p>
      <w:pPr>
        <w:jc w:val="center"/>
        <w:rPr>
          <w:rFonts w:ascii="宋体" w:hAnsi="宋体" w:cs="宋体"/>
          <w:b/>
          <w:bCs/>
          <w:color w:val="auto"/>
          <w:sz w:val="24"/>
        </w:rPr>
      </w:pPr>
    </w:p>
    <w:p>
      <w:pPr>
        <w:jc w:val="center"/>
        <w:rPr>
          <w:rFonts w:ascii="宋体" w:hAnsi="宋体" w:cs="宋体"/>
          <w:color w:val="auto"/>
          <w:sz w:val="32"/>
          <w:szCs w:val="32"/>
        </w:rPr>
      </w:pPr>
      <w:r>
        <w:rPr>
          <w:rFonts w:hint="eastAsia" w:ascii="宋体" w:hAnsi="宋体" w:cs="宋体"/>
          <w:b/>
          <w:bCs/>
          <w:color w:val="auto"/>
          <w:sz w:val="32"/>
          <w:szCs w:val="32"/>
        </w:rPr>
        <w:t>信用书面声明（格式）</w:t>
      </w:r>
    </w:p>
    <w:p>
      <w:pPr>
        <w:rPr>
          <w:rFonts w:ascii="宋体" w:hAnsi="宋体" w:cs="宋体"/>
          <w:color w:val="auto"/>
          <w:sz w:val="24"/>
        </w:rPr>
      </w:pPr>
    </w:p>
    <w:p>
      <w:pPr>
        <w:pStyle w:val="53"/>
        <w:spacing w:before="0" w:beforeAutospacing="0" w:after="0" w:afterAutospacing="0" w:line="400" w:lineRule="exact"/>
        <w:rPr>
          <w:color w:val="auto"/>
        </w:rPr>
      </w:pPr>
      <w:r>
        <w:rPr>
          <w:rFonts w:hint="eastAsia"/>
          <w:color w:val="auto"/>
        </w:rPr>
        <w:t>致：</w:t>
      </w:r>
      <w:r>
        <w:rPr>
          <w:rFonts w:hint="eastAsia"/>
          <w:color w:val="auto"/>
          <w:u w:val="single"/>
        </w:rPr>
        <w:t>（采购人）</w:t>
      </w:r>
    </w:p>
    <w:p>
      <w:pPr>
        <w:pStyle w:val="53"/>
        <w:spacing w:before="0" w:beforeAutospacing="0" w:after="0" w:afterAutospacing="0" w:line="400" w:lineRule="exact"/>
        <w:ind w:firstLine="480" w:firstLineChars="200"/>
        <w:rPr>
          <w:color w:val="auto"/>
        </w:rPr>
      </w:pPr>
      <w:r>
        <w:rPr>
          <w:rFonts w:hint="eastAsia"/>
          <w:color w:val="auto"/>
        </w:rPr>
        <w:t> </w:t>
      </w:r>
    </w:p>
    <w:p>
      <w:pPr>
        <w:pStyle w:val="53"/>
        <w:shd w:val="clear" w:color="auto" w:fill="FFFFFF"/>
        <w:spacing w:before="0" w:beforeAutospacing="0" w:after="0" w:afterAutospacing="0" w:line="500" w:lineRule="exact"/>
        <w:ind w:firstLine="480" w:firstLineChars="200"/>
        <w:rPr>
          <w:color w:val="auto"/>
        </w:rPr>
      </w:pPr>
      <w:r>
        <w:rPr>
          <w:rFonts w:hint="eastAsia"/>
          <w:color w:val="auto"/>
        </w:rPr>
        <w:t>我单位承诺，如未如实提供“中国政府采购网（http://www.ccgp.gov.cn）‘政府采购严重违法失信行为信息纪录’栏目及信用中国网站（http://www.creditchina.gov.cn/）” 查询结果，接受本次投标作为否决投标处理，并根据财库〔2016〕125 号《财政部关于在政府采购活动中查询及使用信用记录有关问题的通知》规定接受失信联合惩戒。 </w:t>
      </w:r>
    </w:p>
    <w:p>
      <w:pPr>
        <w:pStyle w:val="53"/>
        <w:shd w:val="clear" w:color="auto" w:fill="FFFFFF"/>
        <w:spacing w:before="0" w:beforeAutospacing="0" w:after="0" w:afterAutospacing="0" w:line="500" w:lineRule="exact"/>
        <w:ind w:firstLine="480" w:firstLineChars="200"/>
        <w:rPr>
          <w:color w:val="auto"/>
        </w:rPr>
      </w:pPr>
      <w:r>
        <w:rPr>
          <w:rFonts w:hint="eastAsia"/>
          <w:color w:val="auto"/>
        </w:rPr>
        <w:t>如违反以上承诺，本公司愿承担一切法律责任。</w:t>
      </w:r>
    </w:p>
    <w:p>
      <w:pPr>
        <w:pStyle w:val="53"/>
        <w:shd w:val="clear" w:color="auto" w:fill="FFFFFF"/>
        <w:spacing w:before="0" w:beforeAutospacing="0" w:after="0" w:afterAutospacing="0" w:line="400" w:lineRule="exact"/>
        <w:ind w:firstLine="480" w:firstLineChars="200"/>
        <w:rPr>
          <w:color w:val="auto"/>
        </w:rPr>
      </w:pPr>
      <w:r>
        <w:rPr>
          <w:rFonts w:hint="eastAsia"/>
          <w:color w:val="auto"/>
        </w:rPr>
        <w:t> </w:t>
      </w:r>
    </w:p>
    <w:p>
      <w:pPr>
        <w:pStyle w:val="53"/>
        <w:shd w:val="clear" w:color="auto" w:fill="FFFFFF"/>
        <w:spacing w:before="0" w:beforeAutospacing="0" w:after="0" w:afterAutospacing="0" w:line="400" w:lineRule="exact"/>
        <w:ind w:firstLine="480" w:firstLineChars="200"/>
        <w:rPr>
          <w:color w:val="auto"/>
        </w:rPr>
      </w:pPr>
      <w:r>
        <w:rPr>
          <w:rFonts w:hint="eastAsia"/>
          <w:color w:val="auto"/>
        </w:rPr>
        <w:t> </w:t>
      </w:r>
    </w:p>
    <w:p>
      <w:pPr>
        <w:snapToGrid w:val="0"/>
        <w:spacing w:line="500" w:lineRule="exact"/>
        <w:ind w:right="-817" w:rightChars="-389" w:firstLine="3158" w:firstLineChars="1316"/>
        <w:rPr>
          <w:rFonts w:ascii="宋体" w:hAnsi="宋体" w:cs="宋体"/>
          <w:color w:val="auto"/>
          <w:sz w:val="24"/>
        </w:rPr>
      </w:pP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p>
    <w:p>
      <w:pPr>
        <w:autoSpaceDE w:val="0"/>
        <w:autoSpaceDN w:val="0"/>
        <w:spacing w:line="500" w:lineRule="exact"/>
        <w:ind w:firstLine="3158" w:firstLineChars="1316"/>
        <w:rPr>
          <w:rFonts w:ascii="宋体" w:hAnsi="宋体" w:cs="宋体"/>
          <w:color w:val="auto"/>
          <w:sz w:val="24"/>
          <w:lang w:val="zh-CN"/>
        </w:rPr>
      </w:pPr>
      <w:r>
        <w:rPr>
          <w:rFonts w:hint="eastAsia" w:ascii="宋体" w:hAnsi="宋体" w:cs="宋体"/>
          <w:color w:val="auto"/>
          <w:sz w:val="24"/>
          <w:lang w:val="zh-CN"/>
        </w:rPr>
        <w:t>日期：</w:t>
      </w: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p>
    <w:p>
      <w:pPr>
        <w:pStyle w:val="53"/>
        <w:shd w:val="clear" w:color="auto" w:fill="FFFFFF"/>
        <w:spacing w:before="0" w:beforeAutospacing="0" w:after="0" w:afterAutospacing="0" w:line="400" w:lineRule="exact"/>
        <w:ind w:firstLine="480" w:firstLineChars="200"/>
        <w:rPr>
          <w:color w:val="auto"/>
        </w:rPr>
      </w:pPr>
    </w:p>
    <w:p>
      <w:pPr>
        <w:pStyle w:val="53"/>
        <w:shd w:val="clear" w:color="auto" w:fill="FFFFFF"/>
        <w:spacing w:before="0" w:beforeAutospacing="0" w:after="0" w:afterAutospacing="0" w:line="400" w:lineRule="exact"/>
        <w:ind w:firstLine="480" w:firstLineChars="200"/>
        <w:rPr>
          <w:color w:val="auto"/>
        </w:rPr>
      </w:pPr>
    </w:p>
    <w:p>
      <w:pPr>
        <w:spacing w:line="400" w:lineRule="exact"/>
        <w:ind w:firstLine="482" w:firstLineChars="200"/>
        <w:rPr>
          <w:rFonts w:ascii="宋体" w:hAnsi="宋体" w:cs="宋体"/>
          <w:b/>
          <w:color w:val="auto"/>
          <w:sz w:val="24"/>
        </w:rPr>
      </w:pPr>
    </w:p>
    <w:p>
      <w:pPr>
        <w:spacing w:line="400" w:lineRule="exact"/>
        <w:ind w:firstLine="482" w:firstLineChars="200"/>
        <w:rPr>
          <w:rFonts w:ascii="宋体" w:hAnsi="宋体" w:cs="宋体"/>
          <w:b/>
          <w:color w:val="auto"/>
          <w:sz w:val="24"/>
        </w:rPr>
      </w:pPr>
    </w:p>
    <w:p>
      <w:pPr>
        <w:spacing w:line="400" w:lineRule="exact"/>
        <w:rPr>
          <w:rFonts w:ascii="宋体" w:hAnsi="宋体" w:cs="宋体"/>
          <w:color w:val="auto"/>
          <w:sz w:val="24"/>
        </w:rPr>
      </w:pPr>
      <w:r>
        <w:rPr>
          <w:rFonts w:hint="eastAsia" w:ascii="宋体" w:hAnsi="宋体" w:cs="宋体"/>
          <w:color w:val="auto"/>
          <w:sz w:val="24"/>
        </w:rPr>
        <w:t>附：信用查询结果网页打印件（加盖单位公章）</w:t>
      </w:r>
    </w:p>
    <w:p>
      <w:pPr>
        <w:autoSpaceDE w:val="0"/>
        <w:autoSpaceDN w:val="0"/>
        <w:adjustRightInd w:val="0"/>
        <w:spacing w:line="360" w:lineRule="auto"/>
        <w:ind w:firstLine="480" w:firstLineChars="200"/>
        <w:jc w:val="left"/>
        <w:rPr>
          <w:rFonts w:ascii="宋体" w:hAnsi="宋体" w:cs="宋体"/>
          <w:color w:val="auto"/>
          <w:sz w:val="24"/>
        </w:rPr>
      </w:pPr>
      <w:r>
        <w:rPr>
          <w:rFonts w:hint="eastAsia" w:ascii="宋体" w:hAnsi="宋体" w:cs="宋体"/>
          <w:color w:val="auto"/>
          <w:sz w:val="24"/>
        </w:rPr>
        <w:t>①“信用中国”查询内容：在该网站下载的信用报告；</w:t>
      </w:r>
    </w:p>
    <w:p>
      <w:pPr>
        <w:autoSpaceDE w:val="0"/>
        <w:autoSpaceDN w:val="0"/>
        <w:adjustRightInd w:val="0"/>
        <w:spacing w:line="360" w:lineRule="auto"/>
        <w:ind w:firstLine="480" w:firstLineChars="200"/>
        <w:jc w:val="left"/>
        <w:rPr>
          <w:rFonts w:ascii="宋体" w:hAnsi="宋体" w:cs="宋体"/>
          <w:color w:val="auto"/>
          <w:sz w:val="24"/>
        </w:rPr>
      </w:pPr>
      <w:r>
        <w:rPr>
          <w:rFonts w:hint="eastAsia" w:ascii="宋体" w:hAnsi="宋体" w:cs="宋体"/>
          <w:color w:val="auto"/>
          <w:sz w:val="24"/>
        </w:rPr>
        <w:t>②“中国政府采购网”的查询内容：政府采购严重违法失信行为信息记录（查询界面截图须显示投标人名称以及查询结果）；查询时间：起始时间为投标文件递交截止时间前三年起至投标文件递交截止时间前。</w:t>
      </w:r>
    </w:p>
    <w:p>
      <w:pPr>
        <w:pStyle w:val="5"/>
        <w:overflowPunct w:val="0"/>
        <w:spacing w:line="400" w:lineRule="exact"/>
        <w:ind w:firstLine="0"/>
        <w:rPr>
          <w:rFonts w:ascii="宋体" w:hAnsi="宋体" w:cs="宋体"/>
          <w:color w:val="auto"/>
          <w:sz w:val="24"/>
          <w:szCs w:val="24"/>
        </w:rPr>
      </w:pPr>
    </w:p>
    <w:p>
      <w:pPr>
        <w:rPr>
          <w:rFonts w:ascii="宋体" w:hAnsi="宋体" w:cs="宋体"/>
          <w:b/>
          <w:color w:val="auto"/>
          <w:sz w:val="24"/>
        </w:rPr>
      </w:pPr>
      <w:r>
        <w:rPr>
          <w:rFonts w:hint="eastAsia" w:ascii="宋体" w:hAnsi="宋体" w:cs="宋体"/>
          <w:b/>
          <w:color w:val="auto"/>
          <w:sz w:val="24"/>
        </w:rPr>
        <w:br w:type="page"/>
      </w:r>
    </w:p>
    <w:p>
      <w:pPr>
        <w:snapToGrid w:val="0"/>
        <w:spacing w:beforeLines="50" w:after="50"/>
        <w:jc w:val="center"/>
        <w:rPr>
          <w:rFonts w:ascii="宋体" w:hAnsi="宋体" w:cs="宋体"/>
          <w:b/>
          <w:color w:val="auto"/>
          <w:sz w:val="32"/>
          <w:szCs w:val="32"/>
        </w:rPr>
      </w:pPr>
      <w:r>
        <w:rPr>
          <w:rFonts w:hint="eastAsia" w:ascii="宋体" w:hAnsi="宋体" w:cs="宋体"/>
          <w:b/>
          <w:color w:val="auto"/>
          <w:sz w:val="32"/>
          <w:szCs w:val="32"/>
        </w:rPr>
        <w:t>商务响应表</w:t>
      </w:r>
      <w:r>
        <w:rPr>
          <w:rFonts w:hint="eastAsia" w:ascii="宋体" w:hAnsi="宋体" w:cs="宋体"/>
          <w:b/>
          <w:bCs/>
          <w:color w:val="auto"/>
          <w:sz w:val="32"/>
          <w:szCs w:val="32"/>
        </w:rPr>
        <w:t>（格式）</w:t>
      </w:r>
    </w:p>
    <w:p>
      <w:pPr>
        <w:pStyle w:val="11"/>
        <w:spacing w:line="440" w:lineRule="exact"/>
        <w:ind w:firstLine="480" w:firstLineChars="200"/>
        <w:rPr>
          <w:rFonts w:hAnsi="宋体" w:cs="宋体"/>
          <w:color w:val="auto"/>
          <w:sz w:val="24"/>
          <w:szCs w:val="24"/>
        </w:rPr>
      </w:pPr>
    </w:p>
    <w:p>
      <w:pPr>
        <w:snapToGrid w:val="0"/>
        <w:spacing w:before="50"/>
        <w:jc w:val="left"/>
        <w:rPr>
          <w:rFonts w:ascii="宋体" w:hAnsi="宋体" w:cs="宋体"/>
          <w:color w:val="auto"/>
          <w:sz w:val="24"/>
          <w:u w:val="single"/>
        </w:rPr>
      </w:pPr>
    </w:p>
    <w:tbl>
      <w:tblPr>
        <w:tblStyle w:val="24"/>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02"/>
        <w:gridCol w:w="2303"/>
        <w:gridCol w:w="2627"/>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宋体"/>
                <w:b/>
                <w:color w:val="auto"/>
              </w:rPr>
            </w:pPr>
            <w:r>
              <w:rPr>
                <w:rFonts w:hint="eastAsia" w:hAnsi="宋体" w:cs="宋体"/>
                <w:b/>
                <w:color w:val="auto"/>
              </w:rPr>
              <w:t>序号</w:t>
            </w:r>
          </w:p>
        </w:tc>
        <w:tc>
          <w:tcPr>
            <w:tcW w:w="1802"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宋体"/>
                <w:b/>
                <w:color w:val="auto"/>
              </w:rPr>
            </w:pPr>
            <w:r>
              <w:rPr>
                <w:rFonts w:hint="eastAsia" w:hAnsi="宋体" w:cs="宋体"/>
                <w:b/>
                <w:color w:val="auto"/>
              </w:rPr>
              <w:t>招标文件条目号</w:t>
            </w:r>
          </w:p>
        </w:tc>
        <w:tc>
          <w:tcPr>
            <w:tcW w:w="2303"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hAnsi="宋体" w:eastAsia="宋体" w:cs="宋体"/>
                <w:b/>
                <w:color w:val="auto"/>
                <w:lang w:val="en-US" w:eastAsia="zh-CN"/>
              </w:rPr>
            </w:pPr>
            <w:r>
              <w:rPr>
                <w:rFonts w:hint="eastAsia" w:hAnsi="宋体" w:cs="宋体"/>
                <w:b/>
                <w:color w:val="auto"/>
              </w:rPr>
              <w:t>招标文件</w:t>
            </w:r>
            <w:r>
              <w:rPr>
                <w:rFonts w:hint="eastAsia" w:hAnsi="宋体" w:cs="宋体"/>
                <w:b/>
                <w:color w:val="auto"/>
                <w:lang w:val="en-US" w:eastAsia="zh-CN"/>
              </w:rPr>
              <w:t>要求</w:t>
            </w:r>
          </w:p>
        </w:tc>
        <w:tc>
          <w:tcPr>
            <w:tcW w:w="2627"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宋体"/>
                <w:b/>
                <w:color w:val="auto"/>
              </w:rPr>
            </w:pPr>
            <w:r>
              <w:rPr>
                <w:rFonts w:hint="eastAsia" w:hAnsi="宋体" w:cs="宋体"/>
                <w:b/>
                <w:color w:val="auto"/>
              </w:rPr>
              <w:t>投标人的承诺或说明</w:t>
            </w:r>
          </w:p>
        </w:tc>
        <w:tc>
          <w:tcPr>
            <w:tcW w:w="1785" w:type="dxa"/>
            <w:tcBorders>
              <w:top w:val="single" w:color="auto" w:sz="4" w:space="0"/>
              <w:left w:val="single" w:color="auto" w:sz="4" w:space="0"/>
              <w:bottom w:val="single" w:color="auto" w:sz="4" w:space="0"/>
              <w:right w:val="single" w:color="auto" w:sz="4" w:space="0"/>
            </w:tcBorders>
            <w:vAlign w:val="center"/>
          </w:tcPr>
          <w:p>
            <w:pPr>
              <w:pStyle w:val="11"/>
              <w:jc w:val="center"/>
              <w:rPr>
                <w:rFonts w:hint="default" w:hAnsi="宋体" w:eastAsia="宋体" w:cs="宋体"/>
                <w:b/>
                <w:color w:val="auto"/>
                <w:lang w:val="en-US" w:eastAsia="zh-CN"/>
              </w:rPr>
            </w:pPr>
            <w:r>
              <w:rPr>
                <w:rFonts w:hint="eastAsia" w:hAnsi="宋体" w:cs="宋体"/>
                <w:b/>
                <w:color w:val="auto"/>
                <w:lang w:val="en-US" w:eastAsia="zh-CN"/>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1802"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2303"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2627"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1785" w:type="dxa"/>
            <w:tcBorders>
              <w:top w:val="single" w:color="auto" w:sz="4" w:space="0"/>
              <w:left w:val="single" w:color="auto" w:sz="4" w:space="0"/>
              <w:bottom w:val="single" w:color="auto" w:sz="4" w:space="0"/>
              <w:right w:val="single" w:color="auto" w:sz="4" w:space="0"/>
            </w:tcBorders>
          </w:tcPr>
          <w:p>
            <w:pPr>
              <w:pStyle w:val="11"/>
              <w:jc w:val="center"/>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1802"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2303"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2627"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1785" w:type="dxa"/>
            <w:tcBorders>
              <w:top w:val="single" w:color="auto" w:sz="4" w:space="0"/>
              <w:left w:val="single" w:color="auto" w:sz="4" w:space="0"/>
              <w:bottom w:val="single" w:color="auto" w:sz="4" w:space="0"/>
              <w:right w:val="single" w:color="auto" w:sz="4" w:space="0"/>
            </w:tcBorders>
          </w:tcPr>
          <w:p>
            <w:pPr>
              <w:pStyle w:val="11"/>
              <w:jc w:val="center"/>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1802"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2303"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2627"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1785" w:type="dxa"/>
            <w:tcBorders>
              <w:top w:val="single" w:color="auto" w:sz="4" w:space="0"/>
              <w:left w:val="single" w:color="auto" w:sz="4" w:space="0"/>
              <w:bottom w:val="single" w:color="auto" w:sz="4" w:space="0"/>
              <w:right w:val="single" w:color="auto" w:sz="4" w:space="0"/>
            </w:tcBorders>
          </w:tcPr>
          <w:p>
            <w:pPr>
              <w:pStyle w:val="11"/>
              <w:jc w:val="center"/>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1802"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2303"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2627"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1785" w:type="dxa"/>
            <w:tcBorders>
              <w:top w:val="single" w:color="auto" w:sz="4" w:space="0"/>
              <w:left w:val="single" w:color="auto" w:sz="4" w:space="0"/>
              <w:bottom w:val="single" w:color="auto" w:sz="4" w:space="0"/>
              <w:right w:val="single" w:color="auto" w:sz="4" w:space="0"/>
            </w:tcBorders>
          </w:tcPr>
          <w:p>
            <w:pPr>
              <w:pStyle w:val="11"/>
              <w:jc w:val="center"/>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1802"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2303"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2627"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1785" w:type="dxa"/>
            <w:tcBorders>
              <w:top w:val="single" w:color="auto" w:sz="4" w:space="0"/>
              <w:left w:val="single" w:color="auto" w:sz="4" w:space="0"/>
              <w:bottom w:val="single" w:color="auto" w:sz="4" w:space="0"/>
              <w:right w:val="single" w:color="auto" w:sz="4" w:space="0"/>
            </w:tcBorders>
          </w:tcPr>
          <w:p>
            <w:pPr>
              <w:pStyle w:val="11"/>
              <w:jc w:val="center"/>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1802"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2303"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2627"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1785" w:type="dxa"/>
            <w:tcBorders>
              <w:top w:val="single" w:color="auto" w:sz="4" w:space="0"/>
              <w:left w:val="single" w:color="auto" w:sz="4" w:space="0"/>
              <w:bottom w:val="single" w:color="auto" w:sz="4" w:space="0"/>
              <w:right w:val="single" w:color="auto" w:sz="4" w:space="0"/>
            </w:tcBorders>
          </w:tcPr>
          <w:p>
            <w:pPr>
              <w:pStyle w:val="11"/>
              <w:jc w:val="center"/>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3"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1802"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2303"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2627"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1785"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3"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1802"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2303"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2627"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1785"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3"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1802"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2303"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2627"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c>
          <w:tcPr>
            <w:tcW w:w="1785" w:type="dxa"/>
            <w:tcBorders>
              <w:top w:val="single" w:color="auto" w:sz="4" w:space="0"/>
              <w:left w:val="single" w:color="auto" w:sz="4" w:space="0"/>
              <w:bottom w:val="single" w:color="auto" w:sz="4" w:space="0"/>
              <w:right w:val="single" w:color="auto" w:sz="4" w:space="0"/>
            </w:tcBorders>
          </w:tcPr>
          <w:p>
            <w:pPr>
              <w:pStyle w:val="11"/>
              <w:rPr>
                <w:rFonts w:hAnsi="宋体" w:cs="宋体"/>
                <w:color w:val="auto"/>
              </w:rPr>
            </w:pPr>
          </w:p>
        </w:tc>
      </w:tr>
    </w:tbl>
    <w:p>
      <w:pPr>
        <w:pStyle w:val="11"/>
        <w:spacing w:line="440" w:lineRule="exact"/>
        <w:rPr>
          <w:rFonts w:hAnsi="宋体" w:cs="宋体"/>
          <w:color w:val="auto"/>
          <w:sz w:val="24"/>
          <w:szCs w:val="24"/>
        </w:rPr>
      </w:pPr>
      <w:r>
        <w:rPr>
          <w:rFonts w:hint="eastAsia" w:hAnsi="宋体" w:cs="宋体"/>
          <w:color w:val="auto"/>
          <w:sz w:val="24"/>
          <w:szCs w:val="24"/>
        </w:rPr>
        <w:t>注：⑴ 请逐条对应本项目招标文件第二章“项目需求”中“商务条款”的要求，在“投标人的承诺或说明”栏进行承诺或说明，并在“是否响应”栏申明与商务条款要求各条文的响应和偏离。如果在“投标人的承诺或说明”栏仅简单注明“符合”、“满足”的，未逐条对应进行承诺的，将导致投标文件被拒绝。</w:t>
      </w:r>
    </w:p>
    <w:p>
      <w:pPr>
        <w:pStyle w:val="11"/>
        <w:spacing w:line="440" w:lineRule="exact"/>
        <w:ind w:firstLine="480" w:firstLineChars="200"/>
        <w:rPr>
          <w:rFonts w:hAnsi="宋体" w:cs="宋体"/>
          <w:color w:val="auto"/>
          <w:sz w:val="24"/>
          <w:szCs w:val="24"/>
        </w:rPr>
      </w:pPr>
      <w:r>
        <w:rPr>
          <w:rFonts w:hint="eastAsia" w:hAnsi="宋体" w:cs="宋体"/>
          <w:color w:val="auto"/>
          <w:sz w:val="24"/>
          <w:szCs w:val="24"/>
        </w:rPr>
        <w:t>⑵如果投标文件需求小于或大于招标文件某个数值标准时，投标文件不得直接复制招标文件需求，投标文件对应内容应当写明商务响应的实际数值</w:t>
      </w:r>
      <w:r>
        <w:rPr>
          <w:rFonts w:hint="eastAsia" w:hAnsi="宋体" w:cs="宋体"/>
          <w:color w:val="auto"/>
          <w:sz w:val="24"/>
          <w:szCs w:val="24"/>
          <w:lang w:val="en-US" w:eastAsia="zh-CN"/>
        </w:rPr>
        <w:t>或需求</w:t>
      </w:r>
      <w:r>
        <w:rPr>
          <w:rFonts w:hint="eastAsia" w:hAnsi="宋体" w:cs="宋体"/>
          <w:color w:val="auto"/>
          <w:sz w:val="24"/>
          <w:szCs w:val="24"/>
        </w:rPr>
        <w:t>，否则按投标无效处理。</w:t>
      </w:r>
    </w:p>
    <w:p>
      <w:pPr>
        <w:pStyle w:val="11"/>
        <w:spacing w:line="440" w:lineRule="exact"/>
        <w:ind w:firstLine="480" w:firstLineChars="200"/>
        <w:rPr>
          <w:rFonts w:hAnsi="宋体" w:cs="宋体"/>
          <w:color w:val="auto"/>
          <w:sz w:val="24"/>
          <w:szCs w:val="24"/>
        </w:rPr>
      </w:pPr>
      <w:r>
        <w:rPr>
          <w:rFonts w:hint="eastAsia" w:hAnsi="宋体" w:cs="宋体"/>
          <w:color w:val="auto"/>
          <w:sz w:val="24"/>
          <w:szCs w:val="24"/>
        </w:rPr>
        <w:t>⑶当投标文件的商务响应低于招标文件要求时，投标人应当如实写明“负偏离”，否则视为虚假应标。</w:t>
      </w:r>
    </w:p>
    <w:p>
      <w:pPr>
        <w:snapToGrid w:val="0"/>
        <w:spacing w:line="460" w:lineRule="exact"/>
        <w:ind w:firstLine="5280" w:firstLineChars="2200"/>
        <w:rPr>
          <w:rFonts w:ascii="宋体" w:hAnsi="宋体" w:cs="宋体"/>
          <w:color w:val="auto"/>
          <w:sz w:val="24"/>
        </w:rPr>
      </w:pP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p>
    <w:p>
      <w:pPr>
        <w:autoSpaceDE w:val="0"/>
        <w:autoSpaceDN w:val="0"/>
        <w:spacing w:line="500" w:lineRule="exact"/>
        <w:ind w:firstLine="3158" w:firstLineChars="1316"/>
        <w:rPr>
          <w:rFonts w:hint="eastAsia" w:ascii="宋体" w:hAnsi="宋体" w:cs="宋体"/>
          <w:color w:val="auto"/>
          <w:sz w:val="24"/>
          <w:lang w:val="zh-CN"/>
        </w:rPr>
      </w:pPr>
      <w:r>
        <w:rPr>
          <w:rFonts w:hint="eastAsia" w:ascii="宋体" w:hAnsi="宋体" w:cs="宋体"/>
          <w:color w:val="auto"/>
          <w:sz w:val="24"/>
          <w:lang w:val="zh-CN"/>
        </w:rPr>
        <w:t>日期</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lang w:val="zh-CN"/>
        </w:rPr>
        <w:t>年</w:t>
      </w:r>
      <w:r>
        <w:rPr>
          <w:rFonts w:hint="eastAsia" w:ascii="宋体" w:hAnsi="宋体" w:cs="宋体"/>
          <w:color w:val="auto"/>
          <w:sz w:val="24"/>
          <w:u w:val="single"/>
        </w:rPr>
        <w:t xml:space="preserve">    </w:t>
      </w:r>
      <w:r>
        <w:rPr>
          <w:rFonts w:hint="eastAsia" w:ascii="宋体" w:hAnsi="宋体" w:cs="宋体"/>
          <w:color w:val="auto"/>
          <w:sz w:val="24"/>
          <w:lang w:val="zh-CN"/>
        </w:rPr>
        <w:t>月</w:t>
      </w:r>
      <w:r>
        <w:rPr>
          <w:rFonts w:hint="eastAsia" w:ascii="宋体" w:hAnsi="宋体" w:cs="宋体"/>
          <w:color w:val="auto"/>
          <w:sz w:val="24"/>
          <w:u w:val="single"/>
        </w:rPr>
        <w:t xml:space="preserve">   </w:t>
      </w:r>
      <w:r>
        <w:rPr>
          <w:rFonts w:hint="eastAsia" w:ascii="宋体" w:hAnsi="宋体" w:cs="宋体"/>
          <w:color w:val="auto"/>
          <w:sz w:val="24"/>
          <w:lang w:val="zh-CN"/>
        </w:rPr>
        <w:t>日</w:t>
      </w:r>
    </w:p>
    <w:p>
      <w:pPr>
        <w:rPr>
          <w:rFonts w:hint="eastAsia" w:ascii="宋体" w:hAnsi="宋体" w:cs="宋体"/>
          <w:color w:val="auto"/>
          <w:sz w:val="24"/>
          <w:lang w:val="zh-CN"/>
        </w:rPr>
      </w:pPr>
      <w:r>
        <w:rPr>
          <w:rFonts w:hint="eastAsia" w:ascii="宋体" w:hAnsi="宋体" w:cs="宋体"/>
          <w:color w:val="auto"/>
          <w:sz w:val="24"/>
          <w:lang w:val="zh-CN"/>
        </w:rPr>
        <w:br w:type="page"/>
      </w:r>
    </w:p>
    <w:p>
      <w:pPr>
        <w:pStyle w:val="11"/>
        <w:snapToGrid w:val="0"/>
        <w:spacing w:before="295" w:after="295"/>
        <w:jc w:val="center"/>
        <w:rPr>
          <w:rFonts w:hint="eastAsia" w:hAnsi="宋体"/>
          <w:b/>
          <w:color w:val="auto"/>
          <w:sz w:val="30"/>
          <w:szCs w:val="30"/>
        </w:rPr>
      </w:pPr>
      <w:r>
        <w:rPr>
          <w:rFonts w:hint="eastAsia" w:hAnsi="宋体"/>
          <w:b/>
          <w:color w:val="auto"/>
          <w:sz w:val="30"/>
          <w:szCs w:val="30"/>
        </w:rPr>
        <w:t>投标人可以承检的食品安全抽检品种及项目表</w:t>
      </w:r>
    </w:p>
    <w:tbl>
      <w:tblPr>
        <w:tblStyle w:val="24"/>
        <w:tblW w:w="5000" w:type="pct"/>
        <w:tblInd w:w="0" w:type="dxa"/>
        <w:tblLayout w:type="autofit"/>
        <w:tblCellMar>
          <w:top w:w="0" w:type="dxa"/>
          <w:left w:w="0" w:type="dxa"/>
          <w:bottom w:w="0" w:type="dxa"/>
          <w:right w:w="0" w:type="dxa"/>
        </w:tblCellMar>
      </w:tblPr>
      <w:tblGrid>
        <w:gridCol w:w="450"/>
        <w:gridCol w:w="886"/>
        <w:gridCol w:w="886"/>
        <w:gridCol w:w="888"/>
        <w:gridCol w:w="886"/>
        <w:gridCol w:w="886"/>
        <w:gridCol w:w="890"/>
        <w:gridCol w:w="886"/>
        <w:gridCol w:w="886"/>
        <w:gridCol w:w="896"/>
        <w:gridCol w:w="605"/>
      </w:tblGrid>
      <w:tr>
        <w:tblPrEx>
          <w:tblCellMar>
            <w:top w:w="0" w:type="dxa"/>
            <w:left w:w="0" w:type="dxa"/>
            <w:bottom w:w="0" w:type="dxa"/>
            <w:right w:w="0" w:type="dxa"/>
          </w:tblCellMar>
        </w:tblPrEx>
        <w:trPr>
          <w:trHeight w:val="525" w:hRule="atLeast"/>
        </w:trPr>
        <w:tc>
          <w:tcPr>
            <w:tcW w:w="238"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ascii="宋体" w:hAnsi="宋体"/>
                <w:b/>
                <w:color w:val="auto"/>
                <w:szCs w:val="21"/>
              </w:rPr>
            </w:pPr>
            <w:r>
              <w:rPr>
                <w:rFonts w:hint="eastAsia" w:ascii="宋体" w:hAnsi="宋体"/>
                <w:b/>
                <w:color w:val="auto"/>
                <w:szCs w:val="21"/>
              </w:rPr>
              <w:t>序号</w:t>
            </w:r>
          </w:p>
        </w:tc>
        <w:tc>
          <w:tcPr>
            <w:tcW w:w="491"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ascii="宋体" w:hAnsi="宋体"/>
                <w:b/>
                <w:color w:val="auto"/>
                <w:szCs w:val="21"/>
              </w:rPr>
            </w:pPr>
            <w:r>
              <w:rPr>
                <w:rFonts w:hint="eastAsia" w:ascii="宋体" w:hAnsi="宋体"/>
                <w:b/>
                <w:color w:val="auto"/>
                <w:szCs w:val="21"/>
              </w:rPr>
              <w:t>食品大类（一级）</w:t>
            </w:r>
          </w:p>
        </w:tc>
        <w:tc>
          <w:tcPr>
            <w:tcW w:w="491"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ascii="宋体" w:hAnsi="宋体"/>
                <w:b/>
                <w:color w:val="auto"/>
                <w:szCs w:val="21"/>
              </w:rPr>
            </w:pPr>
            <w:r>
              <w:rPr>
                <w:rFonts w:hint="eastAsia" w:ascii="宋体" w:hAnsi="宋体"/>
                <w:b/>
                <w:color w:val="auto"/>
                <w:szCs w:val="21"/>
              </w:rPr>
              <w:t>食品亚类（二级）</w:t>
            </w:r>
          </w:p>
        </w:tc>
        <w:tc>
          <w:tcPr>
            <w:tcW w:w="492"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ascii="宋体" w:hAnsi="宋体"/>
                <w:b/>
                <w:color w:val="auto"/>
                <w:szCs w:val="21"/>
              </w:rPr>
            </w:pPr>
            <w:r>
              <w:rPr>
                <w:rFonts w:hint="eastAsia" w:ascii="宋体" w:hAnsi="宋体"/>
                <w:b/>
                <w:color w:val="auto"/>
                <w:szCs w:val="21"/>
              </w:rPr>
              <w:t>食品品种（三级）</w:t>
            </w:r>
          </w:p>
        </w:tc>
        <w:tc>
          <w:tcPr>
            <w:tcW w:w="491"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ascii="宋体" w:hAnsi="宋体"/>
                <w:b/>
                <w:color w:val="auto"/>
                <w:szCs w:val="21"/>
              </w:rPr>
            </w:pPr>
            <w:r>
              <w:rPr>
                <w:rFonts w:hint="eastAsia" w:ascii="宋体" w:hAnsi="宋体"/>
                <w:b/>
                <w:color w:val="auto"/>
                <w:szCs w:val="21"/>
              </w:rPr>
              <w:t>食品细类（四级）</w:t>
            </w:r>
          </w:p>
        </w:tc>
        <w:tc>
          <w:tcPr>
            <w:tcW w:w="491"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ascii="宋体" w:hAnsi="宋体"/>
                <w:b/>
                <w:color w:val="auto"/>
                <w:szCs w:val="21"/>
              </w:rPr>
            </w:pPr>
            <w:r>
              <w:rPr>
                <w:rFonts w:hint="eastAsia" w:ascii="宋体" w:hAnsi="宋体"/>
                <w:b/>
                <w:color w:val="auto"/>
                <w:szCs w:val="21"/>
              </w:rPr>
              <w:t>监督抽检项目</w:t>
            </w:r>
          </w:p>
        </w:tc>
        <w:tc>
          <w:tcPr>
            <w:tcW w:w="493" w:type="pct"/>
            <w:tcBorders>
              <w:top w:val="single" w:color="000000" w:sz="8" w:space="0"/>
              <w:left w:val="nil"/>
              <w:bottom w:val="single" w:color="000000" w:sz="8" w:space="0"/>
              <w:right w:val="single" w:color="auto" w:sz="4" w:space="0"/>
            </w:tcBorders>
            <w:noWrap w:val="0"/>
            <w:tcMar>
              <w:top w:w="15" w:type="dxa"/>
              <w:left w:w="15" w:type="dxa"/>
              <w:right w:w="15" w:type="dxa"/>
            </w:tcMar>
            <w:vAlign w:val="center"/>
          </w:tcPr>
          <w:p>
            <w:pPr>
              <w:jc w:val="center"/>
              <w:rPr>
                <w:rFonts w:hint="eastAsia" w:ascii="宋体" w:hAnsi="宋体"/>
                <w:b/>
                <w:color w:val="auto"/>
                <w:szCs w:val="21"/>
              </w:rPr>
            </w:pPr>
            <w:r>
              <w:rPr>
                <w:rFonts w:hint="eastAsia" w:ascii="宋体" w:hAnsi="宋体"/>
                <w:b/>
                <w:color w:val="auto"/>
                <w:szCs w:val="21"/>
              </w:rPr>
              <w:t>风险监测</w:t>
            </w:r>
          </w:p>
          <w:p>
            <w:pPr>
              <w:jc w:val="center"/>
              <w:rPr>
                <w:rFonts w:ascii="宋体" w:hAnsi="宋体"/>
                <w:b/>
                <w:color w:val="auto"/>
                <w:szCs w:val="21"/>
              </w:rPr>
            </w:pPr>
            <w:r>
              <w:rPr>
                <w:rFonts w:hint="eastAsia" w:ascii="宋体" w:hAnsi="宋体"/>
                <w:b/>
                <w:color w:val="auto"/>
                <w:szCs w:val="21"/>
              </w:rPr>
              <w:t>项目</w:t>
            </w:r>
          </w:p>
        </w:tc>
        <w:tc>
          <w:tcPr>
            <w:tcW w:w="491" w:type="pct"/>
            <w:tcBorders>
              <w:top w:val="single" w:color="000000" w:sz="8" w:space="0"/>
              <w:left w:val="nil"/>
              <w:bottom w:val="single" w:color="000000" w:sz="8" w:space="0"/>
              <w:right w:val="single" w:color="auto" w:sz="4" w:space="0"/>
            </w:tcBorders>
            <w:noWrap w:val="0"/>
            <w:vAlign w:val="center"/>
          </w:tcPr>
          <w:p>
            <w:pPr>
              <w:jc w:val="center"/>
              <w:rPr>
                <w:rFonts w:ascii="宋体" w:hAnsi="宋体"/>
                <w:b/>
                <w:color w:val="auto"/>
                <w:szCs w:val="21"/>
              </w:rPr>
            </w:pPr>
            <w:r>
              <w:rPr>
                <w:rFonts w:hint="eastAsia" w:ascii="宋体" w:hAnsi="宋体"/>
                <w:b/>
                <w:color w:val="auto"/>
                <w:szCs w:val="21"/>
              </w:rPr>
              <w:t>监督抽检批次</w:t>
            </w:r>
          </w:p>
        </w:tc>
        <w:tc>
          <w:tcPr>
            <w:tcW w:w="491" w:type="pct"/>
            <w:tcBorders>
              <w:top w:val="single" w:color="000000" w:sz="8" w:space="0"/>
              <w:left w:val="single" w:color="auto" w:sz="4" w:space="0"/>
              <w:bottom w:val="single" w:color="000000" w:sz="8" w:space="0"/>
              <w:right w:val="single" w:color="auto" w:sz="4" w:space="0"/>
            </w:tcBorders>
            <w:noWrap w:val="0"/>
            <w:vAlign w:val="center"/>
          </w:tcPr>
          <w:p>
            <w:pPr>
              <w:jc w:val="center"/>
              <w:rPr>
                <w:rFonts w:hint="eastAsia" w:ascii="宋体" w:hAnsi="宋体"/>
                <w:b/>
                <w:color w:val="auto"/>
                <w:szCs w:val="21"/>
              </w:rPr>
            </w:pPr>
            <w:r>
              <w:rPr>
                <w:rFonts w:hint="eastAsia" w:ascii="宋体" w:hAnsi="宋体"/>
                <w:b/>
                <w:color w:val="auto"/>
                <w:szCs w:val="21"/>
              </w:rPr>
              <w:t>风险监</w:t>
            </w:r>
          </w:p>
          <w:p>
            <w:pPr>
              <w:jc w:val="center"/>
              <w:rPr>
                <w:rFonts w:ascii="宋体" w:hAnsi="宋体"/>
                <w:b/>
                <w:color w:val="auto"/>
                <w:szCs w:val="21"/>
              </w:rPr>
            </w:pPr>
            <w:r>
              <w:rPr>
                <w:rFonts w:hint="eastAsia" w:ascii="宋体" w:hAnsi="宋体"/>
                <w:b/>
                <w:color w:val="auto"/>
                <w:szCs w:val="21"/>
              </w:rPr>
              <w:t>测批次</w:t>
            </w:r>
          </w:p>
        </w:tc>
        <w:tc>
          <w:tcPr>
            <w:tcW w:w="496" w:type="pct"/>
            <w:tcBorders>
              <w:top w:val="single" w:color="000000" w:sz="8" w:space="0"/>
              <w:left w:val="single" w:color="auto" w:sz="4" w:space="0"/>
              <w:bottom w:val="single" w:color="000000" w:sz="8" w:space="0"/>
              <w:right w:val="single" w:color="000000" w:sz="8" w:space="0"/>
            </w:tcBorders>
            <w:noWrap w:val="0"/>
            <w:vAlign w:val="center"/>
          </w:tcPr>
          <w:p>
            <w:pPr>
              <w:jc w:val="center"/>
              <w:rPr>
                <w:rFonts w:hint="eastAsia" w:ascii="宋体" w:hAnsi="宋体"/>
                <w:b/>
                <w:color w:val="auto"/>
                <w:szCs w:val="21"/>
              </w:rPr>
            </w:pPr>
            <w:r>
              <w:rPr>
                <w:rFonts w:hint="eastAsia" w:ascii="宋体" w:hAnsi="宋体"/>
                <w:b/>
                <w:color w:val="auto"/>
                <w:szCs w:val="21"/>
              </w:rPr>
              <w:t>是否具备检验资质</w:t>
            </w:r>
          </w:p>
          <w:p>
            <w:pPr>
              <w:jc w:val="center"/>
              <w:rPr>
                <w:rFonts w:ascii="宋体" w:hAnsi="宋体"/>
                <w:b/>
                <w:color w:val="auto"/>
                <w:szCs w:val="21"/>
              </w:rPr>
            </w:pPr>
            <w:r>
              <w:rPr>
                <w:rFonts w:ascii="宋体" w:hAnsi="宋体"/>
                <w:b/>
                <w:color w:val="auto"/>
                <w:szCs w:val="21"/>
              </w:rPr>
              <w:t>(</w:t>
            </w:r>
            <w:r>
              <w:rPr>
                <w:rFonts w:hint="eastAsia" w:ascii="宋体" w:hAnsi="宋体"/>
                <w:b/>
                <w:color w:val="auto"/>
                <w:szCs w:val="21"/>
              </w:rPr>
              <w:t>□涂黑或打勾：■，</w:t>
            </w:r>
            <w:r>
              <w:rPr>
                <w:rFonts w:hint="eastAsia" w:ascii="宋体" w:hAnsi="宋体" w:eastAsia="MS Mincho" w:cs="MS Mincho"/>
                <w:b/>
                <w:color w:val="auto"/>
                <w:szCs w:val="21"/>
              </w:rPr>
              <w:t>☑</w:t>
            </w:r>
            <w:r>
              <w:rPr>
                <w:rFonts w:ascii="宋体" w:hAnsi="宋体"/>
                <w:b/>
                <w:color w:val="auto"/>
                <w:szCs w:val="21"/>
              </w:rPr>
              <w:t>)</w:t>
            </w:r>
          </w:p>
        </w:tc>
        <w:tc>
          <w:tcPr>
            <w:tcW w:w="335"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ascii="宋体" w:hAnsi="宋体"/>
                <w:b/>
                <w:color w:val="auto"/>
                <w:szCs w:val="21"/>
              </w:rPr>
            </w:pPr>
            <w:r>
              <w:rPr>
                <w:rFonts w:hint="eastAsia" w:ascii="宋体" w:hAnsi="宋体"/>
                <w:b/>
                <w:color w:val="auto"/>
                <w:szCs w:val="21"/>
              </w:rPr>
              <w:t>备注</w:t>
            </w:r>
          </w:p>
        </w:tc>
      </w:tr>
      <w:tr>
        <w:tblPrEx>
          <w:tblCellMar>
            <w:top w:w="0" w:type="dxa"/>
            <w:left w:w="0" w:type="dxa"/>
            <w:bottom w:w="0" w:type="dxa"/>
            <w:right w:w="0" w:type="dxa"/>
          </w:tblCellMar>
        </w:tblPrEx>
        <w:trPr>
          <w:trHeight w:val="720" w:hRule="atLeast"/>
        </w:trPr>
        <w:tc>
          <w:tcPr>
            <w:tcW w:w="238"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ascii="宋体" w:hAnsi="宋体"/>
                <w:color w:val="auto"/>
                <w:szCs w:val="21"/>
              </w:rPr>
            </w:pPr>
            <w:r>
              <w:rPr>
                <w:rFonts w:hint="eastAsia" w:ascii="宋体" w:hAnsi="宋体"/>
                <w:color w:val="auto"/>
                <w:szCs w:val="21"/>
              </w:rPr>
              <w:t>1</w:t>
            </w: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p>
        </w:tc>
        <w:tc>
          <w:tcPr>
            <w:tcW w:w="492"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rPr>
                <w:rFonts w:ascii="宋体" w:hAnsi="宋体" w:cs="宋体"/>
                <w:color w:val="auto"/>
                <w:kern w:val="0"/>
                <w:szCs w:val="21"/>
              </w:rPr>
            </w:pPr>
          </w:p>
        </w:tc>
        <w:tc>
          <w:tcPr>
            <w:tcW w:w="493" w:type="pct"/>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rPr>
                <w:rFonts w:ascii="宋体" w:hAnsi="宋体" w:cs="宋体"/>
                <w:color w:val="auto"/>
                <w:kern w:val="0"/>
                <w:szCs w:val="21"/>
              </w:rPr>
            </w:pPr>
          </w:p>
        </w:tc>
        <w:tc>
          <w:tcPr>
            <w:tcW w:w="491"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p>
        </w:tc>
        <w:tc>
          <w:tcPr>
            <w:tcW w:w="491"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p>
        </w:tc>
        <w:tc>
          <w:tcPr>
            <w:tcW w:w="496" w:type="pct"/>
            <w:tcBorders>
              <w:top w:val="nil"/>
              <w:left w:val="single" w:color="auto" w:sz="4" w:space="0"/>
              <w:bottom w:val="single" w:color="auto" w:sz="4" w:space="0"/>
              <w:right w:val="single" w:color="000000" w:sz="8" w:space="0"/>
            </w:tcBorders>
            <w:noWrap w:val="0"/>
            <w:vAlign w:val="center"/>
          </w:tcPr>
          <w:p>
            <w:pPr>
              <w:widowControl/>
              <w:jc w:val="left"/>
              <w:rPr>
                <w:rFonts w:ascii="宋体" w:hAnsi="宋体" w:cs="宋体"/>
                <w:color w:val="auto"/>
                <w:kern w:val="0"/>
                <w:szCs w:val="21"/>
              </w:rPr>
            </w:pPr>
          </w:p>
        </w:tc>
        <w:tc>
          <w:tcPr>
            <w:tcW w:w="335" w:type="pct"/>
            <w:tcBorders>
              <w:top w:val="nil"/>
              <w:left w:val="nil"/>
              <w:bottom w:val="single" w:color="auto" w:sz="4" w:space="0"/>
              <w:right w:val="single" w:color="000000" w:sz="8" w:space="0"/>
            </w:tcBorders>
            <w:noWrap w:val="0"/>
            <w:tcMar>
              <w:top w:w="15" w:type="dxa"/>
              <w:left w:w="15" w:type="dxa"/>
              <w:right w:w="15" w:type="dxa"/>
            </w:tcMar>
            <w:vAlign w:val="center"/>
          </w:tcPr>
          <w:p>
            <w:pPr>
              <w:widowControl/>
              <w:jc w:val="center"/>
              <w:textAlignment w:val="center"/>
              <w:rPr>
                <w:rFonts w:ascii="宋体" w:hAnsi="宋体" w:cs="宋体"/>
                <w:color w:val="auto"/>
                <w:szCs w:val="21"/>
              </w:rPr>
            </w:pPr>
          </w:p>
        </w:tc>
      </w:tr>
      <w:tr>
        <w:tblPrEx>
          <w:tblCellMar>
            <w:top w:w="0" w:type="dxa"/>
            <w:left w:w="0" w:type="dxa"/>
            <w:bottom w:w="0" w:type="dxa"/>
            <w:right w:w="0" w:type="dxa"/>
          </w:tblCellMar>
        </w:tblPrEx>
        <w:trPr>
          <w:trHeight w:val="720" w:hRule="atLeast"/>
        </w:trPr>
        <w:tc>
          <w:tcPr>
            <w:tcW w:w="238"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olor w:val="auto"/>
                <w:szCs w:val="21"/>
              </w:rPr>
            </w:pPr>
            <w:r>
              <w:rPr>
                <w:rFonts w:hint="eastAsia" w:ascii="宋体" w:hAnsi="宋体"/>
                <w:color w:val="auto"/>
                <w:szCs w:val="21"/>
              </w:rPr>
              <w:t>2</w:t>
            </w: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p>
        </w:tc>
        <w:tc>
          <w:tcPr>
            <w:tcW w:w="492"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rPr>
                <w:rFonts w:ascii="宋体" w:hAnsi="宋体" w:cs="宋体"/>
                <w:color w:val="auto"/>
                <w:kern w:val="0"/>
                <w:szCs w:val="21"/>
              </w:rPr>
            </w:pPr>
          </w:p>
        </w:tc>
        <w:tc>
          <w:tcPr>
            <w:tcW w:w="493"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left"/>
              <w:rPr>
                <w:rFonts w:ascii="宋体" w:hAnsi="宋体" w:cs="宋体"/>
                <w:color w:val="auto"/>
                <w:kern w:val="0"/>
                <w:szCs w:val="21"/>
              </w:rPr>
            </w:pPr>
          </w:p>
        </w:tc>
        <w:tc>
          <w:tcPr>
            <w:tcW w:w="491"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p>
        </w:tc>
        <w:tc>
          <w:tcPr>
            <w:tcW w:w="496" w:type="pct"/>
            <w:tcBorders>
              <w:top w:val="single" w:color="auto" w:sz="4" w:space="0"/>
              <w:left w:val="single" w:color="auto" w:sz="4" w:space="0"/>
              <w:bottom w:val="single" w:color="auto" w:sz="4" w:space="0"/>
              <w:right w:val="single" w:color="000000" w:sz="8" w:space="0"/>
            </w:tcBorders>
            <w:noWrap w:val="0"/>
            <w:vAlign w:val="center"/>
          </w:tcPr>
          <w:p>
            <w:pPr>
              <w:widowControl/>
              <w:jc w:val="left"/>
              <w:rPr>
                <w:rFonts w:ascii="宋体" w:hAnsi="宋体" w:cs="宋体"/>
                <w:color w:val="auto"/>
                <w:kern w:val="0"/>
                <w:szCs w:val="21"/>
              </w:rPr>
            </w:pPr>
          </w:p>
        </w:tc>
        <w:tc>
          <w:tcPr>
            <w:tcW w:w="335" w:type="pct"/>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lang w:bidi="ar"/>
              </w:rPr>
            </w:pPr>
          </w:p>
        </w:tc>
      </w:tr>
      <w:tr>
        <w:tblPrEx>
          <w:tblCellMar>
            <w:top w:w="0" w:type="dxa"/>
            <w:left w:w="0" w:type="dxa"/>
            <w:bottom w:w="0" w:type="dxa"/>
            <w:right w:w="0" w:type="dxa"/>
          </w:tblCellMar>
        </w:tblPrEx>
        <w:trPr>
          <w:trHeight w:val="720" w:hRule="atLeast"/>
        </w:trPr>
        <w:tc>
          <w:tcPr>
            <w:tcW w:w="238"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olor w:val="auto"/>
                <w:szCs w:val="21"/>
              </w:rPr>
            </w:pPr>
            <w:r>
              <w:rPr>
                <w:rFonts w:hint="eastAsia" w:ascii="宋体" w:hAnsi="宋体"/>
                <w:color w:val="auto"/>
                <w:szCs w:val="21"/>
              </w:rPr>
              <w:t>3</w:t>
            </w: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p>
        </w:tc>
        <w:tc>
          <w:tcPr>
            <w:tcW w:w="492"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rPr>
                <w:rFonts w:ascii="宋体" w:hAnsi="宋体" w:cs="宋体"/>
                <w:color w:val="auto"/>
                <w:kern w:val="0"/>
                <w:szCs w:val="21"/>
              </w:rPr>
            </w:pPr>
          </w:p>
        </w:tc>
        <w:tc>
          <w:tcPr>
            <w:tcW w:w="493" w:type="pct"/>
            <w:tcBorders>
              <w:top w:val="single" w:color="auto" w:sz="4" w:space="0"/>
              <w:left w:val="nil"/>
              <w:bottom w:val="single" w:color="000000" w:sz="8" w:space="0"/>
              <w:right w:val="single" w:color="auto" w:sz="4" w:space="0"/>
            </w:tcBorders>
            <w:noWrap w:val="0"/>
            <w:tcMar>
              <w:top w:w="15" w:type="dxa"/>
              <w:left w:w="15" w:type="dxa"/>
              <w:right w:w="15" w:type="dxa"/>
            </w:tcMar>
            <w:vAlign w:val="center"/>
          </w:tcPr>
          <w:p>
            <w:pPr>
              <w:widowControl/>
              <w:jc w:val="left"/>
              <w:rPr>
                <w:rFonts w:ascii="宋体" w:hAnsi="宋体" w:cs="宋体"/>
                <w:color w:val="auto"/>
                <w:kern w:val="0"/>
                <w:szCs w:val="21"/>
              </w:rPr>
            </w:pPr>
          </w:p>
        </w:tc>
        <w:tc>
          <w:tcPr>
            <w:tcW w:w="491" w:type="pct"/>
            <w:tcBorders>
              <w:top w:val="single" w:color="auto" w:sz="4" w:space="0"/>
              <w:left w:val="nil"/>
              <w:bottom w:val="single" w:color="000000" w:sz="8" w:space="0"/>
              <w:right w:val="single" w:color="auto" w:sz="4" w:space="0"/>
            </w:tcBorders>
            <w:noWrap w:val="0"/>
            <w:vAlign w:val="center"/>
          </w:tcPr>
          <w:p>
            <w:pPr>
              <w:widowControl/>
              <w:jc w:val="left"/>
              <w:rPr>
                <w:rFonts w:ascii="宋体" w:hAnsi="宋体" w:cs="宋体"/>
                <w:color w:val="auto"/>
                <w:kern w:val="0"/>
                <w:szCs w:val="21"/>
              </w:rPr>
            </w:pPr>
          </w:p>
        </w:tc>
        <w:tc>
          <w:tcPr>
            <w:tcW w:w="491" w:type="pct"/>
            <w:tcBorders>
              <w:top w:val="single" w:color="auto" w:sz="4" w:space="0"/>
              <w:left w:val="single" w:color="auto" w:sz="4" w:space="0"/>
              <w:bottom w:val="single" w:color="000000" w:sz="8" w:space="0"/>
              <w:right w:val="single" w:color="auto" w:sz="4" w:space="0"/>
            </w:tcBorders>
            <w:noWrap w:val="0"/>
            <w:vAlign w:val="center"/>
          </w:tcPr>
          <w:p>
            <w:pPr>
              <w:widowControl/>
              <w:jc w:val="left"/>
              <w:rPr>
                <w:rFonts w:ascii="宋体" w:hAnsi="宋体" w:cs="宋体"/>
                <w:color w:val="auto"/>
                <w:kern w:val="0"/>
                <w:szCs w:val="21"/>
              </w:rPr>
            </w:pPr>
          </w:p>
        </w:tc>
        <w:tc>
          <w:tcPr>
            <w:tcW w:w="496" w:type="pct"/>
            <w:tcBorders>
              <w:top w:val="single" w:color="auto" w:sz="4" w:space="0"/>
              <w:left w:val="single" w:color="auto" w:sz="4" w:space="0"/>
              <w:bottom w:val="single" w:color="000000" w:sz="8" w:space="0"/>
              <w:right w:val="single" w:color="000000" w:sz="8" w:space="0"/>
            </w:tcBorders>
            <w:noWrap w:val="0"/>
            <w:vAlign w:val="center"/>
          </w:tcPr>
          <w:p>
            <w:pPr>
              <w:widowControl/>
              <w:jc w:val="left"/>
              <w:rPr>
                <w:rFonts w:ascii="宋体" w:hAnsi="宋体" w:cs="宋体"/>
                <w:color w:val="auto"/>
                <w:kern w:val="0"/>
                <w:szCs w:val="21"/>
              </w:rPr>
            </w:pPr>
          </w:p>
        </w:tc>
        <w:tc>
          <w:tcPr>
            <w:tcW w:w="335" w:type="pct"/>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lang w:bidi="ar"/>
              </w:rPr>
            </w:pPr>
          </w:p>
        </w:tc>
      </w:tr>
      <w:tr>
        <w:tblPrEx>
          <w:tblCellMar>
            <w:top w:w="0" w:type="dxa"/>
            <w:left w:w="0" w:type="dxa"/>
            <w:bottom w:w="0" w:type="dxa"/>
            <w:right w:w="0" w:type="dxa"/>
          </w:tblCellMar>
        </w:tblPrEx>
        <w:trPr>
          <w:trHeight w:val="720" w:hRule="atLeast"/>
        </w:trPr>
        <w:tc>
          <w:tcPr>
            <w:tcW w:w="238"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olor w:val="auto"/>
                <w:szCs w:val="21"/>
              </w:rPr>
            </w:pPr>
            <w:r>
              <w:rPr>
                <w:rFonts w:hint="eastAsia" w:ascii="宋体" w:hAnsi="宋体"/>
                <w:color w:val="auto"/>
                <w:szCs w:val="21"/>
              </w:rPr>
              <w:t>4</w:t>
            </w: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p>
        </w:tc>
        <w:tc>
          <w:tcPr>
            <w:tcW w:w="492"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rPr>
                <w:rFonts w:ascii="宋体" w:hAnsi="宋体" w:cs="宋体"/>
                <w:color w:val="auto"/>
                <w:kern w:val="0"/>
                <w:szCs w:val="21"/>
              </w:rPr>
            </w:pPr>
          </w:p>
        </w:tc>
        <w:tc>
          <w:tcPr>
            <w:tcW w:w="493" w:type="pct"/>
            <w:tcBorders>
              <w:top w:val="single" w:color="auto" w:sz="4" w:space="0"/>
              <w:left w:val="nil"/>
              <w:bottom w:val="single" w:color="000000" w:sz="8" w:space="0"/>
              <w:right w:val="single" w:color="auto" w:sz="4" w:space="0"/>
            </w:tcBorders>
            <w:noWrap w:val="0"/>
            <w:tcMar>
              <w:top w:w="15" w:type="dxa"/>
              <w:left w:w="15" w:type="dxa"/>
              <w:right w:w="15" w:type="dxa"/>
            </w:tcMar>
            <w:vAlign w:val="center"/>
          </w:tcPr>
          <w:p>
            <w:pPr>
              <w:widowControl/>
              <w:jc w:val="left"/>
              <w:rPr>
                <w:rFonts w:ascii="宋体" w:hAnsi="宋体" w:cs="宋体"/>
                <w:color w:val="auto"/>
                <w:kern w:val="0"/>
                <w:szCs w:val="21"/>
              </w:rPr>
            </w:pPr>
          </w:p>
        </w:tc>
        <w:tc>
          <w:tcPr>
            <w:tcW w:w="491" w:type="pct"/>
            <w:tcBorders>
              <w:top w:val="single" w:color="auto" w:sz="4" w:space="0"/>
              <w:left w:val="nil"/>
              <w:bottom w:val="single" w:color="000000" w:sz="8" w:space="0"/>
              <w:right w:val="single" w:color="auto" w:sz="4" w:space="0"/>
            </w:tcBorders>
            <w:noWrap w:val="0"/>
            <w:vAlign w:val="center"/>
          </w:tcPr>
          <w:p>
            <w:pPr>
              <w:widowControl/>
              <w:jc w:val="left"/>
              <w:rPr>
                <w:rFonts w:ascii="宋体" w:hAnsi="宋体" w:cs="宋体"/>
                <w:color w:val="auto"/>
                <w:kern w:val="0"/>
                <w:szCs w:val="21"/>
              </w:rPr>
            </w:pPr>
          </w:p>
        </w:tc>
        <w:tc>
          <w:tcPr>
            <w:tcW w:w="491" w:type="pct"/>
            <w:tcBorders>
              <w:top w:val="single" w:color="auto" w:sz="4" w:space="0"/>
              <w:left w:val="single" w:color="auto" w:sz="4" w:space="0"/>
              <w:bottom w:val="single" w:color="000000" w:sz="8" w:space="0"/>
              <w:right w:val="single" w:color="auto" w:sz="4" w:space="0"/>
            </w:tcBorders>
            <w:noWrap w:val="0"/>
            <w:vAlign w:val="center"/>
          </w:tcPr>
          <w:p>
            <w:pPr>
              <w:widowControl/>
              <w:jc w:val="left"/>
              <w:rPr>
                <w:rFonts w:ascii="宋体" w:hAnsi="宋体" w:cs="宋体"/>
                <w:color w:val="auto"/>
                <w:kern w:val="0"/>
                <w:szCs w:val="21"/>
              </w:rPr>
            </w:pPr>
          </w:p>
        </w:tc>
        <w:tc>
          <w:tcPr>
            <w:tcW w:w="496" w:type="pct"/>
            <w:tcBorders>
              <w:top w:val="single" w:color="auto" w:sz="4" w:space="0"/>
              <w:left w:val="single" w:color="auto" w:sz="4" w:space="0"/>
              <w:bottom w:val="single" w:color="000000" w:sz="8" w:space="0"/>
              <w:right w:val="single" w:color="000000" w:sz="8" w:space="0"/>
            </w:tcBorders>
            <w:noWrap w:val="0"/>
            <w:vAlign w:val="center"/>
          </w:tcPr>
          <w:p>
            <w:pPr>
              <w:widowControl/>
              <w:jc w:val="left"/>
              <w:rPr>
                <w:rFonts w:ascii="宋体" w:hAnsi="宋体" w:cs="宋体"/>
                <w:color w:val="auto"/>
                <w:kern w:val="0"/>
                <w:szCs w:val="21"/>
              </w:rPr>
            </w:pPr>
          </w:p>
        </w:tc>
        <w:tc>
          <w:tcPr>
            <w:tcW w:w="335" w:type="pct"/>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lang w:bidi="ar"/>
              </w:rPr>
            </w:pPr>
          </w:p>
        </w:tc>
      </w:tr>
      <w:tr>
        <w:tblPrEx>
          <w:tblCellMar>
            <w:top w:w="0" w:type="dxa"/>
            <w:left w:w="0" w:type="dxa"/>
            <w:bottom w:w="0" w:type="dxa"/>
            <w:right w:w="0" w:type="dxa"/>
          </w:tblCellMar>
        </w:tblPrEx>
        <w:trPr>
          <w:trHeight w:val="720" w:hRule="atLeast"/>
        </w:trPr>
        <w:tc>
          <w:tcPr>
            <w:tcW w:w="238"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olor w:val="auto"/>
                <w:szCs w:val="21"/>
              </w:rPr>
            </w:pPr>
            <w:r>
              <w:rPr>
                <w:rFonts w:hint="eastAsia" w:ascii="宋体" w:hAnsi="宋体"/>
                <w:color w:val="auto"/>
                <w:szCs w:val="21"/>
              </w:rPr>
              <w:t>5</w:t>
            </w: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p>
        </w:tc>
        <w:tc>
          <w:tcPr>
            <w:tcW w:w="492"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rPr>
                <w:rFonts w:ascii="宋体" w:hAnsi="宋体" w:cs="宋体"/>
                <w:color w:val="auto"/>
                <w:kern w:val="0"/>
                <w:szCs w:val="21"/>
              </w:rPr>
            </w:pPr>
          </w:p>
        </w:tc>
        <w:tc>
          <w:tcPr>
            <w:tcW w:w="493" w:type="pct"/>
            <w:tcBorders>
              <w:top w:val="single" w:color="auto" w:sz="4" w:space="0"/>
              <w:left w:val="nil"/>
              <w:bottom w:val="single" w:color="000000" w:sz="8" w:space="0"/>
              <w:right w:val="single" w:color="auto" w:sz="4" w:space="0"/>
            </w:tcBorders>
            <w:noWrap w:val="0"/>
            <w:tcMar>
              <w:top w:w="15" w:type="dxa"/>
              <w:left w:w="15" w:type="dxa"/>
              <w:right w:w="15" w:type="dxa"/>
            </w:tcMar>
            <w:vAlign w:val="center"/>
          </w:tcPr>
          <w:p>
            <w:pPr>
              <w:widowControl/>
              <w:jc w:val="left"/>
              <w:rPr>
                <w:rFonts w:ascii="宋体" w:hAnsi="宋体" w:cs="宋体"/>
                <w:color w:val="auto"/>
                <w:kern w:val="0"/>
                <w:szCs w:val="21"/>
              </w:rPr>
            </w:pPr>
          </w:p>
        </w:tc>
        <w:tc>
          <w:tcPr>
            <w:tcW w:w="491" w:type="pct"/>
            <w:tcBorders>
              <w:top w:val="single" w:color="auto" w:sz="4" w:space="0"/>
              <w:left w:val="nil"/>
              <w:bottom w:val="single" w:color="000000" w:sz="8" w:space="0"/>
              <w:right w:val="single" w:color="auto" w:sz="4" w:space="0"/>
            </w:tcBorders>
            <w:noWrap w:val="0"/>
            <w:vAlign w:val="center"/>
          </w:tcPr>
          <w:p>
            <w:pPr>
              <w:widowControl/>
              <w:jc w:val="left"/>
              <w:rPr>
                <w:rFonts w:ascii="宋体" w:hAnsi="宋体" w:cs="宋体"/>
                <w:color w:val="auto"/>
                <w:kern w:val="0"/>
                <w:szCs w:val="21"/>
              </w:rPr>
            </w:pPr>
          </w:p>
        </w:tc>
        <w:tc>
          <w:tcPr>
            <w:tcW w:w="491" w:type="pct"/>
            <w:tcBorders>
              <w:top w:val="single" w:color="auto" w:sz="4" w:space="0"/>
              <w:left w:val="single" w:color="auto" w:sz="4" w:space="0"/>
              <w:bottom w:val="single" w:color="000000" w:sz="8" w:space="0"/>
              <w:right w:val="single" w:color="auto" w:sz="4" w:space="0"/>
            </w:tcBorders>
            <w:noWrap w:val="0"/>
            <w:vAlign w:val="center"/>
          </w:tcPr>
          <w:p>
            <w:pPr>
              <w:widowControl/>
              <w:jc w:val="left"/>
              <w:rPr>
                <w:rFonts w:ascii="宋体" w:hAnsi="宋体" w:cs="宋体"/>
                <w:color w:val="auto"/>
                <w:kern w:val="0"/>
                <w:szCs w:val="21"/>
              </w:rPr>
            </w:pPr>
          </w:p>
        </w:tc>
        <w:tc>
          <w:tcPr>
            <w:tcW w:w="496" w:type="pct"/>
            <w:tcBorders>
              <w:top w:val="single" w:color="auto" w:sz="4" w:space="0"/>
              <w:left w:val="single" w:color="auto" w:sz="4" w:space="0"/>
              <w:bottom w:val="single" w:color="000000" w:sz="8" w:space="0"/>
              <w:right w:val="single" w:color="000000" w:sz="8" w:space="0"/>
            </w:tcBorders>
            <w:noWrap w:val="0"/>
            <w:vAlign w:val="center"/>
          </w:tcPr>
          <w:p>
            <w:pPr>
              <w:widowControl/>
              <w:jc w:val="left"/>
              <w:rPr>
                <w:rFonts w:ascii="宋体" w:hAnsi="宋体" w:cs="宋体"/>
                <w:color w:val="auto"/>
                <w:kern w:val="0"/>
                <w:szCs w:val="21"/>
              </w:rPr>
            </w:pPr>
          </w:p>
        </w:tc>
        <w:tc>
          <w:tcPr>
            <w:tcW w:w="335" w:type="pct"/>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lang w:bidi="ar"/>
              </w:rPr>
            </w:pPr>
          </w:p>
        </w:tc>
      </w:tr>
      <w:tr>
        <w:tblPrEx>
          <w:tblCellMar>
            <w:top w:w="0" w:type="dxa"/>
            <w:left w:w="0" w:type="dxa"/>
            <w:bottom w:w="0" w:type="dxa"/>
            <w:right w:w="0" w:type="dxa"/>
          </w:tblCellMar>
        </w:tblPrEx>
        <w:trPr>
          <w:trHeight w:val="720" w:hRule="atLeast"/>
        </w:trPr>
        <w:tc>
          <w:tcPr>
            <w:tcW w:w="238"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olor w:val="auto"/>
                <w:szCs w:val="21"/>
              </w:rPr>
            </w:pPr>
            <w:r>
              <w:rPr>
                <w:rFonts w:ascii="宋体" w:hAnsi="宋体"/>
                <w:color w:val="auto"/>
                <w:szCs w:val="21"/>
              </w:rPr>
              <w:t>……</w:t>
            </w: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r>
              <w:rPr>
                <w:rFonts w:ascii="宋体" w:hAnsi="宋体" w:cs="宋体"/>
                <w:color w:val="auto"/>
                <w:kern w:val="0"/>
                <w:szCs w:val="21"/>
              </w:rPr>
              <w:t>……</w:t>
            </w: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r>
              <w:rPr>
                <w:rFonts w:ascii="宋体" w:hAnsi="宋体" w:cs="宋体"/>
                <w:color w:val="auto"/>
                <w:kern w:val="0"/>
                <w:szCs w:val="21"/>
              </w:rPr>
              <w:t>……</w:t>
            </w:r>
          </w:p>
        </w:tc>
        <w:tc>
          <w:tcPr>
            <w:tcW w:w="492"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r>
              <w:rPr>
                <w:rFonts w:ascii="宋体" w:hAnsi="宋体" w:cs="宋体"/>
                <w:color w:val="auto"/>
                <w:kern w:val="0"/>
                <w:szCs w:val="21"/>
              </w:rPr>
              <w:t>……</w:t>
            </w: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rPr>
                <w:rFonts w:ascii="宋体" w:hAnsi="宋体" w:cs="宋体"/>
                <w:color w:val="auto"/>
                <w:kern w:val="0"/>
                <w:szCs w:val="21"/>
              </w:rPr>
            </w:pPr>
            <w:r>
              <w:rPr>
                <w:rFonts w:ascii="宋体" w:hAnsi="宋体" w:cs="宋体"/>
                <w:color w:val="auto"/>
                <w:kern w:val="0"/>
                <w:szCs w:val="21"/>
              </w:rPr>
              <w:t>……</w:t>
            </w:r>
          </w:p>
        </w:tc>
        <w:tc>
          <w:tcPr>
            <w:tcW w:w="491" w:type="pct"/>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rPr>
                <w:rFonts w:ascii="宋体" w:hAnsi="宋体" w:cs="宋体"/>
                <w:color w:val="auto"/>
                <w:kern w:val="0"/>
                <w:szCs w:val="21"/>
              </w:rPr>
            </w:pPr>
            <w:r>
              <w:rPr>
                <w:rFonts w:ascii="宋体" w:hAnsi="宋体" w:cs="宋体"/>
                <w:color w:val="auto"/>
                <w:kern w:val="0"/>
                <w:szCs w:val="21"/>
              </w:rPr>
              <w:t>……</w:t>
            </w:r>
          </w:p>
        </w:tc>
        <w:tc>
          <w:tcPr>
            <w:tcW w:w="493" w:type="pct"/>
            <w:tcBorders>
              <w:top w:val="single" w:color="auto" w:sz="4" w:space="0"/>
              <w:left w:val="nil"/>
              <w:bottom w:val="single" w:color="000000" w:sz="8" w:space="0"/>
              <w:right w:val="single" w:color="auto" w:sz="4" w:space="0"/>
            </w:tcBorders>
            <w:noWrap w:val="0"/>
            <w:tcMar>
              <w:top w:w="15" w:type="dxa"/>
              <w:left w:w="15" w:type="dxa"/>
              <w:right w:w="15" w:type="dxa"/>
            </w:tcMar>
            <w:vAlign w:val="center"/>
          </w:tcPr>
          <w:p>
            <w:pPr>
              <w:widowControl/>
              <w:jc w:val="left"/>
              <w:rPr>
                <w:rFonts w:ascii="宋体" w:hAnsi="宋体" w:cs="宋体"/>
                <w:color w:val="auto"/>
                <w:kern w:val="0"/>
                <w:szCs w:val="21"/>
              </w:rPr>
            </w:pPr>
            <w:r>
              <w:rPr>
                <w:rFonts w:ascii="宋体" w:hAnsi="宋体" w:cs="宋体"/>
                <w:color w:val="auto"/>
                <w:kern w:val="0"/>
                <w:szCs w:val="21"/>
              </w:rPr>
              <w:t>……</w:t>
            </w:r>
          </w:p>
        </w:tc>
        <w:tc>
          <w:tcPr>
            <w:tcW w:w="491" w:type="pct"/>
            <w:tcBorders>
              <w:top w:val="single" w:color="auto" w:sz="4" w:space="0"/>
              <w:left w:val="nil"/>
              <w:bottom w:val="single" w:color="000000" w:sz="8" w:space="0"/>
              <w:right w:val="single" w:color="auto" w:sz="4" w:space="0"/>
            </w:tcBorders>
            <w:noWrap w:val="0"/>
            <w:vAlign w:val="center"/>
          </w:tcPr>
          <w:p>
            <w:pPr>
              <w:widowControl/>
              <w:jc w:val="left"/>
              <w:rPr>
                <w:rFonts w:ascii="宋体" w:hAnsi="宋体" w:cs="宋体"/>
                <w:color w:val="auto"/>
                <w:kern w:val="0"/>
                <w:szCs w:val="21"/>
              </w:rPr>
            </w:pPr>
            <w:r>
              <w:rPr>
                <w:rFonts w:ascii="宋体" w:hAnsi="宋体" w:cs="宋体"/>
                <w:color w:val="auto"/>
                <w:kern w:val="0"/>
                <w:szCs w:val="21"/>
              </w:rPr>
              <w:t>……</w:t>
            </w:r>
          </w:p>
        </w:tc>
        <w:tc>
          <w:tcPr>
            <w:tcW w:w="491" w:type="pct"/>
            <w:tcBorders>
              <w:top w:val="single" w:color="auto" w:sz="4" w:space="0"/>
              <w:left w:val="single" w:color="auto" w:sz="4" w:space="0"/>
              <w:bottom w:val="single" w:color="000000" w:sz="8" w:space="0"/>
              <w:right w:val="single" w:color="auto" w:sz="4" w:space="0"/>
            </w:tcBorders>
            <w:noWrap w:val="0"/>
            <w:vAlign w:val="center"/>
          </w:tcPr>
          <w:p>
            <w:pPr>
              <w:widowControl/>
              <w:jc w:val="left"/>
              <w:rPr>
                <w:rFonts w:ascii="宋体" w:hAnsi="宋体" w:cs="宋体"/>
                <w:color w:val="auto"/>
                <w:kern w:val="0"/>
                <w:szCs w:val="21"/>
              </w:rPr>
            </w:pPr>
            <w:r>
              <w:rPr>
                <w:rFonts w:ascii="宋体" w:hAnsi="宋体" w:cs="宋体"/>
                <w:color w:val="auto"/>
                <w:kern w:val="0"/>
                <w:szCs w:val="21"/>
              </w:rPr>
              <w:t>……</w:t>
            </w:r>
          </w:p>
        </w:tc>
        <w:tc>
          <w:tcPr>
            <w:tcW w:w="496" w:type="pct"/>
            <w:tcBorders>
              <w:top w:val="single" w:color="auto" w:sz="4" w:space="0"/>
              <w:left w:val="single" w:color="auto" w:sz="4" w:space="0"/>
              <w:bottom w:val="single" w:color="000000" w:sz="8" w:space="0"/>
              <w:right w:val="single" w:color="000000" w:sz="8" w:space="0"/>
            </w:tcBorders>
            <w:noWrap w:val="0"/>
            <w:vAlign w:val="center"/>
          </w:tcPr>
          <w:p>
            <w:pPr>
              <w:widowControl/>
              <w:jc w:val="left"/>
              <w:rPr>
                <w:rFonts w:ascii="宋体" w:hAnsi="宋体" w:cs="宋体"/>
                <w:color w:val="auto"/>
                <w:kern w:val="0"/>
                <w:szCs w:val="21"/>
              </w:rPr>
            </w:pPr>
            <w:r>
              <w:rPr>
                <w:rFonts w:ascii="宋体" w:hAnsi="宋体" w:cs="宋体"/>
                <w:color w:val="auto"/>
                <w:kern w:val="0"/>
                <w:szCs w:val="21"/>
              </w:rPr>
              <w:t>……</w:t>
            </w:r>
          </w:p>
        </w:tc>
        <w:tc>
          <w:tcPr>
            <w:tcW w:w="335" w:type="pct"/>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lang w:bidi="ar"/>
              </w:rPr>
            </w:pPr>
            <w:r>
              <w:rPr>
                <w:rFonts w:ascii="宋体" w:hAnsi="宋体" w:cs="宋体"/>
                <w:color w:val="auto"/>
                <w:kern w:val="0"/>
                <w:szCs w:val="21"/>
                <w:lang w:bidi="ar"/>
              </w:rPr>
              <w:t>……</w:t>
            </w:r>
          </w:p>
        </w:tc>
      </w:tr>
      <w:tr>
        <w:tblPrEx>
          <w:tblCellMar>
            <w:top w:w="0" w:type="dxa"/>
            <w:left w:w="0" w:type="dxa"/>
            <w:bottom w:w="0" w:type="dxa"/>
            <w:right w:w="0" w:type="dxa"/>
          </w:tblCellMar>
        </w:tblPrEx>
        <w:trPr>
          <w:trHeight w:val="534" w:hRule="atLeast"/>
        </w:trPr>
        <w:tc>
          <w:tcPr>
            <w:tcW w:w="3187" w:type="pct"/>
            <w:gridSpan w:val="7"/>
            <w:tcBorders>
              <w:top w:val="nil"/>
              <w:left w:val="single" w:color="000000" w:sz="8" w:space="0"/>
              <w:bottom w:val="single" w:color="000000" w:sz="8" w:space="0"/>
              <w:right w:val="single" w:color="auto" w:sz="4" w:space="0"/>
            </w:tcBorders>
            <w:noWrap w:val="0"/>
            <w:tcMar>
              <w:top w:w="15" w:type="dxa"/>
              <w:left w:w="15" w:type="dxa"/>
              <w:right w:w="15" w:type="dxa"/>
            </w:tcMar>
            <w:vAlign w:val="center"/>
          </w:tcPr>
          <w:p>
            <w:pPr>
              <w:jc w:val="center"/>
              <w:rPr>
                <w:rFonts w:ascii="宋体" w:hAnsi="宋体"/>
                <w:color w:val="auto"/>
                <w:szCs w:val="21"/>
              </w:rPr>
            </w:pPr>
            <w:r>
              <w:rPr>
                <w:rFonts w:ascii="宋体" w:hAnsi="宋体"/>
                <w:color w:val="auto"/>
                <w:szCs w:val="21"/>
              </w:rPr>
              <w:t>合计</w:t>
            </w:r>
          </w:p>
        </w:tc>
        <w:tc>
          <w:tcPr>
            <w:tcW w:w="491" w:type="pct"/>
            <w:tcBorders>
              <w:top w:val="nil"/>
              <w:left w:val="single" w:color="auto" w:sz="4" w:space="0"/>
              <w:bottom w:val="single" w:color="000000" w:sz="8" w:space="0"/>
              <w:right w:val="single" w:color="auto" w:sz="4" w:space="0"/>
            </w:tcBorders>
            <w:noWrap w:val="0"/>
            <w:vAlign w:val="center"/>
          </w:tcPr>
          <w:p>
            <w:pPr>
              <w:jc w:val="center"/>
              <w:rPr>
                <w:rFonts w:ascii="宋体" w:hAnsi="宋体"/>
                <w:color w:val="auto"/>
                <w:szCs w:val="21"/>
              </w:rPr>
            </w:pPr>
          </w:p>
        </w:tc>
        <w:tc>
          <w:tcPr>
            <w:tcW w:w="491" w:type="pct"/>
            <w:tcBorders>
              <w:top w:val="nil"/>
              <w:left w:val="single" w:color="auto" w:sz="4" w:space="0"/>
              <w:bottom w:val="single" w:color="000000" w:sz="8" w:space="0"/>
              <w:right w:val="single" w:color="auto" w:sz="4" w:space="0"/>
            </w:tcBorders>
            <w:noWrap w:val="0"/>
            <w:vAlign w:val="center"/>
          </w:tcPr>
          <w:p>
            <w:pPr>
              <w:jc w:val="center"/>
              <w:rPr>
                <w:rFonts w:ascii="宋体" w:hAnsi="宋体"/>
                <w:color w:val="auto"/>
                <w:szCs w:val="21"/>
              </w:rPr>
            </w:pPr>
          </w:p>
        </w:tc>
        <w:tc>
          <w:tcPr>
            <w:tcW w:w="496" w:type="pct"/>
            <w:tcBorders>
              <w:top w:val="nil"/>
              <w:left w:val="single" w:color="auto" w:sz="4" w:space="0"/>
              <w:bottom w:val="single" w:color="000000" w:sz="8" w:space="0"/>
              <w:right w:val="single" w:color="000000" w:sz="8" w:space="0"/>
            </w:tcBorders>
            <w:noWrap w:val="0"/>
            <w:vAlign w:val="center"/>
          </w:tcPr>
          <w:p>
            <w:pPr>
              <w:jc w:val="center"/>
              <w:rPr>
                <w:rFonts w:ascii="宋体" w:hAnsi="宋体"/>
                <w:color w:val="auto"/>
                <w:szCs w:val="21"/>
              </w:rPr>
            </w:pPr>
          </w:p>
        </w:tc>
        <w:tc>
          <w:tcPr>
            <w:tcW w:w="335" w:type="pct"/>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ascii="宋体" w:hAnsi="宋体"/>
                <w:color w:val="auto"/>
                <w:szCs w:val="21"/>
              </w:rPr>
            </w:pPr>
          </w:p>
        </w:tc>
      </w:tr>
    </w:tbl>
    <w:p>
      <w:pPr>
        <w:pStyle w:val="11"/>
        <w:snapToGrid w:val="0"/>
        <w:spacing w:before="295" w:after="295"/>
        <w:jc w:val="center"/>
        <w:rPr>
          <w:rFonts w:hAnsi="宋体"/>
          <w:color w:val="auto"/>
          <w:sz w:val="24"/>
          <w:lang w:eastAsia="zh-CN"/>
        </w:rPr>
      </w:pP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p>
    <w:p>
      <w:pPr>
        <w:autoSpaceDE w:val="0"/>
        <w:autoSpaceDN w:val="0"/>
        <w:spacing w:line="500" w:lineRule="exact"/>
        <w:ind w:firstLine="3158" w:firstLineChars="1316"/>
        <w:rPr>
          <w:rFonts w:hint="eastAsia" w:ascii="宋体" w:hAnsi="宋体" w:cs="宋体"/>
          <w:color w:val="auto"/>
          <w:sz w:val="24"/>
          <w:lang w:val="zh-CN"/>
        </w:rPr>
      </w:pPr>
      <w:r>
        <w:rPr>
          <w:rFonts w:hint="eastAsia" w:ascii="宋体" w:hAnsi="宋体" w:cs="宋体"/>
          <w:color w:val="auto"/>
          <w:sz w:val="24"/>
          <w:lang w:val="zh-CN"/>
        </w:rPr>
        <w:t>日期</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lang w:val="zh-CN"/>
        </w:rPr>
        <w:t>年</w:t>
      </w:r>
      <w:r>
        <w:rPr>
          <w:rFonts w:hint="eastAsia" w:ascii="宋体" w:hAnsi="宋体" w:cs="宋体"/>
          <w:color w:val="auto"/>
          <w:sz w:val="24"/>
          <w:u w:val="single"/>
        </w:rPr>
        <w:t xml:space="preserve">    </w:t>
      </w:r>
      <w:r>
        <w:rPr>
          <w:rFonts w:hint="eastAsia" w:ascii="宋体" w:hAnsi="宋体" w:cs="宋体"/>
          <w:color w:val="auto"/>
          <w:sz w:val="24"/>
          <w:lang w:val="zh-CN"/>
        </w:rPr>
        <w:t>月</w:t>
      </w:r>
      <w:r>
        <w:rPr>
          <w:rFonts w:hint="eastAsia" w:ascii="宋体" w:hAnsi="宋体" w:cs="宋体"/>
          <w:color w:val="auto"/>
          <w:sz w:val="24"/>
          <w:u w:val="single"/>
        </w:rPr>
        <w:t xml:space="preserve">   </w:t>
      </w:r>
      <w:r>
        <w:rPr>
          <w:rFonts w:hint="eastAsia" w:ascii="宋体" w:hAnsi="宋体" w:cs="宋体"/>
          <w:color w:val="auto"/>
          <w:sz w:val="24"/>
          <w:lang w:val="zh-CN"/>
        </w:rPr>
        <w:t>日</w:t>
      </w:r>
    </w:p>
    <w:p>
      <w:pPr>
        <w:pStyle w:val="2"/>
        <w:rPr>
          <w:color w:val="auto"/>
        </w:rPr>
      </w:pPr>
    </w:p>
    <w:p>
      <w:pPr>
        <w:rPr>
          <w:rFonts w:hint="eastAsia" w:ascii="宋体" w:hAnsi="宋体" w:cs="宋体"/>
          <w:color w:val="auto"/>
        </w:rPr>
      </w:pPr>
      <w:r>
        <w:rPr>
          <w:rFonts w:hint="eastAsia" w:ascii="宋体" w:hAnsi="宋体" w:cs="宋体"/>
          <w:color w:val="auto"/>
        </w:rPr>
        <w:br w:type="page"/>
      </w:r>
      <w:r>
        <w:rPr>
          <w:rFonts w:hint="eastAsia" w:ascii="宋体" w:hAnsi="宋体" w:cs="宋体"/>
          <w:color w:val="auto"/>
        </w:rPr>
        <w:br w:type="page"/>
      </w:r>
    </w:p>
    <w:p>
      <w:pPr>
        <w:pStyle w:val="21"/>
        <w:snapToGrid w:val="0"/>
        <w:ind w:left="602" w:hanging="602" w:hangingChars="200"/>
        <w:jc w:val="center"/>
        <w:rPr>
          <w:rFonts w:ascii="宋体" w:hAnsi="宋体" w:cs="宋体"/>
          <w:b/>
          <w:color w:val="auto"/>
          <w:sz w:val="30"/>
          <w:szCs w:val="30"/>
        </w:rPr>
      </w:pPr>
      <w:r>
        <w:rPr>
          <w:rFonts w:hint="eastAsia" w:ascii="宋体" w:hAnsi="宋体" w:cs="宋体"/>
          <w:b/>
          <w:color w:val="auto"/>
          <w:sz w:val="30"/>
          <w:szCs w:val="30"/>
        </w:rPr>
        <w:t>投标人成功案例的业绩证明情况一览表</w:t>
      </w:r>
    </w:p>
    <w:tbl>
      <w:tblPr>
        <w:tblStyle w:val="24"/>
        <w:tblW w:w="9773"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18"/>
        <w:gridCol w:w="1560"/>
        <w:gridCol w:w="735"/>
        <w:gridCol w:w="690"/>
        <w:gridCol w:w="975"/>
        <w:gridCol w:w="720"/>
        <w:gridCol w:w="720"/>
        <w:gridCol w:w="720"/>
        <w:gridCol w:w="163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87" w:hRule="atLeast"/>
        </w:trPr>
        <w:tc>
          <w:tcPr>
            <w:tcW w:w="20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Cs w:val="21"/>
              </w:rPr>
            </w:pPr>
            <w:r>
              <w:rPr>
                <w:rFonts w:hint="eastAsia" w:ascii="宋体" w:hAnsi="宋体" w:cs="宋体"/>
                <w:color w:val="auto"/>
                <w:szCs w:val="21"/>
              </w:rPr>
              <w:t>采购单位名称</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Cs w:val="21"/>
              </w:rPr>
            </w:pPr>
            <w:r>
              <w:rPr>
                <w:rFonts w:hint="eastAsia" w:ascii="宋体" w:hAnsi="宋体" w:cs="宋体"/>
                <w:color w:val="auto"/>
                <w:szCs w:val="21"/>
              </w:rPr>
              <w:t>设备或项目名称</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Cs w:val="21"/>
              </w:rPr>
            </w:pPr>
            <w:r>
              <w:rPr>
                <w:rFonts w:hint="eastAsia" w:ascii="宋体" w:hAnsi="宋体" w:cs="宋体"/>
                <w:color w:val="auto"/>
                <w:szCs w:val="21"/>
              </w:rPr>
              <w:t>采购</w:t>
            </w:r>
          </w:p>
          <w:p>
            <w:pPr>
              <w:snapToGrid w:val="0"/>
              <w:spacing w:line="240" w:lineRule="exact"/>
              <w:jc w:val="center"/>
              <w:rPr>
                <w:rFonts w:ascii="宋体" w:hAnsi="宋体" w:cs="宋体"/>
                <w:color w:val="auto"/>
                <w:szCs w:val="21"/>
              </w:rPr>
            </w:pPr>
            <w:r>
              <w:rPr>
                <w:rFonts w:hint="eastAsia" w:ascii="宋体" w:hAnsi="宋体" w:cs="宋体"/>
                <w:color w:val="auto"/>
                <w:szCs w:val="21"/>
              </w:rPr>
              <w:t>数量</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Cs w:val="21"/>
              </w:rPr>
            </w:pPr>
            <w:r>
              <w:rPr>
                <w:rFonts w:hint="eastAsia" w:ascii="宋体" w:hAnsi="宋体" w:cs="宋体"/>
                <w:color w:val="auto"/>
                <w:szCs w:val="21"/>
              </w:rPr>
              <w:t>单价</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Cs w:val="21"/>
              </w:rPr>
            </w:pPr>
            <w:r>
              <w:rPr>
                <w:rFonts w:hint="eastAsia" w:ascii="宋体" w:hAnsi="宋体" w:cs="宋体"/>
                <w:color w:val="auto"/>
                <w:szCs w:val="21"/>
              </w:rPr>
              <w:t>合同</w:t>
            </w:r>
          </w:p>
          <w:p>
            <w:pPr>
              <w:snapToGrid w:val="0"/>
              <w:spacing w:line="240" w:lineRule="exact"/>
              <w:jc w:val="center"/>
              <w:rPr>
                <w:rFonts w:ascii="宋体" w:hAnsi="宋体" w:cs="宋体"/>
                <w:color w:val="auto"/>
                <w:szCs w:val="21"/>
              </w:rPr>
            </w:pPr>
            <w:r>
              <w:rPr>
                <w:rFonts w:hint="eastAsia" w:ascii="宋体" w:hAnsi="宋体" w:cs="宋体"/>
                <w:color w:val="auto"/>
                <w:szCs w:val="21"/>
              </w:rPr>
              <w:t>金额</w:t>
            </w:r>
          </w:p>
          <w:p>
            <w:pPr>
              <w:snapToGrid w:val="0"/>
              <w:spacing w:line="240" w:lineRule="exact"/>
              <w:jc w:val="center"/>
              <w:rPr>
                <w:rFonts w:ascii="宋体" w:hAnsi="宋体" w:cs="宋体"/>
                <w:color w:val="auto"/>
                <w:szCs w:val="21"/>
              </w:rPr>
            </w:pPr>
            <w:r>
              <w:rPr>
                <w:rFonts w:hint="eastAsia" w:ascii="宋体" w:hAnsi="宋体" w:cs="宋体"/>
                <w:color w:val="auto"/>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Cs w:val="21"/>
              </w:rPr>
            </w:pPr>
            <w:r>
              <w:rPr>
                <w:rFonts w:hint="eastAsia" w:ascii="宋体" w:hAnsi="宋体" w:cs="宋体"/>
                <w:color w:val="auto"/>
                <w:szCs w:val="21"/>
              </w:rPr>
              <w:t>附件页码</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Cs w:val="21"/>
              </w:rPr>
            </w:pPr>
            <w:r>
              <w:rPr>
                <w:rFonts w:hint="eastAsia" w:ascii="宋体" w:hAnsi="宋体" w:cs="宋体"/>
                <w:color w:val="auto"/>
                <w:szCs w:val="21"/>
              </w:rPr>
              <w:t>采购单位联系人及联系电话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36" w:hRule="atLeast"/>
        </w:trPr>
        <w:tc>
          <w:tcPr>
            <w:tcW w:w="20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0"/>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0"/>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0"/>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0"/>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Cs w:val="21"/>
              </w:rPr>
            </w:pPr>
            <w:r>
              <w:rPr>
                <w:rFonts w:hint="eastAsia" w:ascii="宋体" w:hAnsi="宋体" w:cs="宋体"/>
                <w:color w:val="auto"/>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Cs w:val="21"/>
              </w:rPr>
            </w:pPr>
            <w:r>
              <w:rPr>
                <w:rFonts w:hint="eastAsia" w:ascii="宋体" w:hAnsi="宋体" w:cs="宋体"/>
                <w:color w:val="auto"/>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Cs w:val="21"/>
              </w:rPr>
            </w:pPr>
            <w:r>
              <w:rPr>
                <w:rFonts w:hint="eastAsia" w:ascii="宋体" w:hAnsi="宋体" w:cs="宋体"/>
                <w:color w:val="auto"/>
                <w:szCs w:val="21"/>
              </w:rPr>
              <w:t>用户评价</w:t>
            </w: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9" w:hRule="atLeast"/>
        </w:trPr>
        <w:tc>
          <w:tcPr>
            <w:tcW w:w="201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Cs w:val="21"/>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Cs w:val="21"/>
              </w:rPr>
            </w:pPr>
          </w:p>
        </w:tc>
        <w:tc>
          <w:tcPr>
            <w:tcW w:w="73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Cs w:val="21"/>
              </w:rPr>
            </w:pPr>
          </w:p>
        </w:tc>
        <w:tc>
          <w:tcPr>
            <w:tcW w:w="69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Cs w:val="21"/>
              </w:rPr>
            </w:pPr>
          </w:p>
        </w:tc>
        <w:tc>
          <w:tcPr>
            <w:tcW w:w="97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Cs w:val="21"/>
              </w:rPr>
            </w:pPr>
          </w:p>
        </w:tc>
        <w:tc>
          <w:tcPr>
            <w:tcW w:w="163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01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7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69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9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trPr>
        <w:tc>
          <w:tcPr>
            <w:tcW w:w="201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7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69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9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01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7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69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9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01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7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69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97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rPr>
            </w:pPr>
          </w:p>
        </w:tc>
      </w:tr>
    </w:tbl>
    <w:p>
      <w:pPr>
        <w:pStyle w:val="21"/>
        <w:snapToGrid w:val="0"/>
        <w:spacing w:before="152" w:after="160"/>
        <w:rPr>
          <w:rFonts w:ascii="宋体" w:hAnsi="宋体" w:cs="宋体"/>
          <w:color w:val="auto"/>
          <w:sz w:val="21"/>
          <w:szCs w:val="21"/>
        </w:rPr>
      </w:pPr>
      <w:r>
        <w:rPr>
          <w:rFonts w:hint="eastAsia" w:ascii="宋体" w:hAnsi="宋体" w:cs="宋体"/>
          <w:color w:val="auto"/>
          <w:sz w:val="21"/>
          <w:szCs w:val="21"/>
        </w:rPr>
        <w:t>注：1、在填写时，如本表格不适合投标单位的实际情况，可根据本表格式自行制表填写。</w:t>
      </w:r>
    </w:p>
    <w:p>
      <w:pPr>
        <w:pStyle w:val="21"/>
        <w:snapToGrid w:val="0"/>
        <w:spacing w:before="152" w:after="160"/>
        <w:rPr>
          <w:rFonts w:ascii="宋体" w:hAnsi="宋体" w:cs="宋体"/>
          <w:color w:val="auto"/>
          <w:sz w:val="21"/>
          <w:szCs w:val="21"/>
        </w:rPr>
      </w:pPr>
      <w:r>
        <w:rPr>
          <w:rFonts w:hint="eastAsia" w:ascii="宋体" w:hAnsi="宋体" w:cs="宋体"/>
          <w:color w:val="auto"/>
          <w:sz w:val="21"/>
          <w:szCs w:val="21"/>
        </w:rPr>
        <w:t>附：项目中标通知书、合同、用户验收报告（如有）、用户评价意见（如有）。</w:t>
      </w:r>
    </w:p>
    <w:p>
      <w:pPr>
        <w:pStyle w:val="21"/>
        <w:snapToGrid w:val="0"/>
        <w:spacing w:before="152" w:after="160"/>
        <w:rPr>
          <w:rFonts w:ascii="宋体" w:hAnsi="宋体" w:cs="宋体"/>
          <w:color w:val="auto"/>
          <w:sz w:val="21"/>
          <w:szCs w:val="21"/>
        </w:rPr>
      </w:pP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p>
    <w:p>
      <w:pPr>
        <w:autoSpaceDE w:val="0"/>
        <w:autoSpaceDN w:val="0"/>
        <w:spacing w:line="500" w:lineRule="exact"/>
        <w:ind w:firstLine="3158" w:firstLineChars="1316"/>
        <w:rPr>
          <w:rFonts w:ascii="宋体" w:hAnsi="宋体" w:cs="宋体"/>
          <w:color w:val="auto"/>
          <w:sz w:val="24"/>
          <w:lang w:val="zh-CN"/>
        </w:rPr>
      </w:pPr>
      <w:r>
        <w:rPr>
          <w:rFonts w:hint="eastAsia" w:ascii="宋体" w:hAnsi="宋体" w:cs="宋体"/>
          <w:color w:val="auto"/>
          <w:sz w:val="24"/>
          <w:lang w:val="zh-CN"/>
        </w:rPr>
        <w:t>日期：</w:t>
      </w: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p>
    <w:p>
      <w:pPr>
        <w:pStyle w:val="2"/>
      </w:pPr>
    </w:p>
    <w:p>
      <w:pPr>
        <w:rPr>
          <w:rFonts w:hint="eastAsia" w:ascii="宋体" w:hAnsi="宋体" w:cs="宋体"/>
          <w:b/>
          <w:color w:val="auto"/>
          <w:sz w:val="44"/>
          <w:szCs w:val="44"/>
        </w:rPr>
      </w:pPr>
      <w:r>
        <w:rPr>
          <w:rFonts w:hint="eastAsia" w:ascii="宋体" w:hAnsi="宋体" w:cs="宋体"/>
          <w:b/>
          <w:color w:val="auto"/>
          <w:sz w:val="44"/>
          <w:szCs w:val="44"/>
        </w:rPr>
        <w:br w:type="page"/>
      </w:r>
    </w:p>
    <w:p>
      <w:pPr>
        <w:snapToGrid w:val="0"/>
        <w:spacing w:beforeLines="50" w:after="50" w:line="1000" w:lineRule="exact"/>
        <w:jc w:val="center"/>
        <w:rPr>
          <w:rFonts w:ascii="宋体" w:hAnsi="宋体" w:cs="宋体"/>
          <w:b/>
          <w:color w:val="auto"/>
          <w:sz w:val="44"/>
          <w:szCs w:val="44"/>
        </w:rPr>
      </w:pPr>
      <w:r>
        <w:rPr>
          <w:rFonts w:hint="eastAsia" w:ascii="宋体" w:hAnsi="宋体" w:cs="宋体"/>
          <w:b/>
          <w:color w:val="auto"/>
          <w:sz w:val="44"/>
          <w:szCs w:val="44"/>
        </w:rPr>
        <w:t>二、价格部分</w:t>
      </w:r>
    </w:p>
    <w:p>
      <w:pPr>
        <w:snapToGrid w:val="0"/>
        <w:spacing w:beforeLines="50" w:after="50" w:line="320" w:lineRule="exact"/>
        <w:rPr>
          <w:rFonts w:ascii="宋体" w:hAnsi="宋体" w:cs="宋体"/>
          <w:b/>
          <w:color w:val="auto"/>
          <w:sz w:val="32"/>
          <w:szCs w:val="32"/>
        </w:rPr>
      </w:pPr>
    </w:p>
    <w:p>
      <w:pPr>
        <w:snapToGrid w:val="0"/>
        <w:spacing w:beforeLines="50" w:after="50" w:line="320" w:lineRule="exact"/>
        <w:jc w:val="center"/>
        <w:rPr>
          <w:rFonts w:ascii="宋体" w:hAnsi="宋体" w:cs="宋体"/>
          <w:b/>
          <w:color w:val="auto"/>
          <w:sz w:val="32"/>
          <w:szCs w:val="32"/>
        </w:rPr>
      </w:pPr>
      <w:r>
        <w:rPr>
          <w:rFonts w:hint="eastAsia" w:ascii="宋体" w:hAnsi="宋体" w:cs="宋体"/>
          <w:b/>
          <w:color w:val="auto"/>
          <w:sz w:val="32"/>
          <w:szCs w:val="32"/>
        </w:rPr>
        <w:t>1、投 标 函（格式）</w:t>
      </w:r>
    </w:p>
    <w:p>
      <w:pPr>
        <w:snapToGrid w:val="0"/>
        <w:spacing w:beforeLines="50" w:after="50" w:line="320" w:lineRule="exact"/>
        <w:jc w:val="center"/>
        <w:rPr>
          <w:rFonts w:ascii="宋体" w:hAnsi="宋体" w:cs="宋体"/>
          <w:b/>
          <w:color w:val="auto"/>
          <w:sz w:val="24"/>
        </w:rPr>
      </w:pPr>
    </w:p>
    <w:p>
      <w:pPr>
        <w:snapToGrid w:val="0"/>
        <w:spacing w:line="460" w:lineRule="exact"/>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 xml:space="preserve">          </w:t>
      </w:r>
      <w:r>
        <w:rPr>
          <w:rFonts w:hint="eastAsia" w:ascii="宋体" w:hAnsi="宋体" w:cs="宋体"/>
          <w:color w:val="auto"/>
          <w:szCs w:val="21"/>
        </w:rPr>
        <w:t>（招标采购单位名称）：</w:t>
      </w:r>
    </w:p>
    <w:p>
      <w:pPr>
        <w:snapToGrid w:val="0"/>
        <w:spacing w:line="460" w:lineRule="exact"/>
        <w:ind w:firstLine="480"/>
        <w:rPr>
          <w:rFonts w:ascii="宋体" w:hAnsi="宋体" w:cs="宋体"/>
          <w:color w:val="auto"/>
          <w:szCs w:val="21"/>
          <w:u w:val="single"/>
        </w:rPr>
      </w:pPr>
      <w:r>
        <w:rPr>
          <w:rFonts w:hint="eastAsia" w:ascii="宋体" w:hAnsi="宋体" w:cs="宋体"/>
          <w:color w:val="auto"/>
          <w:szCs w:val="21"/>
        </w:rPr>
        <w:t>根据贵方</w:t>
      </w:r>
      <w:r>
        <w:rPr>
          <w:rFonts w:hint="eastAsia" w:ascii="宋体" w:hAnsi="宋体" w:cs="宋体"/>
          <w:color w:val="auto"/>
          <w:szCs w:val="21"/>
          <w:u w:val="single"/>
        </w:rPr>
        <w:t xml:space="preserve">                             </w:t>
      </w:r>
      <w:r>
        <w:rPr>
          <w:rFonts w:hint="eastAsia" w:ascii="宋体" w:hAnsi="宋体" w:cs="宋体"/>
          <w:color w:val="auto"/>
          <w:szCs w:val="21"/>
        </w:rPr>
        <w:t>项目的招标公告（项目编号：</w:t>
      </w:r>
      <w:r>
        <w:rPr>
          <w:rFonts w:hint="eastAsia" w:ascii="宋体" w:hAnsi="宋体" w:cs="宋体"/>
          <w:color w:val="auto"/>
          <w:szCs w:val="21"/>
          <w:u w:val="single"/>
        </w:rPr>
        <w:t xml:space="preserve">           </w:t>
      </w:r>
      <w:r>
        <w:rPr>
          <w:rFonts w:hint="eastAsia" w:ascii="宋体" w:hAnsi="宋体" w:cs="宋体"/>
          <w:color w:val="auto"/>
          <w:szCs w:val="21"/>
        </w:rPr>
        <w:t xml:space="preserve">），签字代表 </w:t>
      </w:r>
      <w:r>
        <w:rPr>
          <w:rFonts w:hint="eastAsia" w:ascii="宋体" w:hAnsi="宋体" w:cs="宋体"/>
          <w:color w:val="auto"/>
          <w:szCs w:val="21"/>
          <w:u w:val="single"/>
        </w:rPr>
        <w:t xml:space="preserve">           </w:t>
      </w:r>
      <w:r>
        <w:rPr>
          <w:rFonts w:hint="eastAsia" w:ascii="宋体" w:hAnsi="宋体" w:cs="宋体"/>
          <w:color w:val="auto"/>
          <w:szCs w:val="21"/>
        </w:rPr>
        <w:t>（全名）经正式授权并代表投标人</w:t>
      </w:r>
      <w:r>
        <w:rPr>
          <w:rFonts w:hint="eastAsia" w:ascii="宋体" w:hAnsi="宋体" w:cs="宋体"/>
          <w:color w:val="auto"/>
          <w:szCs w:val="21"/>
          <w:u w:val="single"/>
        </w:rPr>
        <w:t xml:space="preserve">                             </w:t>
      </w:r>
      <w:r>
        <w:rPr>
          <w:rFonts w:hint="eastAsia" w:ascii="宋体" w:hAnsi="宋体" w:cs="宋体"/>
          <w:color w:val="auto"/>
          <w:szCs w:val="21"/>
        </w:rPr>
        <w:t>（投标人名称、地址。）提交投标文件</w:t>
      </w:r>
      <w:r>
        <w:rPr>
          <w:rFonts w:hint="eastAsia" w:ascii="宋体" w:hAnsi="宋体" w:cs="宋体"/>
          <w:color w:val="auto"/>
          <w:szCs w:val="21"/>
          <w:u w:val="single"/>
        </w:rPr>
        <w:t xml:space="preserve">      </w:t>
      </w:r>
      <w:r>
        <w:rPr>
          <w:rFonts w:hint="eastAsia" w:ascii="宋体" w:hAnsi="宋体" w:cs="宋体"/>
          <w:color w:val="auto"/>
          <w:szCs w:val="21"/>
        </w:rPr>
        <w:t>正本壹份、副本</w:t>
      </w:r>
      <w:r>
        <w:rPr>
          <w:rFonts w:hint="eastAsia" w:ascii="宋体" w:hAnsi="宋体" w:cs="宋体"/>
          <w:color w:val="auto"/>
          <w:szCs w:val="21"/>
          <w:u w:val="single"/>
        </w:rPr>
        <w:t xml:space="preserve">      </w:t>
      </w:r>
      <w:r>
        <w:rPr>
          <w:rFonts w:hint="eastAsia" w:ascii="宋体" w:hAnsi="宋体" w:cs="宋体"/>
          <w:color w:val="auto"/>
          <w:szCs w:val="21"/>
        </w:rPr>
        <w:t>份，开标一览表</w:t>
      </w:r>
      <w:r>
        <w:rPr>
          <w:rFonts w:hint="eastAsia" w:ascii="宋体" w:hAnsi="宋体" w:cs="宋体"/>
          <w:color w:val="auto"/>
          <w:szCs w:val="21"/>
          <w:u w:val="single"/>
        </w:rPr>
        <w:t xml:space="preserve">           </w:t>
      </w:r>
      <w:r>
        <w:rPr>
          <w:rFonts w:hint="eastAsia" w:ascii="宋体" w:hAnsi="宋体" w:cs="宋体"/>
          <w:color w:val="auto"/>
          <w:szCs w:val="21"/>
        </w:rPr>
        <w:t>份。</w:t>
      </w:r>
    </w:p>
    <w:p>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据此函，签字代表宣布同意如下：</w:t>
      </w:r>
    </w:p>
    <w:p>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1.投标人已详细审查全部“招标文件”，包括补遗文件（如有的话）以及全部参考资料和有关附件，已经了解我方对于招标文件、采购过程、采购结果有依法进行询问、质疑、投诉的权利及相关渠道和要求。</w:t>
      </w:r>
    </w:p>
    <w:p>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2.投标人在投标之前已经与贵方进行了充分的沟通，完全理解并接受招标文件的各项规定和要求，对招标文件的合理性、合法性不再有异议。</w:t>
      </w:r>
    </w:p>
    <w:p>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 xml:space="preserve">3.本投标有效期自开标日起 </w:t>
      </w:r>
      <w:r>
        <w:rPr>
          <w:rFonts w:hint="eastAsia" w:ascii="宋体" w:hAnsi="宋体" w:cs="宋体"/>
          <w:color w:val="auto"/>
          <w:szCs w:val="21"/>
          <w:u w:val="single"/>
        </w:rPr>
        <w:t xml:space="preserve">             </w:t>
      </w:r>
      <w:r>
        <w:rPr>
          <w:rFonts w:hint="eastAsia" w:ascii="宋体" w:hAnsi="宋体" w:cs="宋体"/>
          <w:color w:val="auto"/>
          <w:szCs w:val="21"/>
        </w:rPr>
        <w:t>个日历日。</w:t>
      </w:r>
    </w:p>
    <w:p>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4.如中标，本投标文件至本项目合同履行完毕止均保持有效，本投标人将按“招标文件”及政府采购法律、法规的规定履行合同责任和义务。</w:t>
      </w:r>
    </w:p>
    <w:p>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5.投标人同意按照贵方要求提供与投标有关的一切数据或资料。</w:t>
      </w:r>
    </w:p>
    <w:p>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6.与本投标有关的一切正式往来信函请寄：</w:t>
      </w:r>
    </w:p>
    <w:p>
      <w:pPr>
        <w:snapToGrid w:val="0"/>
        <w:spacing w:line="460" w:lineRule="exact"/>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r>
        <w:rPr>
          <w:rFonts w:hint="eastAsia" w:ascii="宋体" w:hAnsi="宋体" w:cs="宋体"/>
          <w:color w:val="auto"/>
          <w:szCs w:val="21"/>
        </w:rPr>
        <w:t>邮编：</w:t>
      </w:r>
      <w:r>
        <w:rPr>
          <w:rFonts w:hint="eastAsia" w:ascii="宋体" w:hAnsi="宋体" w:cs="宋体"/>
          <w:color w:val="auto"/>
          <w:szCs w:val="21"/>
          <w:u w:val="single"/>
        </w:rPr>
        <w:t xml:space="preserve">            </w:t>
      </w:r>
      <w:r>
        <w:rPr>
          <w:rFonts w:hint="eastAsia" w:ascii="宋体" w:hAnsi="宋体" w:cs="宋体"/>
          <w:color w:val="auto"/>
          <w:szCs w:val="21"/>
        </w:rPr>
        <w:t>电话：</w:t>
      </w:r>
      <w:r>
        <w:rPr>
          <w:rFonts w:hint="eastAsia" w:ascii="宋体" w:hAnsi="宋体" w:cs="宋体"/>
          <w:color w:val="auto"/>
          <w:szCs w:val="21"/>
          <w:u w:val="single"/>
        </w:rPr>
        <w:t xml:space="preserve">                 </w:t>
      </w:r>
    </w:p>
    <w:p>
      <w:pPr>
        <w:snapToGrid w:val="0"/>
        <w:spacing w:line="460" w:lineRule="exact"/>
        <w:jc w:val="left"/>
        <w:rPr>
          <w:rFonts w:ascii="宋体" w:hAnsi="宋体" w:cs="宋体"/>
          <w:color w:val="auto"/>
          <w:szCs w:val="21"/>
          <w:u w:val="single"/>
        </w:rPr>
      </w:pPr>
      <w:r>
        <w:rPr>
          <w:rFonts w:hint="eastAsia" w:ascii="宋体" w:hAnsi="宋体" w:cs="宋体"/>
          <w:color w:val="auto"/>
          <w:szCs w:val="21"/>
        </w:rPr>
        <w:t>传真：</w:t>
      </w:r>
      <w:r>
        <w:rPr>
          <w:rFonts w:hint="eastAsia" w:ascii="宋体" w:hAnsi="宋体" w:cs="宋体"/>
          <w:color w:val="auto"/>
          <w:szCs w:val="21"/>
          <w:u w:val="single"/>
        </w:rPr>
        <w:t xml:space="preserve">                 </w:t>
      </w:r>
      <w:r>
        <w:rPr>
          <w:rFonts w:hint="eastAsia" w:ascii="宋体" w:hAnsi="宋体" w:cs="宋体"/>
          <w:color w:val="auto"/>
          <w:szCs w:val="21"/>
        </w:rPr>
        <w:t>投标人代表姓名</w:t>
      </w:r>
      <w:r>
        <w:rPr>
          <w:rFonts w:hint="eastAsia" w:ascii="宋体" w:hAnsi="宋体" w:cs="宋体"/>
          <w:color w:val="auto"/>
          <w:szCs w:val="21"/>
          <w:u w:val="single"/>
        </w:rPr>
        <w:t xml:space="preserve">                  </w:t>
      </w:r>
      <w:r>
        <w:rPr>
          <w:rFonts w:hint="eastAsia" w:ascii="宋体" w:hAnsi="宋体" w:cs="宋体"/>
          <w:color w:val="auto"/>
          <w:szCs w:val="21"/>
        </w:rPr>
        <w:t>职务：</w:t>
      </w:r>
      <w:r>
        <w:rPr>
          <w:rFonts w:hint="eastAsia" w:ascii="宋体" w:hAnsi="宋体" w:cs="宋体"/>
          <w:color w:val="auto"/>
          <w:szCs w:val="21"/>
          <w:u w:val="single"/>
        </w:rPr>
        <w:t xml:space="preserve">                 </w:t>
      </w:r>
    </w:p>
    <w:p>
      <w:pPr>
        <w:snapToGrid w:val="0"/>
        <w:spacing w:line="460" w:lineRule="exact"/>
        <w:rPr>
          <w:rFonts w:ascii="宋体" w:hAnsi="宋体" w:cs="宋体"/>
          <w:color w:val="auto"/>
          <w:szCs w:val="21"/>
        </w:rPr>
      </w:pPr>
      <w:r>
        <w:rPr>
          <w:rFonts w:hint="eastAsia" w:ascii="宋体" w:hAnsi="宋体" w:cs="宋体"/>
          <w:color w:val="auto"/>
          <w:szCs w:val="21"/>
        </w:rPr>
        <w:t>账户名称：</w:t>
      </w:r>
      <w:r>
        <w:rPr>
          <w:rFonts w:hint="eastAsia" w:ascii="宋体" w:hAnsi="宋体" w:cs="宋体"/>
          <w:color w:val="auto"/>
          <w:szCs w:val="21"/>
          <w:u w:val="single"/>
        </w:rPr>
        <w:t xml:space="preserve">                      </w:t>
      </w:r>
    </w:p>
    <w:p>
      <w:pPr>
        <w:snapToGrid w:val="0"/>
        <w:spacing w:line="460" w:lineRule="exact"/>
        <w:jc w:val="left"/>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银行帐号：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460" w:lineRule="exact"/>
        <w:rPr>
          <w:rFonts w:ascii="宋体" w:hAnsi="宋体" w:cs="宋体"/>
          <w:color w:val="auto"/>
          <w:szCs w:val="21"/>
        </w:rPr>
      </w:pPr>
    </w:p>
    <w:p>
      <w:pPr>
        <w:snapToGrid w:val="0"/>
        <w:spacing w:line="460" w:lineRule="exact"/>
        <w:rPr>
          <w:rFonts w:ascii="宋体" w:hAnsi="宋体" w:cs="宋体"/>
          <w:color w:val="auto"/>
          <w:szCs w:val="21"/>
        </w:rPr>
      </w:pPr>
    </w:p>
    <w:p>
      <w:pPr>
        <w:snapToGrid w:val="0"/>
        <w:spacing w:line="460" w:lineRule="exact"/>
        <w:rPr>
          <w:rFonts w:ascii="宋体" w:hAnsi="宋体" w:cs="宋体"/>
          <w:color w:val="auto"/>
          <w:szCs w:val="21"/>
        </w:rPr>
      </w:pPr>
    </w:p>
    <w:p>
      <w:pPr>
        <w:snapToGrid w:val="0"/>
        <w:spacing w:line="500" w:lineRule="exact"/>
        <w:ind w:right="-817" w:rightChars="-389" w:firstLine="3158" w:firstLineChars="1316"/>
        <w:rPr>
          <w:rFonts w:ascii="宋体" w:hAnsi="宋体" w:cs="宋体"/>
          <w:color w:val="auto"/>
          <w:sz w:val="24"/>
        </w:rPr>
      </w:pPr>
      <w:bookmarkStart w:id="52" w:name="OLE_LINK4"/>
      <w:r>
        <w:rPr>
          <w:rFonts w:hint="eastAsia" w:ascii="宋体" w:hAnsi="宋体" w:cs="宋体"/>
          <w:color w:val="auto"/>
          <w:sz w:val="24"/>
        </w:rPr>
        <w:t>投标人名称（盖章）：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p>
    <w:p>
      <w:pPr>
        <w:autoSpaceDE w:val="0"/>
        <w:autoSpaceDN w:val="0"/>
        <w:spacing w:line="500" w:lineRule="exact"/>
        <w:ind w:firstLine="3158" w:firstLineChars="1316"/>
        <w:rPr>
          <w:rFonts w:ascii="宋体" w:hAnsi="宋体" w:cs="宋体"/>
          <w:color w:val="auto"/>
          <w:sz w:val="24"/>
          <w:lang w:val="zh-CN"/>
        </w:rPr>
      </w:pPr>
      <w:r>
        <w:rPr>
          <w:rFonts w:hint="eastAsia" w:ascii="宋体" w:hAnsi="宋体" w:cs="宋体"/>
          <w:color w:val="auto"/>
          <w:sz w:val="24"/>
          <w:lang w:val="zh-CN"/>
        </w:rPr>
        <w:t>日期：</w:t>
      </w: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p>
    <w:p>
      <w:pPr>
        <w:pStyle w:val="21"/>
        <w:snapToGrid w:val="0"/>
        <w:spacing w:before="295" w:after="295"/>
        <w:jc w:val="center"/>
        <w:rPr>
          <w:rFonts w:ascii="宋体" w:hAnsi="宋体" w:cs="宋体"/>
          <w:b/>
          <w:color w:val="auto"/>
          <w:sz w:val="32"/>
          <w:szCs w:val="32"/>
        </w:rPr>
      </w:pPr>
      <w:r>
        <w:rPr>
          <w:rFonts w:hint="eastAsia" w:ascii="宋体" w:hAnsi="宋体" w:cs="宋体"/>
          <w:b/>
          <w:color w:val="auto"/>
          <w:sz w:val="32"/>
          <w:szCs w:val="32"/>
        </w:rPr>
        <w:t>2、投标报价明细表</w:t>
      </w:r>
      <w:bookmarkEnd w:id="52"/>
      <w:r>
        <w:rPr>
          <w:rFonts w:hint="eastAsia" w:ascii="宋体" w:hAnsi="宋体" w:cs="宋体"/>
          <w:b/>
          <w:color w:val="auto"/>
          <w:sz w:val="32"/>
          <w:szCs w:val="32"/>
        </w:rPr>
        <w:t>（格式）</w:t>
      </w:r>
    </w:p>
    <w:p>
      <w:pPr>
        <w:pStyle w:val="21"/>
        <w:snapToGrid w:val="0"/>
        <w:spacing w:before="295" w:after="295"/>
        <w:ind w:firstLine="150" w:firstLineChars="50"/>
        <w:rPr>
          <w:rFonts w:ascii="宋体" w:hAnsi="宋体" w:cs="宋体"/>
          <w:color w:val="auto"/>
          <w:sz w:val="21"/>
          <w:szCs w:val="21"/>
        </w:rPr>
      </w:pPr>
      <w:r>
        <w:rPr>
          <w:rFonts w:hint="eastAsia" w:ascii="宋体" w:hAnsi="宋体" w:cs="宋体"/>
          <w:color w:val="auto"/>
          <w:sz w:val="30"/>
          <w:szCs w:val="21"/>
        </w:rPr>
        <w:t xml:space="preserve">                                                                  </w:t>
      </w:r>
    </w:p>
    <w:p>
      <w:pPr>
        <w:snapToGrid w:val="0"/>
        <w:spacing w:before="50" w:after="50"/>
        <w:rPr>
          <w:rFonts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before="50" w:after="50"/>
        <w:rPr>
          <w:rFonts w:ascii="宋体" w:hAnsi="宋体" w:cs="宋体"/>
          <w:color w:val="auto"/>
          <w:sz w:val="24"/>
        </w:rPr>
      </w:pPr>
      <w:r>
        <w:rPr>
          <w:rFonts w:hint="eastAsia" w:ascii="宋体" w:hAnsi="宋体" w:cs="宋体"/>
          <w:color w:val="auto"/>
          <w:sz w:val="24"/>
        </w:rPr>
        <w:t>投标人名称：</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20" w:lineRule="exact"/>
        <w:ind w:left="723" w:hanging="723" w:hangingChars="300"/>
        <w:rPr>
          <w:rFonts w:ascii="宋体" w:hAnsi="宋体" w:cs="宋体"/>
          <w:b/>
          <w:bCs/>
          <w:color w:val="auto"/>
          <w:sz w:val="24"/>
        </w:rPr>
      </w:pPr>
    </w:p>
    <w:tbl>
      <w:tblPr>
        <w:tblStyle w:val="24"/>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701"/>
        <w:gridCol w:w="3378"/>
        <w:gridCol w:w="3134"/>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876" w:type="dxa"/>
            <w:noWrap/>
            <w:vAlign w:val="center"/>
          </w:tcPr>
          <w:p>
            <w:pPr>
              <w:pStyle w:val="11"/>
              <w:jc w:val="center"/>
              <w:rPr>
                <w:rFonts w:hAnsi="宋体" w:cs="宋体"/>
                <w:color w:val="auto"/>
                <w:sz w:val="24"/>
                <w:szCs w:val="24"/>
              </w:rPr>
            </w:pPr>
            <w:r>
              <w:rPr>
                <w:rFonts w:hint="eastAsia" w:hAnsi="宋体" w:cs="宋体"/>
                <w:color w:val="auto"/>
                <w:sz w:val="24"/>
                <w:szCs w:val="24"/>
              </w:rPr>
              <w:t>项号</w:t>
            </w:r>
          </w:p>
        </w:tc>
        <w:tc>
          <w:tcPr>
            <w:tcW w:w="1701" w:type="dxa"/>
            <w:noWrap/>
            <w:vAlign w:val="center"/>
          </w:tcPr>
          <w:p>
            <w:pPr>
              <w:pStyle w:val="11"/>
              <w:jc w:val="center"/>
              <w:rPr>
                <w:rFonts w:hAnsi="宋体" w:cs="宋体"/>
                <w:color w:val="auto"/>
                <w:sz w:val="24"/>
                <w:szCs w:val="24"/>
              </w:rPr>
            </w:pPr>
            <w:r>
              <w:rPr>
                <w:rFonts w:hint="eastAsia" w:hAnsi="宋体" w:cs="宋体"/>
                <w:color w:val="auto"/>
                <w:sz w:val="24"/>
                <w:szCs w:val="24"/>
              </w:rPr>
              <w:t>服务名称</w:t>
            </w:r>
          </w:p>
        </w:tc>
        <w:tc>
          <w:tcPr>
            <w:tcW w:w="3378" w:type="dxa"/>
            <w:noWrap/>
            <w:vAlign w:val="center"/>
          </w:tcPr>
          <w:p>
            <w:pPr>
              <w:pStyle w:val="11"/>
              <w:jc w:val="center"/>
              <w:rPr>
                <w:rFonts w:hAnsi="宋体" w:cs="宋体"/>
                <w:color w:val="auto"/>
                <w:sz w:val="24"/>
                <w:szCs w:val="24"/>
              </w:rPr>
            </w:pPr>
            <w:r>
              <w:rPr>
                <w:rFonts w:hint="eastAsia" w:hAnsi="宋体" w:cs="宋体"/>
                <w:color w:val="auto"/>
                <w:sz w:val="24"/>
                <w:szCs w:val="24"/>
              </w:rPr>
              <w:t>服务内容</w:t>
            </w:r>
          </w:p>
        </w:tc>
        <w:tc>
          <w:tcPr>
            <w:tcW w:w="3134" w:type="dxa"/>
            <w:noWrap/>
            <w:vAlign w:val="center"/>
          </w:tcPr>
          <w:p>
            <w:pPr>
              <w:pStyle w:val="11"/>
              <w:spacing w:line="260" w:lineRule="exact"/>
              <w:jc w:val="center"/>
              <w:rPr>
                <w:rFonts w:hAnsi="宋体" w:cs="宋体"/>
                <w:color w:val="auto"/>
                <w:sz w:val="24"/>
                <w:szCs w:val="24"/>
              </w:rPr>
            </w:pPr>
            <w:r>
              <w:rPr>
                <w:rFonts w:hint="eastAsia" w:hAnsi="宋体" w:cs="宋体"/>
                <w:color w:val="auto"/>
                <w:sz w:val="24"/>
                <w:szCs w:val="24"/>
              </w:rPr>
              <w:t>投标报价</w:t>
            </w:r>
          </w:p>
        </w:tc>
        <w:tc>
          <w:tcPr>
            <w:tcW w:w="754" w:type="dxa"/>
            <w:noWrap/>
            <w:vAlign w:val="center"/>
          </w:tcPr>
          <w:p>
            <w:pPr>
              <w:pStyle w:val="11"/>
              <w:jc w:val="center"/>
              <w:rPr>
                <w:rFonts w:hAnsi="宋体" w:cs="宋体"/>
                <w:color w:val="auto"/>
                <w:sz w:val="24"/>
                <w:szCs w:val="24"/>
              </w:rPr>
            </w:pPr>
            <w:r>
              <w:rPr>
                <w:rFonts w:hint="eastAsia"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876" w:type="dxa"/>
            <w:noWrap/>
            <w:vAlign w:val="center"/>
          </w:tcPr>
          <w:p>
            <w:pPr>
              <w:spacing w:line="360" w:lineRule="exact"/>
              <w:jc w:val="center"/>
              <w:rPr>
                <w:rFonts w:ascii="宋体" w:hAnsi="宋体" w:cs="宋体"/>
                <w:color w:val="auto"/>
                <w:kern w:val="0"/>
                <w:sz w:val="24"/>
              </w:rPr>
            </w:pPr>
          </w:p>
        </w:tc>
        <w:tc>
          <w:tcPr>
            <w:tcW w:w="1701" w:type="dxa"/>
            <w:noWrap/>
            <w:vAlign w:val="center"/>
          </w:tcPr>
          <w:p>
            <w:pPr>
              <w:snapToGrid w:val="0"/>
              <w:spacing w:line="360" w:lineRule="exact"/>
              <w:jc w:val="center"/>
              <w:rPr>
                <w:rFonts w:ascii="宋体" w:hAnsi="宋体" w:cs="宋体"/>
                <w:color w:val="auto"/>
                <w:kern w:val="0"/>
                <w:sz w:val="24"/>
              </w:rPr>
            </w:pPr>
          </w:p>
        </w:tc>
        <w:tc>
          <w:tcPr>
            <w:tcW w:w="3378" w:type="dxa"/>
            <w:noWrap/>
            <w:vAlign w:val="center"/>
          </w:tcPr>
          <w:p>
            <w:pPr>
              <w:spacing w:line="360" w:lineRule="exact"/>
              <w:rPr>
                <w:rFonts w:ascii="宋体" w:hAnsi="宋体" w:cs="宋体"/>
                <w:color w:val="auto"/>
                <w:kern w:val="0"/>
                <w:sz w:val="24"/>
              </w:rPr>
            </w:pPr>
          </w:p>
        </w:tc>
        <w:tc>
          <w:tcPr>
            <w:tcW w:w="3134" w:type="dxa"/>
            <w:noWrap/>
            <w:vAlign w:val="center"/>
          </w:tcPr>
          <w:p>
            <w:pPr>
              <w:pStyle w:val="11"/>
              <w:rPr>
                <w:rFonts w:hAnsi="宋体" w:cs="宋体"/>
                <w:color w:val="auto"/>
                <w:sz w:val="24"/>
                <w:szCs w:val="24"/>
              </w:rPr>
            </w:pPr>
            <w:r>
              <w:rPr>
                <w:rFonts w:hint="eastAsia" w:hAnsi="宋体" w:cs="宋体"/>
                <w:color w:val="auto"/>
                <w:sz w:val="24"/>
                <w:szCs w:val="24"/>
              </w:rPr>
              <w:t>价格优惠率：</w:t>
            </w:r>
            <w:r>
              <w:rPr>
                <w:rFonts w:hint="eastAsia" w:hAnsi="宋体" w:cs="宋体"/>
                <w:color w:val="auto"/>
                <w:sz w:val="24"/>
                <w:szCs w:val="24"/>
                <w:u w:val="single"/>
              </w:rPr>
              <w:t xml:space="preserve">    </w:t>
            </w:r>
            <w:r>
              <w:rPr>
                <w:rFonts w:hint="eastAsia" w:hAnsi="宋体" w:cs="宋体"/>
                <w:color w:val="auto"/>
                <w:sz w:val="24"/>
                <w:szCs w:val="24"/>
              </w:rPr>
              <w:t>%</w:t>
            </w:r>
          </w:p>
          <w:p>
            <w:pPr>
              <w:pStyle w:val="11"/>
              <w:rPr>
                <w:rFonts w:hAnsi="宋体" w:cs="宋体"/>
                <w:color w:val="auto"/>
                <w:sz w:val="24"/>
                <w:szCs w:val="24"/>
              </w:rPr>
            </w:pPr>
            <w:r>
              <w:rPr>
                <w:rFonts w:hint="eastAsia" w:hAnsi="宋体" w:cs="宋体"/>
                <w:color w:val="auto"/>
                <w:sz w:val="24"/>
              </w:rPr>
              <w:t>投标人实际检验价:</w:t>
            </w:r>
            <w:r>
              <w:rPr>
                <w:rFonts w:hint="eastAsia" w:hAnsi="宋体" w:cs="宋体"/>
                <w:color w:val="auto"/>
                <w:sz w:val="24"/>
                <w:szCs w:val="24"/>
                <w:u w:val="single"/>
              </w:rPr>
              <w:t xml:space="preserve">    </w:t>
            </w:r>
            <w:r>
              <w:rPr>
                <w:rFonts w:hint="eastAsia" w:hAnsi="宋体" w:cs="宋体"/>
                <w:color w:val="auto"/>
                <w:sz w:val="24"/>
                <w:szCs w:val="24"/>
              </w:rPr>
              <w:t>元</w:t>
            </w:r>
          </w:p>
        </w:tc>
        <w:tc>
          <w:tcPr>
            <w:tcW w:w="754" w:type="dxa"/>
            <w:noWrap/>
            <w:vAlign w:val="center"/>
          </w:tcPr>
          <w:p>
            <w:pPr>
              <w:pStyle w:val="11"/>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9843" w:type="dxa"/>
            <w:gridSpan w:val="5"/>
            <w:noWrap/>
            <w:vAlign w:val="center"/>
          </w:tcPr>
          <w:p>
            <w:pPr>
              <w:pStyle w:val="11"/>
              <w:rPr>
                <w:rFonts w:hAnsi="宋体" w:cs="宋体"/>
                <w:color w:val="auto"/>
                <w:sz w:val="24"/>
                <w:szCs w:val="24"/>
              </w:rPr>
            </w:pPr>
            <w:r>
              <w:rPr>
                <w:rFonts w:hint="eastAsia" w:hAnsi="宋体" w:cs="宋体"/>
                <w:color w:val="auto"/>
                <w:sz w:val="24"/>
                <w:szCs w:val="24"/>
              </w:rPr>
              <w:t>服务期限：</w:t>
            </w:r>
            <w:r>
              <w:rPr>
                <w:rFonts w:hint="eastAsia" w:hAnsi="宋体" w:cs="宋体"/>
                <w:color w:val="auto"/>
                <w:sz w:val="24"/>
                <w:szCs w:val="24"/>
                <w:u w:val="single"/>
              </w:rPr>
              <w:t xml:space="preserve">                                        </w:t>
            </w:r>
          </w:p>
        </w:tc>
      </w:tr>
    </w:tbl>
    <w:p>
      <w:pPr>
        <w:snapToGrid w:val="0"/>
        <w:spacing w:before="50" w:after="50"/>
        <w:jc w:val="left"/>
        <w:rPr>
          <w:rFonts w:ascii="宋体" w:hAnsi="宋体" w:cs="宋体"/>
          <w:color w:val="auto"/>
          <w:sz w:val="24"/>
        </w:rPr>
      </w:pPr>
    </w:p>
    <w:p>
      <w:pPr>
        <w:snapToGrid w:val="0"/>
        <w:spacing w:line="360" w:lineRule="exact"/>
        <w:jc w:val="left"/>
        <w:rPr>
          <w:rFonts w:ascii="宋体" w:hAnsi="宋体" w:cs="宋体"/>
          <w:color w:val="auto"/>
          <w:sz w:val="24"/>
        </w:rPr>
      </w:pPr>
      <w:r>
        <w:rPr>
          <w:rFonts w:hint="eastAsia" w:ascii="宋体" w:hAnsi="宋体" w:cs="宋体"/>
          <w:color w:val="auto"/>
          <w:sz w:val="24"/>
        </w:rPr>
        <w:t xml:space="preserve">注: </w:t>
      </w:r>
    </w:p>
    <w:p>
      <w:pPr>
        <w:numPr>
          <w:ilvl w:val="0"/>
          <w:numId w:val="5"/>
        </w:numPr>
        <w:snapToGrid w:val="0"/>
        <w:spacing w:before="50" w:after="50" w:line="360" w:lineRule="exact"/>
        <w:ind w:firstLine="480" w:firstLineChars="200"/>
        <w:jc w:val="left"/>
        <w:rPr>
          <w:rFonts w:ascii="宋体" w:hAnsi="宋体" w:cs="宋体"/>
          <w:color w:val="auto"/>
          <w:sz w:val="24"/>
        </w:rPr>
      </w:pPr>
      <w:r>
        <w:rPr>
          <w:rFonts w:hint="eastAsia" w:ascii="宋体" w:hAnsi="宋体" w:cs="宋体"/>
          <w:color w:val="auto"/>
          <w:sz w:val="24"/>
        </w:rPr>
        <w:t>报价方式：抽检监测报价为价格优惠率。价格优惠率＝〔（检验指导价－投标人实际检验价）/检验指导价〕×100%。</w:t>
      </w:r>
    </w:p>
    <w:p>
      <w:pPr>
        <w:spacing w:line="360" w:lineRule="exact"/>
        <w:ind w:firstLine="480" w:firstLineChars="200"/>
        <w:rPr>
          <w:rFonts w:ascii="宋体" w:hAnsi="宋体" w:cs="宋体"/>
          <w:bCs/>
          <w:color w:val="auto"/>
          <w:sz w:val="24"/>
        </w:rPr>
      </w:pPr>
      <w:r>
        <w:rPr>
          <w:rFonts w:hint="eastAsia" w:ascii="宋体" w:hAnsi="宋体" w:cs="宋体"/>
          <w:bCs/>
          <w:color w:val="auto"/>
          <w:sz w:val="24"/>
        </w:rPr>
        <w:t>检验指导价=市场价。市场价：800元/批次。</w:t>
      </w:r>
    </w:p>
    <w:p>
      <w:pPr>
        <w:snapToGrid w:val="0"/>
        <w:spacing w:line="360" w:lineRule="exact"/>
        <w:ind w:firstLine="480" w:firstLineChars="200"/>
        <w:jc w:val="left"/>
        <w:rPr>
          <w:rFonts w:ascii="宋体" w:hAnsi="宋体" w:cs="宋体"/>
          <w:color w:val="auto"/>
          <w:sz w:val="24"/>
        </w:rPr>
      </w:pPr>
      <w:r>
        <w:rPr>
          <w:rFonts w:hint="eastAsia" w:ascii="宋体" w:hAnsi="宋体" w:cs="宋体"/>
          <w:color w:val="auto"/>
          <w:sz w:val="24"/>
        </w:rPr>
        <w:t>2、报价一经涂改，应在涂改处加盖单位公章或者由法定代表人或授权委托人签字或盖章，否则其投标作无效标处理。</w:t>
      </w:r>
    </w:p>
    <w:p>
      <w:pPr>
        <w:snapToGrid w:val="0"/>
        <w:spacing w:line="360" w:lineRule="exact"/>
        <w:ind w:firstLine="480" w:firstLineChars="200"/>
        <w:jc w:val="left"/>
        <w:rPr>
          <w:rFonts w:ascii="宋体" w:hAnsi="宋体" w:cs="宋体"/>
          <w:color w:val="auto"/>
          <w:sz w:val="24"/>
        </w:rPr>
      </w:pPr>
      <w:r>
        <w:rPr>
          <w:rFonts w:hint="eastAsia" w:ascii="宋体" w:hAnsi="宋体" w:cs="宋体"/>
          <w:color w:val="auto"/>
          <w:sz w:val="24"/>
        </w:rPr>
        <w:t>3、注：投标价格优惠率比例超过30%（不含）的投标人必须提供对其报价的合理性说明（签字盖章），格式自行编写。</w:t>
      </w:r>
    </w:p>
    <w:p>
      <w:pPr>
        <w:snapToGrid w:val="0"/>
        <w:spacing w:before="50" w:after="50"/>
        <w:jc w:val="left"/>
        <w:rPr>
          <w:rFonts w:ascii="宋体" w:hAnsi="宋体" w:cs="宋体"/>
          <w:color w:val="auto"/>
          <w:sz w:val="24"/>
        </w:rPr>
      </w:pP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p>
    <w:p>
      <w:pPr>
        <w:autoSpaceDE w:val="0"/>
        <w:autoSpaceDN w:val="0"/>
        <w:spacing w:line="500" w:lineRule="exact"/>
        <w:ind w:firstLine="3158" w:firstLineChars="1316"/>
        <w:rPr>
          <w:rFonts w:ascii="宋体" w:hAnsi="宋体" w:cs="宋体"/>
          <w:color w:val="auto"/>
          <w:sz w:val="24"/>
          <w:lang w:val="zh-CN"/>
        </w:rPr>
      </w:pPr>
      <w:r>
        <w:rPr>
          <w:rFonts w:hint="eastAsia" w:ascii="宋体" w:hAnsi="宋体" w:cs="宋体"/>
          <w:color w:val="auto"/>
          <w:sz w:val="24"/>
          <w:lang w:val="zh-CN"/>
        </w:rPr>
        <w:t>日期：</w:t>
      </w: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p>
    <w:p>
      <w:pPr>
        <w:snapToGrid w:val="0"/>
        <w:spacing w:before="50"/>
        <w:jc w:val="left"/>
        <w:rPr>
          <w:rFonts w:ascii="宋体" w:hAnsi="宋体" w:cs="宋体"/>
          <w:b/>
          <w:color w:val="auto"/>
          <w:sz w:val="24"/>
        </w:rPr>
      </w:pPr>
    </w:p>
    <w:p>
      <w:pPr>
        <w:snapToGrid w:val="0"/>
        <w:spacing w:before="50"/>
        <w:jc w:val="left"/>
        <w:rPr>
          <w:rFonts w:ascii="宋体" w:hAnsi="宋体" w:cs="宋体"/>
          <w:b/>
          <w:color w:val="auto"/>
          <w:sz w:val="24"/>
        </w:rPr>
      </w:pPr>
    </w:p>
    <w:p>
      <w:pPr>
        <w:rPr>
          <w:rFonts w:ascii="宋体" w:hAnsi="宋体" w:cs="宋体"/>
          <w:b/>
          <w:color w:val="auto"/>
        </w:rPr>
      </w:pPr>
      <w:r>
        <w:rPr>
          <w:rFonts w:hint="eastAsia" w:ascii="宋体" w:hAnsi="宋体" w:cs="宋体"/>
          <w:b/>
          <w:color w:val="auto"/>
        </w:rPr>
        <w:br w:type="page"/>
      </w: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中小企业声明函（格式）</w:t>
      </w:r>
    </w:p>
    <w:p>
      <w:pPr>
        <w:spacing w:line="360" w:lineRule="auto"/>
        <w:ind w:firstLine="420" w:firstLineChars="200"/>
        <w:rPr>
          <w:rFonts w:ascii="宋体" w:hAnsi="宋体" w:cs="宋体"/>
          <w:color w:val="auto"/>
          <w:szCs w:val="21"/>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本公司郑重声明，根据《政府采购促进中小企业发展暂行办法》（财库[2011]181号）的规定，本公司为</w:t>
      </w:r>
      <w:r>
        <w:rPr>
          <w:rFonts w:hint="eastAsia" w:ascii="宋体" w:hAnsi="宋体" w:cs="宋体"/>
          <w:color w:val="auto"/>
          <w:sz w:val="24"/>
          <w:u w:val="single"/>
        </w:rPr>
        <w:t>　  （请填写：中型、小型、微型）</w:t>
      </w:r>
      <w:r>
        <w:rPr>
          <w:rFonts w:hint="eastAsia" w:ascii="宋体" w:hAnsi="宋体" w:cs="宋体"/>
          <w:color w:val="auto"/>
          <w:sz w:val="24"/>
        </w:rPr>
        <w:t>企业。即，本公司同时满足以下条件：</w:t>
      </w:r>
    </w:p>
    <w:p>
      <w:pPr>
        <w:spacing w:line="360" w:lineRule="auto"/>
        <w:ind w:firstLine="480" w:firstLineChars="200"/>
        <w:rPr>
          <w:rFonts w:ascii="宋体" w:hAnsi="宋体" w:cs="宋体"/>
          <w:color w:val="auto"/>
          <w:sz w:val="24"/>
        </w:rPr>
      </w:pPr>
      <w:r>
        <w:rPr>
          <w:rFonts w:hint="eastAsia" w:ascii="宋体" w:hAnsi="宋体" w:cs="宋体"/>
          <w:color w:val="auto"/>
          <w:sz w:val="24"/>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auto"/>
          <w:sz w:val="24"/>
          <w:u w:val="single"/>
        </w:rPr>
        <w:t>　  （请填写：中型、小型、微型）</w:t>
      </w:r>
      <w:r>
        <w:rPr>
          <w:rFonts w:hint="eastAsia" w:ascii="宋体" w:hAnsi="宋体" w:cs="宋体"/>
          <w:color w:val="auto"/>
          <w:sz w:val="24"/>
        </w:rPr>
        <w:t>企业。</w:t>
      </w:r>
    </w:p>
    <w:p>
      <w:pPr>
        <w:spacing w:line="360" w:lineRule="auto"/>
        <w:ind w:firstLine="480" w:firstLineChars="200"/>
        <w:rPr>
          <w:rFonts w:ascii="宋体" w:hAnsi="宋体" w:cs="宋体"/>
          <w:color w:val="auto"/>
          <w:sz w:val="24"/>
        </w:rPr>
      </w:pPr>
      <w:r>
        <w:rPr>
          <w:rFonts w:hint="eastAsia" w:ascii="宋体" w:hAnsi="宋体" w:cs="宋体"/>
          <w:color w:val="auto"/>
          <w:sz w:val="24"/>
        </w:rPr>
        <w:t>2.本公司参加</w:t>
      </w:r>
      <w:r>
        <w:rPr>
          <w:rFonts w:hint="eastAsia" w:ascii="宋体" w:hAnsi="宋体" w:cs="宋体"/>
          <w:color w:val="auto"/>
          <w:sz w:val="24"/>
          <w:u w:val="single"/>
        </w:rPr>
        <w:t>　　（采购人）　　</w:t>
      </w:r>
      <w:r>
        <w:rPr>
          <w:rFonts w:hint="eastAsia" w:ascii="宋体" w:hAnsi="宋体" w:cs="宋体"/>
          <w:color w:val="auto"/>
          <w:sz w:val="24"/>
        </w:rPr>
        <w:t>的</w:t>
      </w:r>
      <w:r>
        <w:rPr>
          <w:rFonts w:hint="eastAsia" w:ascii="宋体" w:hAnsi="宋体" w:cs="宋体"/>
          <w:color w:val="auto"/>
          <w:sz w:val="24"/>
          <w:u w:val="single"/>
        </w:rPr>
        <w:t>　　（项目名称及编号）　　</w:t>
      </w:r>
      <w:r>
        <w:rPr>
          <w:rFonts w:hint="eastAsia" w:ascii="宋体" w:hAnsi="宋体" w:cs="宋体"/>
          <w:color w:val="auto"/>
          <w:sz w:val="24"/>
        </w:rPr>
        <w:t>采购活动提供本企业制造的货物，由本企业</w:t>
      </w:r>
      <w:r>
        <w:rPr>
          <w:rFonts w:hint="eastAsia" w:ascii="宋体" w:hAnsi="宋体" w:cs="宋体"/>
          <w:color w:val="auto"/>
          <w:sz w:val="24"/>
          <w:u w:val="single"/>
        </w:rPr>
        <w:t xml:space="preserve">    （承担工程、提供服务，或者提供其他（请填写：中型、小型、微型）企业制造的货物  </w:t>
      </w:r>
      <w:r>
        <w:rPr>
          <w:rFonts w:hint="eastAsia" w:ascii="宋体" w:hAnsi="宋体" w:cs="宋体"/>
          <w:color w:val="auto"/>
          <w:sz w:val="24"/>
        </w:rPr>
        <w:t>。本条所称货物不包括使用大型企业注册商标的货物。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本公司对上述声明的真实性负责。如有虚假，将依法承担相应责任。</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p>
    <w:p>
      <w:pPr>
        <w:autoSpaceDE w:val="0"/>
        <w:autoSpaceDN w:val="0"/>
        <w:spacing w:line="500" w:lineRule="exact"/>
        <w:ind w:firstLine="3158" w:firstLineChars="1316"/>
        <w:rPr>
          <w:rFonts w:ascii="宋体" w:hAnsi="宋体" w:cs="宋体"/>
          <w:color w:val="auto"/>
          <w:sz w:val="24"/>
          <w:lang w:val="zh-CN"/>
        </w:rPr>
      </w:pPr>
      <w:r>
        <w:rPr>
          <w:rFonts w:hint="eastAsia" w:ascii="宋体" w:hAnsi="宋体" w:cs="宋体"/>
          <w:color w:val="auto"/>
          <w:sz w:val="24"/>
          <w:lang w:val="zh-CN"/>
        </w:rPr>
        <w:t>日期：</w:t>
      </w: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p>
    <w:p>
      <w:pPr>
        <w:spacing w:line="400" w:lineRule="exact"/>
        <w:rPr>
          <w:rFonts w:ascii="宋体" w:hAnsi="宋体" w:cs="宋体"/>
          <w:color w:val="auto"/>
          <w:szCs w:val="21"/>
        </w:rPr>
      </w:pPr>
    </w:p>
    <w:p>
      <w:pPr>
        <w:widowControl/>
        <w:shd w:val="clear" w:color="auto" w:fill="FFFFFF"/>
        <w:spacing w:after="240" w:line="360" w:lineRule="atLeast"/>
        <w:jc w:val="left"/>
        <w:rPr>
          <w:rFonts w:ascii="宋体" w:hAnsi="宋体" w:cs="宋体"/>
          <w:color w:val="auto"/>
          <w:kern w:val="0"/>
          <w:sz w:val="24"/>
        </w:rPr>
      </w:pPr>
      <w:r>
        <w:rPr>
          <w:rFonts w:hint="eastAsia" w:ascii="宋体" w:hAnsi="宋体" w:cs="宋体"/>
          <w:color w:val="auto"/>
          <w:kern w:val="0"/>
          <w:sz w:val="24"/>
        </w:rPr>
        <w:t>说明：</w:t>
      </w:r>
    </w:p>
    <w:p>
      <w:pPr>
        <w:widowControl/>
        <w:shd w:val="clear" w:color="auto" w:fill="FFFFFF"/>
        <w:spacing w:line="400" w:lineRule="exact"/>
        <w:ind w:firstLine="482"/>
        <w:jc w:val="left"/>
        <w:rPr>
          <w:rFonts w:ascii="宋体" w:hAnsi="宋体" w:cs="宋体"/>
          <w:color w:val="auto"/>
          <w:kern w:val="0"/>
          <w:sz w:val="24"/>
        </w:rPr>
      </w:pPr>
      <w:r>
        <w:rPr>
          <w:rFonts w:hint="eastAsia" w:ascii="宋体" w:hAnsi="宋体" w:cs="宋体"/>
          <w:color w:val="auto"/>
          <w:kern w:val="0"/>
          <w:sz w:val="24"/>
        </w:rPr>
        <w:t>1、本声明函主要供参加政府采购活动的中小企业填写，非中小企业无需填写。</w:t>
      </w:r>
    </w:p>
    <w:p>
      <w:pPr>
        <w:widowControl/>
        <w:shd w:val="clear" w:color="auto" w:fill="FFFFFF"/>
        <w:spacing w:line="400" w:lineRule="exact"/>
        <w:ind w:firstLine="482"/>
        <w:jc w:val="left"/>
        <w:rPr>
          <w:rFonts w:ascii="宋体" w:hAnsi="宋体" w:cs="宋体"/>
          <w:color w:val="auto"/>
          <w:kern w:val="0"/>
          <w:sz w:val="24"/>
        </w:rPr>
      </w:pPr>
      <w:r>
        <w:rPr>
          <w:rFonts w:hint="eastAsia" w:ascii="宋体" w:hAnsi="宋体" w:cs="宋体"/>
          <w:color w:val="auto"/>
          <w:kern w:val="0"/>
          <w:sz w:val="24"/>
        </w:rPr>
        <w:t>2、小型、微型企业提供中型企业制造的货物的，视同为中型企业。</w:t>
      </w:r>
    </w:p>
    <w:p>
      <w:pPr>
        <w:widowControl/>
        <w:shd w:val="clear" w:color="auto" w:fill="FFFFFF"/>
        <w:spacing w:line="400" w:lineRule="exact"/>
        <w:ind w:firstLine="482"/>
        <w:jc w:val="left"/>
        <w:rPr>
          <w:rFonts w:ascii="宋体" w:hAnsi="宋体" w:cs="宋体"/>
          <w:color w:val="auto"/>
          <w:kern w:val="0"/>
          <w:sz w:val="24"/>
        </w:rPr>
      </w:pPr>
      <w:r>
        <w:rPr>
          <w:rFonts w:hint="eastAsia" w:ascii="宋体" w:hAnsi="宋体" w:cs="宋体"/>
          <w:color w:val="auto"/>
          <w:kern w:val="0"/>
          <w:sz w:val="24"/>
        </w:rPr>
        <w:t>3、所称中小企业必须符合《政府采购促进中小企业发展暂行办法》第二条规定。</w:t>
      </w:r>
    </w:p>
    <w:p>
      <w:pPr>
        <w:spacing w:line="360" w:lineRule="exact"/>
        <w:rPr>
          <w:rFonts w:ascii="宋体" w:hAnsi="宋体" w:cs="宋体"/>
          <w:color w:val="auto"/>
          <w:szCs w:val="21"/>
        </w:rPr>
      </w:pPr>
    </w:p>
    <w:p>
      <w:pPr>
        <w:widowControl/>
        <w:jc w:val="left"/>
        <w:rPr>
          <w:rFonts w:ascii="宋体" w:hAnsi="宋体" w:cs="宋体"/>
          <w:color w:val="auto"/>
        </w:rPr>
      </w:pPr>
      <w:r>
        <w:rPr>
          <w:rFonts w:hint="eastAsia" w:ascii="宋体" w:hAnsi="宋体" w:cs="宋体"/>
          <w:b/>
          <w:color w:val="auto"/>
          <w:kern w:val="0"/>
          <w:szCs w:val="21"/>
        </w:rPr>
        <w:t>【</w:t>
      </w:r>
      <w:r>
        <w:rPr>
          <w:rFonts w:hint="eastAsia" w:ascii="宋体" w:hAnsi="宋体" w:cs="宋体"/>
          <w:color w:val="auto"/>
          <w:kern w:val="0"/>
          <w:szCs w:val="21"/>
        </w:rPr>
        <w:t>备注：</w:t>
      </w:r>
      <w:r>
        <w:rPr>
          <w:rFonts w:hint="eastAsia" w:ascii="宋体" w:hAnsi="宋体" w:cs="宋体"/>
          <w:bCs/>
          <w:color w:val="auto"/>
          <w:kern w:val="0"/>
          <w:szCs w:val="21"/>
        </w:rPr>
        <w:t>若</w:t>
      </w:r>
      <w:r>
        <w:rPr>
          <w:rFonts w:hint="eastAsia" w:ascii="宋体" w:hAnsi="宋体" w:cs="宋体"/>
          <w:color w:val="auto"/>
          <w:kern w:val="0"/>
          <w:szCs w:val="21"/>
        </w:rPr>
        <w:t>中标</w:t>
      </w:r>
      <w:r>
        <w:rPr>
          <w:rFonts w:hint="eastAsia" w:ascii="宋体" w:hAnsi="宋体" w:cs="宋体"/>
          <w:b/>
          <w:color w:val="auto"/>
          <w:kern w:val="0"/>
          <w:szCs w:val="21"/>
        </w:rPr>
        <w:t>，</w:t>
      </w:r>
      <w:r>
        <w:rPr>
          <w:rFonts w:hint="eastAsia" w:ascii="宋体" w:hAnsi="宋体" w:cs="宋体"/>
          <w:color w:val="auto"/>
          <w:kern w:val="0"/>
          <w:szCs w:val="21"/>
        </w:rPr>
        <w:t xml:space="preserve">本声明函将在公布采购结果时一同公布，接受社会公众的监督，请投标人根据自 </w:t>
      </w:r>
    </w:p>
    <w:p>
      <w:pPr>
        <w:widowControl/>
        <w:jc w:val="left"/>
        <w:rPr>
          <w:rFonts w:ascii="宋体" w:hAnsi="宋体" w:cs="宋体"/>
          <w:color w:val="auto"/>
        </w:rPr>
      </w:pPr>
      <w:r>
        <w:rPr>
          <w:rFonts w:hint="eastAsia" w:ascii="宋体" w:hAnsi="宋体" w:cs="宋体"/>
          <w:color w:val="auto"/>
          <w:kern w:val="0"/>
          <w:szCs w:val="21"/>
        </w:rPr>
        <w:t>己的真实情况出具本声明函</w:t>
      </w:r>
      <w:r>
        <w:rPr>
          <w:rFonts w:hint="eastAsia" w:ascii="宋体" w:hAnsi="宋体" w:cs="宋体"/>
          <w:b/>
          <w:color w:val="auto"/>
          <w:kern w:val="0"/>
          <w:szCs w:val="21"/>
        </w:rPr>
        <w:t xml:space="preserve">。】 </w:t>
      </w:r>
    </w:p>
    <w:p>
      <w:pPr>
        <w:rPr>
          <w:rFonts w:ascii="宋体" w:hAnsi="宋体" w:cs="宋体"/>
          <w:color w:val="auto"/>
        </w:rPr>
      </w:pPr>
      <w:r>
        <w:rPr>
          <w:rFonts w:hint="eastAsia" w:ascii="宋体" w:hAnsi="宋体" w:cs="宋体"/>
          <w:color w:val="auto"/>
        </w:rPr>
        <w:br w:type="page"/>
      </w:r>
    </w:p>
    <w:p>
      <w:pPr>
        <w:pStyle w:val="11"/>
        <w:spacing w:line="360" w:lineRule="auto"/>
        <w:jc w:val="left"/>
        <w:outlineLvl w:val="0"/>
        <w:rPr>
          <w:rFonts w:hAnsi="宋体" w:cs="宋体"/>
          <w:b/>
          <w:bCs/>
          <w:color w:val="auto"/>
        </w:rPr>
      </w:pPr>
    </w:p>
    <w:p>
      <w:pPr>
        <w:jc w:val="center"/>
        <w:rPr>
          <w:rFonts w:ascii="宋体" w:hAnsi="宋体" w:cs="宋体"/>
          <w:b/>
          <w:bCs/>
          <w:color w:val="auto"/>
          <w:sz w:val="30"/>
          <w:szCs w:val="30"/>
        </w:rPr>
      </w:pPr>
      <w:r>
        <w:rPr>
          <w:rFonts w:hint="eastAsia" w:ascii="宋体" w:hAnsi="宋体" w:cs="宋体"/>
          <w:b/>
          <w:bCs/>
          <w:color w:val="auto"/>
          <w:sz w:val="30"/>
          <w:szCs w:val="30"/>
        </w:rPr>
        <w:t>残疾人福利性单位声明函（格式）</w:t>
      </w:r>
    </w:p>
    <w:p>
      <w:pPr>
        <w:spacing w:line="588" w:lineRule="exact"/>
        <w:ind w:firstLine="480" w:firstLineChars="200"/>
        <w:rPr>
          <w:rFonts w:ascii="宋体" w:hAnsi="宋体" w:cs="宋体"/>
          <w:color w:val="auto"/>
          <w:sz w:val="24"/>
        </w:rPr>
      </w:pPr>
    </w:p>
    <w:p>
      <w:pPr>
        <w:spacing w:line="588" w:lineRule="exact"/>
        <w:ind w:firstLine="480" w:firstLineChars="200"/>
        <w:rPr>
          <w:rFonts w:ascii="宋体" w:hAnsi="宋体" w:cs="宋体"/>
          <w:color w:val="auto"/>
          <w:sz w:val="24"/>
        </w:rPr>
      </w:pPr>
    </w:p>
    <w:p>
      <w:pPr>
        <w:spacing w:line="588" w:lineRule="exact"/>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588" w:lineRule="exact"/>
        <w:ind w:firstLine="624" w:firstLineChars="200"/>
        <w:rPr>
          <w:rFonts w:ascii="宋体" w:hAnsi="宋体" w:cs="宋体"/>
          <w:color w:val="auto"/>
          <w:spacing w:val="6"/>
          <w:sz w:val="30"/>
          <w:szCs w:val="30"/>
        </w:rPr>
      </w:pP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p>
    <w:p>
      <w:pPr>
        <w:autoSpaceDE w:val="0"/>
        <w:autoSpaceDN w:val="0"/>
        <w:spacing w:line="500" w:lineRule="exact"/>
        <w:ind w:firstLine="3158" w:firstLineChars="1316"/>
        <w:rPr>
          <w:rFonts w:ascii="宋体" w:hAnsi="宋体" w:cs="宋体"/>
          <w:color w:val="auto"/>
          <w:sz w:val="24"/>
          <w:lang w:val="zh-CN"/>
        </w:rPr>
      </w:pPr>
      <w:r>
        <w:rPr>
          <w:rFonts w:hint="eastAsia" w:ascii="宋体" w:hAnsi="宋体" w:cs="宋体"/>
          <w:color w:val="auto"/>
          <w:sz w:val="24"/>
          <w:lang w:val="zh-CN"/>
        </w:rPr>
        <w:t>日期：</w:t>
      </w: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p>
    <w:p>
      <w:pPr>
        <w:pStyle w:val="2"/>
        <w:rPr>
          <w:rFonts w:ascii="宋体" w:hAnsi="宋体" w:cs="宋体"/>
          <w:color w:val="auto"/>
          <w:u w:val="single"/>
        </w:rPr>
      </w:pPr>
    </w:p>
    <w:p>
      <w:pPr>
        <w:pStyle w:val="2"/>
        <w:rPr>
          <w:rFonts w:ascii="宋体" w:hAnsi="宋体" w:cs="宋体"/>
          <w:color w:val="auto"/>
          <w:u w:val="single"/>
        </w:rPr>
      </w:pPr>
    </w:p>
    <w:p>
      <w:pPr>
        <w:pStyle w:val="2"/>
        <w:rPr>
          <w:rFonts w:ascii="宋体" w:hAnsi="宋体" w:cs="宋体"/>
          <w:color w:val="auto"/>
          <w:u w:val="single"/>
        </w:rPr>
      </w:pPr>
    </w:p>
    <w:p>
      <w:pPr>
        <w:pStyle w:val="2"/>
        <w:rPr>
          <w:rFonts w:ascii="宋体" w:hAnsi="宋体" w:cs="宋体"/>
          <w:color w:val="auto"/>
          <w:u w:val="single"/>
        </w:rPr>
      </w:pPr>
    </w:p>
    <w:p>
      <w:pPr>
        <w:widowControl/>
        <w:jc w:val="left"/>
        <w:rPr>
          <w:rFonts w:ascii="宋体" w:hAnsi="宋体" w:cs="宋体"/>
          <w:color w:val="auto"/>
        </w:rPr>
      </w:pPr>
      <w:r>
        <w:rPr>
          <w:rFonts w:hint="eastAsia" w:ascii="宋体" w:hAnsi="宋体" w:cs="宋体"/>
          <w:b/>
          <w:color w:val="auto"/>
          <w:kern w:val="0"/>
          <w:szCs w:val="21"/>
        </w:rPr>
        <w:t>【</w:t>
      </w:r>
      <w:r>
        <w:rPr>
          <w:rFonts w:hint="eastAsia" w:ascii="宋体" w:hAnsi="宋体" w:cs="宋体"/>
          <w:color w:val="auto"/>
          <w:kern w:val="0"/>
          <w:szCs w:val="21"/>
        </w:rPr>
        <w:t>备注：</w:t>
      </w:r>
      <w:r>
        <w:rPr>
          <w:rFonts w:hint="eastAsia" w:ascii="宋体" w:hAnsi="宋体" w:cs="宋体"/>
          <w:bCs/>
          <w:color w:val="auto"/>
          <w:kern w:val="0"/>
          <w:szCs w:val="21"/>
        </w:rPr>
        <w:t>若</w:t>
      </w:r>
      <w:r>
        <w:rPr>
          <w:rFonts w:hint="eastAsia" w:ascii="宋体" w:hAnsi="宋体" w:cs="宋体"/>
          <w:color w:val="auto"/>
          <w:kern w:val="0"/>
          <w:szCs w:val="21"/>
        </w:rPr>
        <w:t>中标</w:t>
      </w:r>
      <w:r>
        <w:rPr>
          <w:rFonts w:hint="eastAsia" w:ascii="宋体" w:hAnsi="宋体" w:cs="宋体"/>
          <w:b/>
          <w:color w:val="auto"/>
          <w:kern w:val="0"/>
          <w:szCs w:val="21"/>
        </w:rPr>
        <w:t>，</w:t>
      </w:r>
      <w:r>
        <w:rPr>
          <w:rFonts w:hint="eastAsia" w:ascii="宋体" w:hAnsi="宋体" w:cs="宋体"/>
          <w:color w:val="auto"/>
          <w:kern w:val="0"/>
          <w:szCs w:val="21"/>
        </w:rPr>
        <w:t xml:space="preserve">本声明函将在公布采购结果时一同公布，接受社会公众的监督，请投标人根据自 </w:t>
      </w:r>
    </w:p>
    <w:p>
      <w:pPr>
        <w:widowControl/>
        <w:jc w:val="left"/>
        <w:rPr>
          <w:rFonts w:ascii="宋体" w:hAnsi="宋体" w:cs="宋体"/>
          <w:color w:val="auto"/>
        </w:rPr>
      </w:pPr>
      <w:r>
        <w:rPr>
          <w:rFonts w:hint="eastAsia" w:ascii="宋体" w:hAnsi="宋体" w:cs="宋体"/>
          <w:color w:val="auto"/>
          <w:kern w:val="0"/>
          <w:szCs w:val="21"/>
        </w:rPr>
        <w:t>己的真实情况出具本声明函</w:t>
      </w:r>
      <w:r>
        <w:rPr>
          <w:rFonts w:hint="eastAsia" w:ascii="宋体" w:hAnsi="宋体" w:cs="宋体"/>
          <w:b/>
          <w:color w:val="auto"/>
          <w:kern w:val="0"/>
          <w:szCs w:val="21"/>
        </w:rPr>
        <w:t xml:space="preserve">。】 </w:t>
      </w:r>
    </w:p>
    <w:p>
      <w:pPr>
        <w:snapToGrid w:val="0"/>
        <w:spacing w:before="50"/>
        <w:jc w:val="left"/>
        <w:rPr>
          <w:rFonts w:ascii="宋体" w:hAnsi="宋体" w:cs="宋体"/>
          <w:b/>
          <w:color w:val="auto"/>
          <w:sz w:val="24"/>
        </w:rPr>
      </w:pPr>
    </w:p>
    <w:p>
      <w:pPr>
        <w:snapToGrid w:val="0"/>
        <w:spacing w:before="50"/>
        <w:jc w:val="left"/>
        <w:rPr>
          <w:rFonts w:ascii="宋体" w:hAnsi="宋体" w:cs="宋体"/>
          <w:b/>
          <w:color w:val="auto"/>
          <w:sz w:val="24"/>
        </w:rPr>
      </w:pPr>
    </w:p>
    <w:p>
      <w:pPr>
        <w:snapToGrid w:val="0"/>
        <w:spacing w:before="50" w:afterLines="50"/>
        <w:ind w:firstLine="480" w:firstLineChars="200"/>
        <w:jc w:val="left"/>
        <w:rPr>
          <w:rFonts w:ascii="宋体" w:hAnsi="宋体" w:cs="宋体"/>
          <w:color w:val="auto"/>
          <w:sz w:val="24"/>
        </w:rPr>
      </w:pPr>
    </w:p>
    <w:p>
      <w:pPr>
        <w:snapToGrid w:val="0"/>
        <w:spacing w:before="50" w:afterLines="50"/>
        <w:ind w:firstLine="480" w:firstLineChars="200"/>
        <w:jc w:val="left"/>
        <w:rPr>
          <w:rFonts w:ascii="宋体" w:hAnsi="宋体" w:cs="宋体"/>
          <w:color w:val="auto"/>
          <w:sz w:val="24"/>
        </w:rPr>
      </w:pPr>
    </w:p>
    <w:p>
      <w:pPr>
        <w:snapToGrid w:val="0"/>
        <w:spacing w:before="50" w:afterLines="50"/>
        <w:ind w:firstLine="480" w:firstLineChars="200"/>
        <w:jc w:val="left"/>
        <w:rPr>
          <w:rFonts w:ascii="宋体" w:hAnsi="宋体" w:cs="宋体"/>
          <w:color w:val="auto"/>
          <w:sz w:val="24"/>
        </w:rPr>
      </w:pPr>
    </w:p>
    <w:p>
      <w:pPr>
        <w:snapToGrid w:val="0"/>
        <w:spacing w:before="50" w:afterLines="50"/>
        <w:ind w:firstLine="480" w:firstLineChars="200"/>
        <w:jc w:val="left"/>
        <w:rPr>
          <w:rFonts w:ascii="宋体" w:hAnsi="宋体" w:cs="宋体"/>
          <w:color w:val="auto"/>
          <w:sz w:val="24"/>
        </w:rPr>
      </w:pPr>
    </w:p>
    <w:p>
      <w:pPr>
        <w:snapToGrid w:val="0"/>
        <w:spacing w:before="50" w:afterLines="50"/>
        <w:ind w:firstLine="480" w:firstLineChars="200"/>
        <w:jc w:val="left"/>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br w:type="page"/>
      </w:r>
    </w:p>
    <w:p>
      <w:pPr>
        <w:snapToGrid w:val="0"/>
        <w:spacing w:beforeLines="50" w:after="50" w:line="1000" w:lineRule="exact"/>
        <w:jc w:val="center"/>
        <w:rPr>
          <w:rFonts w:ascii="宋体" w:hAnsi="宋体" w:cs="宋体"/>
          <w:b/>
          <w:color w:val="auto"/>
          <w:sz w:val="44"/>
          <w:szCs w:val="44"/>
        </w:rPr>
      </w:pPr>
      <w:r>
        <w:rPr>
          <w:rFonts w:hint="eastAsia" w:ascii="宋体" w:hAnsi="宋体" w:cs="宋体"/>
          <w:b/>
          <w:color w:val="auto"/>
          <w:sz w:val="44"/>
          <w:szCs w:val="44"/>
        </w:rPr>
        <w:t>三、技术文件</w:t>
      </w:r>
    </w:p>
    <w:p>
      <w:pPr>
        <w:snapToGrid w:val="0"/>
        <w:spacing w:before="50"/>
        <w:jc w:val="center"/>
        <w:rPr>
          <w:rFonts w:ascii="宋体" w:hAnsi="宋体" w:cs="宋体"/>
          <w:b/>
          <w:color w:val="auto"/>
          <w:sz w:val="32"/>
          <w:szCs w:val="32"/>
        </w:rPr>
      </w:pPr>
    </w:p>
    <w:p>
      <w:pPr>
        <w:snapToGrid w:val="0"/>
        <w:spacing w:before="50" w:line="360" w:lineRule="auto"/>
        <w:jc w:val="center"/>
        <w:rPr>
          <w:rFonts w:ascii="宋体" w:hAnsi="宋体" w:cs="宋体"/>
          <w:b/>
          <w:color w:val="auto"/>
          <w:sz w:val="32"/>
          <w:szCs w:val="32"/>
        </w:rPr>
      </w:pPr>
      <w:r>
        <w:rPr>
          <w:rFonts w:hint="eastAsia" w:ascii="宋体" w:hAnsi="宋体" w:cs="宋体"/>
          <w:b/>
          <w:color w:val="auto"/>
          <w:sz w:val="32"/>
          <w:szCs w:val="32"/>
        </w:rPr>
        <w:t>技术响应、偏离情况说明表（格式）</w:t>
      </w:r>
    </w:p>
    <w:p>
      <w:pPr>
        <w:spacing w:line="300" w:lineRule="auto"/>
        <w:rPr>
          <w:rFonts w:ascii="宋体" w:hAnsi="宋体" w:cs="宋体"/>
          <w:color w:val="auto"/>
          <w:sz w:val="28"/>
          <w:szCs w:val="28"/>
        </w:rPr>
      </w:pPr>
    </w:p>
    <w:p>
      <w:pPr>
        <w:pStyle w:val="11"/>
        <w:spacing w:line="440" w:lineRule="exact"/>
        <w:ind w:firstLine="468"/>
        <w:rPr>
          <w:rFonts w:hAnsi="宋体" w:cs="宋体"/>
          <w:color w:val="auto"/>
          <w:sz w:val="32"/>
          <w:szCs w:val="32"/>
        </w:rPr>
      </w:pPr>
      <w:r>
        <w:rPr>
          <w:rFonts w:hint="eastAsia" w:hAnsi="宋体" w:cs="宋体"/>
          <w:color w:val="auto"/>
          <w:sz w:val="24"/>
          <w:szCs w:val="24"/>
        </w:rPr>
        <w:t>请根据所投产品的实际技术参数，逐条对应本项目招标文件第二章“货物需求一览表”中的技术参数要求详细填写相应的具体内容。“偏离说明”一栏应当选择“正偏离”、“负偏离”或“无偏离”进行填写。</w:t>
      </w:r>
    </w:p>
    <w:p>
      <w:pPr>
        <w:spacing w:line="300" w:lineRule="auto"/>
        <w:rPr>
          <w:rFonts w:ascii="宋体" w:hAnsi="宋体" w:cs="宋体"/>
          <w:color w:val="auto"/>
          <w:sz w:val="24"/>
        </w:rPr>
      </w:pPr>
      <w:r>
        <w:rPr>
          <w:rFonts w:hint="eastAsia" w:ascii="宋体" w:hAnsi="宋体" w:cs="宋体"/>
          <w:color w:val="auto"/>
          <w:sz w:val="24"/>
        </w:rPr>
        <w:t xml:space="preserve">              </w:t>
      </w:r>
    </w:p>
    <w:tbl>
      <w:tblPr>
        <w:tblStyle w:val="24"/>
        <w:tblW w:w="923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0"/>
        <w:gridCol w:w="2126"/>
        <w:gridCol w:w="2126"/>
        <w:gridCol w:w="2347"/>
        <w:gridCol w:w="1108"/>
        <w:gridCol w:w="9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20" w:type="dxa"/>
            <w:vAlign w:val="center"/>
          </w:tcPr>
          <w:p>
            <w:pPr>
              <w:jc w:val="center"/>
              <w:rPr>
                <w:rFonts w:ascii="宋体" w:hAnsi="宋体" w:cs="宋体"/>
                <w:color w:val="auto"/>
              </w:rPr>
            </w:pPr>
            <w:bookmarkStart w:id="53" w:name="_Toc254970729"/>
            <w:bookmarkStart w:id="54" w:name="_Toc254970588"/>
            <w:bookmarkStart w:id="55" w:name="_Toc173066401"/>
            <w:bookmarkStart w:id="56" w:name="_Toc173211900"/>
            <w:r>
              <w:rPr>
                <w:rFonts w:hint="eastAsia" w:ascii="宋体" w:hAnsi="宋体" w:cs="宋体"/>
                <w:color w:val="auto"/>
              </w:rPr>
              <w:t>序号</w:t>
            </w:r>
            <w:bookmarkEnd w:id="53"/>
            <w:bookmarkEnd w:id="54"/>
            <w:bookmarkEnd w:id="55"/>
            <w:bookmarkEnd w:id="56"/>
          </w:p>
        </w:tc>
        <w:tc>
          <w:tcPr>
            <w:tcW w:w="2126" w:type="dxa"/>
            <w:vAlign w:val="center"/>
          </w:tcPr>
          <w:p>
            <w:pPr>
              <w:jc w:val="center"/>
              <w:rPr>
                <w:rFonts w:ascii="宋体" w:hAnsi="宋体" w:cs="宋体"/>
                <w:color w:val="auto"/>
              </w:rPr>
            </w:pPr>
            <w:bookmarkStart w:id="57" w:name="_Toc254970730"/>
            <w:bookmarkStart w:id="58" w:name="_Toc254970589"/>
            <w:bookmarkStart w:id="59" w:name="_Toc173066402"/>
            <w:bookmarkStart w:id="60" w:name="_Toc173211901"/>
            <w:r>
              <w:rPr>
                <w:rFonts w:hint="eastAsia" w:ascii="宋体" w:hAnsi="宋体" w:cs="宋体"/>
                <w:color w:val="auto"/>
              </w:rPr>
              <w:t>货物名称</w:t>
            </w:r>
          </w:p>
        </w:tc>
        <w:tc>
          <w:tcPr>
            <w:tcW w:w="2126" w:type="dxa"/>
            <w:vAlign w:val="center"/>
          </w:tcPr>
          <w:p>
            <w:pPr>
              <w:jc w:val="center"/>
              <w:rPr>
                <w:rFonts w:ascii="宋体" w:hAnsi="宋体" w:cs="宋体"/>
                <w:color w:val="auto"/>
              </w:rPr>
            </w:pPr>
            <w:r>
              <w:rPr>
                <w:rFonts w:hint="eastAsia" w:ascii="宋体" w:hAnsi="宋体" w:cs="宋体"/>
                <w:color w:val="auto"/>
              </w:rPr>
              <w:t>招标文件要求</w:t>
            </w:r>
            <w:bookmarkEnd w:id="57"/>
            <w:bookmarkEnd w:id="58"/>
            <w:bookmarkEnd w:id="59"/>
            <w:bookmarkEnd w:id="60"/>
          </w:p>
        </w:tc>
        <w:tc>
          <w:tcPr>
            <w:tcW w:w="2347" w:type="dxa"/>
            <w:vAlign w:val="center"/>
          </w:tcPr>
          <w:p>
            <w:pPr>
              <w:jc w:val="center"/>
              <w:rPr>
                <w:rFonts w:ascii="宋体" w:hAnsi="宋体" w:cs="宋体"/>
                <w:color w:val="auto"/>
              </w:rPr>
            </w:pPr>
            <w:bookmarkStart w:id="61" w:name="_Toc173211902"/>
            <w:bookmarkStart w:id="62" w:name="_Toc254970590"/>
            <w:bookmarkStart w:id="63" w:name="_Toc173066403"/>
            <w:bookmarkStart w:id="64" w:name="_Toc254970731"/>
            <w:r>
              <w:rPr>
                <w:rFonts w:hint="eastAsia" w:ascii="宋体" w:hAnsi="宋体" w:cs="宋体"/>
                <w:color w:val="auto"/>
              </w:rPr>
              <w:t>投标文件具体响应</w:t>
            </w:r>
            <w:bookmarkEnd w:id="61"/>
            <w:bookmarkEnd w:id="62"/>
            <w:bookmarkEnd w:id="63"/>
            <w:bookmarkEnd w:id="64"/>
          </w:p>
        </w:tc>
        <w:tc>
          <w:tcPr>
            <w:tcW w:w="1108" w:type="dxa"/>
            <w:vAlign w:val="center"/>
          </w:tcPr>
          <w:p>
            <w:pPr>
              <w:jc w:val="center"/>
              <w:rPr>
                <w:rFonts w:ascii="宋体" w:hAnsi="宋体" w:cs="宋体"/>
                <w:color w:val="auto"/>
              </w:rPr>
            </w:pPr>
            <w:r>
              <w:rPr>
                <w:rFonts w:hint="eastAsia" w:ascii="宋体" w:hAnsi="宋体" w:cs="宋体"/>
                <w:color w:val="auto"/>
                <w:szCs w:val="21"/>
              </w:rPr>
              <w:t>偏离说明</w:t>
            </w:r>
          </w:p>
        </w:tc>
        <w:tc>
          <w:tcPr>
            <w:tcW w:w="910" w:type="dxa"/>
            <w:vAlign w:val="center"/>
          </w:tcPr>
          <w:p>
            <w:pPr>
              <w:jc w:val="center"/>
              <w:rPr>
                <w:rFonts w:ascii="宋体" w:hAnsi="宋体" w:cs="宋体"/>
                <w:color w:val="auto"/>
              </w:rPr>
            </w:pPr>
            <w:bookmarkStart w:id="65" w:name="_Toc254970733"/>
            <w:bookmarkStart w:id="66" w:name="_Toc254970592"/>
            <w:bookmarkStart w:id="67" w:name="_Toc173066405"/>
            <w:bookmarkStart w:id="68" w:name="_Toc173211904"/>
            <w:r>
              <w:rPr>
                <w:rFonts w:hint="eastAsia" w:ascii="宋体" w:hAnsi="宋体" w:cs="宋体"/>
                <w:color w:val="auto"/>
              </w:rPr>
              <w:t>说明</w:t>
            </w:r>
            <w:bookmarkEnd w:id="65"/>
            <w:bookmarkEnd w:id="66"/>
            <w:bookmarkEnd w:id="67"/>
            <w:bookmarkEnd w:id="68"/>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20" w:type="dxa"/>
            <w:vAlign w:val="center"/>
          </w:tcPr>
          <w:p>
            <w:pPr>
              <w:jc w:val="center"/>
              <w:rPr>
                <w:rFonts w:ascii="宋体" w:hAnsi="宋体" w:cs="宋体"/>
                <w:color w:val="auto"/>
              </w:rPr>
            </w:pPr>
            <w:bookmarkStart w:id="69" w:name="_Toc173211905"/>
            <w:bookmarkStart w:id="70" w:name="_Toc254970734"/>
            <w:bookmarkStart w:id="71" w:name="_Toc173066406"/>
            <w:bookmarkStart w:id="72" w:name="_Toc254970593"/>
            <w:r>
              <w:rPr>
                <w:rFonts w:hint="eastAsia" w:ascii="宋体" w:hAnsi="宋体" w:cs="宋体"/>
                <w:color w:val="auto"/>
              </w:rPr>
              <w:t>1</w:t>
            </w:r>
            <w:bookmarkEnd w:id="69"/>
            <w:bookmarkEnd w:id="70"/>
            <w:bookmarkEnd w:id="71"/>
            <w:bookmarkEnd w:id="72"/>
          </w:p>
        </w:tc>
        <w:tc>
          <w:tcPr>
            <w:tcW w:w="2126" w:type="dxa"/>
            <w:vAlign w:val="center"/>
          </w:tcPr>
          <w:p>
            <w:pPr>
              <w:jc w:val="center"/>
              <w:rPr>
                <w:rFonts w:ascii="宋体" w:hAnsi="宋体" w:cs="宋体"/>
                <w:color w:val="auto"/>
              </w:rPr>
            </w:pPr>
          </w:p>
        </w:tc>
        <w:tc>
          <w:tcPr>
            <w:tcW w:w="2126" w:type="dxa"/>
            <w:vAlign w:val="center"/>
          </w:tcPr>
          <w:p>
            <w:pPr>
              <w:jc w:val="center"/>
              <w:rPr>
                <w:rFonts w:ascii="宋体" w:hAnsi="宋体" w:cs="宋体"/>
                <w:color w:val="auto"/>
              </w:rPr>
            </w:pPr>
          </w:p>
        </w:tc>
        <w:tc>
          <w:tcPr>
            <w:tcW w:w="2347" w:type="dxa"/>
            <w:vAlign w:val="center"/>
          </w:tcPr>
          <w:p>
            <w:pPr>
              <w:jc w:val="center"/>
              <w:rPr>
                <w:rFonts w:ascii="宋体" w:hAnsi="宋体" w:cs="宋体"/>
                <w:color w:val="auto"/>
              </w:rPr>
            </w:pPr>
          </w:p>
        </w:tc>
        <w:tc>
          <w:tcPr>
            <w:tcW w:w="1108" w:type="dxa"/>
            <w:vAlign w:val="center"/>
          </w:tcPr>
          <w:p>
            <w:pPr>
              <w:jc w:val="center"/>
              <w:rPr>
                <w:rFonts w:ascii="宋体" w:hAnsi="宋体" w:cs="宋体"/>
                <w:color w:val="auto"/>
              </w:rPr>
            </w:pPr>
          </w:p>
        </w:tc>
        <w:tc>
          <w:tcPr>
            <w:tcW w:w="910"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20" w:type="dxa"/>
            <w:vAlign w:val="center"/>
          </w:tcPr>
          <w:p>
            <w:pPr>
              <w:jc w:val="center"/>
              <w:rPr>
                <w:rFonts w:ascii="宋体" w:hAnsi="宋体" w:cs="宋体"/>
                <w:color w:val="auto"/>
              </w:rPr>
            </w:pPr>
            <w:bookmarkStart w:id="73" w:name="_Toc173211906"/>
            <w:bookmarkStart w:id="74" w:name="_Toc254970735"/>
            <w:bookmarkStart w:id="75" w:name="_Toc254970594"/>
            <w:bookmarkStart w:id="76" w:name="_Toc173066407"/>
            <w:r>
              <w:rPr>
                <w:rFonts w:hint="eastAsia" w:ascii="宋体" w:hAnsi="宋体" w:cs="宋体"/>
                <w:color w:val="auto"/>
              </w:rPr>
              <w:t>2</w:t>
            </w:r>
            <w:bookmarkEnd w:id="73"/>
            <w:bookmarkEnd w:id="74"/>
            <w:bookmarkEnd w:id="75"/>
            <w:bookmarkEnd w:id="76"/>
          </w:p>
        </w:tc>
        <w:tc>
          <w:tcPr>
            <w:tcW w:w="2126" w:type="dxa"/>
            <w:vAlign w:val="center"/>
          </w:tcPr>
          <w:p>
            <w:pPr>
              <w:jc w:val="center"/>
              <w:rPr>
                <w:rFonts w:ascii="宋体" w:hAnsi="宋体" w:cs="宋体"/>
                <w:color w:val="auto"/>
              </w:rPr>
            </w:pPr>
          </w:p>
        </w:tc>
        <w:tc>
          <w:tcPr>
            <w:tcW w:w="2126" w:type="dxa"/>
            <w:vAlign w:val="center"/>
          </w:tcPr>
          <w:p>
            <w:pPr>
              <w:jc w:val="center"/>
              <w:rPr>
                <w:rFonts w:ascii="宋体" w:hAnsi="宋体" w:cs="宋体"/>
                <w:color w:val="auto"/>
              </w:rPr>
            </w:pPr>
          </w:p>
        </w:tc>
        <w:tc>
          <w:tcPr>
            <w:tcW w:w="2347" w:type="dxa"/>
            <w:vAlign w:val="center"/>
          </w:tcPr>
          <w:p>
            <w:pPr>
              <w:jc w:val="center"/>
              <w:rPr>
                <w:rFonts w:ascii="宋体" w:hAnsi="宋体" w:cs="宋体"/>
                <w:color w:val="auto"/>
              </w:rPr>
            </w:pPr>
          </w:p>
        </w:tc>
        <w:tc>
          <w:tcPr>
            <w:tcW w:w="1108" w:type="dxa"/>
            <w:vAlign w:val="center"/>
          </w:tcPr>
          <w:p>
            <w:pPr>
              <w:jc w:val="center"/>
              <w:rPr>
                <w:rFonts w:ascii="宋体" w:hAnsi="宋体" w:cs="宋体"/>
                <w:color w:val="auto"/>
              </w:rPr>
            </w:pPr>
          </w:p>
        </w:tc>
        <w:tc>
          <w:tcPr>
            <w:tcW w:w="910"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20" w:type="dxa"/>
            <w:vAlign w:val="center"/>
          </w:tcPr>
          <w:p>
            <w:pPr>
              <w:jc w:val="center"/>
              <w:rPr>
                <w:rFonts w:ascii="宋体" w:hAnsi="宋体" w:cs="宋体"/>
                <w:color w:val="auto"/>
              </w:rPr>
            </w:pPr>
            <w:bookmarkStart w:id="77" w:name="_Toc173211907"/>
            <w:bookmarkStart w:id="78" w:name="_Toc254970736"/>
            <w:bookmarkStart w:id="79" w:name="_Toc254970595"/>
            <w:bookmarkStart w:id="80" w:name="_Toc173066408"/>
            <w:r>
              <w:rPr>
                <w:rFonts w:hint="eastAsia" w:ascii="宋体" w:hAnsi="宋体" w:cs="宋体"/>
                <w:color w:val="auto"/>
              </w:rPr>
              <w:t>3</w:t>
            </w:r>
            <w:bookmarkEnd w:id="77"/>
            <w:bookmarkEnd w:id="78"/>
            <w:bookmarkEnd w:id="79"/>
            <w:bookmarkEnd w:id="80"/>
          </w:p>
        </w:tc>
        <w:tc>
          <w:tcPr>
            <w:tcW w:w="2126" w:type="dxa"/>
            <w:vAlign w:val="center"/>
          </w:tcPr>
          <w:p>
            <w:pPr>
              <w:jc w:val="center"/>
              <w:rPr>
                <w:rFonts w:ascii="宋体" w:hAnsi="宋体" w:cs="宋体"/>
                <w:color w:val="auto"/>
              </w:rPr>
            </w:pPr>
          </w:p>
        </w:tc>
        <w:tc>
          <w:tcPr>
            <w:tcW w:w="2126" w:type="dxa"/>
            <w:vAlign w:val="center"/>
          </w:tcPr>
          <w:p>
            <w:pPr>
              <w:jc w:val="center"/>
              <w:rPr>
                <w:rFonts w:ascii="宋体" w:hAnsi="宋体" w:cs="宋体"/>
                <w:color w:val="auto"/>
              </w:rPr>
            </w:pPr>
          </w:p>
        </w:tc>
        <w:tc>
          <w:tcPr>
            <w:tcW w:w="2347" w:type="dxa"/>
            <w:vAlign w:val="center"/>
          </w:tcPr>
          <w:p>
            <w:pPr>
              <w:jc w:val="center"/>
              <w:rPr>
                <w:rFonts w:ascii="宋体" w:hAnsi="宋体" w:cs="宋体"/>
                <w:color w:val="auto"/>
              </w:rPr>
            </w:pPr>
          </w:p>
        </w:tc>
        <w:tc>
          <w:tcPr>
            <w:tcW w:w="1108" w:type="dxa"/>
            <w:vAlign w:val="center"/>
          </w:tcPr>
          <w:p>
            <w:pPr>
              <w:jc w:val="center"/>
              <w:rPr>
                <w:rFonts w:ascii="宋体" w:hAnsi="宋体" w:cs="宋体"/>
                <w:color w:val="auto"/>
              </w:rPr>
            </w:pPr>
          </w:p>
        </w:tc>
        <w:tc>
          <w:tcPr>
            <w:tcW w:w="910"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20" w:type="dxa"/>
            <w:vAlign w:val="center"/>
          </w:tcPr>
          <w:p>
            <w:pPr>
              <w:jc w:val="center"/>
              <w:rPr>
                <w:rFonts w:ascii="宋体" w:hAnsi="宋体" w:cs="宋体"/>
                <w:color w:val="auto"/>
              </w:rPr>
            </w:pPr>
            <w:r>
              <w:rPr>
                <w:rFonts w:hint="eastAsia" w:ascii="宋体" w:hAnsi="宋体" w:cs="宋体"/>
                <w:color w:val="auto"/>
              </w:rPr>
              <w:t>4</w:t>
            </w:r>
          </w:p>
        </w:tc>
        <w:tc>
          <w:tcPr>
            <w:tcW w:w="2126" w:type="dxa"/>
            <w:vAlign w:val="center"/>
          </w:tcPr>
          <w:p>
            <w:pPr>
              <w:jc w:val="center"/>
              <w:rPr>
                <w:rFonts w:ascii="宋体" w:hAnsi="宋体" w:cs="宋体"/>
                <w:color w:val="auto"/>
              </w:rPr>
            </w:pPr>
          </w:p>
        </w:tc>
        <w:tc>
          <w:tcPr>
            <w:tcW w:w="2126" w:type="dxa"/>
            <w:vAlign w:val="center"/>
          </w:tcPr>
          <w:p>
            <w:pPr>
              <w:jc w:val="center"/>
              <w:rPr>
                <w:rFonts w:ascii="宋体" w:hAnsi="宋体" w:cs="宋体"/>
                <w:color w:val="auto"/>
              </w:rPr>
            </w:pPr>
          </w:p>
        </w:tc>
        <w:tc>
          <w:tcPr>
            <w:tcW w:w="2347" w:type="dxa"/>
            <w:vAlign w:val="center"/>
          </w:tcPr>
          <w:p>
            <w:pPr>
              <w:jc w:val="center"/>
              <w:rPr>
                <w:rFonts w:ascii="宋体" w:hAnsi="宋体" w:cs="宋体"/>
                <w:color w:val="auto"/>
              </w:rPr>
            </w:pPr>
          </w:p>
        </w:tc>
        <w:tc>
          <w:tcPr>
            <w:tcW w:w="1108" w:type="dxa"/>
            <w:vAlign w:val="center"/>
          </w:tcPr>
          <w:p>
            <w:pPr>
              <w:jc w:val="center"/>
              <w:rPr>
                <w:rFonts w:ascii="宋体" w:hAnsi="宋体" w:cs="宋体"/>
                <w:color w:val="auto"/>
              </w:rPr>
            </w:pPr>
          </w:p>
        </w:tc>
        <w:tc>
          <w:tcPr>
            <w:tcW w:w="910"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20" w:type="dxa"/>
            <w:vAlign w:val="center"/>
          </w:tcPr>
          <w:p>
            <w:pPr>
              <w:jc w:val="center"/>
              <w:rPr>
                <w:rFonts w:ascii="宋体" w:hAnsi="宋体" w:cs="宋体"/>
                <w:color w:val="auto"/>
              </w:rPr>
            </w:pPr>
            <w:r>
              <w:rPr>
                <w:rFonts w:hint="eastAsia" w:ascii="宋体" w:hAnsi="宋体" w:cs="宋体"/>
                <w:color w:val="auto"/>
              </w:rPr>
              <w:t>5</w:t>
            </w:r>
          </w:p>
        </w:tc>
        <w:tc>
          <w:tcPr>
            <w:tcW w:w="2126" w:type="dxa"/>
            <w:vAlign w:val="center"/>
          </w:tcPr>
          <w:p>
            <w:pPr>
              <w:jc w:val="center"/>
              <w:rPr>
                <w:rFonts w:ascii="宋体" w:hAnsi="宋体" w:cs="宋体"/>
                <w:color w:val="auto"/>
              </w:rPr>
            </w:pPr>
          </w:p>
        </w:tc>
        <w:tc>
          <w:tcPr>
            <w:tcW w:w="2126" w:type="dxa"/>
            <w:vAlign w:val="center"/>
          </w:tcPr>
          <w:p>
            <w:pPr>
              <w:jc w:val="center"/>
              <w:rPr>
                <w:rFonts w:ascii="宋体" w:hAnsi="宋体" w:cs="宋体"/>
                <w:color w:val="auto"/>
              </w:rPr>
            </w:pPr>
          </w:p>
        </w:tc>
        <w:tc>
          <w:tcPr>
            <w:tcW w:w="2347" w:type="dxa"/>
            <w:vAlign w:val="center"/>
          </w:tcPr>
          <w:p>
            <w:pPr>
              <w:jc w:val="center"/>
              <w:rPr>
                <w:rFonts w:ascii="宋体" w:hAnsi="宋体" w:cs="宋体"/>
                <w:color w:val="auto"/>
              </w:rPr>
            </w:pPr>
          </w:p>
        </w:tc>
        <w:tc>
          <w:tcPr>
            <w:tcW w:w="1108" w:type="dxa"/>
            <w:vAlign w:val="center"/>
          </w:tcPr>
          <w:p>
            <w:pPr>
              <w:jc w:val="center"/>
              <w:rPr>
                <w:rFonts w:ascii="宋体" w:hAnsi="宋体" w:cs="宋体"/>
                <w:color w:val="auto"/>
              </w:rPr>
            </w:pPr>
          </w:p>
        </w:tc>
        <w:tc>
          <w:tcPr>
            <w:tcW w:w="910"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20" w:type="dxa"/>
            <w:vAlign w:val="center"/>
          </w:tcPr>
          <w:p>
            <w:pPr>
              <w:jc w:val="center"/>
              <w:rPr>
                <w:rFonts w:ascii="宋体" w:hAnsi="宋体" w:cs="宋体"/>
                <w:color w:val="auto"/>
              </w:rPr>
            </w:pPr>
            <w:bookmarkStart w:id="81" w:name="_Toc254970602"/>
            <w:bookmarkStart w:id="82" w:name="_Toc173211914"/>
            <w:bookmarkStart w:id="83" w:name="_Toc173066415"/>
            <w:bookmarkStart w:id="84" w:name="_Toc254970743"/>
            <w:r>
              <w:rPr>
                <w:rFonts w:hint="eastAsia" w:ascii="宋体" w:hAnsi="宋体" w:cs="宋体"/>
                <w:color w:val="auto"/>
              </w:rPr>
              <w:t>…</w:t>
            </w:r>
            <w:bookmarkEnd w:id="81"/>
            <w:bookmarkEnd w:id="82"/>
            <w:bookmarkEnd w:id="83"/>
            <w:bookmarkEnd w:id="84"/>
          </w:p>
        </w:tc>
        <w:tc>
          <w:tcPr>
            <w:tcW w:w="2126" w:type="dxa"/>
            <w:vAlign w:val="center"/>
          </w:tcPr>
          <w:p>
            <w:pPr>
              <w:jc w:val="center"/>
              <w:rPr>
                <w:rFonts w:ascii="宋体" w:hAnsi="宋体" w:cs="宋体"/>
                <w:color w:val="auto"/>
              </w:rPr>
            </w:pPr>
          </w:p>
        </w:tc>
        <w:tc>
          <w:tcPr>
            <w:tcW w:w="2126" w:type="dxa"/>
            <w:vAlign w:val="center"/>
          </w:tcPr>
          <w:p>
            <w:pPr>
              <w:jc w:val="center"/>
              <w:rPr>
                <w:rFonts w:ascii="宋体" w:hAnsi="宋体" w:cs="宋体"/>
                <w:color w:val="auto"/>
              </w:rPr>
            </w:pPr>
          </w:p>
        </w:tc>
        <w:tc>
          <w:tcPr>
            <w:tcW w:w="2347" w:type="dxa"/>
            <w:vAlign w:val="center"/>
          </w:tcPr>
          <w:p>
            <w:pPr>
              <w:jc w:val="center"/>
              <w:rPr>
                <w:rFonts w:ascii="宋体" w:hAnsi="宋体" w:cs="宋体"/>
                <w:color w:val="auto"/>
              </w:rPr>
            </w:pPr>
          </w:p>
        </w:tc>
        <w:tc>
          <w:tcPr>
            <w:tcW w:w="1108" w:type="dxa"/>
            <w:tcBorders>
              <w:right w:val="single" w:color="auto" w:sz="4" w:space="0"/>
            </w:tcBorders>
            <w:vAlign w:val="center"/>
          </w:tcPr>
          <w:p>
            <w:pPr>
              <w:jc w:val="center"/>
              <w:rPr>
                <w:rFonts w:ascii="宋体" w:hAnsi="宋体" w:cs="宋体"/>
                <w:color w:val="auto"/>
              </w:rPr>
            </w:pPr>
          </w:p>
        </w:tc>
        <w:tc>
          <w:tcPr>
            <w:tcW w:w="910" w:type="dxa"/>
            <w:tcBorders>
              <w:left w:val="single" w:color="auto" w:sz="4" w:space="0"/>
            </w:tcBorders>
            <w:vAlign w:val="center"/>
          </w:tcPr>
          <w:p>
            <w:pPr>
              <w:jc w:val="center"/>
              <w:rPr>
                <w:rFonts w:ascii="宋体" w:hAnsi="宋体" w:cs="宋体"/>
                <w:color w:val="auto"/>
              </w:rPr>
            </w:pPr>
          </w:p>
        </w:tc>
      </w:tr>
    </w:tbl>
    <w:p>
      <w:pPr>
        <w:pStyle w:val="11"/>
        <w:spacing w:line="440" w:lineRule="exact"/>
        <w:rPr>
          <w:rFonts w:hAnsi="宋体" w:cs="宋体"/>
          <w:color w:val="auto"/>
          <w:sz w:val="24"/>
          <w:szCs w:val="24"/>
        </w:rPr>
      </w:pPr>
      <w:r>
        <w:rPr>
          <w:rFonts w:hint="eastAsia" w:hAnsi="宋体" w:cs="宋体"/>
          <w:color w:val="auto"/>
          <w:sz w:val="24"/>
          <w:szCs w:val="24"/>
        </w:rPr>
        <w:t>注：⑴表格内容均需按要求填写并盖章，不得留空，否则按投标无效处理。</w:t>
      </w:r>
    </w:p>
    <w:p>
      <w:pPr>
        <w:pStyle w:val="11"/>
        <w:spacing w:line="440" w:lineRule="exact"/>
        <w:ind w:firstLine="468"/>
        <w:rPr>
          <w:rFonts w:hAnsi="宋体" w:cs="宋体"/>
          <w:color w:val="auto"/>
          <w:sz w:val="24"/>
          <w:szCs w:val="24"/>
        </w:rPr>
      </w:pPr>
      <w:r>
        <w:rPr>
          <w:rFonts w:hint="eastAsia" w:hAnsi="宋体" w:cs="宋体"/>
          <w:color w:val="auto"/>
          <w:sz w:val="24"/>
          <w:szCs w:val="24"/>
        </w:rPr>
        <w:t>⑵如果投标文件需求小于或大于招标文件某个数值标准时，投标文件不得直接复制招标文件需求，投标文件对应内容应当写明投标货物具体参数的实际数值，否则按投标无效处理。</w:t>
      </w:r>
    </w:p>
    <w:p>
      <w:pPr>
        <w:pStyle w:val="11"/>
        <w:spacing w:line="440" w:lineRule="exact"/>
        <w:ind w:firstLine="468"/>
        <w:rPr>
          <w:rFonts w:hAnsi="宋体" w:cs="宋体"/>
          <w:color w:val="auto"/>
          <w:sz w:val="24"/>
          <w:szCs w:val="24"/>
        </w:rPr>
      </w:pPr>
      <w:r>
        <w:rPr>
          <w:rFonts w:hint="eastAsia" w:hAnsi="宋体" w:cs="宋体"/>
          <w:color w:val="auto"/>
          <w:sz w:val="24"/>
          <w:szCs w:val="24"/>
        </w:rPr>
        <w:t>⑶当投标文件的技术参数低于招标文件要求时，投标人应当如实写明“负偏离”，否则视为虚假应标。</w:t>
      </w:r>
    </w:p>
    <w:p>
      <w:pPr>
        <w:snapToGrid w:val="0"/>
        <w:spacing w:beforeLines="50"/>
        <w:rPr>
          <w:rFonts w:ascii="宋体" w:hAnsi="宋体" w:cs="宋体"/>
          <w:color w:val="auto"/>
          <w:sz w:val="24"/>
        </w:rPr>
      </w:pP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p>
    <w:p>
      <w:pPr>
        <w:autoSpaceDE w:val="0"/>
        <w:autoSpaceDN w:val="0"/>
        <w:spacing w:line="500" w:lineRule="exact"/>
        <w:ind w:firstLine="3158" w:firstLineChars="1316"/>
        <w:rPr>
          <w:rFonts w:ascii="宋体" w:hAnsi="宋体" w:cs="宋体"/>
          <w:color w:val="auto"/>
          <w:sz w:val="24"/>
          <w:lang w:val="zh-CN"/>
        </w:rPr>
      </w:pPr>
      <w:r>
        <w:rPr>
          <w:rFonts w:hint="eastAsia" w:ascii="宋体" w:hAnsi="宋体" w:cs="宋体"/>
          <w:color w:val="auto"/>
          <w:sz w:val="24"/>
          <w:lang w:val="zh-CN"/>
        </w:rPr>
        <w:t>日期：</w:t>
      </w: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p>
    <w:p>
      <w:pPr>
        <w:snapToGrid w:val="0"/>
        <w:spacing w:before="50"/>
        <w:ind w:left="540"/>
        <w:jc w:val="left"/>
        <w:rPr>
          <w:rFonts w:ascii="宋体" w:hAnsi="宋体" w:cs="宋体"/>
          <w:b/>
          <w:color w:val="auto"/>
          <w:sz w:val="24"/>
        </w:rPr>
      </w:pPr>
      <w:r>
        <w:rPr>
          <w:rFonts w:hint="eastAsia" w:ascii="宋体" w:hAnsi="宋体" w:cs="宋体"/>
          <w:b/>
          <w:color w:val="auto"/>
          <w:sz w:val="24"/>
        </w:rPr>
        <w:br w:type="page"/>
      </w:r>
    </w:p>
    <w:p>
      <w:pPr>
        <w:snapToGrid w:val="0"/>
        <w:spacing w:line="400" w:lineRule="exact"/>
        <w:ind w:firstLine="643" w:firstLineChars="200"/>
        <w:jc w:val="center"/>
        <w:rPr>
          <w:rFonts w:ascii="宋体" w:hAnsi="宋体" w:cs="宋体"/>
          <w:b/>
          <w:bCs/>
          <w:color w:val="auto"/>
          <w:sz w:val="32"/>
          <w:szCs w:val="32"/>
        </w:rPr>
      </w:pPr>
      <w:r>
        <w:rPr>
          <w:rFonts w:hint="eastAsia" w:ascii="宋体" w:hAnsi="宋体" w:cs="宋体"/>
          <w:b/>
          <w:bCs/>
          <w:color w:val="auto"/>
          <w:sz w:val="32"/>
          <w:szCs w:val="32"/>
        </w:rPr>
        <w:t>检测工作方案（包括但不限于投标人检测能力和服务能力证明）（格式自拟）</w:t>
      </w:r>
    </w:p>
    <w:p>
      <w:pPr>
        <w:snapToGrid w:val="0"/>
        <w:spacing w:line="400" w:lineRule="exact"/>
        <w:ind w:firstLine="643" w:firstLineChars="200"/>
        <w:jc w:val="center"/>
        <w:rPr>
          <w:rFonts w:ascii="宋体" w:hAnsi="宋体" w:cs="宋体"/>
          <w:b/>
          <w:bCs/>
          <w:color w:val="auto"/>
          <w:sz w:val="32"/>
          <w:szCs w:val="32"/>
        </w:rPr>
      </w:pPr>
    </w:p>
    <w:p>
      <w:pPr>
        <w:snapToGrid w:val="0"/>
        <w:spacing w:line="400" w:lineRule="exact"/>
        <w:ind w:firstLine="643" w:firstLineChars="200"/>
        <w:jc w:val="center"/>
        <w:rPr>
          <w:rFonts w:ascii="宋体" w:hAnsi="宋体" w:cs="宋体"/>
          <w:b/>
          <w:bCs/>
          <w:color w:val="auto"/>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p>
    <w:p>
      <w:pPr>
        <w:autoSpaceDE w:val="0"/>
        <w:autoSpaceDN w:val="0"/>
        <w:spacing w:line="500" w:lineRule="exact"/>
        <w:ind w:firstLine="3158" w:firstLineChars="1316"/>
        <w:rPr>
          <w:rFonts w:ascii="宋体" w:hAnsi="宋体" w:cs="宋体"/>
          <w:color w:val="auto"/>
          <w:sz w:val="24"/>
          <w:lang w:val="zh-CN"/>
        </w:rPr>
      </w:pPr>
      <w:r>
        <w:rPr>
          <w:rFonts w:hint="eastAsia" w:ascii="宋体" w:hAnsi="宋体" w:cs="宋体"/>
          <w:color w:val="auto"/>
          <w:sz w:val="24"/>
          <w:lang w:val="zh-CN"/>
        </w:rPr>
        <w:t>日期：</w:t>
      </w: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p>
    <w:p>
      <w:pPr>
        <w:snapToGrid w:val="0"/>
        <w:spacing w:line="400" w:lineRule="exact"/>
        <w:ind w:firstLine="643" w:firstLineChars="200"/>
        <w:jc w:val="center"/>
        <w:rPr>
          <w:rFonts w:ascii="宋体" w:hAnsi="宋体" w:cs="宋体"/>
          <w:b/>
          <w:bCs/>
          <w:color w:val="auto"/>
          <w:sz w:val="32"/>
          <w:szCs w:val="32"/>
        </w:rPr>
      </w:pPr>
    </w:p>
    <w:p>
      <w:pPr>
        <w:snapToGrid w:val="0"/>
        <w:spacing w:line="400" w:lineRule="exact"/>
        <w:ind w:firstLine="643" w:firstLineChars="200"/>
        <w:jc w:val="center"/>
        <w:rPr>
          <w:rFonts w:ascii="宋体" w:hAnsi="宋体" w:cs="宋体"/>
          <w:b/>
          <w:bCs/>
          <w:color w:val="auto"/>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p>
      <w:pPr>
        <w:snapToGrid w:val="0"/>
        <w:spacing w:line="400" w:lineRule="exact"/>
        <w:ind w:firstLine="643" w:firstLineChars="200"/>
        <w:jc w:val="center"/>
        <w:rPr>
          <w:rFonts w:ascii="宋体" w:hAnsi="宋体" w:cs="宋体"/>
          <w:b/>
          <w:bCs/>
          <w:color w:val="auto"/>
          <w:sz w:val="32"/>
          <w:szCs w:val="32"/>
        </w:rPr>
      </w:pPr>
    </w:p>
    <w:p>
      <w:pPr>
        <w:snapToGrid w:val="0"/>
        <w:spacing w:line="400" w:lineRule="exact"/>
        <w:ind w:firstLine="643" w:firstLineChars="200"/>
        <w:jc w:val="center"/>
        <w:rPr>
          <w:rFonts w:ascii="宋体" w:hAnsi="宋体" w:cs="宋体"/>
          <w:b/>
          <w:bCs/>
          <w:color w:val="auto"/>
          <w:sz w:val="32"/>
          <w:szCs w:val="32"/>
        </w:rPr>
      </w:pPr>
    </w:p>
    <w:p>
      <w:pPr>
        <w:snapToGrid w:val="0"/>
        <w:spacing w:line="400" w:lineRule="exact"/>
        <w:ind w:firstLine="643" w:firstLineChars="200"/>
        <w:jc w:val="center"/>
        <w:rPr>
          <w:rFonts w:ascii="宋体" w:hAnsi="宋体" w:cs="宋体"/>
          <w:b/>
          <w:bCs/>
          <w:color w:val="auto"/>
          <w:sz w:val="32"/>
          <w:szCs w:val="32"/>
        </w:rPr>
      </w:pPr>
      <w:r>
        <w:rPr>
          <w:rFonts w:hint="eastAsia" w:ascii="宋体" w:hAnsi="宋体" w:cs="宋体"/>
          <w:b/>
          <w:bCs/>
          <w:color w:val="auto"/>
          <w:sz w:val="32"/>
          <w:szCs w:val="32"/>
        </w:rPr>
        <w:t>服务承诺方案（格式自拟）</w:t>
      </w:r>
    </w:p>
    <w:p>
      <w:pPr>
        <w:snapToGrid w:val="0"/>
        <w:spacing w:line="400" w:lineRule="exact"/>
        <w:ind w:firstLine="480" w:firstLineChars="200"/>
        <w:rPr>
          <w:rFonts w:ascii="仿宋_GB2312" w:hAnsi="宋体" w:eastAsia="仿宋_GB2312"/>
          <w:color w:val="auto"/>
          <w:sz w:val="24"/>
        </w:rPr>
      </w:pPr>
    </w:p>
    <w:p>
      <w:pPr>
        <w:pStyle w:val="2"/>
        <w:rPr>
          <w:rFonts w:ascii="仿宋_GB2312" w:hAnsi="宋体" w:eastAsia="仿宋_GB2312"/>
          <w:color w:val="auto"/>
          <w:sz w:val="24"/>
        </w:rPr>
      </w:pPr>
    </w:p>
    <w:p>
      <w:pPr>
        <w:pStyle w:val="2"/>
        <w:rPr>
          <w:rFonts w:ascii="仿宋_GB2312" w:hAnsi="宋体" w:eastAsia="仿宋_GB2312"/>
          <w:color w:val="auto"/>
          <w:sz w:val="24"/>
        </w:rPr>
      </w:pPr>
    </w:p>
    <w:p>
      <w:pPr>
        <w:pStyle w:val="2"/>
        <w:rPr>
          <w:rFonts w:ascii="仿宋_GB2312" w:hAnsi="宋体" w:eastAsia="仿宋_GB2312"/>
          <w:color w:val="auto"/>
          <w:sz w:val="24"/>
        </w:rPr>
      </w:pPr>
    </w:p>
    <w:p>
      <w:pPr>
        <w:pStyle w:val="2"/>
        <w:rPr>
          <w:rFonts w:ascii="仿宋_GB2312" w:hAnsi="宋体" w:eastAsia="仿宋_GB2312"/>
          <w:color w:val="auto"/>
          <w:sz w:val="24"/>
        </w:rPr>
      </w:pP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p>
    <w:p>
      <w:pPr>
        <w:autoSpaceDE w:val="0"/>
        <w:autoSpaceDN w:val="0"/>
        <w:spacing w:line="500" w:lineRule="exact"/>
        <w:ind w:firstLine="3158" w:firstLineChars="1316"/>
        <w:rPr>
          <w:rFonts w:ascii="宋体" w:hAnsi="宋体" w:cs="宋体"/>
          <w:color w:val="auto"/>
          <w:sz w:val="24"/>
          <w:lang w:val="zh-CN"/>
        </w:rPr>
      </w:pPr>
      <w:r>
        <w:rPr>
          <w:rFonts w:hint="eastAsia" w:ascii="宋体" w:hAnsi="宋体" w:cs="宋体"/>
          <w:color w:val="auto"/>
          <w:sz w:val="24"/>
          <w:lang w:val="zh-CN"/>
        </w:rPr>
        <w:t>日期：</w:t>
      </w: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p>
    <w:p>
      <w:pPr>
        <w:snapToGrid w:val="0"/>
        <w:spacing w:line="400" w:lineRule="exact"/>
        <w:ind w:firstLine="480" w:firstLineChars="200"/>
        <w:rPr>
          <w:rFonts w:ascii="仿宋_GB2312" w:hAnsi="宋体" w:eastAsia="仿宋_GB2312"/>
          <w:color w:val="auto"/>
          <w:sz w:val="24"/>
        </w:rPr>
      </w:pPr>
    </w:p>
    <w:p>
      <w:pPr>
        <w:rPr>
          <w:rFonts w:ascii="仿宋_GB2312" w:hAnsi="宋体" w:eastAsia="仿宋_GB2312"/>
          <w:color w:val="auto"/>
          <w:sz w:val="24"/>
        </w:rPr>
      </w:pPr>
      <w:r>
        <w:rPr>
          <w:rFonts w:hint="eastAsia" w:ascii="仿宋_GB2312" w:hAnsi="宋体" w:eastAsia="仿宋_GB2312"/>
          <w:color w:val="auto"/>
          <w:sz w:val="24"/>
        </w:rPr>
        <w:br w:type="page"/>
      </w:r>
    </w:p>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附件：</w:t>
      </w:r>
    </w:p>
    <w:p>
      <w:pPr>
        <w:snapToGrid w:val="0"/>
        <w:spacing w:beforeLines="50" w:after="50"/>
        <w:jc w:val="center"/>
        <w:rPr>
          <w:rFonts w:ascii="宋体" w:hAnsi="宋体" w:cs="宋体"/>
          <w:b/>
          <w:color w:val="auto"/>
          <w:sz w:val="24"/>
        </w:rPr>
      </w:pPr>
      <w:r>
        <w:rPr>
          <w:rFonts w:hint="eastAsia" w:ascii="宋体" w:hAnsi="宋体" w:cs="宋体"/>
          <w:b/>
          <w:color w:val="auto"/>
          <w:sz w:val="24"/>
        </w:rPr>
        <w:t>项目实施人员（主要从业人员及其技术资格）一览表</w:t>
      </w:r>
    </w:p>
    <w:tbl>
      <w:tblPr>
        <w:tblStyle w:val="2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09"/>
        <w:gridCol w:w="1701"/>
        <w:gridCol w:w="1420"/>
        <w:gridCol w:w="1698"/>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r>
              <w:rPr>
                <w:rFonts w:hint="eastAsia" w:ascii="宋体" w:hAnsi="宋体"/>
                <w:color w:val="auto"/>
                <w:szCs w:val="21"/>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r>
              <w:rPr>
                <w:rFonts w:hint="eastAsia" w:ascii="宋体" w:hAnsi="宋体"/>
                <w:color w:val="auto"/>
                <w:szCs w:val="21"/>
              </w:rPr>
              <w:t>职务</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r>
              <w:rPr>
                <w:rFonts w:hint="eastAsia" w:ascii="宋体" w:hAnsi="宋体"/>
                <w:color w:val="auto"/>
                <w:szCs w:val="21"/>
              </w:rPr>
              <w:t>专业技术资格</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r>
              <w:rPr>
                <w:rFonts w:hint="eastAsia" w:ascii="宋体" w:hAnsi="宋体"/>
                <w:color w:val="auto"/>
                <w:szCs w:val="21"/>
              </w:rPr>
              <w:t>证书编号</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r>
              <w:rPr>
                <w:rFonts w:hint="eastAsia" w:ascii="宋体" w:hAnsi="宋体"/>
                <w:color w:val="auto"/>
                <w:szCs w:val="21"/>
              </w:rPr>
              <w:t>参加本单位</w:t>
            </w:r>
          </w:p>
          <w:p>
            <w:pPr>
              <w:snapToGrid w:val="0"/>
              <w:spacing w:before="50" w:after="120" w:afterLines="50" w:line="360" w:lineRule="auto"/>
              <w:jc w:val="center"/>
              <w:rPr>
                <w:rFonts w:ascii="宋体" w:hAnsi="宋体"/>
                <w:color w:val="auto"/>
                <w:szCs w:val="21"/>
              </w:rPr>
            </w:pPr>
            <w:r>
              <w:rPr>
                <w:rFonts w:hint="eastAsia" w:ascii="宋体" w:hAnsi="宋体"/>
                <w:color w:val="auto"/>
                <w:szCs w:val="21"/>
              </w:rPr>
              <w:t>工作时间</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r>
              <w:rPr>
                <w:rFonts w:hint="eastAsia" w:ascii="宋体" w:hAnsi="宋体"/>
                <w:color w:val="auto"/>
                <w:szCs w:val="21"/>
              </w:rPr>
              <w:t>劳动合同编号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r>
              <w:rPr>
                <w:rFonts w:hint="eastAsia" w:ascii="宋体" w:hAnsi="宋体"/>
                <w:color w:val="auto"/>
                <w:szCs w:val="21"/>
              </w:rPr>
              <w:t>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p>
        </w:tc>
        <w:tc>
          <w:tcPr>
            <w:tcW w:w="16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p>
        </w:tc>
        <w:tc>
          <w:tcPr>
            <w:tcW w:w="16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p>
        </w:tc>
        <w:tc>
          <w:tcPr>
            <w:tcW w:w="16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ascii="宋体" w:hAnsi="宋体"/>
                <w:color w:val="auto"/>
                <w:szCs w:val="21"/>
              </w:rPr>
            </w:pPr>
          </w:p>
        </w:tc>
      </w:tr>
    </w:tbl>
    <w:p>
      <w:pPr>
        <w:snapToGrid w:val="0"/>
        <w:spacing w:before="50" w:afterLines="50"/>
        <w:jc w:val="left"/>
        <w:rPr>
          <w:rFonts w:ascii="宋体" w:hAnsi="宋体" w:cs="宋体"/>
          <w:color w:val="auto"/>
          <w:sz w:val="24"/>
        </w:rPr>
      </w:pPr>
    </w:p>
    <w:p>
      <w:pPr>
        <w:snapToGrid w:val="0"/>
        <w:spacing w:before="50" w:afterLines="50" w:line="400" w:lineRule="exact"/>
        <w:jc w:val="left"/>
        <w:rPr>
          <w:rFonts w:ascii="宋体" w:hAnsi="宋体" w:cs="宋体"/>
          <w:color w:val="auto"/>
          <w:szCs w:val="21"/>
        </w:rPr>
      </w:pPr>
      <w:r>
        <w:rPr>
          <w:rFonts w:hint="eastAsia" w:ascii="宋体" w:hAnsi="宋体" w:cs="宋体"/>
          <w:color w:val="auto"/>
          <w:szCs w:val="21"/>
        </w:rPr>
        <w:t>注：1、在填写时，如本表格不适合投标单位的实际情况，可根据本表格式自行制表填写。</w:t>
      </w:r>
    </w:p>
    <w:p>
      <w:pPr>
        <w:rPr>
          <w:rFonts w:ascii="宋体" w:hAnsi="宋体" w:cs="宋体"/>
          <w:color w:val="auto"/>
        </w:rPr>
      </w:pPr>
    </w:p>
    <w:p>
      <w:pPr>
        <w:pStyle w:val="2"/>
        <w:rPr>
          <w:rFonts w:ascii="宋体" w:hAnsi="宋体" w:cs="宋体"/>
          <w:color w:val="auto"/>
        </w:rPr>
      </w:pPr>
    </w:p>
    <w:p>
      <w:pPr>
        <w:rPr>
          <w:rFonts w:ascii="宋体" w:hAnsi="宋体" w:cs="宋体"/>
          <w:color w:val="auto"/>
        </w:rPr>
      </w:pPr>
      <w:r>
        <w:rPr>
          <w:rFonts w:hint="eastAsia" w:ascii="宋体" w:hAnsi="宋体" w:cs="宋体"/>
          <w:color w:val="auto"/>
        </w:rPr>
        <w:br w:type="page"/>
      </w:r>
    </w:p>
    <w:p>
      <w:pPr>
        <w:spacing w:line="460" w:lineRule="exact"/>
        <w:jc w:val="center"/>
        <w:rPr>
          <w:rFonts w:hint="default" w:ascii="宋体" w:hAnsi="宋体" w:eastAsia="宋体" w:cs="仿宋"/>
          <w:b/>
          <w:bCs/>
          <w:color w:val="auto"/>
          <w:sz w:val="30"/>
          <w:szCs w:val="30"/>
          <w:lang w:val="en-US" w:eastAsia="zh-CN"/>
        </w:rPr>
      </w:pPr>
      <w:r>
        <w:rPr>
          <w:rFonts w:hint="eastAsia" w:ascii="宋体" w:hAnsi="宋体" w:cs="仿宋"/>
          <w:b/>
          <w:bCs/>
          <w:color w:val="auto"/>
          <w:sz w:val="30"/>
          <w:szCs w:val="30"/>
        </w:rPr>
        <w:t>检验项目资质覆盖情况自查表</w:t>
      </w:r>
      <w:r>
        <w:rPr>
          <w:rFonts w:hint="eastAsia" w:ascii="宋体" w:hAnsi="宋体" w:cs="仿宋"/>
          <w:b/>
          <w:bCs/>
          <w:color w:val="auto"/>
          <w:sz w:val="30"/>
          <w:szCs w:val="30"/>
          <w:lang w:eastAsia="zh-CN"/>
        </w:rPr>
        <w:t>（</w:t>
      </w:r>
      <w:r>
        <w:rPr>
          <w:rFonts w:hint="eastAsia" w:ascii="宋体" w:hAnsi="宋体" w:cs="仿宋"/>
          <w:b/>
          <w:bCs/>
          <w:color w:val="auto"/>
          <w:sz w:val="30"/>
          <w:szCs w:val="30"/>
          <w:lang w:val="en-US" w:eastAsia="zh-CN"/>
        </w:rPr>
        <w:t>格式）</w:t>
      </w:r>
    </w:p>
    <w:p>
      <w:pPr>
        <w:spacing w:line="460" w:lineRule="exact"/>
        <w:rPr>
          <w:rFonts w:ascii="宋体" w:hAnsi="宋体" w:cs="仿宋"/>
          <w:b/>
          <w:color w:val="auto"/>
          <w:sz w:val="24"/>
        </w:rPr>
      </w:pPr>
      <w:r>
        <w:rPr>
          <w:rFonts w:hint="eastAsia" w:ascii="宋体" w:hAnsi="宋体" w:cs="仿宋"/>
          <w:color w:val="auto"/>
          <w:sz w:val="24"/>
        </w:rPr>
        <w:t xml:space="preserve">    投标人具备资质的检验项目占国家市场监督管理总局官方网站公布的《2020年食品安全监督抽检计划》中指定的采购范围内的食品细类检验项目中的</w:t>
      </w:r>
      <w:r>
        <w:rPr>
          <w:rFonts w:hint="eastAsia" w:ascii="宋体" w:hAnsi="宋体" w:cs="仿宋"/>
          <w:b/>
          <w:color w:val="auto"/>
          <w:kern w:val="1"/>
          <w:sz w:val="24"/>
        </w:rPr>
        <w:t>比例为</w:t>
      </w:r>
      <w:r>
        <w:rPr>
          <w:rFonts w:hint="eastAsia" w:ascii="宋体" w:hAnsi="宋体" w:cs="仿宋"/>
          <w:b/>
          <w:color w:val="auto"/>
          <w:kern w:val="1"/>
          <w:sz w:val="24"/>
          <w:u w:val="single"/>
        </w:rPr>
        <w:t xml:space="preserve">     </w:t>
      </w:r>
      <w:r>
        <w:rPr>
          <w:rFonts w:hint="eastAsia" w:ascii="宋体" w:hAnsi="宋体" w:cs="仿宋"/>
          <w:b/>
          <w:color w:val="auto"/>
          <w:kern w:val="1"/>
          <w:sz w:val="24"/>
        </w:rPr>
        <w:t>%。</w:t>
      </w:r>
    </w:p>
    <w:p>
      <w:pPr>
        <w:spacing w:line="460" w:lineRule="exact"/>
        <w:ind w:firstLine="480"/>
        <w:rPr>
          <w:rFonts w:ascii="宋体" w:hAnsi="宋体" w:cs="仿宋"/>
          <w:bCs/>
          <w:color w:val="auto"/>
          <w:kern w:val="1"/>
          <w:sz w:val="24"/>
        </w:rPr>
      </w:pPr>
      <w:r>
        <w:rPr>
          <w:rFonts w:hint="eastAsia" w:ascii="宋体" w:hAnsi="宋体" w:cs="仿宋"/>
          <w:bCs/>
          <w:color w:val="auto"/>
          <w:kern w:val="1"/>
          <w:sz w:val="24"/>
        </w:rPr>
        <w:t>投标人检验项目资质覆盖情况具体如下：</w:t>
      </w:r>
    </w:p>
    <w:tbl>
      <w:tblPr>
        <w:tblStyle w:val="24"/>
        <w:tblW w:w="5261" w:type="pct"/>
        <w:jc w:val="center"/>
        <w:tblLayout w:type="fixed"/>
        <w:tblCellMar>
          <w:top w:w="0" w:type="dxa"/>
          <w:left w:w="0" w:type="dxa"/>
          <w:bottom w:w="0" w:type="dxa"/>
          <w:right w:w="0" w:type="dxa"/>
        </w:tblCellMar>
      </w:tblPr>
      <w:tblGrid>
        <w:gridCol w:w="806"/>
        <w:gridCol w:w="2403"/>
        <w:gridCol w:w="2189"/>
        <w:gridCol w:w="2166"/>
        <w:gridCol w:w="1953"/>
      </w:tblGrid>
      <w:tr>
        <w:tblPrEx>
          <w:tblCellMar>
            <w:top w:w="0" w:type="dxa"/>
            <w:left w:w="0" w:type="dxa"/>
            <w:bottom w:w="0" w:type="dxa"/>
            <w:right w:w="0" w:type="dxa"/>
          </w:tblCellMar>
        </w:tblPrEx>
        <w:trPr>
          <w:trHeight w:val="700" w:hRule="atLeast"/>
          <w:tblHeader/>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序  号</w:t>
            </w:r>
          </w:p>
        </w:tc>
        <w:tc>
          <w:tcPr>
            <w:tcW w:w="1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检验项目</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检测方法</w:t>
            </w:r>
          </w:p>
        </w:tc>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是否具备检验资质</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对应资质证书附表页码、序号</w:t>
            </w: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10-羟基</w:t>
            </w:r>
            <w:r>
              <w:rPr>
                <w:rStyle w:val="59"/>
                <w:rFonts w:ascii="宋体" w:hAnsi="宋体"/>
                <w:color w:val="auto"/>
                <w:sz w:val="21"/>
                <w:szCs w:val="21"/>
              </w:rPr>
              <w:t>-2-</w:t>
            </w:r>
            <w:r>
              <w:rPr>
                <w:rFonts w:ascii="宋体" w:hAnsi="宋体"/>
                <w:color w:val="auto"/>
                <w:kern w:val="0"/>
                <w:szCs w:val="21"/>
              </w:rPr>
              <w:t>癸烯酸</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2,4-滴和2,4-滴钠盐</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3</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4-氯苯氧乙酸钠(以4-氯苯氧乙酸计)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6-苄基腺嘌呤(6-BA)</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5</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N-二甲基亚硝胺</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α-亚麻酸</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7</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β型溶血性链球菌</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8</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阿力甜</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9</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阿斯巴甜</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10</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阿维菌素</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11</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安赛蜜</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12</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氨基酸态氮</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13</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氨基酸态氮(以氮计)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阪崎肠杆菌</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15</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钡(以Ba计)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苯并[a]芘</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39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17</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苯甲酸及其钠盐(以苯甲酸计)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18</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苯醚甲环唑</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19</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吡虫啉</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84"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20</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吡唑醚菌酯</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402"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393"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21</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丙二醇</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22</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丙环唑</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23</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丙酸及其钠盐、钙盐</w:t>
            </w:r>
            <w:r>
              <w:rPr>
                <w:rStyle w:val="59"/>
                <w:rFonts w:ascii="宋体" w:hAnsi="宋体"/>
                <w:color w:val="auto"/>
                <w:sz w:val="21"/>
                <w:szCs w:val="21"/>
              </w:rPr>
              <w:t>(</w:t>
            </w:r>
            <w:r>
              <w:rPr>
                <w:rFonts w:ascii="宋体" w:hAnsi="宋体"/>
                <w:color w:val="auto"/>
                <w:kern w:val="0"/>
                <w:szCs w:val="21"/>
              </w:rPr>
              <w:t>以丙酸计</w:t>
            </w:r>
            <w:r>
              <w:rPr>
                <w:rStyle w:val="59"/>
                <w:rFonts w:ascii="宋体" w:hAnsi="宋体"/>
                <w:color w:val="auto"/>
                <w:sz w:val="21"/>
                <w:szCs w:val="21"/>
              </w:rPr>
              <w:t>)</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24</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丙溴磷</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25</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不溶于水杂质</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茶多酚</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27</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产气荚膜梭菌</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28</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呈味核苷酸二钠</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29</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哒螨灵</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30</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大肠埃希氏菌</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31</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大肠菌群</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32</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单核细胞增生李斯特氏菌</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33</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胆碱</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34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蛋白质</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35</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低聚果糖</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36</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狄氏剂</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37</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敌百虫</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38</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敌敌畏</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39</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地美硝唑</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40</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地塞米松</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41</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地西泮</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49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42</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蒂巴因</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43</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碘</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44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碘(以I计)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45</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啶虫脒</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46</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毒死蜱</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47</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多聚果糖</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48</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多菌灵</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49</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多西环素</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50</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噁唑菌酮</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51</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恩诺沙星</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52</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二嗪磷</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53</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二十二碳六烯酸</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54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二十二碳六烯酸</w:t>
            </w:r>
            <w:r>
              <w:rPr>
                <w:rStyle w:val="59"/>
                <w:rFonts w:ascii="宋体" w:hAnsi="宋体"/>
                <w:color w:val="auto"/>
                <w:sz w:val="21"/>
                <w:szCs w:val="21"/>
              </w:rPr>
              <w:t>(22:6 n-3)</w:t>
            </w:r>
            <w:r>
              <w:rPr>
                <w:rFonts w:ascii="宋体" w:hAnsi="宋体"/>
                <w:color w:val="auto"/>
                <w:kern w:val="0"/>
                <w:szCs w:val="21"/>
              </w:rPr>
              <w:t>与二十碳四烯酸</w:t>
            </w:r>
            <w:r>
              <w:rPr>
                <w:rStyle w:val="59"/>
                <w:rFonts w:ascii="宋体" w:hAnsi="宋体"/>
                <w:color w:val="auto"/>
                <w:sz w:val="21"/>
                <w:szCs w:val="21"/>
              </w:rPr>
              <w:t>(20:4 n-6)</w:t>
            </w:r>
            <w:r>
              <w:rPr>
                <w:rFonts w:ascii="宋体" w:hAnsi="宋体"/>
                <w:color w:val="auto"/>
                <w:kern w:val="0"/>
                <w:szCs w:val="21"/>
              </w:rPr>
              <w:t>的比</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55</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二十二碳六烯酸与总脂肪酸比</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56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二十碳四烯酸</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57</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二十碳四烯酸与总脂肪酸比</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58</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二氧化硫残留量</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59</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二氧化碳气容量</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60</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反式脂肪酸与总脂肪酸比值</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61</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泛酸</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62</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防腐剂混合使用时各自用量占其最大使用量的比例之和</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63</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粪链球菌</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64</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呋喃西林代谢物</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65</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氟</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66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氟苯尼考</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67</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氟虫腈</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68</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氟硅唑</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69</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腐霉利</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70</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钙</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71</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钙磷比值</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72</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镉(以Cd计)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73</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铬(以Cr计)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74</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谷氨酸钠</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75</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过氧化值</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76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过氧化值(以脂肪计)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77</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还原糖分</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78</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耗氧量(以O</w:t>
            </w:r>
            <w:r>
              <w:rPr>
                <w:rFonts w:ascii="Cambria Math" w:hAnsi="Cambria Math" w:cs="Cambria Math"/>
                <w:color w:val="auto"/>
                <w:kern w:val="0"/>
                <w:szCs w:val="21"/>
              </w:rPr>
              <w:t>₂</w:t>
            </w:r>
            <w:r>
              <w:rPr>
                <w:rFonts w:ascii="宋体" w:hAnsi="宋体"/>
                <w:color w:val="auto"/>
                <w:kern w:val="0"/>
                <w:szCs w:val="21"/>
              </w:rPr>
              <w:t>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79</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核苷酸</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80</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黄曲霉毒素B1</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81</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黄曲霉毒素B</w:t>
            </w:r>
            <w:r>
              <w:rPr>
                <w:rFonts w:ascii="Cambria Math" w:hAnsi="Cambria Math" w:cs="Cambria Math"/>
                <w:color w:val="auto"/>
                <w:kern w:val="0"/>
                <w:szCs w:val="21"/>
              </w:rPr>
              <w:t>₁</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82</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黄曲霉毒素</w:t>
            </w:r>
            <w:r>
              <w:rPr>
                <w:rStyle w:val="59"/>
                <w:rFonts w:ascii="宋体" w:hAnsi="宋体"/>
                <w:color w:val="auto"/>
                <w:sz w:val="21"/>
                <w:szCs w:val="21"/>
              </w:rPr>
              <w:t>M</w:t>
            </w:r>
            <w:r>
              <w:rPr>
                <w:rFonts w:ascii="Cambria Math" w:hAnsi="Cambria Math" w:cs="Cambria Math"/>
                <w:color w:val="auto"/>
                <w:kern w:val="0"/>
                <w:szCs w:val="21"/>
              </w:rPr>
              <w:t>₁</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83</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磺胺类(总量)</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84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灰分</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85</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挥发性盐基氮</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86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肌醇</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87</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极性组分</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88</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甲胺磷</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89</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甲拌磷</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90</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甲醇</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91</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甲基异柳磷</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92</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甲氰菊酯</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93</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甲醛</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94</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甲霜灵和精甲霜灵</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95</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甲硝唑</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96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钾</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97</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酵母</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98</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芥酸与总脂肪酸比值</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99</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金刚烷胺</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100</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金黄色葡萄球菌</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101</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腈苯唑</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102</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警示语标注</w:t>
            </w:r>
            <w:r>
              <w:rPr>
                <w:rStyle w:val="59"/>
                <w:rFonts w:ascii="宋体" w:hAnsi="宋体"/>
                <w:color w:val="auto"/>
                <w:sz w:val="21"/>
                <w:szCs w:val="21"/>
              </w:rPr>
              <w:t>(</w:t>
            </w:r>
            <w:r>
              <w:rPr>
                <w:rFonts w:ascii="宋体" w:hAnsi="宋体"/>
                <w:color w:val="auto"/>
                <w:kern w:val="0"/>
                <w:szCs w:val="21"/>
              </w:rPr>
              <w:t>限玻璃瓶装啤酒检测</w:t>
            </w:r>
            <w:r>
              <w:rPr>
                <w:rStyle w:val="59"/>
                <w:rFonts w:ascii="宋体" w:hAnsi="宋体"/>
                <w:color w:val="auto"/>
                <w:sz w:val="21"/>
                <w:szCs w:val="21"/>
              </w:rPr>
              <w:t>)</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103</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久效磷</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104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酒精度</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105</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菌落总数</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106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咖啡因</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107</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抗蚜威</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49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108</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可待因</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109</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克百威</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110</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克伦特罗</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111</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克罗诺杆菌属(阪崎肠杆菌)</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112</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孔雀石绿</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113</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莱克多巴胺</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114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利巴韦林</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115</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联苯菊酯</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116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亮蓝</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117</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磷</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118</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硫环磷</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119</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硫线磷</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120</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罗丹明B</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121</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螺螨酯</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122</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铝的残留量(干样品，以Al计)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123</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铝的残留量(以即食海蜇中Al计)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124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氯</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125</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氯吡脲</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126</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氯氟氰菊酯和高效氯氟氰菊酯</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127</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氯化钾(以干基计)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128</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氯化钠(以干基计)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129</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氯霉素</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130</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氯氰菊酯和高效氯氰菊酯</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49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131</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吗啡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132</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螨</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133</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霉菌</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134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霉菌和酵母</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135</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霉菌计数</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136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镁</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137</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锰</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138</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嘧菌酯</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139</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灭多威</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140</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灭蝇胺</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49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141</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那可丁</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142</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钠</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143</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脲酶活性定性测定</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144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柠檬黄</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145</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牛磺酸</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146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诺氟沙星</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147</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培氟沙星</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148</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铅(Pb)</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149</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铅(以Pb计)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150</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氰化物</w:t>
            </w:r>
            <w:r>
              <w:rPr>
                <w:rStyle w:val="59"/>
                <w:rFonts w:ascii="宋体" w:hAnsi="宋体"/>
                <w:color w:val="auto"/>
                <w:sz w:val="21"/>
                <w:szCs w:val="21"/>
              </w:rPr>
              <w:t>(</w:t>
            </w:r>
            <w:r>
              <w:rPr>
                <w:rFonts w:ascii="宋体" w:hAnsi="宋体"/>
                <w:color w:val="auto"/>
                <w:kern w:val="0"/>
                <w:szCs w:val="21"/>
              </w:rPr>
              <w:t>以</w:t>
            </w:r>
            <w:r>
              <w:rPr>
                <w:rStyle w:val="59"/>
                <w:rFonts w:ascii="宋体" w:hAnsi="宋体"/>
                <w:color w:val="auto"/>
                <w:sz w:val="21"/>
                <w:szCs w:val="21"/>
              </w:rPr>
              <w:t>HCN</w:t>
            </w:r>
            <w:r>
              <w:rPr>
                <w:rFonts w:ascii="宋体" w:hAnsi="宋体"/>
                <w:color w:val="auto"/>
                <w:kern w:val="0"/>
                <w:szCs w:val="21"/>
              </w:rPr>
              <w:t>计</w:t>
            </w:r>
            <w:r>
              <w:rPr>
                <w:rStyle w:val="59"/>
                <w:rFonts w:ascii="宋体" w:hAnsi="宋体"/>
                <w:color w:val="auto"/>
                <w:sz w:val="21"/>
                <w:szCs w:val="21"/>
              </w:rPr>
              <w:t>)</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151</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氰戊菊酯和S-氰戊菊酯</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152</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日落黄</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153</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溶剂残留量</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154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乳糖占碳水化合物总量比</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155</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噻虫嗪</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156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三聚氰胺</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157</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三氯甲烷</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158</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三氯杀螨醇</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159</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三氯蔗糖</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160</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三唑醇</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161</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三唑磷</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162</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色值</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163</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杀扑磷</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164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沙丁胺醇</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165</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沙门氏菌</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166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山梨酸及其钾盐(以山梨酸计)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167</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商业无菌</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168</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砷(以As计)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169</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砷(以As计)含量</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170</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生物素</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171</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水胺硫磷</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172</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水分</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173</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苏丹红Ⅰ</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174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苏丹红Ⅱ</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175</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苏丹红Ⅲ</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176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苏丹红Ⅳ</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177</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酸度</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178</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酸价(KOH)/酸值(KOH)</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179</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碳水化合物</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180</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糖精钠(以糖精计)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181</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绦虫裂头蚴</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182</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特丁基对苯二酚(TBHQ)</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183</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涕灭威</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184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甜蜜素(以环己基氨基磺酸计)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185</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铁</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186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铜</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187</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铜绿假单胞菌</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188</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土霉素</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189</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脱氢乙酸及其钠盐(以脱氢乙酸计)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190</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脱氧雪腐镰刀菌烯醇</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191</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维生素</w:t>
            </w:r>
            <w:r>
              <w:rPr>
                <w:rStyle w:val="59"/>
                <w:rFonts w:ascii="宋体" w:hAnsi="宋体"/>
                <w:color w:val="auto"/>
                <w:sz w:val="21"/>
                <w:szCs w:val="21"/>
              </w:rPr>
              <w:t>A</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192</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维生素</w:t>
            </w:r>
            <w:r>
              <w:rPr>
                <w:rStyle w:val="59"/>
                <w:rFonts w:ascii="宋体" w:hAnsi="宋体"/>
                <w:color w:val="auto"/>
                <w:sz w:val="21"/>
                <w:szCs w:val="21"/>
              </w:rPr>
              <w:t>B</w:t>
            </w:r>
            <w:r>
              <w:rPr>
                <w:rFonts w:ascii="Cambria Math" w:hAnsi="Cambria Math" w:cs="Cambria Math"/>
                <w:color w:val="auto"/>
                <w:kern w:val="0"/>
                <w:szCs w:val="21"/>
              </w:rPr>
              <w:t>₁</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193</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维生素</w:t>
            </w:r>
            <w:r>
              <w:rPr>
                <w:rStyle w:val="59"/>
                <w:rFonts w:ascii="宋体" w:hAnsi="宋体"/>
                <w:color w:val="auto"/>
                <w:sz w:val="21"/>
                <w:szCs w:val="21"/>
              </w:rPr>
              <w:t>B</w:t>
            </w:r>
            <w:r>
              <w:rPr>
                <w:rFonts w:ascii="Cambria Math" w:hAnsi="Cambria Math" w:cs="Cambria Math"/>
                <w:color w:val="auto"/>
                <w:kern w:val="0"/>
                <w:szCs w:val="21"/>
              </w:rPr>
              <w:t>₁₂</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194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维生素</w:t>
            </w:r>
            <w:r>
              <w:rPr>
                <w:rStyle w:val="59"/>
                <w:rFonts w:ascii="宋体" w:hAnsi="宋体"/>
                <w:color w:val="auto"/>
                <w:sz w:val="21"/>
                <w:szCs w:val="21"/>
              </w:rPr>
              <w:t>B</w:t>
            </w:r>
            <w:r>
              <w:rPr>
                <w:rFonts w:ascii="Cambria Math" w:hAnsi="Cambria Math" w:cs="Cambria Math"/>
                <w:color w:val="auto"/>
                <w:kern w:val="0"/>
                <w:szCs w:val="21"/>
              </w:rPr>
              <w:t>₂</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195</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维生素</w:t>
            </w:r>
            <w:r>
              <w:rPr>
                <w:rStyle w:val="59"/>
                <w:rFonts w:ascii="宋体" w:hAnsi="宋体"/>
                <w:color w:val="auto"/>
                <w:sz w:val="21"/>
                <w:szCs w:val="21"/>
              </w:rPr>
              <w:t>B</w:t>
            </w:r>
            <w:r>
              <w:rPr>
                <w:rFonts w:hint="eastAsia" w:ascii="MS Mincho" w:hAnsi="MS Mincho" w:eastAsia="MS Mincho" w:cs="MS Mincho"/>
                <w:color w:val="auto"/>
                <w:kern w:val="0"/>
                <w:szCs w:val="21"/>
              </w:rPr>
              <w:t>₆</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196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维生素</w:t>
            </w:r>
            <w:r>
              <w:rPr>
                <w:rStyle w:val="59"/>
                <w:rFonts w:ascii="宋体" w:hAnsi="宋体"/>
                <w:color w:val="auto"/>
                <w:sz w:val="21"/>
                <w:szCs w:val="21"/>
              </w:rPr>
              <w:t>C</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197</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维生素</w:t>
            </w:r>
            <w:r>
              <w:rPr>
                <w:rStyle w:val="59"/>
                <w:rFonts w:ascii="宋体" w:hAnsi="宋体"/>
                <w:color w:val="auto"/>
                <w:sz w:val="21"/>
                <w:szCs w:val="21"/>
              </w:rPr>
              <w:t>D</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198</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维生素</w:t>
            </w:r>
            <w:r>
              <w:rPr>
                <w:rStyle w:val="59"/>
                <w:rFonts w:ascii="宋体" w:hAnsi="宋体"/>
                <w:color w:val="auto"/>
                <w:sz w:val="21"/>
                <w:szCs w:val="21"/>
              </w:rPr>
              <w:t>E</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199</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维生素</w:t>
            </w:r>
            <w:r>
              <w:rPr>
                <w:rStyle w:val="59"/>
                <w:rFonts w:ascii="宋体" w:hAnsi="宋体"/>
                <w:color w:val="auto"/>
                <w:sz w:val="21"/>
                <w:szCs w:val="21"/>
              </w:rPr>
              <w:t>K</w:t>
            </w:r>
            <w:r>
              <w:rPr>
                <w:rFonts w:ascii="Cambria Math" w:hAnsi="Cambria Math" w:cs="Cambria Math"/>
                <w:color w:val="auto"/>
                <w:kern w:val="0"/>
                <w:szCs w:val="21"/>
              </w:rPr>
              <w:t>₁</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200</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肟菌酯</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201</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无机砷</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202</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五氯酚酸钠(以五氯酚计)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203</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戊唑醇</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204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吸虫囊蚴</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205</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硒</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206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烯酰吗啉</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207</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苋菜红</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208</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线虫幼虫</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510"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209</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香兰素</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210</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硝酸盐</w:t>
            </w:r>
            <w:r>
              <w:rPr>
                <w:rStyle w:val="59"/>
                <w:rFonts w:ascii="宋体" w:hAnsi="宋体"/>
                <w:color w:val="auto"/>
                <w:sz w:val="21"/>
                <w:szCs w:val="21"/>
              </w:rPr>
              <w:t>(</w:t>
            </w:r>
            <w:r>
              <w:rPr>
                <w:rFonts w:ascii="宋体" w:hAnsi="宋体"/>
                <w:color w:val="auto"/>
                <w:kern w:val="0"/>
                <w:szCs w:val="21"/>
              </w:rPr>
              <w:t>以</w:t>
            </w:r>
            <w:r>
              <w:rPr>
                <w:rStyle w:val="59"/>
                <w:rFonts w:ascii="宋体" w:hAnsi="宋体"/>
                <w:color w:val="auto"/>
                <w:sz w:val="21"/>
                <w:szCs w:val="21"/>
              </w:rPr>
              <w:t>NaNO</w:t>
            </w:r>
            <w:r>
              <w:rPr>
                <w:rFonts w:ascii="Cambria Math" w:hAnsi="Cambria Math" w:cs="Cambria Math"/>
                <w:color w:val="auto"/>
                <w:kern w:val="0"/>
                <w:szCs w:val="21"/>
              </w:rPr>
              <w:t>₃</w:t>
            </w:r>
            <w:r>
              <w:rPr>
                <w:rFonts w:ascii="宋体" w:hAnsi="宋体"/>
                <w:color w:val="auto"/>
                <w:kern w:val="0"/>
                <w:szCs w:val="21"/>
              </w:rPr>
              <w:t>计</w:t>
            </w:r>
            <w:r>
              <w:rPr>
                <w:rStyle w:val="59"/>
                <w:rFonts w:ascii="宋体" w:hAnsi="宋体"/>
                <w:color w:val="auto"/>
                <w:sz w:val="21"/>
                <w:szCs w:val="21"/>
              </w:rPr>
              <w:t>)</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211</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硝酸盐(以NO</w:t>
            </w:r>
            <w:r>
              <w:rPr>
                <w:rFonts w:ascii="Cambria Math" w:hAnsi="Cambria Math" w:cs="Cambria Math"/>
                <w:color w:val="auto"/>
                <w:kern w:val="0"/>
                <w:szCs w:val="21"/>
              </w:rPr>
              <w:t>₃⁻</w:t>
            </w:r>
            <w:r>
              <w:rPr>
                <w:rFonts w:ascii="宋体" w:hAnsi="宋体"/>
                <w:color w:val="auto"/>
                <w:kern w:val="0"/>
                <w:szCs w:val="21"/>
              </w:rPr>
              <w:t>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212</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辛硫磷</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213</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锌</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214</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溴氰菊酯</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215</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溴酸盐</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216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亚硫酸盐(以SO</w:t>
            </w:r>
            <w:r>
              <w:rPr>
                <w:rFonts w:ascii="Cambria Math" w:hAnsi="Cambria Math" w:cs="Cambria Math"/>
                <w:color w:val="auto"/>
                <w:kern w:val="0"/>
                <w:szCs w:val="21"/>
              </w:rPr>
              <w:t>₂</w:t>
            </w:r>
            <w:r>
              <w:rPr>
                <w:rFonts w:ascii="宋体" w:hAnsi="宋体"/>
                <w:color w:val="auto"/>
                <w:kern w:val="0"/>
                <w:szCs w:val="21"/>
              </w:rPr>
              <w:t>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217</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亚铁氰化钾/亚铁氰化钠（以[Fe(CN)6]4-计）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218</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亚硝酸盐</w:t>
            </w:r>
            <w:r>
              <w:rPr>
                <w:rStyle w:val="59"/>
                <w:rFonts w:ascii="宋体" w:hAnsi="宋体"/>
                <w:color w:val="auto"/>
                <w:sz w:val="21"/>
                <w:szCs w:val="21"/>
              </w:rPr>
              <w:t>(</w:t>
            </w:r>
            <w:r>
              <w:rPr>
                <w:rFonts w:ascii="宋体" w:hAnsi="宋体"/>
                <w:color w:val="auto"/>
                <w:kern w:val="0"/>
                <w:szCs w:val="21"/>
              </w:rPr>
              <w:t>以</w:t>
            </w:r>
            <w:r>
              <w:rPr>
                <w:rStyle w:val="59"/>
                <w:rFonts w:ascii="宋体" w:hAnsi="宋体"/>
                <w:color w:val="auto"/>
                <w:sz w:val="21"/>
                <w:szCs w:val="21"/>
              </w:rPr>
              <w:t>NaNO</w:t>
            </w:r>
            <w:r>
              <w:rPr>
                <w:rFonts w:ascii="Cambria Math" w:hAnsi="Cambria Math" w:cs="Cambria Math"/>
                <w:color w:val="auto"/>
                <w:kern w:val="0"/>
                <w:szCs w:val="21"/>
              </w:rPr>
              <w:t>₂</w:t>
            </w:r>
            <w:r>
              <w:rPr>
                <w:rFonts w:ascii="宋体" w:hAnsi="宋体"/>
                <w:color w:val="auto"/>
                <w:kern w:val="0"/>
                <w:szCs w:val="21"/>
              </w:rPr>
              <w:t>计</w:t>
            </w:r>
            <w:r>
              <w:rPr>
                <w:rStyle w:val="59"/>
                <w:rFonts w:ascii="宋体" w:hAnsi="宋体"/>
                <w:color w:val="auto"/>
                <w:sz w:val="21"/>
                <w:szCs w:val="21"/>
              </w:rPr>
              <w:t>)</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219</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亚硝酸盐(以NO</w:t>
            </w:r>
            <w:r>
              <w:rPr>
                <w:rFonts w:ascii="Cambria Math" w:hAnsi="Cambria Math" w:cs="Cambria Math"/>
                <w:color w:val="auto"/>
                <w:kern w:val="0"/>
                <w:szCs w:val="21"/>
              </w:rPr>
              <w:t>₂⁻</w:t>
            </w:r>
            <w:r>
              <w:rPr>
                <w:rFonts w:ascii="宋体" w:hAnsi="宋体"/>
                <w:color w:val="auto"/>
                <w:kern w:val="0"/>
                <w:szCs w:val="21"/>
              </w:rPr>
              <w:t>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220</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亚硝酸盐(以亚硝酸钠计)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221</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亚油酸</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222</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亚油酸与</w:t>
            </w:r>
            <w:r>
              <w:rPr>
                <w:rStyle w:val="59"/>
                <w:rFonts w:ascii="宋体" w:hAnsi="宋体"/>
                <w:color w:val="auto"/>
                <w:sz w:val="21"/>
                <w:szCs w:val="21"/>
              </w:rPr>
              <w:t>α-</w:t>
            </w:r>
            <w:r>
              <w:rPr>
                <w:rFonts w:ascii="宋体" w:hAnsi="宋体"/>
                <w:color w:val="auto"/>
                <w:kern w:val="0"/>
                <w:szCs w:val="21"/>
              </w:rPr>
              <w:t>亚麻酸比值</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223</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胭脂红</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224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烟酸</w:t>
            </w:r>
            <w:r>
              <w:rPr>
                <w:rStyle w:val="59"/>
                <w:rFonts w:ascii="宋体" w:hAnsi="宋体"/>
                <w:color w:val="auto"/>
                <w:sz w:val="21"/>
                <w:szCs w:val="21"/>
              </w:rPr>
              <w:t>(</w:t>
            </w:r>
            <w:r>
              <w:rPr>
                <w:rFonts w:ascii="宋体" w:hAnsi="宋体"/>
                <w:color w:val="auto"/>
                <w:kern w:val="0"/>
                <w:szCs w:val="21"/>
              </w:rPr>
              <w:t>烟酰胺</w:t>
            </w:r>
            <w:r>
              <w:rPr>
                <w:rStyle w:val="59"/>
                <w:rFonts w:ascii="宋体" w:hAnsi="宋体"/>
                <w:color w:val="auto"/>
                <w:sz w:val="21"/>
                <w:szCs w:val="21"/>
              </w:rPr>
              <w:t>)</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225</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氧氟沙星</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226</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氧乐果</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227</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叶黄素</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228</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叶酸</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229</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乙二胺四乙酸二钠</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230</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乙基麦芽酚</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510"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231</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乙基香兰素</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232</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乙酰甲胺磷</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233</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阴离子合成洗涤剂（以十二烷基苯磺酸钠计）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49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234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罂粟碱</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235</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游离性余氯</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236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莠去津</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237</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余氯(游离氯)</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238</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玉米赤霉烯酮</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239</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杂质度</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240</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展青霉素</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49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241</w:t>
            </w:r>
          </w:p>
        </w:tc>
        <w:tc>
          <w:tcPr>
            <w:tcW w:w="1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长链不饱和脂肪酸中二十碳五烯酸</w:t>
            </w:r>
            <w:r>
              <w:rPr>
                <w:rStyle w:val="59"/>
                <w:rFonts w:ascii="宋体" w:hAnsi="宋体"/>
                <w:color w:val="auto"/>
                <w:sz w:val="21"/>
                <w:szCs w:val="21"/>
              </w:rPr>
              <w:t>(20:5 n-3)</w:t>
            </w:r>
            <w:r>
              <w:rPr>
                <w:rFonts w:ascii="宋体" w:hAnsi="宋体"/>
                <w:color w:val="auto"/>
                <w:kern w:val="0"/>
                <w:szCs w:val="21"/>
              </w:rPr>
              <w:t>的量与二十二碳六烯酸的量的比</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242</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赭曲霉毒素A</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243</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蔗糖分</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244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脂肪</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245</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志贺氏菌</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246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致泻大肠埃希氏菌</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247</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终产品脂肪中月桂酸和肉豆蔻酸</w:t>
            </w:r>
            <w:r>
              <w:rPr>
                <w:rStyle w:val="59"/>
                <w:rFonts w:ascii="宋体" w:hAnsi="宋体"/>
                <w:color w:val="auto"/>
                <w:sz w:val="21"/>
                <w:szCs w:val="21"/>
              </w:rPr>
              <w:t>(</w:t>
            </w:r>
            <w:r>
              <w:rPr>
                <w:rFonts w:ascii="宋体" w:hAnsi="宋体"/>
                <w:color w:val="auto"/>
                <w:kern w:val="0"/>
                <w:szCs w:val="21"/>
              </w:rPr>
              <w:t>十四烷酸</w:t>
            </w:r>
            <w:r>
              <w:rPr>
                <w:rStyle w:val="59"/>
                <w:rFonts w:ascii="宋体" w:hAnsi="宋体"/>
                <w:color w:val="auto"/>
                <w:sz w:val="21"/>
                <w:szCs w:val="21"/>
              </w:rPr>
              <w:t>)</w:t>
            </w:r>
            <w:r>
              <w:rPr>
                <w:rFonts w:ascii="宋体" w:hAnsi="宋体"/>
                <w:color w:val="auto"/>
                <w:kern w:val="0"/>
                <w:szCs w:val="21"/>
              </w:rPr>
              <w:t>总量占总脂肪酸的比值</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248</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总汞(以Hg计)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249</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总砷(以As计)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250</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总酸(以乙酸计)</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251</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总糖</w:t>
            </w:r>
            <w:r>
              <w:rPr>
                <w:rStyle w:val="59"/>
                <w:rFonts w:ascii="宋体" w:hAnsi="宋体"/>
                <w:color w:val="auto"/>
                <w:sz w:val="21"/>
                <w:szCs w:val="21"/>
              </w:rPr>
              <w:t>(</w:t>
            </w:r>
            <w:r>
              <w:rPr>
                <w:rFonts w:ascii="宋体" w:hAnsi="宋体"/>
                <w:color w:val="auto"/>
                <w:kern w:val="0"/>
                <w:szCs w:val="21"/>
              </w:rPr>
              <w:t>以葡萄糖计</w:t>
            </w:r>
            <w:r>
              <w:rPr>
                <w:rStyle w:val="59"/>
                <w:rFonts w:ascii="宋体" w:hAnsi="宋体"/>
                <w:color w:val="auto"/>
                <w:sz w:val="21"/>
                <w:szCs w:val="21"/>
              </w:rPr>
              <w:t>)</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252</w:t>
            </w:r>
          </w:p>
        </w:tc>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总糖分</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253</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组胺</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254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左旋肉碱</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255</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szCs w:val="21"/>
              </w:rPr>
            </w:pPr>
            <w:r>
              <w:rPr>
                <w:rFonts w:ascii="宋体" w:hAnsi="宋体"/>
                <w:color w:val="auto"/>
                <w:kern w:val="0"/>
                <w:szCs w:val="21"/>
              </w:rPr>
              <w:t>唑螨酯</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r>
        <w:tblPrEx>
          <w:tblCellMar>
            <w:top w:w="0" w:type="dxa"/>
            <w:left w:w="0" w:type="dxa"/>
            <w:bottom w:w="0" w:type="dxa"/>
            <w:right w:w="0" w:type="dxa"/>
          </w:tblCellMar>
        </w:tblPrEx>
        <w:trPr>
          <w:trHeight w:val="2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kern w:val="0"/>
                <w:szCs w:val="21"/>
              </w:rPr>
            </w:pPr>
            <w:r>
              <w:rPr>
                <w:rFonts w:hint="eastAsia" w:ascii="宋体" w:hAnsi="宋体"/>
                <w:color w:val="auto"/>
                <w:kern w:val="0"/>
                <w:szCs w:val="21"/>
              </w:rPr>
              <w:t>256</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auto"/>
                <w:kern w:val="0"/>
                <w:szCs w:val="21"/>
              </w:rPr>
            </w:pPr>
            <w:r>
              <w:rPr>
                <w:rFonts w:hint="eastAsia" w:ascii="宋体" w:hAnsi="宋体" w:cs="宋体"/>
                <w:color w:val="auto"/>
                <w:kern w:val="0"/>
                <w:sz w:val="20"/>
                <w:szCs w:val="20"/>
              </w:rPr>
              <w:t>尼卡巴嗪</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auto"/>
                <w:kern w:val="0"/>
                <w:szCs w:val="21"/>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kern w:val="0"/>
                <w:szCs w:val="21"/>
              </w:rPr>
            </w:pPr>
            <w:r>
              <w:rPr>
                <w:rFonts w:ascii="宋体" w:hAnsi="宋体"/>
                <w:color w:val="auto"/>
                <w:kern w:val="0"/>
                <w:szCs w:val="21"/>
              </w:rPr>
              <w:t>是□     否□</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szCs w:val="21"/>
              </w:rPr>
            </w:pPr>
          </w:p>
        </w:tc>
      </w:tr>
    </w:tbl>
    <w:p>
      <w:pPr>
        <w:spacing w:line="460" w:lineRule="exact"/>
        <w:ind w:firstLine="480"/>
        <w:jc w:val="center"/>
        <w:rPr>
          <w:rFonts w:ascii="宋体" w:hAnsi="宋体" w:cs="仿宋"/>
          <w:bCs/>
          <w:color w:val="auto"/>
          <w:kern w:val="1"/>
          <w:sz w:val="24"/>
        </w:rPr>
      </w:pPr>
    </w:p>
    <w:p>
      <w:pPr>
        <w:spacing w:line="460" w:lineRule="exact"/>
        <w:ind w:firstLine="480"/>
        <w:rPr>
          <w:rFonts w:ascii="宋体" w:hAnsi="宋体" w:cs="仿宋"/>
          <w:bCs/>
          <w:color w:val="auto"/>
          <w:kern w:val="1"/>
          <w:sz w:val="24"/>
        </w:rPr>
      </w:pP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500" w:lineRule="exact"/>
        <w:ind w:right="-817" w:rightChars="-389" w:firstLine="3158" w:firstLineChars="1316"/>
        <w:rPr>
          <w:rFonts w:ascii="宋体" w:hAnsi="宋体" w:cs="宋体"/>
          <w:color w:val="auto"/>
          <w:sz w:val="24"/>
        </w:rPr>
      </w:pPr>
      <w:r>
        <w:rPr>
          <w:rFonts w:hint="eastAsia" w:ascii="宋体" w:hAnsi="宋体" w:cs="宋体"/>
          <w:color w:val="auto"/>
          <w:sz w:val="24"/>
        </w:rPr>
        <w:t>法定代表人或委托代理人（签字）：</w:t>
      </w:r>
      <w:r>
        <w:rPr>
          <w:rFonts w:hint="eastAsia" w:ascii="宋体" w:hAnsi="宋体" w:cs="宋体"/>
          <w:color w:val="auto"/>
          <w:sz w:val="24"/>
          <w:u w:val="single"/>
        </w:rPr>
        <w:t xml:space="preserve">            </w:t>
      </w:r>
    </w:p>
    <w:p>
      <w:pPr>
        <w:autoSpaceDE w:val="0"/>
        <w:autoSpaceDN w:val="0"/>
        <w:spacing w:line="500" w:lineRule="exact"/>
        <w:ind w:firstLine="3158" w:firstLineChars="1316"/>
        <w:rPr>
          <w:rFonts w:ascii="宋体" w:hAnsi="宋体" w:cs="宋体"/>
          <w:color w:val="auto"/>
          <w:sz w:val="24"/>
          <w:lang w:val="zh-CN"/>
        </w:rPr>
      </w:pPr>
      <w:r>
        <w:rPr>
          <w:rFonts w:hint="eastAsia" w:ascii="宋体" w:hAnsi="宋体" w:cs="宋体"/>
          <w:color w:val="auto"/>
          <w:sz w:val="24"/>
          <w:lang w:val="zh-CN"/>
        </w:rPr>
        <w:t>日期：</w:t>
      </w: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p>
    <w:p>
      <w:pPr>
        <w:pStyle w:val="11"/>
        <w:snapToGrid w:val="0"/>
        <w:spacing w:before="295" w:after="295"/>
        <w:jc w:val="center"/>
        <w:rPr>
          <w:rFonts w:hAnsi="宋体" w:cs="宋体"/>
          <w:color w:val="auto"/>
        </w:rPr>
      </w:pPr>
    </w:p>
    <w:sectPr>
      <w:pgSz w:w="11906" w:h="16838"/>
      <w:pgMar w:top="1247" w:right="1417" w:bottom="1247" w:left="147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6" o:spid="_x0000_s205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rs73SnAQAAQAMAAA4AAAAA&#10;AAAAAQAgAAAAHgEAAGRycy9lMm9Eb2MueG1sUEsFBgAAAAAGAAYAWQEAADcFA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39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3"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OvZh62nAQAAQAMAAA4AAAAA&#10;AAAAAQAgAAAAHgEAAGRycy9lMm9Eb2MueG1sUEsFBgAAAAAGAAYAWQEAADcFAAAAAA==&#10;">
          <v:path/>
          <v:fill on="f" focussize="0,0"/>
          <v:stroke on="f" joinstyle="miter"/>
          <v:imagedata o:title=""/>
          <o:lock v:ext="edit"/>
          <v:textbox inset="0mm,0mm,0mm,0mm" style="mso-fit-shape-to-text:t;">
            <w:txbxContent>
              <w:p>
                <w:pPr>
                  <w:pStyle w:val="15"/>
                  <w:rPr>
                    <w:rStyle w:val="28"/>
                  </w:rPr>
                </w:pPr>
                <w:r>
                  <w:fldChar w:fldCharType="begin"/>
                </w:r>
                <w:r>
                  <w:rPr>
                    <w:rStyle w:val="28"/>
                  </w:rPr>
                  <w:instrText xml:space="preserve">PAGE  </w:instrText>
                </w:r>
                <w:r>
                  <w:fldChar w:fldCharType="separate"/>
                </w:r>
                <w:r>
                  <w:rPr>
                    <w:rStyle w:val="28"/>
                  </w:rPr>
                  <w:t>107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8"/>
      </w:rPr>
    </w:pPr>
    <w:r>
      <w:fldChar w:fldCharType="begin"/>
    </w:r>
    <w:r>
      <w:rPr>
        <w:rStyle w:val="28"/>
      </w:rPr>
      <w:instrText xml:space="preserve">PAGE  </w:instrTex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pPr>
    <w:r>
      <w:pict>
        <v:shape id="文本框 4"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LJ1nwGnAQAAQAMAAA4AAAAA&#10;AAAAAQAgAAAAHgEAAGRycy9lMm9Eb2MueG1sUEsFBgAAAAAGAAYAWQEAADcFA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41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0"/>
      </w:pBdr>
      <w:wordWrap w:val="0"/>
      <w:rPr>
        <w:rFonts w:hAnsi="宋体"/>
        <w:color w:val="000000"/>
      </w:rPr>
    </w:pPr>
    <w:r>
      <w:rPr>
        <w:rFonts w:hint="eastAsia"/>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新宋体" w:hAnsi="新宋体" w:eastAsia="新宋体"/>
        <w:b/>
        <w:bCs/>
        <w:sz w:val="72"/>
        <w:szCs w:val="72"/>
      </w:rPr>
    </w:pPr>
  </w:p>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66CE0"/>
    <w:multiLevelType w:val="multilevel"/>
    <w:tmpl w:val="24D66CE0"/>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BB85155"/>
    <w:multiLevelType w:val="singleLevel"/>
    <w:tmpl w:val="2BB85155"/>
    <w:lvl w:ilvl="0" w:tentative="0">
      <w:start w:val="8"/>
      <w:numFmt w:val="chineseCounting"/>
      <w:suff w:val="nothing"/>
      <w:lvlText w:val="%1、"/>
      <w:lvlJc w:val="left"/>
      <w:rPr>
        <w:rFonts w:hint="eastAsia"/>
      </w:rPr>
    </w:lvl>
  </w:abstractNum>
  <w:abstractNum w:abstractNumId="2">
    <w:nsid w:val="3DE3837D"/>
    <w:multiLevelType w:val="singleLevel"/>
    <w:tmpl w:val="3DE3837D"/>
    <w:lvl w:ilvl="0" w:tentative="0">
      <w:start w:val="1"/>
      <w:numFmt w:val="decimal"/>
      <w:suff w:val="nothing"/>
      <w:lvlText w:val="%1、"/>
      <w:lvlJc w:val="left"/>
    </w:lvl>
  </w:abstractNum>
  <w:abstractNum w:abstractNumId="3">
    <w:nsid w:val="53A35B7C"/>
    <w:multiLevelType w:val="multilevel"/>
    <w:tmpl w:val="53A35B7C"/>
    <w:lvl w:ilvl="0" w:tentative="0">
      <w:start w:val="1"/>
      <w:numFmt w:val="decimal"/>
      <w:lvlText w:val="%1、"/>
      <w:lvlJc w:val="left"/>
      <w:pPr>
        <w:ind w:left="7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7AE7CA5"/>
    <w:multiLevelType w:val="multilevel"/>
    <w:tmpl w:val="57AE7CA5"/>
    <w:lvl w:ilvl="0" w:tentative="0">
      <w:start w:val="2"/>
      <w:numFmt w:val="japaneseCounting"/>
      <w:lvlText w:val="第%1章"/>
      <w:lvlJc w:val="left"/>
      <w:pPr>
        <w:tabs>
          <w:tab w:val="left" w:pos="1140"/>
        </w:tabs>
        <w:ind w:left="1140" w:hanging="11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447170A"/>
    <w:multiLevelType w:val="singleLevel"/>
    <w:tmpl w:val="7447170A"/>
    <w:lvl w:ilvl="0" w:tentative="0">
      <w:start w:val="1"/>
      <w:numFmt w:val="decimal"/>
      <w:suff w:val="nothing"/>
      <w:lvlText w:val="（%1）"/>
      <w:lvlJc w:val="left"/>
    </w:lvl>
  </w:abstractNum>
  <w:num w:numId="1">
    <w:abstractNumId w:val="1"/>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B26CD"/>
    <w:rsid w:val="00005C14"/>
    <w:rsid w:val="0003629E"/>
    <w:rsid w:val="000373AE"/>
    <w:rsid w:val="00042DD5"/>
    <w:rsid w:val="00046999"/>
    <w:rsid w:val="0004716C"/>
    <w:rsid w:val="0008151D"/>
    <w:rsid w:val="00083F97"/>
    <w:rsid w:val="000973F4"/>
    <w:rsid w:val="000C298C"/>
    <w:rsid w:val="000C715A"/>
    <w:rsid w:val="00100439"/>
    <w:rsid w:val="00110171"/>
    <w:rsid w:val="001408DB"/>
    <w:rsid w:val="001412E3"/>
    <w:rsid w:val="00181ACF"/>
    <w:rsid w:val="00184F83"/>
    <w:rsid w:val="001938BF"/>
    <w:rsid w:val="00193DF9"/>
    <w:rsid w:val="001A0D92"/>
    <w:rsid w:val="001C13E6"/>
    <w:rsid w:val="001C1565"/>
    <w:rsid w:val="001E4272"/>
    <w:rsid w:val="002036DD"/>
    <w:rsid w:val="002376C2"/>
    <w:rsid w:val="00241C83"/>
    <w:rsid w:val="002455A4"/>
    <w:rsid w:val="00251AF0"/>
    <w:rsid w:val="00256522"/>
    <w:rsid w:val="002615F4"/>
    <w:rsid w:val="002647F1"/>
    <w:rsid w:val="002A28DD"/>
    <w:rsid w:val="002B3C0C"/>
    <w:rsid w:val="002B60B7"/>
    <w:rsid w:val="00314A63"/>
    <w:rsid w:val="00322F60"/>
    <w:rsid w:val="003279DF"/>
    <w:rsid w:val="00343759"/>
    <w:rsid w:val="0034419C"/>
    <w:rsid w:val="00345A27"/>
    <w:rsid w:val="00352051"/>
    <w:rsid w:val="003810CB"/>
    <w:rsid w:val="003E55FA"/>
    <w:rsid w:val="003F2716"/>
    <w:rsid w:val="003F2751"/>
    <w:rsid w:val="0041122A"/>
    <w:rsid w:val="0046121C"/>
    <w:rsid w:val="00463BB3"/>
    <w:rsid w:val="00495A1C"/>
    <w:rsid w:val="004B0276"/>
    <w:rsid w:val="004B181A"/>
    <w:rsid w:val="004B2E52"/>
    <w:rsid w:val="004C3B19"/>
    <w:rsid w:val="004C4182"/>
    <w:rsid w:val="004D00F6"/>
    <w:rsid w:val="004F18A0"/>
    <w:rsid w:val="004F447B"/>
    <w:rsid w:val="004F5DA4"/>
    <w:rsid w:val="00502DC9"/>
    <w:rsid w:val="005102BA"/>
    <w:rsid w:val="00512E8A"/>
    <w:rsid w:val="0053068F"/>
    <w:rsid w:val="0053329E"/>
    <w:rsid w:val="00544FD7"/>
    <w:rsid w:val="00582B57"/>
    <w:rsid w:val="005A0A9F"/>
    <w:rsid w:val="005D1837"/>
    <w:rsid w:val="005D3442"/>
    <w:rsid w:val="005E0DB2"/>
    <w:rsid w:val="005E2D27"/>
    <w:rsid w:val="00604535"/>
    <w:rsid w:val="006049BA"/>
    <w:rsid w:val="0061357C"/>
    <w:rsid w:val="006165F2"/>
    <w:rsid w:val="00627BC3"/>
    <w:rsid w:val="00627F2F"/>
    <w:rsid w:val="006350A3"/>
    <w:rsid w:val="006352E2"/>
    <w:rsid w:val="00637EE9"/>
    <w:rsid w:val="00653052"/>
    <w:rsid w:val="00672968"/>
    <w:rsid w:val="00691E98"/>
    <w:rsid w:val="0069290D"/>
    <w:rsid w:val="00693408"/>
    <w:rsid w:val="006E7D91"/>
    <w:rsid w:val="00722938"/>
    <w:rsid w:val="007475D7"/>
    <w:rsid w:val="00765468"/>
    <w:rsid w:val="007661D3"/>
    <w:rsid w:val="0077017D"/>
    <w:rsid w:val="007B28F0"/>
    <w:rsid w:val="007D2AB4"/>
    <w:rsid w:val="007D78C5"/>
    <w:rsid w:val="007F7060"/>
    <w:rsid w:val="008057B9"/>
    <w:rsid w:val="00807616"/>
    <w:rsid w:val="00812BCE"/>
    <w:rsid w:val="00840475"/>
    <w:rsid w:val="00846CDD"/>
    <w:rsid w:val="00884E86"/>
    <w:rsid w:val="008A2744"/>
    <w:rsid w:val="008C0F44"/>
    <w:rsid w:val="008D092C"/>
    <w:rsid w:val="008F347D"/>
    <w:rsid w:val="009114EC"/>
    <w:rsid w:val="00915975"/>
    <w:rsid w:val="00926D8F"/>
    <w:rsid w:val="0097182F"/>
    <w:rsid w:val="009920D7"/>
    <w:rsid w:val="009C2CD3"/>
    <w:rsid w:val="009F1DE2"/>
    <w:rsid w:val="009F5C73"/>
    <w:rsid w:val="00A01528"/>
    <w:rsid w:val="00A212CE"/>
    <w:rsid w:val="00A2495F"/>
    <w:rsid w:val="00A43337"/>
    <w:rsid w:val="00A71909"/>
    <w:rsid w:val="00A93A98"/>
    <w:rsid w:val="00AE211E"/>
    <w:rsid w:val="00B03B63"/>
    <w:rsid w:val="00B27C96"/>
    <w:rsid w:val="00B63A46"/>
    <w:rsid w:val="00B75502"/>
    <w:rsid w:val="00BA37BF"/>
    <w:rsid w:val="00BB26CD"/>
    <w:rsid w:val="00BB5AB5"/>
    <w:rsid w:val="00BB65FF"/>
    <w:rsid w:val="00BC031B"/>
    <w:rsid w:val="00BC0F27"/>
    <w:rsid w:val="00BD35E7"/>
    <w:rsid w:val="00C11CE9"/>
    <w:rsid w:val="00C27D94"/>
    <w:rsid w:val="00C65266"/>
    <w:rsid w:val="00C923C0"/>
    <w:rsid w:val="00C968B6"/>
    <w:rsid w:val="00CA15DA"/>
    <w:rsid w:val="00CA66E2"/>
    <w:rsid w:val="00CB188C"/>
    <w:rsid w:val="00CC7F1A"/>
    <w:rsid w:val="00CE22F5"/>
    <w:rsid w:val="00D21B86"/>
    <w:rsid w:val="00D3137B"/>
    <w:rsid w:val="00D61742"/>
    <w:rsid w:val="00D66B2D"/>
    <w:rsid w:val="00D71E47"/>
    <w:rsid w:val="00D74CAB"/>
    <w:rsid w:val="00D80277"/>
    <w:rsid w:val="00D81779"/>
    <w:rsid w:val="00D922C7"/>
    <w:rsid w:val="00DB1112"/>
    <w:rsid w:val="00DB2D2D"/>
    <w:rsid w:val="00DD34AA"/>
    <w:rsid w:val="00DF0E95"/>
    <w:rsid w:val="00E23267"/>
    <w:rsid w:val="00E27234"/>
    <w:rsid w:val="00E721A9"/>
    <w:rsid w:val="00ED3841"/>
    <w:rsid w:val="00EE543E"/>
    <w:rsid w:val="00EE7D5A"/>
    <w:rsid w:val="00EF37A0"/>
    <w:rsid w:val="00F030D3"/>
    <w:rsid w:val="00F57928"/>
    <w:rsid w:val="00F61560"/>
    <w:rsid w:val="00F70027"/>
    <w:rsid w:val="00F73D48"/>
    <w:rsid w:val="00F93232"/>
    <w:rsid w:val="00FC3BCD"/>
    <w:rsid w:val="00FC4631"/>
    <w:rsid w:val="00FF1106"/>
    <w:rsid w:val="00FF41EE"/>
    <w:rsid w:val="01163E4E"/>
    <w:rsid w:val="013D2EF2"/>
    <w:rsid w:val="01485EBF"/>
    <w:rsid w:val="018F53E2"/>
    <w:rsid w:val="020D3132"/>
    <w:rsid w:val="02327214"/>
    <w:rsid w:val="02B12090"/>
    <w:rsid w:val="02CE464D"/>
    <w:rsid w:val="035675FC"/>
    <w:rsid w:val="03797152"/>
    <w:rsid w:val="04094269"/>
    <w:rsid w:val="04157398"/>
    <w:rsid w:val="04285D0D"/>
    <w:rsid w:val="0440656A"/>
    <w:rsid w:val="04421BA7"/>
    <w:rsid w:val="04641478"/>
    <w:rsid w:val="04642618"/>
    <w:rsid w:val="049E5EA6"/>
    <w:rsid w:val="04C87C9A"/>
    <w:rsid w:val="05444590"/>
    <w:rsid w:val="057E39F5"/>
    <w:rsid w:val="05B26CF3"/>
    <w:rsid w:val="05F2662C"/>
    <w:rsid w:val="061B0121"/>
    <w:rsid w:val="063C5BFC"/>
    <w:rsid w:val="06581C42"/>
    <w:rsid w:val="065B4E0E"/>
    <w:rsid w:val="06795F8E"/>
    <w:rsid w:val="06A418F1"/>
    <w:rsid w:val="06BC516C"/>
    <w:rsid w:val="06DF1C19"/>
    <w:rsid w:val="07023444"/>
    <w:rsid w:val="073D57AE"/>
    <w:rsid w:val="074C75CB"/>
    <w:rsid w:val="07940736"/>
    <w:rsid w:val="079D1A7E"/>
    <w:rsid w:val="07AD2F7E"/>
    <w:rsid w:val="07CD26A6"/>
    <w:rsid w:val="07D54200"/>
    <w:rsid w:val="07D629AF"/>
    <w:rsid w:val="07D80691"/>
    <w:rsid w:val="080C129A"/>
    <w:rsid w:val="08163980"/>
    <w:rsid w:val="088903D0"/>
    <w:rsid w:val="08922914"/>
    <w:rsid w:val="08EC428A"/>
    <w:rsid w:val="08F946DF"/>
    <w:rsid w:val="08FA56B5"/>
    <w:rsid w:val="094A1EFB"/>
    <w:rsid w:val="09B46747"/>
    <w:rsid w:val="0A0E0378"/>
    <w:rsid w:val="0A3C720C"/>
    <w:rsid w:val="0AAD0A08"/>
    <w:rsid w:val="0ABE3181"/>
    <w:rsid w:val="0AC106E5"/>
    <w:rsid w:val="0B333494"/>
    <w:rsid w:val="0B812CD9"/>
    <w:rsid w:val="0BED7BE7"/>
    <w:rsid w:val="0BF8062C"/>
    <w:rsid w:val="0C535880"/>
    <w:rsid w:val="0C6728F9"/>
    <w:rsid w:val="0C7478F4"/>
    <w:rsid w:val="0CA42068"/>
    <w:rsid w:val="0CEE45CA"/>
    <w:rsid w:val="0D14443C"/>
    <w:rsid w:val="0D25163E"/>
    <w:rsid w:val="0D724C93"/>
    <w:rsid w:val="0D83206F"/>
    <w:rsid w:val="0DAE4FD1"/>
    <w:rsid w:val="0DE34A5D"/>
    <w:rsid w:val="0DE65E8A"/>
    <w:rsid w:val="0DFD568A"/>
    <w:rsid w:val="0F235BA6"/>
    <w:rsid w:val="0F5D201E"/>
    <w:rsid w:val="0F934C3C"/>
    <w:rsid w:val="101440B1"/>
    <w:rsid w:val="10173ED8"/>
    <w:rsid w:val="102205D0"/>
    <w:rsid w:val="105A294B"/>
    <w:rsid w:val="106667AC"/>
    <w:rsid w:val="108657E5"/>
    <w:rsid w:val="108D5D1B"/>
    <w:rsid w:val="10BF3DEF"/>
    <w:rsid w:val="10C9025B"/>
    <w:rsid w:val="10EE099C"/>
    <w:rsid w:val="1146216A"/>
    <w:rsid w:val="11607AC6"/>
    <w:rsid w:val="11AC53EE"/>
    <w:rsid w:val="11D37D8C"/>
    <w:rsid w:val="1269130B"/>
    <w:rsid w:val="12A742C7"/>
    <w:rsid w:val="12A80D64"/>
    <w:rsid w:val="12B06225"/>
    <w:rsid w:val="12C464CE"/>
    <w:rsid w:val="12C62BFF"/>
    <w:rsid w:val="135659E9"/>
    <w:rsid w:val="1372397F"/>
    <w:rsid w:val="13A13A16"/>
    <w:rsid w:val="13CE6704"/>
    <w:rsid w:val="13DD2530"/>
    <w:rsid w:val="14391285"/>
    <w:rsid w:val="148E319A"/>
    <w:rsid w:val="14E71257"/>
    <w:rsid w:val="15035F8F"/>
    <w:rsid w:val="150E7B9A"/>
    <w:rsid w:val="151A1A3C"/>
    <w:rsid w:val="152033CA"/>
    <w:rsid w:val="15433A6C"/>
    <w:rsid w:val="154C721A"/>
    <w:rsid w:val="15B26291"/>
    <w:rsid w:val="16344DB7"/>
    <w:rsid w:val="165323C1"/>
    <w:rsid w:val="165A2647"/>
    <w:rsid w:val="16AE2FE8"/>
    <w:rsid w:val="170F21C7"/>
    <w:rsid w:val="1774353F"/>
    <w:rsid w:val="179B633E"/>
    <w:rsid w:val="17D1665C"/>
    <w:rsid w:val="18257AFF"/>
    <w:rsid w:val="18672414"/>
    <w:rsid w:val="18A90503"/>
    <w:rsid w:val="18B3377E"/>
    <w:rsid w:val="18BC6988"/>
    <w:rsid w:val="18F555B3"/>
    <w:rsid w:val="19415943"/>
    <w:rsid w:val="19987094"/>
    <w:rsid w:val="19E46B7F"/>
    <w:rsid w:val="19F64841"/>
    <w:rsid w:val="1A1D0134"/>
    <w:rsid w:val="1A3A32D0"/>
    <w:rsid w:val="1A6F1E28"/>
    <w:rsid w:val="1A800E2D"/>
    <w:rsid w:val="1A9C74A8"/>
    <w:rsid w:val="1AB65A06"/>
    <w:rsid w:val="1AB670D1"/>
    <w:rsid w:val="1B533543"/>
    <w:rsid w:val="1B677DF2"/>
    <w:rsid w:val="1B824BAB"/>
    <w:rsid w:val="1BA03E33"/>
    <w:rsid w:val="1BB84B81"/>
    <w:rsid w:val="1BC638B6"/>
    <w:rsid w:val="1BDE01F6"/>
    <w:rsid w:val="1C5526FD"/>
    <w:rsid w:val="1C632157"/>
    <w:rsid w:val="1CB0512B"/>
    <w:rsid w:val="1CC00801"/>
    <w:rsid w:val="1D472981"/>
    <w:rsid w:val="1D8E62C1"/>
    <w:rsid w:val="1DBC5D4F"/>
    <w:rsid w:val="1E3A799F"/>
    <w:rsid w:val="1E701009"/>
    <w:rsid w:val="1F0E0F2B"/>
    <w:rsid w:val="1F910AFC"/>
    <w:rsid w:val="1F9E6CD5"/>
    <w:rsid w:val="1FD43B41"/>
    <w:rsid w:val="205F3344"/>
    <w:rsid w:val="20675ABE"/>
    <w:rsid w:val="206B6FAD"/>
    <w:rsid w:val="20957673"/>
    <w:rsid w:val="20DC6A63"/>
    <w:rsid w:val="2141117C"/>
    <w:rsid w:val="21B96E16"/>
    <w:rsid w:val="21C325A1"/>
    <w:rsid w:val="21F170BB"/>
    <w:rsid w:val="222869EF"/>
    <w:rsid w:val="22A07BF5"/>
    <w:rsid w:val="22AE08EF"/>
    <w:rsid w:val="235F49FD"/>
    <w:rsid w:val="23B4369A"/>
    <w:rsid w:val="23ED1E2C"/>
    <w:rsid w:val="23FD0EBE"/>
    <w:rsid w:val="24227FE7"/>
    <w:rsid w:val="246F125D"/>
    <w:rsid w:val="2499509F"/>
    <w:rsid w:val="24AD49C6"/>
    <w:rsid w:val="25055D2A"/>
    <w:rsid w:val="25637247"/>
    <w:rsid w:val="25D54A1B"/>
    <w:rsid w:val="25E810A3"/>
    <w:rsid w:val="25F05B2D"/>
    <w:rsid w:val="25FD0775"/>
    <w:rsid w:val="262360E2"/>
    <w:rsid w:val="26291C43"/>
    <w:rsid w:val="26473E2D"/>
    <w:rsid w:val="265D1115"/>
    <w:rsid w:val="267117E1"/>
    <w:rsid w:val="26915D8A"/>
    <w:rsid w:val="26FE1209"/>
    <w:rsid w:val="270048F1"/>
    <w:rsid w:val="27367E5E"/>
    <w:rsid w:val="273E26C7"/>
    <w:rsid w:val="27615097"/>
    <w:rsid w:val="27767410"/>
    <w:rsid w:val="27817611"/>
    <w:rsid w:val="27B47B45"/>
    <w:rsid w:val="27C530F2"/>
    <w:rsid w:val="27D00BC6"/>
    <w:rsid w:val="27ED258A"/>
    <w:rsid w:val="28304D08"/>
    <w:rsid w:val="285B083D"/>
    <w:rsid w:val="28865720"/>
    <w:rsid w:val="28A6098E"/>
    <w:rsid w:val="28BC4F42"/>
    <w:rsid w:val="28E2531E"/>
    <w:rsid w:val="290E1E6B"/>
    <w:rsid w:val="294134B0"/>
    <w:rsid w:val="29465E25"/>
    <w:rsid w:val="294F2677"/>
    <w:rsid w:val="29EF0DD5"/>
    <w:rsid w:val="2A730BA7"/>
    <w:rsid w:val="2AB5365B"/>
    <w:rsid w:val="2AD45D29"/>
    <w:rsid w:val="2B0A620E"/>
    <w:rsid w:val="2B235DF6"/>
    <w:rsid w:val="2B252C86"/>
    <w:rsid w:val="2B4C5CCB"/>
    <w:rsid w:val="2B615AE4"/>
    <w:rsid w:val="2B6B2681"/>
    <w:rsid w:val="2B8A154F"/>
    <w:rsid w:val="2C067947"/>
    <w:rsid w:val="2C0B5D1C"/>
    <w:rsid w:val="2C5B2788"/>
    <w:rsid w:val="2CE76673"/>
    <w:rsid w:val="2CEA7305"/>
    <w:rsid w:val="2D0B6AC6"/>
    <w:rsid w:val="2D131AA1"/>
    <w:rsid w:val="2D3C42D2"/>
    <w:rsid w:val="2D565433"/>
    <w:rsid w:val="2D765B1D"/>
    <w:rsid w:val="2E107418"/>
    <w:rsid w:val="2E122822"/>
    <w:rsid w:val="2E357110"/>
    <w:rsid w:val="2E673AD0"/>
    <w:rsid w:val="2E7856B5"/>
    <w:rsid w:val="2EBB2932"/>
    <w:rsid w:val="2EBB7C52"/>
    <w:rsid w:val="2EF4400B"/>
    <w:rsid w:val="2F5534BB"/>
    <w:rsid w:val="2F591ED7"/>
    <w:rsid w:val="2F9C6D2A"/>
    <w:rsid w:val="2FCF6443"/>
    <w:rsid w:val="2FDD622C"/>
    <w:rsid w:val="30B42047"/>
    <w:rsid w:val="3101721C"/>
    <w:rsid w:val="310D6E18"/>
    <w:rsid w:val="315D37A8"/>
    <w:rsid w:val="31946C8F"/>
    <w:rsid w:val="31CD3C51"/>
    <w:rsid w:val="31F06F2C"/>
    <w:rsid w:val="32265E67"/>
    <w:rsid w:val="3247349F"/>
    <w:rsid w:val="32677527"/>
    <w:rsid w:val="32D16C90"/>
    <w:rsid w:val="32DB5DCA"/>
    <w:rsid w:val="32F40C24"/>
    <w:rsid w:val="331B2E7F"/>
    <w:rsid w:val="331F7681"/>
    <w:rsid w:val="33452F5A"/>
    <w:rsid w:val="33503CEE"/>
    <w:rsid w:val="335E0BD7"/>
    <w:rsid w:val="33B45853"/>
    <w:rsid w:val="33E714BD"/>
    <w:rsid w:val="33FD13BC"/>
    <w:rsid w:val="34226A0B"/>
    <w:rsid w:val="34346367"/>
    <w:rsid w:val="34BC0E24"/>
    <w:rsid w:val="34CD677A"/>
    <w:rsid w:val="3509620E"/>
    <w:rsid w:val="356F67DF"/>
    <w:rsid w:val="35745AD9"/>
    <w:rsid w:val="35D7229B"/>
    <w:rsid w:val="35E14645"/>
    <w:rsid w:val="35E95250"/>
    <w:rsid w:val="360871C2"/>
    <w:rsid w:val="36235FC5"/>
    <w:rsid w:val="363620F2"/>
    <w:rsid w:val="365354AC"/>
    <w:rsid w:val="36A650B1"/>
    <w:rsid w:val="36AE060D"/>
    <w:rsid w:val="371F26BE"/>
    <w:rsid w:val="37383120"/>
    <w:rsid w:val="375668C1"/>
    <w:rsid w:val="375834FB"/>
    <w:rsid w:val="377B11BD"/>
    <w:rsid w:val="37B73903"/>
    <w:rsid w:val="37C61EB2"/>
    <w:rsid w:val="38043076"/>
    <w:rsid w:val="387370E3"/>
    <w:rsid w:val="387D0DF3"/>
    <w:rsid w:val="387F255E"/>
    <w:rsid w:val="38AB0C5F"/>
    <w:rsid w:val="38CD3D11"/>
    <w:rsid w:val="38D51F49"/>
    <w:rsid w:val="39981FFD"/>
    <w:rsid w:val="399B5A12"/>
    <w:rsid w:val="39B10B4B"/>
    <w:rsid w:val="39EA2B35"/>
    <w:rsid w:val="3A2F6E21"/>
    <w:rsid w:val="3A6436CD"/>
    <w:rsid w:val="3AA34D31"/>
    <w:rsid w:val="3B23199B"/>
    <w:rsid w:val="3B901528"/>
    <w:rsid w:val="3B930984"/>
    <w:rsid w:val="3BAA39FB"/>
    <w:rsid w:val="3C476CC8"/>
    <w:rsid w:val="3C6256BE"/>
    <w:rsid w:val="3C6A27E6"/>
    <w:rsid w:val="3C807B26"/>
    <w:rsid w:val="3C9E0EF4"/>
    <w:rsid w:val="3CAD407F"/>
    <w:rsid w:val="3D0D0CC8"/>
    <w:rsid w:val="3D2E7F2D"/>
    <w:rsid w:val="3D2F03BE"/>
    <w:rsid w:val="3DD94FF1"/>
    <w:rsid w:val="3E0771B0"/>
    <w:rsid w:val="3E120690"/>
    <w:rsid w:val="3E17446E"/>
    <w:rsid w:val="3E2E45A6"/>
    <w:rsid w:val="3E8777BD"/>
    <w:rsid w:val="3EAC77A8"/>
    <w:rsid w:val="3F062E4C"/>
    <w:rsid w:val="3F241805"/>
    <w:rsid w:val="3FCE41A7"/>
    <w:rsid w:val="407B59CB"/>
    <w:rsid w:val="408B788A"/>
    <w:rsid w:val="40917F90"/>
    <w:rsid w:val="40A93667"/>
    <w:rsid w:val="412F5DE3"/>
    <w:rsid w:val="41627E5D"/>
    <w:rsid w:val="416D51B3"/>
    <w:rsid w:val="418E3A7A"/>
    <w:rsid w:val="41DC39AB"/>
    <w:rsid w:val="42010B4A"/>
    <w:rsid w:val="42081FB3"/>
    <w:rsid w:val="42400B76"/>
    <w:rsid w:val="42A04330"/>
    <w:rsid w:val="42BC3E78"/>
    <w:rsid w:val="430E6814"/>
    <w:rsid w:val="432717B0"/>
    <w:rsid w:val="438C7971"/>
    <w:rsid w:val="43921187"/>
    <w:rsid w:val="439C2CA2"/>
    <w:rsid w:val="43BC7D94"/>
    <w:rsid w:val="43EF7FDA"/>
    <w:rsid w:val="43F5573B"/>
    <w:rsid w:val="44343AEC"/>
    <w:rsid w:val="44446D56"/>
    <w:rsid w:val="44533AB6"/>
    <w:rsid w:val="44571EE3"/>
    <w:rsid w:val="44CB75EA"/>
    <w:rsid w:val="450F21A9"/>
    <w:rsid w:val="452A732F"/>
    <w:rsid w:val="45347FD9"/>
    <w:rsid w:val="45CF14BF"/>
    <w:rsid w:val="45E427E0"/>
    <w:rsid w:val="460C34E1"/>
    <w:rsid w:val="46473F0F"/>
    <w:rsid w:val="46A27CA3"/>
    <w:rsid w:val="46AA7728"/>
    <w:rsid w:val="46B77660"/>
    <w:rsid w:val="471318D5"/>
    <w:rsid w:val="47270178"/>
    <w:rsid w:val="472C42C6"/>
    <w:rsid w:val="47374DFE"/>
    <w:rsid w:val="476154A3"/>
    <w:rsid w:val="47A92E72"/>
    <w:rsid w:val="47C0092A"/>
    <w:rsid w:val="47CA1A23"/>
    <w:rsid w:val="482A0787"/>
    <w:rsid w:val="482D71D9"/>
    <w:rsid w:val="48AB52B6"/>
    <w:rsid w:val="48AF658F"/>
    <w:rsid w:val="48E32551"/>
    <w:rsid w:val="4973662F"/>
    <w:rsid w:val="49C81130"/>
    <w:rsid w:val="49ED7247"/>
    <w:rsid w:val="4A2316FF"/>
    <w:rsid w:val="4AB325BD"/>
    <w:rsid w:val="4AC40D28"/>
    <w:rsid w:val="4B0F7200"/>
    <w:rsid w:val="4B250BAC"/>
    <w:rsid w:val="4B2E2CE7"/>
    <w:rsid w:val="4B8A0727"/>
    <w:rsid w:val="4BB13D79"/>
    <w:rsid w:val="4BB7722F"/>
    <w:rsid w:val="4BD90C87"/>
    <w:rsid w:val="4C0E42AF"/>
    <w:rsid w:val="4C4E36D8"/>
    <w:rsid w:val="4C7E7D5F"/>
    <w:rsid w:val="4C867C20"/>
    <w:rsid w:val="4CCC102F"/>
    <w:rsid w:val="4CF77702"/>
    <w:rsid w:val="4CFB4708"/>
    <w:rsid w:val="4D06725B"/>
    <w:rsid w:val="4D1C48C7"/>
    <w:rsid w:val="4D371688"/>
    <w:rsid w:val="4D42466B"/>
    <w:rsid w:val="4D7A079E"/>
    <w:rsid w:val="4DAC3DFB"/>
    <w:rsid w:val="4DB554B1"/>
    <w:rsid w:val="4DBA2C07"/>
    <w:rsid w:val="4DCB0EDA"/>
    <w:rsid w:val="4E1F664D"/>
    <w:rsid w:val="4EB23B99"/>
    <w:rsid w:val="4ED674EC"/>
    <w:rsid w:val="4ED82550"/>
    <w:rsid w:val="4EFA4DDB"/>
    <w:rsid w:val="4F412CE1"/>
    <w:rsid w:val="4F460845"/>
    <w:rsid w:val="4F502DB7"/>
    <w:rsid w:val="4F614565"/>
    <w:rsid w:val="4F747089"/>
    <w:rsid w:val="4F9D6BDD"/>
    <w:rsid w:val="4FD07200"/>
    <w:rsid w:val="4FE229CC"/>
    <w:rsid w:val="502139AE"/>
    <w:rsid w:val="5047572E"/>
    <w:rsid w:val="504B133D"/>
    <w:rsid w:val="50691D20"/>
    <w:rsid w:val="508C375F"/>
    <w:rsid w:val="508C62C7"/>
    <w:rsid w:val="50B121A9"/>
    <w:rsid w:val="50BB780F"/>
    <w:rsid w:val="50BF75BF"/>
    <w:rsid w:val="51B5211D"/>
    <w:rsid w:val="51BC7D19"/>
    <w:rsid w:val="51C75626"/>
    <w:rsid w:val="51CC4563"/>
    <w:rsid w:val="51F20563"/>
    <w:rsid w:val="51F84867"/>
    <w:rsid w:val="51F97021"/>
    <w:rsid w:val="52285346"/>
    <w:rsid w:val="524948D4"/>
    <w:rsid w:val="524A1F5C"/>
    <w:rsid w:val="524E0019"/>
    <w:rsid w:val="528A34DC"/>
    <w:rsid w:val="52A2334B"/>
    <w:rsid w:val="52EA2DB6"/>
    <w:rsid w:val="52FE451B"/>
    <w:rsid w:val="538A7DE0"/>
    <w:rsid w:val="53F97917"/>
    <w:rsid w:val="541E010A"/>
    <w:rsid w:val="54564659"/>
    <w:rsid w:val="546149ED"/>
    <w:rsid w:val="54E74788"/>
    <w:rsid w:val="54F81B61"/>
    <w:rsid w:val="55173196"/>
    <w:rsid w:val="5521328D"/>
    <w:rsid w:val="554B2EA9"/>
    <w:rsid w:val="55C31B8B"/>
    <w:rsid w:val="55EB240B"/>
    <w:rsid w:val="56391DC8"/>
    <w:rsid w:val="56981D04"/>
    <w:rsid w:val="56E30826"/>
    <w:rsid w:val="56F041CB"/>
    <w:rsid w:val="573126F7"/>
    <w:rsid w:val="574C2FCB"/>
    <w:rsid w:val="578F3749"/>
    <w:rsid w:val="579C5775"/>
    <w:rsid w:val="579E0ED5"/>
    <w:rsid w:val="57AD748E"/>
    <w:rsid w:val="57ED488D"/>
    <w:rsid w:val="58174567"/>
    <w:rsid w:val="58AE100B"/>
    <w:rsid w:val="591706AE"/>
    <w:rsid w:val="597F398E"/>
    <w:rsid w:val="597F7384"/>
    <w:rsid w:val="59820AA0"/>
    <w:rsid w:val="5983346F"/>
    <w:rsid w:val="59911ED9"/>
    <w:rsid w:val="599932B0"/>
    <w:rsid w:val="59D33135"/>
    <w:rsid w:val="59DB568E"/>
    <w:rsid w:val="5A0C7744"/>
    <w:rsid w:val="5AB30316"/>
    <w:rsid w:val="5ADA084B"/>
    <w:rsid w:val="5B175BC2"/>
    <w:rsid w:val="5B305FC1"/>
    <w:rsid w:val="5B7156A2"/>
    <w:rsid w:val="5BC14E2C"/>
    <w:rsid w:val="5BD15766"/>
    <w:rsid w:val="5BD83BCF"/>
    <w:rsid w:val="5C3E571E"/>
    <w:rsid w:val="5C713390"/>
    <w:rsid w:val="5CAE29AB"/>
    <w:rsid w:val="5CB121AA"/>
    <w:rsid w:val="5D362760"/>
    <w:rsid w:val="5D5F18CF"/>
    <w:rsid w:val="5D84250A"/>
    <w:rsid w:val="5D8B62BC"/>
    <w:rsid w:val="5DBD7C54"/>
    <w:rsid w:val="5DCC4860"/>
    <w:rsid w:val="5DCD0EA6"/>
    <w:rsid w:val="5DD261A2"/>
    <w:rsid w:val="5DF56DC8"/>
    <w:rsid w:val="5E190229"/>
    <w:rsid w:val="5E3B5AF4"/>
    <w:rsid w:val="5E607D23"/>
    <w:rsid w:val="5EB31491"/>
    <w:rsid w:val="5EE9345C"/>
    <w:rsid w:val="5F33265E"/>
    <w:rsid w:val="5F701AE9"/>
    <w:rsid w:val="5F84347E"/>
    <w:rsid w:val="5FAE0139"/>
    <w:rsid w:val="5FD743CA"/>
    <w:rsid w:val="604D40F0"/>
    <w:rsid w:val="60B16D2E"/>
    <w:rsid w:val="61185CED"/>
    <w:rsid w:val="61557265"/>
    <w:rsid w:val="61B3756F"/>
    <w:rsid w:val="61BE3451"/>
    <w:rsid w:val="61CD0280"/>
    <w:rsid w:val="61E1454D"/>
    <w:rsid w:val="621F4438"/>
    <w:rsid w:val="624207D1"/>
    <w:rsid w:val="62870BDE"/>
    <w:rsid w:val="62B32F87"/>
    <w:rsid w:val="62B82878"/>
    <w:rsid w:val="62D52828"/>
    <w:rsid w:val="62D62B32"/>
    <w:rsid w:val="62D93663"/>
    <w:rsid w:val="62E26B4E"/>
    <w:rsid w:val="635817E0"/>
    <w:rsid w:val="63C94128"/>
    <w:rsid w:val="63CB6269"/>
    <w:rsid w:val="63F212D1"/>
    <w:rsid w:val="63F50327"/>
    <w:rsid w:val="641B7D15"/>
    <w:rsid w:val="64EE5390"/>
    <w:rsid w:val="64F17D62"/>
    <w:rsid w:val="64FF6EC4"/>
    <w:rsid w:val="65210884"/>
    <w:rsid w:val="655C5262"/>
    <w:rsid w:val="656204E0"/>
    <w:rsid w:val="65654203"/>
    <w:rsid w:val="65835232"/>
    <w:rsid w:val="658D5EF1"/>
    <w:rsid w:val="65A523DA"/>
    <w:rsid w:val="66990A56"/>
    <w:rsid w:val="66A26E0C"/>
    <w:rsid w:val="66C91F24"/>
    <w:rsid w:val="67022C13"/>
    <w:rsid w:val="673A1DC3"/>
    <w:rsid w:val="68636D13"/>
    <w:rsid w:val="68BB0AAB"/>
    <w:rsid w:val="68DA7EB4"/>
    <w:rsid w:val="68EF35C9"/>
    <w:rsid w:val="692250FD"/>
    <w:rsid w:val="6956338F"/>
    <w:rsid w:val="695F1D3A"/>
    <w:rsid w:val="69F10CA9"/>
    <w:rsid w:val="6AAD7785"/>
    <w:rsid w:val="6AB55BE0"/>
    <w:rsid w:val="6AEF4E03"/>
    <w:rsid w:val="6B12299F"/>
    <w:rsid w:val="6B3A72F3"/>
    <w:rsid w:val="6B5A4A14"/>
    <w:rsid w:val="6B5B6948"/>
    <w:rsid w:val="6B5E0A38"/>
    <w:rsid w:val="6BD05FA7"/>
    <w:rsid w:val="6BD311A9"/>
    <w:rsid w:val="6C164E82"/>
    <w:rsid w:val="6C331FA1"/>
    <w:rsid w:val="6CD55A34"/>
    <w:rsid w:val="6CF9105F"/>
    <w:rsid w:val="6D2715D1"/>
    <w:rsid w:val="6D3E2D70"/>
    <w:rsid w:val="6E0150CD"/>
    <w:rsid w:val="6E3B3ED1"/>
    <w:rsid w:val="6E4435E3"/>
    <w:rsid w:val="6E526481"/>
    <w:rsid w:val="6E596F13"/>
    <w:rsid w:val="6E9C2EFE"/>
    <w:rsid w:val="6E9F6BDD"/>
    <w:rsid w:val="6EF07DBA"/>
    <w:rsid w:val="6F177CAA"/>
    <w:rsid w:val="6F597BEC"/>
    <w:rsid w:val="6F870BE3"/>
    <w:rsid w:val="6F91210B"/>
    <w:rsid w:val="6F9F3400"/>
    <w:rsid w:val="6FB47C00"/>
    <w:rsid w:val="7005189F"/>
    <w:rsid w:val="70E162A2"/>
    <w:rsid w:val="70EB37A7"/>
    <w:rsid w:val="71113600"/>
    <w:rsid w:val="712012EA"/>
    <w:rsid w:val="713055CA"/>
    <w:rsid w:val="7166502D"/>
    <w:rsid w:val="71935538"/>
    <w:rsid w:val="71C64A9E"/>
    <w:rsid w:val="71E3445B"/>
    <w:rsid w:val="72281BEF"/>
    <w:rsid w:val="724E5E6A"/>
    <w:rsid w:val="7285208C"/>
    <w:rsid w:val="729B0E6A"/>
    <w:rsid w:val="72B161C4"/>
    <w:rsid w:val="732431F5"/>
    <w:rsid w:val="735A4B2C"/>
    <w:rsid w:val="736A0EFA"/>
    <w:rsid w:val="73862234"/>
    <w:rsid w:val="73952F8F"/>
    <w:rsid w:val="74293032"/>
    <w:rsid w:val="744667C8"/>
    <w:rsid w:val="74AB3090"/>
    <w:rsid w:val="74DF544D"/>
    <w:rsid w:val="7510016D"/>
    <w:rsid w:val="753526BD"/>
    <w:rsid w:val="75653BEB"/>
    <w:rsid w:val="75CC3A64"/>
    <w:rsid w:val="75E144F0"/>
    <w:rsid w:val="75E416AF"/>
    <w:rsid w:val="7609765C"/>
    <w:rsid w:val="762E2CAA"/>
    <w:rsid w:val="76794A3B"/>
    <w:rsid w:val="76D46EEC"/>
    <w:rsid w:val="76EC2589"/>
    <w:rsid w:val="779C4632"/>
    <w:rsid w:val="779D5943"/>
    <w:rsid w:val="78AF6914"/>
    <w:rsid w:val="78D469B5"/>
    <w:rsid w:val="78EB2B2B"/>
    <w:rsid w:val="78ED6392"/>
    <w:rsid w:val="78F603BB"/>
    <w:rsid w:val="79781825"/>
    <w:rsid w:val="79A0193B"/>
    <w:rsid w:val="79E800C3"/>
    <w:rsid w:val="7A230991"/>
    <w:rsid w:val="7A3B312A"/>
    <w:rsid w:val="7A874AA8"/>
    <w:rsid w:val="7A9D7C54"/>
    <w:rsid w:val="7AA622A6"/>
    <w:rsid w:val="7AB875ED"/>
    <w:rsid w:val="7AF975FC"/>
    <w:rsid w:val="7BD4291C"/>
    <w:rsid w:val="7BFE5825"/>
    <w:rsid w:val="7CAB484B"/>
    <w:rsid w:val="7CBD5647"/>
    <w:rsid w:val="7D4B60D8"/>
    <w:rsid w:val="7D7D3CAE"/>
    <w:rsid w:val="7DD61046"/>
    <w:rsid w:val="7E137AFD"/>
    <w:rsid w:val="7E2F3190"/>
    <w:rsid w:val="7E4D3A6E"/>
    <w:rsid w:val="7E663401"/>
    <w:rsid w:val="7EBC1D15"/>
    <w:rsid w:val="7EEA70BF"/>
    <w:rsid w:val="7EF53F7B"/>
    <w:rsid w:val="7F4C48FB"/>
    <w:rsid w:val="7F6445C3"/>
    <w:rsid w:val="7FAF29F5"/>
    <w:rsid w:val="7FBC2D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600" w:lineRule="exact"/>
      <w:ind w:left="105" w:leftChars="50"/>
      <w:jc w:val="center"/>
      <w:outlineLvl w:val="0"/>
    </w:pPr>
    <w:rPr>
      <w:b/>
      <w:bCs/>
      <w:kern w:val="44"/>
      <w:sz w:val="36"/>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jc w:val="left"/>
      <w:textAlignment w:val="baseline"/>
    </w:pPr>
    <w:rPr>
      <w:kern w:val="0"/>
      <w:szCs w:val="20"/>
    </w:rPr>
  </w:style>
  <w:style w:type="paragraph" w:styleId="5">
    <w:name w:val="Normal Indent"/>
    <w:basedOn w:val="1"/>
    <w:qFormat/>
    <w:uiPriority w:val="0"/>
    <w:pPr>
      <w:ind w:firstLine="420"/>
    </w:pPr>
    <w:rPr>
      <w:rFonts w:ascii="Calibri" w:hAnsi="Calibri"/>
      <w:szCs w:val="20"/>
    </w:rPr>
  </w:style>
  <w:style w:type="paragraph" w:styleId="6">
    <w:name w:val="toa heading"/>
    <w:basedOn w:val="1"/>
    <w:next w:val="1"/>
    <w:qFormat/>
    <w:uiPriority w:val="0"/>
    <w:pPr>
      <w:spacing w:before="120"/>
    </w:pPr>
    <w:rPr>
      <w:rFonts w:ascii="Arial" w:hAnsi="Arial"/>
      <w:sz w:val="24"/>
    </w:rPr>
  </w:style>
  <w:style w:type="paragraph" w:styleId="7">
    <w:name w:val="annotation text"/>
    <w:basedOn w:val="1"/>
    <w:qFormat/>
    <w:uiPriority w:val="0"/>
    <w:pPr>
      <w:jc w:val="left"/>
    </w:pPr>
  </w:style>
  <w:style w:type="paragraph" w:styleId="8">
    <w:name w:val="Body Text"/>
    <w:basedOn w:val="1"/>
    <w:qFormat/>
    <w:uiPriority w:val="0"/>
    <w:pPr>
      <w:spacing w:line="380" w:lineRule="exact"/>
    </w:pPr>
    <w:rPr>
      <w:sz w:val="24"/>
    </w:rPr>
  </w:style>
  <w:style w:type="paragraph" w:styleId="9">
    <w:name w:val="Body Text Indent"/>
    <w:basedOn w:val="1"/>
    <w:qFormat/>
    <w:uiPriority w:val="0"/>
    <w:pPr>
      <w:ind w:firstLine="830" w:firstLineChars="352"/>
    </w:pPr>
    <w:rPr>
      <w:rFonts w:ascii="仿宋_GB2312" w:eastAsia="仿宋_GB2312"/>
      <w:sz w:val="32"/>
      <w:szCs w:val="20"/>
    </w:rPr>
  </w:style>
  <w:style w:type="paragraph" w:styleId="10">
    <w:name w:val="List 2"/>
    <w:basedOn w:val="1"/>
    <w:qFormat/>
    <w:uiPriority w:val="0"/>
    <w:pPr>
      <w:ind w:left="100" w:leftChars="200" w:hanging="200" w:hangingChars="200"/>
    </w:pPr>
    <w:rPr>
      <w:sz w:val="28"/>
    </w:rPr>
  </w:style>
  <w:style w:type="paragraph" w:styleId="11">
    <w:name w:val="Plain Text"/>
    <w:basedOn w:val="1"/>
    <w:next w:val="4"/>
    <w:link w:val="48"/>
    <w:qFormat/>
    <w:uiPriority w:val="0"/>
    <w:rPr>
      <w:rFonts w:ascii="宋体" w:hAnsi="Courier New" w:cs="Courier New"/>
      <w:szCs w:val="21"/>
    </w:rPr>
  </w:style>
  <w:style w:type="paragraph" w:styleId="12">
    <w:name w:val="Date"/>
    <w:basedOn w:val="1"/>
    <w:next w:val="1"/>
    <w:qFormat/>
    <w:uiPriority w:val="0"/>
    <w:pPr>
      <w:ind w:left="100" w:leftChars="2500"/>
    </w:pPr>
    <w:rPr>
      <w:rFonts w:ascii="宋体" w:hAnsi="Courier New" w:cs="Courier New"/>
      <w:szCs w:val="21"/>
    </w:rPr>
  </w:style>
  <w:style w:type="paragraph" w:styleId="13">
    <w:name w:val="Body Text Indent 2"/>
    <w:basedOn w:val="1"/>
    <w:qFormat/>
    <w:uiPriority w:val="0"/>
    <w:pPr>
      <w:ind w:firstLine="630"/>
    </w:pPr>
    <w:rPr>
      <w:sz w:val="32"/>
      <w:szCs w:val="20"/>
    </w:rPr>
  </w:style>
  <w:style w:type="paragraph" w:styleId="14">
    <w:name w:val="Balloon Text"/>
    <w:basedOn w:val="1"/>
    <w:link w:val="42"/>
    <w:qFormat/>
    <w:uiPriority w:val="0"/>
    <w:rPr>
      <w:sz w:val="18"/>
      <w:szCs w:val="18"/>
    </w:rPr>
  </w:style>
  <w:style w:type="paragraph" w:styleId="15">
    <w:name w:val="footer"/>
    <w:basedOn w:val="1"/>
    <w:unhideWhenUsed/>
    <w:qFormat/>
    <w:uiPriority w:val="0"/>
    <w:pPr>
      <w:tabs>
        <w:tab w:val="center" w:pos="4153"/>
        <w:tab w:val="right" w:pos="8306"/>
      </w:tabs>
      <w:snapToGrid w:val="0"/>
      <w:jc w:val="left"/>
    </w:pPr>
    <w:rPr>
      <w:sz w:val="18"/>
      <w:szCs w:val="18"/>
    </w:rPr>
  </w:style>
  <w:style w:type="paragraph" w:styleId="16">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000"/>
      </w:tabs>
      <w:spacing w:before="120" w:after="120" w:line="480" w:lineRule="exact"/>
      <w:ind w:firstLine="281" w:firstLineChars="100"/>
      <w:jc w:val="left"/>
    </w:pPr>
    <w:rPr>
      <w:rFonts w:ascii="宋体" w:hAnsi="宋体"/>
      <w:b/>
      <w:bCs/>
      <w:caps/>
      <w:sz w:val="24"/>
    </w:rPr>
  </w:style>
  <w:style w:type="paragraph" w:styleId="18">
    <w:name w:val="List"/>
    <w:basedOn w:val="1"/>
    <w:qFormat/>
    <w:uiPriority w:val="0"/>
    <w:pPr>
      <w:ind w:left="200" w:hanging="200" w:hangingChars="200"/>
    </w:pPr>
    <w:rPr>
      <w:sz w:val="28"/>
    </w:rPr>
  </w:style>
  <w:style w:type="paragraph" w:styleId="19">
    <w:name w:val="Body Text Indent 3"/>
    <w:basedOn w:val="1"/>
    <w:qFormat/>
    <w:uiPriority w:val="0"/>
    <w:pPr>
      <w:spacing w:after="120"/>
      <w:ind w:left="420" w:leftChars="200"/>
    </w:pPr>
    <w:rPr>
      <w:sz w:val="16"/>
      <w:szCs w:val="16"/>
    </w:rPr>
  </w:style>
  <w:style w:type="paragraph" w:styleId="20">
    <w:name w:val="toc 2"/>
    <w:basedOn w:val="1"/>
    <w:next w:val="1"/>
    <w:qFormat/>
    <w:uiPriority w:val="0"/>
    <w:pPr>
      <w:ind w:left="420" w:leftChars="200"/>
    </w:pPr>
  </w:style>
  <w:style w:type="paragraph" w:styleId="21">
    <w:name w:val="Normal (Web)"/>
    <w:basedOn w:val="1"/>
    <w:qFormat/>
    <w:uiPriority w:val="0"/>
    <w:pPr>
      <w:jc w:val="left"/>
    </w:pPr>
    <w:rPr>
      <w:color w:val="333333"/>
      <w:kern w:val="0"/>
      <w:sz w:val="24"/>
    </w:rPr>
  </w:style>
  <w:style w:type="paragraph" w:styleId="22">
    <w:name w:val="Title"/>
    <w:basedOn w:val="1"/>
    <w:next w:val="1"/>
    <w:link w:val="50"/>
    <w:qFormat/>
    <w:uiPriority w:val="0"/>
    <w:pPr>
      <w:spacing w:before="240" w:after="60"/>
      <w:jc w:val="center"/>
      <w:outlineLvl w:val="0"/>
    </w:pPr>
    <w:rPr>
      <w:rFonts w:ascii="Cambria" w:hAnsi="Cambria"/>
      <w:b/>
      <w:bCs/>
      <w:sz w:val="32"/>
      <w:szCs w:val="32"/>
    </w:rPr>
  </w:style>
  <w:style w:type="paragraph" w:styleId="23">
    <w:name w:val="Body Text First Indent"/>
    <w:basedOn w:val="8"/>
    <w:qFormat/>
    <w:uiPriority w:val="0"/>
    <w:pPr>
      <w:ind w:firstLine="420" w:firstLineChars="100"/>
    </w:pPr>
    <w:rPr>
      <w:rFonts w:ascii="宋体"/>
      <w:kern w:val="0"/>
      <w:sz w:val="34"/>
      <w:szCs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qFormat/>
    <w:uiPriority w:val="0"/>
  </w:style>
  <w:style w:type="character" w:styleId="29">
    <w:name w:val="FollowedHyperlink"/>
    <w:basedOn w:val="26"/>
    <w:qFormat/>
    <w:uiPriority w:val="0"/>
    <w:rPr>
      <w:color w:val="000000"/>
      <w:u w:val="none"/>
    </w:rPr>
  </w:style>
  <w:style w:type="character" w:styleId="30">
    <w:name w:val="Emphasis"/>
    <w:basedOn w:val="26"/>
    <w:qFormat/>
    <w:uiPriority w:val="0"/>
  </w:style>
  <w:style w:type="character" w:styleId="31">
    <w:name w:val="HTML Definition"/>
    <w:basedOn w:val="26"/>
    <w:qFormat/>
    <w:uiPriority w:val="0"/>
    <w:rPr>
      <w:i/>
    </w:rPr>
  </w:style>
  <w:style w:type="character" w:styleId="32">
    <w:name w:val="Hyperlink"/>
    <w:basedOn w:val="26"/>
    <w:qFormat/>
    <w:uiPriority w:val="99"/>
    <w:rPr>
      <w:color w:val="000000"/>
      <w:u w:val="none"/>
    </w:rPr>
  </w:style>
  <w:style w:type="character" w:styleId="33">
    <w:name w:val="HTML Code"/>
    <w:basedOn w:val="26"/>
    <w:qFormat/>
    <w:uiPriority w:val="0"/>
    <w:rPr>
      <w:rFonts w:hint="default" w:ascii="Consolas" w:hAnsi="Consolas" w:eastAsia="Consolas" w:cs="Consolas"/>
      <w:color w:val="C7254E"/>
      <w:sz w:val="21"/>
      <w:szCs w:val="21"/>
      <w:shd w:val="clear" w:color="auto" w:fill="F9F2F4"/>
    </w:rPr>
  </w:style>
  <w:style w:type="character" w:styleId="34">
    <w:name w:val="annotation reference"/>
    <w:basedOn w:val="26"/>
    <w:qFormat/>
    <w:uiPriority w:val="0"/>
    <w:rPr>
      <w:sz w:val="21"/>
      <w:szCs w:val="21"/>
    </w:rPr>
  </w:style>
  <w:style w:type="character" w:styleId="35">
    <w:name w:val="HTML Keyboard"/>
    <w:basedOn w:val="26"/>
    <w:qFormat/>
    <w:uiPriority w:val="0"/>
    <w:rPr>
      <w:rFonts w:ascii="Consolas" w:hAnsi="Consolas" w:eastAsia="Consolas" w:cs="Consolas"/>
      <w:color w:val="FFFFFF"/>
      <w:sz w:val="21"/>
      <w:szCs w:val="21"/>
      <w:shd w:val="clear" w:color="auto" w:fill="333333"/>
    </w:rPr>
  </w:style>
  <w:style w:type="character" w:styleId="36">
    <w:name w:val="HTML Sample"/>
    <w:basedOn w:val="26"/>
    <w:qFormat/>
    <w:uiPriority w:val="0"/>
    <w:rPr>
      <w:rFonts w:hint="default" w:ascii="Consolas" w:hAnsi="Consolas" w:eastAsia="Consolas" w:cs="Consolas"/>
      <w:sz w:val="21"/>
      <w:szCs w:val="21"/>
    </w:rPr>
  </w:style>
  <w:style w:type="paragraph" w:customStyle="1" w:styleId="37">
    <w:name w:val="正文段"/>
    <w:basedOn w:val="1"/>
    <w:qFormat/>
    <w:uiPriority w:val="0"/>
    <w:pPr>
      <w:widowControl/>
      <w:snapToGrid w:val="0"/>
      <w:spacing w:afterLines="50"/>
      <w:ind w:firstLine="200" w:firstLineChars="200"/>
    </w:pPr>
    <w:rPr>
      <w:kern w:val="0"/>
      <w:sz w:val="24"/>
      <w:szCs w:val="20"/>
    </w:rPr>
  </w:style>
  <w:style w:type="paragraph" w:styleId="38">
    <w:name w:val="List Paragraph"/>
    <w:basedOn w:val="1"/>
    <w:qFormat/>
    <w:uiPriority w:val="0"/>
    <w:pPr>
      <w:ind w:firstLine="420" w:firstLineChars="200"/>
    </w:pPr>
  </w:style>
  <w:style w:type="paragraph" w:customStyle="1" w:styleId="39">
    <w:name w:val="p0"/>
    <w:basedOn w:val="1"/>
    <w:qFormat/>
    <w:uiPriority w:val="0"/>
    <w:pPr>
      <w:widowControl/>
    </w:pPr>
    <w:rPr>
      <w:kern w:val="0"/>
      <w:szCs w:val="21"/>
    </w:rPr>
  </w:style>
  <w:style w:type="paragraph" w:customStyle="1" w:styleId="40">
    <w:name w:val="默认段落字体 Para Char Char Char Char Char Char Char Char Char1 Char Char Char Char"/>
    <w:basedOn w:val="1"/>
    <w:qFormat/>
    <w:uiPriority w:val="0"/>
    <w:rPr>
      <w:rFonts w:ascii="Tahoma" w:hAnsi="Tahoma"/>
      <w:sz w:val="24"/>
      <w:szCs w:val="20"/>
    </w:rPr>
  </w:style>
  <w:style w:type="character" w:customStyle="1" w:styleId="41">
    <w:name w:val="纯文本 Char"/>
    <w:basedOn w:val="26"/>
    <w:qFormat/>
    <w:uiPriority w:val="0"/>
    <w:rPr>
      <w:rFonts w:ascii="宋体" w:hAnsi="Courier New" w:cs="Courier New"/>
      <w:kern w:val="2"/>
      <w:sz w:val="21"/>
      <w:szCs w:val="21"/>
    </w:rPr>
  </w:style>
  <w:style w:type="character" w:customStyle="1" w:styleId="42">
    <w:name w:val="批注框文本 Char"/>
    <w:basedOn w:val="26"/>
    <w:link w:val="14"/>
    <w:qFormat/>
    <w:uiPriority w:val="0"/>
    <w:rPr>
      <w:rFonts w:ascii="Times New Roman" w:hAnsi="Times New Roman"/>
      <w:kern w:val="2"/>
      <w:sz w:val="18"/>
      <w:szCs w:val="18"/>
    </w:rPr>
  </w:style>
  <w:style w:type="character" w:customStyle="1" w:styleId="43">
    <w:name w:val="页眉 Char"/>
    <w:basedOn w:val="26"/>
    <w:link w:val="16"/>
    <w:qFormat/>
    <w:uiPriority w:val="99"/>
    <w:rPr>
      <w:rFonts w:ascii="Times New Roman" w:hAnsi="Times New Roman"/>
      <w:kern w:val="2"/>
      <w:sz w:val="18"/>
      <w:szCs w:val="18"/>
    </w:rPr>
  </w:style>
  <w:style w:type="paragraph" w:customStyle="1" w:styleId="44">
    <w:name w:val="正文1"/>
    <w:qFormat/>
    <w:uiPriority w:val="0"/>
    <w:pPr>
      <w:jc w:val="both"/>
    </w:pPr>
    <w:rPr>
      <w:rFonts w:ascii="Calibri" w:hAnsi="Calibri" w:eastAsia="宋体" w:cs="宋体"/>
      <w:kern w:val="2"/>
      <w:sz w:val="21"/>
      <w:szCs w:val="21"/>
      <w:lang w:val="en-US" w:eastAsia="zh-CN" w:bidi="ar-SA"/>
    </w:rPr>
  </w:style>
  <w:style w:type="paragraph" w:customStyle="1" w:styleId="45">
    <w:name w:val="列出段落1"/>
    <w:basedOn w:val="1"/>
    <w:qFormat/>
    <w:uiPriority w:val="0"/>
    <w:pPr>
      <w:ind w:firstLine="420" w:firstLineChars="200"/>
    </w:pPr>
    <w:rPr>
      <w:szCs w:val="21"/>
    </w:rPr>
  </w:style>
  <w:style w:type="paragraph" w:customStyle="1" w:styleId="46">
    <w:name w:val="列出段落2"/>
    <w:basedOn w:val="1"/>
    <w:qFormat/>
    <w:uiPriority w:val="0"/>
    <w:pPr>
      <w:ind w:firstLine="420" w:firstLineChars="200"/>
    </w:pPr>
    <w:rPr>
      <w:szCs w:val="21"/>
    </w:rPr>
  </w:style>
  <w:style w:type="paragraph" w:customStyle="1" w:styleId="47">
    <w:name w:val="TOC 标题2"/>
    <w:basedOn w:val="3"/>
    <w:next w:val="1"/>
    <w:semiHidden/>
    <w:qFormat/>
    <w:uiPriority w:val="0"/>
    <w:pPr>
      <w:widowControl/>
      <w:spacing w:before="480" w:line="273" w:lineRule="auto"/>
      <w:jc w:val="left"/>
      <w:outlineLvl w:val="9"/>
    </w:pPr>
    <w:rPr>
      <w:rFonts w:ascii="Cambria" w:hAnsi="Cambria"/>
      <w:color w:val="365F91"/>
      <w:kern w:val="0"/>
      <w:sz w:val="28"/>
      <w:szCs w:val="28"/>
    </w:rPr>
  </w:style>
  <w:style w:type="character" w:customStyle="1" w:styleId="48">
    <w:name w:val="纯文本 Char1"/>
    <w:basedOn w:val="26"/>
    <w:link w:val="11"/>
    <w:qFormat/>
    <w:uiPriority w:val="0"/>
    <w:rPr>
      <w:rFonts w:hint="eastAsia" w:ascii="宋体" w:hAnsi="Courier New" w:eastAsia="宋体" w:cs="Courier New"/>
      <w:szCs w:val="21"/>
    </w:rPr>
  </w:style>
  <w:style w:type="paragraph" w:styleId="49">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50">
    <w:name w:val="标题 Char"/>
    <w:link w:val="22"/>
    <w:qFormat/>
    <w:uiPriority w:val="0"/>
    <w:rPr>
      <w:rFonts w:ascii="Cambria" w:hAnsi="Cambria"/>
      <w:b/>
      <w:bCs/>
      <w:sz w:val="32"/>
      <w:szCs w:val="32"/>
    </w:rPr>
  </w:style>
  <w:style w:type="paragraph" w:customStyle="1" w:styleId="51">
    <w:name w:val="普通(网站)1"/>
    <w:basedOn w:val="1"/>
    <w:qFormat/>
    <w:uiPriority w:val="0"/>
    <w:pPr>
      <w:widowControl/>
      <w:spacing w:before="100" w:beforeAutospacing="1" w:after="100" w:afterAutospacing="1" w:line="384" w:lineRule="auto"/>
      <w:jc w:val="left"/>
    </w:pPr>
    <w:rPr>
      <w:rFonts w:ascii="ˎ̥" w:hAnsi="ˎ̥" w:cs="宋体"/>
      <w:color w:val="000000"/>
      <w:kern w:val="0"/>
      <w:sz w:val="24"/>
      <w:szCs w:val="21"/>
      <w:lang w:val="zh-CN"/>
    </w:rPr>
  </w:style>
  <w:style w:type="character" w:customStyle="1" w:styleId="52">
    <w:name w:val="hover4"/>
    <w:basedOn w:val="26"/>
    <w:qFormat/>
    <w:uiPriority w:val="0"/>
    <w:rPr>
      <w:color w:val="999999"/>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textcontents"/>
    <w:basedOn w:val="26"/>
    <w:qFormat/>
    <w:uiPriority w:val="0"/>
  </w:style>
  <w:style w:type="paragraph" w:customStyle="1" w:styleId="55">
    <w:name w:val="首行缩进"/>
    <w:basedOn w:val="1"/>
    <w:qFormat/>
    <w:uiPriority w:val="0"/>
    <w:pPr>
      <w:ind w:firstLine="480" w:firstLineChars="200"/>
    </w:pPr>
    <w:rPr>
      <w:lang w:val="zh-CN"/>
    </w:rPr>
  </w:style>
  <w:style w:type="character" w:customStyle="1" w:styleId="56">
    <w:name w:val="font41"/>
    <w:basedOn w:val="26"/>
    <w:qFormat/>
    <w:uiPriority w:val="0"/>
    <w:rPr>
      <w:rFonts w:hint="default" w:ascii="仿宋_GB2312" w:eastAsia="仿宋_GB2312" w:cs="仿宋_GB2312"/>
      <w:color w:val="000000"/>
      <w:sz w:val="18"/>
      <w:szCs w:val="18"/>
      <w:u w:val="none"/>
    </w:rPr>
  </w:style>
  <w:style w:type="character" w:customStyle="1" w:styleId="57">
    <w:name w:val="font112"/>
    <w:basedOn w:val="26"/>
    <w:qFormat/>
    <w:uiPriority w:val="0"/>
    <w:rPr>
      <w:rFonts w:hint="default" w:ascii="仿宋_GB2312" w:eastAsia="仿宋_GB2312" w:cs="仿宋_GB2312"/>
      <w:color w:val="FF0000"/>
      <w:sz w:val="18"/>
      <w:szCs w:val="18"/>
      <w:u w:val="none"/>
    </w:rPr>
  </w:style>
  <w:style w:type="paragraph" w:customStyle="1" w:styleId="58">
    <w:name w:val="无间隔1"/>
    <w:qFormat/>
    <w:uiPriority w:val="1"/>
    <w:pPr>
      <w:adjustRightInd w:val="0"/>
      <w:snapToGrid w:val="0"/>
    </w:pPr>
    <w:rPr>
      <w:rFonts w:ascii="Tahoma" w:hAnsi="Tahoma" w:eastAsia="微软雅黑" w:cs="Times New Roman"/>
      <w:sz w:val="22"/>
      <w:szCs w:val="22"/>
      <w:lang w:val="en-US" w:eastAsia="zh-CN" w:bidi="ar-SA"/>
    </w:rPr>
  </w:style>
  <w:style w:type="character" w:customStyle="1" w:styleId="59">
    <w:name w:val="font91"/>
    <w:qFormat/>
    <w:uiPriority w:val="0"/>
    <w:rPr>
      <w:rFonts w:hint="default" w:ascii="Times New Roman" w:hAnsi="Times New Roman" w:cs="Times New Roman"/>
      <w:color w:val="000000"/>
      <w:sz w:val="20"/>
      <w:szCs w:val="20"/>
      <w:u w:val="none"/>
    </w:rPr>
  </w:style>
  <w:style w:type="character" w:customStyle="1" w:styleId="60">
    <w:name w:val="last-child"/>
    <w:basedOn w:val="26"/>
    <w:uiPriority w:val="0"/>
  </w:style>
  <w:style w:type="character" w:customStyle="1" w:styleId="61">
    <w:name w:val="last-child1"/>
    <w:basedOn w:val="26"/>
    <w:uiPriority w:val="0"/>
  </w:style>
  <w:style w:type="character" w:customStyle="1" w:styleId="62">
    <w:name w:val="red"/>
    <w:basedOn w:val="26"/>
    <w:uiPriority w:val="0"/>
    <w:rPr>
      <w:b/>
      <w:color w:val="C22B21"/>
    </w:rPr>
  </w:style>
  <w:style w:type="character" w:customStyle="1" w:styleId="63">
    <w:name w:val="jump"/>
    <w:basedOn w:val="26"/>
    <w:uiPriority w:val="0"/>
  </w:style>
  <w:style w:type="character" w:customStyle="1" w:styleId="64">
    <w:name w:val="layui-this"/>
    <w:basedOn w:val="26"/>
    <w:uiPriority w:val="0"/>
    <w:rPr>
      <w:bdr w:val="single" w:color="EEEEEE" w:sz="6" w:space="0"/>
      <w:shd w:val="clear" w:fill="FFFFFF"/>
    </w:rPr>
  </w:style>
  <w:style w:type="character" w:customStyle="1" w:styleId="65">
    <w:name w:val="first-child"/>
    <w:basedOn w:val="26"/>
    <w:uiPriority w:val="0"/>
  </w:style>
  <w:style w:type="character" w:customStyle="1" w:styleId="66">
    <w:name w:val="bsharetext"/>
    <w:basedOn w:val="26"/>
    <w:uiPriority w:val="0"/>
  </w:style>
  <w:style w:type="character" w:customStyle="1" w:styleId="67">
    <w:name w:val="bds_more"/>
    <w:basedOn w:val="26"/>
    <w:uiPriority w:val="0"/>
    <w:rPr>
      <w:rFonts w:ascii="宋体 ! important" w:hAnsi="宋体 ! important" w:eastAsia="宋体 ! important" w:cs="宋体 ! important"/>
      <w:color w:val="454545"/>
      <w:sz w:val="21"/>
      <w:szCs w:val="21"/>
    </w:rPr>
  </w:style>
  <w:style w:type="character" w:customStyle="1" w:styleId="68">
    <w:name w:val="bds_more1"/>
    <w:basedOn w:val="26"/>
    <w:qFormat/>
    <w:uiPriority w:val="0"/>
    <w:rPr>
      <w:rFonts w:hint="eastAsia" w:ascii="宋体" w:hAnsi="宋体" w:eastAsia="宋体" w:cs="宋体"/>
    </w:rPr>
  </w:style>
  <w:style w:type="character" w:customStyle="1" w:styleId="69">
    <w:name w:val="bds_more2"/>
    <w:basedOn w:val="26"/>
    <w:uiPriority w:val="0"/>
    <w:rPr>
      <w:rFonts w:hint="default" w:ascii="宋体 ! important" w:hAnsi="宋体 ! important" w:eastAsia="宋体 ! important" w:cs="宋体 ! important"/>
      <w:color w:val="454545"/>
      <w:sz w:val="18"/>
      <w:szCs w:val="18"/>
    </w:rPr>
  </w:style>
  <w:style w:type="character" w:customStyle="1" w:styleId="70">
    <w:name w:val="bds_nopic"/>
    <w:basedOn w:val="26"/>
    <w:uiPriority w:val="0"/>
  </w:style>
  <w:style w:type="character" w:customStyle="1" w:styleId="71">
    <w:name w:val="bds_nopic1"/>
    <w:basedOn w:val="26"/>
    <w:uiPriority w:val="0"/>
  </w:style>
  <w:style w:type="character" w:customStyle="1" w:styleId="72">
    <w:name w:val="bds_nopic2"/>
    <w:basedOn w:val="26"/>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Info spid="_x0000_s2049"/>
    <customShpInfo spid="_x0000_s2050"/>
    <customShpInfo spid="_x0000_s1035"/>
    <customShpInfo spid="_x0000_s1026"/>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D76392-F66E-41AC-A5E7-29E589E0099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107</Pages>
  <Words>10383</Words>
  <Characters>59186</Characters>
  <Lines>493</Lines>
  <Paragraphs>138</Paragraphs>
  <TotalTime>1</TotalTime>
  <ScaleCrop>false</ScaleCrop>
  <LinksUpToDate>false</LinksUpToDate>
  <CharactersWithSpaces>69431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2020-04-26T08:55:00Z</dcterms:created>
  <dc:creator>Administrator</dc:creator>
  <cp:lastModifiedBy> ＂﹏夏ゝ末ル </cp:lastModifiedBy>
  <dcterms:modified xsi:type="dcterms:W3CDTF">2020-04-29T08:04:34Z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