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rPr>
          <w:rFonts w:ascii="宋体" w:hAnsi="宋体" w:cs="宋体"/>
          <w:kern w:val="0"/>
          <w:sz w:val="24"/>
          <w:szCs w:val="24"/>
        </w:rPr>
      </w:pPr>
      <w:bookmarkStart w:id="0" w:name="_Toc102390517"/>
      <w:bookmarkStart w:id="1" w:name="_Toc83000545"/>
      <w:bookmarkStart w:id="2" w:name="_Toc82916865"/>
      <w:bookmarkStart w:id="3" w:name="_Toc105415475"/>
      <w:bookmarkStart w:id="4" w:name="_Toc86312057"/>
      <w:bookmarkStart w:id="5" w:name="_Toc105341445"/>
      <w:bookmarkStart w:id="6" w:name="_Toc82753968"/>
      <w:bookmarkStart w:id="7" w:name="_Toc90635800"/>
      <w:bookmarkStart w:id="8" w:name="_Toc86399420"/>
      <w:bookmarkStart w:id="9" w:name="_Toc94515368"/>
      <w:bookmarkStart w:id="10" w:name="_Toc86052525"/>
      <w:bookmarkStart w:id="11" w:name="_Toc105150567"/>
      <w:bookmarkStart w:id="12" w:name="_Toc90265603"/>
      <w:bookmarkStart w:id="13" w:name="_Toc102450613"/>
      <w:bookmarkStart w:id="14" w:name="_Toc83027331"/>
      <w:bookmarkStart w:id="15" w:name="_Toc83006015"/>
      <w:bookmarkStart w:id="16" w:name="_Toc82753933"/>
      <w:bookmarkStart w:id="17" w:name="_Toc82917790"/>
      <w:bookmarkStart w:id="18" w:name="_Toc88281395"/>
      <w:bookmarkStart w:id="19" w:name="_Toc83004498"/>
      <w:bookmarkStart w:id="20" w:name="_Toc105415474"/>
      <w:bookmarkStart w:id="21" w:name="_Toc83000439"/>
      <w:bookmarkStart w:id="22" w:name="_Toc89167774"/>
      <w:bookmarkStart w:id="23" w:name="_Toc94415742"/>
      <w:bookmarkStart w:id="24" w:name="_Toc88271772"/>
      <w:bookmarkStart w:id="25" w:name="_Toc89681057"/>
      <w:r>
        <w:rPr>
          <w:rFonts w:ascii="宋体" w:hAnsi="宋体" w:cs="宋体"/>
          <w:kern w:val="0"/>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20320</wp:posOffset>
            </wp:positionV>
            <wp:extent cx="734060" cy="518160"/>
            <wp:effectExtent l="19050" t="0" r="8890" b="0"/>
            <wp:wrapSquare wrapText="bothSides"/>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noChangeArrowheads="1"/>
                    </pic:cNvPicPr>
                  </pic:nvPicPr>
                  <pic:blipFill>
                    <a:blip r:embed="rId8" cstate="print"/>
                    <a:srcRect b="13757"/>
                    <a:stretch>
                      <a:fillRect/>
                    </a:stretch>
                  </pic:blipFill>
                  <pic:spPr>
                    <a:xfrm>
                      <a:off x="0" y="0"/>
                      <a:ext cx="734060" cy="518160"/>
                    </a:xfrm>
                    <a:prstGeom prst="rect">
                      <a:avLst/>
                    </a:prstGeom>
                    <a:noFill/>
                    <a:ln w="9525">
                      <a:noFill/>
                      <a:miter lim="800000"/>
                      <a:headEnd/>
                      <a:tailEnd/>
                    </a:ln>
                    <a:effectLst/>
                  </pic:spPr>
                </pic:pic>
              </a:graphicData>
            </a:graphic>
          </wp:anchor>
        </w:drawing>
      </w:r>
      <w:r>
        <w:rPr>
          <w:rFonts w:hint="eastAsia" w:ascii="宋体" w:hAnsi="宋体" w:cs="宋体"/>
          <w:kern w:val="0"/>
          <w:sz w:val="52"/>
          <w:szCs w:val="52"/>
        </w:rPr>
        <w:t>广西元强建设项目管理有限公司</w:t>
      </w:r>
    </w:p>
    <w:tbl>
      <w:tblPr>
        <w:tblStyle w:val="34"/>
        <w:tblW w:w="0" w:type="auto"/>
        <w:tblInd w:w="3" w:type="dxa"/>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33"/>
      </w:tblGrid>
      <w:tr>
        <w:tblPrEx>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9833" w:type="dxa"/>
          </w:tcPr>
          <w:p>
            <w:pPr>
              <w:pStyle w:val="16"/>
              <w:tabs>
                <w:tab w:val="left" w:pos="-30"/>
              </w:tabs>
              <w:spacing w:line="400" w:lineRule="exact"/>
              <w:jc w:val="center"/>
              <w:rPr>
                <w:rFonts w:hAnsi="宋体"/>
                <w:sz w:val="24"/>
              </w:rPr>
            </w:pPr>
          </w:p>
        </w:tc>
      </w:tr>
    </w:tbl>
    <w:p>
      <w:pPr>
        <w:pStyle w:val="16"/>
        <w:spacing w:line="360" w:lineRule="auto"/>
        <w:rPr>
          <w:rFonts w:hAnsi="宋体"/>
          <w:b/>
          <w:bCs/>
          <w:sz w:val="72"/>
          <w:szCs w:val="72"/>
        </w:rPr>
      </w:pPr>
    </w:p>
    <w:p>
      <w:pPr>
        <w:pStyle w:val="16"/>
        <w:spacing w:line="1000" w:lineRule="exact"/>
        <w:jc w:val="center"/>
        <w:rPr>
          <w:rFonts w:hAnsi="宋体"/>
          <w:b/>
          <w:bCs/>
          <w:sz w:val="84"/>
          <w:szCs w:val="84"/>
        </w:rPr>
      </w:pPr>
      <w:r>
        <w:rPr>
          <w:rFonts w:hint="eastAsia" w:hAnsi="宋体"/>
          <w:b/>
          <w:bCs/>
          <w:sz w:val="84"/>
          <w:szCs w:val="84"/>
        </w:rPr>
        <w:t>竞争性谈判文件</w:t>
      </w:r>
    </w:p>
    <w:p>
      <w:pPr>
        <w:pStyle w:val="16"/>
        <w:spacing w:line="900" w:lineRule="exact"/>
        <w:rPr>
          <w:rFonts w:hAnsi="宋体"/>
          <w:b/>
          <w:bCs/>
          <w:sz w:val="32"/>
          <w:szCs w:val="32"/>
        </w:rPr>
      </w:pPr>
    </w:p>
    <w:p>
      <w:pPr>
        <w:pStyle w:val="16"/>
        <w:spacing w:line="900" w:lineRule="exact"/>
        <w:rPr>
          <w:rFonts w:hAnsi="宋体"/>
          <w:b/>
          <w:bCs/>
          <w:sz w:val="32"/>
          <w:szCs w:val="32"/>
        </w:rPr>
      </w:pPr>
      <w:r>
        <w:rPr>
          <w:rFonts w:hint="eastAsia" w:hAnsi="宋体"/>
          <w:b/>
          <w:bCs/>
          <w:sz w:val="32"/>
          <w:szCs w:val="32"/>
        </w:rPr>
        <w:t>项目名称：应急救援装备采购</w:t>
      </w:r>
    </w:p>
    <w:p>
      <w:pPr>
        <w:pStyle w:val="16"/>
        <w:spacing w:line="900" w:lineRule="exact"/>
        <w:rPr>
          <w:rFonts w:hAnsi="宋体"/>
          <w:b/>
          <w:sz w:val="32"/>
        </w:rPr>
      </w:pPr>
    </w:p>
    <w:p>
      <w:pPr>
        <w:pStyle w:val="16"/>
        <w:spacing w:line="900" w:lineRule="exact"/>
        <w:rPr>
          <w:rFonts w:hAnsi="宋体"/>
          <w:b/>
          <w:sz w:val="32"/>
        </w:rPr>
      </w:pPr>
      <w:r>
        <w:rPr>
          <w:rFonts w:hint="eastAsia" w:hAnsi="宋体"/>
          <w:b/>
          <w:sz w:val="32"/>
        </w:rPr>
        <w:t>项目编号：</w:t>
      </w:r>
      <w:r>
        <w:rPr>
          <w:rFonts w:hAnsi="宋体"/>
          <w:b/>
          <w:sz w:val="32"/>
        </w:rPr>
        <w:t>BSZC20</w:t>
      </w:r>
      <w:r>
        <w:rPr>
          <w:rFonts w:hint="eastAsia" w:hAnsi="宋体"/>
          <w:b/>
          <w:sz w:val="32"/>
        </w:rPr>
        <w:t>20</w:t>
      </w:r>
      <w:r>
        <w:rPr>
          <w:rFonts w:hAnsi="宋体"/>
          <w:b/>
          <w:sz w:val="32"/>
        </w:rPr>
        <w:t>-J1-</w:t>
      </w:r>
      <w:r>
        <w:rPr>
          <w:rFonts w:hint="eastAsia" w:hAnsi="宋体"/>
          <w:b/>
          <w:sz w:val="32"/>
        </w:rPr>
        <w:t>210366</w:t>
      </w:r>
      <w:r>
        <w:rPr>
          <w:rFonts w:hAnsi="宋体"/>
          <w:b/>
          <w:sz w:val="32"/>
        </w:rPr>
        <w:t>-</w:t>
      </w:r>
      <w:r>
        <w:rPr>
          <w:rFonts w:hint="eastAsia" w:hAnsi="宋体"/>
          <w:b/>
          <w:sz w:val="32"/>
        </w:rPr>
        <w:t>GXYQ</w:t>
      </w:r>
    </w:p>
    <w:p>
      <w:pPr>
        <w:pStyle w:val="16"/>
        <w:spacing w:line="400" w:lineRule="exact"/>
        <w:rPr>
          <w:rFonts w:hAnsi="宋体"/>
        </w:rPr>
      </w:pPr>
    </w:p>
    <w:p>
      <w:pPr>
        <w:pStyle w:val="16"/>
        <w:spacing w:line="400" w:lineRule="exact"/>
        <w:rPr>
          <w:rFonts w:hAnsi="宋体"/>
        </w:rPr>
      </w:pPr>
    </w:p>
    <w:p>
      <w:pPr>
        <w:pStyle w:val="16"/>
        <w:spacing w:line="400" w:lineRule="exact"/>
        <w:rPr>
          <w:rFonts w:hAnsi="宋体"/>
        </w:rPr>
      </w:pPr>
    </w:p>
    <w:p>
      <w:pPr>
        <w:pStyle w:val="16"/>
        <w:spacing w:line="400" w:lineRule="exact"/>
        <w:rPr>
          <w:rFonts w:hAnsi="宋体"/>
        </w:rPr>
      </w:pPr>
    </w:p>
    <w:p>
      <w:pPr>
        <w:pStyle w:val="16"/>
        <w:spacing w:line="400" w:lineRule="exact"/>
        <w:rPr>
          <w:rFonts w:hAnsi="宋体"/>
        </w:rPr>
      </w:pPr>
    </w:p>
    <w:p>
      <w:pPr>
        <w:pStyle w:val="16"/>
        <w:spacing w:line="400" w:lineRule="exact"/>
        <w:rPr>
          <w:rFonts w:hAnsi="宋体"/>
        </w:rPr>
      </w:pPr>
    </w:p>
    <w:p>
      <w:pPr>
        <w:pStyle w:val="16"/>
        <w:spacing w:line="400" w:lineRule="exact"/>
        <w:rPr>
          <w:rFonts w:hAnsi="宋体"/>
        </w:rPr>
      </w:pPr>
    </w:p>
    <w:p>
      <w:pPr>
        <w:pStyle w:val="16"/>
        <w:spacing w:line="400" w:lineRule="exact"/>
        <w:rPr>
          <w:rFonts w:hAnsi="宋体"/>
        </w:rPr>
      </w:pPr>
    </w:p>
    <w:p>
      <w:pPr>
        <w:pStyle w:val="16"/>
        <w:spacing w:line="400" w:lineRule="exact"/>
        <w:rPr>
          <w:rFonts w:hAnsi="宋体"/>
        </w:rPr>
      </w:pPr>
    </w:p>
    <w:p>
      <w:pPr>
        <w:pStyle w:val="16"/>
        <w:spacing w:line="400" w:lineRule="exact"/>
        <w:rPr>
          <w:rFonts w:hAnsi="宋体"/>
        </w:rPr>
      </w:pPr>
    </w:p>
    <w:p>
      <w:pPr>
        <w:rPr>
          <w:rFonts w:ascii="宋体" w:hAnsi="宋体"/>
          <w:b/>
          <w:sz w:val="32"/>
        </w:rPr>
      </w:pPr>
      <w:r>
        <w:rPr>
          <w:rFonts w:ascii="宋体" w:hAnsi="宋体"/>
          <w:kern w:val="0"/>
          <w:sz w:val="32"/>
        </w:rPr>
        <w:pict>
          <v:line id="_x0000_s1026" o:spid="_x0000_s1026" o:spt="20" style="position:absolute;left:0pt;margin-left:-2.45pt;margin-top:9.35pt;height:0.05pt;width:479.25pt;mso-wrap-distance-bottom:0pt;mso-wrap-distance-top:0pt;z-index:251657216;mso-width-relative:page;mso-height-relative:page;" coordsize="21600,21600">
            <v:path arrowok="t"/>
            <v:fill focussize="0,0"/>
            <v:stroke weight="1.5pt"/>
            <v:imagedata o:title=""/>
            <o:lock v:ext="edit"/>
            <w10:wrap type="topAndBottom"/>
          </v:line>
        </w:pict>
      </w:r>
      <w:r>
        <w:rPr>
          <w:rFonts w:hint="eastAsia" w:ascii="宋体" w:hAnsi="宋体"/>
          <w:b/>
          <w:sz w:val="32"/>
        </w:rPr>
        <w:t>采 购 人：</w:t>
      </w:r>
      <w:r>
        <w:rPr>
          <w:rFonts w:hint="eastAsia"/>
          <w:b/>
          <w:sz w:val="32"/>
        </w:rPr>
        <w:t>百色市田阳区应急管理</w:t>
      </w:r>
      <w:r>
        <w:rPr>
          <w:rFonts w:hint="eastAsia" w:asciiTheme="majorEastAsia" w:hAnsiTheme="majorEastAsia" w:eastAsiaTheme="majorEastAsia"/>
          <w:b/>
          <w:sz w:val="32"/>
        </w:rPr>
        <w:t>局(盖章)</w:t>
      </w:r>
    </w:p>
    <w:p>
      <w:pPr>
        <w:rPr>
          <w:rFonts w:ascii="宋体" w:hAnsi="宋体"/>
          <w:b/>
          <w:sz w:val="32"/>
        </w:rPr>
      </w:pPr>
    </w:p>
    <w:p>
      <w:pPr>
        <w:rPr>
          <w:rFonts w:ascii="宋体" w:hAnsi="宋体"/>
          <w:b/>
          <w:sz w:val="32"/>
        </w:rPr>
      </w:pPr>
    </w:p>
    <w:p>
      <w:pPr>
        <w:jc w:val="left"/>
        <w:rPr>
          <w:rFonts w:ascii="宋体" w:hAnsi="宋体"/>
          <w:b/>
          <w:sz w:val="32"/>
        </w:rPr>
      </w:pPr>
      <w:r>
        <w:rPr>
          <w:rFonts w:hint="eastAsia" w:ascii="宋体" w:hAnsi="宋体"/>
          <w:b/>
          <w:sz w:val="32"/>
        </w:rPr>
        <w:t>采购代理机构：广西元强建设项目管理有限公司</w:t>
      </w:r>
      <w:r>
        <w:rPr>
          <w:rFonts w:hint="eastAsia"/>
          <w:b/>
          <w:sz w:val="32"/>
        </w:rPr>
        <w:t>(盖章)</w:t>
      </w:r>
    </w:p>
    <w:p>
      <w:pPr>
        <w:ind w:firstLine="2072" w:firstLineChars="645"/>
        <w:rPr>
          <w:rFonts w:ascii="宋体" w:hAnsi="宋体"/>
          <w:b/>
          <w:sz w:val="32"/>
        </w:rPr>
      </w:pPr>
      <w:r>
        <w:rPr>
          <w:rFonts w:hint="eastAsia" w:ascii="宋体" w:hAnsi="宋体"/>
          <w:b/>
          <w:sz w:val="32"/>
        </w:rPr>
        <w:t>日期：二〇二〇年十月</w:t>
      </w:r>
    </w:p>
    <w:p>
      <w:pPr>
        <w:pStyle w:val="26"/>
        <w:adjustRightInd w:val="0"/>
        <w:snapToGrid w:val="0"/>
        <w:spacing w:line="420" w:lineRule="exact"/>
        <w:ind w:left="0" w:firstLine="3880" w:firstLineChars="1130"/>
        <w:rPr>
          <w:rFonts w:ascii="宋体" w:hAnsi="宋体"/>
          <w:w w:val="95"/>
          <w:sz w:val="36"/>
          <w:szCs w:val="36"/>
        </w:rPr>
      </w:pPr>
      <w:r>
        <w:rPr>
          <w:rFonts w:hint="eastAsia" w:ascii="宋体" w:hAnsi="宋体"/>
          <w:b/>
          <w:w w:val="95"/>
          <w:sz w:val="36"/>
          <w:szCs w:val="36"/>
        </w:rPr>
        <w:t>目  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Start w:id="26" w:name="_Toc78294027"/>
      <w:bookmarkStart w:id="27" w:name="_Toc105341447"/>
    </w:p>
    <w:p>
      <w:pPr>
        <w:pStyle w:val="23"/>
        <w:tabs>
          <w:tab w:val="right" w:leader="dot" w:pos="9231"/>
        </w:tabs>
        <w:rPr>
          <w:rFonts w:ascii="宋体" w:hAnsi="宋体"/>
          <w:b w:val="0"/>
          <w:bCs w:val="0"/>
          <w:caps w:val="0"/>
          <w:sz w:val="21"/>
          <w:szCs w:val="21"/>
        </w:rPr>
      </w:pPr>
      <w:bookmarkStart w:id="28" w:name="_Toc219054922"/>
      <w:r>
        <w:rPr>
          <w:rFonts w:ascii="宋体" w:hAnsi="宋体"/>
          <w:b w:val="0"/>
          <w:sz w:val="21"/>
          <w:szCs w:val="21"/>
        </w:rPr>
        <w:fldChar w:fldCharType="begin"/>
      </w:r>
      <w:r>
        <w:rPr>
          <w:rFonts w:ascii="宋体" w:hAnsi="宋体"/>
          <w:b w:val="0"/>
          <w:sz w:val="21"/>
          <w:szCs w:val="21"/>
        </w:rPr>
        <w:instrText xml:space="preserve"> </w:instrText>
      </w:r>
      <w:r>
        <w:rPr>
          <w:rFonts w:hint="eastAsia" w:ascii="宋体" w:hAnsi="宋体"/>
          <w:b w:val="0"/>
          <w:sz w:val="21"/>
          <w:szCs w:val="21"/>
        </w:rPr>
        <w:instrText xml:space="preserve">TOC \o "1-3" \h \z \u</w:instrText>
      </w:r>
      <w:r>
        <w:rPr>
          <w:rFonts w:ascii="宋体" w:hAnsi="宋体"/>
          <w:b w:val="0"/>
          <w:sz w:val="21"/>
          <w:szCs w:val="21"/>
        </w:rPr>
        <w:instrText xml:space="preserve"> </w:instrText>
      </w:r>
      <w:r>
        <w:rPr>
          <w:rFonts w:ascii="宋体" w:hAnsi="宋体"/>
          <w:b w:val="0"/>
          <w:sz w:val="21"/>
          <w:szCs w:val="21"/>
        </w:rPr>
        <w:fldChar w:fldCharType="separate"/>
      </w:r>
      <w:r>
        <w:fldChar w:fldCharType="begin"/>
      </w:r>
      <w:r>
        <w:instrText xml:space="preserve"> HYPERLINK \l "_Toc6047087" </w:instrText>
      </w:r>
      <w:r>
        <w:fldChar w:fldCharType="separate"/>
      </w:r>
      <w:r>
        <w:rPr>
          <w:rStyle w:val="39"/>
          <w:rFonts w:hint="eastAsia" w:ascii="宋体" w:hAnsi="宋体"/>
          <w:b w:val="0"/>
          <w:sz w:val="21"/>
          <w:szCs w:val="21"/>
        </w:rPr>
        <w:t>第一章</w:t>
      </w:r>
      <w:r>
        <w:rPr>
          <w:rStyle w:val="39"/>
          <w:rFonts w:ascii="宋体" w:hAnsi="宋体"/>
          <w:b w:val="0"/>
          <w:sz w:val="21"/>
          <w:szCs w:val="21"/>
        </w:rPr>
        <w:t xml:space="preserve"> </w:t>
      </w:r>
      <w:r>
        <w:rPr>
          <w:rStyle w:val="39"/>
          <w:rFonts w:hint="eastAsia" w:ascii="宋体" w:hAnsi="宋体"/>
          <w:b w:val="0"/>
          <w:sz w:val="21"/>
          <w:szCs w:val="21"/>
        </w:rPr>
        <w:t>竞标人须知及前附表</w:t>
      </w:r>
      <w:r>
        <w:rPr>
          <w:rFonts w:ascii="宋体" w:hAnsi="宋体"/>
          <w:b w:val="0"/>
          <w:sz w:val="21"/>
          <w:szCs w:val="21"/>
        </w:rPr>
        <w:tab/>
      </w:r>
      <w:r>
        <w:rPr>
          <w:rFonts w:ascii="宋体" w:hAnsi="宋体"/>
          <w:b w:val="0"/>
          <w:sz w:val="21"/>
          <w:szCs w:val="21"/>
        </w:rPr>
        <w:fldChar w:fldCharType="begin"/>
      </w:r>
      <w:r>
        <w:rPr>
          <w:rFonts w:ascii="宋体" w:hAnsi="宋体"/>
          <w:b w:val="0"/>
          <w:sz w:val="21"/>
          <w:szCs w:val="21"/>
        </w:rPr>
        <w:instrText xml:space="preserve"> PAGEREF _Toc6047087 \h </w:instrText>
      </w:r>
      <w:r>
        <w:rPr>
          <w:rFonts w:ascii="宋体" w:hAnsi="宋体"/>
          <w:b w:val="0"/>
          <w:sz w:val="21"/>
          <w:szCs w:val="21"/>
        </w:rPr>
        <w:fldChar w:fldCharType="separate"/>
      </w:r>
      <w:r>
        <w:rPr>
          <w:rFonts w:ascii="宋体" w:hAnsi="宋体"/>
          <w:b w:val="0"/>
          <w:sz w:val="21"/>
          <w:szCs w:val="21"/>
        </w:rPr>
        <w:t>7</w:t>
      </w:r>
      <w:r>
        <w:rPr>
          <w:rFonts w:ascii="宋体" w:hAnsi="宋体"/>
          <w:b w:val="0"/>
          <w:sz w:val="21"/>
          <w:szCs w:val="21"/>
        </w:rPr>
        <w:fldChar w:fldCharType="end"/>
      </w:r>
      <w:r>
        <w:rPr>
          <w:rFonts w:ascii="宋体" w:hAnsi="宋体"/>
          <w:b w:val="0"/>
          <w:sz w:val="21"/>
          <w:szCs w:val="21"/>
        </w:rPr>
        <w:fldChar w:fldCharType="end"/>
      </w:r>
    </w:p>
    <w:p>
      <w:pPr>
        <w:pStyle w:val="26"/>
        <w:tabs>
          <w:tab w:val="right" w:leader="dot" w:pos="9231"/>
        </w:tabs>
        <w:rPr>
          <w:rFonts w:ascii="宋体" w:hAnsi="宋体"/>
          <w:smallCaps w:val="0"/>
          <w:sz w:val="21"/>
          <w:szCs w:val="21"/>
        </w:rPr>
      </w:pPr>
      <w:r>
        <w:fldChar w:fldCharType="begin"/>
      </w:r>
      <w:r>
        <w:instrText xml:space="preserve"> HYPERLINK \l "_Toc6047088" </w:instrText>
      </w:r>
      <w:r>
        <w:fldChar w:fldCharType="separate"/>
      </w:r>
      <w:r>
        <w:rPr>
          <w:rStyle w:val="39"/>
          <w:rFonts w:hint="eastAsia" w:ascii="宋体" w:hAnsi="宋体"/>
          <w:sz w:val="21"/>
          <w:szCs w:val="21"/>
        </w:rPr>
        <w:t>一、竞标人须知前附表</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_Toc6047088 \h </w:instrText>
      </w:r>
      <w:r>
        <w:rPr>
          <w:rFonts w:ascii="宋体" w:hAnsi="宋体"/>
          <w:sz w:val="21"/>
          <w:szCs w:val="21"/>
        </w:rPr>
        <w:fldChar w:fldCharType="separate"/>
      </w:r>
      <w:r>
        <w:rPr>
          <w:rFonts w:ascii="宋体" w:hAnsi="宋体"/>
          <w:sz w:val="21"/>
          <w:szCs w:val="21"/>
        </w:rPr>
        <w:t>7</w:t>
      </w:r>
      <w:r>
        <w:rPr>
          <w:rFonts w:ascii="宋体" w:hAnsi="宋体"/>
          <w:sz w:val="21"/>
          <w:szCs w:val="21"/>
        </w:rPr>
        <w:fldChar w:fldCharType="end"/>
      </w:r>
      <w:r>
        <w:rPr>
          <w:rFonts w:ascii="宋体" w:hAnsi="宋体"/>
          <w:sz w:val="21"/>
          <w:szCs w:val="21"/>
        </w:rPr>
        <w:fldChar w:fldCharType="end"/>
      </w:r>
    </w:p>
    <w:p>
      <w:pPr>
        <w:pStyle w:val="26"/>
        <w:tabs>
          <w:tab w:val="right" w:leader="dot" w:pos="9231"/>
        </w:tabs>
        <w:rPr>
          <w:rFonts w:ascii="宋体" w:hAnsi="宋体"/>
          <w:smallCaps w:val="0"/>
          <w:sz w:val="21"/>
          <w:szCs w:val="21"/>
        </w:rPr>
      </w:pPr>
      <w:r>
        <w:fldChar w:fldCharType="begin"/>
      </w:r>
      <w:r>
        <w:instrText xml:space="preserve"> HYPERLINK \l "_Toc6047089" </w:instrText>
      </w:r>
      <w:r>
        <w:fldChar w:fldCharType="separate"/>
      </w:r>
      <w:r>
        <w:rPr>
          <w:rStyle w:val="39"/>
          <w:rFonts w:hint="eastAsia" w:ascii="宋体" w:hAnsi="宋体"/>
          <w:sz w:val="21"/>
          <w:szCs w:val="21"/>
        </w:rPr>
        <w:t>二、竞</w:t>
      </w:r>
      <w:r>
        <w:rPr>
          <w:rStyle w:val="39"/>
          <w:rFonts w:ascii="宋体" w:hAnsi="宋体"/>
          <w:sz w:val="21"/>
          <w:szCs w:val="21"/>
        </w:rPr>
        <w:t xml:space="preserve">  </w:t>
      </w:r>
      <w:r>
        <w:rPr>
          <w:rStyle w:val="39"/>
          <w:rFonts w:hint="eastAsia" w:ascii="宋体" w:hAnsi="宋体"/>
          <w:sz w:val="21"/>
          <w:szCs w:val="21"/>
        </w:rPr>
        <w:t>标</w:t>
      </w:r>
      <w:r>
        <w:rPr>
          <w:rStyle w:val="39"/>
          <w:rFonts w:ascii="宋体" w:hAnsi="宋体"/>
          <w:sz w:val="21"/>
          <w:szCs w:val="21"/>
        </w:rPr>
        <w:t xml:space="preserve">  </w:t>
      </w:r>
      <w:r>
        <w:rPr>
          <w:rStyle w:val="39"/>
          <w:rFonts w:hint="eastAsia" w:ascii="宋体" w:hAnsi="宋体"/>
          <w:sz w:val="21"/>
          <w:szCs w:val="21"/>
        </w:rPr>
        <w:t>须</w:t>
      </w:r>
      <w:r>
        <w:rPr>
          <w:rStyle w:val="39"/>
          <w:rFonts w:ascii="宋体" w:hAnsi="宋体"/>
          <w:sz w:val="21"/>
          <w:szCs w:val="21"/>
        </w:rPr>
        <w:t xml:space="preserve">  </w:t>
      </w:r>
      <w:r>
        <w:rPr>
          <w:rStyle w:val="39"/>
          <w:rFonts w:hint="eastAsia" w:ascii="宋体" w:hAnsi="宋体"/>
          <w:sz w:val="21"/>
          <w:szCs w:val="21"/>
        </w:rPr>
        <w:t>知</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_Toc6047089 \h </w:instrText>
      </w:r>
      <w:r>
        <w:rPr>
          <w:rFonts w:ascii="宋体" w:hAnsi="宋体"/>
          <w:sz w:val="21"/>
          <w:szCs w:val="21"/>
        </w:rPr>
        <w:fldChar w:fldCharType="separate"/>
      </w:r>
      <w:r>
        <w:rPr>
          <w:rFonts w:ascii="宋体" w:hAnsi="宋体"/>
          <w:sz w:val="21"/>
          <w:szCs w:val="21"/>
        </w:rPr>
        <w:t>9</w:t>
      </w:r>
      <w:r>
        <w:rPr>
          <w:rFonts w:ascii="宋体" w:hAnsi="宋体"/>
          <w:sz w:val="21"/>
          <w:szCs w:val="21"/>
        </w:rPr>
        <w:fldChar w:fldCharType="end"/>
      </w:r>
      <w:r>
        <w:rPr>
          <w:rFonts w:ascii="宋体" w:hAnsi="宋体"/>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"_Toc6047090" </w:instrText>
      </w:r>
      <w:r>
        <w:fldChar w:fldCharType="separate"/>
      </w:r>
      <w:r>
        <w:rPr>
          <w:rStyle w:val="39"/>
          <w:rFonts w:hint="eastAsia" w:ascii="宋体" w:hAnsi="宋体"/>
          <w:i w:val="0"/>
          <w:sz w:val="21"/>
          <w:szCs w:val="21"/>
        </w:rPr>
        <w:t>（一）总</w:t>
      </w:r>
      <w:r>
        <w:rPr>
          <w:rStyle w:val="39"/>
          <w:rFonts w:ascii="宋体" w:hAnsi="宋体"/>
          <w:i w:val="0"/>
          <w:sz w:val="21"/>
          <w:szCs w:val="21"/>
        </w:rPr>
        <w:t xml:space="preserve">  </w:t>
      </w:r>
      <w:r>
        <w:rPr>
          <w:rStyle w:val="39"/>
          <w:rFonts w:hint="eastAsia" w:ascii="宋体" w:hAnsi="宋体"/>
          <w:i w:val="0"/>
          <w:sz w:val="21"/>
          <w:szCs w:val="21"/>
        </w:rPr>
        <w:t>则</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_Toc6047090 \h </w:instrText>
      </w:r>
      <w:r>
        <w:rPr>
          <w:rFonts w:ascii="宋体" w:hAnsi="宋体"/>
          <w:i w:val="0"/>
          <w:sz w:val="21"/>
          <w:szCs w:val="21"/>
        </w:rPr>
        <w:fldChar w:fldCharType="separate"/>
      </w:r>
      <w:r>
        <w:rPr>
          <w:rFonts w:ascii="宋体" w:hAnsi="宋体"/>
          <w:i w:val="0"/>
          <w:sz w:val="21"/>
          <w:szCs w:val="21"/>
        </w:rPr>
        <w:t>9</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"_Toc6047091" </w:instrText>
      </w:r>
      <w:r>
        <w:fldChar w:fldCharType="separate"/>
      </w:r>
      <w:r>
        <w:rPr>
          <w:rStyle w:val="39"/>
          <w:rFonts w:ascii="宋体" w:hAnsi="宋体"/>
          <w:i w:val="0"/>
          <w:sz w:val="21"/>
          <w:szCs w:val="21"/>
        </w:rPr>
        <w:t>1.</w:t>
      </w:r>
      <w:r>
        <w:rPr>
          <w:rStyle w:val="39"/>
          <w:rFonts w:hint="eastAsia" w:ascii="宋体" w:hAnsi="宋体"/>
          <w:i w:val="0"/>
          <w:sz w:val="21"/>
          <w:szCs w:val="21"/>
        </w:rPr>
        <w:t>项目名称及编号</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_Toc6047091 \h </w:instrText>
      </w:r>
      <w:r>
        <w:rPr>
          <w:rFonts w:ascii="宋体" w:hAnsi="宋体"/>
          <w:i w:val="0"/>
          <w:sz w:val="21"/>
          <w:szCs w:val="21"/>
        </w:rPr>
        <w:fldChar w:fldCharType="separate"/>
      </w:r>
      <w:r>
        <w:rPr>
          <w:rFonts w:ascii="宋体" w:hAnsi="宋体"/>
          <w:i w:val="0"/>
          <w:sz w:val="21"/>
          <w:szCs w:val="21"/>
        </w:rPr>
        <w:t>9</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"_Toc6047092" </w:instrText>
      </w:r>
      <w:r>
        <w:fldChar w:fldCharType="separate"/>
      </w:r>
      <w:r>
        <w:rPr>
          <w:rStyle w:val="39"/>
          <w:rFonts w:ascii="宋体" w:hAnsi="宋体"/>
          <w:i w:val="0"/>
          <w:sz w:val="21"/>
          <w:szCs w:val="21"/>
        </w:rPr>
        <w:t>2.</w:t>
      </w:r>
      <w:r>
        <w:rPr>
          <w:rStyle w:val="39"/>
          <w:rFonts w:hint="eastAsia" w:ascii="宋体" w:hAnsi="宋体"/>
          <w:i w:val="0"/>
          <w:sz w:val="21"/>
          <w:szCs w:val="21"/>
        </w:rPr>
        <w:t>竞标人资格：</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_Toc6047092 \h </w:instrText>
      </w:r>
      <w:r>
        <w:rPr>
          <w:rFonts w:ascii="宋体" w:hAnsi="宋体"/>
          <w:i w:val="0"/>
          <w:sz w:val="21"/>
          <w:szCs w:val="21"/>
        </w:rPr>
        <w:fldChar w:fldCharType="separate"/>
      </w:r>
      <w:r>
        <w:rPr>
          <w:rFonts w:ascii="宋体" w:hAnsi="宋体"/>
          <w:i w:val="0"/>
          <w:sz w:val="21"/>
          <w:szCs w:val="21"/>
        </w:rPr>
        <w:t>9</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"_Toc6047095" </w:instrText>
      </w:r>
      <w:r>
        <w:fldChar w:fldCharType="separate"/>
      </w:r>
      <w:r>
        <w:rPr>
          <w:rStyle w:val="39"/>
          <w:rFonts w:ascii="宋体" w:hAnsi="宋体"/>
          <w:i w:val="0"/>
          <w:sz w:val="21"/>
          <w:szCs w:val="21"/>
        </w:rPr>
        <w:t>3.</w:t>
      </w:r>
      <w:r>
        <w:rPr>
          <w:rStyle w:val="39"/>
          <w:rFonts w:hint="eastAsia" w:ascii="宋体" w:hAnsi="宋体"/>
          <w:i w:val="0"/>
          <w:sz w:val="21"/>
          <w:szCs w:val="21"/>
        </w:rPr>
        <w:t>竞标费用</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_Toc6047095 \h </w:instrText>
      </w:r>
      <w:r>
        <w:rPr>
          <w:rFonts w:ascii="宋体" w:hAnsi="宋体"/>
          <w:i w:val="0"/>
          <w:sz w:val="21"/>
          <w:szCs w:val="21"/>
        </w:rPr>
        <w:fldChar w:fldCharType="separate"/>
      </w:r>
      <w:r>
        <w:rPr>
          <w:rFonts w:ascii="宋体" w:hAnsi="宋体"/>
          <w:i w:val="0"/>
          <w:sz w:val="21"/>
          <w:szCs w:val="21"/>
        </w:rPr>
        <w:t>9</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"_Toc6047096" </w:instrText>
      </w:r>
      <w:r>
        <w:fldChar w:fldCharType="separate"/>
      </w:r>
      <w:r>
        <w:rPr>
          <w:rStyle w:val="39"/>
          <w:rFonts w:hint="eastAsia" w:ascii="宋体" w:hAnsi="宋体"/>
          <w:i w:val="0"/>
          <w:sz w:val="21"/>
          <w:szCs w:val="21"/>
        </w:rPr>
        <w:t>（二）竞争性谈判文件</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_Toc6047096 \h </w:instrText>
      </w:r>
      <w:r>
        <w:rPr>
          <w:rFonts w:ascii="宋体" w:hAnsi="宋体"/>
          <w:i w:val="0"/>
          <w:sz w:val="21"/>
          <w:szCs w:val="21"/>
        </w:rPr>
        <w:fldChar w:fldCharType="separate"/>
      </w:r>
      <w:r>
        <w:rPr>
          <w:rFonts w:ascii="宋体" w:hAnsi="宋体"/>
          <w:i w:val="0"/>
          <w:sz w:val="21"/>
          <w:szCs w:val="21"/>
        </w:rPr>
        <w:t>10</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"_Toc6047097" </w:instrText>
      </w:r>
      <w:r>
        <w:fldChar w:fldCharType="separate"/>
      </w:r>
      <w:r>
        <w:rPr>
          <w:rStyle w:val="39"/>
          <w:rFonts w:ascii="宋体" w:hAnsi="宋体"/>
          <w:i w:val="0"/>
          <w:sz w:val="21"/>
          <w:szCs w:val="21"/>
        </w:rPr>
        <w:t>4.</w:t>
      </w:r>
      <w:r>
        <w:rPr>
          <w:rStyle w:val="39"/>
          <w:rFonts w:hint="eastAsia" w:ascii="宋体" w:hAnsi="宋体"/>
          <w:i w:val="0"/>
          <w:sz w:val="21"/>
          <w:szCs w:val="21"/>
        </w:rPr>
        <w:t>竞争性谈判文件构成</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_Toc6047097 \h </w:instrText>
      </w:r>
      <w:r>
        <w:rPr>
          <w:rFonts w:ascii="宋体" w:hAnsi="宋体"/>
          <w:i w:val="0"/>
          <w:sz w:val="21"/>
          <w:szCs w:val="21"/>
        </w:rPr>
        <w:fldChar w:fldCharType="separate"/>
      </w:r>
      <w:r>
        <w:rPr>
          <w:rFonts w:ascii="宋体" w:hAnsi="宋体"/>
          <w:i w:val="0"/>
          <w:sz w:val="21"/>
          <w:szCs w:val="21"/>
        </w:rPr>
        <w:t>10</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"_Toc6047098" </w:instrText>
      </w:r>
      <w:r>
        <w:fldChar w:fldCharType="separate"/>
      </w:r>
      <w:r>
        <w:rPr>
          <w:rStyle w:val="39"/>
          <w:rFonts w:ascii="宋体" w:hAnsi="宋体"/>
          <w:i w:val="0"/>
          <w:sz w:val="21"/>
          <w:szCs w:val="21"/>
        </w:rPr>
        <w:t>5.</w:t>
      </w:r>
      <w:r>
        <w:rPr>
          <w:rStyle w:val="39"/>
          <w:rFonts w:hint="eastAsia" w:ascii="宋体" w:hAnsi="宋体"/>
          <w:i w:val="0"/>
          <w:sz w:val="21"/>
          <w:szCs w:val="21"/>
        </w:rPr>
        <w:t>竞争性谈判文件的澄清和修改</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_Toc6047098 \h </w:instrText>
      </w:r>
      <w:r>
        <w:rPr>
          <w:rFonts w:ascii="宋体" w:hAnsi="宋体"/>
          <w:i w:val="0"/>
          <w:sz w:val="21"/>
          <w:szCs w:val="21"/>
        </w:rPr>
        <w:fldChar w:fldCharType="separate"/>
      </w:r>
      <w:r>
        <w:rPr>
          <w:rFonts w:ascii="宋体" w:hAnsi="宋体"/>
          <w:i w:val="0"/>
          <w:sz w:val="21"/>
          <w:szCs w:val="21"/>
        </w:rPr>
        <w:t>10</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"_Toc6047099" </w:instrText>
      </w:r>
      <w:r>
        <w:fldChar w:fldCharType="separate"/>
      </w:r>
      <w:r>
        <w:rPr>
          <w:rStyle w:val="39"/>
          <w:rFonts w:hint="eastAsia" w:ascii="宋体" w:hAnsi="宋体"/>
          <w:i w:val="0"/>
          <w:sz w:val="21"/>
          <w:szCs w:val="21"/>
        </w:rPr>
        <w:t>（三）竞标文件的编制</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_Toc6047099 \h </w:instrText>
      </w:r>
      <w:r>
        <w:rPr>
          <w:rFonts w:ascii="宋体" w:hAnsi="宋体"/>
          <w:i w:val="0"/>
          <w:sz w:val="21"/>
          <w:szCs w:val="21"/>
        </w:rPr>
        <w:fldChar w:fldCharType="separate"/>
      </w:r>
      <w:r>
        <w:rPr>
          <w:rFonts w:ascii="宋体" w:hAnsi="宋体"/>
          <w:i w:val="0"/>
          <w:sz w:val="21"/>
          <w:szCs w:val="21"/>
        </w:rPr>
        <w:t>11</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"_Toc6047100" </w:instrText>
      </w:r>
      <w:r>
        <w:fldChar w:fldCharType="separate"/>
      </w:r>
      <w:r>
        <w:rPr>
          <w:rStyle w:val="39"/>
          <w:rFonts w:ascii="宋体" w:hAnsi="宋体"/>
          <w:i w:val="0"/>
          <w:sz w:val="21"/>
          <w:szCs w:val="21"/>
        </w:rPr>
        <w:t>6.</w:t>
      </w:r>
      <w:r>
        <w:rPr>
          <w:rStyle w:val="39"/>
          <w:rFonts w:hint="eastAsia" w:ascii="宋体" w:hAnsi="宋体"/>
          <w:i w:val="0"/>
          <w:sz w:val="21"/>
          <w:szCs w:val="21"/>
        </w:rPr>
        <w:t>竞标文件编写注意事项</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_Toc6047100 \h </w:instrText>
      </w:r>
      <w:r>
        <w:rPr>
          <w:rFonts w:ascii="宋体" w:hAnsi="宋体"/>
          <w:i w:val="0"/>
          <w:sz w:val="21"/>
          <w:szCs w:val="21"/>
        </w:rPr>
        <w:fldChar w:fldCharType="separate"/>
      </w:r>
      <w:r>
        <w:rPr>
          <w:rFonts w:ascii="宋体" w:hAnsi="宋体"/>
          <w:i w:val="0"/>
          <w:sz w:val="21"/>
          <w:szCs w:val="21"/>
        </w:rPr>
        <w:t>11</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"_Toc6047101" </w:instrText>
      </w:r>
      <w:r>
        <w:fldChar w:fldCharType="separate"/>
      </w:r>
      <w:r>
        <w:rPr>
          <w:rStyle w:val="39"/>
          <w:rFonts w:ascii="宋体" w:hAnsi="宋体"/>
          <w:i w:val="0"/>
          <w:sz w:val="21"/>
          <w:szCs w:val="21"/>
        </w:rPr>
        <w:t>7.</w:t>
      </w:r>
      <w:r>
        <w:rPr>
          <w:rStyle w:val="39"/>
          <w:rFonts w:hint="eastAsia" w:ascii="宋体" w:hAnsi="宋体"/>
          <w:i w:val="0"/>
          <w:sz w:val="21"/>
          <w:szCs w:val="21"/>
        </w:rPr>
        <w:t>竞标的语言及计量单位</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_Toc6047101 \h </w:instrText>
      </w:r>
      <w:r>
        <w:rPr>
          <w:rFonts w:ascii="宋体" w:hAnsi="宋体"/>
          <w:i w:val="0"/>
          <w:sz w:val="21"/>
          <w:szCs w:val="21"/>
        </w:rPr>
        <w:fldChar w:fldCharType="separate"/>
      </w:r>
      <w:r>
        <w:rPr>
          <w:rFonts w:ascii="宋体" w:hAnsi="宋体"/>
          <w:i w:val="0"/>
          <w:sz w:val="21"/>
          <w:szCs w:val="21"/>
        </w:rPr>
        <w:t>11</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"_Toc6047102" </w:instrText>
      </w:r>
      <w:r>
        <w:fldChar w:fldCharType="separate"/>
      </w:r>
      <w:r>
        <w:rPr>
          <w:rStyle w:val="39"/>
          <w:rFonts w:ascii="宋体" w:hAnsi="宋体"/>
          <w:i w:val="0"/>
          <w:sz w:val="21"/>
          <w:szCs w:val="21"/>
        </w:rPr>
        <w:t>8.</w:t>
      </w:r>
      <w:r>
        <w:rPr>
          <w:rStyle w:val="39"/>
          <w:rFonts w:hint="eastAsia" w:ascii="宋体" w:hAnsi="宋体"/>
          <w:i w:val="0"/>
          <w:sz w:val="21"/>
          <w:szCs w:val="21"/>
        </w:rPr>
        <w:t>竞标文件构成</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_Toc6047102 \h </w:instrText>
      </w:r>
      <w:r>
        <w:rPr>
          <w:rFonts w:ascii="宋体" w:hAnsi="宋体"/>
          <w:i w:val="0"/>
          <w:sz w:val="21"/>
          <w:szCs w:val="21"/>
        </w:rPr>
        <w:fldChar w:fldCharType="separate"/>
      </w:r>
      <w:r>
        <w:rPr>
          <w:rFonts w:ascii="宋体" w:hAnsi="宋体"/>
          <w:i w:val="0"/>
          <w:sz w:val="21"/>
          <w:szCs w:val="21"/>
        </w:rPr>
        <w:t>11</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"_Toc6047103" </w:instrText>
      </w:r>
      <w:r>
        <w:fldChar w:fldCharType="separate"/>
      </w:r>
      <w:r>
        <w:rPr>
          <w:rStyle w:val="39"/>
          <w:rFonts w:ascii="宋体" w:hAnsi="宋体"/>
          <w:i w:val="0"/>
          <w:sz w:val="21"/>
          <w:szCs w:val="21"/>
        </w:rPr>
        <w:t>9.</w:t>
      </w:r>
      <w:r>
        <w:rPr>
          <w:rStyle w:val="39"/>
          <w:rFonts w:hint="eastAsia" w:ascii="宋体" w:hAnsi="宋体"/>
          <w:i w:val="0"/>
          <w:sz w:val="21"/>
          <w:szCs w:val="21"/>
        </w:rPr>
        <w:t>竞标文件格式</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_Toc6047103 \h </w:instrText>
      </w:r>
      <w:r>
        <w:rPr>
          <w:rFonts w:ascii="宋体" w:hAnsi="宋体"/>
          <w:i w:val="0"/>
          <w:sz w:val="21"/>
          <w:szCs w:val="21"/>
        </w:rPr>
        <w:fldChar w:fldCharType="separate"/>
      </w:r>
      <w:r>
        <w:rPr>
          <w:rFonts w:ascii="宋体" w:hAnsi="宋体"/>
          <w:i w:val="0"/>
          <w:sz w:val="21"/>
          <w:szCs w:val="21"/>
        </w:rPr>
        <w:t>11</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"_Toc6047104" </w:instrText>
      </w:r>
      <w:r>
        <w:fldChar w:fldCharType="separate"/>
      </w:r>
      <w:r>
        <w:rPr>
          <w:rStyle w:val="39"/>
          <w:rFonts w:ascii="宋体" w:hAnsi="宋体"/>
          <w:i w:val="0"/>
          <w:sz w:val="21"/>
          <w:szCs w:val="21"/>
        </w:rPr>
        <w:t>10.</w:t>
      </w:r>
      <w:r>
        <w:rPr>
          <w:rStyle w:val="39"/>
          <w:rFonts w:hint="eastAsia" w:ascii="宋体" w:hAnsi="宋体"/>
          <w:i w:val="0"/>
          <w:sz w:val="21"/>
          <w:szCs w:val="21"/>
        </w:rPr>
        <w:t>竞标报价</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_Toc6047104 \h </w:instrText>
      </w:r>
      <w:r>
        <w:rPr>
          <w:rFonts w:ascii="宋体" w:hAnsi="宋体"/>
          <w:i w:val="0"/>
          <w:sz w:val="21"/>
          <w:szCs w:val="21"/>
        </w:rPr>
        <w:fldChar w:fldCharType="separate"/>
      </w:r>
      <w:r>
        <w:rPr>
          <w:rFonts w:ascii="宋体" w:hAnsi="宋体"/>
          <w:i w:val="0"/>
          <w:sz w:val="21"/>
          <w:szCs w:val="21"/>
        </w:rPr>
        <w:t>11</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"_Toc6047105" </w:instrText>
      </w:r>
      <w:r>
        <w:fldChar w:fldCharType="separate"/>
      </w:r>
      <w:r>
        <w:rPr>
          <w:rStyle w:val="39"/>
          <w:rFonts w:ascii="宋体" w:hAnsi="宋体"/>
          <w:i w:val="0"/>
          <w:sz w:val="21"/>
          <w:szCs w:val="21"/>
        </w:rPr>
        <w:t>12.</w:t>
      </w:r>
      <w:r>
        <w:rPr>
          <w:rStyle w:val="39"/>
          <w:rFonts w:hint="eastAsia" w:ascii="宋体" w:hAnsi="宋体"/>
          <w:i w:val="0"/>
          <w:sz w:val="21"/>
          <w:szCs w:val="21"/>
        </w:rPr>
        <w:t>竞标人资格证明文件</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_Toc6047105 \h </w:instrText>
      </w:r>
      <w:r>
        <w:rPr>
          <w:rFonts w:ascii="宋体" w:hAnsi="宋体"/>
          <w:i w:val="0"/>
          <w:sz w:val="21"/>
          <w:szCs w:val="21"/>
        </w:rPr>
        <w:fldChar w:fldCharType="separate"/>
      </w:r>
      <w:r>
        <w:rPr>
          <w:rFonts w:ascii="宋体" w:hAnsi="宋体"/>
          <w:i w:val="0"/>
          <w:sz w:val="21"/>
          <w:szCs w:val="21"/>
        </w:rPr>
        <w:t>12</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"_Toc6047106" </w:instrText>
      </w:r>
      <w:r>
        <w:fldChar w:fldCharType="separate"/>
      </w:r>
      <w:r>
        <w:rPr>
          <w:rStyle w:val="39"/>
          <w:rFonts w:ascii="宋体" w:hAnsi="宋体"/>
          <w:i w:val="0"/>
          <w:sz w:val="21"/>
          <w:szCs w:val="21"/>
        </w:rPr>
        <w:t>14.</w:t>
      </w:r>
      <w:r>
        <w:rPr>
          <w:rStyle w:val="39"/>
          <w:rFonts w:hint="eastAsia" w:ascii="宋体" w:hAnsi="宋体"/>
          <w:i w:val="0"/>
          <w:sz w:val="21"/>
          <w:szCs w:val="21"/>
        </w:rPr>
        <w:t>竞标的有效期</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_Toc6047106 \h </w:instrText>
      </w:r>
      <w:r>
        <w:rPr>
          <w:rFonts w:ascii="宋体" w:hAnsi="宋体"/>
          <w:i w:val="0"/>
          <w:sz w:val="21"/>
          <w:szCs w:val="21"/>
        </w:rPr>
        <w:fldChar w:fldCharType="separate"/>
      </w:r>
      <w:r>
        <w:rPr>
          <w:rFonts w:ascii="宋体" w:hAnsi="宋体"/>
          <w:i w:val="0"/>
          <w:sz w:val="21"/>
          <w:szCs w:val="21"/>
        </w:rPr>
        <w:t>13</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"_Toc6047107" </w:instrText>
      </w:r>
      <w:r>
        <w:fldChar w:fldCharType="separate"/>
      </w:r>
      <w:r>
        <w:rPr>
          <w:rStyle w:val="39"/>
          <w:rFonts w:ascii="宋体" w:hAnsi="宋体"/>
          <w:i w:val="0"/>
          <w:sz w:val="21"/>
          <w:szCs w:val="21"/>
        </w:rPr>
        <w:t>15.</w:t>
      </w:r>
      <w:r>
        <w:rPr>
          <w:rStyle w:val="39"/>
          <w:rFonts w:hint="eastAsia" w:ascii="宋体" w:hAnsi="宋体"/>
          <w:i w:val="0"/>
          <w:sz w:val="21"/>
          <w:szCs w:val="21"/>
        </w:rPr>
        <w:t>竞标文件的书写及签名、盖章要求</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_Toc6047107 \h </w:instrText>
      </w:r>
      <w:r>
        <w:rPr>
          <w:rFonts w:ascii="宋体" w:hAnsi="宋体"/>
          <w:i w:val="0"/>
          <w:sz w:val="21"/>
          <w:szCs w:val="21"/>
        </w:rPr>
        <w:fldChar w:fldCharType="separate"/>
      </w:r>
      <w:r>
        <w:rPr>
          <w:rFonts w:ascii="宋体" w:hAnsi="宋体"/>
          <w:i w:val="0"/>
          <w:sz w:val="21"/>
          <w:szCs w:val="21"/>
        </w:rPr>
        <w:t>13</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"_Toc6047108" </w:instrText>
      </w:r>
      <w:r>
        <w:fldChar w:fldCharType="separate"/>
      </w:r>
      <w:r>
        <w:rPr>
          <w:rStyle w:val="39"/>
          <w:rFonts w:ascii="宋体" w:hAnsi="宋体"/>
          <w:i w:val="0"/>
          <w:sz w:val="21"/>
          <w:szCs w:val="21"/>
        </w:rPr>
        <w:t>16.</w:t>
      </w:r>
      <w:r>
        <w:rPr>
          <w:rStyle w:val="39"/>
          <w:rFonts w:hint="eastAsia" w:ascii="宋体" w:hAnsi="宋体"/>
          <w:i w:val="0"/>
          <w:sz w:val="21"/>
          <w:szCs w:val="21"/>
        </w:rPr>
        <w:t>竞标保证金</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_Toc6047108 \h </w:instrText>
      </w:r>
      <w:r>
        <w:rPr>
          <w:rFonts w:ascii="宋体" w:hAnsi="宋体"/>
          <w:i w:val="0"/>
          <w:sz w:val="21"/>
          <w:szCs w:val="21"/>
        </w:rPr>
        <w:fldChar w:fldCharType="separate"/>
      </w:r>
      <w:r>
        <w:rPr>
          <w:rFonts w:ascii="宋体" w:hAnsi="宋体"/>
          <w:i w:val="0"/>
          <w:sz w:val="21"/>
          <w:szCs w:val="21"/>
        </w:rPr>
        <w:t>14</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"_Toc6047109" </w:instrText>
      </w:r>
      <w:r>
        <w:fldChar w:fldCharType="separate"/>
      </w:r>
      <w:r>
        <w:rPr>
          <w:rStyle w:val="39"/>
          <w:rFonts w:hint="eastAsia" w:ascii="宋体" w:hAnsi="宋体"/>
          <w:i w:val="0"/>
          <w:sz w:val="21"/>
          <w:szCs w:val="21"/>
        </w:rPr>
        <w:t>（四）竞标文件的递交</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_Toc6047109 \h </w:instrText>
      </w:r>
      <w:r>
        <w:rPr>
          <w:rFonts w:ascii="宋体" w:hAnsi="宋体"/>
          <w:i w:val="0"/>
          <w:sz w:val="21"/>
          <w:szCs w:val="21"/>
        </w:rPr>
        <w:fldChar w:fldCharType="separate"/>
      </w:r>
      <w:r>
        <w:rPr>
          <w:rFonts w:ascii="宋体" w:hAnsi="宋体"/>
          <w:i w:val="0"/>
          <w:sz w:val="21"/>
          <w:szCs w:val="21"/>
        </w:rPr>
        <w:t>14</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"_Toc6047110" </w:instrText>
      </w:r>
      <w:r>
        <w:fldChar w:fldCharType="separate"/>
      </w:r>
      <w:r>
        <w:rPr>
          <w:rStyle w:val="39"/>
          <w:rFonts w:ascii="宋体" w:hAnsi="宋体"/>
          <w:i w:val="0"/>
          <w:sz w:val="21"/>
          <w:szCs w:val="21"/>
        </w:rPr>
        <w:t>17.</w:t>
      </w:r>
      <w:r>
        <w:rPr>
          <w:rStyle w:val="39"/>
          <w:rFonts w:hint="eastAsia" w:ascii="宋体" w:hAnsi="宋体"/>
          <w:i w:val="0"/>
          <w:sz w:val="21"/>
          <w:szCs w:val="21"/>
        </w:rPr>
        <w:t>竞标文件的密封与标记</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_Toc6047110 \h </w:instrText>
      </w:r>
      <w:r>
        <w:rPr>
          <w:rFonts w:ascii="宋体" w:hAnsi="宋体"/>
          <w:i w:val="0"/>
          <w:sz w:val="21"/>
          <w:szCs w:val="21"/>
        </w:rPr>
        <w:fldChar w:fldCharType="separate"/>
      </w:r>
      <w:r>
        <w:rPr>
          <w:rFonts w:ascii="宋体" w:hAnsi="宋体"/>
          <w:i w:val="0"/>
          <w:sz w:val="21"/>
          <w:szCs w:val="21"/>
        </w:rPr>
        <w:t>14</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"_Toc6047111" </w:instrText>
      </w:r>
      <w:r>
        <w:fldChar w:fldCharType="separate"/>
      </w:r>
      <w:r>
        <w:rPr>
          <w:rStyle w:val="39"/>
          <w:rFonts w:ascii="宋体" w:hAnsi="宋体"/>
          <w:i w:val="0"/>
          <w:sz w:val="21"/>
          <w:szCs w:val="21"/>
        </w:rPr>
        <w:t>18.</w:t>
      </w:r>
      <w:r>
        <w:rPr>
          <w:rStyle w:val="39"/>
          <w:rFonts w:hint="eastAsia" w:ascii="宋体" w:hAnsi="宋体"/>
          <w:i w:val="0"/>
          <w:sz w:val="21"/>
          <w:szCs w:val="21"/>
        </w:rPr>
        <w:t>竞标截止时间</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_Toc6047111 \h </w:instrText>
      </w:r>
      <w:r>
        <w:rPr>
          <w:rFonts w:ascii="宋体" w:hAnsi="宋体"/>
          <w:i w:val="0"/>
          <w:sz w:val="21"/>
          <w:szCs w:val="21"/>
        </w:rPr>
        <w:fldChar w:fldCharType="separate"/>
      </w:r>
      <w:r>
        <w:rPr>
          <w:rFonts w:ascii="宋体" w:hAnsi="宋体"/>
          <w:i w:val="0"/>
          <w:sz w:val="21"/>
          <w:szCs w:val="21"/>
        </w:rPr>
        <w:t>15</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"_Toc6047112" </w:instrText>
      </w:r>
      <w:r>
        <w:fldChar w:fldCharType="separate"/>
      </w:r>
      <w:r>
        <w:rPr>
          <w:rStyle w:val="39"/>
          <w:rFonts w:ascii="宋体" w:hAnsi="宋体"/>
          <w:i w:val="0"/>
          <w:sz w:val="21"/>
          <w:szCs w:val="21"/>
        </w:rPr>
        <w:t>19.</w:t>
      </w:r>
      <w:r>
        <w:rPr>
          <w:rStyle w:val="39"/>
          <w:rFonts w:hint="eastAsia" w:ascii="宋体" w:hAnsi="宋体"/>
          <w:i w:val="0"/>
          <w:sz w:val="21"/>
          <w:szCs w:val="21"/>
        </w:rPr>
        <w:t>竞标文件的修改及撤回</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_Toc6047112 \h </w:instrText>
      </w:r>
      <w:r>
        <w:rPr>
          <w:rFonts w:ascii="宋体" w:hAnsi="宋体"/>
          <w:i w:val="0"/>
          <w:sz w:val="21"/>
          <w:szCs w:val="21"/>
        </w:rPr>
        <w:fldChar w:fldCharType="separate"/>
      </w:r>
      <w:r>
        <w:rPr>
          <w:rFonts w:ascii="宋体" w:hAnsi="宋体"/>
          <w:i w:val="0"/>
          <w:sz w:val="21"/>
          <w:szCs w:val="21"/>
        </w:rPr>
        <w:t>15</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"_Toc6047113" </w:instrText>
      </w:r>
      <w:r>
        <w:fldChar w:fldCharType="separate"/>
      </w:r>
      <w:r>
        <w:rPr>
          <w:rStyle w:val="39"/>
          <w:rFonts w:ascii="宋体" w:hAnsi="宋体"/>
          <w:i w:val="0"/>
          <w:sz w:val="21"/>
          <w:szCs w:val="21"/>
        </w:rPr>
        <w:t>20.</w:t>
      </w:r>
      <w:r>
        <w:rPr>
          <w:rStyle w:val="39"/>
          <w:rFonts w:hint="eastAsia" w:ascii="宋体" w:hAnsi="宋体"/>
          <w:i w:val="0"/>
          <w:sz w:val="21"/>
          <w:szCs w:val="21"/>
        </w:rPr>
        <w:t>竞标文件的递交</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_Toc6047113 \h </w:instrText>
      </w:r>
      <w:r>
        <w:rPr>
          <w:rFonts w:ascii="宋体" w:hAnsi="宋体"/>
          <w:i w:val="0"/>
          <w:sz w:val="21"/>
          <w:szCs w:val="21"/>
        </w:rPr>
        <w:fldChar w:fldCharType="separate"/>
      </w:r>
      <w:r>
        <w:rPr>
          <w:rFonts w:ascii="宋体" w:hAnsi="宋体"/>
          <w:i w:val="0"/>
          <w:sz w:val="21"/>
          <w:szCs w:val="21"/>
        </w:rPr>
        <w:t>15</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"_Toc6047114" </w:instrText>
      </w:r>
      <w:r>
        <w:fldChar w:fldCharType="separate"/>
      </w:r>
      <w:r>
        <w:rPr>
          <w:rStyle w:val="39"/>
          <w:rFonts w:hint="eastAsia" w:ascii="宋体" w:hAnsi="宋体"/>
          <w:i w:val="0"/>
          <w:sz w:val="21"/>
          <w:szCs w:val="21"/>
        </w:rPr>
        <w:t>（五）谈判与评审</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_Toc6047114 \h </w:instrText>
      </w:r>
      <w:r>
        <w:rPr>
          <w:rFonts w:ascii="宋体" w:hAnsi="宋体"/>
          <w:i w:val="0"/>
          <w:sz w:val="21"/>
          <w:szCs w:val="21"/>
        </w:rPr>
        <w:fldChar w:fldCharType="separate"/>
      </w:r>
      <w:r>
        <w:rPr>
          <w:rFonts w:ascii="宋体" w:hAnsi="宋体"/>
          <w:i w:val="0"/>
          <w:sz w:val="21"/>
          <w:szCs w:val="21"/>
        </w:rPr>
        <w:t>15</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"_Toc6047115" </w:instrText>
      </w:r>
      <w:r>
        <w:fldChar w:fldCharType="separate"/>
      </w:r>
      <w:r>
        <w:rPr>
          <w:rStyle w:val="39"/>
          <w:rFonts w:ascii="宋体" w:hAnsi="宋体"/>
          <w:i w:val="0"/>
          <w:sz w:val="21"/>
          <w:szCs w:val="21"/>
        </w:rPr>
        <w:t>21.</w:t>
      </w:r>
      <w:r>
        <w:rPr>
          <w:rStyle w:val="39"/>
          <w:rFonts w:hint="eastAsia" w:ascii="宋体" w:hAnsi="宋体"/>
          <w:i w:val="0"/>
          <w:sz w:val="21"/>
          <w:szCs w:val="21"/>
        </w:rPr>
        <w:t>谈判</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_Toc6047115 \h </w:instrText>
      </w:r>
      <w:r>
        <w:rPr>
          <w:rFonts w:ascii="宋体" w:hAnsi="宋体"/>
          <w:i w:val="0"/>
          <w:sz w:val="21"/>
          <w:szCs w:val="21"/>
        </w:rPr>
        <w:fldChar w:fldCharType="separate"/>
      </w:r>
      <w:r>
        <w:rPr>
          <w:rFonts w:ascii="宋体" w:hAnsi="宋体"/>
          <w:i w:val="0"/>
          <w:sz w:val="21"/>
          <w:szCs w:val="21"/>
        </w:rPr>
        <w:t>15</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"_Toc6047116" </w:instrText>
      </w:r>
      <w:r>
        <w:fldChar w:fldCharType="separate"/>
      </w:r>
      <w:r>
        <w:rPr>
          <w:rStyle w:val="39"/>
          <w:rFonts w:ascii="宋体" w:hAnsi="宋体"/>
          <w:i w:val="0"/>
          <w:sz w:val="21"/>
          <w:szCs w:val="21"/>
        </w:rPr>
        <w:t>22.</w:t>
      </w:r>
      <w:r>
        <w:rPr>
          <w:rStyle w:val="39"/>
          <w:rFonts w:hint="eastAsia" w:ascii="宋体" w:hAnsi="宋体"/>
          <w:i w:val="0"/>
          <w:sz w:val="21"/>
          <w:szCs w:val="21"/>
        </w:rPr>
        <w:t>评审</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_Toc6047116 \h </w:instrText>
      </w:r>
      <w:r>
        <w:rPr>
          <w:rFonts w:ascii="宋体" w:hAnsi="宋体"/>
          <w:i w:val="0"/>
          <w:sz w:val="21"/>
          <w:szCs w:val="21"/>
        </w:rPr>
        <w:fldChar w:fldCharType="separate"/>
      </w:r>
      <w:r>
        <w:rPr>
          <w:rFonts w:ascii="宋体" w:hAnsi="宋体"/>
          <w:i w:val="0"/>
          <w:sz w:val="21"/>
          <w:szCs w:val="21"/>
        </w:rPr>
        <w:t>17</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"_Toc6047117" </w:instrText>
      </w:r>
      <w:r>
        <w:fldChar w:fldCharType="separate"/>
      </w:r>
      <w:r>
        <w:rPr>
          <w:rStyle w:val="39"/>
          <w:rFonts w:ascii="宋体" w:hAnsi="宋体"/>
          <w:i w:val="0"/>
          <w:sz w:val="21"/>
          <w:szCs w:val="21"/>
        </w:rPr>
        <w:t>23.</w:t>
      </w:r>
      <w:r>
        <w:rPr>
          <w:rStyle w:val="39"/>
          <w:rFonts w:hint="eastAsia" w:ascii="宋体" w:hAnsi="宋体"/>
          <w:i w:val="0"/>
          <w:sz w:val="21"/>
          <w:szCs w:val="21"/>
        </w:rPr>
        <w:t>竞标文件的澄清或说明</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_Toc6047117 \h </w:instrText>
      </w:r>
      <w:r>
        <w:rPr>
          <w:rFonts w:ascii="宋体" w:hAnsi="宋体"/>
          <w:i w:val="0"/>
          <w:sz w:val="21"/>
          <w:szCs w:val="21"/>
        </w:rPr>
        <w:fldChar w:fldCharType="separate"/>
      </w:r>
      <w:r>
        <w:rPr>
          <w:rFonts w:ascii="宋体" w:hAnsi="宋体"/>
          <w:i w:val="0"/>
          <w:sz w:val="21"/>
          <w:szCs w:val="21"/>
        </w:rPr>
        <w:t>19</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"_Toc6047118" </w:instrText>
      </w:r>
      <w:r>
        <w:fldChar w:fldCharType="separate"/>
      </w:r>
      <w:r>
        <w:rPr>
          <w:rStyle w:val="39"/>
          <w:rFonts w:ascii="宋体" w:hAnsi="宋体"/>
          <w:i w:val="0"/>
          <w:sz w:val="21"/>
          <w:szCs w:val="21"/>
        </w:rPr>
        <w:t>24.</w:t>
      </w:r>
      <w:r>
        <w:rPr>
          <w:rStyle w:val="39"/>
          <w:rFonts w:hint="eastAsia" w:ascii="宋体" w:hAnsi="宋体"/>
          <w:i w:val="0"/>
          <w:sz w:val="21"/>
          <w:szCs w:val="21"/>
        </w:rPr>
        <w:t>无效竞标和废标</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_Toc6047118 \h </w:instrText>
      </w:r>
      <w:r>
        <w:rPr>
          <w:rFonts w:ascii="宋体" w:hAnsi="宋体"/>
          <w:i w:val="0"/>
          <w:sz w:val="21"/>
          <w:szCs w:val="21"/>
        </w:rPr>
        <w:fldChar w:fldCharType="separate"/>
      </w:r>
      <w:r>
        <w:rPr>
          <w:rFonts w:ascii="宋体" w:hAnsi="宋体"/>
          <w:i w:val="0"/>
          <w:sz w:val="21"/>
          <w:szCs w:val="21"/>
        </w:rPr>
        <w:t>19</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"_Toc6047119" </w:instrText>
      </w:r>
      <w:r>
        <w:fldChar w:fldCharType="separate"/>
      </w:r>
      <w:r>
        <w:rPr>
          <w:rStyle w:val="39"/>
          <w:rFonts w:hint="eastAsia" w:ascii="宋体" w:hAnsi="宋体"/>
          <w:i w:val="0"/>
          <w:sz w:val="21"/>
          <w:szCs w:val="21"/>
        </w:rPr>
        <w:t>（六）签订合同</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_Toc6047119 \h </w:instrText>
      </w:r>
      <w:r>
        <w:rPr>
          <w:rFonts w:ascii="宋体" w:hAnsi="宋体"/>
          <w:i w:val="0"/>
          <w:sz w:val="21"/>
          <w:szCs w:val="21"/>
        </w:rPr>
        <w:fldChar w:fldCharType="separate"/>
      </w:r>
      <w:r>
        <w:rPr>
          <w:rFonts w:ascii="宋体" w:hAnsi="宋体"/>
          <w:i w:val="0"/>
          <w:sz w:val="21"/>
          <w:szCs w:val="21"/>
        </w:rPr>
        <w:t>20</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"_Toc6047120" </w:instrText>
      </w:r>
      <w:r>
        <w:fldChar w:fldCharType="separate"/>
      </w:r>
      <w:r>
        <w:rPr>
          <w:rStyle w:val="39"/>
          <w:rFonts w:ascii="宋体" w:hAnsi="宋体"/>
          <w:i w:val="0"/>
          <w:sz w:val="21"/>
          <w:szCs w:val="21"/>
        </w:rPr>
        <w:t>25.</w:t>
      </w:r>
      <w:r>
        <w:rPr>
          <w:rStyle w:val="39"/>
          <w:rFonts w:hint="eastAsia" w:ascii="宋体" w:hAnsi="宋体"/>
          <w:i w:val="0"/>
          <w:sz w:val="21"/>
          <w:szCs w:val="21"/>
        </w:rPr>
        <w:t>成交结果及公告</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_Toc6047120 \h </w:instrText>
      </w:r>
      <w:r>
        <w:rPr>
          <w:rFonts w:ascii="宋体" w:hAnsi="宋体"/>
          <w:i w:val="0"/>
          <w:sz w:val="21"/>
          <w:szCs w:val="21"/>
        </w:rPr>
        <w:fldChar w:fldCharType="separate"/>
      </w:r>
      <w:r>
        <w:rPr>
          <w:rFonts w:ascii="宋体" w:hAnsi="宋体"/>
          <w:i w:val="0"/>
          <w:sz w:val="21"/>
          <w:szCs w:val="21"/>
        </w:rPr>
        <w:t>20</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"_Toc6047121" </w:instrText>
      </w:r>
      <w:r>
        <w:fldChar w:fldCharType="separate"/>
      </w:r>
      <w:r>
        <w:rPr>
          <w:rStyle w:val="39"/>
          <w:rFonts w:ascii="宋体" w:hAnsi="宋体"/>
          <w:i w:val="0"/>
          <w:sz w:val="21"/>
          <w:szCs w:val="21"/>
        </w:rPr>
        <w:t>26.</w:t>
      </w:r>
      <w:r>
        <w:rPr>
          <w:rStyle w:val="39"/>
          <w:rFonts w:hint="eastAsia" w:ascii="宋体" w:hAnsi="宋体"/>
          <w:i w:val="0"/>
          <w:sz w:val="21"/>
          <w:szCs w:val="21"/>
        </w:rPr>
        <w:t>质疑</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_Toc6047121 \h </w:instrText>
      </w:r>
      <w:r>
        <w:rPr>
          <w:rFonts w:ascii="宋体" w:hAnsi="宋体"/>
          <w:i w:val="0"/>
          <w:sz w:val="21"/>
          <w:szCs w:val="21"/>
        </w:rPr>
        <w:fldChar w:fldCharType="separate"/>
      </w:r>
      <w:r>
        <w:rPr>
          <w:rFonts w:ascii="宋体" w:hAnsi="宋体"/>
          <w:i w:val="0"/>
          <w:sz w:val="21"/>
          <w:szCs w:val="21"/>
        </w:rPr>
        <w:t>20</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"_Toc6047122" </w:instrText>
      </w:r>
      <w:r>
        <w:fldChar w:fldCharType="separate"/>
      </w:r>
      <w:r>
        <w:rPr>
          <w:rStyle w:val="39"/>
          <w:rFonts w:ascii="宋体" w:hAnsi="宋体"/>
          <w:i w:val="0"/>
          <w:sz w:val="21"/>
          <w:szCs w:val="21"/>
        </w:rPr>
        <w:t>27.</w:t>
      </w:r>
      <w:r>
        <w:rPr>
          <w:rStyle w:val="39"/>
          <w:rFonts w:hint="eastAsia" w:ascii="宋体" w:hAnsi="宋体"/>
          <w:i w:val="0"/>
          <w:sz w:val="21"/>
          <w:szCs w:val="21"/>
        </w:rPr>
        <w:t>投诉</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_Toc6047122 \h </w:instrText>
      </w:r>
      <w:r>
        <w:rPr>
          <w:rFonts w:ascii="宋体" w:hAnsi="宋体"/>
          <w:i w:val="0"/>
          <w:sz w:val="21"/>
          <w:szCs w:val="21"/>
        </w:rPr>
        <w:fldChar w:fldCharType="separate"/>
      </w:r>
      <w:r>
        <w:rPr>
          <w:rFonts w:ascii="宋体" w:hAnsi="宋体"/>
          <w:i w:val="0"/>
          <w:sz w:val="21"/>
          <w:szCs w:val="21"/>
        </w:rPr>
        <w:t>21</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"_Toc6047123" </w:instrText>
      </w:r>
      <w:r>
        <w:fldChar w:fldCharType="separate"/>
      </w:r>
      <w:r>
        <w:rPr>
          <w:rStyle w:val="39"/>
          <w:rFonts w:ascii="宋体" w:hAnsi="宋体"/>
          <w:i w:val="0"/>
          <w:sz w:val="21"/>
          <w:szCs w:val="21"/>
        </w:rPr>
        <w:t>28.</w:t>
      </w:r>
      <w:r>
        <w:rPr>
          <w:rStyle w:val="39"/>
          <w:rFonts w:hint="eastAsia" w:ascii="宋体" w:hAnsi="宋体"/>
          <w:i w:val="0"/>
          <w:sz w:val="21"/>
          <w:szCs w:val="21"/>
        </w:rPr>
        <w:t>成交通知</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_Toc6047123 \h </w:instrText>
      </w:r>
      <w:r>
        <w:rPr>
          <w:rFonts w:ascii="宋体" w:hAnsi="宋体"/>
          <w:i w:val="0"/>
          <w:sz w:val="21"/>
          <w:szCs w:val="21"/>
        </w:rPr>
        <w:fldChar w:fldCharType="separate"/>
      </w:r>
      <w:r>
        <w:rPr>
          <w:rFonts w:ascii="宋体" w:hAnsi="宋体"/>
          <w:i w:val="0"/>
          <w:sz w:val="21"/>
          <w:szCs w:val="21"/>
        </w:rPr>
        <w:t>21</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"_Toc6047124" </w:instrText>
      </w:r>
      <w:r>
        <w:fldChar w:fldCharType="separate"/>
      </w:r>
      <w:r>
        <w:rPr>
          <w:rStyle w:val="39"/>
          <w:rFonts w:ascii="宋体" w:hAnsi="宋体"/>
          <w:i w:val="0"/>
          <w:sz w:val="21"/>
          <w:szCs w:val="21"/>
        </w:rPr>
        <w:t>29.</w:t>
      </w:r>
      <w:r>
        <w:rPr>
          <w:rStyle w:val="39"/>
          <w:rFonts w:hint="eastAsia" w:ascii="宋体" w:hAnsi="宋体"/>
          <w:i w:val="0"/>
          <w:sz w:val="21"/>
          <w:szCs w:val="21"/>
        </w:rPr>
        <w:t>合同授予标准</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_Toc6047124 \h </w:instrText>
      </w:r>
      <w:r>
        <w:rPr>
          <w:rFonts w:ascii="宋体" w:hAnsi="宋体"/>
          <w:i w:val="0"/>
          <w:sz w:val="21"/>
          <w:szCs w:val="21"/>
        </w:rPr>
        <w:fldChar w:fldCharType="separate"/>
      </w:r>
      <w:r>
        <w:rPr>
          <w:rFonts w:ascii="宋体" w:hAnsi="宋体"/>
          <w:i w:val="0"/>
          <w:sz w:val="21"/>
          <w:szCs w:val="21"/>
        </w:rPr>
        <w:t>21</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"_Toc6047125" </w:instrText>
      </w:r>
      <w:r>
        <w:fldChar w:fldCharType="separate"/>
      </w:r>
      <w:r>
        <w:rPr>
          <w:rStyle w:val="39"/>
          <w:rFonts w:ascii="宋体" w:hAnsi="宋体"/>
          <w:i w:val="0"/>
          <w:sz w:val="21"/>
          <w:szCs w:val="21"/>
        </w:rPr>
        <w:t>30.</w:t>
      </w:r>
      <w:r>
        <w:rPr>
          <w:rStyle w:val="39"/>
          <w:rFonts w:hint="eastAsia" w:ascii="宋体" w:hAnsi="宋体"/>
          <w:i w:val="0"/>
          <w:sz w:val="21"/>
          <w:szCs w:val="21"/>
        </w:rPr>
        <w:t>签订合同</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_Toc6047125 \h </w:instrText>
      </w:r>
      <w:r>
        <w:rPr>
          <w:rFonts w:ascii="宋体" w:hAnsi="宋体"/>
          <w:i w:val="0"/>
          <w:sz w:val="21"/>
          <w:szCs w:val="21"/>
        </w:rPr>
        <w:fldChar w:fldCharType="separate"/>
      </w:r>
      <w:r>
        <w:rPr>
          <w:rFonts w:ascii="宋体" w:hAnsi="宋体"/>
          <w:i w:val="0"/>
          <w:sz w:val="21"/>
          <w:szCs w:val="21"/>
        </w:rPr>
        <w:t>21</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"_Toc6047126" </w:instrText>
      </w:r>
      <w:r>
        <w:fldChar w:fldCharType="separate"/>
      </w:r>
      <w:r>
        <w:rPr>
          <w:rStyle w:val="39"/>
          <w:rFonts w:ascii="宋体" w:hAnsi="宋体"/>
          <w:i w:val="0"/>
          <w:sz w:val="21"/>
          <w:szCs w:val="21"/>
        </w:rPr>
        <w:t>31.</w:t>
      </w:r>
      <w:r>
        <w:rPr>
          <w:rStyle w:val="39"/>
          <w:rFonts w:hint="eastAsia" w:ascii="宋体" w:hAnsi="宋体"/>
          <w:i w:val="0"/>
          <w:sz w:val="21"/>
          <w:szCs w:val="21"/>
        </w:rPr>
        <w:t>履约保证金</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_Toc6047126 \h </w:instrText>
      </w:r>
      <w:r>
        <w:rPr>
          <w:rFonts w:ascii="宋体" w:hAnsi="宋体"/>
          <w:i w:val="0"/>
          <w:sz w:val="21"/>
          <w:szCs w:val="21"/>
        </w:rPr>
        <w:fldChar w:fldCharType="separate"/>
      </w:r>
      <w:r>
        <w:rPr>
          <w:rFonts w:ascii="宋体" w:hAnsi="宋体"/>
          <w:i w:val="0"/>
          <w:sz w:val="21"/>
          <w:szCs w:val="21"/>
        </w:rPr>
        <w:t>21</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"_Toc6047127" </w:instrText>
      </w:r>
      <w:r>
        <w:fldChar w:fldCharType="separate"/>
      </w:r>
      <w:r>
        <w:rPr>
          <w:rStyle w:val="39"/>
          <w:rFonts w:hint="eastAsia" w:ascii="宋体" w:hAnsi="宋体"/>
          <w:i w:val="0"/>
          <w:sz w:val="21"/>
          <w:szCs w:val="21"/>
        </w:rPr>
        <w:t>（七）其他事项</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_Toc6047127 \h </w:instrText>
      </w:r>
      <w:r>
        <w:rPr>
          <w:rFonts w:ascii="宋体" w:hAnsi="宋体"/>
          <w:i w:val="0"/>
          <w:sz w:val="21"/>
          <w:szCs w:val="21"/>
        </w:rPr>
        <w:fldChar w:fldCharType="separate"/>
      </w:r>
      <w:r>
        <w:rPr>
          <w:rFonts w:ascii="宋体" w:hAnsi="宋体"/>
          <w:i w:val="0"/>
          <w:sz w:val="21"/>
          <w:szCs w:val="21"/>
        </w:rPr>
        <w:t>21</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"_Toc6047128" </w:instrText>
      </w:r>
      <w:r>
        <w:fldChar w:fldCharType="separate"/>
      </w:r>
      <w:r>
        <w:rPr>
          <w:rStyle w:val="39"/>
          <w:rFonts w:ascii="宋体" w:hAnsi="宋体"/>
          <w:i w:val="0"/>
          <w:sz w:val="21"/>
          <w:szCs w:val="21"/>
        </w:rPr>
        <w:t>32.</w:t>
      </w:r>
      <w:r>
        <w:rPr>
          <w:rStyle w:val="39"/>
          <w:rFonts w:hint="eastAsia" w:ascii="宋体" w:hAnsi="宋体"/>
          <w:i w:val="0"/>
          <w:sz w:val="21"/>
          <w:szCs w:val="21"/>
        </w:rPr>
        <w:t>服务费</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_Toc6047128 \h </w:instrText>
      </w:r>
      <w:r>
        <w:rPr>
          <w:rFonts w:ascii="宋体" w:hAnsi="宋体"/>
          <w:i w:val="0"/>
          <w:sz w:val="21"/>
          <w:szCs w:val="21"/>
        </w:rPr>
        <w:fldChar w:fldCharType="separate"/>
      </w:r>
      <w:r>
        <w:rPr>
          <w:rFonts w:ascii="宋体" w:hAnsi="宋体"/>
          <w:i w:val="0"/>
          <w:sz w:val="21"/>
          <w:szCs w:val="21"/>
        </w:rPr>
        <w:t>21</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"_Toc6047129" </w:instrText>
      </w:r>
      <w:r>
        <w:fldChar w:fldCharType="separate"/>
      </w:r>
      <w:r>
        <w:rPr>
          <w:rStyle w:val="39"/>
          <w:rFonts w:ascii="宋体" w:hAnsi="宋体"/>
          <w:i w:val="0"/>
          <w:sz w:val="21"/>
          <w:szCs w:val="21"/>
        </w:rPr>
        <w:t>33.</w:t>
      </w:r>
      <w:r>
        <w:rPr>
          <w:rStyle w:val="39"/>
          <w:rFonts w:hint="eastAsia" w:ascii="宋体" w:hAnsi="宋体"/>
          <w:i w:val="0"/>
          <w:sz w:val="21"/>
          <w:szCs w:val="21"/>
        </w:rPr>
        <w:t>解释权</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_Toc6047129 \h </w:instrText>
      </w:r>
      <w:r>
        <w:rPr>
          <w:rFonts w:ascii="宋体" w:hAnsi="宋体"/>
          <w:i w:val="0"/>
          <w:sz w:val="21"/>
          <w:szCs w:val="21"/>
        </w:rPr>
        <w:fldChar w:fldCharType="separate"/>
      </w:r>
      <w:r>
        <w:rPr>
          <w:rFonts w:ascii="宋体" w:hAnsi="宋体"/>
          <w:i w:val="0"/>
          <w:sz w:val="21"/>
          <w:szCs w:val="21"/>
        </w:rPr>
        <w:t>22</w:t>
      </w:r>
      <w:r>
        <w:rPr>
          <w:rFonts w:ascii="宋体" w:hAnsi="宋体"/>
          <w:i w:val="0"/>
          <w:sz w:val="21"/>
          <w:szCs w:val="21"/>
        </w:rPr>
        <w:fldChar w:fldCharType="end"/>
      </w:r>
      <w:r>
        <w:rPr>
          <w:rFonts w:ascii="宋体" w:hAnsi="宋体"/>
          <w:i w:val="0"/>
          <w:sz w:val="21"/>
          <w:szCs w:val="21"/>
        </w:rPr>
        <w:fldChar w:fldCharType="end"/>
      </w:r>
    </w:p>
    <w:p>
      <w:pPr>
        <w:pStyle w:val="15"/>
        <w:tabs>
          <w:tab w:val="right" w:leader="dot" w:pos="9231"/>
        </w:tabs>
        <w:rPr>
          <w:rFonts w:ascii="宋体" w:hAnsi="宋体"/>
          <w:i w:val="0"/>
          <w:iCs w:val="0"/>
          <w:sz w:val="21"/>
          <w:szCs w:val="21"/>
        </w:rPr>
      </w:pPr>
      <w:r>
        <w:fldChar w:fldCharType="begin"/>
      </w:r>
      <w:r>
        <w:instrText xml:space="preserve"> HYPERLINK \l "_Toc6047130" </w:instrText>
      </w:r>
      <w:r>
        <w:fldChar w:fldCharType="separate"/>
      </w:r>
      <w:r>
        <w:rPr>
          <w:rStyle w:val="39"/>
          <w:rFonts w:ascii="宋体" w:hAnsi="宋体"/>
          <w:i w:val="0"/>
          <w:sz w:val="21"/>
          <w:szCs w:val="21"/>
        </w:rPr>
        <w:t>34.</w:t>
      </w:r>
      <w:r>
        <w:rPr>
          <w:rStyle w:val="39"/>
          <w:rFonts w:hint="eastAsia" w:ascii="宋体" w:hAnsi="宋体"/>
          <w:i w:val="0"/>
          <w:sz w:val="21"/>
          <w:szCs w:val="21"/>
        </w:rPr>
        <w:t>通讯地址</w:t>
      </w:r>
      <w:r>
        <w:rPr>
          <w:rFonts w:ascii="宋体" w:hAnsi="宋体"/>
          <w:i w:val="0"/>
          <w:sz w:val="21"/>
          <w:szCs w:val="21"/>
        </w:rPr>
        <w:tab/>
      </w:r>
      <w:r>
        <w:rPr>
          <w:rFonts w:ascii="宋体" w:hAnsi="宋体"/>
          <w:i w:val="0"/>
          <w:sz w:val="21"/>
          <w:szCs w:val="21"/>
        </w:rPr>
        <w:fldChar w:fldCharType="begin"/>
      </w:r>
      <w:r>
        <w:rPr>
          <w:rFonts w:ascii="宋体" w:hAnsi="宋体"/>
          <w:i w:val="0"/>
          <w:sz w:val="21"/>
          <w:szCs w:val="21"/>
        </w:rPr>
        <w:instrText xml:space="preserve"> PAGEREF _Toc6047130 \h </w:instrText>
      </w:r>
      <w:r>
        <w:rPr>
          <w:rFonts w:ascii="宋体" w:hAnsi="宋体"/>
          <w:i w:val="0"/>
          <w:sz w:val="21"/>
          <w:szCs w:val="21"/>
        </w:rPr>
        <w:fldChar w:fldCharType="separate"/>
      </w:r>
      <w:r>
        <w:rPr>
          <w:rFonts w:ascii="宋体" w:hAnsi="宋体"/>
          <w:i w:val="0"/>
          <w:sz w:val="21"/>
          <w:szCs w:val="21"/>
        </w:rPr>
        <w:t>22</w:t>
      </w:r>
      <w:r>
        <w:rPr>
          <w:rFonts w:ascii="宋体" w:hAnsi="宋体"/>
          <w:i w:val="0"/>
          <w:sz w:val="21"/>
          <w:szCs w:val="21"/>
        </w:rPr>
        <w:fldChar w:fldCharType="end"/>
      </w:r>
      <w:r>
        <w:rPr>
          <w:rFonts w:ascii="宋体" w:hAnsi="宋体"/>
          <w:i w:val="0"/>
          <w:sz w:val="21"/>
          <w:szCs w:val="21"/>
        </w:rPr>
        <w:fldChar w:fldCharType="end"/>
      </w:r>
    </w:p>
    <w:p>
      <w:pPr>
        <w:pStyle w:val="23"/>
        <w:tabs>
          <w:tab w:val="right" w:leader="dot" w:pos="9231"/>
        </w:tabs>
        <w:rPr>
          <w:rFonts w:ascii="宋体" w:hAnsi="宋体"/>
          <w:b w:val="0"/>
          <w:bCs w:val="0"/>
          <w:caps w:val="0"/>
          <w:sz w:val="21"/>
          <w:szCs w:val="21"/>
        </w:rPr>
      </w:pPr>
      <w:r>
        <w:fldChar w:fldCharType="begin"/>
      </w:r>
      <w:r>
        <w:instrText xml:space="preserve"> HYPERLINK \l "_Toc6047131" </w:instrText>
      </w:r>
      <w:r>
        <w:fldChar w:fldCharType="separate"/>
      </w:r>
      <w:r>
        <w:rPr>
          <w:rStyle w:val="39"/>
          <w:rFonts w:hint="eastAsia" w:ascii="宋体" w:hAnsi="宋体"/>
          <w:b w:val="0"/>
          <w:sz w:val="21"/>
          <w:szCs w:val="21"/>
        </w:rPr>
        <w:t>第二章项目要求及货物需求一览表</w:t>
      </w:r>
      <w:r>
        <w:rPr>
          <w:rFonts w:ascii="宋体" w:hAnsi="宋体"/>
          <w:b w:val="0"/>
          <w:sz w:val="21"/>
          <w:szCs w:val="21"/>
        </w:rPr>
        <w:tab/>
      </w:r>
      <w:r>
        <w:rPr>
          <w:rFonts w:ascii="宋体" w:hAnsi="宋体"/>
          <w:b w:val="0"/>
          <w:sz w:val="21"/>
          <w:szCs w:val="21"/>
        </w:rPr>
        <w:fldChar w:fldCharType="begin"/>
      </w:r>
      <w:r>
        <w:rPr>
          <w:rFonts w:ascii="宋体" w:hAnsi="宋体"/>
          <w:b w:val="0"/>
          <w:sz w:val="21"/>
          <w:szCs w:val="21"/>
        </w:rPr>
        <w:instrText xml:space="preserve"> PAGEREF _Toc6047131 \h </w:instrText>
      </w:r>
      <w:r>
        <w:rPr>
          <w:rFonts w:ascii="宋体" w:hAnsi="宋体"/>
          <w:b w:val="0"/>
          <w:sz w:val="21"/>
          <w:szCs w:val="21"/>
        </w:rPr>
        <w:fldChar w:fldCharType="separate"/>
      </w:r>
      <w:r>
        <w:rPr>
          <w:rFonts w:ascii="宋体" w:hAnsi="宋体"/>
          <w:b w:val="0"/>
          <w:sz w:val="21"/>
          <w:szCs w:val="21"/>
        </w:rPr>
        <w:t>23</w:t>
      </w:r>
      <w:r>
        <w:rPr>
          <w:rFonts w:ascii="宋体" w:hAnsi="宋体"/>
          <w:b w:val="0"/>
          <w:sz w:val="21"/>
          <w:szCs w:val="21"/>
        </w:rPr>
        <w:fldChar w:fldCharType="end"/>
      </w:r>
      <w:r>
        <w:rPr>
          <w:rFonts w:ascii="宋体" w:hAnsi="宋体"/>
          <w:b w:val="0"/>
          <w:sz w:val="21"/>
          <w:szCs w:val="21"/>
        </w:rPr>
        <w:fldChar w:fldCharType="end"/>
      </w:r>
    </w:p>
    <w:p>
      <w:pPr>
        <w:pStyle w:val="26"/>
        <w:tabs>
          <w:tab w:val="right" w:leader="dot" w:pos="9231"/>
        </w:tabs>
        <w:rPr>
          <w:rFonts w:ascii="宋体" w:hAnsi="宋体"/>
          <w:smallCaps w:val="0"/>
          <w:sz w:val="21"/>
          <w:szCs w:val="21"/>
        </w:rPr>
      </w:pPr>
      <w:r>
        <w:fldChar w:fldCharType="begin"/>
      </w:r>
      <w:r>
        <w:instrText xml:space="preserve"> HYPERLINK \l "_Toc6047132" </w:instrText>
      </w:r>
      <w:r>
        <w:fldChar w:fldCharType="separate"/>
      </w:r>
      <w:r>
        <w:rPr>
          <w:rStyle w:val="39"/>
          <w:rFonts w:hint="eastAsia" w:ascii="宋体" w:hAnsi="宋体"/>
          <w:sz w:val="21"/>
          <w:szCs w:val="21"/>
        </w:rPr>
        <w:t>一、项目要求</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_Toc6047132 \h </w:instrText>
      </w:r>
      <w:r>
        <w:rPr>
          <w:rFonts w:ascii="宋体" w:hAnsi="宋体"/>
          <w:sz w:val="21"/>
          <w:szCs w:val="21"/>
        </w:rPr>
        <w:fldChar w:fldCharType="separate"/>
      </w:r>
      <w:r>
        <w:rPr>
          <w:rFonts w:ascii="宋体" w:hAnsi="宋体"/>
          <w:sz w:val="21"/>
          <w:szCs w:val="21"/>
        </w:rPr>
        <w:t>23</w:t>
      </w:r>
      <w:r>
        <w:rPr>
          <w:rFonts w:ascii="宋体" w:hAnsi="宋体"/>
          <w:sz w:val="21"/>
          <w:szCs w:val="21"/>
        </w:rPr>
        <w:fldChar w:fldCharType="end"/>
      </w:r>
      <w:r>
        <w:rPr>
          <w:rFonts w:ascii="宋体" w:hAnsi="宋体"/>
          <w:sz w:val="21"/>
          <w:szCs w:val="21"/>
        </w:rPr>
        <w:fldChar w:fldCharType="end"/>
      </w:r>
    </w:p>
    <w:p>
      <w:pPr>
        <w:pStyle w:val="23"/>
        <w:tabs>
          <w:tab w:val="right" w:leader="dot" w:pos="9231"/>
        </w:tabs>
        <w:ind w:firstLine="201" w:firstLineChars="100"/>
        <w:rPr>
          <w:rFonts w:ascii="宋体" w:hAnsi="宋体"/>
          <w:b w:val="0"/>
          <w:bCs w:val="0"/>
          <w:caps w:val="0"/>
          <w:sz w:val="21"/>
          <w:szCs w:val="21"/>
        </w:rPr>
      </w:pPr>
      <w:r>
        <w:fldChar w:fldCharType="begin"/>
      </w:r>
      <w:r>
        <w:instrText xml:space="preserve"> HYPERLINK \l "_Toc6047133" </w:instrText>
      </w:r>
      <w:r>
        <w:fldChar w:fldCharType="separate"/>
      </w:r>
      <w:r>
        <w:rPr>
          <w:rStyle w:val="39"/>
          <w:rFonts w:hint="eastAsia" w:ascii="宋体" w:hAnsi="宋体"/>
          <w:b w:val="0"/>
          <w:sz w:val="21"/>
          <w:szCs w:val="21"/>
        </w:rPr>
        <w:t>二、货物需求一览表</w:t>
      </w:r>
      <w:r>
        <w:rPr>
          <w:rFonts w:ascii="宋体" w:hAnsi="宋体"/>
          <w:b w:val="0"/>
          <w:sz w:val="21"/>
          <w:szCs w:val="21"/>
        </w:rPr>
        <w:tab/>
      </w:r>
      <w:r>
        <w:rPr>
          <w:rFonts w:ascii="宋体" w:hAnsi="宋体"/>
          <w:b w:val="0"/>
          <w:sz w:val="21"/>
          <w:szCs w:val="21"/>
        </w:rPr>
        <w:fldChar w:fldCharType="begin"/>
      </w:r>
      <w:r>
        <w:rPr>
          <w:rFonts w:ascii="宋体" w:hAnsi="宋体"/>
          <w:b w:val="0"/>
          <w:sz w:val="21"/>
          <w:szCs w:val="21"/>
        </w:rPr>
        <w:instrText xml:space="preserve"> PAGEREF _Toc6047133 \h </w:instrText>
      </w:r>
      <w:r>
        <w:rPr>
          <w:rFonts w:ascii="宋体" w:hAnsi="宋体"/>
          <w:b w:val="0"/>
          <w:sz w:val="21"/>
          <w:szCs w:val="21"/>
        </w:rPr>
        <w:fldChar w:fldCharType="separate"/>
      </w:r>
      <w:r>
        <w:rPr>
          <w:rFonts w:ascii="宋体" w:hAnsi="宋体"/>
          <w:b w:val="0"/>
          <w:sz w:val="21"/>
          <w:szCs w:val="21"/>
        </w:rPr>
        <w:t>24</w:t>
      </w:r>
      <w:r>
        <w:rPr>
          <w:rFonts w:ascii="宋体" w:hAnsi="宋体"/>
          <w:b w:val="0"/>
          <w:sz w:val="21"/>
          <w:szCs w:val="21"/>
        </w:rPr>
        <w:fldChar w:fldCharType="end"/>
      </w:r>
      <w:r>
        <w:rPr>
          <w:rFonts w:ascii="宋体" w:hAnsi="宋体"/>
          <w:b w:val="0"/>
          <w:sz w:val="21"/>
          <w:szCs w:val="21"/>
        </w:rPr>
        <w:fldChar w:fldCharType="end"/>
      </w:r>
    </w:p>
    <w:p>
      <w:pPr>
        <w:pStyle w:val="23"/>
        <w:tabs>
          <w:tab w:val="right" w:leader="dot" w:pos="9231"/>
        </w:tabs>
        <w:rPr>
          <w:rFonts w:ascii="宋体" w:hAnsi="宋体"/>
          <w:b w:val="0"/>
          <w:bCs w:val="0"/>
          <w:caps w:val="0"/>
          <w:sz w:val="21"/>
          <w:szCs w:val="21"/>
        </w:rPr>
      </w:pPr>
      <w:r>
        <w:fldChar w:fldCharType="begin"/>
      </w:r>
      <w:r>
        <w:instrText xml:space="preserve"> HYPERLINK \l "_Toc6047134" </w:instrText>
      </w:r>
      <w:r>
        <w:fldChar w:fldCharType="separate"/>
      </w:r>
      <w:r>
        <w:rPr>
          <w:rStyle w:val="39"/>
          <w:rFonts w:hint="eastAsia" w:ascii="宋体" w:hAnsi="宋体"/>
          <w:b w:val="0"/>
          <w:sz w:val="21"/>
          <w:szCs w:val="21"/>
        </w:rPr>
        <w:t>第三章</w:t>
      </w:r>
      <w:r>
        <w:rPr>
          <w:rStyle w:val="39"/>
          <w:rFonts w:ascii="宋体" w:hAnsi="宋体"/>
          <w:b w:val="0"/>
          <w:sz w:val="21"/>
          <w:szCs w:val="21"/>
        </w:rPr>
        <w:t xml:space="preserve"> </w:t>
      </w:r>
      <w:r>
        <w:rPr>
          <w:rStyle w:val="39"/>
          <w:rFonts w:hint="eastAsia" w:ascii="宋体" w:hAnsi="宋体"/>
          <w:b w:val="0"/>
          <w:sz w:val="21"/>
          <w:szCs w:val="21"/>
        </w:rPr>
        <w:t>政府采购合同（格式）</w:t>
      </w:r>
      <w:r>
        <w:rPr>
          <w:rFonts w:ascii="宋体" w:hAnsi="宋体"/>
          <w:b w:val="0"/>
          <w:sz w:val="21"/>
          <w:szCs w:val="21"/>
        </w:rPr>
        <w:tab/>
      </w:r>
      <w:r>
        <w:rPr>
          <w:rFonts w:ascii="宋体" w:hAnsi="宋体"/>
          <w:b w:val="0"/>
          <w:sz w:val="21"/>
          <w:szCs w:val="21"/>
        </w:rPr>
        <w:fldChar w:fldCharType="begin"/>
      </w:r>
      <w:r>
        <w:rPr>
          <w:rFonts w:ascii="宋体" w:hAnsi="宋体"/>
          <w:b w:val="0"/>
          <w:sz w:val="21"/>
          <w:szCs w:val="21"/>
        </w:rPr>
        <w:instrText xml:space="preserve"> PAGEREF _Toc6047134 \h </w:instrText>
      </w:r>
      <w:r>
        <w:rPr>
          <w:rFonts w:ascii="宋体" w:hAnsi="宋体"/>
          <w:b w:val="0"/>
          <w:sz w:val="21"/>
          <w:szCs w:val="21"/>
        </w:rPr>
        <w:fldChar w:fldCharType="separate"/>
      </w:r>
      <w:r>
        <w:rPr>
          <w:rFonts w:ascii="宋体" w:hAnsi="宋体"/>
          <w:b w:val="0"/>
          <w:sz w:val="21"/>
          <w:szCs w:val="21"/>
        </w:rPr>
        <w:t>32</w:t>
      </w:r>
      <w:r>
        <w:rPr>
          <w:rFonts w:ascii="宋体" w:hAnsi="宋体"/>
          <w:b w:val="0"/>
          <w:sz w:val="21"/>
          <w:szCs w:val="21"/>
        </w:rPr>
        <w:fldChar w:fldCharType="end"/>
      </w:r>
      <w:r>
        <w:rPr>
          <w:rFonts w:ascii="宋体" w:hAnsi="宋体"/>
          <w:b w:val="0"/>
          <w:sz w:val="21"/>
          <w:szCs w:val="21"/>
        </w:rPr>
        <w:fldChar w:fldCharType="end"/>
      </w:r>
    </w:p>
    <w:p>
      <w:pPr>
        <w:pStyle w:val="23"/>
        <w:tabs>
          <w:tab w:val="right" w:leader="dot" w:pos="9231"/>
        </w:tabs>
        <w:rPr>
          <w:rFonts w:ascii="宋体" w:hAnsi="宋体"/>
          <w:b w:val="0"/>
          <w:bCs w:val="0"/>
          <w:caps w:val="0"/>
          <w:sz w:val="21"/>
          <w:szCs w:val="21"/>
        </w:rPr>
      </w:pPr>
      <w:r>
        <w:fldChar w:fldCharType="begin"/>
      </w:r>
      <w:r>
        <w:instrText xml:space="preserve"> HYPERLINK \l "_Toc6047135" </w:instrText>
      </w:r>
      <w:r>
        <w:fldChar w:fldCharType="separate"/>
      </w:r>
      <w:r>
        <w:rPr>
          <w:rStyle w:val="39"/>
          <w:rFonts w:hint="eastAsia" w:ascii="宋体" w:hAnsi="宋体"/>
          <w:b w:val="0"/>
          <w:sz w:val="21"/>
          <w:szCs w:val="21"/>
        </w:rPr>
        <w:t>第四章</w:t>
      </w:r>
      <w:r>
        <w:rPr>
          <w:rStyle w:val="39"/>
          <w:rFonts w:ascii="宋体" w:hAnsi="宋体"/>
          <w:b w:val="0"/>
          <w:sz w:val="21"/>
          <w:szCs w:val="21"/>
        </w:rPr>
        <w:t xml:space="preserve"> </w:t>
      </w:r>
      <w:r>
        <w:rPr>
          <w:rStyle w:val="39"/>
          <w:rFonts w:hint="eastAsia" w:ascii="宋体" w:hAnsi="宋体"/>
          <w:b w:val="0"/>
          <w:sz w:val="21"/>
          <w:szCs w:val="21"/>
        </w:rPr>
        <w:t>评审原则和成交标准</w:t>
      </w:r>
      <w:r>
        <w:rPr>
          <w:rFonts w:ascii="宋体" w:hAnsi="宋体"/>
          <w:b w:val="0"/>
          <w:sz w:val="21"/>
          <w:szCs w:val="21"/>
        </w:rPr>
        <w:tab/>
      </w:r>
      <w:r>
        <w:rPr>
          <w:rFonts w:ascii="宋体" w:hAnsi="宋体"/>
          <w:b w:val="0"/>
          <w:sz w:val="21"/>
          <w:szCs w:val="21"/>
        </w:rPr>
        <w:fldChar w:fldCharType="begin"/>
      </w:r>
      <w:r>
        <w:rPr>
          <w:rFonts w:ascii="宋体" w:hAnsi="宋体"/>
          <w:b w:val="0"/>
          <w:sz w:val="21"/>
          <w:szCs w:val="21"/>
        </w:rPr>
        <w:instrText xml:space="preserve"> PAGEREF _Toc6047135 \h </w:instrText>
      </w:r>
      <w:r>
        <w:rPr>
          <w:rFonts w:ascii="宋体" w:hAnsi="宋体"/>
          <w:b w:val="0"/>
          <w:sz w:val="21"/>
          <w:szCs w:val="21"/>
        </w:rPr>
        <w:fldChar w:fldCharType="separate"/>
      </w:r>
      <w:r>
        <w:rPr>
          <w:rFonts w:ascii="宋体" w:hAnsi="宋体"/>
          <w:b w:val="0"/>
          <w:sz w:val="21"/>
          <w:szCs w:val="21"/>
        </w:rPr>
        <w:t>39</w:t>
      </w:r>
      <w:r>
        <w:rPr>
          <w:rFonts w:ascii="宋体" w:hAnsi="宋体"/>
          <w:b w:val="0"/>
          <w:sz w:val="21"/>
          <w:szCs w:val="21"/>
        </w:rPr>
        <w:fldChar w:fldCharType="end"/>
      </w:r>
      <w:r>
        <w:rPr>
          <w:rFonts w:ascii="宋体" w:hAnsi="宋体"/>
          <w:b w:val="0"/>
          <w:sz w:val="21"/>
          <w:szCs w:val="21"/>
        </w:rPr>
        <w:fldChar w:fldCharType="end"/>
      </w:r>
    </w:p>
    <w:p>
      <w:pPr>
        <w:pStyle w:val="23"/>
        <w:tabs>
          <w:tab w:val="right" w:leader="dot" w:pos="9231"/>
        </w:tabs>
        <w:rPr>
          <w:rFonts w:ascii="宋体" w:hAnsi="宋体"/>
          <w:b w:val="0"/>
          <w:bCs w:val="0"/>
          <w:caps w:val="0"/>
          <w:sz w:val="21"/>
          <w:szCs w:val="21"/>
        </w:rPr>
      </w:pPr>
      <w:r>
        <w:fldChar w:fldCharType="begin"/>
      </w:r>
      <w:r>
        <w:instrText xml:space="preserve"> HYPERLINK \l "_Toc6047136" </w:instrText>
      </w:r>
      <w:r>
        <w:fldChar w:fldCharType="separate"/>
      </w:r>
      <w:r>
        <w:rPr>
          <w:rStyle w:val="39"/>
          <w:rFonts w:hint="eastAsia" w:ascii="宋体" w:hAnsi="宋体"/>
          <w:b w:val="0"/>
          <w:sz w:val="21"/>
          <w:szCs w:val="21"/>
        </w:rPr>
        <w:t>第五章</w:t>
      </w:r>
      <w:r>
        <w:rPr>
          <w:rStyle w:val="39"/>
          <w:rFonts w:ascii="宋体" w:hAnsi="宋体"/>
          <w:b w:val="0"/>
          <w:sz w:val="21"/>
          <w:szCs w:val="21"/>
        </w:rPr>
        <w:t xml:space="preserve"> </w:t>
      </w:r>
      <w:r>
        <w:rPr>
          <w:rStyle w:val="39"/>
          <w:rFonts w:hint="eastAsia" w:ascii="宋体" w:hAnsi="宋体"/>
          <w:b w:val="0"/>
          <w:sz w:val="21"/>
          <w:szCs w:val="21"/>
        </w:rPr>
        <w:t>竞标文件（格式）</w:t>
      </w:r>
      <w:r>
        <w:rPr>
          <w:rFonts w:ascii="宋体" w:hAnsi="宋体"/>
          <w:b w:val="0"/>
          <w:sz w:val="21"/>
          <w:szCs w:val="21"/>
        </w:rPr>
        <w:tab/>
      </w:r>
      <w:r>
        <w:rPr>
          <w:rFonts w:ascii="宋体" w:hAnsi="宋体"/>
          <w:b w:val="0"/>
          <w:sz w:val="21"/>
          <w:szCs w:val="21"/>
        </w:rPr>
        <w:fldChar w:fldCharType="begin"/>
      </w:r>
      <w:r>
        <w:rPr>
          <w:rFonts w:ascii="宋体" w:hAnsi="宋体"/>
          <w:b w:val="0"/>
          <w:sz w:val="21"/>
          <w:szCs w:val="21"/>
        </w:rPr>
        <w:instrText xml:space="preserve"> PAGEREF _Toc6047136 \h </w:instrText>
      </w:r>
      <w:r>
        <w:rPr>
          <w:rFonts w:ascii="宋体" w:hAnsi="宋体"/>
          <w:b w:val="0"/>
          <w:sz w:val="21"/>
          <w:szCs w:val="21"/>
        </w:rPr>
        <w:fldChar w:fldCharType="separate"/>
      </w:r>
      <w:r>
        <w:rPr>
          <w:rFonts w:ascii="宋体" w:hAnsi="宋体"/>
          <w:b w:val="0"/>
          <w:sz w:val="21"/>
          <w:szCs w:val="21"/>
        </w:rPr>
        <w:t>42</w:t>
      </w:r>
      <w:r>
        <w:rPr>
          <w:rFonts w:ascii="宋体" w:hAnsi="宋体"/>
          <w:b w:val="0"/>
          <w:sz w:val="21"/>
          <w:szCs w:val="21"/>
        </w:rPr>
        <w:fldChar w:fldCharType="end"/>
      </w:r>
      <w:r>
        <w:rPr>
          <w:rFonts w:ascii="宋体" w:hAnsi="宋体"/>
          <w:b w:val="0"/>
          <w:sz w:val="21"/>
          <w:szCs w:val="21"/>
        </w:rPr>
        <w:fldChar w:fldCharType="end"/>
      </w:r>
    </w:p>
    <w:p>
      <w:pPr>
        <w:pStyle w:val="26"/>
        <w:tabs>
          <w:tab w:val="right" w:leader="dot" w:pos="9231"/>
        </w:tabs>
        <w:rPr>
          <w:rFonts w:ascii="宋体" w:hAnsi="宋体"/>
          <w:smallCaps w:val="0"/>
          <w:sz w:val="21"/>
          <w:szCs w:val="21"/>
        </w:rPr>
      </w:pPr>
      <w:r>
        <w:fldChar w:fldCharType="begin"/>
      </w:r>
      <w:r>
        <w:instrText xml:space="preserve"> HYPERLINK \l "_Toc6047137" </w:instrText>
      </w:r>
      <w:r>
        <w:fldChar w:fldCharType="separate"/>
      </w:r>
      <w:r>
        <w:rPr>
          <w:rStyle w:val="39"/>
          <w:rFonts w:hint="eastAsia" w:ascii="宋体" w:hAnsi="宋体"/>
          <w:sz w:val="21"/>
          <w:szCs w:val="21"/>
        </w:rPr>
        <w:t>一、竞</w:t>
      </w:r>
      <w:r>
        <w:rPr>
          <w:rStyle w:val="39"/>
          <w:rFonts w:ascii="宋体" w:hAnsi="宋体"/>
          <w:sz w:val="21"/>
          <w:szCs w:val="21"/>
        </w:rPr>
        <w:t xml:space="preserve"> </w:t>
      </w:r>
      <w:r>
        <w:rPr>
          <w:rStyle w:val="39"/>
          <w:rFonts w:hint="eastAsia" w:ascii="宋体" w:hAnsi="宋体"/>
          <w:sz w:val="21"/>
          <w:szCs w:val="21"/>
        </w:rPr>
        <w:t>标</w:t>
      </w:r>
      <w:r>
        <w:rPr>
          <w:rStyle w:val="39"/>
          <w:rFonts w:ascii="宋体" w:hAnsi="宋体"/>
          <w:sz w:val="21"/>
          <w:szCs w:val="21"/>
        </w:rPr>
        <w:t xml:space="preserve"> </w:t>
      </w:r>
      <w:r>
        <w:rPr>
          <w:rStyle w:val="39"/>
          <w:rFonts w:hint="eastAsia" w:ascii="宋体" w:hAnsi="宋体"/>
          <w:sz w:val="21"/>
          <w:szCs w:val="21"/>
        </w:rPr>
        <w:t>函（格</w:t>
      </w:r>
      <w:r>
        <w:rPr>
          <w:rStyle w:val="39"/>
          <w:rFonts w:ascii="宋体" w:hAnsi="宋体"/>
          <w:sz w:val="21"/>
          <w:szCs w:val="21"/>
        </w:rPr>
        <w:t xml:space="preserve"> </w:t>
      </w:r>
      <w:r>
        <w:rPr>
          <w:rStyle w:val="39"/>
          <w:rFonts w:hint="eastAsia" w:ascii="宋体" w:hAnsi="宋体"/>
          <w:sz w:val="21"/>
          <w:szCs w:val="21"/>
        </w:rPr>
        <w:t>式）</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_Toc6047137 \h </w:instrText>
      </w:r>
      <w:r>
        <w:rPr>
          <w:rFonts w:ascii="宋体" w:hAnsi="宋体"/>
          <w:sz w:val="21"/>
          <w:szCs w:val="21"/>
        </w:rPr>
        <w:fldChar w:fldCharType="separate"/>
      </w:r>
      <w:r>
        <w:rPr>
          <w:rFonts w:ascii="宋体" w:hAnsi="宋体"/>
          <w:sz w:val="21"/>
          <w:szCs w:val="21"/>
        </w:rPr>
        <w:t>44</w:t>
      </w:r>
      <w:r>
        <w:rPr>
          <w:rFonts w:ascii="宋体" w:hAnsi="宋体"/>
          <w:sz w:val="21"/>
          <w:szCs w:val="21"/>
        </w:rPr>
        <w:fldChar w:fldCharType="end"/>
      </w:r>
      <w:r>
        <w:rPr>
          <w:rFonts w:ascii="宋体" w:hAnsi="宋体"/>
          <w:sz w:val="21"/>
          <w:szCs w:val="21"/>
        </w:rPr>
        <w:fldChar w:fldCharType="end"/>
      </w:r>
    </w:p>
    <w:p>
      <w:pPr>
        <w:pStyle w:val="26"/>
        <w:tabs>
          <w:tab w:val="right" w:leader="dot" w:pos="9231"/>
        </w:tabs>
        <w:rPr>
          <w:rFonts w:ascii="宋体" w:hAnsi="宋体"/>
          <w:smallCaps w:val="0"/>
          <w:sz w:val="21"/>
          <w:szCs w:val="21"/>
        </w:rPr>
      </w:pPr>
      <w:r>
        <w:fldChar w:fldCharType="begin"/>
      </w:r>
      <w:r>
        <w:instrText xml:space="preserve"> HYPERLINK \l "_Toc6047138" </w:instrText>
      </w:r>
      <w:r>
        <w:fldChar w:fldCharType="separate"/>
      </w:r>
      <w:r>
        <w:rPr>
          <w:rStyle w:val="39"/>
          <w:rFonts w:hint="eastAsia" w:ascii="宋体" w:hAnsi="宋体"/>
          <w:sz w:val="21"/>
          <w:szCs w:val="21"/>
        </w:rPr>
        <w:t>二、谈判保证金缴纳证明</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_Toc6047138 \h </w:instrText>
      </w:r>
      <w:r>
        <w:rPr>
          <w:rFonts w:ascii="宋体" w:hAnsi="宋体"/>
          <w:sz w:val="21"/>
          <w:szCs w:val="21"/>
        </w:rPr>
        <w:fldChar w:fldCharType="separate"/>
      </w:r>
      <w:r>
        <w:rPr>
          <w:rFonts w:ascii="宋体" w:hAnsi="宋体"/>
          <w:sz w:val="21"/>
          <w:szCs w:val="21"/>
        </w:rPr>
        <w:t>46</w:t>
      </w:r>
      <w:r>
        <w:rPr>
          <w:rFonts w:ascii="宋体" w:hAnsi="宋体"/>
          <w:sz w:val="21"/>
          <w:szCs w:val="21"/>
        </w:rPr>
        <w:fldChar w:fldCharType="end"/>
      </w:r>
      <w:r>
        <w:rPr>
          <w:rFonts w:ascii="宋体" w:hAnsi="宋体"/>
          <w:sz w:val="21"/>
          <w:szCs w:val="21"/>
        </w:rPr>
        <w:fldChar w:fldCharType="end"/>
      </w:r>
    </w:p>
    <w:p>
      <w:pPr>
        <w:pStyle w:val="26"/>
        <w:tabs>
          <w:tab w:val="right" w:leader="dot" w:pos="9231"/>
        </w:tabs>
        <w:rPr>
          <w:rFonts w:ascii="宋体" w:hAnsi="宋体"/>
          <w:smallCaps w:val="0"/>
          <w:sz w:val="21"/>
          <w:szCs w:val="21"/>
        </w:rPr>
      </w:pPr>
      <w:r>
        <w:fldChar w:fldCharType="begin"/>
      </w:r>
      <w:r>
        <w:instrText xml:space="preserve"> HYPERLINK \l "_Toc6047139" </w:instrText>
      </w:r>
      <w:r>
        <w:fldChar w:fldCharType="separate"/>
      </w:r>
      <w:r>
        <w:rPr>
          <w:rStyle w:val="39"/>
          <w:rFonts w:hint="eastAsia" w:ascii="宋体" w:hAnsi="宋体"/>
          <w:sz w:val="21"/>
          <w:szCs w:val="21"/>
        </w:rPr>
        <w:t>三、竞标报价表（格式）</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_Toc6047139 \h </w:instrText>
      </w:r>
      <w:r>
        <w:rPr>
          <w:rFonts w:ascii="宋体" w:hAnsi="宋体"/>
          <w:sz w:val="21"/>
          <w:szCs w:val="21"/>
        </w:rPr>
        <w:fldChar w:fldCharType="separate"/>
      </w:r>
      <w:r>
        <w:rPr>
          <w:rFonts w:ascii="宋体" w:hAnsi="宋体"/>
          <w:sz w:val="21"/>
          <w:szCs w:val="21"/>
        </w:rPr>
        <w:t>47</w:t>
      </w:r>
      <w:r>
        <w:rPr>
          <w:rFonts w:ascii="宋体" w:hAnsi="宋体"/>
          <w:sz w:val="21"/>
          <w:szCs w:val="21"/>
        </w:rPr>
        <w:fldChar w:fldCharType="end"/>
      </w:r>
      <w:r>
        <w:rPr>
          <w:rFonts w:ascii="宋体" w:hAnsi="宋体"/>
          <w:sz w:val="21"/>
          <w:szCs w:val="21"/>
        </w:rPr>
        <w:fldChar w:fldCharType="end"/>
      </w:r>
    </w:p>
    <w:p>
      <w:pPr>
        <w:pStyle w:val="26"/>
        <w:tabs>
          <w:tab w:val="right" w:leader="dot" w:pos="9231"/>
        </w:tabs>
        <w:rPr>
          <w:rFonts w:ascii="宋体" w:hAnsi="宋体"/>
          <w:smallCaps w:val="0"/>
          <w:sz w:val="21"/>
          <w:szCs w:val="21"/>
        </w:rPr>
      </w:pPr>
      <w:r>
        <w:fldChar w:fldCharType="begin"/>
      </w:r>
      <w:r>
        <w:instrText xml:space="preserve"> HYPERLINK \l "_Toc6047140" </w:instrText>
      </w:r>
      <w:r>
        <w:fldChar w:fldCharType="separate"/>
      </w:r>
      <w:r>
        <w:rPr>
          <w:rStyle w:val="39"/>
          <w:rFonts w:hint="eastAsia" w:ascii="宋体" w:hAnsi="宋体"/>
          <w:sz w:val="21"/>
          <w:szCs w:val="21"/>
        </w:rPr>
        <w:t>四、技术规格偏离表（格式）</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_Toc6047140 \h </w:instrText>
      </w:r>
      <w:r>
        <w:rPr>
          <w:rFonts w:ascii="宋体" w:hAnsi="宋体"/>
          <w:sz w:val="21"/>
          <w:szCs w:val="21"/>
        </w:rPr>
        <w:fldChar w:fldCharType="separate"/>
      </w:r>
      <w:r>
        <w:rPr>
          <w:rFonts w:ascii="宋体" w:hAnsi="宋体"/>
          <w:sz w:val="21"/>
          <w:szCs w:val="21"/>
        </w:rPr>
        <w:t>48</w:t>
      </w:r>
      <w:r>
        <w:rPr>
          <w:rFonts w:ascii="宋体" w:hAnsi="宋体"/>
          <w:sz w:val="21"/>
          <w:szCs w:val="21"/>
        </w:rPr>
        <w:fldChar w:fldCharType="end"/>
      </w:r>
      <w:r>
        <w:rPr>
          <w:rFonts w:ascii="宋体" w:hAnsi="宋体"/>
          <w:sz w:val="21"/>
          <w:szCs w:val="21"/>
        </w:rPr>
        <w:fldChar w:fldCharType="end"/>
      </w:r>
    </w:p>
    <w:p>
      <w:pPr>
        <w:pStyle w:val="26"/>
        <w:tabs>
          <w:tab w:val="right" w:leader="dot" w:pos="9231"/>
        </w:tabs>
        <w:rPr>
          <w:rFonts w:ascii="宋体" w:hAnsi="宋体"/>
          <w:smallCaps w:val="0"/>
          <w:sz w:val="21"/>
          <w:szCs w:val="21"/>
        </w:rPr>
      </w:pPr>
      <w:r>
        <w:fldChar w:fldCharType="begin"/>
      </w:r>
      <w:r>
        <w:instrText xml:space="preserve"> HYPERLINK \l "_Toc6047141" </w:instrText>
      </w:r>
      <w:r>
        <w:fldChar w:fldCharType="separate"/>
      </w:r>
      <w:r>
        <w:rPr>
          <w:rStyle w:val="39"/>
          <w:rFonts w:hint="eastAsia" w:ascii="宋体" w:hAnsi="宋体"/>
          <w:sz w:val="21"/>
          <w:szCs w:val="21"/>
        </w:rPr>
        <w:t>五、售后服务承诺书（格式）</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_Toc6047141 \h </w:instrText>
      </w:r>
      <w:r>
        <w:rPr>
          <w:rFonts w:ascii="宋体" w:hAnsi="宋体"/>
          <w:sz w:val="21"/>
          <w:szCs w:val="21"/>
        </w:rPr>
        <w:fldChar w:fldCharType="separate"/>
      </w:r>
      <w:r>
        <w:rPr>
          <w:rFonts w:ascii="宋体" w:hAnsi="宋体"/>
          <w:sz w:val="21"/>
          <w:szCs w:val="21"/>
        </w:rPr>
        <w:t>49</w:t>
      </w:r>
      <w:r>
        <w:rPr>
          <w:rFonts w:ascii="宋体" w:hAnsi="宋体"/>
          <w:sz w:val="21"/>
          <w:szCs w:val="21"/>
        </w:rPr>
        <w:fldChar w:fldCharType="end"/>
      </w:r>
      <w:r>
        <w:rPr>
          <w:rFonts w:ascii="宋体" w:hAnsi="宋体"/>
          <w:sz w:val="21"/>
          <w:szCs w:val="21"/>
        </w:rPr>
        <w:fldChar w:fldCharType="end"/>
      </w:r>
    </w:p>
    <w:p>
      <w:pPr>
        <w:pStyle w:val="26"/>
        <w:tabs>
          <w:tab w:val="right" w:leader="dot" w:pos="9231"/>
        </w:tabs>
        <w:rPr>
          <w:rFonts w:ascii="宋体" w:hAnsi="宋体"/>
          <w:smallCaps w:val="0"/>
          <w:sz w:val="21"/>
          <w:szCs w:val="21"/>
        </w:rPr>
      </w:pPr>
      <w:r>
        <w:fldChar w:fldCharType="begin"/>
      </w:r>
      <w:r>
        <w:instrText xml:space="preserve"> HYPERLINK \l "_Toc6047142" </w:instrText>
      </w:r>
      <w:r>
        <w:fldChar w:fldCharType="separate"/>
      </w:r>
      <w:r>
        <w:rPr>
          <w:rStyle w:val="39"/>
          <w:rFonts w:hint="eastAsia" w:ascii="宋体" w:hAnsi="宋体"/>
          <w:sz w:val="21"/>
          <w:szCs w:val="21"/>
        </w:rPr>
        <w:t>六、资格证明文件（格式）</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_Toc6047142 \h </w:instrText>
      </w:r>
      <w:r>
        <w:rPr>
          <w:rFonts w:ascii="宋体" w:hAnsi="宋体"/>
          <w:sz w:val="21"/>
          <w:szCs w:val="21"/>
        </w:rPr>
        <w:fldChar w:fldCharType="separate"/>
      </w:r>
      <w:r>
        <w:rPr>
          <w:rFonts w:ascii="宋体" w:hAnsi="宋体"/>
          <w:sz w:val="21"/>
          <w:szCs w:val="21"/>
        </w:rPr>
        <w:t>50</w:t>
      </w:r>
      <w:r>
        <w:rPr>
          <w:rFonts w:ascii="宋体" w:hAnsi="宋体"/>
          <w:sz w:val="21"/>
          <w:szCs w:val="21"/>
        </w:rPr>
        <w:fldChar w:fldCharType="end"/>
      </w:r>
      <w:r>
        <w:rPr>
          <w:rFonts w:ascii="宋体" w:hAnsi="宋体"/>
          <w:sz w:val="21"/>
          <w:szCs w:val="21"/>
        </w:rPr>
        <w:fldChar w:fldCharType="end"/>
      </w:r>
    </w:p>
    <w:p>
      <w:pPr>
        <w:pStyle w:val="26"/>
        <w:tabs>
          <w:tab w:val="right" w:leader="dot" w:pos="9231"/>
        </w:tabs>
        <w:rPr>
          <w:rFonts w:ascii="宋体" w:hAnsi="宋体"/>
          <w:smallCaps w:val="0"/>
          <w:sz w:val="21"/>
          <w:szCs w:val="21"/>
        </w:rPr>
      </w:pPr>
      <w:r>
        <w:fldChar w:fldCharType="begin"/>
      </w:r>
      <w:r>
        <w:instrText xml:space="preserve"> HYPERLINK \l "_Toc6047143" </w:instrText>
      </w:r>
      <w:r>
        <w:fldChar w:fldCharType="separate"/>
      </w:r>
      <w:r>
        <w:rPr>
          <w:rStyle w:val="39"/>
          <w:rFonts w:hint="eastAsia" w:ascii="宋体" w:hAnsi="宋体"/>
          <w:sz w:val="21"/>
          <w:szCs w:val="21"/>
        </w:rPr>
        <w:t>七、货物合格和竞争性谈判文件规定的证明文件（格式）</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_Toc6047143 \h </w:instrText>
      </w:r>
      <w:r>
        <w:rPr>
          <w:rFonts w:ascii="宋体" w:hAnsi="宋体"/>
          <w:sz w:val="21"/>
          <w:szCs w:val="21"/>
        </w:rPr>
        <w:fldChar w:fldCharType="separate"/>
      </w:r>
      <w:r>
        <w:rPr>
          <w:rFonts w:ascii="宋体" w:hAnsi="宋体"/>
          <w:sz w:val="21"/>
          <w:szCs w:val="21"/>
        </w:rPr>
        <w:t>52</w:t>
      </w:r>
      <w:r>
        <w:rPr>
          <w:rFonts w:ascii="宋体" w:hAnsi="宋体"/>
          <w:sz w:val="21"/>
          <w:szCs w:val="21"/>
        </w:rPr>
        <w:fldChar w:fldCharType="end"/>
      </w:r>
      <w:r>
        <w:rPr>
          <w:rFonts w:ascii="宋体" w:hAnsi="宋体"/>
          <w:sz w:val="21"/>
          <w:szCs w:val="21"/>
        </w:rPr>
        <w:fldChar w:fldCharType="end"/>
      </w:r>
    </w:p>
    <w:p>
      <w:pPr>
        <w:pStyle w:val="26"/>
        <w:tabs>
          <w:tab w:val="right" w:leader="dot" w:pos="9231"/>
        </w:tabs>
        <w:rPr>
          <w:rFonts w:ascii="宋体" w:hAnsi="宋体"/>
          <w:smallCaps w:val="0"/>
          <w:sz w:val="21"/>
          <w:szCs w:val="21"/>
        </w:rPr>
      </w:pPr>
      <w:r>
        <w:fldChar w:fldCharType="begin"/>
      </w:r>
      <w:r>
        <w:instrText xml:space="preserve"> HYPERLINK \l "_Toc6047144" </w:instrText>
      </w:r>
      <w:r>
        <w:fldChar w:fldCharType="separate"/>
      </w:r>
      <w:r>
        <w:rPr>
          <w:rStyle w:val="39"/>
          <w:rFonts w:hint="eastAsia" w:ascii="宋体" w:hAnsi="宋体"/>
          <w:sz w:val="21"/>
          <w:szCs w:val="21"/>
        </w:rPr>
        <w:t>八、竞标人认为有必要提供的其它材料</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_Toc6047144 \h </w:instrText>
      </w:r>
      <w:r>
        <w:rPr>
          <w:rFonts w:ascii="宋体" w:hAnsi="宋体"/>
          <w:sz w:val="21"/>
          <w:szCs w:val="21"/>
        </w:rPr>
        <w:fldChar w:fldCharType="separate"/>
      </w:r>
      <w:r>
        <w:rPr>
          <w:rFonts w:ascii="宋体" w:hAnsi="宋体"/>
          <w:sz w:val="21"/>
          <w:szCs w:val="21"/>
        </w:rPr>
        <w:t>53</w:t>
      </w:r>
      <w:r>
        <w:rPr>
          <w:rFonts w:ascii="宋体" w:hAnsi="宋体"/>
          <w:sz w:val="21"/>
          <w:szCs w:val="21"/>
        </w:rPr>
        <w:fldChar w:fldCharType="end"/>
      </w:r>
      <w:r>
        <w:rPr>
          <w:rFonts w:ascii="宋体" w:hAnsi="宋体"/>
          <w:sz w:val="21"/>
          <w:szCs w:val="21"/>
        </w:rPr>
        <w:fldChar w:fldCharType="end"/>
      </w:r>
    </w:p>
    <w:p>
      <w:pPr>
        <w:snapToGrid w:val="0"/>
        <w:spacing w:line="260" w:lineRule="exact"/>
        <w:rPr>
          <w:rFonts w:ascii="宋体" w:hAnsi="宋体"/>
          <w:sz w:val="24"/>
          <w:szCs w:val="24"/>
        </w:rPr>
      </w:pPr>
      <w:r>
        <w:rPr>
          <w:rFonts w:ascii="宋体" w:hAnsi="宋体"/>
          <w:szCs w:val="21"/>
        </w:rPr>
        <w:fldChar w:fldCharType="end"/>
      </w:r>
    </w:p>
    <w:p>
      <w:pPr>
        <w:snapToGrid w:val="0"/>
        <w:spacing w:line="440" w:lineRule="exact"/>
        <w:jc w:val="center"/>
        <w:rPr>
          <w:rFonts w:ascii="宋体" w:hAnsi="宋体"/>
          <w:b/>
          <w:sz w:val="32"/>
          <w:szCs w:val="32"/>
        </w:rPr>
      </w:pPr>
    </w:p>
    <w:p>
      <w:pPr>
        <w:snapToGrid w:val="0"/>
        <w:spacing w:line="440" w:lineRule="exact"/>
        <w:jc w:val="center"/>
        <w:rPr>
          <w:rFonts w:ascii="宋体" w:hAnsi="宋体"/>
          <w:b/>
          <w:sz w:val="32"/>
          <w:szCs w:val="32"/>
        </w:rPr>
      </w:pPr>
    </w:p>
    <w:p>
      <w:pPr>
        <w:snapToGrid w:val="0"/>
        <w:spacing w:line="440" w:lineRule="exact"/>
        <w:jc w:val="center"/>
        <w:rPr>
          <w:rFonts w:ascii="宋体" w:hAnsi="宋体"/>
          <w:b/>
          <w:sz w:val="32"/>
          <w:szCs w:val="32"/>
        </w:rPr>
      </w:pPr>
    </w:p>
    <w:p>
      <w:pPr>
        <w:snapToGrid w:val="0"/>
        <w:spacing w:line="440" w:lineRule="exact"/>
        <w:jc w:val="center"/>
        <w:rPr>
          <w:rFonts w:ascii="宋体" w:hAnsi="宋体"/>
          <w:b/>
          <w:sz w:val="32"/>
          <w:szCs w:val="32"/>
        </w:rPr>
      </w:pPr>
    </w:p>
    <w:p>
      <w:pPr>
        <w:snapToGrid w:val="0"/>
        <w:spacing w:line="440" w:lineRule="exact"/>
        <w:jc w:val="center"/>
        <w:rPr>
          <w:rFonts w:ascii="宋体" w:hAnsi="宋体"/>
          <w:b/>
          <w:sz w:val="32"/>
          <w:szCs w:val="32"/>
        </w:rPr>
      </w:pPr>
    </w:p>
    <w:p>
      <w:pPr>
        <w:snapToGrid w:val="0"/>
        <w:spacing w:line="440" w:lineRule="exact"/>
        <w:jc w:val="center"/>
        <w:rPr>
          <w:rFonts w:ascii="宋体" w:hAnsi="宋体"/>
          <w:b/>
          <w:sz w:val="32"/>
          <w:szCs w:val="32"/>
        </w:rPr>
      </w:pPr>
    </w:p>
    <w:p>
      <w:pPr>
        <w:snapToGrid w:val="0"/>
        <w:spacing w:line="440" w:lineRule="exact"/>
        <w:jc w:val="center"/>
        <w:rPr>
          <w:rFonts w:ascii="宋体" w:hAnsi="宋体"/>
          <w:b/>
          <w:sz w:val="32"/>
          <w:szCs w:val="32"/>
        </w:rPr>
      </w:pPr>
    </w:p>
    <w:p>
      <w:pPr>
        <w:snapToGrid w:val="0"/>
        <w:spacing w:line="440" w:lineRule="exact"/>
        <w:jc w:val="center"/>
        <w:rPr>
          <w:rFonts w:ascii="宋体" w:hAnsi="宋体"/>
          <w:b/>
          <w:sz w:val="32"/>
          <w:szCs w:val="32"/>
        </w:rPr>
      </w:pPr>
    </w:p>
    <w:p>
      <w:pPr>
        <w:snapToGrid w:val="0"/>
        <w:spacing w:line="440" w:lineRule="exact"/>
        <w:jc w:val="center"/>
        <w:rPr>
          <w:rFonts w:ascii="宋体" w:hAnsi="宋体"/>
          <w:b/>
          <w:sz w:val="32"/>
          <w:szCs w:val="32"/>
        </w:rPr>
      </w:pPr>
    </w:p>
    <w:p>
      <w:pPr>
        <w:snapToGrid w:val="0"/>
        <w:spacing w:line="440" w:lineRule="exact"/>
        <w:jc w:val="center"/>
        <w:rPr>
          <w:rFonts w:ascii="宋体" w:hAnsi="宋体"/>
          <w:b/>
          <w:sz w:val="32"/>
          <w:szCs w:val="32"/>
        </w:rPr>
      </w:pPr>
    </w:p>
    <w:p>
      <w:pPr>
        <w:snapToGrid w:val="0"/>
        <w:spacing w:line="440" w:lineRule="exact"/>
        <w:jc w:val="center"/>
        <w:rPr>
          <w:rFonts w:ascii="宋体" w:hAnsi="宋体"/>
          <w:b/>
          <w:sz w:val="32"/>
          <w:szCs w:val="32"/>
        </w:rPr>
      </w:pPr>
    </w:p>
    <w:p>
      <w:pPr>
        <w:snapToGrid w:val="0"/>
        <w:spacing w:line="440" w:lineRule="exact"/>
        <w:jc w:val="center"/>
        <w:rPr>
          <w:rFonts w:ascii="宋体" w:hAnsi="宋体"/>
          <w:b/>
          <w:sz w:val="32"/>
          <w:szCs w:val="32"/>
        </w:rPr>
      </w:pPr>
    </w:p>
    <w:p>
      <w:pPr>
        <w:snapToGrid w:val="0"/>
        <w:spacing w:line="440" w:lineRule="exact"/>
        <w:jc w:val="center"/>
        <w:rPr>
          <w:rFonts w:ascii="宋体" w:hAnsi="宋体"/>
          <w:b/>
          <w:sz w:val="32"/>
          <w:szCs w:val="32"/>
        </w:rPr>
      </w:pPr>
    </w:p>
    <w:p>
      <w:pPr>
        <w:snapToGrid w:val="0"/>
        <w:spacing w:line="440" w:lineRule="exact"/>
        <w:jc w:val="center"/>
        <w:rPr>
          <w:rFonts w:ascii="宋体" w:hAnsi="宋体"/>
          <w:b/>
          <w:sz w:val="32"/>
          <w:szCs w:val="32"/>
        </w:rPr>
      </w:pPr>
    </w:p>
    <w:p>
      <w:pPr>
        <w:snapToGrid w:val="0"/>
        <w:spacing w:line="440" w:lineRule="exact"/>
        <w:jc w:val="center"/>
        <w:rPr>
          <w:rFonts w:ascii="宋体" w:hAnsi="宋体"/>
          <w:b/>
          <w:sz w:val="32"/>
          <w:szCs w:val="32"/>
        </w:rPr>
      </w:pPr>
    </w:p>
    <w:p>
      <w:pPr>
        <w:snapToGrid w:val="0"/>
        <w:spacing w:line="440" w:lineRule="exact"/>
        <w:jc w:val="center"/>
        <w:rPr>
          <w:rFonts w:ascii="宋体" w:hAnsi="宋体"/>
          <w:b/>
          <w:sz w:val="32"/>
          <w:szCs w:val="32"/>
        </w:rPr>
      </w:pPr>
    </w:p>
    <w:p>
      <w:pPr>
        <w:snapToGrid w:val="0"/>
        <w:spacing w:line="440" w:lineRule="exact"/>
        <w:jc w:val="center"/>
        <w:rPr>
          <w:rFonts w:ascii="宋体" w:hAnsi="宋体"/>
          <w:b/>
          <w:sz w:val="32"/>
          <w:szCs w:val="32"/>
        </w:rPr>
      </w:pPr>
    </w:p>
    <w:p>
      <w:pPr>
        <w:snapToGrid w:val="0"/>
        <w:spacing w:line="440" w:lineRule="exact"/>
        <w:rPr>
          <w:rFonts w:ascii="宋体" w:hAnsi="宋体"/>
          <w:b/>
          <w:sz w:val="32"/>
          <w:szCs w:val="32"/>
        </w:rPr>
      </w:pPr>
    </w:p>
    <w:p>
      <w:pPr>
        <w:snapToGrid w:val="0"/>
        <w:spacing w:line="440" w:lineRule="exact"/>
        <w:rPr>
          <w:rFonts w:ascii="宋体" w:hAnsi="宋体"/>
          <w:b/>
          <w:sz w:val="32"/>
          <w:szCs w:val="32"/>
        </w:rPr>
      </w:pPr>
    </w:p>
    <w:p>
      <w:pPr>
        <w:snapToGrid w:val="0"/>
        <w:spacing w:line="440" w:lineRule="exact"/>
        <w:rPr>
          <w:rFonts w:ascii="宋体" w:hAnsi="宋体"/>
          <w:b/>
          <w:sz w:val="32"/>
          <w:szCs w:val="32"/>
        </w:rPr>
      </w:pPr>
    </w:p>
    <w:p>
      <w:pPr>
        <w:snapToGrid w:val="0"/>
        <w:spacing w:line="440" w:lineRule="exact"/>
        <w:jc w:val="center"/>
        <w:rPr>
          <w:rFonts w:hint="eastAsia" w:ascii="宋体" w:hAnsi="宋体"/>
          <w:b/>
          <w:sz w:val="28"/>
          <w:szCs w:val="28"/>
        </w:rPr>
      </w:pPr>
      <w:bookmarkStart w:id="29" w:name="_Toc340341912"/>
      <w:r>
        <w:rPr>
          <w:rFonts w:hint="eastAsia" w:ascii="宋体" w:hAnsi="宋体"/>
          <w:b/>
          <w:sz w:val="28"/>
          <w:szCs w:val="28"/>
        </w:rPr>
        <w:t>广西元强建设项目管理有限公司应急救援装备采购</w:t>
      </w:r>
    </w:p>
    <w:p>
      <w:pPr>
        <w:snapToGrid w:val="0"/>
        <w:spacing w:line="440" w:lineRule="exact"/>
        <w:jc w:val="center"/>
        <w:rPr>
          <w:rFonts w:hint="eastAsia" w:ascii="宋体" w:hAnsi="宋体"/>
          <w:b/>
          <w:sz w:val="28"/>
          <w:szCs w:val="28"/>
        </w:rPr>
      </w:pPr>
      <w:r>
        <w:rPr>
          <w:rFonts w:hint="eastAsia" w:ascii="宋体" w:hAnsi="宋体"/>
          <w:b/>
          <w:sz w:val="28"/>
          <w:szCs w:val="28"/>
        </w:rPr>
        <w:t>（项目编号：</w:t>
      </w:r>
      <w:r>
        <w:rPr>
          <w:rFonts w:ascii="宋体" w:hAnsi="宋体"/>
          <w:b/>
          <w:sz w:val="28"/>
          <w:szCs w:val="28"/>
        </w:rPr>
        <w:t>BSZC2020-J1-210</w:t>
      </w:r>
      <w:r>
        <w:rPr>
          <w:rFonts w:hint="eastAsia" w:ascii="宋体" w:hAnsi="宋体"/>
          <w:b/>
          <w:sz w:val="28"/>
          <w:szCs w:val="28"/>
        </w:rPr>
        <w:t>366</w:t>
      </w:r>
      <w:r>
        <w:rPr>
          <w:rFonts w:ascii="宋体" w:hAnsi="宋体"/>
          <w:b/>
          <w:sz w:val="28"/>
          <w:szCs w:val="28"/>
        </w:rPr>
        <w:t>-GXYQ</w:t>
      </w:r>
      <w:r>
        <w:rPr>
          <w:rFonts w:hint="eastAsia" w:ascii="宋体" w:hAnsi="宋体"/>
          <w:b/>
          <w:sz w:val="28"/>
          <w:szCs w:val="28"/>
        </w:rPr>
        <w:t>）竞争性谈判公告</w:t>
      </w:r>
    </w:p>
    <w:p>
      <w:pPr>
        <w:pBdr>
          <w:top w:val="single" w:color="auto" w:sz="4" w:space="1"/>
          <w:left w:val="single" w:color="auto" w:sz="4" w:space="4"/>
          <w:bottom w:val="single" w:color="auto" w:sz="4" w:space="1"/>
          <w:right w:val="single" w:color="auto" w:sz="4" w:space="9"/>
        </w:pBdr>
        <w:rPr>
          <w:rFonts w:ascii="宋体" w:hAnsi="宋体"/>
          <w:sz w:val="24"/>
          <w:szCs w:val="24"/>
        </w:rPr>
      </w:pPr>
      <w:r>
        <w:rPr>
          <w:rFonts w:hint="eastAsia" w:ascii="宋体" w:hAnsi="宋体"/>
          <w:sz w:val="24"/>
          <w:szCs w:val="24"/>
        </w:rPr>
        <w:t>项目概况</w:t>
      </w:r>
    </w:p>
    <w:p>
      <w:pPr>
        <w:pBdr>
          <w:top w:val="single" w:color="auto" w:sz="4" w:space="1"/>
          <w:left w:val="single" w:color="auto" w:sz="4" w:space="4"/>
          <w:bottom w:val="single" w:color="auto" w:sz="4" w:space="1"/>
          <w:right w:val="single" w:color="auto" w:sz="4" w:space="9"/>
        </w:pBdr>
        <w:ind w:firstLine="480" w:firstLineChars="200"/>
        <w:rPr>
          <w:rFonts w:ascii="宋体" w:hAnsi="宋体"/>
          <w:sz w:val="24"/>
          <w:szCs w:val="24"/>
        </w:rPr>
      </w:pPr>
      <w:r>
        <w:rPr>
          <w:rFonts w:hint="eastAsia" w:ascii="宋体" w:hAnsi="宋体"/>
          <w:sz w:val="24"/>
          <w:szCs w:val="24"/>
          <w:u w:val="single"/>
        </w:rPr>
        <w:t>应急救援装备采购</w:t>
      </w:r>
      <w:r>
        <w:rPr>
          <w:rFonts w:hint="eastAsia" w:ascii="宋体" w:hAnsi="宋体"/>
          <w:sz w:val="24"/>
          <w:szCs w:val="24"/>
        </w:rPr>
        <w:t>项目的潜在供应商应在</w:t>
      </w:r>
      <w:r>
        <w:rPr>
          <w:rFonts w:hint="eastAsia" w:ascii="宋体" w:hAnsi="宋体"/>
          <w:sz w:val="24"/>
          <w:szCs w:val="24"/>
          <w:u w:val="single"/>
        </w:rPr>
        <w:t>广西元强建设项目管理有限公司（广西百色市龙景区新环球投资大厦左塔1926号）</w:t>
      </w:r>
      <w:r>
        <w:rPr>
          <w:rFonts w:hint="eastAsia" w:ascii="宋体" w:hAnsi="宋体"/>
          <w:sz w:val="24"/>
          <w:szCs w:val="24"/>
        </w:rPr>
        <w:t>获取竞争性谈判采购文件，并于</w:t>
      </w:r>
      <w:r>
        <w:rPr>
          <w:rFonts w:hint="eastAsia" w:ascii="宋体" w:hAnsi="宋体"/>
          <w:sz w:val="24"/>
          <w:szCs w:val="24"/>
          <w:u w:val="single"/>
        </w:rPr>
        <w:t>2020</w:t>
      </w:r>
      <w:r>
        <w:rPr>
          <w:rFonts w:hint="eastAsia" w:ascii="宋体" w:hAnsi="宋体"/>
          <w:bCs/>
          <w:sz w:val="24"/>
          <w:szCs w:val="24"/>
          <w:u w:val="single"/>
        </w:rPr>
        <w:t>年</w:t>
      </w:r>
      <w:r>
        <w:rPr>
          <w:rFonts w:hint="eastAsia" w:ascii="宋体" w:hAnsi="宋体"/>
          <w:bCs/>
          <w:sz w:val="24"/>
          <w:szCs w:val="24"/>
          <w:u w:val="single"/>
          <w:lang w:val="en-US" w:eastAsia="zh-CN"/>
        </w:rPr>
        <w:t>10</w:t>
      </w:r>
      <w:r>
        <w:rPr>
          <w:rFonts w:hint="eastAsia" w:ascii="宋体" w:hAnsi="宋体"/>
          <w:bCs/>
          <w:sz w:val="24"/>
          <w:szCs w:val="24"/>
          <w:u w:val="single"/>
        </w:rPr>
        <w:t>月</w:t>
      </w:r>
      <w:r>
        <w:rPr>
          <w:rFonts w:hint="eastAsia" w:ascii="宋体" w:hAnsi="宋体"/>
          <w:bCs/>
          <w:sz w:val="24"/>
          <w:szCs w:val="24"/>
          <w:u w:val="single"/>
          <w:lang w:val="en-US" w:eastAsia="zh-CN"/>
        </w:rPr>
        <w:t>23</w:t>
      </w:r>
      <w:r>
        <w:rPr>
          <w:rFonts w:hint="eastAsia" w:ascii="宋体" w:hAnsi="宋体"/>
          <w:bCs/>
          <w:sz w:val="24"/>
          <w:szCs w:val="24"/>
          <w:u w:val="single"/>
        </w:rPr>
        <w:t>日</w:t>
      </w:r>
      <w:r>
        <w:rPr>
          <w:rFonts w:hint="eastAsia" w:ascii="宋体" w:hAnsi="宋体"/>
          <w:bCs/>
          <w:sz w:val="24"/>
          <w:szCs w:val="24"/>
          <w:u w:val="single"/>
          <w:lang w:val="en-US" w:eastAsia="zh-CN"/>
        </w:rPr>
        <w:t>15</w:t>
      </w:r>
      <w:r>
        <w:rPr>
          <w:rFonts w:hint="eastAsia" w:ascii="宋体" w:hAnsi="宋体"/>
          <w:bCs/>
          <w:sz w:val="24"/>
          <w:szCs w:val="24"/>
          <w:u w:val="single"/>
        </w:rPr>
        <w:t>点</w:t>
      </w:r>
      <w:r>
        <w:rPr>
          <w:rFonts w:hint="eastAsia" w:ascii="宋体" w:hAnsi="宋体"/>
          <w:bCs/>
          <w:sz w:val="24"/>
          <w:szCs w:val="24"/>
          <w:u w:val="single"/>
          <w:lang w:val="en-US" w:eastAsia="zh-CN"/>
        </w:rPr>
        <w:t>50</w:t>
      </w:r>
      <w:r>
        <w:rPr>
          <w:rFonts w:hint="eastAsia" w:ascii="宋体" w:hAnsi="宋体"/>
          <w:bCs/>
          <w:sz w:val="24"/>
          <w:szCs w:val="24"/>
          <w:u w:val="single"/>
        </w:rPr>
        <w:t>分</w:t>
      </w:r>
      <w:r>
        <w:rPr>
          <w:rFonts w:hint="eastAsia" w:ascii="宋体" w:hAnsi="宋体"/>
          <w:bCs/>
          <w:sz w:val="24"/>
          <w:szCs w:val="24"/>
        </w:rPr>
        <w:t>（北京时间）前提交竞标文件</w:t>
      </w:r>
      <w:r>
        <w:rPr>
          <w:rFonts w:hint="eastAsia" w:ascii="宋体" w:hAnsi="宋体"/>
          <w:sz w:val="24"/>
          <w:szCs w:val="24"/>
        </w:rPr>
        <w:t>。</w:t>
      </w:r>
    </w:p>
    <w:p>
      <w:pPr>
        <w:tabs>
          <w:tab w:val="left" w:pos="8280"/>
        </w:tabs>
        <w:spacing w:line="320" w:lineRule="exact"/>
        <w:ind w:left="482"/>
        <w:rPr>
          <w:rFonts w:ascii="宋体" w:hAnsi="宋体"/>
          <w:b/>
          <w:sz w:val="24"/>
          <w:szCs w:val="24"/>
        </w:rPr>
      </w:pPr>
      <w:r>
        <w:rPr>
          <w:rFonts w:hint="eastAsia" w:ascii="宋体" w:hAnsi="宋体"/>
          <w:b/>
          <w:kern w:val="0"/>
          <w:sz w:val="24"/>
          <w:szCs w:val="24"/>
        </w:rPr>
        <w:t>一、</w:t>
      </w:r>
      <w:r>
        <w:rPr>
          <w:rFonts w:hint="eastAsia" w:ascii="宋体" w:hAnsi="宋体"/>
          <w:b/>
          <w:sz w:val="24"/>
          <w:szCs w:val="24"/>
        </w:rPr>
        <w:t>项目基本情况</w:t>
      </w:r>
    </w:p>
    <w:p>
      <w:pPr>
        <w:tabs>
          <w:tab w:val="left" w:pos="8280"/>
        </w:tabs>
        <w:spacing w:line="320" w:lineRule="exact"/>
        <w:ind w:firstLine="950" w:firstLineChars="396"/>
        <w:rPr>
          <w:rFonts w:ascii="宋体" w:hAnsi="宋体"/>
          <w:color w:val="000000"/>
          <w:sz w:val="24"/>
          <w:szCs w:val="24"/>
        </w:rPr>
      </w:pPr>
      <w:r>
        <w:rPr>
          <w:rFonts w:hint="eastAsia" w:ascii="宋体" w:hAnsi="宋体"/>
          <w:color w:val="000000"/>
          <w:sz w:val="24"/>
          <w:szCs w:val="24"/>
        </w:rPr>
        <w:t>项目编号：</w:t>
      </w:r>
      <w:r>
        <w:rPr>
          <w:rFonts w:ascii="宋体" w:hAnsi="宋体"/>
          <w:color w:val="000000"/>
          <w:sz w:val="24"/>
          <w:szCs w:val="24"/>
        </w:rPr>
        <w:t>BSZC2020-J1-2</w:t>
      </w:r>
      <w:r>
        <w:rPr>
          <w:rFonts w:hint="eastAsia" w:ascii="宋体" w:hAnsi="宋体"/>
          <w:color w:val="000000"/>
          <w:sz w:val="24"/>
          <w:szCs w:val="24"/>
        </w:rPr>
        <w:t>10366</w:t>
      </w:r>
      <w:r>
        <w:rPr>
          <w:rFonts w:ascii="宋体" w:hAnsi="宋体"/>
          <w:color w:val="000000"/>
          <w:sz w:val="24"/>
          <w:szCs w:val="24"/>
        </w:rPr>
        <w:t>-GXYQ</w:t>
      </w:r>
      <w:r>
        <w:rPr>
          <w:rFonts w:hint="eastAsia" w:ascii="宋体" w:hAnsi="宋体"/>
          <w:color w:val="000000"/>
          <w:sz w:val="24"/>
          <w:szCs w:val="24"/>
        </w:rPr>
        <w:t>；</w:t>
      </w:r>
    </w:p>
    <w:p>
      <w:pPr>
        <w:tabs>
          <w:tab w:val="left" w:pos="8280"/>
        </w:tabs>
        <w:spacing w:line="320" w:lineRule="exact"/>
        <w:ind w:firstLine="950" w:firstLineChars="396"/>
        <w:rPr>
          <w:rFonts w:ascii="宋体" w:hAnsi="宋体"/>
          <w:bCs/>
          <w:color w:val="000000"/>
          <w:sz w:val="24"/>
          <w:szCs w:val="24"/>
        </w:rPr>
      </w:pPr>
      <w:r>
        <w:rPr>
          <w:rFonts w:hint="eastAsia" w:ascii="宋体" w:hAnsi="宋体"/>
          <w:bCs/>
          <w:color w:val="000000"/>
          <w:sz w:val="24"/>
          <w:szCs w:val="24"/>
        </w:rPr>
        <w:t>项目名称：应急救援装备采购；</w:t>
      </w:r>
    </w:p>
    <w:p>
      <w:pPr>
        <w:tabs>
          <w:tab w:val="left" w:pos="8280"/>
        </w:tabs>
        <w:spacing w:line="320" w:lineRule="exact"/>
        <w:ind w:firstLine="950" w:firstLineChars="396"/>
        <w:rPr>
          <w:rFonts w:ascii="宋体" w:hAnsi="宋体"/>
          <w:color w:val="000000"/>
          <w:sz w:val="24"/>
          <w:szCs w:val="24"/>
        </w:rPr>
      </w:pPr>
      <w:r>
        <w:rPr>
          <w:rFonts w:hint="eastAsia" w:ascii="宋体" w:hAnsi="宋体"/>
          <w:bCs/>
          <w:color w:val="000000"/>
          <w:sz w:val="24"/>
          <w:szCs w:val="24"/>
        </w:rPr>
        <w:t>采购方式：</w:t>
      </w:r>
      <w:r>
        <w:rPr>
          <w:rFonts w:hint="eastAsia" w:ascii="宋体" w:hAnsi="宋体"/>
          <w:color w:val="000000"/>
          <w:sz w:val="24"/>
          <w:szCs w:val="24"/>
        </w:rPr>
        <w:t>竞争性谈判</w:t>
      </w:r>
    </w:p>
    <w:p>
      <w:pPr>
        <w:tabs>
          <w:tab w:val="left" w:pos="8280"/>
        </w:tabs>
        <w:spacing w:line="320" w:lineRule="exact"/>
        <w:ind w:firstLine="950" w:firstLineChars="396"/>
        <w:rPr>
          <w:rFonts w:ascii="宋体" w:hAnsi="宋体"/>
          <w:color w:val="000000"/>
          <w:sz w:val="24"/>
          <w:szCs w:val="24"/>
        </w:rPr>
      </w:pPr>
      <w:r>
        <w:rPr>
          <w:rFonts w:hint="eastAsia" w:ascii="宋体" w:hAnsi="宋体"/>
          <w:color w:val="000000"/>
          <w:sz w:val="24"/>
          <w:szCs w:val="24"/>
        </w:rPr>
        <w:t>A标段：</w:t>
      </w:r>
    </w:p>
    <w:p>
      <w:pPr>
        <w:tabs>
          <w:tab w:val="left" w:pos="8280"/>
        </w:tabs>
        <w:autoSpaceDE w:val="0"/>
        <w:autoSpaceDN w:val="0"/>
        <w:adjustRightInd w:val="0"/>
        <w:snapToGrid w:val="0"/>
        <w:spacing w:line="320" w:lineRule="exact"/>
        <w:ind w:firstLine="950" w:firstLineChars="396"/>
        <w:jc w:val="left"/>
        <w:rPr>
          <w:rFonts w:ascii="宋体" w:hAnsi="宋体"/>
          <w:bCs/>
          <w:color w:val="000000"/>
          <w:sz w:val="24"/>
          <w:szCs w:val="24"/>
        </w:rPr>
      </w:pPr>
      <w:r>
        <w:rPr>
          <w:rFonts w:hint="eastAsia" w:ascii="宋体" w:hAnsi="宋体"/>
          <w:bCs/>
          <w:color w:val="000000"/>
          <w:sz w:val="24"/>
          <w:szCs w:val="24"/>
        </w:rPr>
        <w:t>采购预算金额（人民币）：68.7万元；</w:t>
      </w:r>
    </w:p>
    <w:p>
      <w:pPr>
        <w:tabs>
          <w:tab w:val="left" w:pos="8280"/>
        </w:tabs>
        <w:autoSpaceDE w:val="0"/>
        <w:autoSpaceDN w:val="0"/>
        <w:adjustRightInd w:val="0"/>
        <w:snapToGrid w:val="0"/>
        <w:spacing w:line="320" w:lineRule="exact"/>
        <w:ind w:firstLine="950" w:firstLineChars="396"/>
        <w:jc w:val="left"/>
        <w:rPr>
          <w:rFonts w:ascii="宋体" w:hAnsi="宋体"/>
          <w:bCs/>
          <w:color w:val="000000"/>
          <w:sz w:val="24"/>
          <w:szCs w:val="24"/>
        </w:rPr>
      </w:pPr>
      <w:r>
        <w:rPr>
          <w:rFonts w:hint="eastAsia" w:ascii="宋体" w:hAnsi="宋体"/>
          <w:bCs/>
          <w:color w:val="000000"/>
          <w:sz w:val="24"/>
          <w:szCs w:val="24"/>
        </w:rPr>
        <w:t>最高限价（人民币）：68.7万元；</w:t>
      </w:r>
    </w:p>
    <w:p>
      <w:pPr>
        <w:tabs>
          <w:tab w:val="left" w:pos="8280"/>
        </w:tabs>
        <w:autoSpaceDE w:val="0"/>
        <w:autoSpaceDN w:val="0"/>
        <w:adjustRightInd w:val="0"/>
        <w:snapToGrid w:val="0"/>
        <w:spacing w:line="320" w:lineRule="exact"/>
        <w:ind w:firstLine="950" w:firstLineChars="396"/>
        <w:jc w:val="left"/>
        <w:rPr>
          <w:rFonts w:ascii="宋体" w:hAnsi="宋体"/>
          <w:bCs/>
          <w:color w:val="000000"/>
          <w:sz w:val="24"/>
          <w:szCs w:val="24"/>
        </w:rPr>
      </w:pPr>
      <w:r>
        <w:rPr>
          <w:rFonts w:hint="eastAsia" w:ascii="宋体" w:hAnsi="宋体"/>
          <w:bCs/>
          <w:color w:val="000000"/>
          <w:sz w:val="24"/>
          <w:szCs w:val="24"/>
        </w:rPr>
        <w:t>采购需求：</w:t>
      </w:r>
    </w:p>
    <w:tbl>
      <w:tblPr>
        <w:tblStyle w:val="34"/>
        <w:tblW w:w="7230" w:type="dxa"/>
        <w:tblInd w:w="1146" w:type="dxa"/>
        <w:tblLayout w:type="autofit"/>
        <w:tblCellMar>
          <w:top w:w="0" w:type="dxa"/>
          <w:left w:w="0" w:type="dxa"/>
          <w:bottom w:w="0" w:type="dxa"/>
          <w:right w:w="0" w:type="dxa"/>
        </w:tblCellMar>
      </w:tblPr>
      <w:tblGrid>
        <w:gridCol w:w="567"/>
        <w:gridCol w:w="2694"/>
        <w:gridCol w:w="708"/>
        <w:gridCol w:w="3261"/>
      </w:tblGrid>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序号</w:t>
            </w:r>
          </w:p>
        </w:tc>
        <w:tc>
          <w:tcPr>
            <w:tcW w:w="2694"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hint="eastAsia" w:ascii="宋体" w:hAnsi="宋体" w:cs="仿宋_GB2312"/>
                <w:color w:val="000000"/>
                <w:kern w:val="0"/>
                <w:szCs w:val="21"/>
              </w:rPr>
              <w:t>项目</w:t>
            </w:r>
            <w:r>
              <w:rPr>
                <w:rFonts w:ascii="宋体" w:hAnsi="宋体" w:cs="仿宋_GB2312"/>
                <w:color w:val="000000"/>
                <w:kern w:val="0"/>
                <w:szCs w:val="21"/>
              </w:rPr>
              <w:t>名称</w:t>
            </w:r>
          </w:p>
        </w:tc>
        <w:tc>
          <w:tcPr>
            <w:tcW w:w="708"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数量</w:t>
            </w:r>
          </w:p>
        </w:tc>
        <w:tc>
          <w:tcPr>
            <w:tcW w:w="3261"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hint="eastAsia" w:ascii="宋体" w:hAnsi="宋体" w:cs="仿宋_GB2312"/>
                <w:color w:val="000000"/>
                <w:szCs w:val="21"/>
              </w:rPr>
              <w:t>简要规格描述或项目基本概况介绍</w:t>
            </w: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无人机行业版（动态变焦）</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1架</w:t>
            </w:r>
          </w:p>
        </w:tc>
        <w:tc>
          <w:tcPr>
            <w:tcW w:w="3261" w:type="dxa"/>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jc w:val="center"/>
              <w:rPr>
                <w:rFonts w:ascii="宋体" w:hAnsi="宋体" w:cs="仿宋_GB2312"/>
                <w:color w:val="000000"/>
                <w:szCs w:val="21"/>
              </w:rPr>
            </w:pPr>
            <w:r>
              <w:rPr>
                <w:rFonts w:hint="eastAsia" w:ascii="宋体" w:hAnsi="宋体" w:cs="仿宋_GB2312"/>
                <w:color w:val="000000"/>
                <w:szCs w:val="21"/>
              </w:rPr>
              <w:t>质量：符合中华人民共和国标准。</w:t>
            </w: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2</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无人机行业版智能电池</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2块</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rPr>
                <w:rFonts w:ascii="宋体" w:hAnsi="宋体" w:cs="仿宋_GB2312"/>
                <w:color w:val="000000"/>
                <w:szCs w:val="21"/>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3</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钢筋速断器</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2套</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rPr>
                <w:rFonts w:ascii="宋体" w:hAnsi="宋体" w:cs="仿宋_GB2312"/>
                <w:color w:val="000000"/>
                <w:szCs w:val="21"/>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4</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无齿锯切割机</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2个</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rPr>
                <w:rFonts w:ascii="宋体" w:hAnsi="宋体" w:cs="仿宋_GB2312"/>
                <w:color w:val="000000"/>
                <w:szCs w:val="21"/>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5</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双轮异向切割锯</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2个</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rPr>
                <w:rFonts w:ascii="宋体" w:hAnsi="宋体" w:cs="仿宋_GB2312"/>
                <w:color w:val="000000"/>
                <w:szCs w:val="21"/>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6</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红外线生命探测仪</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4套</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rPr>
                <w:rFonts w:ascii="宋体" w:hAnsi="宋体" w:cs="仿宋_GB2312"/>
                <w:color w:val="000000"/>
                <w:szCs w:val="21"/>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7</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红外热像仪</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2台</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rPr>
                <w:rFonts w:ascii="宋体" w:hAnsi="宋体" w:cs="仿宋_GB2312"/>
                <w:color w:val="000000"/>
                <w:szCs w:val="21"/>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8</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液压千斤顶</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4台</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rPr>
                <w:rFonts w:ascii="宋体" w:hAnsi="宋体" w:cs="仿宋_GB2312"/>
                <w:color w:val="000000"/>
                <w:szCs w:val="21"/>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9</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逃生自救呼吸器</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200个</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rPr>
                <w:rFonts w:ascii="宋体" w:hAnsi="宋体" w:cs="仿宋_GB2312"/>
                <w:color w:val="000000"/>
                <w:szCs w:val="21"/>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10</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正压式呼吸器</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5套</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rPr>
                <w:rFonts w:ascii="宋体" w:hAnsi="宋体" w:cs="仿宋_GB2312"/>
                <w:color w:val="000000"/>
                <w:szCs w:val="21"/>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11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激光测距仪</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2个</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rPr>
                <w:rFonts w:ascii="宋体" w:hAnsi="宋体" w:cs="仿宋_GB2312"/>
                <w:color w:val="000000"/>
                <w:szCs w:val="21"/>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12</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四合一气体探测仪</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2个</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rPr>
                <w:rFonts w:ascii="宋体" w:hAnsi="宋体" w:cs="仿宋_GB2312"/>
                <w:color w:val="000000"/>
                <w:szCs w:val="21"/>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13</w:t>
            </w:r>
          </w:p>
        </w:tc>
        <w:tc>
          <w:tcPr>
            <w:tcW w:w="26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移动发电机工作灯组</w:t>
            </w:r>
          </w:p>
        </w:tc>
        <w:tc>
          <w:tcPr>
            <w:tcW w:w="70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4台</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jc w:val="center"/>
              <w:rPr>
                <w:rFonts w:ascii="宋体" w:hAnsi="宋体" w:cs="仿宋_GB2312"/>
                <w:color w:val="000000"/>
                <w:szCs w:val="21"/>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14</w:t>
            </w:r>
          </w:p>
        </w:tc>
        <w:tc>
          <w:tcPr>
            <w:tcW w:w="26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移动升降照明灯</w:t>
            </w:r>
          </w:p>
        </w:tc>
        <w:tc>
          <w:tcPr>
            <w:tcW w:w="70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20</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jc w:val="center"/>
              <w:rPr>
                <w:rFonts w:ascii="宋体" w:hAnsi="宋体" w:cs="仿宋_GB2312"/>
                <w:color w:val="000000"/>
                <w:szCs w:val="21"/>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15</w:t>
            </w:r>
          </w:p>
        </w:tc>
        <w:tc>
          <w:tcPr>
            <w:tcW w:w="26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头戴射灯</w:t>
            </w:r>
          </w:p>
        </w:tc>
        <w:tc>
          <w:tcPr>
            <w:tcW w:w="70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100个</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jc w:val="center"/>
              <w:rPr>
                <w:rFonts w:ascii="宋体" w:hAnsi="宋体" w:cs="仿宋_GB2312"/>
                <w:color w:val="000000"/>
                <w:szCs w:val="21"/>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16</w:t>
            </w:r>
          </w:p>
        </w:tc>
        <w:tc>
          <w:tcPr>
            <w:tcW w:w="26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手提式探照灯</w:t>
            </w:r>
          </w:p>
        </w:tc>
        <w:tc>
          <w:tcPr>
            <w:tcW w:w="70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100个</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jc w:val="center"/>
              <w:rPr>
                <w:rFonts w:ascii="宋体" w:hAnsi="宋体" w:cs="仿宋_GB2312"/>
                <w:color w:val="000000"/>
                <w:szCs w:val="21"/>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17</w:t>
            </w:r>
          </w:p>
        </w:tc>
        <w:tc>
          <w:tcPr>
            <w:tcW w:w="26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对讲机</w:t>
            </w:r>
          </w:p>
        </w:tc>
        <w:tc>
          <w:tcPr>
            <w:tcW w:w="70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80个</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jc w:val="center"/>
              <w:rPr>
                <w:rFonts w:ascii="宋体" w:hAnsi="宋体" w:cs="仿宋_GB2312"/>
                <w:color w:val="000000"/>
                <w:szCs w:val="21"/>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18</w:t>
            </w:r>
          </w:p>
        </w:tc>
        <w:tc>
          <w:tcPr>
            <w:tcW w:w="26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手持喊话器</w:t>
            </w:r>
          </w:p>
        </w:tc>
        <w:tc>
          <w:tcPr>
            <w:tcW w:w="70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20个</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jc w:val="center"/>
              <w:rPr>
                <w:rFonts w:ascii="宋体" w:hAnsi="宋体" w:cs="仿宋_GB2312"/>
                <w:color w:val="000000"/>
                <w:szCs w:val="21"/>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19</w:t>
            </w:r>
          </w:p>
        </w:tc>
        <w:tc>
          <w:tcPr>
            <w:tcW w:w="26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手提扩音器</w:t>
            </w:r>
          </w:p>
        </w:tc>
        <w:tc>
          <w:tcPr>
            <w:tcW w:w="70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20个</w:t>
            </w:r>
          </w:p>
        </w:tc>
        <w:tc>
          <w:tcPr>
            <w:tcW w:w="3261" w:type="dxa"/>
            <w:vMerge w:val="continue"/>
            <w:tcBorders>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仿宋_GB2312"/>
                <w:color w:val="000000"/>
                <w:szCs w:val="21"/>
              </w:rPr>
            </w:pPr>
          </w:p>
        </w:tc>
      </w:tr>
    </w:tbl>
    <w:p>
      <w:pPr>
        <w:tabs>
          <w:tab w:val="left" w:pos="8280"/>
        </w:tabs>
        <w:autoSpaceDE w:val="0"/>
        <w:autoSpaceDN w:val="0"/>
        <w:adjustRightInd w:val="0"/>
        <w:snapToGrid w:val="0"/>
        <w:spacing w:line="320" w:lineRule="exact"/>
        <w:ind w:firstLine="960" w:firstLineChars="400"/>
        <w:jc w:val="left"/>
        <w:rPr>
          <w:rFonts w:ascii="宋体" w:hAnsi="宋体"/>
          <w:bCs/>
          <w:color w:val="000000"/>
          <w:sz w:val="24"/>
          <w:szCs w:val="24"/>
        </w:rPr>
      </w:pPr>
      <w:r>
        <w:rPr>
          <w:rFonts w:hint="eastAsia" w:ascii="宋体" w:hAnsi="宋体"/>
          <w:bCs/>
          <w:color w:val="000000"/>
          <w:sz w:val="24"/>
          <w:szCs w:val="24"/>
        </w:rPr>
        <w:t>合同履行期限：</w:t>
      </w:r>
      <w:r>
        <w:rPr>
          <w:rFonts w:hint="eastAsia" w:ascii="宋体" w:hAnsi="宋体" w:cs="宋体"/>
          <w:color w:val="000000"/>
          <w:kern w:val="0"/>
          <w:sz w:val="24"/>
          <w:szCs w:val="24"/>
        </w:rPr>
        <w:t>自签订合同之日起15天内供货完毕并交付正常使用</w:t>
      </w:r>
      <w:r>
        <w:rPr>
          <w:rFonts w:hint="eastAsia" w:ascii="宋体" w:hAnsi="宋体"/>
          <w:bCs/>
          <w:color w:val="000000"/>
          <w:sz w:val="24"/>
          <w:szCs w:val="24"/>
        </w:rPr>
        <w:t>。</w:t>
      </w:r>
    </w:p>
    <w:p>
      <w:pPr>
        <w:tabs>
          <w:tab w:val="left" w:pos="8280"/>
        </w:tabs>
        <w:autoSpaceDE w:val="0"/>
        <w:autoSpaceDN w:val="0"/>
        <w:adjustRightInd w:val="0"/>
        <w:snapToGrid w:val="0"/>
        <w:spacing w:line="320" w:lineRule="exact"/>
        <w:ind w:firstLine="960" w:firstLineChars="400"/>
        <w:jc w:val="left"/>
        <w:rPr>
          <w:rFonts w:ascii="宋体" w:hAnsi="宋体"/>
          <w:bCs/>
          <w:color w:val="000000"/>
          <w:sz w:val="24"/>
          <w:szCs w:val="24"/>
        </w:rPr>
      </w:pPr>
      <w:r>
        <w:rPr>
          <w:rFonts w:hint="eastAsia" w:ascii="宋体" w:hAnsi="宋体"/>
          <w:bCs/>
          <w:color w:val="000000"/>
          <w:sz w:val="24"/>
          <w:szCs w:val="24"/>
        </w:rPr>
        <w:t>本项目不接受接受联合体。</w:t>
      </w:r>
    </w:p>
    <w:p>
      <w:pPr>
        <w:tabs>
          <w:tab w:val="left" w:pos="8280"/>
        </w:tabs>
        <w:spacing w:line="320" w:lineRule="exact"/>
        <w:ind w:firstLine="950" w:firstLineChars="396"/>
        <w:rPr>
          <w:rFonts w:ascii="宋体" w:hAnsi="宋体"/>
          <w:color w:val="000000"/>
          <w:sz w:val="24"/>
          <w:szCs w:val="24"/>
        </w:rPr>
      </w:pPr>
      <w:r>
        <w:rPr>
          <w:rFonts w:hint="eastAsia" w:ascii="宋体" w:hAnsi="宋体"/>
          <w:color w:val="000000"/>
          <w:sz w:val="24"/>
          <w:szCs w:val="24"/>
        </w:rPr>
        <w:t>B标段：</w:t>
      </w:r>
    </w:p>
    <w:p>
      <w:pPr>
        <w:tabs>
          <w:tab w:val="left" w:pos="8280"/>
        </w:tabs>
        <w:autoSpaceDE w:val="0"/>
        <w:autoSpaceDN w:val="0"/>
        <w:adjustRightInd w:val="0"/>
        <w:snapToGrid w:val="0"/>
        <w:spacing w:line="320" w:lineRule="exact"/>
        <w:ind w:firstLine="950" w:firstLineChars="396"/>
        <w:jc w:val="left"/>
        <w:rPr>
          <w:rFonts w:ascii="宋体" w:hAnsi="宋体"/>
          <w:bCs/>
          <w:color w:val="000000"/>
          <w:sz w:val="24"/>
          <w:szCs w:val="24"/>
        </w:rPr>
      </w:pPr>
      <w:r>
        <w:rPr>
          <w:rFonts w:hint="eastAsia" w:ascii="宋体" w:hAnsi="宋体"/>
          <w:bCs/>
          <w:color w:val="000000"/>
          <w:sz w:val="24"/>
          <w:szCs w:val="24"/>
        </w:rPr>
        <w:t>采购预算金额（人民币）：47.8万元；</w:t>
      </w:r>
    </w:p>
    <w:p>
      <w:pPr>
        <w:tabs>
          <w:tab w:val="left" w:pos="8280"/>
        </w:tabs>
        <w:autoSpaceDE w:val="0"/>
        <w:autoSpaceDN w:val="0"/>
        <w:adjustRightInd w:val="0"/>
        <w:snapToGrid w:val="0"/>
        <w:spacing w:line="320" w:lineRule="exact"/>
        <w:ind w:firstLine="950" w:firstLineChars="396"/>
        <w:jc w:val="left"/>
        <w:rPr>
          <w:rFonts w:ascii="宋体" w:hAnsi="宋体"/>
          <w:bCs/>
          <w:color w:val="000000"/>
          <w:sz w:val="24"/>
          <w:szCs w:val="24"/>
        </w:rPr>
      </w:pPr>
      <w:r>
        <w:rPr>
          <w:rFonts w:hint="eastAsia" w:ascii="宋体" w:hAnsi="宋体"/>
          <w:bCs/>
          <w:color w:val="000000"/>
          <w:sz w:val="24"/>
          <w:szCs w:val="24"/>
        </w:rPr>
        <w:t>最高限价（人民币）：47.8万元；</w:t>
      </w:r>
    </w:p>
    <w:p>
      <w:pPr>
        <w:tabs>
          <w:tab w:val="left" w:pos="8280"/>
        </w:tabs>
        <w:autoSpaceDE w:val="0"/>
        <w:autoSpaceDN w:val="0"/>
        <w:adjustRightInd w:val="0"/>
        <w:snapToGrid w:val="0"/>
        <w:spacing w:line="320" w:lineRule="exact"/>
        <w:ind w:firstLine="950" w:firstLineChars="396"/>
        <w:jc w:val="left"/>
        <w:rPr>
          <w:rFonts w:ascii="宋体" w:hAnsi="宋体"/>
          <w:bCs/>
          <w:color w:val="000000"/>
          <w:sz w:val="24"/>
          <w:szCs w:val="24"/>
        </w:rPr>
      </w:pPr>
      <w:r>
        <w:rPr>
          <w:rFonts w:hint="eastAsia" w:ascii="宋体" w:hAnsi="宋体"/>
          <w:bCs/>
          <w:color w:val="000000"/>
          <w:sz w:val="24"/>
          <w:szCs w:val="24"/>
        </w:rPr>
        <w:t>采购需求：</w:t>
      </w:r>
    </w:p>
    <w:tbl>
      <w:tblPr>
        <w:tblStyle w:val="34"/>
        <w:tblW w:w="7230" w:type="dxa"/>
        <w:tblInd w:w="1146" w:type="dxa"/>
        <w:tblLayout w:type="autofit"/>
        <w:tblCellMar>
          <w:top w:w="0" w:type="dxa"/>
          <w:left w:w="0" w:type="dxa"/>
          <w:bottom w:w="0" w:type="dxa"/>
          <w:right w:w="0" w:type="dxa"/>
        </w:tblCellMar>
      </w:tblPr>
      <w:tblGrid>
        <w:gridCol w:w="567"/>
        <w:gridCol w:w="2694"/>
        <w:gridCol w:w="708"/>
        <w:gridCol w:w="3261"/>
      </w:tblGrid>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序号</w:t>
            </w:r>
          </w:p>
        </w:tc>
        <w:tc>
          <w:tcPr>
            <w:tcW w:w="2694"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hint="eastAsia" w:ascii="宋体" w:hAnsi="宋体" w:cs="仿宋_GB2312"/>
                <w:color w:val="000000"/>
                <w:kern w:val="0"/>
                <w:sz w:val="18"/>
                <w:szCs w:val="18"/>
              </w:rPr>
              <w:t>项目</w:t>
            </w:r>
            <w:r>
              <w:rPr>
                <w:rFonts w:ascii="宋体" w:hAnsi="宋体" w:cs="仿宋_GB2312"/>
                <w:color w:val="000000"/>
                <w:kern w:val="0"/>
                <w:sz w:val="18"/>
                <w:szCs w:val="18"/>
              </w:rPr>
              <w:t>名称</w:t>
            </w:r>
          </w:p>
        </w:tc>
        <w:tc>
          <w:tcPr>
            <w:tcW w:w="708"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数量</w:t>
            </w:r>
          </w:p>
        </w:tc>
        <w:tc>
          <w:tcPr>
            <w:tcW w:w="3261"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hint="eastAsia" w:ascii="宋体" w:hAnsi="宋体" w:cs="仿宋_GB2312"/>
                <w:color w:val="000000"/>
                <w:sz w:val="18"/>
                <w:szCs w:val="18"/>
              </w:rPr>
              <w:t>简要规格描述或项目基本概况介绍</w:t>
            </w: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一级化学防护服</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10套</w:t>
            </w:r>
          </w:p>
        </w:tc>
        <w:tc>
          <w:tcPr>
            <w:tcW w:w="3261" w:type="dxa"/>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jc w:val="center"/>
              <w:rPr>
                <w:rFonts w:ascii="宋体" w:hAnsi="宋体" w:cs="仿宋_GB2312"/>
                <w:color w:val="000000"/>
                <w:sz w:val="18"/>
                <w:szCs w:val="18"/>
              </w:rPr>
            </w:pPr>
            <w:r>
              <w:rPr>
                <w:rFonts w:hint="eastAsia" w:ascii="宋体" w:hAnsi="宋体" w:cs="仿宋_GB2312"/>
                <w:color w:val="000000"/>
                <w:sz w:val="18"/>
                <w:szCs w:val="18"/>
              </w:rPr>
              <w:t>质量：符合中华人民共和国标准。</w:t>
            </w: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2</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多功能工具箱</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10个</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rPr>
                <w:rFonts w:ascii="宋体" w:hAnsi="宋体" w:cs="仿宋_GB2312"/>
                <w:color w:val="000000"/>
                <w:sz w:val="18"/>
                <w:szCs w:val="18"/>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3</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抢险救援服套装</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45套</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rPr>
                <w:rFonts w:ascii="宋体" w:hAnsi="宋体" w:cs="仿宋_GB2312"/>
                <w:color w:val="000000"/>
                <w:sz w:val="18"/>
                <w:szCs w:val="18"/>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4</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抢险救援服套装</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95套</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rPr>
                <w:rFonts w:ascii="宋体" w:hAnsi="宋体" w:cs="仿宋_GB2312"/>
                <w:color w:val="000000"/>
                <w:sz w:val="18"/>
                <w:szCs w:val="18"/>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5</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防护靴</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45套</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rPr>
                <w:rFonts w:ascii="宋体" w:hAnsi="宋体" w:cs="仿宋_GB2312"/>
                <w:color w:val="000000"/>
                <w:sz w:val="18"/>
                <w:szCs w:val="18"/>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6</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防护手套</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45套</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rPr>
                <w:rFonts w:ascii="宋体" w:hAnsi="宋体" w:cs="仿宋_GB2312"/>
                <w:color w:val="000000"/>
                <w:sz w:val="18"/>
                <w:szCs w:val="18"/>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7</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通讯头盔</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45个</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rPr>
                <w:rFonts w:ascii="宋体" w:hAnsi="宋体" w:cs="仿宋_GB2312"/>
                <w:color w:val="000000"/>
                <w:sz w:val="18"/>
                <w:szCs w:val="18"/>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8</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工兵铲</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45把</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rPr>
                <w:rFonts w:ascii="宋体" w:hAnsi="宋体" w:cs="仿宋_GB2312"/>
                <w:color w:val="000000"/>
                <w:sz w:val="18"/>
                <w:szCs w:val="18"/>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9</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单兵装备背包</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45个</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rPr>
                <w:rFonts w:ascii="宋体" w:hAnsi="宋体" w:cs="仿宋_GB2312"/>
                <w:color w:val="000000"/>
                <w:sz w:val="18"/>
                <w:szCs w:val="18"/>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10</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急救包</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10个</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rPr>
                <w:rFonts w:ascii="宋体" w:hAnsi="宋体" w:cs="仿宋_GB2312"/>
                <w:color w:val="000000"/>
                <w:sz w:val="18"/>
                <w:szCs w:val="18"/>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11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油锯</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24个</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rPr>
                <w:rFonts w:ascii="宋体" w:hAnsi="宋体" w:cs="仿宋_GB2312"/>
                <w:color w:val="000000"/>
                <w:sz w:val="18"/>
                <w:szCs w:val="18"/>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12</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拉梯</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2个</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rPr>
                <w:rFonts w:ascii="宋体" w:hAnsi="宋体" w:cs="仿宋_GB2312"/>
                <w:color w:val="000000"/>
                <w:sz w:val="18"/>
                <w:szCs w:val="18"/>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13</w:t>
            </w:r>
          </w:p>
        </w:tc>
        <w:tc>
          <w:tcPr>
            <w:tcW w:w="26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背油桶</w:t>
            </w:r>
          </w:p>
        </w:tc>
        <w:tc>
          <w:tcPr>
            <w:tcW w:w="70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10个</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jc w:val="center"/>
              <w:rPr>
                <w:rFonts w:ascii="宋体" w:hAnsi="宋体" w:cs="仿宋_GB2312"/>
                <w:color w:val="000000"/>
                <w:sz w:val="18"/>
                <w:szCs w:val="18"/>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14</w:t>
            </w:r>
          </w:p>
        </w:tc>
        <w:tc>
          <w:tcPr>
            <w:tcW w:w="26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水壶</w:t>
            </w:r>
          </w:p>
        </w:tc>
        <w:tc>
          <w:tcPr>
            <w:tcW w:w="70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50</w:t>
            </w:r>
            <w:r>
              <w:rPr>
                <w:rFonts w:hint="eastAsia" w:ascii="宋体" w:hAnsi="宋体" w:cs="仿宋_GB2312"/>
                <w:color w:val="000000"/>
                <w:kern w:val="0"/>
                <w:szCs w:val="21"/>
              </w:rPr>
              <w:t>个</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jc w:val="center"/>
              <w:rPr>
                <w:rFonts w:ascii="宋体" w:hAnsi="宋体" w:cs="仿宋_GB2312"/>
                <w:color w:val="000000"/>
                <w:sz w:val="18"/>
                <w:szCs w:val="18"/>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15</w:t>
            </w:r>
          </w:p>
        </w:tc>
        <w:tc>
          <w:tcPr>
            <w:tcW w:w="26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救援作训服（春）</w:t>
            </w:r>
          </w:p>
        </w:tc>
        <w:tc>
          <w:tcPr>
            <w:tcW w:w="70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90套</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jc w:val="center"/>
              <w:rPr>
                <w:rFonts w:ascii="宋体" w:hAnsi="宋体" w:cs="仿宋_GB2312"/>
                <w:color w:val="000000"/>
                <w:sz w:val="18"/>
                <w:szCs w:val="18"/>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16</w:t>
            </w:r>
          </w:p>
        </w:tc>
        <w:tc>
          <w:tcPr>
            <w:tcW w:w="26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救援作训服（秋）</w:t>
            </w:r>
          </w:p>
        </w:tc>
        <w:tc>
          <w:tcPr>
            <w:tcW w:w="70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90套</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jc w:val="center"/>
              <w:rPr>
                <w:rFonts w:ascii="宋体" w:hAnsi="宋体" w:cs="仿宋_GB2312"/>
                <w:color w:val="000000"/>
                <w:sz w:val="18"/>
                <w:szCs w:val="18"/>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17</w:t>
            </w:r>
          </w:p>
        </w:tc>
        <w:tc>
          <w:tcPr>
            <w:tcW w:w="26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作训体能服</w:t>
            </w:r>
          </w:p>
        </w:tc>
        <w:tc>
          <w:tcPr>
            <w:tcW w:w="70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90套</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jc w:val="center"/>
              <w:rPr>
                <w:rFonts w:ascii="宋体" w:hAnsi="宋体" w:cs="仿宋_GB2312"/>
                <w:color w:val="000000"/>
                <w:sz w:val="18"/>
                <w:szCs w:val="18"/>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18</w:t>
            </w:r>
          </w:p>
        </w:tc>
        <w:tc>
          <w:tcPr>
            <w:tcW w:w="26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作训靴</w:t>
            </w:r>
          </w:p>
        </w:tc>
        <w:tc>
          <w:tcPr>
            <w:tcW w:w="70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90双</w:t>
            </w:r>
          </w:p>
        </w:tc>
        <w:tc>
          <w:tcPr>
            <w:tcW w:w="3261" w:type="dxa"/>
            <w:vMerge w:val="continue"/>
            <w:tcBorders>
              <w:left w:val="single" w:color="000000" w:sz="4" w:space="0"/>
              <w:bottom w:val="single" w:color="auto" w:sz="4" w:space="0"/>
              <w:right w:val="single" w:color="000000" w:sz="4" w:space="0"/>
            </w:tcBorders>
            <w:noWrap/>
            <w:tcMar>
              <w:top w:w="12" w:type="dxa"/>
              <w:left w:w="12" w:type="dxa"/>
              <w:right w:w="12" w:type="dxa"/>
            </w:tcMar>
            <w:vAlign w:val="center"/>
          </w:tcPr>
          <w:p>
            <w:pPr>
              <w:jc w:val="center"/>
              <w:rPr>
                <w:rFonts w:ascii="宋体" w:hAnsi="宋体" w:cs="仿宋_GB2312"/>
                <w:color w:val="000000"/>
                <w:sz w:val="18"/>
                <w:szCs w:val="18"/>
              </w:rPr>
            </w:pPr>
          </w:p>
        </w:tc>
      </w:tr>
    </w:tbl>
    <w:p>
      <w:pPr>
        <w:tabs>
          <w:tab w:val="left" w:pos="8280"/>
        </w:tabs>
        <w:autoSpaceDE w:val="0"/>
        <w:autoSpaceDN w:val="0"/>
        <w:adjustRightInd w:val="0"/>
        <w:snapToGrid w:val="0"/>
        <w:spacing w:line="320" w:lineRule="exact"/>
        <w:ind w:firstLine="960" w:firstLineChars="400"/>
        <w:jc w:val="left"/>
        <w:rPr>
          <w:rFonts w:ascii="宋体" w:hAnsi="宋体"/>
          <w:bCs/>
          <w:color w:val="000000"/>
          <w:sz w:val="24"/>
          <w:szCs w:val="24"/>
        </w:rPr>
      </w:pPr>
      <w:r>
        <w:rPr>
          <w:rFonts w:hint="eastAsia" w:ascii="宋体" w:hAnsi="宋体"/>
          <w:bCs/>
          <w:color w:val="000000"/>
          <w:sz w:val="24"/>
          <w:szCs w:val="24"/>
        </w:rPr>
        <w:t>合同履行期限：</w:t>
      </w:r>
      <w:r>
        <w:rPr>
          <w:rFonts w:hint="eastAsia" w:ascii="宋体" w:hAnsi="宋体" w:cs="宋体"/>
          <w:color w:val="000000"/>
          <w:kern w:val="0"/>
          <w:sz w:val="24"/>
          <w:szCs w:val="24"/>
        </w:rPr>
        <w:t>自签订合同之日起15天内供货完毕并交付正常使用</w:t>
      </w:r>
      <w:r>
        <w:rPr>
          <w:rFonts w:hint="eastAsia" w:ascii="宋体" w:hAnsi="宋体"/>
          <w:bCs/>
          <w:color w:val="000000"/>
          <w:sz w:val="24"/>
          <w:szCs w:val="24"/>
        </w:rPr>
        <w:t>。</w:t>
      </w:r>
    </w:p>
    <w:p>
      <w:pPr>
        <w:tabs>
          <w:tab w:val="left" w:pos="8280"/>
        </w:tabs>
        <w:autoSpaceDE w:val="0"/>
        <w:autoSpaceDN w:val="0"/>
        <w:adjustRightInd w:val="0"/>
        <w:snapToGrid w:val="0"/>
        <w:spacing w:line="320" w:lineRule="exact"/>
        <w:ind w:firstLine="960" w:firstLineChars="400"/>
        <w:jc w:val="left"/>
        <w:rPr>
          <w:rFonts w:ascii="宋体" w:hAnsi="宋体"/>
          <w:bCs/>
          <w:color w:val="000000"/>
          <w:sz w:val="24"/>
          <w:szCs w:val="24"/>
        </w:rPr>
      </w:pPr>
      <w:r>
        <w:rPr>
          <w:rFonts w:hint="eastAsia" w:ascii="宋体" w:hAnsi="宋体"/>
          <w:bCs/>
          <w:color w:val="000000"/>
          <w:sz w:val="24"/>
          <w:szCs w:val="24"/>
        </w:rPr>
        <w:t>本项目不接受接受联合体。</w:t>
      </w:r>
    </w:p>
    <w:p>
      <w:pPr>
        <w:tabs>
          <w:tab w:val="left" w:pos="8280"/>
        </w:tabs>
        <w:spacing w:line="320" w:lineRule="exact"/>
        <w:ind w:firstLine="950" w:firstLineChars="396"/>
        <w:rPr>
          <w:rFonts w:ascii="宋体" w:hAnsi="宋体"/>
          <w:color w:val="000000"/>
          <w:sz w:val="24"/>
          <w:szCs w:val="24"/>
        </w:rPr>
      </w:pPr>
      <w:r>
        <w:rPr>
          <w:rFonts w:hint="eastAsia" w:ascii="宋体" w:hAnsi="宋体"/>
          <w:color w:val="000000"/>
          <w:sz w:val="24"/>
          <w:szCs w:val="24"/>
        </w:rPr>
        <w:t>C标段：</w:t>
      </w:r>
    </w:p>
    <w:p>
      <w:pPr>
        <w:tabs>
          <w:tab w:val="left" w:pos="8280"/>
        </w:tabs>
        <w:autoSpaceDE w:val="0"/>
        <w:autoSpaceDN w:val="0"/>
        <w:adjustRightInd w:val="0"/>
        <w:snapToGrid w:val="0"/>
        <w:spacing w:line="320" w:lineRule="exact"/>
        <w:ind w:firstLine="950" w:firstLineChars="396"/>
        <w:jc w:val="left"/>
        <w:rPr>
          <w:rFonts w:ascii="宋体" w:hAnsi="宋体"/>
          <w:bCs/>
          <w:color w:val="000000"/>
          <w:sz w:val="24"/>
          <w:szCs w:val="24"/>
        </w:rPr>
      </w:pPr>
      <w:r>
        <w:rPr>
          <w:rFonts w:hint="eastAsia" w:ascii="宋体" w:hAnsi="宋体"/>
          <w:bCs/>
          <w:color w:val="000000"/>
          <w:sz w:val="24"/>
          <w:szCs w:val="24"/>
        </w:rPr>
        <w:t>采购预算金额（人民币）：43.5万元；</w:t>
      </w:r>
    </w:p>
    <w:p>
      <w:pPr>
        <w:tabs>
          <w:tab w:val="left" w:pos="8280"/>
        </w:tabs>
        <w:autoSpaceDE w:val="0"/>
        <w:autoSpaceDN w:val="0"/>
        <w:adjustRightInd w:val="0"/>
        <w:snapToGrid w:val="0"/>
        <w:spacing w:line="320" w:lineRule="exact"/>
        <w:ind w:firstLine="950" w:firstLineChars="396"/>
        <w:jc w:val="left"/>
        <w:rPr>
          <w:rFonts w:ascii="宋体" w:hAnsi="宋体"/>
          <w:bCs/>
          <w:color w:val="000000"/>
          <w:sz w:val="24"/>
          <w:szCs w:val="24"/>
        </w:rPr>
      </w:pPr>
      <w:r>
        <w:rPr>
          <w:rFonts w:hint="eastAsia" w:ascii="宋体" w:hAnsi="宋体"/>
          <w:bCs/>
          <w:color w:val="000000"/>
          <w:sz w:val="24"/>
          <w:szCs w:val="24"/>
        </w:rPr>
        <w:t>最高限价（人民币）：43.5万元；</w:t>
      </w:r>
    </w:p>
    <w:p>
      <w:pPr>
        <w:tabs>
          <w:tab w:val="left" w:pos="8280"/>
        </w:tabs>
        <w:autoSpaceDE w:val="0"/>
        <w:autoSpaceDN w:val="0"/>
        <w:adjustRightInd w:val="0"/>
        <w:snapToGrid w:val="0"/>
        <w:spacing w:line="320" w:lineRule="exact"/>
        <w:ind w:firstLine="950" w:firstLineChars="396"/>
        <w:jc w:val="left"/>
        <w:rPr>
          <w:rFonts w:ascii="宋体" w:hAnsi="宋体"/>
          <w:bCs/>
          <w:color w:val="000000"/>
          <w:sz w:val="24"/>
          <w:szCs w:val="24"/>
        </w:rPr>
      </w:pPr>
      <w:r>
        <w:rPr>
          <w:rFonts w:hint="eastAsia" w:ascii="宋体" w:hAnsi="宋体"/>
          <w:bCs/>
          <w:color w:val="000000"/>
          <w:sz w:val="24"/>
          <w:szCs w:val="24"/>
        </w:rPr>
        <w:t>采购需求：</w:t>
      </w:r>
    </w:p>
    <w:tbl>
      <w:tblPr>
        <w:tblStyle w:val="34"/>
        <w:tblW w:w="7230" w:type="dxa"/>
        <w:tblInd w:w="1146" w:type="dxa"/>
        <w:tblLayout w:type="autofit"/>
        <w:tblCellMar>
          <w:top w:w="0" w:type="dxa"/>
          <w:left w:w="0" w:type="dxa"/>
          <w:bottom w:w="0" w:type="dxa"/>
          <w:right w:w="0" w:type="dxa"/>
        </w:tblCellMar>
      </w:tblPr>
      <w:tblGrid>
        <w:gridCol w:w="567"/>
        <w:gridCol w:w="2694"/>
        <w:gridCol w:w="708"/>
        <w:gridCol w:w="3261"/>
      </w:tblGrid>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序号</w:t>
            </w:r>
          </w:p>
        </w:tc>
        <w:tc>
          <w:tcPr>
            <w:tcW w:w="2694"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hint="eastAsia" w:ascii="宋体" w:hAnsi="宋体" w:cs="仿宋_GB2312"/>
                <w:color w:val="000000"/>
                <w:kern w:val="0"/>
                <w:sz w:val="18"/>
                <w:szCs w:val="18"/>
              </w:rPr>
              <w:t>项目</w:t>
            </w:r>
            <w:r>
              <w:rPr>
                <w:rFonts w:ascii="宋体" w:hAnsi="宋体" w:cs="仿宋_GB2312"/>
                <w:color w:val="000000"/>
                <w:kern w:val="0"/>
                <w:sz w:val="18"/>
                <w:szCs w:val="18"/>
              </w:rPr>
              <w:t>名称</w:t>
            </w:r>
          </w:p>
        </w:tc>
        <w:tc>
          <w:tcPr>
            <w:tcW w:w="708"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数量</w:t>
            </w:r>
          </w:p>
        </w:tc>
        <w:tc>
          <w:tcPr>
            <w:tcW w:w="3261"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hint="eastAsia" w:ascii="宋体" w:hAnsi="宋体" w:cs="仿宋_GB2312"/>
                <w:color w:val="000000"/>
                <w:sz w:val="18"/>
                <w:szCs w:val="18"/>
              </w:rPr>
              <w:t>简要规格描述或项目基本概况介绍</w:t>
            </w: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大型农用灌溉抽水机</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4台</w:t>
            </w:r>
          </w:p>
        </w:tc>
        <w:tc>
          <w:tcPr>
            <w:tcW w:w="3261" w:type="dxa"/>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jc w:val="center"/>
              <w:rPr>
                <w:rFonts w:ascii="宋体" w:hAnsi="宋体" w:cs="仿宋_GB2312"/>
                <w:color w:val="000000"/>
                <w:sz w:val="18"/>
                <w:szCs w:val="18"/>
              </w:rPr>
            </w:pPr>
            <w:r>
              <w:rPr>
                <w:rFonts w:hint="eastAsia" w:ascii="宋体" w:hAnsi="宋体" w:cs="仿宋_GB2312"/>
                <w:color w:val="000000"/>
                <w:sz w:val="18"/>
                <w:szCs w:val="18"/>
              </w:rPr>
              <w:t>质量：符合中华人民共和国标准。</w:t>
            </w: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2</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小型农用灌溉抽水机</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44台</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rPr>
                <w:rFonts w:ascii="宋体" w:hAnsi="宋体" w:cs="仿宋_GB2312"/>
                <w:color w:val="000000"/>
                <w:sz w:val="18"/>
                <w:szCs w:val="18"/>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3</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防汛专用雨衣</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200件</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rPr>
                <w:rFonts w:ascii="宋体" w:hAnsi="宋体" w:cs="仿宋_GB2312"/>
                <w:color w:val="000000"/>
                <w:sz w:val="18"/>
                <w:szCs w:val="18"/>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4</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防汛专用水靴</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200双</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rPr>
                <w:rFonts w:ascii="宋体" w:hAnsi="宋体" w:cs="仿宋_GB2312"/>
                <w:color w:val="000000"/>
                <w:sz w:val="18"/>
                <w:szCs w:val="18"/>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5</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救生衣</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200件</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rPr>
                <w:rFonts w:ascii="宋体" w:hAnsi="宋体" w:cs="仿宋_GB2312"/>
                <w:color w:val="000000"/>
                <w:sz w:val="18"/>
                <w:szCs w:val="18"/>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6</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救生圈</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200件</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rPr>
                <w:rFonts w:ascii="宋体" w:hAnsi="宋体" w:cs="仿宋_GB2312"/>
                <w:color w:val="000000"/>
                <w:sz w:val="18"/>
                <w:szCs w:val="18"/>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7</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防汛编织袋</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500个</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rPr>
                <w:rFonts w:ascii="宋体" w:hAnsi="宋体" w:cs="仿宋_GB2312"/>
                <w:color w:val="000000"/>
                <w:sz w:val="18"/>
                <w:szCs w:val="18"/>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8</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防汛专用铲</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200把</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rPr>
                <w:rFonts w:ascii="宋体" w:hAnsi="宋体" w:cs="仿宋_GB2312"/>
                <w:color w:val="000000"/>
                <w:sz w:val="18"/>
                <w:szCs w:val="18"/>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9</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防汛专用锄头</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200把</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rPr>
                <w:rFonts w:ascii="宋体" w:hAnsi="宋体" w:cs="仿宋_GB2312"/>
                <w:color w:val="000000"/>
                <w:sz w:val="18"/>
                <w:szCs w:val="18"/>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10</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防汛安全帽</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200个</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rPr>
                <w:rFonts w:ascii="宋体" w:hAnsi="宋体" w:cs="仿宋_GB2312"/>
                <w:color w:val="000000"/>
                <w:sz w:val="18"/>
                <w:szCs w:val="18"/>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11</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救灾专用帐篷</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90顶</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rPr>
                <w:rFonts w:ascii="宋体" w:hAnsi="宋体" w:cs="仿宋_GB2312"/>
                <w:color w:val="000000"/>
                <w:sz w:val="18"/>
                <w:szCs w:val="18"/>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12</w:t>
            </w:r>
          </w:p>
        </w:tc>
        <w:tc>
          <w:tcPr>
            <w:tcW w:w="26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简易折叠帐篷</w:t>
            </w:r>
          </w:p>
        </w:tc>
        <w:tc>
          <w:tcPr>
            <w:tcW w:w="7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40顶</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rPr>
                <w:rFonts w:ascii="宋体" w:hAnsi="宋体" w:cs="仿宋_GB2312"/>
                <w:color w:val="000000"/>
                <w:sz w:val="18"/>
                <w:szCs w:val="18"/>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13</w:t>
            </w:r>
          </w:p>
        </w:tc>
        <w:tc>
          <w:tcPr>
            <w:tcW w:w="26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救灾折叠床</w:t>
            </w:r>
          </w:p>
        </w:tc>
        <w:tc>
          <w:tcPr>
            <w:tcW w:w="70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40张</w:t>
            </w:r>
          </w:p>
        </w:tc>
        <w:tc>
          <w:tcPr>
            <w:tcW w:w="3261" w:type="dxa"/>
            <w:vMerge w:val="continue"/>
            <w:tcBorders>
              <w:left w:val="single" w:color="000000" w:sz="4" w:space="0"/>
              <w:right w:val="single" w:color="000000" w:sz="4" w:space="0"/>
            </w:tcBorders>
            <w:noWrap/>
            <w:tcMar>
              <w:top w:w="12" w:type="dxa"/>
              <w:left w:w="12" w:type="dxa"/>
              <w:right w:w="12" w:type="dxa"/>
            </w:tcMar>
            <w:vAlign w:val="center"/>
          </w:tcPr>
          <w:p>
            <w:pPr>
              <w:jc w:val="center"/>
              <w:rPr>
                <w:rFonts w:ascii="宋体" w:hAnsi="宋体" w:cs="仿宋_GB2312"/>
                <w:color w:val="000000"/>
                <w:sz w:val="18"/>
                <w:szCs w:val="18"/>
              </w:rPr>
            </w:pPr>
          </w:p>
        </w:tc>
      </w:tr>
      <w:tr>
        <w:tblPrEx>
          <w:tblCellMar>
            <w:top w:w="0" w:type="dxa"/>
            <w:left w:w="0" w:type="dxa"/>
            <w:bottom w:w="0" w:type="dxa"/>
            <w:right w:w="0" w:type="dxa"/>
          </w:tblCellMar>
        </w:tblPrEx>
        <w:trPr>
          <w:trHeight w:val="284" w:hRule="atLeast"/>
        </w:trPr>
        <w:tc>
          <w:tcPr>
            <w:tcW w:w="5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 w:val="18"/>
                <w:szCs w:val="18"/>
              </w:rPr>
            </w:pPr>
            <w:r>
              <w:rPr>
                <w:rFonts w:ascii="宋体" w:hAnsi="宋体" w:cs="仿宋_GB2312"/>
                <w:color w:val="000000"/>
                <w:kern w:val="0"/>
                <w:sz w:val="18"/>
                <w:szCs w:val="18"/>
              </w:rPr>
              <w:t>14</w:t>
            </w:r>
          </w:p>
        </w:tc>
        <w:tc>
          <w:tcPr>
            <w:tcW w:w="26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警戒隔离带</w:t>
            </w:r>
          </w:p>
        </w:tc>
        <w:tc>
          <w:tcPr>
            <w:tcW w:w="708" w:type="dxa"/>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200个</w:t>
            </w:r>
          </w:p>
        </w:tc>
        <w:tc>
          <w:tcPr>
            <w:tcW w:w="3261" w:type="dxa"/>
            <w:vMerge w:val="continue"/>
            <w:tcBorders>
              <w:left w:val="single" w:color="000000" w:sz="4" w:space="0"/>
              <w:bottom w:val="single" w:color="auto" w:sz="4" w:space="0"/>
              <w:right w:val="single" w:color="000000" w:sz="4" w:space="0"/>
            </w:tcBorders>
            <w:noWrap/>
            <w:tcMar>
              <w:top w:w="12" w:type="dxa"/>
              <w:left w:w="12" w:type="dxa"/>
              <w:right w:w="12" w:type="dxa"/>
            </w:tcMar>
            <w:vAlign w:val="center"/>
          </w:tcPr>
          <w:p>
            <w:pPr>
              <w:jc w:val="center"/>
              <w:rPr>
                <w:rFonts w:ascii="宋体" w:hAnsi="宋体" w:cs="仿宋_GB2312"/>
                <w:color w:val="000000"/>
                <w:sz w:val="18"/>
                <w:szCs w:val="18"/>
              </w:rPr>
            </w:pPr>
          </w:p>
        </w:tc>
      </w:tr>
    </w:tbl>
    <w:p>
      <w:pPr>
        <w:tabs>
          <w:tab w:val="left" w:pos="8280"/>
        </w:tabs>
        <w:autoSpaceDE w:val="0"/>
        <w:autoSpaceDN w:val="0"/>
        <w:adjustRightInd w:val="0"/>
        <w:snapToGrid w:val="0"/>
        <w:spacing w:line="320" w:lineRule="exact"/>
        <w:ind w:firstLine="960" w:firstLineChars="400"/>
        <w:jc w:val="left"/>
        <w:rPr>
          <w:rFonts w:ascii="宋体" w:hAnsi="宋体"/>
          <w:bCs/>
          <w:color w:val="000000"/>
          <w:sz w:val="24"/>
          <w:szCs w:val="24"/>
        </w:rPr>
      </w:pPr>
      <w:r>
        <w:rPr>
          <w:rFonts w:hint="eastAsia" w:ascii="宋体" w:hAnsi="宋体"/>
          <w:bCs/>
          <w:color w:val="000000"/>
          <w:sz w:val="24"/>
          <w:szCs w:val="24"/>
        </w:rPr>
        <w:t>合同履行期限：</w:t>
      </w:r>
      <w:r>
        <w:rPr>
          <w:rFonts w:hint="eastAsia" w:ascii="宋体" w:hAnsi="宋体" w:cs="宋体"/>
          <w:color w:val="000000"/>
          <w:kern w:val="0"/>
          <w:sz w:val="24"/>
          <w:szCs w:val="24"/>
        </w:rPr>
        <w:t>自签订合同之日起15天内供货完毕并交付正常使用</w:t>
      </w:r>
      <w:r>
        <w:rPr>
          <w:rFonts w:hint="eastAsia" w:ascii="宋体" w:hAnsi="宋体"/>
          <w:bCs/>
          <w:color w:val="000000"/>
          <w:sz w:val="24"/>
          <w:szCs w:val="24"/>
        </w:rPr>
        <w:t>。</w:t>
      </w:r>
    </w:p>
    <w:p>
      <w:pPr>
        <w:tabs>
          <w:tab w:val="left" w:pos="8280"/>
        </w:tabs>
        <w:autoSpaceDE w:val="0"/>
        <w:autoSpaceDN w:val="0"/>
        <w:adjustRightInd w:val="0"/>
        <w:snapToGrid w:val="0"/>
        <w:spacing w:line="320" w:lineRule="exact"/>
        <w:ind w:firstLine="960" w:firstLineChars="400"/>
        <w:jc w:val="left"/>
        <w:rPr>
          <w:rFonts w:ascii="宋体" w:hAnsi="宋体"/>
          <w:bCs/>
          <w:color w:val="000000"/>
          <w:sz w:val="24"/>
          <w:szCs w:val="24"/>
        </w:rPr>
      </w:pPr>
      <w:r>
        <w:rPr>
          <w:rFonts w:hint="eastAsia" w:ascii="宋体" w:hAnsi="宋体"/>
          <w:bCs/>
          <w:color w:val="000000"/>
          <w:sz w:val="24"/>
          <w:szCs w:val="24"/>
        </w:rPr>
        <w:t>本项目不接受接受联合体。</w:t>
      </w:r>
    </w:p>
    <w:p>
      <w:pPr>
        <w:tabs>
          <w:tab w:val="left" w:pos="8280"/>
        </w:tabs>
        <w:autoSpaceDE w:val="0"/>
        <w:autoSpaceDN w:val="0"/>
        <w:adjustRightInd w:val="0"/>
        <w:snapToGrid w:val="0"/>
        <w:spacing w:line="320" w:lineRule="exact"/>
        <w:ind w:firstLine="241" w:firstLineChars="100"/>
        <w:jc w:val="left"/>
        <w:rPr>
          <w:rFonts w:ascii="宋体" w:hAnsi="宋体"/>
          <w:color w:val="000000"/>
          <w:kern w:val="0"/>
          <w:sz w:val="24"/>
          <w:szCs w:val="24"/>
        </w:rPr>
      </w:pPr>
      <w:r>
        <w:rPr>
          <w:rFonts w:hint="eastAsia" w:ascii="宋体" w:hAnsi="宋体"/>
          <w:b/>
          <w:color w:val="000000"/>
          <w:kern w:val="0"/>
          <w:sz w:val="24"/>
          <w:szCs w:val="24"/>
        </w:rPr>
        <w:t>二、</w:t>
      </w:r>
      <w:r>
        <w:rPr>
          <w:rFonts w:hint="eastAsia" w:ascii="宋体" w:hAnsi="宋体"/>
          <w:b/>
          <w:color w:val="000000"/>
          <w:sz w:val="24"/>
          <w:szCs w:val="24"/>
        </w:rPr>
        <w:t>竞标人</w:t>
      </w:r>
      <w:r>
        <w:rPr>
          <w:rFonts w:hint="eastAsia" w:ascii="宋体" w:hAnsi="宋体"/>
          <w:b/>
          <w:color w:val="000000"/>
          <w:kern w:val="0"/>
          <w:sz w:val="24"/>
          <w:szCs w:val="24"/>
        </w:rPr>
        <w:t>资格要求：</w:t>
      </w:r>
    </w:p>
    <w:p>
      <w:pPr>
        <w:tabs>
          <w:tab w:val="left" w:pos="8280"/>
        </w:tabs>
        <w:spacing w:line="320" w:lineRule="exact"/>
        <w:ind w:firstLine="600" w:firstLineChars="250"/>
        <w:jc w:val="left"/>
        <w:rPr>
          <w:rFonts w:ascii="宋体" w:hAnsi="宋体"/>
          <w:color w:val="000000"/>
          <w:sz w:val="24"/>
          <w:lang w:val="zh-CN"/>
        </w:rPr>
      </w:pPr>
      <w:r>
        <w:rPr>
          <w:rFonts w:hint="eastAsia" w:ascii="宋体" w:hAnsi="宋体"/>
          <w:color w:val="000000"/>
          <w:sz w:val="24"/>
          <w:szCs w:val="24"/>
        </w:rPr>
        <w:t>1.</w:t>
      </w:r>
      <w:r>
        <w:rPr>
          <w:rFonts w:hint="eastAsia" w:ascii="宋体" w:hAnsi="宋体"/>
          <w:color w:val="000000"/>
          <w:sz w:val="24"/>
          <w:lang w:val="zh-CN"/>
        </w:rPr>
        <w:t>满足《中华人民共和国政府采购法》第二十二条的规定；</w:t>
      </w:r>
    </w:p>
    <w:p>
      <w:pPr>
        <w:tabs>
          <w:tab w:val="left" w:pos="8280"/>
        </w:tabs>
        <w:spacing w:line="320" w:lineRule="exact"/>
        <w:ind w:firstLine="600" w:firstLineChars="250"/>
        <w:jc w:val="left"/>
        <w:rPr>
          <w:rFonts w:ascii="宋体" w:hAnsi="宋体"/>
          <w:color w:val="000000"/>
          <w:sz w:val="24"/>
          <w:szCs w:val="24"/>
        </w:rPr>
      </w:pPr>
      <w:r>
        <w:rPr>
          <w:rFonts w:hint="eastAsia" w:ascii="宋体" w:hAnsi="宋体"/>
          <w:color w:val="000000"/>
          <w:sz w:val="24"/>
          <w:szCs w:val="24"/>
        </w:rPr>
        <w:t>2.落实政府采购政策需满足的资格要求：</w:t>
      </w:r>
    </w:p>
    <w:p>
      <w:pPr>
        <w:tabs>
          <w:tab w:val="left" w:pos="8280"/>
        </w:tabs>
        <w:spacing w:line="320" w:lineRule="exact"/>
        <w:ind w:firstLine="600" w:firstLineChars="250"/>
        <w:jc w:val="left"/>
        <w:rPr>
          <w:rFonts w:ascii="宋体" w:hAnsi="宋体"/>
          <w:color w:val="000000"/>
          <w:sz w:val="24"/>
          <w:szCs w:val="24"/>
        </w:rPr>
      </w:pPr>
      <w:r>
        <w:rPr>
          <w:rFonts w:hint="eastAsia" w:ascii="宋体" w:hAnsi="宋体"/>
          <w:color w:val="000000"/>
          <w:sz w:val="24"/>
          <w:szCs w:val="24"/>
        </w:rPr>
        <w:t xml:space="preserve"> (1)政府采购促进中小企业发展；</w:t>
      </w:r>
    </w:p>
    <w:p>
      <w:pPr>
        <w:tabs>
          <w:tab w:val="left" w:pos="8280"/>
        </w:tabs>
        <w:spacing w:line="320" w:lineRule="exact"/>
        <w:ind w:firstLine="600" w:firstLineChars="250"/>
        <w:jc w:val="left"/>
        <w:rPr>
          <w:rFonts w:ascii="宋体" w:hAnsi="宋体"/>
          <w:color w:val="000000"/>
          <w:sz w:val="24"/>
          <w:szCs w:val="24"/>
        </w:rPr>
      </w:pPr>
      <w:r>
        <w:rPr>
          <w:rFonts w:hint="eastAsia" w:ascii="宋体" w:hAnsi="宋体"/>
          <w:color w:val="000000"/>
          <w:sz w:val="24"/>
          <w:szCs w:val="24"/>
        </w:rPr>
        <w:t>（2）政府采购支持采用本国产品的政策；</w:t>
      </w:r>
    </w:p>
    <w:p>
      <w:pPr>
        <w:tabs>
          <w:tab w:val="left" w:pos="8280"/>
        </w:tabs>
        <w:spacing w:line="320" w:lineRule="exact"/>
        <w:ind w:firstLine="600" w:firstLineChars="250"/>
        <w:jc w:val="left"/>
        <w:rPr>
          <w:rFonts w:ascii="宋体" w:hAnsi="宋体"/>
          <w:color w:val="000000"/>
          <w:sz w:val="24"/>
          <w:szCs w:val="24"/>
        </w:rPr>
      </w:pPr>
      <w:r>
        <w:rPr>
          <w:rFonts w:hint="eastAsia" w:ascii="宋体" w:hAnsi="宋体"/>
          <w:color w:val="000000"/>
          <w:sz w:val="24"/>
          <w:szCs w:val="24"/>
        </w:rPr>
        <w:t>（3）最后报价相同时，优先采购环境标志产品、节能产品；</w:t>
      </w:r>
    </w:p>
    <w:p>
      <w:pPr>
        <w:tabs>
          <w:tab w:val="left" w:pos="8280"/>
        </w:tabs>
        <w:spacing w:line="320" w:lineRule="exact"/>
        <w:ind w:firstLine="600" w:firstLineChars="250"/>
        <w:jc w:val="left"/>
        <w:rPr>
          <w:rFonts w:ascii="宋体" w:hAnsi="宋体"/>
          <w:color w:val="000000"/>
          <w:sz w:val="24"/>
          <w:szCs w:val="24"/>
        </w:rPr>
      </w:pPr>
      <w:r>
        <w:rPr>
          <w:rFonts w:hint="eastAsia" w:ascii="宋体" w:hAnsi="宋体"/>
          <w:color w:val="000000"/>
          <w:sz w:val="24"/>
          <w:szCs w:val="24"/>
        </w:rPr>
        <w:t>（4）政府采购促进残疾人就业政策；</w:t>
      </w:r>
    </w:p>
    <w:p>
      <w:pPr>
        <w:tabs>
          <w:tab w:val="left" w:pos="8280"/>
        </w:tabs>
        <w:spacing w:line="320" w:lineRule="exact"/>
        <w:ind w:firstLine="600" w:firstLineChars="250"/>
        <w:jc w:val="left"/>
        <w:rPr>
          <w:rFonts w:ascii="宋体" w:hAnsi="宋体"/>
          <w:color w:val="000000"/>
          <w:sz w:val="24"/>
          <w:szCs w:val="24"/>
        </w:rPr>
      </w:pPr>
      <w:r>
        <w:rPr>
          <w:rFonts w:hint="eastAsia" w:ascii="宋体" w:hAnsi="宋体"/>
          <w:color w:val="000000"/>
          <w:sz w:val="24"/>
          <w:szCs w:val="24"/>
        </w:rPr>
        <w:t>（5）政府采购支持监狱企业发展；</w:t>
      </w:r>
    </w:p>
    <w:p>
      <w:pPr>
        <w:tabs>
          <w:tab w:val="left" w:pos="8280"/>
        </w:tabs>
        <w:spacing w:line="320" w:lineRule="exact"/>
        <w:ind w:firstLine="600" w:firstLineChars="250"/>
        <w:jc w:val="left"/>
        <w:rPr>
          <w:rFonts w:ascii="宋体" w:hAnsi="宋体"/>
          <w:color w:val="000000"/>
          <w:sz w:val="24"/>
          <w:szCs w:val="24"/>
        </w:rPr>
      </w:pPr>
      <w:r>
        <w:rPr>
          <w:rFonts w:hint="eastAsia" w:ascii="宋体" w:hAnsi="宋体"/>
          <w:color w:val="000000"/>
          <w:sz w:val="24"/>
          <w:szCs w:val="24"/>
        </w:rPr>
        <w:t>（6）优先采购环境标志产品、节能产品；</w:t>
      </w:r>
    </w:p>
    <w:p>
      <w:pPr>
        <w:tabs>
          <w:tab w:val="left" w:pos="8280"/>
        </w:tabs>
        <w:spacing w:line="320" w:lineRule="exact"/>
        <w:ind w:firstLine="600" w:firstLineChars="250"/>
        <w:jc w:val="left"/>
        <w:rPr>
          <w:rFonts w:ascii="宋体" w:hAnsi="宋体"/>
          <w:color w:val="000000"/>
          <w:sz w:val="24"/>
          <w:szCs w:val="24"/>
        </w:rPr>
      </w:pPr>
      <w:r>
        <w:rPr>
          <w:rFonts w:hint="eastAsia" w:ascii="宋体" w:hAnsi="宋体"/>
          <w:color w:val="000000"/>
          <w:sz w:val="24"/>
          <w:szCs w:val="24"/>
        </w:rPr>
        <w:t>（7）扶持不发达地区和少数民族地区政策；</w:t>
      </w:r>
    </w:p>
    <w:p>
      <w:pPr>
        <w:tabs>
          <w:tab w:val="left" w:pos="8280"/>
        </w:tabs>
        <w:spacing w:line="320" w:lineRule="exact"/>
        <w:ind w:firstLine="600" w:firstLineChars="250"/>
        <w:jc w:val="left"/>
        <w:rPr>
          <w:rFonts w:ascii="宋体" w:hAnsi="宋体"/>
          <w:color w:val="000000"/>
          <w:sz w:val="24"/>
          <w:szCs w:val="24"/>
        </w:rPr>
      </w:pPr>
      <w:r>
        <w:rPr>
          <w:rFonts w:hint="eastAsia" w:ascii="宋体" w:hAnsi="宋体"/>
          <w:color w:val="000000"/>
          <w:sz w:val="24"/>
          <w:szCs w:val="24"/>
        </w:rPr>
        <w:t>（8）本项目采购内容不涉及政府强制采购的节能产品。</w:t>
      </w:r>
    </w:p>
    <w:p>
      <w:pPr>
        <w:tabs>
          <w:tab w:val="left" w:pos="8280"/>
        </w:tabs>
        <w:spacing w:line="320" w:lineRule="exact"/>
        <w:ind w:firstLine="600" w:firstLineChars="250"/>
        <w:jc w:val="left"/>
        <w:rPr>
          <w:rFonts w:ascii="宋体" w:hAnsi="宋体"/>
          <w:color w:val="000000"/>
          <w:sz w:val="24"/>
          <w:szCs w:val="24"/>
        </w:rPr>
      </w:pPr>
      <w:r>
        <w:rPr>
          <w:rFonts w:hint="eastAsia" w:ascii="宋体" w:hAnsi="宋体"/>
          <w:color w:val="000000"/>
          <w:sz w:val="24"/>
          <w:szCs w:val="24"/>
        </w:rPr>
        <w:t>3.本项目的特定资格要求：</w:t>
      </w:r>
    </w:p>
    <w:p>
      <w:pPr>
        <w:tabs>
          <w:tab w:val="left" w:pos="8280"/>
        </w:tabs>
        <w:spacing w:line="320" w:lineRule="exact"/>
        <w:ind w:firstLine="720" w:firstLineChars="300"/>
        <w:jc w:val="left"/>
        <w:rPr>
          <w:rFonts w:ascii="宋体" w:hAnsi="宋体"/>
          <w:color w:val="000000"/>
          <w:sz w:val="24"/>
          <w:szCs w:val="24"/>
        </w:rPr>
      </w:pPr>
      <w:r>
        <w:rPr>
          <w:rFonts w:hint="eastAsia" w:ascii="宋体" w:hAnsi="宋体"/>
          <w:color w:val="000000"/>
          <w:sz w:val="24"/>
          <w:szCs w:val="24"/>
        </w:rPr>
        <w:t>3.1国内注册（指按国家有关规定要求注册的）生产或经营本次采购货物的合格供应商。</w:t>
      </w:r>
    </w:p>
    <w:p>
      <w:pPr>
        <w:pStyle w:val="8"/>
        <w:spacing w:line="320" w:lineRule="exact"/>
        <w:ind w:firstLine="720" w:firstLineChars="300"/>
        <w:rPr>
          <w:rFonts w:ascii="宋体" w:hAnsi="宋体" w:cs="宋体"/>
          <w:color w:val="000000"/>
          <w:sz w:val="24"/>
          <w:szCs w:val="24"/>
        </w:rPr>
      </w:pPr>
      <w:r>
        <w:rPr>
          <w:rFonts w:hint="eastAsia" w:ascii="宋体" w:hAnsi="宋体" w:cs="Courier New"/>
          <w:color w:val="000000"/>
          <w:sz w:val="24"/>
        </w:rPr>
        <w:t>3.2</w:t>
      </w:r>
      <w:r>
        <w:rPr>
          <w:rFonts w:ascii="宋体" w:hAnsi="宋体" w:cs="Courier New"/>
          <w:color w:val="000000"/>
          <w:sz w:val="24"/>
        </w:rPr>
        <w:t>对在“信用中国”网站(www.creditchina.gov.cn)、中国政府采购网(</w:t>
      </w:r>
      <w:r>
        <w:rPr>
          <w:rFonts w:hint="eastAsia" w:ascii="宋体" w:hAnsi="宋体" w:cs="Courier New"/>
          <w:color w:val="000000"/>
          <w:sz w:val="24"/>
        </w:rPr>
        <w:t>www.ccgp.gov.cn</w:t>
      </w:r>
      <w:r>
        <w:rPr>
          <w:rFonts w:ascii="宋体" w:hAnsi="宋体" w:cs="Courier New"/>
          <w:color w:val="000000"/>
          <w:sz w:val="24"/>
        </w:rPr>
        <w:t>)等渠道列入失信被执行人、重大税收违法案件当事人名单、政府采购严重违法失信行为记录名单及其他不符合《中华人民共和国政府采购法》第二十二条规定条件的供应商，不得参与政府采购活动。</w:t>
      </w:r>
      <w:r>
        <w:rPr>
          <w:rFonts w:hint="eastAsia" w:ascii="宋体" w:hAnsi="宋体" w:cs="宋体"/>
          <w:color w:val="000000"/>
          <w:sz w:val="24"/>
          <w:szCs w:val="24"/>
        </w:rPr>
        <w:t xml:space="preserve"> </w:t>
      </w:r>
    </w:p>
    <w:p>
      <w:pPr>
        <w:spacing w:line="320" w:lineRule="exact"/>
        <w:ind w:firstLine="600" w:firstLineChars="250"/>
        <w:rPr>
          <w:rFonts w:ascii="宋体" w:hAnsi="宋体"/>
          <w:color w:val="000000"/>
          <w:sz w:val="24"/>
        </w:rPr>
      </w:pPr>
      <w:r>
        <w:rPr>
          <w:rFonts w:hint="eastAsia" w:ascii="宋体" w:hAnsi="宋体" w:cs="宋体"/>
          <w:color w:val="000000"/>
          <w:sz w:val="24"/>
        </w:rPr>
        <w:t>3.3单位负责人为同一人或者存在直接控股、管理关系的不同的竞标人，不得参加同一合同项下的政府采购活动。除单一来源采购项目外，为采购项目提供整体设计、规范编制或者项目管理、监理、检测等服务的供应商，不得再参加该采购项目的其他采购活动。</w:t>
      </w:r>
    </w:p>
    <w:p>
      <w:pPr>
        <w:tabs>
          <w:tab w:val="left" w:pos="8280"/>
        </w:tabs>
        <w:spacing w:line="320" w:lineRule="exact"/>
        <w:ind w:right="-334" w:rightChars="-159" w:firstLine="241" w:firstLineChars="100"/>
        <w:jc w:val="left"/>
        <w:rPr>
          <w:rFonts w:ascii="宋体" w:hAnsi="宋体"/>
          <w:color w:val="000000"/>
          <w:sz w:val="24"/>
          <w:szCs w:val="24"/>
        </w:rPr>
      </w:pPr>
      <w:r>
        <w:rPr>
          <w:rFonts w:hint="eastAsia" w:ascii="宋体" w:hAnsi="宋体"/>
          <w:b/>
          <w:color w:val="000000"/>
          <w:sz w:val="24"/>
          <w:szCs w:val="24"/>
        </w:rPr>
        <w:t>三、竞争性谈判文件</w:t>
      </w:r>
      <w:r>
        <w:rPr>
          <w:rFonts w:hint="eastAsia" w:ascii="宋体" w:hAnsi="宋体"/>
          <w:b/>
          <w:color w:val="000000"/>
          <w:sz w:val="24"/>
          <w:szCs w:val="24"/>
          <w:lang w:val="zh-CN"/>
        </w:rPr>
        <w:t>获取</w:t>
      </w:r>
      <w:r>
        <w:rPr>
          <w:rFonts w:hint="eastAsia" w:ascii="宋体" w:hAnsi="宋体"/>
          <w:color w:val="000000"/>
          <w:sz w:val="24"/>
          <w:szCs w:val="24"/>
        </w:rPr>
        <w:t>：</w:t>
      </w:r>
    </w:p>
    <w:p>
      <w:pPr>
        <w:tabs>
          <w:tab w:val="left" w:pos="8280"/>
        </w:tabs>
        <w:spacing w:line="320" w:lineRule="exact"/>
        <w:ind w:right="-334" w:rightChars="-159" w:firstLine="600" w:firstLineChars="250"/>
        <w:jc w:val="left"/>
        <w:rPr>
          <w:rFonts w:ascii="宋体" w:hAnsi="宋体"/>
          <w:color w:val="000000"/>
          <w:sz w:val="24"/>
          <w:szCs w:val="24"/>
        </w:rPr>
      </w:pPr>
      <w:r>
        <w:rPr>
          <w:rFonts w:hint="eastAsia" w:ascii="宋体" w:hAnsi="宋体"/>
          <w:color w:val="000000"/>
          <w:sz w:val="24"/>
          <w:szCs w:val="24"/>
        </w:rPr>
        <w:t>时 间：于</w:t>
      </w:r>
      <w:r>
        <w:rPr>
          <w:rFonts w:hint="eastAsia" w:ascii="宋体" w:hAnsi="宋体"/>
          <w:color w:val="000000"/>
          <w:sz w:val="24"/>
          <w:szCs w:val="24"/>
          <w:u w:val="single"/>
        </w:rPr>
        <w:t>2020年</w:t>
      </w:r>
      <w:r>
        <w:rPr>
          <w:rFonts w:hint="eastAsia" w:ascii="宋体" w:hAnsi="宋体"/>
          <w:color w:val="000000"/>
          <w:sz w:val="24"/>
          <w:szCs w:val="24"/>
          <w:u w:val="single"/>
          <w:lang w:val="en-US" w:eastAsia="zh-CN"/>
        </w:rPr>
        <w:t>10</w:t>
      </w:r>
      <w:r>
        <w:rPr>
          <w:rFonts w:hint="eastAsia" w:ascii="宋体" w:hAnsi="宋体"/>
          <w:color w:val="000000"/>
          <w:sz w:val="24"/>
          <w:szCs w:val="24"/>
          <w:u w:val="single"/>
        </w:rPr>
        <w:t>月</w:t>
      </w:r>
      <w:r>
        <w:rPr>
          <w:rFonts w:hint="eastAsia" w:ascii="宋体" w:hAnsi="宋体"/>
          <w:color w:val="000000"/>
          <w:sz w:val="24"/>
          <w:szCs w:val="24"/>
          <w:u w:val="single"/>
          <w:lang w:val="en-US" w:eastAsia="zh-CN"/>
        </w:rPr>
        <w:t>19</w:t>
      </w:r>
      <w:r>
        <w:rPr>
          <w:rFonts w:hint="eastAsia" w:ascii="宋体" w:hAnsi="宋体"/>
          <w:color w:val="000000"/>
          <w:sz w:val="24"/>
          <w:szCs w:val="24"/>
          <w:u w:val="single"/>
        </w:rPr>
        <w:t>日</w:t>
      </w:r>
      <w:r>
        <w:rPr>
          <w:rFonts w:hint="eastAsia" w:ascii="宋体" w:hAnsi="宋体"/>
          <w:color w:val="000000"/>
          <w:sz w:val="24"/>
          <w:szCs w:val="24"/>
        </w:rPr>
        <w:t>公告发布之时起至</w:t>
      </w:r>
      <w:r>
        <w:rPr>
          <w:rFonts w:hint="eastAsia" w:ascii="宋体" w:hAnsi="宋体"/>
          <w:color w:val="000000"/>
          <w:sz w:val="24"/>
          <w:szCs w:val="24"/>
          <w:u w:val="single"/>
        </w:rPr>
        <w:t>2020年</w:t>
      </w:r>
      <w:r>
        <w:rPr>
          <w:rFonts w:hint="eastAsia" w:ascii="宋体" w:hAnsi="宋体"/>
          <w:color w:val="000000"/>
          <w:sz w:val="24"/>
          <w:szCs w:val="24"/>
          <w:u w:val="single"/>
          <w:lang w:val="en-US" w:eastAsia="zh-CN"/>
        </w:rPr>
        <w:t>10</w:t>
      </w:r>
      <w:r>
        <w:rPr>
          <w:rFonts w:hint="eastAsia" w:ascii="宋体" w:hAnsi="宋体"/>
          <w:color w:val="000000"/>
          <w:sz w:val="24"/>
          <w:szCs w:val="24"/>
          <w:u w:val="single"/>
        </w:rPr>
        <w:t>月</w:t>
      </w:r>
      <w:r>
        <w:rPr>
          <w:rFonts w:hint="eastAsia" w:ascii="宋体" w:hAnsi="宋体"/>
          <w:color w:val="000000"/>
          <w:sz w:val="24"/>
          <w:szCs w:val="24"/>
          <w:u w:val="single"/>
          <w:lang w:val="en-US" w:eastAsia="zh-CN"/>
        </w:rPr>
        <w:t>22</w:t>
      </w:r>
      <w:r>
        <w:rPr>
          <w:rFonts w:hint="eastAsia" w:ascii="宋体" w:hAnsi="宋体"/>
          <w:color w:val="000000"/>
          <w:sz w:val="24"/>
          <w:szCs w:val="24"/>
          <w:u w:val="single"/>
        </w:rPr>
        <w:t>日</w:t>
      </w:r>
      <w:r>
        <w:rPr>
          <w:rFonts w:hint="eastAsia" w:ascii="宋体" w:hAnsi="宋体"/>
          <w:color w:val="000000"/>
          <w:sz w:val="24"/>
          <w:szCs w:val="24"/>
        </w:rPr>
        <w:t>(法定节假日除外，正常上班时间）</w:t>
      </w:r>
    </w:p>
    <w:p>
      <w:pPr>
        <w:tabs>
          <w:tab w:val="left" w:pos="8280"/>
        </w:tabs>
        <w:spacing w:line="320" w:lineRule="exact"/>
        <w:ind w:right="-334" w:rightChars="-159" w:firstLine="600" w:firstLineChars="250"/>
        <w:jc w:val="left"/>
        <w:rPr>
          <w:rFonts w:ascii="宋体" w:hAnsi="宋体"/>
          <w:color w:val="000000"/>
          <w:sz w:val="24"/>
          <w:szCs w:val="24"/>
          <w:u w:val="single"/>
        </w:rPr>
      </w:pPr>
      <w:r>
        <w:rPr>
          <w:rFonts w:hint="eastAsia" w:ascii="宋体" w:hAnsi="宋体"/>
          <w:color w:val="000000"/>
          <w:sz w:val="24"/>
          <w:szCs w:val="24"/>
        </w:rPr>
        <w:t>地 点：广西元强建设项目管理有限公司（广西百色市龙景区新环球投资大厦左塔1926号）</w:t>
      </w:r>
    </w:p>
    <w:p>
      <w:pPr>
        <w:tabs>
          <w:tab w:val="left" w:pos="8280"/>
        </w:tabs>
        <w:spacing w:line="320" w:lineRule="exact"/>
        <w:ind w:right="-334" w:rightChars="-159" w:firstLine="600" w:firstLineChars="250"/>
        <w:jc w:val="left"/>
        <w:rPr>
          <w:rFonts w:ascii="宋体" w:hAnsi="宋体"/>
          <w:color w:val="000000"/>
          <w:sz w:val="24"/>
          <w:szCs w:val="24"/>
        </w:rPr>
      </w:pPr>
      <w:r>
        <w:rPr>
          <w:rFonts w:hint="eastAsia" w:ascii="宋体" w:hAnsi="宋体"/>
          <w:color w:val="000000"/>
          <w:sz w:val="24"/>
          <w:szCs w:val="24"/>
        </w:rPr>
        <w:t>方 式：供应商在获取竞争性谈判采购文件时，须由被推荐供应商的法定代表人或委托代理人前来报名并获取竞争性谈判采购文件，须携带如下证件资料各壹份：(1)主体资格证明(如企业营业执照、事业单位法人证书等）复印件（须加盖单位公章）；（2）法定代表人或委托代理人携带有效的二代身份证原件及加盖单位公章的复印件；（3）非法定代表人携带法定代表人授权书原件（须加盖单位公章）。</w:t>
      </w:r>
    </w:p>
    <w:p>
      <w:pPr>
        <w:tabs>
          <w:tab w:val="left" w:pos="8280"/>
        </w:tabs>
        <w:spacing w:line="320" w:lineRule="exact"/>
        <w:ind w:firstLine="241" w:firstLineChars="100"/>
        <w:jc w:val="left"/>
        <w:rPr>
          <w:rFonts w:ascii="宋体" w:hAnsi="宋体"/>
          <w:b/>
          <w:color w:val="000000"/>
          <w:kern w:val="0"/>
          <w:sz w:val="24"/>
          <w:szCs w:val="24"/>
        </w:rPr>
      </w:pPr>
      <w:r>
        <w:rPr>
          <w:rFonts w:hint="eastAsia" w:ascii="宋体" w:hAnsi="宋体"/>
          <w:b/>
          <w:color w:val="000000"/>
          <w:kern w:val="0"/>
          <w:sz w:val="24"/>
          <w:szCs w:val="24"/>
        </w:rPr>
        <w:t>四、竞标文件提交</w:t>
      </w:r>
    </w:p>
    <w:p>
      <w:pPr>
        <w:tabs>
          <w:tab w:val="left" w:pos="8280"/>
        </w:tabs>
        <w:spacing w:line="320" w:lineRule="exact"/>
        <w:ind w:firstLine="600" w:firstLineChars="250"/>
        <w:jc w:val="left"/>
        <w:rPr>
          <w:rFonts w:ascii="宋体" w:hAnsi="宋体"/>
          <w:color w:val="000000"/>
          <w:kern w:val="0"/>
          <w:sz w:val="24"/>
          <w:szCs w:val="24"/>
        </w:rPr>
      </w:pPr>
      <w:r>
        <w:rPr>
          <w:rFonts w:hint="eastAsia" w:ascii="宋体" w:hAnsi="宋体"/>
          <w:color w:val="000000"/>
          <w:kern w:val="0"/>
          <w:sz w:val="24"/>
          <w:szCs w:val="24"/>
        </w:rPr>
        <w:t>截止时间：</w:t>
      </w:r>
      <w:r>
        <w:rPr>
          <w:rFonts w:hint="eastAsia" w:ascii="宋体" w:hAnsi="宋体"/>
          <w:color w:val="000000"/>
          <w:kern w:val="0"/>
          <w:sz w:val="24"/>
          <w:szCs w:val="24"/>
          <w:u w:val="single"/>
        </w:rPr>
        <w:t>2020年</w:t>
      </w:r>
      <w:r>
        <w:rPr>
          <w:rFonts w:hint="eastAsia" w:ascii="宋体" w:hAnsi="宋体"/>
          <w:bCs/>
          <w:sz w:val="24"/>
          <w:szCs w:val="24"/>
          <w:u w:val="single"/>
          <w:lang w:val="en-US" w:eastAsia="zh-CN"/>
        </w:rPr>
        <w:t>10</w:t>
      </w:r>
      <w:r>
        <w:rPr>
          <w:rFonts w:hint="eastAsia" w:ascii="宋体" w:hAnsi="宋体"/>
          <w:bCs/>
          <w:sz w:val="24"/>
          <w:szCs w:val="24"/>
          <w:u w:val="single"/>
        </w:rPr>
        <w:t>月</w:t>
      </w:r>
      <w:r>
        <w:rPr>
          <w:rFonts w:hint="eastAsia" w:ascii="宋体" w:hAnsi="宋体"/>
          <w:bCs/>
          <w:sz w:val="24"/>
          <w:szCs w:val="24"/>
          <w:u w:val="single"/>
          <w:lang w:val="en-US" w:eastAsia="zh-CN"/>
        </w:rPr>
        <w:t>23</w:t>
      </w:r>
      <w:r>
        <w:rPr>
          <w:rFonts w:hint="eastAsia" w:ascii="宋体" w:hAnsi="宋体"/>
          <w:bCs/>
          <w:sz w:val="24"/>
          <w:szCs w:val="24"/>
          <w:u w:val="single"/>
        </w:rPr>
        <w:t>日</w:t>
      </w:r>
      <w:r>
        <w:rPr>
          <w:rFonts w:hint="eastAsia" w:ascii="宋体" w:hAnsi="宋体"/>
          <w:bCs/>
          <w:sz w:val="24"/>
          <w:szCs w:val="24"/>
          <w:u w:val="single"/>
          <w:lang w:val="en-US" w:eastAsia="zh-CN"/>
        </w:rPr>
        <w:t>15</w:t>
      </w:r>
      <w:r>
        <w:rPr>
          <w:rFonts w:hint="eastAsia" w:ascii="宋体" w:hAnsi="宋体"/>
          <w:bCs/>
          <w:sz w:val="24"/>
          <w:szCs w:val="24"/>
          <w:u w:val="single"/>
        </w:rPr>
        <w:t>点</w:t>
      </w:r>
      <w:r>
        <w:rPr>
          <w:rFonts w:hint="eastAsia" w:ascii="宋体" w:hAnsi="宋体"/>
          <w:bCs/>
          <w:sz w:val="24"/>
          <w:szCs w:val="24"/>
          <w:u w:val="single"/>
          <w:lang w:val="en-US" w:eastAsia="zh-CN"/>
        </w:rPr>
        <w:t>50</w:t>
      </w:r>
      <w:r>
        <w:rPr>
          <w:rFonts w:hint="eastAsia" w:ascii="宋体" w:hAnsi="宋体"/>
          <w:bCs/>
          <w:sz w:val="24"/>
          <w:szCs w:val="24"/>
          <w:u w:val="single"/>
        </w:rPr>
        <w:t>分</w:t>
      </w:r>
      <w:r>
        <w:rPr>
          <w:rFonts w:hint="eastAsia" w:ascii="宋体" w:hAnsi="宋体"/>
          <w:color w:val="000000"/>
          <w:kern w:val="0"/>
          <w:sz w:val="24"/>
          <w:szCs w:val="24"/>
        </w:rPr>
        <w:t>（北京时间）</w:t>
      </w:r>
    </w:p>
    <w:p>
      <w:pPr>
        <w:tabs>
          <w:tab w:val="left" w:pos="8280"/>
        </w:tabs>
        <w:spacing w:line="320" w:lineRule="exact"/>
        <w:ind w:firstLine="600" w:firstLineChars="250"/>
        <w:jc w:val="left"/>
        <w:rPr>
          <w:rFonts w:ascii="宋体" w:hAnsi="宋体"/>
          <w:color w:val="000000"/>
          <w:kern w:val="0"/>
          <w:sz w:val="24"/>
          <w:szCs w:val="24"/>
        </w:rPr>
      </w:pPr>
      <w:r>
        <w:rPr>
          <w:rFonts w:hint="eastAsia" w:ascii="宋体" w:hAnsi="宋体"/>
          <w:color w:val="000000"/>
          <w:kern w:val="0"/>
          <w:sz w:val="24"/>
          <w:szCs w:val="24"/>
        </w:rPr>
        <w:t>地 点：</w:t>
      </w:r>
      <w:r>
        <w:rPr>
          <w:rFonts w:hint="eastAsia" w:ascii="宋体" w:hAnsi="宋体"/>
          <w:color w:val="000000"/>
          <w:sz w:val="24"/>
          <w:szCs w:val="24"/>
        </w:rPr>
        <w:t>广西元强建设项目管理有限公司开标厅（广西百色市龙景区新环球投资大厦左塔1926号）</w:t>
      </w:r>
      <w:r>
        <w:rPr>
          <w:rFonts w:hint="eastAsia" w:ascii="宋体" w:hAnsi="宋体"/>
          <w:color w:val="000000"/>
          <w:kern w:val="0"/>
          <w:sz w:val="24"/>
          <w:szCs w:val="24"/>
        </w:rPr>
        <w:t>，逾期送达或未密封将予以拒收（或作无效竞标文件处理）。</w:t>
      </w:r>
    </w:p>
    <w:p>
      <w:pPr>
        <w:tabs>
          <w:tab w:val="left" w:pos="8280"/>
        </w:tabs>
        <w:spacing w:line="320" w:lineRule="exact"/>
        <w:ind w:firstLine="120" w:firstLineChars="50"/>
        <w:jc w:val="left"/>
        <w:rPr>
          <w:rFonts w:ascii="宋体" w:hAnsi="宋体"/>
          <w:b/>
          <w:color w:val="000000"/>
          <w:kern w:val="0"/>
          <w:sz w:val="24"/>
          <w:szCs w:val="24"/>
        </w:rPr>
      </w:pPr>
      <w:r>
        <w:rPr>
          <w:rFonts w:hint="eastAsia" w:ascii="宋体" w:hAnsi="宋体"/>
          <w:b/>
          <w:color w:val="000000"/>
          <w:kern w:val="0"/>
          <w:sz w:val="24"/>
          <w:szCs w:val="24"/>
        </w:rPr>
        <w:t>五、开启</w:t>
      </w:r>
    </w:p>
    <w:p>
      <w:pPr>
        <w:tabs>
          <w:tab w:val="left" w:pos="8280"/>
        </w:tabs>
        <w:spacing w:line="320" w:lineRule="exact"/>
        <w:ind w:firstLine="470" w:firstLineChars="196"/>
        <w:jc w:val="left"/>
        <w:rPr>
          <w:rFonts w:ascii="宋体" w:hAnsi="宋体"/>
          <w:color w:val="000000"/>
          <w:kern w:val="0"/>
          <w:sz w:val="24"/>
          <w:szCs w:val="24"/>
          <w:u w:val="single"/>
        </w:rPr>
      </w:pPr>
      <w:r>
        <w:rPr>
          <w:rFonts w:hint="eastAsia" w:ascii="宋体" w:hAnsi="宋体"/>
          <w:color w:val="000000"/>
          <w:kern w:val="0"/>
          <w:sz w:val="24"/>
          <w:szCs w:val="24"/>
        </w:rPr>
        <w:t>时 间：</w:t>
      </w:r>
      <w:r>
        <w:rPr>
          <w:rFonts w:hint="eastAsia" w:ascii="宋体" w:hAnsi="宋体"/>
          <w:color w:val="000000"/>
          <w:kern w:val="0"/>
          <w:sz w:val="24"/>
          <w:szCs w:val="24"/>
          <w:u w:val="single"/>
        </w:rPr>
        <w:t>2020年</w:t>
      </w:r>
      <w:r>
        <w:rPr>
          <w:rFonts w:hint="eastAsia" w:ascii="宋体" w:hAnsi="宋体"/>
          <w:bCs/>
          <w:sz w:val="24"/>
          <w:szCs w:val="24"/>
          <w:u w:val="single"/>
          <w:lang w:val="en-US" w:eastAsia="zh-CN"/>
        </w:rPr>
        <w:t>10</w:t>
      </w:r>
      <w:r>
        <w:rPr>
          <w:rFonts w:hint="eastAsia" w:ascii="宋体" w:hAnsi="宋体"/>
          <w:bCs/>
          <w:sz w:val="24"/>
          <w:szCs w:val="24"/>
          <w:u w:val="single"/>
        </w:rPr>
        <w:t>月</w:t>
      </w:r>
      <w:r>
        <w:rPr>
          <w:rFonts w:hint="eastAsia" w:ascii="宋体" w:hAnsi="宋体"/>
          <w:bCs/>
          <w:sz w:val="24"/>
          <w:szCs w:val="24"/>
          <w:u w:val="single"/>
          <w:lang w:val="en-US" w:eastAsia="zh-CN"/>
        </w:rPr>
        <w:t>23</w:t>
      </w:r>
      <w:r>
        <w:rPr>
          <w:rFonts w:hint="eastAsia" w:ascii="宋体" w:hAnsi="宋体"/>
          <w:bCs/>
          <w:sz w:val="24"/>
          <w:szCs w:val="24"/>
          <w:u w:val="single"/>
        </w:rPr>
        <w:t>日</w:t>
      </w:r>
      <w:r>
        <w:rPr>
          <w:rFonts w:hint="eastAsia" w:ascii="宋体" w:hAnsi="宋体"/>
          <w:bCs/>
          <w:sz w:val="24"/>
          <w:szCs w:val="24"/>
          <w:u w:val="single"/>
          <w:lang w:val="en-US" w:eastAsia="zh-CN"/>
        </w:rPr>
        <w:t>15</w:t>
      </w:r>
      <w:r>
        <w:rPr>
          <w:rFonts w:hint="eastAsia" w:ascii="宋体" w:hAnsi="宋体"/>
          <w:bCs/>
          <w:sz w:val="24"/>
          <w:szCs w:val="24"/>
          <w:u w:val="single"/>
        </w:rPr>
        <w:t>点</w:t>
      </w:r>
      <w:r>
        <w:rPr>
          <w:rFonts w:hint="eastAsia" w:ascii="宋体" w:hAnsi="宋体"/>
          <w:bCs/>
          <w:sz w:val="24"/>
          <w:szCs w:val="24"/>
          <w:u w:val="single"/>
          <w:lang w:val="en-US" w:eastAsia="zh-CN"/>
        </w:rPr>
        <w:t>50</w:t>
      </w:r>
      <w:r>
        <w:rPr>
          <w:rFonts w:hint="eastAsia" w:ascii="宋体" w:hAnsi="宋体"/>
          <w:bCs/>
          <w:sz w:val="24"/>
          <w:szCs w:val="24"/>
          <w:u w:val="single"/>
        </w:rPr>
        <w:t>分</w:t>
      </w:r>
      <w:r>
        <w:rPr>
          <w:rFonts w:hint="eastAsia" w:ascii="宋体" w:hAnsi="宋体"/>
          <w:color w:val="000000"/>
          <w:kern w:val="0"/>
          <w:sz w:val="24"/>
          <w:szCs w:val="24"/>
          <w:u w:val="single"/>
        </w:rPr>
        <w:t>截标后</w:t>
      </w:r>
      <w:r>
        <w:rPr>
          <w:rFonts w:hint="eastAsia" w:ascii="宋体" w:hAnsi="宋体"/>
          <w:color w:val="000000"/>
          <w:kern w:val="0"/>
          <w:sz w:val="24"/>
          <w:szCs w:val="24"/>
        </w:rPr>
        <w:t>（北京时间）</w:t>
      </w:r>
    </w:p>
    <w:p>
      <w:pPr>
        <w:tabs>
          <w:tab w:val="left" w:pos="8280"/>
        </w:tabs>
        <w:spacing w:line="320" w:lineRule="exact"/>
        <w:ind w:firstLine="470" w:firstLineChars="196"/>
        <w:jc w:val="left"/>
        <w:rPr>
          <w:rFonts w:ascii="宋体" w:hAnsi="宋体"/>
          <w:color w:val="000000"/>
          <w:kern w:val="0"/>
          <w:sz w:val="24"/>
          <w:szCs w:val="24"/>
        </w:rPr>
      </w:pPr>
      <w:r>
        <w:rPr>
          <w:rFonts w:hint="eastAsia" w:ascii="宋体" w:hAnsi="宋体"/>
          <w:color w:val="000000"/>
          <w:kern w:val="0"/>
          <w:sz w:val="24"/>
          <w:szCs w:val="24"/>
        </w:rPr>
        <w:t>地 点：</w:t>
      </w:r>
      <w:r>
        <w:rPr>
          <w:rFonts w:hint="eastAsia" w:ascii="宋体" w:hAnsi="宋体"/>
          <w:color w:val="000000"/>
          <w:sz w:val="24"/>
          <w:szCs w:val="24"/>
        </w:rPr>
        <w:t>广西元强建设项目管理有限公司开标厅（广西百色市龙景区新环球投资大厦左塔1926号）</w:t>
      </w:r>
    </w:p>
    <w:p>
      <w:pPr>
        <w:tabs>
          <w:tab w:val="left" w:pos="8280"/>
        </w:tabs>
        <w:spacing w:line="320" w:lineRule="exact"/>
        <w:ind w:firstLine="120" w:firstLineChars="50"/>
        <w:jc w:val="left"/>
        <w:rPr>
          <w:rFonts w:ascii="宋体" w:hAnsi="宋体"/>
          <w:b/>
          <w:color w:val="000000"/>
          <w:kern w:val="0"/>
          <w:sz w:val="24"/>
          <w:szCs w:val="24"/>
        </w:rPr>
      </w:pPr>
      <w:r>
        <w:rPr>
          <w:rFonts w:hint="eastAsia" w:ascii="宋体" w:hAnsi="宋体"/>
          <w:b/>
          <w:color w:val="000000"/>
          <w:kern w:val="0"/>
          <w:sz w:val="24"/>
          <w:szCs w:val="24"/>
        </w:rPr>
        <w:t>六、公告期限</w:t>
      </w:r>
    </w:p>
    <w:p>
      <w:pPr>
        <w:tabs>
          <w:tab w:val="left" w:pos="8280"/>
        </w:tabs>
        <w:spacing w:line="320" w:lineRule="exact"/>
        <w:ind w:firstLine="705" w:firstLineChars="294"/>
        <w:jc w:val="left"/>
        <w:rPr>
          <w:rFonts w:ascii="宋体" w:hAnsi="宋体"/>
          <w:color w:val="000000"/>
          <w:kern w:val="0"/>
          <w:sz w:val="24"/>
          <w:szCs w:val="24"/>
        </w:rPr>
      </w:pPr>
      <w:r>
        <w:rPr>
          <w:rFonts w:hint="eastAsia" w:ascii="宋体" w:hAnsi="宋体"/>
          <w:color w:val="000000"/>
          <w:kern w:val="0"/>
          <w:sz w:val="24"/>
          <w:szCs w:val="24"/>
        </w:rPr>
        <w:t>自本公告发布之日起3个工作日。</w:t>
      </w:r>
    </w:p>
    <w:p>
      <w:pPr>
        <w:tabs>
          <w:tab w:val="left" w:pos="8280"/>
        </w:tabs>
        <w:spacing w:line="320" w:lineRule="exact"/>
        <w:ind w:firstLine="120" w:firstLineChars="50"/>
        <w:jc w:val="left"/>
        <w:rPr>
          <w:rFonts w:ascii="宋体" w:hAnsi="宋体"/>
          <w:color w:val="000000"/>
          <w:kern w:val="0"/>
          <w:sz w:val="24"/>
          <w:szCs w:val="24"/>
        </w:rPr>
      </w:pPr>
      <w:r>
        <w:rPr>
          <w:rFonts w:hint="eastAsia" w:ascii="宋体" w:hAnsi="宋体"/>
          <w:b/>
          <w:color w:val="000000"/>
          <w:kern w:val="0"/>
          <w:sz w:val="24"/>
          <w:szCs w:val="24"/>
        </w:rPr>
        <w:t>七、其他补充事宜：</w:t>
      </w:r>
    </w:p>
    <w:p>
      <w:pPr>
        <w:tabs>
          <w:tab w:val="left" w:pos="8280"/>
        </w:tabs>
        <w:spacing w:line="32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 xml:space="preserve"> 1.每个标段竞标保证金均为（人民币）：陆仟元整（¥6000.00）（办理谈判保证金手续时，请务必在银行转账单或电汇单的用途栏或空白栏上注明竞标项目名称（简称即可）或项目编号和标段号）。</w:t>
      </w:r>
    </w:p>
    <w:p>
      <w:pPr>
        <w:tabs>
          <w:tab w:val="left" w:pos="8280"/>
        </w:tabs>
        <w:spacing w:line="32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竞标保证金的交纳方式：银行转账、电汇或网上支付、支票、汇票、本票或者银行、保险机构出具的保函，禁止采用现钞交纳方式。采用银行转账、电汇或网上支付方式的，在竞标截止时间前交至采购代理机构以下账户：</w:t>
      </w:r>
    </w:p>
    <w:p>
      <w:pPr>
        <w:tabs>
          <w:tab w:val="left" w:pos="8280"/>
        </w:tabs>
        <w:spacing w:line="32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开户名称：广西元强建设项目管理有限公司</w:t>
      </w:r>
    </w:p>
    <w:p>
      <w:pPr>
        <w:tabs>
          <w:tab w:val="left" w:pos="8280"/>
        </w:tabs>
        <w:spacing w:line="32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开户银行：中国工商银行股份有限公司百色市新兴支行</w:t>
      </w:r>
    </w:p>
    <w:p>
      <w:pPr>
        <w:tabs>
          <w:tab w:val="left" w:pos="8280"/>
        </w:tabs>
        <w:spacing w:line="32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银行账号：2110 6002 0920 1049 283。</w:t>
      </w:r>
    </w:p>
    <w:p>
      <w:pPr>
        <w:tabs>
          <w:tab w:val="left" w:pos="8280"/>
        </w:tabs>
        <w:spacing w:line="32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采用支票、汇票、本票或者保函等方式的，在竞标截止时间前，竞标人应当递交单独密封的支票、汇票、本票、保函原件。否则视为无效竞标保证金。</w:t>
      </w:r>
    </w:p>
    <w:p>
      <w:pPr>
        <w:tabs>
          <w:tab w:val="left" w:pos="8280"/>
        </w:tabs>
        <w:spacing w:line="32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2.根据《中华人民共和国政府采购法》、《政府采购非招标采购方式管理办法》等有关规定，本项目采用采购人和评审专家分别书面推荐的方式推荐不少于3 家符合条件的供应商前来参加谈判活动。</w:t>
      </w:r>
    </w:p>
    <w:p>
      <w:pPr>
        <w:tabs>
          <w:tab w:val="left" w:pos="8280"/>
        </w:tabs>
        <w:spacing w:line="32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3.查询网址：中国政府采购网（www.ccgp.gov.cn）、广西壮族自治区政府采购网（zfcg.gxzf.gov.cn）。</w:t>
      </w:r>
    </w:p>
    <w:p>
      <w:pPr>
        <w:tabs>
          <w:tab w:val="left" w:pos="8280"/>
        </w:tabs>
        <w:spacing w:line="320" w:lineRule="exact"/>
        <w:ind w:firstLine="241" w:firstLineChars="100"/>
        <w:jc w:val="left"/>
        <w:rPr>
          <w:rFonts w:ascii="宋体" w:hAnsi="宋体"/>
          <w:b/>
          <w:bCs/>
          <w:color w:val="000000"/>
          <w:sz w:val="24"/>
          <w:szCs w:val="24"/>
        </w:rPr>
      </w:pPr>
      <w:r>
        <w:rPr>
          <w:rFonts w:hint="eastAsia" w:ascii="宋体" w:hAnsi="宋体"/>
          <w:b/>
          <w:bCs/>
          <w:color w:val="000000"/>
          <w:sz w:val="24"/>
          <w:szCs w:val="24"/>
        </w:rPr>
        <w:t>八、凡对本次采购提出询问，请按以下方式联系：</w:t>
      </w:r>
    </w:p>
    <w:p>
      <w:pPr>
        <w:tabs>
          <w:tab w:val="left" w:pos="8280"/>
        </w:tabs>
        <w:snapToGrid w:val="0"/>
        <w:spacing w:line="320" w:lineRule="exact"/>
        <w:ind w:firstLine="600" w:firstLineChars="250"/>
        <w:jc w:val="left"/>
        <w:rPr>
          <w:rFonts w:ascii="宋体" w:hAnsi="宋体"/>
          <w:bCs/>
          <w:color w:val="000000"/>
          <w:sz w:val="24"/>
          <w:szCs w:val="24"/>
        </w:rPr>
      </w:pPr>
      <w:r>
        <w:rPr>
          <w:rFonts w:hint="eastAsia" w:ascii="宋体" w:hAnsi="宋体"/>
          <w:bCs/>
          <w:color w:val="000000"/>
          <w:sz w:val="24"/>
          <w:szCs w:val="24"/>
        </w:rPr>
        <w:t>1.采购人：百色市田阳区应急管理局</w:t>
      </w:r>
    </w:p>
    <w:p>
      <w:pPr>
        <w:tabs>
          <w:tab w:val="left" w:pos="8280"/>
        </w:tabs>
        <w:snapToGrid w:val="0"/>
        <w:spacing w:line="320" w:lineRule="exact"/>
        <w:ind w:firstLine="840" w:firstLineChars="350"/>
        <w:jc w:val="left"/>
        <w:rPr>
          <w:rFonts w:ascii="宋体" w:hAnsi="宋体"/>
          <w:bCs/>
          <w:color w:val="000000"/>
          <w:sz w:val="24"/>
          <w:szCs w:val="24"/>
        </w:rPr>
      </w:pPr>
      <w:r>
        <w:rPr>
          <w:rFonts w:hint="eastAsia" w:ascii="宋体" w:hAnsi="宋体"/>
          <w:bCs/>
          <w:color w:val="000000"/>
          <w:sz w:val="24"/>
          <w:szCs w:val="24"/>
        </w:rPr>
        <w:t>地 址：百色市田阳区田州镇金狮路3号</w:t>
      </w:r>
    </w:p>
    <w:p>
      <w:pPr>
        <w:tabs>
          <w:tab w:val="left" w:pos="8280"/>
        </w:tabs>
        <w:snapToGrid w:val="0"/>
        <w:spacing w:line="320" w:lineRule="exact"/>
        <w:ind w:firstLine="840" w:firstLineChars="350"/>
        <w:jc w:val="left"/>
        <w:rPr>
          <w:rFonts w:ascii="宋体" w:hAnsi="宋体"/>
          <w:bCs/>
          <w:color w:val="000000"/>
          <w:sz w:val="24"/>
          <w:szCs w:val="24"/>
        </w:rPr>
      </w:pPr>
      <w:r>
        <w:rPr>
          <w:rFonts w:hint="eastAsia" w:ascii="宋体" w:hAnsi="宋体"/>
          <w:bCs/>
          <w:color w:val="000000"/>
          <w:sz w:val="24"/>
          <w:szCs w:val="24"/>
        </w:rPr>
        <w:t>联系人及电话: 何柯熠  15278641088；</w:t>
      </w:r>
    </w:p>
    <w:p>
      <w:pPr>
        <w:tabs>
          <w:tab w:val="left" w:pos="8280"/>
        </w:tabs>
        <w:snapToGrid w:val="0"/>
        <w:spacing w:line="320" w:lineRule="exact"/>
        <w:rPr>
          <w:rFonts w:ascii="宋体" w:hAnsi="宋体"/>
          <w:color w:val="000000"/>
          <w:sz w:val="24"/>
          <w:szCs w:val="24"/>
        </w:rPr>
      </w:pPr>
      <w:r>
        <w:rPr>
          <w:rFonts w:hint="eastAsia" w:ascii="宋体" w:hAnsi="宋体"/>
          <w:bCs/>
          <w:color w:val="000000"/>
          <w:sz w:val="24"/>
          <w:szCs w:val="24"/>
        </w:rPr>
        <w:t xml:space="preserve">     2.采购代理机构：</w:t>
      </w:r>
      <w:r>
        <w:rPr>
          <w:rFonts w:hint="eastAsia" w:ascii="宋体" w:hAnsi="宋体"/>
          <w:color w:val="000000"/>
          <w:sz w:val="24"/>
          <w:szCs w:val="24"/>
        </w:rPr>
        <w:t>广西元强建设项目管理有限公司</w:t>
      </w:r>
    </w:p>
    <w:p>
      <w:pPr>
        <w:tabs>
          <w:tab w:val="left" w:pos="8280"/>
        </w:tabs>
        <w:snapToGrid w:val="0"/>
        <w:spacing w:line="320" w:lineRule="exact"/>
        <w:ind w:firstLine="482" w:firstLineChars="200"/>
        <w:jc w:val="left"/>
        <w:rPr>
          <w:rFonts w:ascii="宋体" w:hAnsi="宋体"/>
          <w:bCs/>
          <w:color w:val="000000"/>
          <w:sz w:val="24"/>
          <w:szCs w:val="24"/>
        </w:rPr>
      </w:pPr>
      <w:r>
        <w:rPr>
          <w:rFonts w:hint="eastAsia" w:ascii="宋体" w:hAnsi="宋体"/>
          <w:b/>
          <w:bCs/>
          <w:color w:val="000000"/>
          <w:sz w:val="24"/>
          <w:szCs w:val="24"/>
        </w:rPr>
        <w:t xml:space="preserve">  </w:t>
      </w:r>
      <w:r>
        <w:rPr>
          <w:rFonts w:hint="eastAsia" w:ascii="宋体" w:hAnsi="宋体"/>
          <w:bCs/>
          <w:color w:val="000000"/>
          <w:sz w:val="24"/>
          <w:szCs w:val="24"/>
        </w:rPr>
        <w:t>地 址：</w:t>
      </w:r>
      <w:r>
        <w:rPr>
          <w:rFonts w:hint="eastAsia" w:ascii="宋体" w:hAnsi="宋体"/>
          <w:color w:val="000000"/>
          <w:sz w:val="24"/>
          <w:szCs w:val="24"/>
        </w:rPr>
        <w:t>广西百色市龙景区新环球投资大厦左塔1926号；</w:t>
      </w:r>
      <w:r>
        <w:rPr>
          <w:rFonts w:hint="eastAsia" w:ascii="宋体" w:hAnsi="宋体"/>
          <w:bCs/>
          <w:color w:val="000000"/>
          <w:sz w:val="24"/>
          <w:szCs w:val="24"/>
        </w:rPr>
        <w:t xml:space="preserve"> </w:t>
      </w:r>
    </w:p>
    <w:p>
      <w:pPr>
        <w:tabs>
          <w:tab w:val="left" w:pos="8280"/>
        </w:tabs>
        <w:snapToGrid w:val="0"/>
        <w:spacing w:line="340" w:lineRule="exact"/>
        <w:ind w:firstLine="480" w:firstLineChars="200"/>
        <w:jc w:val="left"/>
        <w:rPr>
          <w:rFonts w:ascii="宋体" w:hAnsi="宋体"/>
          <w:color w:val="000000"/>
          <w:sz w:val="24"/>
          <w:szCs w:val="24"/>
        </w:rPr>
      </w:pPr>
      <w:r>
        <w:rPr>
          <w:rFonts w:hint="eastAsia" w:ascii="宋体" w:hAnsi="宋体"/>
          <w:bCs/>
          <w:color w:val="000000"/>
          <w:sz w:val="24"/>
          <w:szCs w:val="24"/>
        </w:rPr>
        <w:t xml:space="preserve">  项目联系人：朱小辉  </w:t>
      </w:r>
      <w:r>
        <w:rPr>
          <w:rFonts w:hint="eastAsia" w:ascii="宋体" w:hAnsi="宋体"/>
          <w:color w:val="000000"/>
          <w:sz w:val="24"/>
        </w:rPr>
        <w:t xml:space="preserve">李新宇  联系电话/传真:13977618823 </w:t>
      </w:r>
      <w:r>
        <w:rPr>
          <w:rFonts w:hint="eastAsia" w:ascii="宋体" w:hAnsi="宋体"/>
          <w:color w:val="000000"/>
          <w:sz w:val="24"/>
          <w:szCs w:val="24"/>
        </w:rPr>
        <w:t>0776-2840555；</w:t>
      </w:r>
    </w:p>
    <w:p>
      <w:pPr>
        <w:tabs>
          <w:tab w:val="left" w:pos="8280"/>
        </w:tabs>
        <w:snapToGrid w:val="0"/>
        <w:spacing w:line="360" w:lineRule="exact"/>
        <w:rPr>
          <w:rFonts w:ascii="宋体" w:hAnsi="宋体"/>
          <w:sz w:val="24"/>
          <w:szCs w:val="24"/>
        </w:rPr>
      </w:pPr>
    </w:p>
    <w:p>
      <w:pPr>
        <w:tabs>
          <w:tab w:val="left" w:pos="8280"/>
        </w:tabs>
        <w:snapToGrid w:val="0"/>
        <w:spacing w:line="360" w:lineRule="exact"/>
        <w:ind w:firstLine="590" w:firstLineChars="245"/>
        <w:rPr>
          <w:rFonts w:hint="eastAsia" w:ascii="宋体" w:hAnsi="宋体"/>
          <w:b/>
          <w:sz w:val="24"/>
          <w:szCs w:val="24"/>
        </w:rPr>
      </w:pPr>
      <w:r>
        <w:rPr>
          <w:rFonts w:hint="eastAsia" w:ascii="宋体" w:hAnsi="宋体"/>
          <w:b/>
          <w:bCs/>
          <w:sz w:val="24"/>
          <w:szCs w:val="24"/>
        </w:rPr>
        <w:t>百色市田阳区应急管理局</w:t>
      </w:r>
      <w:r>
        <w:rPr>
          <w:rFonts w:hint="eastAsia" w:ascii="宋体" w:hAnsi="宋体"/>
          <w:bCs/>
          <w:sz w:val="24"/>
          <w:szCs w:val="24"/>
        </w:rPr>
        <w:t xml:space="preserve">                  </w:t>
      </w:r>
      <w:r>
        <w:rPr>
          <w:rFonts w:hint="eastAsia" w:ascii="宋体" w:hAnsi="宋体"/>
          <w:b/>
          <w:sz w:val="24"/>
          <w:szCs w:val="24"/>
        </w:rPr>
        <w:t>广西元强建设项目管理有限公司</w:t>
      </w:r>
    </w:p>
    <w:p>
      <w:pPr>
        <w:tabs>
          <w:tab w:val="left" w:pos="8280"/>
        </w:tabs>
        <w:snapToGrid w:val="0"/>
        <w:spacing w:line="360" w:lineRule="exact"/>
        <w:ind w:firstLine="590" w:firstLineChars="245"/>
        <w:rPr>
          <w:rFonts w:hint="eastAsia" w:ascii="宋体" w:hAnsi="宋体"/>
          <w:b/>
          <w:sz w:val="24"/>
          <w:szCs w:val="24"/>
        </w:rPr>
      </w:pPr>
      <w:r>
        <w:rPr>
          <w:rFonts w:hint="eastAsia" w:ascii="宋体" w:hAnsi="宋体"/>
          <w:b/>
          <w:sz w:val="24"/>
          <w:szCs w:val="24"/>
        </w:rPr>
        <w:t xml:space="preserve">                                               2020年</w:t>
      </w:r>
      <w:r>
        <w:rPr>
          <w:rFonts w:hint="eastAsia" w:ascii="宋体" w:hAnsi="宋体"/>
          <w:b/>
          <w:sz w:val="24"/>
          <w:szCs w:val="24"/>
          <w:lang w:val="en-US" w:eastAsia="zh-CN"/>
        </w:rPr>
        <w:t>10</w:t>
      </w:r>
      <w:r>
        <w:rPr>
          <w:rFonts w:hint="eastAsia" w:ascii="宋体" w:hAnsi="宋体"/>
          <w:b/>
          <w:sz w:val="24"/>
          <w:szCs w:val="24"/>
        </w:rPr>
        <w:t>月</w:t>
      </w:r>
      <w:r>
        <w:rPr>
          <w:rFonts w:hint="eastAsia" w:ascii="宋体" w:hAnsi="宋体"/>
          <w:b/>
          <w:sz w:val="24"/>
          <w:szCs w:val="24"/>
          <w:lang w:val="en-US" w:eastAsia="zh-CN"/>
        </w:rPr>
        <w:t>19</w:t>
      </w:r>
      <w:r>
        <w:rPr>
          <w:rFonts w:hint="eastAsia" w:ascii="宋体" w:hAnsi="宋体"/>
          <w:b/>
          <w:sz w:val="24"/>
          <w:szCs w:val="24"/>
        </w:rPr>
        <w:t>日</w:t>
      </w:r>
    </w:p>
    <w:p>
      <w:bookmarkStart w:id="310" w:name="_GoBack"/>
      <w:bookmarkEnd w:id="310"/>
    </w:p>
    <w:p/>
    <w:p/>
    <w:p/>
    <w:p/>
    <w:p/>
    <w:p/>
    <w:p/>
    <w:p/>
    <w:p/>
    <w:p/>
    <w:p/>
    <w:p/>
    <w:p/>
    <w:p/>
    <w:p/>
    <w:p/>
    <w:p>
      <w:pPr>
        <w:pStyle w:val="2"/>
        <w:spacing w:line="360" w:lineRule="exact"/>
        <w:rPr>
          <w:rFonts w:ascii="宋体" w:hAnsi="宋体" w:eastAsia="宋体"/>
          <w:szCs w:val="32"/>
        </w:rPr>
      </w:pPr>
      <w:bookmarkStart w:id="30" w:name="_Toc6047087"/>
      <w:r>
        <w:rPr>
          <w:rFonts w:hint="eastAsia" w:ascii="宋体" w:hAnsi="宋体" w:eastAsia="宋体"/>
          <w:b/>
          <w:szCs w:val="32"/>
        </w:rPr>
        <w:t>第一章  竞标人须知及前附表</w:t>
      </w:r>
      <w:bookmarkEnd w:id="28"/>
      <w:bookmarkEnd w:id="29"/>
      <w:bookmarkEnd w:id="30"/>
    </w:p>
    <w:p>
      <w:pPr>
        <w:pStyle w:val="3"/>
        <w:spacing w:line="360" w:lineRule="exact"/>
        <w:jc w:val="center"/>
        <w:rPr>
          <w:rFonts w:ascii="宋体" w:hAnsi="宋体" w:eastAsia="宋体"/>
          <w:szCs w:val="32"/>
        </w:rPr>
      </w:pPr>
      <w:bookmarkStart w:id="31" w:name="_Toc219054923"/>
      <w:bookmarkStart w:id="32" w:name="_Toc340341913"/>
      <w:bookmarkStart w:id="33" w:name="_Toc6047088"/>
      <w:r>
        <w:rPr>
          <w:rFonts w:hint="eastAsia" w:ascii="宋体" w:hAnsi="宋体" w:eastAsia="宋体"/>
          <w:szCs w:val="32"/>
        </w:rPr>
        <w:t>一、竞标人须知前附表</w:t>
      </w:r>
      <w:bookmarkEnd w:id="31"/>
      <w:bookmarkEnd w:id="32"/>
      <w:bookmarkEnd w:id="33"/>
    </w:p>
    <w:bookmarkEnd w:id="26"/>
    <w:bookmarkEnd w:id="27"/>
    <w:tbl>
      <w:tblPr>
        <w:tblStyle w:val="34"/>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04"/>
        <w:gridCol w:w="9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tblHeader/>
          <w:jc w:val="center"/>
        </w:trPr>
        <w:tc>
          <w:tcPr>
            <w:tcW w:w="504" w:type="dxa"/>
            <w:vAlign w:val="center"/>
          </w:tcPr>
          <w:p>
            <w:pPr>
              <w:pStyle w:val="16"/>
              <w:spacing w:line="400" w:lineRule="exact"/>
              <w:jc w:val="center"/>
              <w:rPr>
                <w:rFonts w:hAnsi="宋体"/>
                <w:sz w:val="24"/>
                <w:szCs w:val="24"/>
              </w:rPr>
            </w:pPr>
            <w:r>
              <w:rPr>
                <w:rFonts w:hint="eastAsia" w:hAnsi="宋体"/>
                <w:sz w:val="24"/>
                <w:szCs w:val="24"/>
              </w:rPr>
              <w:t>序号</w:t>
            </w:r>
          </w:p>
        </w:tc>
        <w:tc>
          <w:tcPr>
            <w:tcW w:w="9681" w:type="dxa"/>
            <w:vAlign w:val="center"/>
          </w:tcPr>
          <w:p>
            <w:pPr>
              <w:pStyle w:val="16"/>
              <w:snapToGrid w:val="0"/>
              <w:spacing w:line="440" w:lineRule="exact"/>
              <w:jc w:val="center"/>
              <w:rPr>
                <w:rFonts w:hAnsi="宋体"/>
                <w:sz w:val="24"/>
                <w:szCs w:val="24"/>
              </w:rPr>
            </w:pPr>
            <w:r>
              <w:rPr>
                <w:rFonts w:hint="eastAsia" w:hAnsi="宋体"/>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7" w:hRule="atLeast"/>
          <w:jc w:val="center"/>
        </w:trPr>
        <w:tc>
          <w:tcPr>
            <w:tcW w:w="504" w:type="dxa"/>
            <w:vAlign w:val="center"/>
          </w:tcPr>
          <w:p>
            <w:pPr>
              <w:pStyle w:val="16"/>
              <w:spacing w:line="420" w:lineRule="exact"/>
              <w:jc w:val="center"/>
              <w:textAlignment w:val="baseline"/>
              <w:rPr>
                <w:rFonts w:hAnsi="宋体"/>
                <w:sz w:val="24"/>
                <w:szCs w:val="24"/>
              </w:rPr>
            </w:pPr>
            <w:r>
              <w:rPr>
                <w:rFonts w:hint="eastAsia" w:hAnsi="宋体"/>
                <w:sz w:val="24"/>
                <w:szCs w:val="24"/>
              </w:rPr>
              <w:t>1</w:t>
            </w:r>
          </w:p>
        </w:tc>
        <w:tc>
          <w:tcPr>
            <w:tcW w:w="9681" w:type="dxa"/>
            <w:vAlign w:val="center"/>
          </w:tcPr>
          <w:p>
            <w:pPr>
              <w:pStyle w:val="16"/>
              <w:snapToGrid w:val="0"/>
              <w:spacing w:line="340" w:lineRule="exact"/>
              <w:jc w:val="left"/>
              <w:textAlignment w:val="baseline"/>
              <w:rPr>
                <w:rFonts w:hAnsi="宋体"/>
                <w:sz w:val="24"/>
                <w:szCs w:val="24"/>
              </w:rPr>
            </w:pPr>
            <w:r>
              <w:rPr>
                <w:rFonts w:hint="eastAsia" w:hAnsi="宋体"/>
                <w:sz w:val="24"/>
                <w:szCs w:val="24"/>
              </w:rPr>
              <w:t>项目名称：</w:t>
            </w:r>
            <w:r>
              <w:rPr>
                <w:rFonts w:hint="eastAsia" w:hAnsi="宋体"/>
                <w:bCs/>
                <w:sz w:val="24"/>
                <w:szCs w:val="24"/>
              </w:rPr>
              <w:t>应急救援装备采购</w:t>
            </w:r>
            <w:r>
              <w:rPr>
                <w:rFonts w:hint="eastAsia" w:hAnsi="宋体"/>
                <w:snapToGrid w:val="0"/>
                <w:kern w:val="0"/>
                <w:sz w:val="24"/>
                <w:szCs w:val="24"/>
              </w:rPr>
              <w:t>；</w:t>
            </w:r>
          </w:p>
          <w:p>
            <w:pPr>
              <w:pStyle w:val="16"/>
              <w:snapToGrid w:val="0"/>
              <w:spacing w:line="340" w:lineRule="exact"/>
              <w:jc w:val="left"/>
              <w:textAlignment w:val="baseline"/>
              <w:rPr>
                <w:rFonts w:hAnsi="宋体"/>
                <w:b/>
                <w:sz w:val="24"/>
                <w:szCs w:val="24"/>
              </w:rPr>
            </w:pPr>
            <w:r>
              <w:rPr>
                <w:rFonts w:hint="eastAsia" w:hAnsi="宋体"/>
                <w:sz w:val="24"/>
                <w:szCs w:val="24"/>
              </w:rPr>
              <w:t>项目编号：</w:t>
            </w:r>
            <w:r>
              <w:rPr>
                <w:rFonts w:hAnsi="宋体"/>
                <w:sz w:val="24"/>
                <w:szCs w:val="24"/>
              </w:rPr>
              <w:t>BSZC20</w:t>
            </w:r>
            <w:r>
              <w:rPr>
                <w:rFonts w:hint="eastAsia" w:hAnsi="宋体"/>
                <w:sz w:val="24"/>
                <w:szCs w:val="24"/>
              </w:rPr>
              <w:t>20</w:t>
            </w:r>
            <w:r>
              <w:rPr>
                <w:rFonts w:hAnsi="宋体"/>
                <w:sz w:val="24"/>
                <w:szCs w:val="24"/>
              </w:rPr>
              <w:t>-J1-</w:t>
            </w:r>
            <w:r>
              <w:rPr>
                <w:rFonts w:hint="eastAsia" w:hAnsi="宋体"/>
                <w:sz w:val="24"/>
                <w:szCs w:val="24"/>
              </w:rPr>
              <w:t>210366-GXYQ；</w:t>
            </w:r>
          </w:p>
          <w:p>
            <w:pPr>
              <w:autoSpaceDE w:val="0"/>
              <w:autoSpaceDN w:val="0"/>
              <w:adjustRightInd w:val="0"/>
              <w:snapToGrid w:val="0"/>
              <w:spacing w:line="340" w:lineRule="exact"/>
              <w:jc w:val="left"/>
              <w:rPr>
                <w:rFonts w:ascii="宋体" w:hAnsi="宋体"/>
                <w:bCs/>
                <w:sz w:val="24"/>
                <w:szCs w:val="24"/>
              </w:rPr>
            </w:pPr>
            <w:r>
              <w:rPr>
                <w:rFonts w:hint="eastAsia" w:ascii="宋体" w:hAnsi="宋体"/>
                <w:sz w:val="24"/>
                <w:szCs w:val="24"/>
              </w:rPr>
              <w:t>采购需求：分为A、B、C三个标段采购</w:t>
            </w:r>
            <w:r>
              <w:rPr>
                <w:rFonts w:hint="eastAsia" w:asciiTheme="minorEastAsia" w:hAnsiTheme="minorEastAsia" w:eastAsiaTheme="minorEastAsia"/>
                <w:bCs/>
                <w:color w:val="000000" w:themeColor="text1"/>
                <w:sz w:val="24"/>
                <w:szCs w:val="24"/>
              </w:rPr>
              <w:t>田阳区区级和10个乡镇应急救援装备1批</w:t>
            </w:r>
            <w:r>
              <w:rPr>
                <w:rFonts w:hint="eastAsia" w:ascii="宋体" w:hAnsi="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0" w:hRule="atLeast"/>
          <w:jc w:val="center"/>
        </w:trPr>
        <w:tc>
          <w:tcPr>
            <w:tcW w:w="504" w:type="dxa"/>
            <w:vAlign w:val="center"/>
          </w:tcPr>
          <w:p>
            <w:pPr>
              <w:pStyle w:val="16"/>
              <w:widowControl/>
              <w:spacing w:line="420" w:lineRule="exact"/>
              <w:jc w:val="center"/>
              <w:textAlignment w:val="baseline"/>
              <w:rPr>
                <w:rFonts w:hAnsi="宋体"/>
                <w:sz w:val="24"/>
                <w:szCs w:val="24"/>
              </w:rPr>
            </w:pPr>
            <w:r>
              <w:rPr>
                <w:rFonts w:hint="eastAsia" w:hAnsi="宋体"/>
                <w:sz w:val="24"/>
                <w:szCs w:val="24"/>
              </w:rPr>
              <w:t>2</w:t>
            </w:r>
          </w:p>
        </w:tc>
        <w:tc>
          <w:tcPr>
            <w:tcW w:w="9681" w:type="dxa"/>
            <w:vAlign w:val="center"/>
          </w:tcPr>
          <w:p>
            <w:pPr>
              <w:tabs>
                <w:tab w:val="left" w:pos="8280"/>
              </w:tabs>
              <w:spacing w:line="340" w:lineRule="exact"/>
              <w:jc w:val="left"/>
              <w:rPr>
                <w:rFonts w:ascii="宋体" w:hAnsi="宋体"/>
                <w:sz w:val="24"/>
                <w:szCs w:val="24"/>
              </w:rPr>
            </w:pPr>
            <w:r>
              <w:rPr>
                <w:rFonts w:hint="eastAsia" w:ascii="宋体" w:hAnsi="宋体"/>
                <w:sz w:val="24"/>
                <w:szCs w:val="24"/>
              </w:rPr>
              <w:t>竞标人资格：</w:t>
            </w:r>
          </w:p>
          <w:p>
            <w:pPr>
              <w:tabs>
                <w:tab w:val="left" w:pos="8280"/>
              </w:tabs>
              <w:spacing w:line="340" w:lineRule="exact"/>
              <w:jc w:val="left"/>
              <w:rPr>
                <w:rFonts w:ascii="宋体" w:hAnsi="宋体"/>
                <w:sz w:val="24"/>
                <w:szCs w:val="24"/>
              </w:rPr>
            </w:pPr>
            <w:r>
              <w:rPr>
                <w:rFonts w:hint="eastAsia" w:ascii="宋体" w:hAnsi="宋体"/>
                <w:sz w:val="24"/>
                <w:szCs w:val="24"/>
              </w:rPr>
              <w:t>1.满足《中华人民共和国政府采购法》第二十二条的规定；</w:t>
            </w:r>
          </w:p>
          <w:p>
            <w:pPr>
              <w:tabs>
                <w:tab w:val="left" w:pos="8280"/>
              </w:tabs>
              <w:spacing w:line="340" w:lineRule="exact"/>
              <w:jc w:val="left"/>
              <w:rPr>
                <w:rFonts w:ascii="宋体" w:hAnsi="宋体"/>
                <w:sz w:val="24"/>
                <w:szCs w:val="24"/>
              </w:rPr>
            </w:pPr>
            <w:r>
              <w:rPr>
                <w:rFonts w:hint="eastAsia" w:ascii="宋体" w:hAnsi="宋体"/>
                <w:sz w:val="24"/>
                <w:szCs w:val="24"/>
              </w:rPr>
              <w:t>2.落实政府采购政策需满足的资格要求：</w:t>
            </w:r>
          </w:p>
          <w:p>
            <w:pPr>
              <w:tabs>
                <w:tab w:val="left" w:pos="8280"/>
              </w:tabs>
              <w:spacing w:line="340" w:lineRule="exact"/>
              <w:jc w:val="left"/>
              <w:rPr>
                <w:rFonts w:ascii="宋体" w:hAnsi="宋体"/>
                <w:sz w:val="24"/>
                <w:szCs w:val="24"/>
              </w:rPr>
            </w:pPr>
            <w:r>
              <w:rPr>
                <w:rFonts w:hint="eastAsia" w:ascii="宋体" w:hAnsi="宋体"/>
                <w:sz w:val="24"/>
                <w:szCs w:val="24"/>
              </w:rPr>
              <w:t xml:space="preserve"> (1)政府采购促进中小企业发展；</w:t>
            </w:r>
          </w:p>
          <w:p>
            <w:pPr>
              <w:tabs>
                <w:tab w:val="left" w:pos="8280"/>
              </w:tabs>
              <w:spacing w:line="340" w:lineRule="exact"/>
              <w:jc w:val="left"/>
              <w:rPr>
                <w:rFonts w:ascii="宋体" w:hAnsi="宋体"/>
                <w:sz w:val="24"/>
                <w:szCs w:val="24"/>
              </w:rPr>
            </w:pPr>
            <w:r>
              <w:rPr>
                <w:rFonts w:hint="eastAsia" w:ascii="宋体" w:hAnsi="宋体"/>
                <w:sz w:val="24"/>
                <w:szCs w:val="24"/>
              </w:rPr>
              <w:t>（2）政府采购支持采用本国产品的政策；</w:t>
            </w:r>
          </w:p>
          <w:p>
            <w:pPr>
              <w:tabs>
                <w:tab w:val="left" w:pos="8280"/>
              </w:tabs>
              <w:spacing w:line="340" w:lineRule="exact"/>
              <w:jc w:val="left"/>
              <w:rPr>
                <w:rFonts w:ascii="宋体" w:hAnsi="宋体"/>
                <w:sz w:val="24"/>
                <w:szCs w:val="24"/>
              </w:rPr>
            </w:pPr>
            <w:r>
              <w:rPr>
                <w:rFonts w:hint="eastAsia" w:ascii="宋体" w:hAnsi="宋体"/>
                <w:sz w:val="24"/>
                <w:szCs w:val="24"/>
              </w:rPr>
              <w:t>（3）最后报价相同时，优先采购环境标志产品、节能产品；</w:t>
            </w:r>
          </w:p>
          <w:p>
            <w:pPr>
              <w:tabs>
                <w:tab w:val="left" w:pos="8280"/>
              </w:tabs>
              <w:spacing w:line="340" w:lineRule="exact"/>
              <w:jc w:val="left"/>
              <w:rPr>
                <w:rFonts w:ascii="宋体" w:hAnsi="宋体"/>
                <w:sz w:val="24"/>
                <w:szCs w:val="24"/>
              </w:rPr>
            </w:pPr>
            <w:r>
              <w:rPr>
                <w:rFonts w:hint="eastAsia" w:ascii="宋体" w:hAnsi="宋体"/>
                <w:sz w:val="24"/>
                <w:szCs w:val="24"/>
              </w:rPr>
              <w:t>（4）政府采购促进残疾人就业政策；</w:t>
            </w:r>
          </w:p>
          <w:p>
            <w:pPr>
              <w:tabs>
                <w:tab w:val="left" w:pos="8280"/>
              </w:tabs>
              <w:spacing w:line="340" w:lineRule="exact"/>
              <w:jc w:val="left"/>
              <w:rPr>
                <w:rFonts w:ascii="宋体" w:hAnsi="宋体"/>
                <w:sz w:val="24"/>
                <w:szCs w:val="24"/>
              </w:rPr>
            </w:pPr>
            <w:r>
              <w:rPr>
                <w:rFonts w:hint="eastAsia" w:ascii="宋体" w:hAnsi="宋体"/>
                <w:sz w:val="24"/>
                <w:szCs w:val="24"/>
              </w:rPr>
              <w:t>（5）政府采购支持监狱企业发展；</w:t>
            </w:r>
          </w:p>
          <w:p>
            <w:pPr>
              <w:tabs>
                <w:tab w:val="left" w:pos="8280"/>
              </w:tabs>
              <w:spacing w:line="340" w:lineRule="exact"/>
              <w:jc w:val="left"/>
              <w:rPr>
                <w:rFonts w:ascii="宋体" w:hAnsi="宋体"/>
                <w:sz w:val="24"/>
                <w:szCs w:val="24"/>
              </w:rPr>
            </w:pPr>
            <w:r>
              <w:rPr>
                <w:rFonts w:hint="eastAsia" w:ascii="宋体" w:hAnsi="宋体"/>
                <w:sz w:val="24"/>
                <w:szCs w:val="24"/>
              </w:rPr>
              <w:t>（6）优先采购环境标志产品、节能产品；</w:t>
            </w:r>
          </w:p>
          <w:p>
            <w:pPr>
              <w:tabs>
                <w:tab w:val="left" w:pos="8280"/>
              </w:tabs>
              <w:spacing w:line="340" w:lineRule="exact"/>
              <w:jc w:val="left"/>
              <w:rPr>
                <w:rFonts w:ascii="宋体" w:hAnsi="宋体"/>
                <w:sz w:val="24"/>
                <w:szCs w:val="24"/>
              </w:rPr>
            </w:pPr>
            <w:r>
              <w:rPr>
                <w:rFonts w:hint="eastAsia" w:ascii="宋体" w:hAnsi="宋体"/>
                <w:sz w:val="24"/>
                <w:szCs w:val="24"/>
              </w:rPr>
              <w:t>（7）扶持不发达地区和少数民族地区政策；</w:t>
            </w:r>
          </w:p>
          <w:p>
            <w:pPr>
              <w:tabs>
                <w:tab w:val="left" w:pos="8280"/>
              </w:tabs>
              <w:spacing w:line="340" w:lineRule="exact"/>
              <w:jc w:val="left"/>
              <w:rPr>
                <w:rFonts w:ascii="宋体" w:hAnsi="宋体"/>
                <w:sz w:val="24"/>
                <w:szCs w:val="24"/>
              </w:rPr>
            </w:pPr>
            <w:r>
              <w:rPr>
                <w:rFonts w:hint="eastAsia" w:ascii="宋体" w:hAnsi="宋体"/>
                <w:sz w:val="24"/>
                <w:szCs w:val="24"/>
              </w:rPr>
              <w:t>（8）本项目采购内容不涉及政府强制采购的节能产品。</w:t>
            </w:r>
          </w:p>
          <w:p>
            <w:pPr>
              <w:tabs>
                <w:tab w:val="left" w:pos="8280"/>
              </w:tabs>
              <w:spacing w:line="340" w:lineRule="exact"/>
              <w:jc w:val="left"/>
              <w:rPr>
                <w:rFonts w:ascii="宋体" w:hAnsi="宋体"/>
                <w:sz w:val="24"/>
                <w:szCs w:val="24"/>
              </w:rPr>
            </w:pPr>
            <w:r>
              <w:rPr>
                <w:rFonts w:hint="eastAsia" w:ascii="宋体" w:hAnsi="宋体"/>
                <w:sz w:val="24"/>
                <w:szCs w:val="24"/>
              </w:rPr>
              <w:t>3.本项目的特定资格要求：</w:t>
            </w:r>
          </w:p>
          <w:p>
            <w:pPr>
              <w:tabs>
                <w:tab w:val="left" w:pos="8280"/>
              </w:tabs>
              <w:spacing w:line="340" w:lineRule="exact"/>
              <w:jc w:val="left"/>
              <w:rPr>
                <w:rFonts w:ascii="宋体" w:hAnsi="宋体"/>
                <w:sz w:val="24"/>
                <w:szCs w:val="24"/>
              </w:rPr>
            </w:pPr>
            <w:r>
              <w:rPr>
                <w:rFonts w:hint="eastAsia" w:ascii="宋体" w:hAnsi="宋体"/>
                <w:sz w:val="24"/>
                <w:szCs w:val="24"/>
              </w:rPr>
              <w:t>3.1国内注册（指按国家有关规定要求注册的）生产或经营本次采购货物的合格供应商。</w:t>
            </w:r>
          </w:p>
          <w:p>
            <w:pPr>
              <w:tabs>
                <w:tab w:val="left" w:pos="8280"/>
              </w:tabs>
              <w:spacing w:line="340" w:lineRule="exact"/>
              <w:jc w:val="left"/>
              <w:rPr>
                <w:rFonts w:ascii="宋体" w:hAnsi="宋体"/>
                <w:sz w:val="24"/>
                <w:szCs w:val="24"/>
              </w:rPr>
            </w:pPr>
            <w:r>
              <w:rPr>
                <w:rFonts w:hint="eastAsia" w:ascii="宋体" w:hAnsi="宋体"/>
                <w:sz w:val="24"/>
                <w:szCs w:val="24"/>
              </w:rPr>
              <w:t xml:space="preserve">3.2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 </w:t>
            </w:r>
          </w:p>
          <w:p>
            <w:pPr>
              <w:tabs>
                <w:tab w:val="left" w:pos="8280"/>
              </w:tabs>
              <w:spacing w:line="340" w:lineRule="exact"/>
              <w:jc w:val="left"/>
              <w:rPr>
                <w:rFonts w:ascii="宋体" w:hAnsi="宋体"/>
                <w:sz w:val="24"/>
                <w:szCs w:val="24"/>
              </w:rPr>
            </w:pPr>
            <w:r>
              <w:rPr>
                <w:rFonts w:hint="eastAsia" w:ascii="宋体" w:hAnsi="宋体"/>
                <w:sz w:val="24"/>
                <w:szCs w:val="24"/>
              </w:rPr>
              <w:t>3.3单位负责人为同一人或者存在直接控股、管理关系的不同的竞标人，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atLeast"/>
          <w:jc w:val="center"/>
        </w:trPr>
        <w:tc>
          <w:tcPr>
            <w:tcW w:w="504" w:type="dxa"/>
            <w:vAlign w:val="center"/>
          </w:tcPr>
          <w:p>
            <w:pPr>
              <w:pStyle w:val="16"/>
              <w:widowControl/>
              <w:spacing w:line="420" w:lineRule="exact"/>
              <w:jc w:val="center"/>
              <w:textAlignment w:val="baseline"/>
              <w:rPr>
                <w:rFonts w:hAnsi="宋体"/>
                <w:sz w:val="24"/>
                <w:szCs w:val="24"/>
              </w:rPr>
            </w:pPr>
            <w:r>
              <w:rPr>
                <w:rFonts w:hint="eastAsia" w:hAnsi="宋体"/>
                <w:sz w:val="24"/>
                <w:szCs w:val="24"/>
              </w:rPr>
              <w:t>3</w:t>
            </w:r>
          </w:p>
        </w:tc>
        <w:tc>
          <w:tcPr>
            <w:tcW w:w="9681" w:type="dxa"/>
            <w:vAlign w:val="center"/>
          </w:tcPr>
          <w:p>
            <w:pPr>
              <w:pStyle w:val="16"/>
              <w:widowControl/>
              <w:snapToGrid w:val="0"/>
              <w:spacing w:line="340" w:lineRule="exact"/>
              <w:textAlignment w:val="baseline"/>
              <w:rPr>
                <w:rFonts w:hAnsi="宋体"/>
                <w:sz w:val="24"/>
                <w:szCs w:val="24"/>
              </w:rPr>
            </w:pPr>
            <w:r>
              <w:rPr>
                <w:rFonts w:hint="eastAsia" w:hAnsi="宋体"/>
                <w:sz w:val="24"/>
                <w:szCs w:val="24"/>
              </w:rPr>
              <w:t>竞标报价：竞标人应就《货物需求一览表》中全部内容做完整唯一报价。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3" w:hRule="atLeast"/>
          <w:jc w:val="center"/>
        </w:trPr>
        <w:tc>
          <w:tcPr>
            <w:tcW w:w="504" w:type="dxa"/>
            <w:vAlign w:val="center"/>
          </w:tcPr>
          <w:p>
            <w:pPr>
              <w:pStyle w:val="16"/>
              <w:widowControl/>
              <w:spacing w:line="420" w:lineRule="exact"/>
              <w:jc w:val="center"/>
              <w:textAlignment w:val="baseline"/>
              <w:rPr>
                <w:rFonts w:hAnsi="宋体"/>
                <w:sz w:val="24"/>
                <w:szCs w:val="24"/>
              </w:rPr>
            </w:pPr>
            <w:r>
              <w:rPr>
                <w:rFonts w:hint="eastAsia" w:hAnsi="宋体"/>
                <w:sz w:val="24"/>
                <w:szCs w:val="24"/>
              </w:rPr>
              <w:t>4</w:t>
            </w:r>
          </w:p>
        </w:tc>
        <w:tc>
          <w:tcPr>
            <w:tcW w:w="9681" w:type="dxa"/>
            <w:vAlign w:val="center"/>
          </w:tcPr>
          <w:p>
            <w:pPr>
              <w:pStyle w:val="16"/>
              <w:widowControl/>
              <w:snapToGrid w:val="0"/>
              <w:spacing w:line="340" w:lineRule="exact"/>
              <w:textAlignment w:val="baseline"/>
              <w:rPr>
                <w:rFonts w:hAnsi="宋体"/>
                <w:sz w:val="24"/>
                <w:szCs w:val="24"/>
              </w:rPr>
            </w:pPr>
            <w:r>
              <w:rPr>
                <w:rFonts w:hint="eastAsia" w:hAnsi="宋体"/>
                <w:sz w:val="24"/>
                <w:szCs w:val="24"/>
              </w:rPr>
              <w:t>竞标有效期：竞标截止时间后30天。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4" w:hRule="atLeast"/>
          <w:jc w:val="center"/>
        </w:trPr>
        <w:tc>
          <w:tcPr>
            <w:tcW w:w="504" w:type="dxa"/>
            <w:vAlign w:val="center"/>
          </w:tcPr>
          <w:p>
            <w:pPr>
              <w:pStyle w:val="16"/>
              <w:widowControl/>
              <w:spacing w:line="420" w:lineRule="exact"/>
              <w:jc w:val="center"/>
              <w:textAlignment w:val="baseline"/>
              <w:rPr>
                <w:rFonts w:hAnsi="宋体"/>
                <w:sz w:val="24"/>
                <w:szCs w:val="24"/>
              </w:rPr>
            </w:pPr>
            <w:r>
              <w:rPr>
                <w:rFonts w:hint="eastAsia" w:hAnsi="宋体"/>
                <w:sz w:val="24"/>
                <w:szCs w:val="24"/>
              </w:rPr>
              <w:t>5</w:t>
            </w:r>
          </w:p>
        </w:tc>
        <w:tc>
          <w:tcPr>
            <w:tcW w:w="9681" w:type="dxa"/>
            <w:vAlign w:val="center"/>
          </w:tcPr>
          <w:p>
            <w:pPr>
              <w:pStyle w:val="16"/>
              <w:widowControl/>
              <w:snapToGrid w:val="0"/>
              <w:spacing w:line="340" w:lineRule="exact"/>
              <w:textAlignment w:val="baseline"/>
              <w:rPr>
                <w:rFonts w:hAnsi="宋体"/>
                <w:sz w:val="24"/>
                <w:szCs w:val="24"/>
              </w:rPr>
            </w:pPr>
            <w:r>
              <w:rPr>
                <w:rFonts w:hint="eastAsia" w:hAnsi="宋体"/>
                <w:sz w:val="24"/>
                <w:szCs w:val="24"/>
              </w:rPr>
              <w:t>竞标文件：壹套正本、叁套副本。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jc w:val="center"/>
        </w:trPr>
        <w:tc>
          <w:tcPr>
            <w:tcW w:w="504" w:type="dxa"/>
            <w:vAlign w:val="center"/>
          </w:tcPr>
          <w:p>
            <w:pPr>
              <w:pStyle w:val="16"/>
              <w:widowControl/>
              <w:spacing w:line="420" w:lineRule="exact"/>
              <w:jc w:val="center"/>
              <w:textAlignment w:val="baseline"/>
              <w:rPr>
                <w:rFonts w:hAnsi="宋体"/>
                <w:sz w:val="24"/>
                <w:szCs w:val="24"/>
              </w:rPr>
            </w:pPr>
            <w:r>
              <w:rPr>
                <w:rFonts w:hint="eastAsia" w:hAnsi="宋体"/>
                <w:sz w:val="24"/>
                <w:szCs w:val="24"/>
              </w:rPr>
              <w:t>6</w:t>
            </w:r>
          </w:p>
        </w:tc>
        <w:tc>
          <w:tcPr>
            <w:tcW w:w="9681" w:type="dxa"/>
            <w:vAlign w:val="center"/>
          </w:tcPr>
          <w:p>
            <w:pPr>
              <w:tabs>
                <w:tab w:val="left" w:pos="8280"/>
              </w:tabs>
              <w:spacing w:line="320" w:lineRule="exact"/>
              <w:ind w:firstLine="361" w:firstLineChars="150"/>
              <w:jc w:val="left"/>
              <w:rPr>
                <w:rFonts w:ascii="宋体" w:hAnsi="宋体"/>
                <w:kern w:val="0"/>
                <w:sz w:val="24"/>
                <w:szCs w:val="24"/>
              </w:rPr>
            </w:pPr>
            <w:r>
              <w:rPr>
                <w:rFonts w:hint="eastAsia" w:ascii="宋体" w:hAnsi="宋体"/>
                <w:b/>
                <w:kern w:val="0"/>
                <w:sz w:val="24"/>
                <w:szCs w:val="24"/>
              </w:rPr>
              <w:t>每个标段竞标保证金均为（人民币）：陆仟元整（¥6000.00）</w:t>
            </w:r>
            <w:r>
              <w:rPr>
                <w:rFonts w:hint="eastAsia" w:ascii="宋体" w:hAnsi="宋体"/>
                <w:kern w:val="0"/>
                <w:sz w:val="24"/>
                <w:szCs w:val="24"/>
              </w:rPr>
              <w:t>（办理谈判保证金手续时，请务必在银行转账单或电汇单的用途栏或空白栏上注明竞标项目名称（简称即可）或项目编号和标段号）。</w:t>
            </w:r>
          </w:p>
          <w:p>
            <w:pPr>
              <w:tabs>
                <w:tab w:val="left" w:pos="8280"/>
              </w:tabs>
              <w:spacing w:line="320" w:lineRule="exact"/>
              <w:ind w:firstLine="480" w:firstLineChars="200"/>
              <w:jc w:val="left"/>
              <w:rPr>
                <w:rFonts w:ascii="宋体" w:hAnsi="宋体"/>
                <w:kern w:val="0"/>
                <w:sz w:val="24"/>
                <w:szCs w:val="24"/>
              </w:rPr>
            </w:pPr>
            <w:r>
              <w:rPr>
                <w:rFonts w:hint="eastAsia" w:ascii="宋体" w:hAnsi="宋体"/>
                <w:kern w:val="0"/>
                <w:sz w:val="24"/>
                <w:szCs w:val="24"/>
              </w:rPr>
              <w:t>竞标保证金的交纳方式：银行转账、电汇或网上支付、支票、汇票、本票或者银行、保险机构出具的保函，禁止采用现钞交纳方式。采用银行转账、电汇或网上支付方式的，在竞标截止时间前交至采购代理机构以下账户：</w:t>
            </w:r>
          </w:p>
          <w:p>
            <w:pPr>
              <w:tabs>
                <w:tab w:val="left" w:pos="8280"/>
              </w:tabs>
              <w:spacing w:line="320" w:lineRule="exact"/>
              <w:ind w:firstLine="482" w:firstLineChars="200"/>
              <w:jc w:val="left"/>
              <w:rPr>
                <w:rFonts w:ascii="宋体" w:hAnsi="宋体"/>
                <w:b/>
                <w:kern w:val="0"/>
                <w:sz w:val="24"/>
                <w:szCs w:val="24"/>
              </w:rPr>
            </w:pPr>
            <w:r>
              <w:rPr>
                <w:rFonts w:hint="eastAsia" w:ascii="宋体" w:hAnsi="宋体"/>
                <w:b/>
                <w:kern w:val="0"/>
                <w:sz w:val="24"/>
                <w:szCs w:val="24"/>
              </w:rPr>
              <w:t>开户名称：广西元强建设项目管理有限公司</w:t>
            </w:r>
          </w:p>
          <w:p>
            <w:pPr>
              <w:tabs>
                <w:tab w:val="left" w:pos="8280"/>
              </w:tabs>
              <w:spacing w:line="320" w:lineRule="exact"/>
              <w:ind w:firstLine="482" w:firstLineChars="200"/>
              <w:jc w:val="left"/>
              <w:rPr>
                <w:rFonts w:ascii="宋体" w:hAnsi="宋体"/>
                <w:b/>
                <w:kern w:val="0"/>
                <w:sz w:val="24"/>
                <w:szCs w:val="24"/>
              </w:rPr>
            </w:pPr>
            <w:r>
              <w:rPr>
                <w:rFonts w:hint="eastAsia" w:ascii="宋体" w:hAnsi="宋体"/>
                <w:b/>
                <w:kern w:val="0"/>
                <w:sz w:val="24"/>
                <w:szCs w:val="24"/>
              </w:rPr>
              <w:t>开户银行：中国工商银行股份有限公司百色市新兴支行</w:t>
            </w:r>
          </w:p>
          <w:p>
            <w:pPr>
              <w:tabs>
                <w:tab w:val="left" w:pos="8280"/>
              </w:tabs>
              <w:spacing w:line="320" w:lineRule="exact"/>
              <w:ind w:firstLine="482" w:firstLineChars="200"/>
              <w:jc w:val="left"/>
              <w:rPr>
                <w:rFonts w:ascii="宋体" w:hAnsi="宋体"/>
                <w:b/>
                <w:kern w:val="0"/>
                <w:sz w:val="24"/>
                <w:szCs w:val="24"/>
              </w:rPr>
            </w:pPr>
            <w:r>
              <w:rPr>
                <w:rFonts w:hint="eastAsia" w:ascii="宋体" w:hAnsi="宋体"/>
                <w:b/>
                <w:kern w:val="0"/>
                <w:sz w:val="24"/>
                <w:szCs w:val="24"/>
              </w:rPr>
              <w:t>银行账号：2110 6002 0920 1049 283。</w:t>
            </w:r>
          </w:p>
          <w:p>
            <w:pPr>
              <w:tabs>
                <w:tab w:val="left" w:pos="8280"/>
              </w:tabs>
              <w:spacing w:line="320" w:lineRule="exact"/>
              <w:ind w:firstLine="480" w:firstLineChars="200"/>
              <w:jc w:val="left"/>
              <w:rPr>
                <w:rFonts w:ascii="宋体" w:hAnsi="宋体"/>
                <w:kern w:val="0"/>
                <w:sz w:val="24"/>
                <w:szCs w:val="24"/>
              </w:rPr>
            </w:pPr>
            <w:r>
              <w:rPr>
                <w:rFonts w:hint="eastAsia" w:ascii="宋体" w:hAnsi="宋体"/>
                <w:kern w:val="0"/>
                <w:sz w:val="24"/>
                <w:szCs w:val="24"/>
              </w:rPr>
              <w:t>采用支票、汇票、本票或者保函等方式的，在竞标截止时间前，竞标人应当递交单独密封的支票、汇票、本票、保函原件。否则视为无效竞标保证金。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4" w:hRule="atLeast"/>
          <w:jc w:val="center"/>
        </w:trPr>
        <w:tc>
          <w:tcPr>
            <w:tcW w:w="504" w:type="dxa"/>
            <w:vAlign w:val="center"/>
          </w:tcPr>
          <w:p>
            <w:pPr>
              <w:pStyle w:val="49"/>
              <w:widowControl/>
              <w:spacing w:line="420" w:lineRule="exact"/>
              <w:jc w:val="center"/>
              <w:textAlignment w:val="baseline"/>
              <w:rPr>
                <w:rFonts w:ascii="宋体" w:hAnsi="宋体"/>
                <w:sz w:val="24"/>
                <w:szCs w:val="24"/>
              </w:rPr>
            </w:pPr>
            <w:r>
              <w:rPr>
                <w:rFonts w:hint="eastAsia" w:ascii="宋体" w:hAnsi="宋体"/>
                <w:sz w:val="24"/>
                <w:szCs w:val="24"/>
              </w:rPr>
              <w:t>7</w:t>
            </w:r>
          </w:p>
        </w:tc>
        <w:tc>
          <w:tcPr>
            <w:tcW w:w="9681" w:type="dxa"/>
          </w:tcPr>
          <w:p>
            <w:pPr>
              <w:snapToGrid w:val="0"/>
              <w:spacing w:line="340" w:lineRule="exact"/>
              <w:textAlignment w:val="baseline"/>
              <w:rPr>
                <w:rFonts w:ascii="宋体" w:hAnsi="宋体"/>
                <w:b/>
                <w:spacing w:val="-4"/>
                <w:sz w:val="24"/>
                <w:szCs w:val="24"/>
                <w:u w:val="single"/>
              </w:rPr>
            </w:pPr>
            <w:r>
              <w:rPr>
                <w:rFonts w:hint="eastAsia" w:ascii="宋体" w:hAnsi="宋体"/>
                <w:kern w:val="0"/>
                <w:sz w:val="24"/>
                <w:szCs w:val="24"/>
              </w:rPr>
              <w:t>竞标文件递交地点：</w:t>
            </w:r>
            <w:r>
              <w:rPr>
                <w:rFonts w:hint="eastAsia" w:ascii="宋体" w:hAnsi="宋体"/>
                <w:b/>
                <w:kern w:val="0"/>
                <w:sz w:val="24"/>
                <w:szCs w:val="24"/>
                <w:u w:val="single"/>
              </w:rPr>
              <w:t>广西元强建设项目管理有限公司开标厅（广西百色市龙景区新环球投资大厦左塔1926号）</w:t>
            </w:r>
            <w:r>
              <w:rPr>
                <w:rFonts w:hint="eastAsia" w:ascii="宋体" w:hAnsi="宋体"/>
                <w:kern w:val="0"/>
                <w:sz w:val="24"/>
                <w:szCs w:val="24"/>
              </w:rPr>
              <w:t>，由采购代理机构工作人员签收。</w:t>
            </w:r>
          </w:p>
          <w:p>
            <w:pPr>
              <w:pStyle w:val="49"/>
              <w:widowControl/>
              <w:adjustRightInd w:val="0"/>
              <w:snapToGrid w:val="0"/>
              <w:spacing w:line="340" w:lineRule="exact"/>
              <w:textAlignment w:val="baseline"/>
              <w:rPr>
                <w:rFonts w:ascii="宋体" w:hAnsi="宋体"/>
                <w:kern w:val="0"/>
                <w:sz w:val="24"/>
                <w:szCs w:val="24"/>
                <w:u w:val="single"/>
              </w:rPr>
            </w:pPr>
            <w:r>
              <w:rPr>
                <w:rFonts w:hint="eastAsia" w:ascii="宋体" w:hAnsi="宋体"/>
                <w:sz w:val="24"/>
                <w:szCs w:val="24"/>
              </w:rPr>
              <w:t>竞标文件递交截止时间：</w:t>
            </w:r>
            <w:r>
              <w:rPr>
                <w:rFonts w:hint="eastAsia" w:ascii="宋体" w:hAnsi="宋体"/>
                <w:b/>
                <w:kern w:val="0"/>
                <w:sz w:val="24"/>
                <w:szCs w:val="24"/>
                <w:u w:val="single"/>
              </w:rPr>
              <w:t>2020年  月  日  时  分</w:t>
            </w:r>
            <w:r>
              <w:rPr>
                <w:rFonts w:hint="eastAsia" w:ascii="宋体" w:hAnsi="宋体"/>
                <w:b/>
                <w:kern w:val="0"/>
                <w:sz w:val="24"/>
                <w:szCs w:val="24"/>
              </w:rPr>
              <w:t>止</w:t>
            </w:r>
            <w:r>
              <w:rPr>
                <w:rFonts w:hint="eastAsia" w:ascii="宋体" w:hAnsi="宋体"/>
                <w:sz w:val="24"/>
                <w:szCs w:val="24"/>
              </w:rPr>
              <w:t>；不递交至指定地点或</w:t>
            </w:r>
            <w:r>
              <w:rPr>
                <w:rFonts w:hint="eastAsia" w:ascii="宋体" w:hAnsi="宋体"/>
                <w:kern w:val="0"/>
                <w:sz w:val="24"/>
                <w:szCs w:val="24"/>
              </w:rPr>
              <w:t>逾期递交的竞标文件采购人将不予受理。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504" w:type="dxa"/>
            <w:vAlign w:val="center"/>
          </w:tcPr>
          <w:p>
            <w:pPr>
              <w:pStyle w:val="49"/>
              <w:widowControl/>
              <w:spacing w:line="420" w:lineRule="exact"/>
              <w:jc w:val="center"/>
              <w:textAlignment w:val="baseline"/>
              <w:rPr>
                <w:rFonts w:ascii="宋体" w:hAnsi="宋体"/>
                <w:sz w:val="24"/>
                <w:szCs w:val="24"/>
              </w:rPr>
            </w:pPr>
            <w:r>
              <w:rPr>
                <w:rFonts w:hint="eastAsia" w:ascii="宋体" w:hAnsi="宋体"/>
                <w:sz w:val="24"/>
                <w:szCs w:val="24"/>
              </w:rPr>
              <w:t>8</w:t>
            </w:r>
          </w:p>
        </w:tc>
        <w:tc>
          <w:tcPr>
            <w:tcW w:w="9681" w:type="dxa"/>
          </w:tcPr>
          <w:p>
            <w:pPr>
              <w:adjustRightInd w:val="0"/>
              <w:snapToGrid w:val="0"/>
              <w:spacing w:line="340" w:lineRule="exact"/>
              <w:jc w:val="left"/>
              <w:textAlignment w:val="baseline"/>
              <w:rPr>
                <w:rFonts w:ascii="宋体" w:hAnsi="宋体"/>
                <w:b/>
                <w:kern w:val="0"/>
                <w:sz w:val="24"/>
                <w:szCs w:val="24"/>
              </w:rPr>
            </w:pPr>
            <w:r>
              <w:rPr>
                <w:rFonts w:hint="eastAsia" w:ascii="宋体" w:hAnsi="宋体"/>
                <w:kern w:val="0"/>
                <w:sz w:val="24"/>
                <w:szCs w:val="24"/>
              </w:rPr>
              <w:t>谈判时间：</w:t>
            </w:r>
            <w:r>
              <w:rPr>
                <w:rFonts w:hint="eastAsia" w:ascii="宋体" w:hAnsi="宋体"/>
                <w:b/>
                <w:kern w:val="0"/>
                <w:sz w:val="24"/>
                <w:szCs w:val="24"/>
                <w:u w:val="single"/>
              </w:rPr>
              <w:t>2020年  月  日  时  分</w:t>
            </w:r>
            <w:r>
              <w:rPr>
                <w:rFonts w:hint="eastAsia" w:ascii="宋体" w:hAnsi="宋体"/>
                <w:b/>
                <w:kern w:val="0"/>
                <w:sz w:val="24"/>
                <w:szCs w:val="24"/>
              </w:rPr>
              <w:t>截标后，具体时间由采购代理机构另行通知；</w:t>
            </w:r>
          </w:p>
          <w:p>
            <w:pPr>
              <w:adjustRightInd w:val="0"/>
              <w:snapToGrid w:val="0"/>
              <w:spacing w:line="340" w:lineRule="exact"/>
              <w:jc w:val="left"/>
              <w:textAlignment w:val="baseline"/>
              <w:rPr>
                <w:rFonts w:ascii="宋体" w:hAnsi="宋体"/>
                <w:kern w:val="0"/>
                <w:sz w:val="24"/>
                <w:szCs w:val="24"/>
              </w:rPr>
            </w:pPr>
            <w:r>
              <w:rPr>
                <w:rFonts w:hint="eastAsia" w:ascii="宋体" w:hAnsi="宋体"/>
                <w:kern w:val="0"/>
                <w:sz w:val="24"/>
                <w:szCs w:val="24"/>
              </w:rPr>
              <w:t>地点：</w:t>
            </w:r>
            <w:r>
              <w:rPr>
                <w:rFonts w:hint="eastAsia" w:ascii="宋体" w:hAnsi="宋体"/>
                <w:b/>
                <w:kern w:val="0"/>
                <w:sz w:val="24"/>
                <w:szCs w:val="24"/>
                <w:u w:val="single"/>
              </w:rPr>
              <w:t>广西元强建设项目管理有限公司开标厅（广西百色市龙景区新环球投资大厦左塔1926号）</w:t>
            </w:r>
            <w:r>
              <w:rPr>
                <w:rFonts w:hint="eastAsia" w:ascii="宋体" w:hAnsi="宋体"/>
                <w:b/>
                <w:kern w:val="0"/>
                <w:sz w:val="24"/>
                <w:szCs w:val="24"/>
              </w:rPr>
              <w:t>；</w:t>
            </w:r>
          </w:p>
          <w:p>
            <w:pPr>
              <w:pStyle w:val="49"/>
              <w:widowControl/>
              <w:snapToGrid w:val="0"/>
              <w:spacing w:line="340" w:lineRule="exact"/>
              <w:textAlignment w:val="baseline"/>
              <w:rPr>
                <w:rFonts w:hAnsi="宋体"/>
                <w:b/>
                <w:sz w:val="24"/>
                <w:szCs w:val="24"/>
              </w:rPr>
            </w:pPr>
            <w:r>
              <w:rPr>
                <w:rFonts w:hint="eastAsia" w:ascii="宋体" w:hAnsi="宋体"/>
                <w:kern w:val="0"/>
                <w:sz w:val="24"/>
                <w:szCs w:val="24"/>
              </w:rPr>
              <w:t>谈判携带材料：</w:t>
            </w:r>
            <w:r>
              <w:rPr>
                <w:rFonts w:hint="eastAsia" w:hAnsi="宋体"/>
                <w:b/>
                <w:sz w:val="24"/>
                <w:szCs w:val="24"/>
              </w:rPr>
              <w:t>⑴法法定代表人持营业执照复印件加盖单位公章、本人第二代居民身份证或授权委托人持授权委托书原件及本人第二代居民身份证；</w:t>
            </w:r>
            <w:r>
              <w:rPr>
                <w:rFonts w:hint="eastAsia" w:ascii="宋体" w:hAnsi="宋体"/>
                <w:b/>
                <w:sz w:val="24"/>
                <w:szCs w:val="24"/>
              </w:rPr>
              <w:t>(2)竞标保证金缴纳凭证证明材料；准时到现场参加谈判,同时递交一份“保证金交款底单、退款申请函”。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0" w:hRule="atLeast"/>
          <w:jc w:val="center"/>
        </w:trPr>
        <w:tc>
          <w:tcPr>
            <w:tcW w:w="504" w:type="dxa"/>
            <w:vAlign w:val="center"/>
          </w:tcPr>
          <w:p>
            <w:pPr>
              <w:pStyle w:val="16"/>
              <w:widowControl/>
              <w:spacing w:line="420" w:lineRule="exact"/>
              <w:jc w:val="center"/>
              <w:textAlignment w:val="baseline"/>
              <w:rPr>
                <w:rFonts w:hAnsi="宋体"/>
                <w:sz w:val="24"/>
                <w:szCs w:val="24"/>
              </w:rPr>
            </w:pPr>
            <w:r>
              <w:rPr>
                <w:rFonts w:hint="eastAsia" w:hAnsi="宋体"/>
                <w:sz w:val="24"/>
                <w:szCs w:val="24"/>
              </w:rPr>
              <w:t>9</w:t>
            </w:r>
          </w:p>
        </w:tc>
        <w:tc>
          <w:tcPr>
            <w:tcW w:w="9681" w:type="dxa"/>
            <w:vAlign w:val="center"/>
          </w:tcPr>
          <w:p>
            <w:pPr>
              <w:pStyle w:val="16"/>
              <w:widowControl/>
              <w:snapToGrid w:val="0"/>
              <w:spacing w:line="340" w:lineRule="exact"/>
              <w:textAlignment w:val="baseline"/>
              <w:rPr>
                <w:rFonts w:hAnsi="宋体"/>
                <w:sz w:val="24"/>
                <w:szCs w:val="24"/>
              </w:rPr>
            </w:pPr>
            <w:r>
              <w:rPr>
                <w:rFonts w:hint="eastAsia" w:hAnsi="宋体"/>
                <w:sz w:val="24"/>
                <w:szCs w:val="24"/>
              </w:rPr>
              <w:t>评审办法：</w:t>
            </w:r>
            <w:r>
              <w:rPr>
                <w:rFonts w:hint="eastAsia" w:hAnsi="宋体"/>
                <w:bCs/>
                <w:sz w:val="24"/>
                <w:szCs w:val="24"/>
              </w:rPr>
              <w:t>谈判小组应当从质量和服务均能满足竞争性谈判文件实质性响应要求的供应商中，按照最后报价由低到高的顺序提出3名以上成交候选人，并编写评审报告。 采购代理机构应当在评审结束后2个工作日内将评审报告送采购人确认。采购人应当在收到评审报告后5个工作日内，从评审报告提出的成交候选人中，根据质量和服务均能满足竞争性谈判文件实质性响应要求且最后报价最低的原则确定成交供应商。采购人逾期未确定成交供应商且不提出异议的，视为确定评审报告提出的最后报价最低的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504" w:type="dxa"/>
            <w:vAlign w:val="center"/>
          </w:tcPr>
          <w:p>
            <w:pPr>
              <w:pStyle w:val="16"/>
              <w:widowControl/>
              <w:spacing w:line="420" w:lineRule="exact"/>
              <w:jc w:val="center"/>
              <w:textAlignment w:val="baseline"/>
              <w:rPr>
                <w:rFonts w:hAnsi="宋体"/>
                <w:sz w:val="24"/>
                <w:szCs w:val="24"/>
              </w:rPr>
            </w:pPr>
            <w:r>
              <w:rPr>
                <w:rFonts w:hint="eastAsia" w:hAnsi="宋体"/>
                <w:sz w:val="24"/>
                <w:szCs w:val="24"/>
              </w:rPr>
              <w:t>10</w:t>
            </w:r>
          </w:p>
        </w:tc>
        <w:tc>
          <w:tcPr>
            <w:tcW w:w="9681" w:type="dxa"/>
            <w:vAlign w:val="center"/>
          </w:tcPr>
          <w:p>
            <w:pPr>
              <w:pStyle w:val="16"/>
              <w:widowControl/>
              <w:snapToGrid w:val="0"/>
              <w:spacing w:line="340" w:lineRule="exact"/>
              <w:textAlignment w:val="baseline"/>
              <w:rPr>
                <w:rFonts w:hAnsi="宋体"/>
                <w:color w:val="000000"/>
                <w:sz w:val="24"/>
                <w:szCs w:val="24"/>
              </w:rPr>
            </w:pPr>
            <w:r>
              <w:rPr>
                <w:rFonts w:hint="eastAsia" w:hAnsi="宋体"/>
                <w:sz w:val="24"/>
                <w:szCs w:val="24"/>
              </w:rPr>
              <w:t>代理服务费：</w:t>
            </w:r>
            <w:r>
              <w:rPr>
                <w:rFonts w:hint="eastAsia" w:hAnsi="宋体"/>
                <w:color w:val="000000"/>
                <w:sz w:val="24"/>
                <w:szCs w:val="24"/>
              </w:rPr>
              <w:t>①代理服务费按采购人与代理机构签订的委托代理协议约定的收费标准计取，由成交人在领取通知书时向采购代理机构一次性支付。②本项目评审专家劳务费标准按照广西区财政厅桂财采〔2017〕15号《关于印发广西壮族自治区政府采购评审专家劳务报酬支付标准暂行规定的通知》文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504" w:type="dxa"/>
            <w:vAlign w:val="center"/>
          </w:tcPr>
          <w:p>
            <w:pPr>
              <w:pStyle w:val="16"/>
              <w:widowControl/>
              <w:spacing w:line="420" w:lineRule="exact"/>
              <w:jc w:val="center"/>
              <w:textAlignment w:val="baseline"/>
              <w:rPr>
                <w:rFonts w:hAnsi="宋体"/>
                <w:sz w:val="24"/>
                <w:szCs w:val="24"/>
              </w:rPr>
            </w:pPr>
            <w:r>
              <w:rPr>
                <w:rFonts w:hint="eastAsia" w:hAnsi="宋体"/>
                <w:sz w:val="24"/>
                <w:szCs w:val="24"/>
              </w:rPr>
              <w:t>11</w:t>
            </w:r>
          </w:p>
        </w:tc>
        <w:tc>
          <w:tcPr>
            <w:tcW w:w="9681" w:type="dxa"/>
            <w:vAlign w:val="center"/>
          </w:tcPr>
          <w:p>
            <w:pPr>
              <w:spacing w:line="360" w:lineRule="exact"/>
              <w:rPr>
                <w:rFonts w:ascii="宋体" w:hAnsi="宋体"/>
                <w:sz w:val="24"/>
              </w:rPr>
            </w:pPr>
            <w:r>
              <w:rPr>
                <w:rFonts w:hint="eastAsia" w:ascii="宋体" w:hAnsi="宋体"/>
                <w:sz w:val="24"/>
              </w:rPr>
              <w:t>对供应商资格审查时进行信用查询</w:t>
            </w:r>
          </w:p>
          <w:p>
            <w:pPr>
              <w:spacing w:line="360" w:lineRule="exact"/>
              <w:rPr>
                <w:rFonts w:ascii="宋体" w:hAnsi="宋体"/>
                <w:sz w:val="24"/>
              </w:rPr>
            </w:pPr>
            <w:r>
              <w:rPr>
                <w:rFonts w:hint="eastAsia" w:ascii="宋体" w:hAnsi="宋体"/>
                <w:sz w:val="24"/>
              </w:rPr>
              <w:t>查询渠道：“信用中国”网站(www.creditchina.gov.cn)、中国政府采购网(www.ccgp.gov.cn)等</w:t>
            </w:r>
          </w:p>
          <w:p>
            <w:pPr>
              <w:spacing w:line="360" w:lineRule="exact"/>
              <w:rPr>
                <w:rFonts w:ascii="宋体" w:hAnsi="宋体"/>
                <w:sz w:val="24"/>
              </w:rPr>
            </w:pPr>
            <w:r>
              <w:rPr>
                <w:rFonts w:hint="eastAsia" w:ascii="宋体" w:hAnsi="宋体"/>
                <w:sz w:val="24"/>
              </w:rPr>
              <w:t>查询起止时间：自谈判公告发布之日起至竞标截止时间</w:t>
            </w:r>
          </w:p>
          <w:p>
            <w:pPr>
              <w:spacing w:line="360" w:lineRule="exact"/>
              <w:rPr>
                <w:rFonts w:ascii="宋体" w:hAnsi="宋体"/>
                <w:sz w:val="24"/>
              </w:rPr>
            </w:pPr>
            <w:r>
              <w:rPr>
                <w:rFonts w:hint="eastAsia" w:ascii="宋体" w:hAnsi="宋体"/>
                <w:sz w:val="24"/>
              </w:rPr>
              <w:t>查询记录和证据留存方式：在查询网站中直接打印查询记录，打印材料作为评审资料保存。</w:t>
            </w:r>
          </w:p>
          <w:p>
            <w:pPr>
              <w:pStyle w:val="16"/>
              <w:widowControl/>
              <w:snapToGrid w:val="0"/>
              <w:spacing w:line="340" w:lineRule="exact"/>
              <w:textAlignment w:val="baseline"/>
              <w:rPr>
                <w:rFonts w:hAnsi="宋体"/>
                <w:sz w:val="24"/>
                <w:szCs w:val="24"/>
              </w:rPr>
            </w:pPr>
            <w:r>
              <w:rPr>
                <w:rFonts w:hint="eastAsia" w:hAnsi="宋体"/>
                <w:sz w:val="24"/>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资格审查不通过，不得参与政府采购活动。</w:t>
            </w:r>
          </w:p>
        </w:tc>
      </w:tr>
    </w:tbl>
    <w:p>
      <w:pPr>
        <w:pStyle w:val="3"/>
        <w:spacing w:before="0" w:after="0"/>
        <w:ind w:firstLine="3357" w:firstLineChars="1045"/>
        <w:rPr>
          <w:rFonts w:ascii="宋体" w:hAnsi="宋体" w:eastAsia="宋体"/>
        </w:rPr>
      </w:pPr>
      <w:bookmarkStart w:id="34" w:name="_Toc340341914"/>
      <w:bookmarkStart w:id="35" w:name="_Toc219054924"/>
      <w:bookmarkStart w:id="36" w:name="_Toc105341455"/>
      <w:bookmarkStart w:id="37" w:name="_Toc78294035"/>
    </w:p>
    <w:p/>
    <w:p/>
    <w:p/>
    <w:p/>
    <w:p/>
    <w:p/>
    <w:p/>
    <w:p>
      <w:pPr>
        <w:pStyle w:val="3"/>
        <w:spacing w:before="0" w:after="0"/>
        <w:ind w:firstLine="3357" w:firstLineChars="1045"/>
        <w:rPr>
          <w:rFonts w:ascii="宋体" w:hAnsi="宋体" w:eastAsia="宋体"/>
        </w:rPr>
      </w:pPr>
      <w:bookmarkStart w:id="38" w:name="_Toc6047089"/>
      <w:r>
        <w:rPr>
          <w:rFonts w:hint="eastAsia" w:ascii="宋体" w:hAnsi="宋体" w:eastAsia="宋体"/>
        </w:rPr>
        <w:t>二、竞  标  须  知</w:t>
      </w:r>
      <w:bookmarkEnd w:id="34"/>
      <w:bookmarkEnd w:id="35"/>
      <w:bookmarkEnd w:id="38"/>
    </w:p>
    <w:p>
      <w:pPr>
        <w:pStyle w:val="4"/>
        <w:snapToGrid w:val="0"/>
        <w:spacing w:before="100" w:beforeAutospacing="1" w:after="100" w:afterAutospacing="1" w:line="560" w:lineRule="exact"/>
        <w:jc w:val="center"/>
        <w:rPr>
          <w:rFonts w:ascii="宋体" w:hAnsi="宋体"/>
        </w:rPr>
      </w:pPr>
      <w:bookmarkStart w:id="39" w:name="_Toc6047090"/>
      <w:bookmarkStart w:id="40" w:name="_Toc139257167"/>
      <w:bookmarkStart w:id="41" w:name="_Toc340341915"/>
      <w:bookmarkStart w:id="42" w:name="_Toc269710437"/>
      <w:bookmarkStart w:id="43" w:name="_Toc219055067"/>
      <w:r>
        <w:rPr>
          <w:rFonts w:hint="eastAsia" w:ascii="宋体" w:hAnsi="宋体"/>
          <w:sz w:val="24"/>
        </w:rPr>
        <w:t>（一）  总  则</w:t>
      </w:r>
      <w:bookmarkEnd w:id="39"/>
      <w:bookmarkEnd w:id="40"/>
      <w:bookmarkEnd w:id="41"/>
      <w:bookmarkEnd w:id="42"/>
      <w:bookmarkEnd w:id="43"/>
    </w:p>
    <w:p>
      <w:pPr>
        <w:pStyle w:val="16"/>
        <w:snapToGrid w:val="0"/>
        <w:spacing w:line="440" w:lineRule="exact"/>
        <w:outlineLvl w:val="2"/>
        <w:rPr>
          <w:rFonts w:hAnsi="宋体"/>
          <w:b/>
          <w:sz w:val="24"/>
          <w:szCs w:val="24"/>
        </w:rPr>
      </w:pPr>
      <w:bookmarkStart w:id="44" w:name="_Toc6047091"/>
      <w:bookmarkStart w:id="45" w:name="_Toc219054925"/>
      <w:bookmarkStart w:id="46" w:name="_Toc340341916"/>
      <w:bookmarkStart w:id="47" w:name="_Toc269710438"/>
      <w:bookmarkStart w:id="48" w:name="_Toc219055068"/>
      <w:bookmarkStart w:id="49" w:name="_Toc139257168"/>
      <w:r>
        <w:rPr>
          <w:rFonts w:hint="eastAsia" w:hAnsi="宋体"/>
          <w:b/>
          <w:sz w:val="24"/>
          <w:szCs w:val="24"/>
        </w:rPr>
        <w:t>1.项目名称及编号</w:t>
      </w:r>
      <w:bookmarkEnd w:id="44"/>
      <w:bookmarkEnd w:id="45"/>
      <w:bookmarkEnd w:id="46"/>
      <w:bookmarkEnd w:id="47"/>
      <w:bookmarkEnd w:id="48"/>
    </w:p>
    <w:p>
      <w:pPr>
        <w:pStyle w:val="16"/>
        <w:snapToGrid w:val="0"/>
        <w:spacing w:line="440" w:lineRule="exact"/>
        <w:ind w:firstLine="470" w:firstLineChars="196"/>
        <w:rPr>
          <w:rFonts w:hAnsi="宋体"/>
          <w:sz w:val="24"/>
          <w:szCs w:val="24"/>
        </w:rPr>
      </w:pPr>
      <w:bookmarkStart w:id="50" w:name="_Toc165105668"/>
      <w:bookmarkStart w:id="51" w:name="_Toc219055069"/>
      <w:bookmarkStart w:id="52" w:name="_Toc269710439"/>
      <w:bookmarkStart w:id="53" w:name="_Toc340341917"/>
      <w:bookmarkStart w:id="54" w:name="_Toc219054862"/>
      <w:bookmarkStart w:id="55" w:name="_Toc219054926"/>
      <w:r>
        <w:rPr>
          <w:rFonts w:hint="eastAsia" w:hAnsi="宋体"/>
          <w:sz w:val="24"/>
          <w:szCs w:val="24"/>
        </w:rPr>
        <w:t>1.1项目名称：</w:t>
      </w:r>
      <w:bookmarkEnd w:id="49"/>
      <w:bookmarkEnd w:id="50"/>
      <w:r>
        <w:rPr>
          <w:rFonts w:hint="eastAsia" w:hAnsi="宋体"/>
          <w:bCs/>
          <w:sz w:val="24"/>
          <w:szCs w:val="24"/>
        </w:rPr>
        <w:t>应急救援装备采购</w:t>
      </w:r>
      <w:r>
        <w:rPr>
          <w:rFonts w:hint="eastAsia" w:hAnsi="宋体"/>
          <w:sz w:val="24"/>
          <w:szCs w:val="24"/>
        </w:rPr>
        <w:t>；</w:t>
      </w:r>
      <w:bookmarkEnd w:id="51"/>
      <w:bookmarkEnd w:id="52"/>
      <w:bookmarkEnd w:id="53"/>
      <w:bookmarkEnd w:id="54"/>
      <w:bookmarkEnd w:id="55"/>
    </w:p>
    <w:p>
      <w:pPr>
        <w:pStyle w:val="16"/>
        <w:snapToGrid w:val="0"/>
        <w:spacing w:line="440" w:lineRule="exact"/>
        <w:ind w:firstLine="470" w:firstLineChars="196"/>
        <w:rPr>
          <w:rFonts w:hAnsi="宋体"/>
          <w:sz w:val="24"/>
          <w:szCs w:val="24"/>
        </w:rPr>
      </w:pPr>
      <w:bookmarkStart w:id="56" w:name="_Toc219054927"/>
      <w:bookmarkStart w:id="57" w:name="_Toc219055070"/>
      <w:bookmarkStart w:id="58" w:name="_Toc219054863"/>
      <w:bookmarkStart w:id="59" w:name="_Toc340341918"/>
      <w:bookmarkStart w:id="60" w:name="_Toc269710440"/>
      <w:r>
        <w:rPr>
          <w:rFonts w:hint="eastAsia" w:hAnsi="宋体"/>
          <w:sz w:val="24"/>
          <w:szCs w:val="24"/>
        </w:rPr>
        <w:t>1.2项目编号：</w:t>
      </w:r>
      <w:bookmarkEnd w:id="56"/>
      <w:bookmarkEnd w:id="57"/>
      <w:bookmarkEnd w:id="58"/>
      <w:r>
        <w:rPr>
          <w:rFonts w:hAnsi="宋体"/>
          <w:sz w:val="24"/>
          <w:szCs w:val="24"/>
        </w:rPr>
        <w:t>BSZC20</w:t>
      </w:r>
      <w:r>
        <w:rPr>
          <w:rFonts w:hint="eastAsia" w:hAnsi="宋体"/>
          <w:sz w:val="24"/>
          <w:szCs w:val="24"/>
        </w:rPr>
        <w:t>20</w:t>
      </w:r>
      <w:r>
        <w:rPr>
          <w:rFonts w:hAnsi="宋体"/>
          <w:sz w:val="24"/>
          <w:szCs w:val="24"/>
        </w:rPr>
        <w:t>-J1-</w:t>
      </w:r>
      <w:r>
        <w:rPr>
          <w:rFonts w:hint="eastAsia" w:hAnsi="宋体"/>
          <w:sz w:val="24"/>
          <w:szCs w:val="24"/>
        </w:rPr>
        <w:t>210366</w:t>
      </w:r>
      <w:r>
        <w:rPr>
          <w:rFonts w:hAnsi="宋体"/>
          <w:sz w:val="24"/>
          <w:szCs w:val="24"/>
        </w:rPr>
        <w:t>-</w:t>
      </w:r>
      <w:r>
        <w:rPr>
          <w:rFonts w:hint="eastAsia" w:hAnsi="宋体"/>
          <w:sz w:val="24"/>
          <w:szCs w:val="24"/>
        </w:rPr>
        <w:t>GXYQ；</w:t>
      </w:r>
      <w:bookmarkEnd w:id="59"/>
      <w:bookmarkEnd w:id="60"/>
    </w:p>
    <w:p>
      <w:pPr>
        <w:pStyle w:val="16"/>
        <w:snapToGrid w:val="0"/>
        <w:spacing w:line="440" w:lineRule="exact"/>
        <w:outlineLvl w:val="2"/>
        <w:rPr>
          <w:rFonts w:hAnsi="宋体"/>
          <w:b/>
          <w:sz w:val="24"/>
          <w:szCs w:val="24"/>
        </w:rPr>
      </w:pPr>
      <w:bookmarkStart w:id="61" w:name="_Toc6047092"/>
      <w:bookmarkStart w:id="62" w:name="_Toc165105669"/>
      <w:bookmarkStart w:id="63" w:name="_Toc219054928"/>
      <w:bookmarkStart w:id="64" w:name="_Toc340341919"/>
      <w:bookmarkStart w:id="65" w:name="_Toc139257169"/>
      <w:bookmarkStart w:id="66" w:name="_Toc219055071"/>
      <w:r>
        <w:rPr>
          <w:rFonts w:hint="eastAsia" w:hAnsi="宋体"/>
          <w:b/>
          <w:sz w:val="24"/>
          <w:szCs w:val="24"/>
        </w:rPr>
        <w:t>2.竞标人资格：</w:t>
      </w:r>
      <w:bookmarkEnd w:id="61"/>
      <w:bookmarkEnd w:id="62"/>
      <w:bookmarkEnd w:id="63"/>
      <w:bookmarkEnd w:id="64"/>
      <w:bookmarkEnd w:id="65"/>
      <w:bookmarkEnd w:id="66"/>
    </w:p>
    <w:p>
      <w:pPr>
        <w:pStyle w:val="16"/>
        <w:snapToGrid w:val="0"/>
        <w:spacing w:line="440" w:lineRule="exact"/>
        <w:ind w:firstLine="240" w:firstLineChars="100"/>
        <w:outlineLvl w:val="2"/>
        <w:rPr>
          <w:rFonts w:hAnsi="宋体"/>
          <w:sz w:val="24"/>
          <w:szCs w:val="24"/>
        </w:rPr>
      </w:pPr>
      <w:bookmarkStart w:id="67" w:name="_Toc219054929"/>
      <w:bookmarkStart w:id="68" w:name="_Toc219055072"/>
      <w:bookmarkStart w:id="69" w:name="_Toc165105670"/>
      <w:bookmarkStart w:id="70" w:name="_Toc340341920"/>
      <w:bookmarkStart w:id="71" w:name="_Toc139257170"/>
      <w:bookmarkStart w:id="72" w:name="_Toc6047095"/>
      <w:r>
        <w:rPr>
          <w:rFonts w:hint="eastAsia" w:hAnsi="宋体"/>
          <w:sz w:val="24"/>
          <w:szCs w:val="24"/>
        </w:rPr>
        <w:t>2.1满足《中华人民共和国政府采购法》第二十二条的规定；</w:t>
      </w:r>
    </w:p>
    <w:p>
      <w:pPr>
        <w:pStyle w:val="16"/>
        <w:snapToGrid w:val="0"/>
        <w:spacing w:line="440" w:lineRule="exact"/>
        <w:ind w:firstLine="240" w:firstLineChars="100"/>
        <w:outlineLvl w:val="2"/>
        <w:rPr>
          <w:rFonts w:hAnsi="宋体"/>
          <w:sz w:val="24"/>
          <w:szCs w:val="24"/>
        </w:rPr>
      </w:pPr>
      <w:r>
        <w:rPr>
          <w:rFonts w:hint="eastAsia" w:hAnsi="宋体"/>
          <w:sz w:val="24"/>
          <w:szCs w:val="24"/>
        </w:rPr>
        <w:t>2.2落实政府采购政策需满足的资格要求：</w:t>
      </w:r>
    </w:p>
    <w:p>
      <w:pPr>
        <w:pStyle w:val="16"/>
        <w:snapToGrid w:val="0"/>
        <w:spacing w:line="440" w:lineRule="exact"/>
        <w:outlineLvl w:val="2"/>
        <w:rPr>
          <w:rFonts w:hAnsi="宋体"/>
          <w:sz w:val="24"/>
          <w:szCs w:val="24"/>
        </w:rPr>
      </w:pPr>
      <w:r>
        <w:rPr>
          <w:rFonts w:hint="eastAsia" w:hAnsi="宋体"/>
          <w:sz w:val="24"/>
          <w:szCs w:val="24"/>
        </w:rPr>
        <w:t xml:space="preserve">   (1)政府采购促进中小企业发展；</w:t>
      </w:r>
    </w:p>
    <w:p>
      <w:pPr>
        <w:pStyle w:val="16"/>
        <w:snapToGrid w:val="0"/>
        <w:spacing w:line="440" w:lineRule="exact"/>
        <w:ind w:firstLine="240" w:firstLineChars="100"/>
        <w:outlineLvl w:val="2"/>
        <w:rPr>
          <w:rFonts w:hAnsi="宋体"/>
          <w:sz w:val="24"/>
          <w:szCs w:val="24"/>
        </w:rPr>
      </w:pPr>
      <w:r>
        <w:rPr>
          <w:rFonts w:hint="eastAsia" w:hAnsi="宋体"/>
          <w:sz w:val="24"/>
          <w:szCs w:val="24"/>
        </w:rPr>
        <w:t>（2）政府采购支持采用本国产品的政策；</w:t>
      </w:r>
    </w:p>
    <w:p>
      <w:pPr>
        <w:pStyle w:val="16"/>
        <w:snapToGrid w:val="0"/>
        <w:spacing w:line="440" w:lineRule="exact"/>
        <w:ind w:firstLine="240" w:firstLineChars="100"/>
        <w:outlineLvl w:val="2"/>
        <w:rPr>
          <w:rFonts w:hAnsi="宋体"/>
          <w:sz w:val="24"/>
          <w:szCs w:val="24"/>
        </w:rPr>
      </w:pPr>
      <w:r>
        <w:rPr>
          <w:rFonts w:hint="eastAsia" w:hAnsi="宋体"/>
          <w:sz w:val="24"/>
          <w:szCs w:val="24"/>
        </w:rPr>
        <w:t>（3）最后报价相同时，优先采购环境标志产品、节能产品；</w:t>
      </w:r>
    </w:p>
    <w:p>
      <w:pPr>
        <w:pStyle w:val="16"/>
        <w:snapToGrid w:val="0"/>
        <w:spacing w:line="440" w:lineRule="exact"/>
        <w:ind w:firstLine="240" w:firstLineChars="100"/>
        <w:outlineLvl w:val="2"/>
        <w:rPr>
          <w:rFonts w:hAnsi="宋体"/>
          <w:sz w:val="24"/>
          <w:szCs w:val="24"/>
        </w:rPr>
      </w:pPr>
      <w:r>
        <w:rPr>
          <w:rFonts w:hint="eastAsia" w:hAnsi="宋体"/>
          <w:sz w:val="24"/>
          <w:szCs w:val="24"/>
        </w:rPr>
        <w:t>（4）政府采购促进残疾人就业政策；</w:t>
      </w:r>
    </w:p>
    <w:p>
      <w:pPr>
        <w:pStyle w:val="16"/>
        <w:snapToGrid w:val="0"/>
        <w:spacing w:line="440" w:lineRule="exact"/>
        <w:ind w:firstLine="240" w:firstLineChars="100"/>
        <w:outlineLvl w:val="2"/>
        <w:rPr>
          <w:rFonts w:hAnsi="宋体"/>
          <w:sz w:val="24"/>
          <w:szCs w:val="24"/>
        </w:rPr>
      </w:pPr>
      <w:r>
        <w:rPr>
          <w:rFonts w:hint="eastAsia" w:hAnsi="宋体"/>
          <w:sz w:val="24"/>
          <w:szCs w:val="24"/>
        </w:rPr>
        <w:t>（5）政府采购支持监狱企业发展；</w:t>
      </w:r>
    </w:p>
    <w:p>
      <w:pPr>
        <w:pStyle w:val="16"/>
        <w:snapToGrid w:val="0"/>
        <w:spacing w:line="440" w:lineRule="exact"/>
        <w:ind w:firstLine="240" w:firstLineChars="100"/>
        <w:outlineLvl w:val="2"/>
        <w:rPr>
          <w:rFonts w:hAnsi="宋体"/>
          <w:sz w:val="24"/>
          <w:szCs w:val="24"/>
        </w:rPr>
      </w:pPr>
      <w:r>
        <w:rPr>
          <w:rFonts w:hint="eastAsia" w:hAnsi="宋体"/>
          <w:sz w:val="24"/>
          <w:szCs w:val="24"/>
        </w:rPr>
        <w:t>（6）优先采购环境标志产品、节能产品；</w:t>
      </w:r>
    </w:p>
    <w:p>
      <w:pPr>
        <w:pStyle w:val="16"/>
        <w:snapToGrid w:val="0"/>
        <w:spacing w:line="440" w:lineRule="exact"/>
        <w:ind w:firstLine="240" w:firstLineChars="100"/>
        <w:outlineLvl w:val="2"/>
        <w:rPr>
          <w:rFonts w:hAnsi="宋体"/>
          <w:sz w:val="24"/>
          <w:szCs w:val="24"/>
        </w:rPr>
      </w:pPr>
      <w:r>
        <w:rPr>
          <w:rFonts w:hint="eastAsia" w:hAnsi="宋体"/>
          <w:sz w:val="24"/>
          <w:szCs w:val="24"/>
        </w:rPr>
        <w:t>（7）扶持不发达地区和少数民族地区政策；</w:t>
      </w:r>
    </w:p>
    <w:p>
      <w:pPr>
        <w:pStyle w:val="16"/>
        <w:snapToGrid w:val="0"/>
        <w:spacing w:line="440" w:lineRule="exact"/>
        <w:ind w:firstLine="240" w:firstLineChars="100"/>
        <w:outlineLvl w:val="2"/>
        <w:rPr>
          <w:rFonts w:hAnsi="宋体"/>
          <w:sz w:val="24"/>
          <w:szCs w:val="24"/>
        </w:rPr>
      </w:pPr>
      <w:r>
        <w:rPr>
          <w:rFonts w:hint="eastAsia" w:hAnsi="宋体"/>
          <w:sz w:val="24"/>
          <w:szCs w:val="24"/>
        </w:rPr>
        <w:t>（8）本项目采购内容不涉及政府强制采购的节能产品。</w:t>
      </w:r>
    </w:p>
    <w:p>
      <w:pPr>
        <w:pStyle w:val="16"/>
        <w:snapToGrid w:val="0"/>
        <w:spacing w:line="440" w:lineRule="exact"/>
        <w:ind w:firstLine="120" w:firstLineChars="50"/>
        <w:outlineLvl w:val="2"/>
        <w:rPr>
          <w:rFonts w:hAnsi="宋体"/>
          <w:sz w:val="24"/>
          <w:szCs w:val="24"/>
        </w:rPr>
      </w:pPr>
      <w:r>
        <w:rPr>
          <w:rFonts w:hint="eastAsia" w:hAnsi="宋体"/>
          <w:sz w:val="24"/>
          <w:szCs w:val="24"/>
        </w:rPr>
        <w:t>3.本项目的特定资格要求：</w:t>
      </w:r>
    </w:p>
    <w:p>
      <w:pPr>
        <w:pStyle w:val="16"/>
        <w:snapToGrid w:val="0"/>
        <w:spacing w:line="440" w:lineRule="exact"/>
        <w:ind w:firstLine="240" w:firstLineChars="100"/>
        <w:outlineLvl w:val="2"/>
        <w:rPr>
          <w:rFonts w:hAnsi="宋体"/>
          <w:sz w:val="24"/>
          <w:szCs w:val="24"/>
        </w:rPr>
      </w:pPr>
      <w:r>
        <w:rPr>
          <w:rFonts w:hint="eastAsia" w:hAnsi="宋体"/>
          <w:sz w:val="24"/>
          <w:szCs w:val="24"/>
        </w:rPr>
        <w:t>2.3.1国内注册（指按国家有关规定要求注册的）生产或经营本次采购货物的合格供应商。</w:t>
      </w:r>
    </w:p>
    <w:p>
      <w:pPr>
        <w:pStyle w:val="16"/>
        <w:snapToGrid w:val="0"/>
        <w:spacing w:line="440" w:lineRule="exact"/>
        <w:ind w:firstLine="240" w:firstLineChars="100"/>
        <w:outlineLvl w:val="2"/>
        <w:rPr>
          <w:rFonts w:hAnsi="宋体"/>
          <w:sz w:val="24"/>
          <w:szCs w:val="24"/>
        </w:rPr>
      </w:pPr>
      <w:r>
        <w:rPr>
          <w:rFonts w:hint="eastAsia" w:hAnsi="宋体"/>
          <w:sz w:val="24"/>
          <w:szCs w:val="24"/>
        </w:rPr>
        <w:t xml:space="preserve">2.3.2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 </w:t>
      </w:r>
    </w:p>
    <w:p>
      <w:pPr>
        <w:pStyle w:val="16"/>
        <w:snapToGrid w:val="0"/>
        <w:spacing w:line="440" w:lineRule="exact"/>
        <w:ind w:firstLine="240" w:firstLineChars="100"/>
        <w:outlineLvl w:val="2"/>
        <w:rPr>
          <w:rFonts w:hAnsi="宋体"/>
          <w:b/>
          <w:sz w:val="24"/>
          <w:szCs w:val="24"/>
        </w:rPr>
      </w:pPr>
      <w:r>
        <w:rPr>
          <w:rFonts w:hint="eastAsia" w:hAnsi="宋体"/>
          <w:sz w:val="24"/>
          <w:szCs w:val="24"/>
        </w:rPr>
        <w:t>2.3.3单位负责人为同一人或者存在直接控股、管理关系的不同的竞标人，不得参加同一合同项下的政府采购活动。除单一来源采购项目外，为采购项目提供整体设计、规范编制或者项目管理、监理、检测等服务的供应商，不得再参加该采购项目的其他采购活动。</w:t>
      </w:r>
      <w:r>
        <w:rPr>
          <w:rFonts w:hint="eastAsia" w:hAnsi="宋体"/>
          <w:b/>
          <w:sz w:val="24"/>
          <w:szCs w:val="24"/>
        </w:rPr>
        <w:t>3. 竞标费用</w:t>
      </w:r>
      <w:bookmarkEnd w:id="67"/>
      <w:bookmarkEnd w:id="68"/>
      <w:bookmarkEnd w:id="69"/>
      <w:bookmarkEnd w:id="70"/>
      <w:bookmarkEnd w:id="71"/>
      <w:bookmarkEnd w:id="72"/>
    </w:p>
    <w:p>
      <w:pPr>
        <w:pStyle w:val="18"/>
        <w:snapToGrid w:val="0"/>
        <w:spacing w:line="440" w:lineRule="exact"/>
        <w:ind w:firstLine="480"/>
        <w:rPr>
          <w:rFonts w:hAnsi="宋体"/>
          <w:color w:val="auto"/>
          <w:sz w:val="24"/>
          <w:szCs w:val="24"/>
        </w:rPr>
      </w:pPr>
      <w:bookmarkStart w:id="73" w:name="_Toc105341450"/>
      <w:bookmarkStart w:id="74" w:name="_Toc78294030"/>
      <w:r>
        <w:rPr>
          <w:rFonts w:hint="eastAsia" w:hAnsi="宋体"/>
          <w:color w:val="auto"/>
          <w:sz w:val="24"/>
          <w:szCs w:val="24"/>
        </w:rPr>
        <w:t>3.1 文件资料费：</w:t>
      </w:r>
      <w:r>
        <w:rPr>
          <w:rFonts w:hint="eastAsia" w:hAnsi="宋体"/>
          <w:color w:val="auto"/>
          <w:sz w:val="24"/>
          <w:szCs w:val="24"/>
          <w:u w:val="single"/>
        </w:rPr>
        <w:t>250</w:t>
      </w:r>
      <w:r>
        <w:rPr>
          <w:rFonts w:hint="eastAsia" w:hAnsi="宋体"/>
          <w:color w:val="auto"/>
          <w:sz w:val="24"/>
          <w:szCs w:val="24"/>
        </w:rPr>
        <w:t>元/份</w:t>
      </w:r>
      <w:r>
        <w:rPr>
          <w:rFonts w:hint="eastAsia" w:hAnsi="宋体"/>
          <w:b/>
          <w:color w:val="auto"/>
          <w:sz w:val="24"/>
          <w:szCs w:val="24"/>
        </w:rPr>
        <w:t>，</w:t>
      </w:r>
      <w:r>
        <w:rPr>
          <w:rFonts w:hint="eastAsia" w:hAnsi="宋体"/>
          <w:color w:val="auto"/>
          <w:sz w:val="24"/>
          <w:szCs w:val="24"/>
        </w:rPr>
        <w:t>竞标人应自行承担所有与本次竞标有关的全部费用，无论竞标进程的处理方式和最后竞标结果如何，采购人对竞标人不承担任何费用。</w:t>
      </w:r>
    </w:p>
    <w:bookmarkEnd w:id="73"/>
    <w:bookmarkEnd w:id="74"/>
    <w:p>
      <w:pPr>
        <w:pStyle w:val="4"/>
        <w:snapToGrid w:val="0"/>
        <w:spacing w:before="100" w:beforeAutospacing="1" w:after="100" w:afterAutospacing="1" w:line="560" w:lineRule="exact"/>
        <w:jc w:val="center"/>
        <w:rPr>
          <w:rFonts w:ascii="宋体" w:hAnsi="宋体"/>
          <w:sz w:val="24"/>
          <w:szCs w:val="24"/>
        </w:rPr>
      </w:pPr>
      <w:bookmarkStart w:id="75" w:name="_Toc139257171"/>
      <w:bookmarkStart w:id="76" w:name="_Toc269710443"/>
      <w:bookmarkStart w:id="77" w:name="_Toc340341921"/>
      <w:bookmarkStart w:id="78" w:name="_Toc6047096"/>
      <w:r>
        <w:rPr>
          <w:rFonts w:hint="eastAsia" w:ascii="宋体" w:hAnsi="宋体"/>
          <w:sz w:val="24"/>
          <w:szCs w:val="24"/>
        </w:rPr>
        <w:t>（二</w:t>
      </w:r>
      <w:bookmarkEnd w:id="75"/>
      <w:r>
        <w:rPr>
          <w:rFonts w:hint="eastAsia" w:ascii="宋体" w:hAnsi="宋体"/>
          <w:sz w:val="24"/>
          <w:szCs w:val="24"/>
        </w:rPr>
        <w:t>）竞争性谈判文件</w:t>
      </w:r>
      <w:bookmarkEnd w:id="76"/>
      <w:bookmarkEnd w:id="77"/>
      <w:bookmarkEnd w:id="78"/>
    </w:p>
    <w:p>
      <w:pPr>
        <w:pStyle w:val="16"/>
        <w:snapToGrid w:val="0"/>
        <w:spacing w:line="440" w:lineRule="exact"/>
        <w:outlineLvl w:val="2"/>
        <w:rPr>
          <w:rFonts w:hAnsi="宋体"/>
          <w:b/>
          <w:sz w:val="24"/>
          <w:szCs w:val="24"/>
        </w:rPr>
      </w:pPr>
      <w:bookmarkStart w:id="79" w:name="_Toc139257172"/>
      <w:bookmarkStart w:id="80" w:name="_Toc219055074"/>
      <w:bookmarkStart w:id="81" w:name="_Toc340341922"/>
      <w:bookmarkStart w:id="82" w:name="_Toc219054930"/>
      <w:bookmarkStart w:id="83" w:name="_Toc6047097"/>
      <w:r>
        <w:rPr>
          <w:rFonts w:hint="eastAsia" w:hAnsi="宋体"/>
          <w:b/>
          <w:sz w:val="24"/>
          <w:szCs w:val="24"/>
        </w:rPr>
        <w:t>4.竞争性谈判文件构成</w:t>
      </w:r>
      <w:bookmarkEnd w:id="79"/>
      <w:bookmarkEnd w:id="80"/>
      <w:bookmarkEnd w:id="81"/>
      <w:bookmarkEnd w:id="82"/>
      <w:bookmarkEnd w:id="83"/>
    </w:p>
    <w:p>
      <w:pPr>
        <w:pStyle w:val="16"/>
        <w:snapToGrid w:val="0"/>
        <w:spacing w:line="440" w:lineRule="exact"/>
        <w:ind w:firstLine="420"/>
        <w:rPr>
          <w:rFonts w:hAnsi="宋体"/>
          <w:sz w:val="24"/>
          <w:szCs w:val="24"/>
        </w:rPr>
      </w:pPr>
      <w:r>
        <w:rPr>
          <w:rFonts w:hint="eastAsia" w:hAnsi="宋体"/>
          <w:sz w:val="24"/>
          <w:szCs w:val="24"/>
        </w:rPr>
        <w:t>4.1竞争性谈判文件包括：</w:t>
      </w:r>
    </w:p>
    <w:p>
      <w:pPr>
        <w:pStyle w:val="16"/>
        <w:snapToGrid w:val="0"/>
        <w:spacing w:line="440" w:lineRule="exact"/>
        <w:ind w:firstLine="710"/>
        <w:rPr>
          <w:rFonts w:hAnsi="宋体"/>
          <w:sz w:val="24"/>
          <w:szCs w:val="24"/>
        </w:rPr>
      </w:pPr>
      <w:r>
        <w:rPr>
          <w:rFonts w:hint="eastAsia" w:hAnsi="宋体"/>
          <w:sz w:val="24"/>
          <w:szCs w:val="24"/>
        </w:rPr>
        <w:t>⑴竞标公告；</w:t>
      </w:r>
    </w:p>
    <w:p>
      <w:pPr>
        <w:pStyle w:val="16"/>
        <w:snapToGrid w:val="0"/>
        <w:spacing w:line="440" w:lineRule="exact"/>
        <w:ind w:firstLine="710"/>
        <w:rPr>
          <w:rFonts w:hAnsi="宋体"/>
          <w:sz w:val="24"/>
          <w:szCs w:val="24"/>
        </w:rPr>
      </w:pPr>
      <w:r>
        <w:rPr>
          <w:rFonts w:hint="eastAsia" w:hAnsi="宋体"/>
          <w:sz w:val="24"/>
          <w:szCs w:val="24"/>
        </w:rPr>
        <w:t>⑵竞标人须知及前附表；</w:t>
      </w:r>
    </w:p>
    <w:p>
      <w:pPr>
        <w:pStyle w:val="16"/>
        <w:snapToGrid w:val="0"/>
        <w:spacing w:line="440" w:lineRule="exact"/>
        <w:ind w:firstLine="710"/>
        <w:rPr>
          <w:rFonts w:hAnsi="宋体"/>
          <w:sz w:val="24"/>
          <w:szCs w:val="24"/>
        </w:rPr>
      </w:pPr>
      <w:r>
        <w:rPr>
          <w:rFonts w:hint="eastAsia" w:hAnsi="宋体"/>
          <w:sz w:val="24"/>
          <w:szCs w:val="24"/>
        </w:rPr>
        <w:t>⑶项目要求及货物需求一览表；</w:t>
      </w:r>
    </w:p>
    <w:p>
      <w:pPr>
        <w:pStyle w:val="16"/>
        <w:snapToGrid w:val="0"/>
        <w:spacing w:line="440" w:lineRule="exact"/>
        <w:ind w:firstLine="710"/>
        <w:rPr>
          <w:rFonts w:hAnsi="宋体"/>
          <w:sz w:val="24"/>
          <w:szCs w:val="24"/>
        </w:rPr>
      </w:pPr>
      <w:r>
        <w:rPr>
          <w:rFonts w:hint="eastAsia" w:hAnsi="宋体"/>
          <w:sz w:val="24"/>
          <w:szCs w:val="24"/>
        </w:rPr>
        <w:t>⑷合同基本条款及合同书(格式)；</w:t>
      </w:r>
    </w:p>
    <w:p>
      <w:pPr>
        <w:pStyle w:val="16"/>
        <w:snapToGrid w:val="0"/>
        <w:spacing w:line="440" w:lineRule="exact"/>
        <w:ind w:firstLine="710"/>
        <w:rPr>
          <w:rFonts w:hAnsi="宋体"/>
          <w:sz w:val="24"/>
          <w:szCs w:val="24"/>
        </w:rPr>
      </w:pPr>
      <w:r>
        <w:rPr>
          <w:rFonts w:hint="eastAsia" w:hAnsi="宋体"/>
          <w:sz w:val="24"/>
          <w:szCs w:val="24"/>
        </w:rPr>
        <w:t>⑸评审原则和成交标准;</w:t>
      </w:r>
    </w:p>
    <w:p>
      <w:pPr>
        <w:pStyle w:val="16"/>
        <w:snapToGrid w:val="0"/>
        <w:spacing w:line="440" w:lineRule="exact"/>
        <w:ind w:firstLine="710"/>
        <w:rPr>
          <w:rFonts w:hAnsi="宋体"/>
          <w:sz w:val="24"/>
          <w:szCs w:val="24"/>
        </w:rPr>
      </w:pPr>
      <w:r>
        <w:rPr>
          <w:rFonts w:hint="eastAsia" w:hAnsi="宋体"/>
          <w:sz w:val="24"/>
          <w:szCs w:val="24"/>
        </w:rPr>
        <w:t>⑹竞标文件(格式)；</w:t>
      </w:r>
    </w:p>
    <w:p>
      <w:pPr>
        <w:pStyle w:val="16"/>
        <w:snapToGrid w:val="0"/>
        <w:spacing w:line="440" w:lineRule="exact"/>
        <w:outlineLvl w:val="2"/>
        <w:rPr>
          <w:rFonts w:hAnsi="宋体"/>
          <w:b/>
          <w:sz w:val="24"/>
          <w:szCs w:val="24"/>
        </w:rPr>
      </w:pPr>
      <w:bookmarkStart w:id="84" w:name="_Toc340341923"/>
      <w:bookmarkStart w:id="85" w:name="_Toc139257173"/>
      <w:bookmarkStart w:id="86" w:name="_Toc219054931"/>
      <w:bookmarkStart w:id="87" w:name="_Toc219055075"/>
      <w:bookmarkStart w:id="88" w:name="_Toc6047098"/>
      <w:r>
        <w:rPr>
          <w:rFonts w:hint="eastAsia" w:hAnsi="宋体"/>
          <w:b/>
          <w:sz w:val="24"/>
          <w:szCs w:val="24"/>
        </w:rPr>
        <w:t>5.竞争性谈判文件的澄清和修改</w:t>
      </w:r>
      <w:bookmarkEnd w:id="84"/>
      <w:bookmarkEnd w:id="85"/>
      <w:bookmarkEnd w:id="86"/>
      <w:bookmarkEnd w:id="87"/>
      <w:bookmarkEnd w:id="88"/>
    </w:p>
    <w:p>
      <w:pPr>
        <w:pStyle w:val="16"/>
        <w:snapToGrid w:val="0"/>
        <w:spacing w:line="440" w:lineRule="exact"/>
        <w:ind w:firstLine="420"/>
        <w:rPr>
          <w:rFonts w:hAnsi="宋体"/>
          <w:sz w:val="24"/>
          <w:szCs w:val="24"/>
        </w:rPr>
      </w:pPr>
      <w:r>
        <w:rPr>
          <w:rFonts w:hint="eastAsia" w:hAnsi="宋体"/>
          <w:sz w:val="24"/>
          <w:szCs w:val="24"/>
        </w:rPr>
        <w:t>5.1竞标人要认真审核《货物需求一览表》中的技术参数、配置及要求，如发现表中技术参数、配置有误或要求不合理的，竞标人必须在竞标前规定时间内要求澄清，否则，由此产生的后果由竞标人负责</w:t>
      </w:r>
      <w:r>
        <w:rPr>
          <w:rFonts w:hint="eastAsia" w:hAnsi="宋体"/>
          <w:b/>
          <w:sz w:val="24"/>
          <w:szCs w:val="24"/>
        </w:rPr>
        <w:t>。</w:t>
      </w:r>
    </w:p>
    <w:p>
      <w:pPr>
        <w:pStyle w:val="16"/>
        <w:snapToGrid w:val="0"/>
        <w:spacing w:line="440" w:lineRule="exact"/>
        <w:ind w:firstLine="420"/>
        <w:rPr>
          <w:rFonts w:hAnsi="宋体"/>
          <w:b/>
          <w:sz w:val="24"/>
          <w:szCs w:val="24"/>
        </w:rPr>
      </w:pPr>
      <w:r>
        <w:rPr>
          <w:rFonts w:hint="eastAsia" w:hAnsi="宋体"/>
          <w:sz w:val="24"/>
          <w:szCs w:val="24"/>
        </w:rPr>
        <w:t>5.2任何要求澄清竞争性谈判文件的竞标人，均应在竞标截止日期3天前的正常工作时间以传真等书面形式通知采购代理机构，同时认定其他澄清方式为无效。采购代理机构将以书面形式予以答复。</w:t>
      </w:r>
    </w:p>
    <w:p>
      <w:pPr>
        <w:snapToGrid w:val="0"/>
        <w:spacing w:line="440" w:lineRule="exact"/>
        <w:ind w:firstLine="480" w:firstLineChars="200"/>
        <w:rPr>
          <w:rFonts w:ascii="宋体" w:hAnsi="宋体"/>
          <w:sz w:val="24"/>
          <w:szCs w:val="24"/>
        </w:rPr>
      </w:pPr>
      <w:r>
        <w:rPr>
          <w:rFonts w:hint="eastAsia" w:ascii="宋体" w:hAnsi="宋体"/>
          <w:sz w:val="24"/>
          <w:szCs w:val="24"/>
        </w:rPr>
        <w:t>5.3采购代理机构对已发出的竞争性谈判文件进行修改的，在竞争性谈判文件要求提交竞标文件截止时间3日前，在</w:t>
      </w:r>
      <w:r>
        <w:rPr>
          <w:rFonts w:hint="eastAsia" w:ascii="宋体" w:hAnsi="宋体"/>
          <w:sz w:val="24"/>
        </w:rPr>
        <w:t>中国政府采购网（www.ccgp.gov.cn）、广西壮族自治区政府采购网（</w:t>
      </w:r>
      <w:r>
        <w:rPr>
          <w:rFonts w:ascii="宋体" w:hAnsi="宋体"/>
          <w:sz w:val="24"/>
        </w:rPr>
        <w:t>www.zfcg.gxzf.gov.cn</w:t>
      </w:r>
      <w:r>
        <w:rPr>
          <w:rFonts w:hint="eastAsia" w:ascii="宋体" w:hAnsi="宋体"/>
          <w:sz w:val="24"/>
        </w:rPr>
        <w:t>）</w:t>
      </w:r>
      <w:r>
        <w:rPr>
          <w:rFonts w:hint="eastAsia" w:ascii="宋体" w:hAnsi="宋体"/>
          <w:sz w:val="24"/>
          <w:szCs w:val="24"/>
        </w:rPr>
        <w:t>网站上发布更正公告，并以书面形式通知所有谈判采购文件收受人。竞标人在收到答疑或补充通知后必须在24小时内回复确认函。该澄清或修改的内容为竞争性谈判文件的组成部分。</w:t>
      </w:r>
    </w:p>
    <w:p>
      <w:pPr>
        <w:snapToGrid w:val="0"/>
        <w:spacing w:line="440" w:lineRule="exact"/>
        <w:ind w:firstLine="480" w:firstLineChars="200"/>
        <w:rPr>
          <w:rFonts w:ascii="宋体" w:hAnsi="宋体"/>
          <w:sz w:val="24"/>
          <w:szCs w:val="24"/>
        </w:rPr>
      </w:pPr>
      <w:r>
        <w:rPr>
          <w:rFonts w:hint="eastAsia" w:ascii="宋体" w:hAnsi="宋体"/>
          <w:sz w:val="24"/>
          <w:szCs w:val="24"/>
        </w:rPr>
        <w:t>5.4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pPr>
        <w:snapToGrid w:val="0"/>
        <w:spacing w:line="440" w:lineRule="exact"/>
        <w:ind w:firstLine="480" w:firstLineChars="200"/>
        <w:rPr>
          <w:rFonts w:ascii="宋体" w:hAnsi="宋体"/>
          <w:sz w:val="24"/>
          <w:szCs w:val="24"/>
        </w:rPr>
      </w:pPr>
      <w:r>
        <w:rPr>
          <w:rFonts w:hint="eastAsia" w:ascii="宋体" w:hAnsi="宋体"/>
          <w:sz w:val="24"/>
          <w:szCs w:val="24"/>
        </w:rPr>
        <w:t>5.5</w:t>
      </w:r>
      <w:r>
        <w:rPr>
          <w:rFonts w:hint="eastAsia" w:ascii="宋体" w:hAnsi="宋体"/>
          <w:bCs/>
          <w:sz w:val="24"/>
          <w:szCs w:val="24"/>
        </w:rPr>
        <w:t>请竞标人接电话通知后到采购代理机构处领取以上澄清答复（或补充通知），或在网上查询，不用传真方式发出，如在电话通知后24小时内不上门领取的，则视为已在网上查询收到。竞标人在每一次收到澄清答复或补充通知后应立即以书面形式通知采购代理机构，确认已收到该澄清答复或补充通知。否则，由此造成的一切后果由竞标人承担。</w:t>
      </w:r>
    </w:p>
    <w:p>
      <w:pPr>
        <w:pStyle w:val="16"/>
        <w:snapToGrid w:val="0"/>
        <w:spacing w:line="440" w:lineRule="exact"/>
        <w:ind w:firstLine="240" w:firstLineChars="100"/>
        <w:rPr>
          <w:rFonts w:hAnsi="宋体"/>
          <w:snapToGrid w:val="0"/>
          <w:kern w:val="0"/>
          <w:sz w:val="24"/>
          <w:szCs w:val="24"/>
        </w:rPr>
      </w:pPr>
      <w:r>
        <w:rPr>
          <w:rFonts w:hint="eastAsia" w:hAnsi="宋体"/>
          <w:sz w:val="24"/>
          <w:szCs w:val="24"/>
        </w:rPr>
        <w:t xml:space="preserve">   5.6采购代理机构可视具体情况,延长竞标截止时间和谈判时间. 采购代理机构至少在谈判采购文件要求提交竞标文件的截止时间</w:t>
      </w:r>
      <w:r>
        <w:rPr>
          <w:rFonts w:hint="eastAsia" w:hAnsi="宋体"/>
          <w:sz w:val="24"/>
          <w:szCs w:val="24"/>
          <w:u w:val="single"/>
        </w:rPr>
        <w:t>3</w:t>
      </w:r>
      <w:r>
        <w:rPr>
          <w:rFonts w:hint="eastAsia" w:hAnsi="宋体"/>
          <w:sz w:val="24"/>
          <w:szCs w:val="24"/>
        </w:rPr>
        <w:t>日前,将变更时间书面通知所有谈判采购文件收受人,并在中国政府采购网（www.ccgp.gov.cn）、广西壮族自治区政府采购网（</w:t>
      </w:r>
      <w:r>
        <w:rPr>
          <w:rFonts w:hAnsi="宋体"/>
          <w:sz w:val="24"/>
          <w:szCs w:val="24"/>
        </w:rPr>
        <w:t>www.zfcg.gxzf.gov.cn</w:t>
      </w:r>
      <w:r>
        <w:rPr>
          <w:rFonts w:hint="eastAsia" w:hAnsi="宋体"/>
          <w:sz w:val="24"/>
          <w:szCs w:val="24"/>
        </w:rPr>
        <w:t>）网站上发布变更公告。</w:t>
      </w:r>
    </w:p>
    <w:p>
      <w:pPr>
        <w:pStyle w:val="4"/>
        <w:snapToGrid w:val="0"/>
        <w:spacing w:before="100" w:beforeAutospacing="1" w:after="100" w:afterAutospacing="1" w:line="560" w:lineRule="exact"/>
        <w:jc w:val="center"/>
        <w:rPr>
          <w:rFonts w:ascii="宋体" w:hAnsi="宋体"/>
        </w:rPr>
      </w:pPr>
      <w:bookmarkStart w:id="89" w:name="_Toc139257174"/>
      <w:bookmarkStart w:id="90" w:name="_Toc269710446"/>
      <w:bookmarkStart w:id="91" w:name="_Toc340341924"/>
      <w:bookmarkStart w:id="92" w:name="_Toc6047099"/>
      <w:r>
        <w:rPr>
          <w:rFonts w:hint="eastAsia" w:ascii="宋体" w:hAnsi="宋体"/>
          <w:sz w:val="24"/>
        </w:rPr>
        <w:t>（三）竞标文件的编制</w:t>
      </w:r>
      <w:bookmarkEnd w:id="89"/>
      <w:bookmarkEnd w:id="90"/>
      <w:bookmarkEnd w:id="91"/>
      <w:bookmarkEnd w:id="92"/>
    </w:p>
    <w:p>
      <w:pPr>
        <w:pStyle w:val="16"/>
        <w:snapToGrid w:val="0"/>
        <w:spacing w:line="440" w:lineRule="exact"/>
        <w:outlineLvl w:val="2"/>
        <w:rPr>
          <w:rFonts w:hAnsi="宋体"/>
          <w:b/>
          <w:sz w:val="24"/>
          <w:szCs w:val="24"/>
        </w:rPr>
      </w:pPr>
      <w:bookmarkStart w:id="93" w:name="_Toc139257175"/>
      <w:bookmarkStart w:id="94" w:name="_Toc219054932"/>
      <w:bookmarkStart w:id="95" w:name="_Toc219055077"/>
      <w:bookmarkStart w:id="96" w:name="_Toc340341925"/>
      <w:bookmarkStart w:id="97" w:name="_Toc6047100"/>
      <w:r>
        <w:rPr>
          <w:rFonts w:hint="eastAsia" w:hAnsi="宋体"/>
          <w:b/>
          <w:sz w:val="24"/>
          <w:szCs w:val="24"/>
        </w:rPr>
        <w:t>6.竞标文件编写注意事项</w:t>
      </w:r>
      <w:bookmarkEnd w:id="93"/>
      <w:bookmarkEnd w:id="94"/>
      <w:bookmarkEnd w:id="95"/>
      <w:bookmarkEnd w:id="96"/>
      <w:bookmarkEnd w:id="97"/>
    </w:p>
    <w:p>
      <w:pPr>
        <w:pStyle w:val="16"/>
        <w:snapToGrid w:val="0"/>
        <w:spacing w:line="440" w:lineRule="exact"/>
        <w:ind w:firstLine="420"/>
        <w:rPr>
          <w:rFonts w:hAnsi="宋体"/>
          <w:sz w:val="24"/>
          <w:szCs w:val="24"/>
        </w:rPr>
      </w:pPr>
      <w:r>
        <w:rPr>
          <w:rFonts w:hint="eastAsia" w:hAnsi="宋体"/>
          <w:sz w:val="24"/>
          <w:szCs w:val="24"/>
        </w:rPr>
        <w:t>6.1竞标人应认真阅读竞争性谈判文件，按照竞争性谈判文件的要求编制竞标文件。如果没有按照竞争性谈判文件要求提交竞标文件，没有对竞争性谈判文件提出的实质性要求和条件作出响应，</w:t>
      </w:r>
      <w:r>
        <w:rPr>
          <w:rFonts w:hint="eastAsia" w:hAnsi="宋体"/>
          <w:b/>
          <w:sz w:val="24"/>
          <w:szCs w:val="24"/>
        </w:rPr>
        <w:t>谈判小组有权判定为无效竞标</w:t>
      </w:r>
      <w:r>
        <w:rPr>
          <w:rFonts w:hint="eastAsia" w:hAnsi="宋体"/>
          <w:sz w:val="24"/>
          <w:szCs w:val="24"/>
        </w:rPr>
        <w:t>。</w:t>
      </w:r>
    </w:p>
    <w:p>
      <w:pPr>
        <w:pStyle w:val="16"/>
        <w:snapToGrid w:val="0"/>
        <w:spacing w:line="440" w:lineRule="exact"/>
        <w:ind w:firstLine="420"/>
        <w:rPr>
          <w:rFonts w:hAnsi="宋体"/>
          <w:sz w:val="24"/>
          <w:szCs w:val="24"/>
        </w:rPr>
      </w:pPr>
      <w:r>
        <w:rPr>
          <w:rFonts w:hint="eastAsia" w:hAnsi="宋体"/>
          <w:sz w:val="24"/>
          <w:szCs w:val="24"/>
        </w:rPr>
        <w:t>6.2对竞争性谈判文件提出的实质性要求和条件作出响应是指竞标人必须对竞争性谈判文件中采购项目的价格、技术参数及性能配置、数量、售后服务及其它要求、合同主要条款等内容作出响应。</w:t>
      </w:r>
    </w:p>
    <w:p>
      <w:pPr>
        <w:pStyle w:val="16"/>
        <w:snapToGrid w:val="0"/>
        <w:spacing w:line="440" w:lineRule="exact"/>
        <w:outlineLvl w:val="2"/>
        <w:rPr>
          <w:rFonts w:hAnsi="宋体"/>
          <w:b/>
          <w:sz w:val="24"/>
          <w:szCs w:val="24"/>
        </w:rPr>
      </w:pPr>
      <w:bookmarkStart w:id="98" w:name="_Toc219055078"/>
      <w:bookmarkStart w:id="99" w:name="_Toc340341926"/>
      <w:bookmarkStart w:id="100" w:name="_Toc139257176"/>
      <w:bookmarkStart w:id="101" w:name="_Toc219054933"/>
      <w:bookmarkStart w:id="102" w:name="_Toc6047101"/>
      <w:r>
        <w:rPr>
          <w:rFonts w:hint="eastAsia" w:hAnsi="宋体"/>
          <w:b/>
          <w:sz w:val="24"/>
          <w:szCs w:val="24"/>
        </w:rPr>
        <w:t>7.竞标的语言及计量单位</w:t>
      </w:r>
      <w:bookmarkEnd w:id="98"/>
      <w:bookmarkEnd w:id="99"/>
      <w:bookmarkEnd w:id="100"/>
      <w:bookmarkEnd w:id="101"/>
      <w:bookmarkEnd w:id="102"/>
    </w:p>
    <w:p>
      <w:pPr>
        <w:pStyle w:val="16"/>
        <w:snapToGrid w:val="0"/>
        <w:spacing w:line="440" w:lineRule="exact"/>
        <w:ind w:firstLine="420"/>
        <w:rPr>
          <w:rFonts w:hAnsi="宋体"/>
          <w:sz w:val="24"/>
          <w:szCs w:val="24"/>
        </w:rPr>
      </w:pPr>
      <w:r>
        <w:rPr>
          <w:rFonts w:hint="eastAsia" w:hAnsi="宋体"/>
          <w:sz w:val="24"/>
          <w:szCs w:val="24"/>
        </w:rPr>
        <w:t>7.1竞标人的竞标文件以及竞标人与采购代理机构所有来往函电统一使用中文（特别规定除外）。</w:t>
      </w:r>
    </w:p>
    <w:p>
      <w:pPr>
        <w:pStyle w:val="16"/>
        <w:snapToGrid w:val="0"/>
        <w:spacing w:line="440" w:lineRule="exact"/>
        <w:ind w:firstLine="420"/>
        <w:rPr>
          <w:rFonts w:hAnsi="宋体"/>
          <w:sz w:val="24"/>
          <w:szCs w:val="24"/>
        </w:rPr>
      </w:pPr>
      <w:r>
        <w:rPr>
          <w:rFonts w:hint="eastAsia" w:hAnsi="宋体"/>
          <w:sz w:val="24"/>
          <w:szCs w:val="24"/>
        </w:rPr>
        <w:t>7.2竞标文件中使用的计量单位除竞争性谈判文件中有特殊规定外，一律使用法定计量单位。</w:t>
      </w:r>
    </w:p>
    <w:p>
      <w:pPr>
        <w:pStyle w:val="16"/>
        <w:snapToGrid w:val="0"/>
        <w:spacing w:line="440" w:lineRule="exact"/>
        <w:outlineLvl w:val="2"/>
        <w:rPr>
          <w:rFonts w:hAnsi="宋体"/>
          <w:b/>
          <w:sz w:val="24"/>
          <w:szCs w:val="24"/>
        </w:rPr>
      </w:pPr>
      <w:bookmarkStart w:id="103" w:name="_Toc219054934"/>
      <w:bookmarkStart w:id="104" w:name="_Toc340341927"/>
      <w:bookmarkStart w:id="105" w:name="_Toc139257177"/>
      <w:bookmarkStart w:id="106" w:name="_Toc219055079"/>
      <w:bookmarkStart w:id="107" w:name="_Toc6047102"/>
      <w:r>
        <w:rPr>
          <w:rFonts w:hint="eastAsia" w:hAnsi="宋体"/>
          <w:b/>
          <w:sz w:val="24"/>
          <w:szCs w:val="24"/>
        </w:rPr>
        <w:t>8.竞标文件构成</w:t>
      </w:r>
      <w:bookmarkEnd w:id="103"/>
      <w:bookmarkEnd w:id="104"/>
      <w:bookmarkEnd w:id="105"/>
      <w:bookmarkEnd w:id="106"/>
      <w:bookmarkEnd w:id="107"/>
    </w:p>
    <w:p>
      <w:pPr>
        <w:pStyle w:val="16"/>
        <w:snapToGrid w:val="0"/>
        <w:spacing w:line="440" w:lineRule="exact"/>
        <w:ind w:firstLine="420"/>
        <w:rPr>
          <w:rFonts w:hAnsi="宋体"/>
          <w:sz w:val="24"/>
          <w:szCs w:val="24"/>
        </w:rPr>
      </w:pPr>
      <w:r>
        <w:rPr>
          <w:rFonts w:hint="eastAsia" w:hAnsi="宋体"/>
          <w:sz w:val="24"/>
          <w:szCs w:val="24"/>
        </w:rPr>
        <w:t>8.1</w:t>
      </w:r>
      <w:r>
        <w:rPr>
          <w:rFonts w:hint="eastAsia" w:hAnsi="宋体"/>
          <w:b/>
          <w:sz w:val="24"/>
          <w:szCs w:val="24"/>
        </w:rPr>
        <w:t>竞标人编写的竞标文件必须按下列顺序自编目录及页码装订成册，否则文件失散引起的后果自负</w:t>
      </w:r>
      <w:r>
        <w:rPr>
          <w:rFonts w:hint="eastAsia" w:hAnsi="宋体"/>
          <w:sz w:val="24"/>
          <w:szCs w:val="24"/>
        </w:rPr>
        <w:t>：</w:t>
      </w:r>
    </w:p>
    <w:p>
      <w:pPr>
        <w:pStyle w:val="16"/>
        <w:snapToGrid w:val="0"/>
        <w:spacing w:line="440" w:lineRule="exact"/>
        <w:ind w:firstLine="420"/>
        <w:rPr>
          <w:rFonts w:hAnsi="宋体"/>
          <w:sz w:val="24"/>
          <w:szCs w:val="24"/>
        </w:rPr>
      </w:pPr>
      <w:r>
        <w:rPr>
          <w:rFonts w:hint="eastAsia" w:hAnsi="宋体"/>
          <w:sz w:val="24"/>
          <w:szCs w:val="24"/>
        </w:rPr>
        <w:t xml:space="preserve">  (1)竞标函(按竞争性谈判文件第五章《竞标函(格式)》要求填写)；</w:t>
      </w:r>
    </w:p>
    <w:p>
      <w:pPr>
        <w:pStyle w:val="16"/>
        <w:snapToGrid w:val="0"/>
        <w:spacing w:line="440" w:lineRule="exact"/>
        <w:ind w:firstLine="600" w:firstLineChars="250"/>
        <w:rPr>
          <w:rFonts w:hAnsi="宋体"/>
          <w:sz w:val="24"/>
          <w:szCs w:val="24"/>
        </w:rPr>
      </w:pPr>
      <w:r>
        <w:rPr>
          <w:rFonts w:hint="eastAsia" w:hAnsi="宋体"/>
          <w:sz w:val="24"/>
          <w:szCs w:val="24"/>
        </w:rPr>
        <w:t>(2)竞标保证金缴款凭证证明材料；</w:t>
      </w:r>
    </w:p>
    <w:p>
      <w:pPr>
        <w:pStyle w:val="16"/>
        <w:snapToGrid w:val="0"/>
        <w:spacing w:line="440" w:lineRule="exact"/>
        <w:ind w:firstLine="600" w:firstLineChars="250"/>
        <w:rPr>
          <w:rFonts w:hAnsi="宋体"/>
          <w:sz w:val="24"/>
          <w:szCs w:val="24"/>
        </w:rPr>
      </w:pPr>
      <w:r>
        <w:rPr>
          <w:rFonts w:hint="eastAsia" w:hAnsi="宋体"/>
          <w:sz w:val="24"/>
          <w:szCs w:val="24"/>
        </w:rPr>
        <w:t>(3)竞标报价表(按竞争性谈判文件第五章《竞标报价表》格式填写)；</w:t>
      </w:r>
    </w:p>
    <w:p>
      <w:pPr>
        <w:pStyle w:val="16"/>
        <w:snapToGrid w:val="0"/>
        <w:spacing w:line="440" w:lineRule="exact"/>
        <w:ind w:firstLine="600" w:firstLineChars="250"/>
        <w:rPr>
          <w:rFonts w:hAnsi="宋体"/>
          <w:sz w:val="24"/>
          <w:szCs w:val="24"/>
        </w:rPr>
      </w:pPr>
      <w:r>
        <w:rPr>
          <w:rFonts w:hint="eastAsia" w:hAnsi="宋体"/>
          <w:sz w:val="24"/>
          <w:szCs w:val="24"/>
        </w:rPr>
        <w:t>(4)技术规格偏离表(按竞争性谈判文件第五章要求填写)；</w:t>
      </w:r>
    </w:p>
    <w:p>
      <w:pPr>
        <w:pStyle w:val="16"/>
        <w:snapToGrid w:val="0"/>
        <w:spacing w:line="440" w:lineRule="exact"/>
        <w:ind w:firstLine="600" w:firstLineChars="250"/>
        <w:rPr>
          <w:rFonts w:hAnsi="宋体"/>
          <w:sz w:val="24"/>
          <w:szCs w:val="24"/>
        </w:rPr>
      </w:pPr>
      <w:r>
        <w:rPr>
          <w:rFonts w:hint="eastAsia" w:hAnsi="宋体"/>
          <w:sz w:val="24"/>
          <w:szCs w:val="24"/>
        </w:rPr>
        <w:t>(5)售后服务承诺书(按竞争性谈判文件第五章要求填写)；</w:t>
      </w:r>
    </w:p>
    <w:p>
      <w:pPr>
        <w:pStyle w:val="16"/>
        <w:snapToGrid w:val="0"/>
        <w:spacing w:line="440" w:lineRule="exact"/>
        <w:ind w:firstLine="600" w:firstLineChars="250"/>
        <w:rPr>
          <w:rFonts w:hAnsi="宋体"/>
          <w:sz w:val="24"/>
          <w:szCs w:val="24"/>
        </w:rPr>
      </w:pPr>
      <w:r>
        <w:rPr>
          <w:rFonts w:hint="eastAsia" w:hAnsi="宋体"/>
          <w:sz w:val="24"/>
          <w:szCs w:val="24"/>
        </w:rPr>
        <w:t>(6)竞标人资格证明文件(按本须知第12条要求提供)；</w:t>
      </w:r>
    </w:p>
    <w:p>
      <w:pPr>
        <w:pStyle w:val="16"/>
        <w:snapToGrid w:val="0"/>
        <w:spacing w:line="440" w:lineRule="exact"/>
        <w:ind w:firstLine="600" w:firstLineChars="250"/>
        <w:rPr>
          <w:rFonts w:hAnsi="宋体"/>
          <w:sz w:val="24"/>
          <w:szCs w:val="24"/>
        </w:rPr>
      </w:pPr>
      <w:r>
        <w:rPr>
          <w:rFonts w:hint="eastAsia" w:hAnsi="宋体"/>
          <w:sz w:val="24"/>
          <w:szCs w:val="24"/>
        </w:rPr>
        <w:t>(7)货物合格和符合竞争性谈判文件规定的证明文件(按本须知第13条要求提供)；</w:t>
      </w:r>
    </w:p>
    <w:p>
      <w:pPr>
        <w:pStyle w:val="16"/>
        <w:snapToGrid w:val="0"/>
        <w:spacing w:line="440" w:lineRule="exact"/>
        <w:ind w:firstLine="600" w:firstLineChars="250"/>
        <w:rPr>
          <w:rFonts w:hAnsi="宋体"/>
          <w:sz w:val="24"/>
          <w:szCs w:val="24"/>
        </w:rPr>
      </w:pPr>
      <w:r>
        <w:rPr>
          <w:rFonts w:hint="eastAsia" w:hAnsi="宋体"/>
          <w:sz w:val="24"/>
          <w:szCs w:val="24"/>
        </w:rPr>
        <w:t>(8)竞标人认为有必要提供的其它材料。</w:t>
      </w:r>
    </w:p>
    <w:p>
      <w:pPr>
        <w:pStyle w:val="16"/>
        <w:snapToGrid w:val="0"/>
        <w:spacing w:line="440" w:lineRule="exact"/>
        <w:outlineLvl w:val="2"/>
        <w:rPr>
          <w:rFonts w:hAnsi="宋体"/>
          <w:b/>
          <w:sz w:val="24"/>
          <w:szCs w:val="24"/>
        </w:rPr>
      </w:pPr>
      <w:bookmarkStart w:id="108" w:name="_Toc139257178"/>
      <w:bookmarkStart w:id="109" w:name="_Toc219055080"/>
      <w:bookmarkStart w:id="110" w:name="_Toc340341928"/>
      <w:bookmarkStart w:id="111" w:name="_Toc219054935"/>
      <w:bookmarkStart w:id="112" w:name="_Toc6047103"/>
      <w:r>
        <w:rPr>
          <w:rFonts w:hint="eastAsia" w:hAnsi="宋体"/>
          <w:b/>
          <w:sz w:val="24"/>
          <w:szCs w:val="24"/>
        </w:rPr>
        <w:t>9.竞标文件格式</w:t>
      </w:r>
      <w:bookmarkEnd w:id="108"/>
      <w:bookmarkEnd w:id="109"/>
      <w:bookmarkEnd w:id="110"/>
      <w:bookmarkEnd w:id="111"/>
      <w:bookmarkEnd w:id="112"/>
    </w:p>
    <w:p>
      <w:pPr>
        <w:pStyle w:val="16"/>
        <w:snapToGrid w:val="0"/>
        <w:spacing w:line="440" w:lineRule="exact"/>
        <w:ind w:firstLine="420"/>
        <w:rPr>
          <w:rFonts w:hAnsi="宋体"/>
          <w:sz w:val="24"/>
          <w:szCs w:val="24"/>
        </w:rPr>
      </w:pPr>
      <w:r>
        <w:rPr>
          <w:rFonts w:hint="eastAsia" w:hAnsi="宋体"/>
          <w:sz w:val="24"/>
          <w:szCs w:val="24"/>
        </w:rPr>
        <w:t>9.1竞标人应按竞争性谈判文件提供的竞标函、竞标报价表等格式详细完整地填写各项内容。</w:t>
      </w:r>
    </w:p>
    <w:p>
      <w:pPr>
        <w:pStyle w:val="16"/>
        <w:snapToGrid w:val="0"/>
        <w:spacing w:line="440" w:lineRule="exact"/>
        <w:ind w:firstLine="420"/>
        <w:rPr>
          <w:rFonts w:hAnsi="宋体"/>
          <w:sz w:val="24"/>
          <w:szCs w:val="24"/>
        </w:rPr>
      </w:pPr>
      <w:r>
        <w:rPr>
          <w:rFonts w:hint="eastAsia" w:hAnsi="宋体"/>
          <w:sz w:val="24"/>
          <w:szCs w:val="24"/>
        </w:rPr>
        <w:t>9.2在竞标报价表中，竞标人应详细标明所提供的货物及部件名称、品牌型号规格、技术参数、配置、产地、生产厂家、数量及产品所执行的标准号。</w:t>
      </w:r>
    </w:p>
    <w:p>
      <w:pPr>
        <w:pStyle w:val="16"/>
        <w:snapToGrid w:val="0"/>
        <w:spacing w:line="440" w:lineRule="exact"/>
        <w:ind w:firstLine="420"/>
        <w:rPr>
          <w:rFonts w:hAnsi="宋体"/>
          <w:sz w:val="24"/>
          <w:szCs w:val="24"/>
        </w:rPr>
      </w:pPr>
      <w:r>
        <w:rPr>
          <w:rFonts w:hint="eastAsia" w:hAnsi="宋体"/>
          <w:sz w:val="24"/>
          <w:szCs w:val="24"/>
        </w:rPr>
        <w:t>9.3竞标文件必须编制目录及页码，目录与页码必须保持一致，否则因此造成的一切后果由竞标人自行承担。</w:t>
      </w:r>
    </w:p>
    <w:p>
      <w:pPr>
        <w:pStyle w:val="16"/>
        <w:snapToGrid w:val="0"/>
        <w:spacing w:line="440" w:lineRule="exact"/>
        <w:outlineLvl w:val="2"/>
        <w:rPr>
          <w:rFonts w:hAnsi="宋体"/>
          <w:b/>
          <w:sz w:val="24"/>
          <w:szCs w:val="24"/>
        </w:rPr>
      </w:pPr>
      <w:bookmarkStart w:id="113" w:name="_Toc340341929"/>
      <w:bookmarkStart w:id="114" w:name="_Toc139257179"/>
      <w:bookmarkStart w:id="115" w:name="_Toc219054936"/>
      <w:bookmarkStart w:id="116" w:name="_Toc219055081"/>
      <w:bookmarkStart w:id="117" w:name="_Toc6047104"/>
      <w:r>
        <w:rPr>
          <w:rFonts w:hint="eastAsia" w:hAnsi="宋体"/>
          <w:b/>
          <w:sz w:val="24"/>
          <w:szCs w:val="24"/>
        </w:rPr>
        <w:t>10.竞标报价</w:t>
      </w:r>
      <w:bookmarkEnd w:id="113"/>
      <w:bookmarkEnd w:id="114"/>
      <w:bookmarkEnd w:id="115"/>
      <w:bookmarkEnd w:id="116"/>
      <w:bookmarkEnd w:id="117"/>
    </w:p>
    <w:p>
      <w:pPr>
        <w:pStyle w:val="16"/>
        <w:snapToGrid w:val="0"/>
        <w:spacing w:line="440" w:lineRule="exact"/>
        <w:ind w:firstLine="420"/>
        <w:rPr>
          <w:rFonts w:hAnsi="宋体"/>
          <w:b/>
          <w:sz w:val="24"/>
          <w:szCs w:val="24"/>
        </w:rPr>
      </w:pPr>
      <w:r>
        <w:rPr>
          <w:rFonts w:hint="eastAsia" w:hAnsi="宋体"/>
          <w:sz w:val="24"/>
          <w:szCs w:val="24"/>
        </w:rPr>
        <w:t>10.1竞标人应在竞标报价表上标明单价和总报价。大写金额和小写金额不一致的，以大写金额为准，如总价金额与按单价汇总金额不一致的，以单价金额计算结果为准；单价金额小数点有明显错位的，应以总价为准，并修改单价；对不同文字文本竞标文件的解释发生异议的，以中文文本为准。</w:t>
      </w:r>
      <w:r>
        <w:rPr>
          <w:rFonts w:hint="eastAsia" w:hAnsi="宋体"/>
          <w:b/>
          <w:sz w:val="24"/>
          <w:szCs w:val="24"/>
        </w:rPr>
        <w:t>如果竞标人不接受对其错误的更正，其竞标将被拒绝。</w:t>
      </w:r>
    </w:p>
    <w:p>
      <w:pPr>
        <w:pStyle w:val="16"/>
        <w:snapToGrid w:val="0"/>
        <w:spacing w:line="440" w:lineRule="exact"/>
        <w:ind w:firstLine="420"/>
        <w:rPr>
          <w:rFonts w:hAnsi="宋体"/>
          <w:b/>
          <w:sz w:val="24"/>
          <w:szCs w:val="24"/>
        </w:rPr>
      </w:pPr>
      <w:r>
        <w:rPr>
          <w:rFonts w:hint="eastAsia" w:hAnsi="宋体"/>
          <w:sz w:val="24"/>
          <w:szCs w:val="24"/>
        </w:rPr>
        <w:t>10.2</w:t>
      </w:r>
      <w:r>
        <w:rPr>
          <w:rFonts w:hint="eastAsia" w:hAnsi="宋体"/>
          <w:b/>
          <w:bCs/>
          <w:sz w:val="24"/>
          <w:szCs w:val="24"/>
        </w:rPr>
        <w:t>竞标人必须就《货物需求一览表》及谈判记录中的所有内容作完整唯一报价，否则，其竞标将被拒绝</w:t>
      </w:r>
      <w:r>
        <w:rPr>
          <w:rFonts w:hint="eastAsia" w:hAnsi="宋体"/>
          <w:sz w:val="24"/>
          <w:szCs w:val="24"/>
        </w:rPr>
        <w:t>。</w:t>
      </w:r>
      <w:r>
        <w:rPr>
          <w:rFonts w:hint="eastAsia" w:hAnsi="宋体"/>
          <w:b/>
          <w:bCs/>
          <w:sz w:val="24"/>
          <w:szCs w:val="24"/>
        </w:rPr>
        <w:t>如果竞标人所填报的货物内容与谈判文件及谈判记录相比较有存在漏项的状况且在评审时被接受，则将被认为该遗漏项目已包含在谈判后的最终竞标价中，成交供应商在供货时应严格按谈判文件及谈判要求的货物内容完整提供，不得要求采购人对其漏报的货物追加支付货款。</w:t>
      </w:r>
    </w:p>
    <w:p>
      <w:pPr>
        <w:pStyle w:val="16"/>
        <w:snapToGrid w:val="0"/>
        <w:spacing w:line="440" w:lineRule="exact"/>
        <w:ind w:firstLine="420"/>
        <w:rPr>
          <w:rFonts w:hAnsi="宋体"/>
          <w:b/>
          <w:sz w:val="24"/>
          <w:szCs w:val="24"/>
        </w:rPr>
      </w:pPr>
      <w:r>
        <w:rPr>
          <w:rFonts w:hint="eastAsia" w:hAnsi="宋体"/>
          <w:sz w:val="24"/>
          <w:szCs w:val="24"/>
        </w:rPr>
        <w:t>10.3</w:t>
      </w:r>
      <w:r>
        <w:rPr>
          <w:rFonts w:hint="eastAsia" w:hAnsi="宋体"/>
          <w:b/>
          <w:sz w:val="24"/>
          <w:szCs w:val="24"/>
        </w:rPr>
        <w:t>竞标报价包含货款、标准附件、备品备件、专用工具、包装、运输、装卸、保险、税金、货到就位以及安装、调试、培训、保修等一切税金和最终交付使用前的一切费用。</w:t>
      </w:r>
    </w:p>
    <w:p>
      <w:pPr>
        <w:pStyle w:val="16"/>
        <w:snapToGrid w:val="0"/>
        <w:spacing w:line="440" w:lineRule="exact"/>
        <w:rPr>
          <w:rFonts w:hAnsi="宋体"/>
          <w:sz w:val="24"/>
          <w:szCs w:val="24"/>
        </w:rPr>
      </w:pPr>
      <w:bookmarkStart w:id="118" w:name="_Toc340341930"/>
      <w:bookmarkStart w:id="119" w:name="_Toc219055082"/>
      <w:bookmarkStart w:id="120" w:name="_Toc219054937"/>
      <w:bookmarkStart w:id="121" w:name="_Toc139257180"/>
      <w:r>
        <w:rPr>
          <w:rFonts w:hint="eastAsia" w:hAnsi="宋体"/>
          <w:b/>
          <w:sz w:val="24"/>
          <w:szCs w:val="24"/>
        </w:rPr>
        <w:t>11. 竞标货币</w:t>
      </w:r>
      <w:bookmarkEnd w:id="118"/>
      <w:bookmarkEnd w:id="119"/>
      <w:bookmarkEnd w:id="120"/>
      <w:bookmarkEnd w:id="121"/>
    </w:p>
    <w:p>
      <w:pPr>
        <w:pStyle w:val="16"/>
        <w:snapToGrid w:val="0"/>
        <w:spacing w:line="440" w:lineRule="exact"/>
        <w:rPr>
          <w:rFonts w:hAnsi="宋体"/>
          <w:sz w:val="24"/>
          <w:szCs w:val="24"/>
        </w:rPr>
      </w:pPr>
      <w:r>
        <w:rPr>
          <w:rFonts w:hint="eastAsia" w:hAnsi="宋体"/>
          <w:sz w:val="24"/>
          <w:szCs w:val="24"/>
        </w:rPr>
        <w:t xml:space="preserve">    11.1竞标应以人民币报价。</w:t>
      </w:r>
    </w:p>
    <w:p>
      <w:pPr>
        <w:pStyle w:val="16"/>
        <w:snapToGrid w:val="0"/>
        <w:spacing w:line="440" w:lineRule="exact"/>
        <w:outlineLvl w:val="2"/>
        <w:rPr>
          <w:rFonts w:hAnsi="宋体"/>
          <w:b/>
          <w:sz w:val="24"/>
          <w:szCs w:val="24"/>
        </w:rPr>
      </w:pPr>
      <w:bookmarkStart w:id="122" w:name="_Toc139257181"/>
      <w:bookmarkStart w:id="123" w:name="_Toc219054938"/>
      <w:bookmarkStart w:id="124" w:name="_Toc219055083"/>
      <w:bookmarkStart w:id="125" w:name="_Toc340341931"/>
      <w:bookmarkStart w:id="126" w:name="_Toc6047105"/>
      <w:r>
        <w:rPr>
          <w:rFonts w:hint="eastAsia" w:hAnsi="宋体"/>
          <w:b/>
          <w:sz w:val="24"/>
          <w:szCs w:val="24"/>
        </w:rPr>
        <w:t>12.竞标人资格证明文件</w:t>
      </w:r>
      <w:bookmarkEnd w:id="122"/>
      <w:bookmarkEnd w:id="123"/>
      <w:bookmarkEnd w:id="124"/>
      <w:bookmarkEnd w:id="125"/>
      <w:bookmarkEnd w:id="126"/>
    </w:p>
    <w:p>
      <w:pPr>
        <w:pStyle w:val="16"/>
        <w:snapToGrid w:val="0"/>
        <w:spacing w:line="440" w:lineRule="exact"/>
        <w:ind w:firstLine="482" w:firstLineChars="200"/>
        <w:rPr>
          <w:rFonts w:hAnsi="宋体"/>
          <w:b/>
          <w:color w:val="FF0000"/>
          <w:sz w:val="24"/>
          <w:szCs w:val="24"/>
        </w:rPr>
      </w:pPr>
      <w:r>
        <w:rPr>
          <w:rFonts w:hint="eastAsia" w:hAnsi="宋体"/>
          <w:b/>
          <w:sz w:val="24"/>
          <w:szCs w:val="24"/>
        </w:rPr>
        <w:t>12.1</w:t>
      </w:r>
      <w:r>
        <w:rPr>
          <w:rFonts w:hint="eastAsia" w:hAnsi="宋体"/>
          <w:b/>
          <w:color w:val="FF0000"/>
          <w:sz w:val="24"/>
          <w:szCs w:val="24"/>
        </w:rPr>
        <w:t>资格证明文件应包含以下材料[其中（1）、（2）、（3）、（5）、（6）、（7）、（8）、（9）项所要求提交的文件均必须提交，同时要加盖竞标人公章否则其竞标无效；第（5）项如为委托代理时必须提供，否则竞标无效]：</w:t>
      </w:r>
    </w:p>
    <w:p>
      <w:pPr>
        <w:pStyle w:val="16"/>
        <w:snapToGrid w:val="0"/>
        <w:spacing w:line="440" w:lineRule="exact"/>
        <w:ind w:firstLine="420"/>
        <w:rPr>
          <w:rFonts w:hAnsi="宋体"/>
          <w:b/>
          <w:color w:val="FF0000"/>
          <w:sz w:val="24"/>
          <w:szCs w:val="24"/>
        </w:rPr>
      </w:pPr>
      <w:r>
        <w:rPr>
          <w:rFonts w:hint="eastAsia" w:hAnsi="宋体"/>
          <w:b/>
          <w:color w:val="FF0000"/>
          <w:sz w:val="24"/>
          <w:szCs w:val="24"/>
        </w:rPr>
        <w:t>（1）</w:t>
      </w:r>
      <w:r>
        <w:rPr>
          <w:rFonts w:hint="eastAsia" w:hAnsi="宋体"/>
          <w:b/>
          <w:color w:val="FF0000"/>
          <w:kern w:val="0"/>
          <w:sz w:val="24"/>
          <w:szCs w:val="24"/>
        </w:rPr>
        <w:t>有效的企业法人营业执照或事业单位法人证书复印件</w:t>
      </w:r>
      <w:r>
        <w:rPr>
          <w:rFonts w:hint="eastAsia" w:hAnsi="宋体"/>
          <w:b/>
          <w:color w:val="FF0000"/>
          <w:sz w:val="24"/>
          <w:szCs w:val="24"/>
        </w:rPr>
        <w:t>；</w:t>
      </w:r>
      <w:r>
        <w:rPr>
          <w:rFonts w:hAnsi="宋体"/>
          <w:b/>
          <w:color w:val="FF0000"/>
          <w:sz w:val="24"/>
          <w:szCs w:val="24"/>
        </w:rPr>
        <w:t>(</w:t>
      </w:r>
      <w:r>
        <w:rPr>
          <w:rFonts w:hint="eastAsia" w:hAnsi="宋体"/>
          <w:b/>
          <w:color w:val="FF0000"/>
          <w:sz w:val="24"/>
          <w:szCs w:val="24"/>
        </w:rPr>
        <w:t>必须提交，加盖公章</w:t>
      </w:r>
      <w:r>
        <w:rPr>
          <w:rFonts w:hAnsi="宋体"/>
          <w:b/>
          <w:color w:val="FF0000"/>
          <w:sz w:val="24"/>
          <w:szCs w:val="24"/>
        </w:rPr>
        <w:t>)</w:t>
      </w:r>
    </w:p>
    <w:p>
      <w:pPr>
        <w:pStyle w:val="16"/>
        <w:snapToGrid w:val="0"/>
        <w:spacing w:line="440" w:lineRule="exact"/>
        <w:ind w:firstLine="420"/>
        <w:rPr>
          <w:rFonts w:hAnsi="宋体"/>
          <w:b/>
          <w:color w:val="FF0000"/>
          <w:sz w:val="24"/>
          <w:szCs w:val="24"/>
        </w:rPr>
      </w:pPr>
      <w:r>
        <w:rPr>
          <w:rFonts w:hint="eastAsia" w:hAnsi="宋体"/>
          <w:b/>
          <w:color w:val="FF0000"/>
          <w:sz w:val="24"/>
          <w:szCs w:val="24"/>
        </w:rPr>
        <w:t>（2）竞标人最近半年内任意一个月依法缴纳税收的凭证复印件（如税务机关开具的完税证、银行缴税付款凭证或缴款回单等（新成立的企业请按实际提供，无纳税记录的，应提供竞标人所在地的税务部门出具的《依法纳税或依法免税证明》复印件）；（必须提交，加盖公章，新成立的企业请按实际提供）</w:t>
      </w:r>
    </w:p>
    <w:p>
      <w:pPr>
        <w:pStyle w:val="16"/>
        <w:snapToGrid w:val="0"/>
        <w:spacing w:line="440" w:lineRule="exact"/>
        <w:ind w:firstLine="361" w:firstLineChars="150"/>
        <w:rPr>
          <w:rFonts w:hAnsi="宋体"/>
          <w:b/>
          <w:color w:val="FF0000"/>
          <w:sz w:val="24"/>
          <w:szCs w:val="24"/>
        </w:rPr>
      </w:pPr>
      <w:r>
        <w:rPr>
          <w:rFonts w:hint="eastAsia" w:hAnsi="宋体"/>
          <w:b/>
          <w:color w:val="FF0000"/>
          <w:sz w:val="24"/>
          <w:szCs w:val="24"/>
        </w:rPr>
        <w:t>（3）</w:t>
      </w:r>
      <w:r>
        <w:rPr>
          <w:rFonts w:hint="eastAsia" w:hAnsi="宋体" w:cs="宋体"/>
          <w:b/>
          <w:color w:val="FF0000"/>
          <w:sz w:val="24"/>
          <w:szCs w:val="24"/>
        </w:rPr>
        <w:t>竞标人最近半年内任意一个月依法缴纳社保费的缴费凭证复印件；无缴费记录的，应提供由供应商所在地社保部门出具的《依法缴纳或依法免缴社保费证明》复印件；（必须提交，加盖公章，新成立的企业请按实际提供）</w:t>
      </w:r>
    </w:p>
    <w:p>
      <w:pPr>
        <w:pStyle w:val="16"/>
        <w:snapToGrid w:val="0"/>
        <w:spacing w:line="440" w:lineRule="exact"/>
        <w:ind w:firstLine="361" w:firstLineChars="150"/>
        <w:rPr>
          <w:rFonts w:hAnsi="宋体"/>
          <w:b/>
          <w:color w:val="FF0000"/>
          <w:sz w:val="24"/>
          <w:szCs w:val="24"/>
        </w:rPr>
      </w:pPr>
      <w:r>
        <w:rPr>
          <w:rFonts w:hint="eastAsia" w:hAnsi="宋体"/>
          <w:b/>
          <w:color w:val="FF0000"/>
          <w:sz w:val="24"/>
          <w:szCs w:val="24"/>
        </w:rPr>
        <w:t>（4）法定代表人身份证复印件；</w:t>
      </w:r>
      <w:r>
        <w:rPr>
          <w:rFonts w:hAnsi="宋体"/>
          <w:b/>
          <w:color w:val="FF0000"/>
          <w:sz w:val="24"/>
          <w:szCs w:val="24"/>
        </w:rPr>
        <w:t>(</w:t>
      </w:r>
      <w:r>
        <w:rPr>
          <w:rFonts w:hint="eastAsia" w:hAnsi="宋体"/>
          <w:b/>
          <w:color w:val="FF0000"/>
          <w:sz w:val="24"/>
          <w:szCs w:val="24"/>
        </w:rPr>
        <w:t>必须提交，加盖公章</w:t>
      </w:r>
      <w:r>
        <w:rPr>
          <w:rFonts w:hAnsi="宋体"/>
          <w:b/>
          <w:color w:val="FF0000"/>
          <w:sz w:val="24"/>
          <w:szCs w:val="24"/>
        </w:rPr>
        <w:t>)</w:t>
      </w:r>
    </w:p>
    <w:p>
      <w:pPr>
        <w:pStyle w:val="16"/>
        <w:snapToGrid w:val="0"/>
        <w:spacing w:line="440" w:lineRule="exact"/>
        <w:ind w:firstLine="357" w:firstLineChars="148"/>
        <w:rPr>
          <w:rFonts w:hAnsi="宋体"/>
          <w:b/>
          <w:color w:val="FF0000"/>
          <w:sz w:val="24"/>
          <w:szCs w:val="24"/>
        </w:rPr>
      </w:pPr>
      <w:r>
        <w:rPr>
          <w:rFonts w:hint="eastAsia" w:hAnsi="宋体"/>
          <w:b/>
          <w:color w:val="FF0000"/>
          <w:sz w:val="24"/>
          <w:szCs w:val="24"/>
        </w:rPr>
        <w:t>（5）法定代表人授权委托书原件和授权委托代理人身份证复印件（委托代理时必须提供，且加盖单位公章）；</w:t>
      </w:r>
    </w:p>
    <w:p>
      <w:pPr>
        <w:pStyle w:val="16"/>
        <w:snapToGrid w:val="0"/>
        <w:spacing w:line="440" w:lineRule="exact"/>
        <w:ind w:firstLine="236" w:firstLineChars="98"/>
        <w:rPr>
          <w:rFonts w:hAnsi="宋体"/>
          <w:b/>
          <w:color w:val="FF0000"/>
          <w:sz w:val="24"/>
          <w:szCs w:val="24"/>
        </w:rPr>
      </w:pPr>
      <w:r>
        <w:rPr>
          <w:rFonts w:hint="eastAsia" w:hAnsi="宋体"/>
          <w:b/>
          <w:color w:val="FF0000"/>
          <w:sz w:val="24"/>
          <w:szCs w:val="24"/>
        </w:rPr>
        <w:t>（6）竞标保证金交款凭证证明材料复印件；</w:t>
      </w:r>
      <w:r>
        <w:rPr>
          <w:rFonts w:hAnsi="宋体"/>
          <w:b/>
          <w:color w:val="FF0000"/>
          <w:sz w:val="24"/>
          <w:szCs w:val="24"/>
        </w:rPr>
        <w:t>(</w:t>
      </w:r>
      <w:r>
        <w:rPr>
          <w:rFonts w:hint="eastAsia" w:hAnsi="宋体"/>
          <w:b/>
          <w:color w:val="FF0000"/>
          <w:sz w:val="24"/>
          <w:szCs w:val="24"/>
        </w:rPr>
        <w:t>加盖公章，原件备查</w:t>
      </w:r>
      <w:r>
        <w:rPr>
          <w:rFonts w:hAnsi="宋体"/>
          <w:b/>
          <w:color w:val="FF0000"/>
          <w:sz w:val="24"/>
          <w:szCs w:val="24"/>
        </w:rPr>
        <w:t>)</w:t>
      </w:r>
    </w:p>
    <w:p>
      <w:pPr>
        <w:pStyle w:val="16"/>
        <w:snapToGrid w:val="0"/>
        <w:spacing w:line="440" w:lineRule="exact"/>
        <w:ind w:firstLine="236" w:firstLineChars="98"/>
        <w:rPr>
          <w:rFonts w:hAnsi="宋体"/>
          <w:b/>
          <w:color w:val="FF0000"/>
          <w:sz w:val="24"/>
          <w:szCs w:val="24"/>
        </w:rPr>
      </w:pPr>
      <w:r>
        <w:rPr>
          <w:rFonts w:hint="eastAsia" w:hAnsi="宋体"/>
          <w:b/>
          <w:color w:val="FF0000"/>
          <w:sz w:val="24"/>
          <w:szCs w:val="24"/>
        </w:rPr>
        <w:t>（7）竞标人出具的本单位参加政府采购活动前3年内在经营活动中无重大违法记录的书面声明原件(必须提交)；</w:t>
      </w:r>
    </w:p>
    <w:p>
      <w:pPr>
        <w:pStyle w:val="16"/>
        <w:snapToGrid w:val="0"/>
        <w:spacing w:line="440" w:lineRule="exact"/>
        <w:ind w:firstLine="236" w:firstLineChars="98"/>
        <w:rPr>
          <w:rFonts w:hAnsi="宋体"/>
          <w:b/>
          <w:color w:val="FF0000"/>
          <w:sz w:val="24"/>
          <w:szCs w:val="24"/>
        </w:rPr>
      </w:pPr>
      <w:r>
        <w:rPr>
          <w:rFonts w:hint="eastAsia" w:hAnsi="宋体"/>
          <w:b/>
          <w:color w:val="FF0000"/>
          <w:sz w:val="24"/>
          <w:szCs w:val="24"/>
        </w:rPr>
        <w:t>（8）2019年度财务会计审计报告或财务会计报表复印件（加盖公章，新成立的单位请按实际提供）；</w:t>
      </w:r>
    </w:p>
    <w:p>
      <w:pPr>
        <w:pStyle w:val="16"/>
        <w:snapToGrid w:val="0"/>
        <w:spacing w:line="440" w:lineRule="exact"/>
        <w:ind w:firstLine="236" w:firstLineChars="98"/>
        <w:rPr>
          <w:rFonts w:hAnsi="宋体"/>
          <w:b/>
          <w:color w:val="FF0000"/>
          <w:sz w:val="24"/>
          <w:szCs w:val="24"/>
        </w:rPr>
      </w:pPr>
      <w:r>
        <w:rPr>
          <w:rFonts w:hint="eastAsia" w:hAnsi="宋体"/>
          <w:b/>
          <w:color w:val="FF0000"/>
          <w:sz w:val="24"/>
          <w:szCs w:val="24"/>
        </w:rPr>
        <w:t>（9）企业信用信息声明原件（必须提交，附上谈判公告发布之日起至截标时间止在“信用中国”网站(www.creditchina.gov.cn)、中国政府采购网(www.ccgp.gov.cn)等渠道查询的信用记录网页截图打印件作为附件）；</w:t>
      </w:r>
    </w:p>
    <w:p>
      <w:pPr>
        <w:pStyle w:val="16"/>
        <w:snapToGrid w:val="0"/>
        <w:spacing w:line="440" w:lineRule="exact"/>
        <w:ind w:firstLine="480" w:firstLineChars="200"/>
        <w:rPr>
          <w:rFonts w:hAnsi="宋体"/>
          <w:sz w:val="24"/>
          <w:szCs w:val="24"/>
        </w:rPr>
      </w:pPr>
      <w:r>
        <w:rPr>
          <w:rFonts w:hint="eastAsia" w:hAnsi="宋体"/>
          <w:sz w:val="24"/>
          <w:szCs w:val="24"/>
        </w:rPr>
        <w:t>13．竞标人还应提交根据本采购项目要求提供证明货物和手续合格性的文件及资料。它们可以是：</w:t>
      </w:r>
    </w:p>
    <w:p>
      <w:pPr>
        <w:pStyle w:val="16"/>
        <w:spacing w:line="440" w:lineRule="exact"/>
        <w:ind w:firstLine="420"/>
        <w:rPr>
          <w:rFonts w:hAnsi="宋体"/>
          <w:sz w:val="24"/>
          <w:szCs w:val="24"/>
        </w:rPr>
      </w:pPr>
      <w:r>
        <w:rPr>
          <w:rFonts w:hint="eastAsia" w:hAnsi="宋体"/>
          <w:sz w:val="24"/>
          <w:szCs w:val="24"/>
        </w:rPr>
        <w:t>⑴生产厂家的有关资格和生产许可证（实行生产许可证制度的产品必须提供,否则竞标无效）、产品强制标准认证证书（凡实行强制标准认证的产品必须提供,否则竞标无效）、产品质量检验证，以上均为复印件并加盖公章，于供货时提供；</w:t>
      </w:r>
    </w:p>
    <w:p>
      <w:pPr>
        <w:pStyle w:val="16"/>
        <w:spacing w:line="440" w:lineRule="exact"/>
        <w:ind w:firstLine="420"/>
        <w:rPr>
          <w:rFonts w:hAnsi="宋体"/>
          <w:sz w:val="24"/>
          <w:szCs w:val="24"/>
        </w:rPr>
      </w:pPr>
      <w:r>
        <w:rPr>
          <w:rFonts w:hint="eastAsia" w:hAnsi="宋体"/>
          <w:sz w:val="24"/>
          <w:szCs w:val="24"/>
        </w:rPr>
        <w:t>⑵产品样本、使用说明书等技术资料及产品近三年获得的质量获奖荣誉证书(复印件)；</w:t>
      </w:r>
    </w:p>
    <w:p>
      <w:pPr>
        <w:pStyle w:val="16"/>
        <w:spacing w:line="440" w:lineRule="exact"/>
        <w:ind w:firstLine="420"/>
        <w:rPr>
          <w:rFonts w:hAnsi="宋体"/>
          <w:sz w:val="24"/>
          <w:szCs w:val="24"/>
        </w:rPr>
      </w:pPr>
      <w:r>
        <w:rPr>
          <w:rFonts w:hint="eastAsia" w:hAnsi="宋体"/>
          <w:sz w:val="24"/>
          <w:szCs w:val="24"/>
        </w:rPr>
        <w:t>⑶货物或产品保证供货有效证明（指由竞标货物生产厂家针对本项目出具的保证按竞标文件承诺的时间、数量、价格供应货物的证明）；</w:t>
      </w:r>
    </w:p>
    <w:p>
      <w:pPr>
        <w:pStyle w:val="16"/>
        <w:spacing w:line="440" w:lineRule="exact"/>
        <w:ind w:firstLine="420"/>
        <w:rPr>
          <w:rFonts w:hAnsi="宋体"/>
          <w:b/>
          <w:sz w:val="24"/>
          <w:szCs w:val="24"/>
        </w:rPr>
      </w:pPr>
      <w:r>
        <w:rPr>
          <w:rFonts w:hint="eastAsia" w:hAnsi="宋体"/>
          <w:b/>
          <w:sz w:val="24"/>
          <w:szCs w:val="24"/>
        </w:rPr>
        <w:t>⑷产品销售授权书或代理证书｛若有，请提供原件或复印件（加盖单位公章）｝；</w:t>
      </w:r>
    </w:p>
    <w:p>
      <w:pPr>
        <w:pStyle w:val="16"/>
        <w:spacing w:line="440" w:lineRule="exact"/>
        <w:ind w:firstLine="420"/>
        <w:rPr>
          <w:rFonts w:hAnsi="宋体"/>
          <w:b/>
          <w:sz w:val="24"/>
          <w:szCs w:val="24"/>
        </w:rPr>
      </w:pPr>
      <w:r>
        <w:rPr>
          <w:rFonts w:hint="eastAsia" w:hAnsi="宋体"/>
          <w:b/>
          <w:sz w:val="24"/>
          <w:szCs w:val="24"/>
        </w:rPr>
        <w:t>⑸竞标产品生产厂家对技术性能及配置证明文件｛若《货物需求一览表》要求提供的，必须提供｝；</w:t>
      </w:r>
    </w:p>
    <w:p>
      <w:pPr>
        <w:pStyle w:val="16"/>
        <w:ind w:firstLine="482" w:firstLineChars="200"/>
        <w:rPr>
          <w:rFonts w:hAnsi="宋体"/>
          <w:b/>
          <w:sz w:val="24"/>
          <w:szCs w:val="24"/>
        </w:rPr>
      </w:pPr>
      <w:r>
        <w:rPr>
          <w:rFonts w:hint="eastAsia" w:hAnsi="宋体"/>
          <w:b/>
          <w:sz w:val="24"/>
          <w:szCs w:val="24"/>
        </w:rPr>
        <w:t>(6)《货物需求一览表》要求提供的其他相关资料文件，必须提供。</w:t>
      </w:r>
      <w:bookmarkStart w:id="127" w:name="_Toc139257183"/>
    </w:p>
    <w:p>
      <w:pPr>
        <w:pStyle w:val="16"/>
        <w:snapToGrid w:val="0"/>
        <w:spacing w:line="440" w:lineRule="exact"/>
        <w:outlineLvl w:val="2"/>
        <w:rPr>
          <w:rFonts w:hAnsi="宋体"/>
          <w:b/>
          <w:sz w:val="24"/>
          <w:szCs w:val="24"/>
        </w:rPr>
      </w:pPr>
      <w:bookmarkStart w:id="128" w:name="_Toc219054941"/>
      <w:bookmarkStart w:id="129" w:name="_Toc219055086"/>
      <w:bookmarkStart w:id="130" w:name="_Toc340341933"/>
      <w:bookmarkStart w:id="131" w:name="_Toc6047106"/>
      <w:r>
        <w:rPr>
          <w:rFonts w:hint="eastAsia" w:hAnsi="宋体"/>
          <w:b/>
          <w:sz w:val="24"/>
          <w:szCs w:val="24"/>
        </w:rPr>
        <w:t>14.竞标的有效期</w:t>
      </w:r>
      <w:bookmarkEnd w:id="127"/>
      <w:bookmarkEnd w:id="128"/>
      <w:bookmarkEnd w:id="129"/>
      <w:bookmarkEnd w:id="130"/>
      <w:bookmarkEnd w:id="131"/>
    </w:p>
    <w:p>
      <w:pPr>
        <w:pStyle w:val="16"/>
        <w:snapToGrid w:val="0"/>
        <w:spacing w:line="440" w:lineRule="exact"/>
        <w:ind w:firstLine="420"/>
        <w:rPr>
          <w:rFonts w:hAnsi="宋体"/>
          <w:sz w:val="24"/>
          <w:szCs w:val="24"/>
        </w:rPr>
      </w:pPr>
      <w:r>
        <w:rPr>
          <w:rFonts w:hint="eastAsia" w:hAnsi="宋体"/>
          <w:sz w:val="24"/>
          <w:szCs w:val="24"/>
        </w:rPr>
        <w:t>14.1竞标文件从竞标截止日期后30天内有效。</w:t>
      </w:r>
    </w:p>
    <w:p>
      <w:pPr>
        <w:pStyle w:val="16"/>
        <w:snapToGrid w:val="0"/>
        <w:spacing w:line="440" w:lineRule="exact"/>
        <w:ind w:firstLine="420"/>
        <w:rPr>
          <w:rFonts w:hAnsi="宋体"/>
          <w:sz w:val="24"/>
          <w:szCs w:val="24"/>
        </w:rPr>
      </w:pPr>
      <w:r>
        <w:rPr>
          <w:rFonts w:hint="eastAsia" w:hAnsi="宋体"/>
          <w:sz w:val="24"/>
          <w:szCs w:val="24"/>
        </w:rPr>
        <w:t>14.2</w:t>
      </w:r>
      <w:r>
        <w:rPr>
          <w:rFonts w:hint="eastAsia" w:hAnsi="宋体"/>
          <w:spacing w:val="2"/>
          <w:sz w:val="24"/>
          <w:szCs w:val="24"/>
        </w:rPr>
        <w:t>在原定竞标有效期满之前，如果出现特殊情况，采购人可以书面形式向竞标人提出延长竞标有效期的要求。竞标人须以书面形式予以答复，竞标人可以拒绝这种要求而不被没收谈判保证金。同意延长竞标有效期的竞标人不允许修改其竞标文件及谈判应答文件，但需要相应地延长谈判保证金的有效期，在延长期内本须知第16条的规定仍然适用。</w:t>
      </w:r>
    </w:p>
    <w:p>
      <w:pPr>
        <w:pStyle w:val="16"/>
        <w:snapToGrid w:val="0"/>
        <w:spacing w:line="440" w:lineRule="exact"/>
        <w:outlineLvl w:val="2"/>
        <w:rPr>
          <w:rFonts w:hAnsi="宋体"/>
          <w:b/>
          <w:sz w:val="24"/>
          <w:szCs w:val="24"/>
        </w:rPr>
      </w:pPr>
      <w:bookmarkStart w:id="132" w:name="_Toc340341934"/>
      <w:bookmarkStart w:id="133" w:name="_Toc219054942"/>
      <w:bookmarkStart w:id="134" w:name="_Toc219055087"/>
      <w:bookmarkStart w:id="135" w:name="_Toc139257184"/>
      <w:bookmarkStart w:id="136" w:name="_Toc6047107"/>
      <w:r>
        <w:rPr>
          <w:rFonts w:hint="eastAsia" w:hAnsi="宋体"/>
          <w:b/>
          <w:sz w:val="24"/>
          <w:szCs w:val="24"/>
        </w:rPr>
        <w:t>15.竞标文件的书写及签名、盖章要求</w:t>
      </w:r>
      <w:bookmarkEnd w:id="132"/>
      <w:bookmarkEnd w:id="133"/>
      <w:bookmarkEnd w:id="134"/>
      <w:bookmarkEnd w:id="135"/>
      <w:bookmarkEnd w:id="136"/>
    </w:p>
    <w:p>
      <w:pPr>
        <w:pStyle w:val="16"/>
        <w:snapToGrid w:val="0"/>
        <w:spacing w:line="440" w:lineRule="exact"/>
        <w:ind w:firstLine="420"/>
        <w:rPr>
          <w:rFonts w:hAnsi="宋体"/>
          <w:sz w:val="24"/>
          <w:szCs w:val="24"/>
        </w:rPr>
      </w:pPr>
      <w:r>
        <w:rPr>
          <w:rFonts w:hint="eastAsia" w:hAnsi="宋体"/>
          <w:color w:val="000000"/>
          <w:sz w:val="24"/>
          <w:szCs w:val="24"/>
        </w:rPr>
        <w:t>15.1竞标文件正本必须用不褪色的墨水书写或打印，</w:t>
      </w:r>
      <w:r>
        <w:rPr>
          <w:rFonts w:hint="eastAsia" w:hAnsi="宋体"/>
          <w:b/>
          <w:sz w:val="24"/>
          <w:szCs w:val="24"/>
        </w:rPr>
        <w:t>否则谈判小组有权判定为无效竞标</w:t>
      </w:r>
      <w:r>
        <w:rPr>
          <w:rFonts w:hint="eastAsia" w:hAnsi="宋体"/>
          <w:sz w:val="24"/>
          <w:szCs w:val="24"/>
        </w:rPr>
        <w:t>。</w:t>
      </w:r>
      <w:r>
        <w:rPr>
          <w:rFonts w:hint="eastAsia" w:hAnsi="宋体"/>
          <w:b/>
          <w:bCs/>
          <w:sz w:val="24"/>
          <w:szCs w:val="24"/>
        </w:rPr>
        <w:t>（副本可以用正本复印，但要求盖章的必须在复印后加盖单位公章）。</w:t>
      </w:r>
    </w:p>
    <w:p>
      <w:pPr>
        <w:pStyle w:val="16"/>
        <w:snapToGrid w:val="0"/>
        <w:spacing w:line="440" w:lineRule="exact"/>
        <w:ind w:firstLine="420"/>
        <w:rPr>
          <w:rFonts w:hAnsi="宋体"/>
          <w:sz w:val="24"/>
          <w:szCs w:val="24"/>
        </w:rPr>
      </w:pPr>
      <w:r>
        <w:rPr>
          <w:rFonts w:hint="eastAsia" w:hAnsi="宋体"/>
          <w:sz w:val="24"/>
          <w:szCs w:val="24"/>
        </w:rPr>
        <w:t>15.2竞标文件的书写应清楚工整，修改处应由法定代表人或委托代理人签字和加盖单位公章，否则其修改无效。</w:t>
      </w:r>
    </w:p>
    <w:p>
      <w:pPr>
        <w:pStyle w:val="16"/>
        <w:snapToGrid w:val="0"/>
        <w:spacing w:line="440" w:lineRule="exact"/>
        <w:ind w:firstLine="420"/>
        <w:rPr>
          <w:rFonts w:hAnsi="宋体"/>
          <w:sz w:val="24"/>
          <w:szCs w:val="24"/>
        </w:rPr>
      </w:pPr>
      <w:r>
        <w:rPr>
          <w:rFonts w:hint="eastAsia" w:hAnsi="宋体"/>
          <w:sz w:val="24"/>
          <w:szCs w:val="24"/>
        </w:rPr>
        <w:t>15.3字迹潦草、表达不清、未按要求填写或可能导致非唯一理解的竞标文件</w:t>
      </w:r>
      <w:r>
        <w:rPr>
          <w:rFonts w:hint="eastAsia" w:hAnsi="宋体"/>
          <w:b/>
          <w:sz w:val="24"/>
          <w:szCs w:val="24"/>
        </w:rPr>
        <w:t>谈判小组有权判定为无效竞标</w:t>
      </w:r>
      <w:r>
        <w:rPr>
          <w:rFonts w:hint="eastAsia" w:hAnsi="宋体"/>
          <w:sz w:val="24"/>
          <w:szCs w:val="24"/>
        </w:rPr>
        <w:t>。</w:t>
      </w:r>
    </w:p>
    <w:p>
      <w:pPr>
        <w:pStyle w:val="16"/>
        <w:snapToGrid w:val="0"/>
        <w:spacing w:line="440" w:lineRule="exact"/>
        <w:ind w:firstLine="420"/>
        <w:rPr>
          <w:rFonts w:hAnsi="宋体"/>
          <w:color w:val="000000"/>
          <w:sz w:val="24"/>
          <w:szCs w:val="24"/>
        </w:rPr>
      </w:pPr>
      <w:r>
        <w:rPr>
          <w:rFonts w:hint="eastAsia" w:hAnsi="宋体"/>
          <w:color w:val="000000"/>
          <w:sz w:val="24"/>
          <w:szCs w:val="24"/>
        </w:rPr>
        <w:t>15.4竞标文件应由法定代表人或委托代理人在凡规定签名、盖章处逐一签名和加盖单位公章，</w:t>
      </w:r>
      <w:r>
        <w:rPr>
          <w:rFonts w:hint="eastAsia" w:hAnsi="宋体"/>
          <w:b/>
          <w:color w:val="000000"/>
          <w:sz w:val="24"/>
          <w:szCs w:val="24"/>
        </w:rPr>
        <w:t>否则其竞标无效</w:t>
      </w:r>
      <w:r>
        <w:rPr>
          <w:rFonts w:hint="eastAsia" w:hAnsi="宋体"/>
          <w:color w:val="000000"/>
          <w:sz w:val="24"/>
          <w:szCs w:val="24"/>
        </w:rPr>
        <w:t>。</w:t>
      </w:r>
    </w:p>
    <w:p>
      <w:pPr>
        <w:pStyle w:val="16"/>
        <w:snapToGrid w:val="0"/>
        <w:spacing w:line="440" w:lineRule="exact"/>
        <w:ind w:firstLine="420"/>
        <w:rPr>
          <w:rFonts w:hAnsi="宋体"/>
          <w:sz w:val="24"/>
          <w:szCs w:val="24"/>
        </w:rPr>
      </w:pPr>
      <w:r>
        <w:rPr>
          <w:rFonts w:hint="eastAsia" w:hAnsi="宋体"/>
          <w:sz w:val="24"/>
          <w:szCs w:val="24"/>
        </w:rPr>
        <w:t>15.5竞标文件的份数：</w:t>
      </w:r>
      <w:r>
        <w:rPr>
          <w:rFonts w:hint="eastAsia" w:hAnsi="宋体"/>
          <w:b/>
          <w:sz w:val="24"/>
          <w:szCs w:val="24"/>
        </w:rPr>
        <w:t>正本壹份、副本叁份，共肆份。</w:t>
      </w:r>
      <w:r>
        <w:rPr>
          <w:rFonts w:hint="eastAsia" w:hAnsi="宋体"/>
          <w:sz w:val="24"/>
          <w:szCs w:val="24"/>
        </w:rPr>
        <w:t>并在文件封面注明“正本”、“副本”字样，一旦正本和副本不符，以正本为准。</w:t>
      </w:r>
    </w:p>
    <w:p>
      <w:pPr>
        <w:pStyle w:val="16"/>
        <w:snapToGrid w:val="0"/>
        <w:spacing w:line="440" w:lineRule="exact"/>
        <w:outlineLvl w:val="2"/>
        <w:rPr>
          <w:rFonts w:hAnsi="宋体"/>
          <w:b/>
          <w:sz w:val="24"/>
          <w:szCs w:val="24"/>
        </w:rPr>
      </w:pPr>
      <w:bookmarkStart w:id="137" w:name="_Toc219054943"/>
      <w:bookmarkStart w:id="138" w:name="_Toc340341935"/>
      <w:bookmarkStart w:id="139" w:name="_Toc219055088"/>
      <w:bookmarkStart w:id="140" w:name="_Toc139257185"/>
      <w:bookmarkStart w:id="141" w:name="_Toc6047108"/>
      <w:r>
        <w:rPr>
          <w:rFonts w:hint="eastAsia" w:hAnsi="宋体"/>
          <w:b/>
          <w:sz w:val="24"/>
          <w:szCs w:val="24"/>
        </w:rPr>
        <w:t>16.竞标保证金</w:t>
      </w:r>
      <w:bookmarkEnd w:id="137"/>
      <w:bookmarkEnd w:id="138"/>
      <w:bookmarkEnd w:id="139"/>
      <w:bookmarkEnd w:id="140"/>
      <w:bookmarkEnd w:id="141"/>
    </w:p>
    <w:p>
      <w:pPr>
        <w:pStyle w:val="16"/>
        <w:snapToGrid w:val="0"/>
        <w:spacing w:line="440" w:lineRule="exact"/>
        <w:ind w:firstLine="482" w:firstLineChars="200"/>
        <w:rPr>
          <w:rFonts w:hAnsi="宋体"/>
          <w:sz w:val="24"/>
          <w:szCs w:val="24"/>
        </w:rPr>
      </w:pPr>
      <w:bookmarkStart w:id="142" w:name="_Toc139257186"/>
      <w:r>
        <w:rPr>
          <w:rFonts w:hint="eastAsia" w:hAnsi="宋体"/>
          <w:b/>
          <w:sz w:val="24"/>
          <w:szCs w:val="24"/>
        </w:rPr>
        <w:t>16.1</w:t>
      </w:r>
      <w:r>
        <w:rPr>
          <w:rFonts w:hint="eastAsia" w:hAnsi="宋体"/>
          <w:sz w:val="24"/>
          <w:szCs w:val="24"/>
        </w:rPr>
        <w:t>竞标人必须按竞标人须知前附表第6项规定的数额、方式要求交纳谈判保证金，</w:t>
      </w:r>
      <w:r>
        <w:rPr>
          <w:rFonts w:hint="eastAsia" w:hAnsi="宋体"/>
          <w:b/>
          <w:sz w:val="24"/>
          <w:szCs w:val="24"/>
        </w:rPr>
        <w:t>否则其竞标无效。</w:t>
      </w:r>
    </w:p>
    <w:p>
      <w:pPr>
        <w:pStyle w:val="16"/>
        <w:snapToGrid w:val="0"/>
        <w:spacing w:line="440" w:lineRule="exact"/>
        <w:ind w:firstLine="420"/>
        <w:rPr>
          <w:rFonts w:hAnsi="宋体"/>
          <w:b/>
          <w:sz w:val="24"/>
          <w:szCs w:val="24"/>
        </w:rPr>
      </w:pPr>
      <w:r>
        <w:rPr>
          <w:rFonts w:hint="eastAsia" w:hAnsi="宋体"/>
          <w:b/>
          <w:sz w:val="24"/>
          <w:szCs w:val="24"/>
        </w:rPr>
        <w:t>16.2</w:t>
      </w:r>
      <w:r>
        <w:rPr>
          <w:rFonts w:hint="eastAsia" w:hAnsi="宋体"/>
          <w:sz w:val="24"/>
          <w:szCs w:val="24"/>
        </w:rPr>
        <w:t>到规定时间止，若指定账户上没有收到某竞标人交纳的谈判保证金，则取消其参加本项目竞标资格。</w:t>
      </w:r>
    </w:p>
    <w:p>
      <w:pPr>
        <w:pStyle w:val="16"/>
        <w:snapToGrid w:val="0"/>
        <w:spacing w:line="440" w:lineRule="exact"/>
        <w:ind w:firstLine="420"/>
        <w:rPr>
          <w:rFonts w:hAnsi="宋体"/>
          <w:sz w:val="24"/>
          <w:szCs w:val="24"/>
        </w:rPr>
      </w:pPr>
      <w:r>
        <w:rPr>
          <w:rFonts w:hint="eastAsia" w:hAnsi="宋体"/>
          <w:b/>
          <w:sz w:val="24"/>
          <w:szCs w:val="24"/>
        </w:rPr>
        <w:t>16.3</w:t>
      </w:r>
      <w:r>
        <w:rPr>
          <w:rFonts w:hint="eastAsia" w:hAnsi="宋体"/>
          <w:sz w:val="24"/>
          <w:szCs w:val="24"/>
        </w:rPr>
        <w:t>办理谈判保证金手续时，请务必在银行进账单或电汇单的用途或空白栏上注明项目名称及项目编号，以免耽误竞标。</w:t>
      </w:r>
    </w:p>
    <w:p>
      <w:pPr>
        <w:pStyle w:val="16"/>
        <w:snapToGrid w:val="0"/>
        <w:spacing w:line="440" w:lineRule="exact"/>
        <w:ind w:firstLine="420"/>
        <w:rPr>
          <w:rFonts w:hAnsi="宋体"/>
          <w:sz w:val="24"/>
          <w:szCs w:val="24"/>
        </w:rPr>
      </w:pPr>
      <w:r>
        <w:rPr>
          <w:rFonts w:hint="eastAsia" w:hAnsi="宋体"/>
          <w:b/>
          <w:sz w:val="24"/>
          <w:szCs w:val="24"/>
        </w:rPr>
        <w:t>16.4</w:t>
      </w:r>
      <w:r>
        <w:rPr>
          <w:rFonts w:hint="eastAsia" w:hAnsi="宋体"/>
          <w:sz w:val="24"/>
          <w:szCs w:val="24"/>
        </w:rPr>
        <w:t>未成交的竞标人的谈判保证金，将在成交通知书发出后5个工作日内退还，不计利息。成交人的谈判保证金在合同签订后5个工作日内退还。谈判保证金一律以转账方式退还。</w:t>
      </w:r>
    </w:p>
    <w:p>
      <w:pPr>
        <w:pStyle w:val="16"/>
        <w:snapToGrid w:val="0"/>
        <w:spacing w:line="440" w:lineRule="exact"/>
        <w:ind w:firstLine="420"/>
        <w:rPr>
          <w:rFonts w:hAnsi="宋体"/>
          <w:sz w:val="24"/>
          <w:szCs w:val="24"/>
        </w:rPr>
      </w:pPr>
      <w:r>
        <w:rPr>
          <w:rFonts w:hint="eastAsia" w:hAnsi="宋体"/>
          <w:b/>
          <w:sz w:val="24"/>
          <w:szCs w:val="24"/>
        </w:rPr>
        <w:t>16.5</w:t>
      </w:r>
      <w:r>
        <w:rPr>
          <w:rFonts w:hint="eastAsia" w:hAnsi="宋体"/>
          <w:sz w:val="24"/>
          <w:szCs w:val="24"/>
        </w:rPr>
        <w:t>竞标人办理退谈判保证金退还手续时，必须将经单位盖章的“关于退还谈判保证金的函（内容至少包含：竞标项目名称、编号、保证金额、竞标人全称、申请退回的开户名称、开户行、开户帐号）”加盖公章，送至采购代理机构财务科。</w:t>
      </w:r>
    </w:p>
    <w:p>
      <w:pPr>
        <w:pStyle w:val="12"/>
        <w:adjustRightInd w:val="0"/>
        <w:snapToGrid w:val="0"/>
        <w:spacing w:line="410" w:lineRule="exact"/>
        <w:ind w:firstLine="482" w:firstLineChars="200"/>
        <w:rPr>
          <w:rFonts w:ascii="宋体" w:hAnsi="宋体" w:eastAsia="宋体"/>
          <w:b w:val="0"/>
          <w:spacing w:val="0"/>
          <w:sz w:val="24"/>
          <w:szCs w:val="24"/>
        </w:rPr>
      </w:pPr>
      <w:r>
        <w:rPr>
          <w:rFonts w:hint="eastAsia" w:ascii="宋体" w:hAnsi="宋体" w:eastAsia="宋体"/>
          <w:spacing w:val="0"/>
          <w:sz w:val="24"/>
          <w:szCs w:val="24"/>
        </w:rPr>
        <w:t>16.6</w:t>
      </w:r>
      <w:r>
        <w:rPr>
          <w:rFonts w:hint="eastAsia" w:ascii="宋体" w:hAnsi="宋体" w:eastAsia="宋体"/>
          <w:b w:val="0"/>
          <w:spacing w:val="0"/>
          <w:sz w:val="24"/>
          <w:szCs w:val="24"/>
        </w:rPr>
        <w:t>竞标人如有下列情况之一者，谈判保证金不予退还：</w:t>
      </w:r>
    </w:p>
    <w:p>
      <w:pPr>
        <w:pStyle w:val="12"/>
        <w:adjustRightInd w:val="0"/>
        <w:snapToGrid w:val="0"/>
        <w:spacing w:line="410" w:lineRule="exact"/>
        <w:ind w:firstLine="480" w:firstLineChars="200"/>
        <w:rPr>
          <w:rFonts w:ascii="宋体" w:hAnsi="宋体" w:eastAsia="宋体"/>
          <w:b w:val="0"/>
          <w:spacing w:val="0"/>
          <w:sz w:val="24"/>
          <w:szCs w:val="24"/>
        </w:rPr>
      </w:pPr>
      <w:r>
        <w:rPr>
          <w:rFonts w:hint="eastAsia" w:ascii="宋体" w:hAnsi="宋体" w:eastAsia="宋体"/>
          <w:b w:val="0"/>
          <w:spacing w:val="0"/>
          <w:sz w:val="24"/>
          <w:szCs w:val="24"/>
        </w:rPr>
        <w:t>16.6.1供应商在提交响应文件截止时间后撤回响应文件的；</w:t>
      </w:r>
    </w:p>
    <w:p>
      <w:pPr>
        <w:pStyle w:val="12"/>
        <w:adjustRightInd w:val="0"/>
        <w:snapToGrid w:val="0"/>
        <w:spacing w:line="410" w:lineRule="exact"/>
        <w:ind w:firstLine="480" w:firstLineChars="200"/>
        <w:rPr>
          <w:rFonts w:ascii="宋体" w:hAnsi="宋体" w:eastAsia="宋体"/>
          <w:b w:val="0"/>
          <w:spacing w:val="0"/>
          <w:sz w:val="24"/>
          <w:szCs w:val="24"/>
        </w:rPr>
      </w:pPr>
      <w:r>
        <w:rPr>
          <w:rFonts w:hint="eastAsia" w:ascii="宋体" w:hAnsi="宋体" w:eastAsia="宋体"/>
          <w:b w:val="0"/>
          <w:spacing w:val="0"/>
          <w:sz w:val="24"/>
          <w:szCs w:val="24"/>
        </w:rPr>
        <w:t>16.6.2供应商在响应文件中提供虚假材料的；</w:t>
      </w:r>
    </w:p>
    <w:p>
      <w:pPr>
        <w:pStyle w:val="12"/>
        <w:adjustRightInd w:val="0"/>
        <w:snapToGrid w:val="0"/>
        <w:spacing w:line="410" w:lineRule="exact"/>
        <w:ind w:firstLine="480" w:firstLineChars="200"/>
        <w:rPr>
          <w:rFonts w:ascii="宋体" w:hAnsi="宋体" w:eastAsia="宋体"/>
          <w:b w:val="0"/>
          <w:spacing w:val="0"/>
          <w:sz w:val="24"/>
          <w:szCs w:val="24"/>
        </w:rPr>
      </w:pPr>
      <w:r>
        <w:rPr>
          <w:rFonts w:hint="eastAsia" w:ascii="宋体" w:hAnsi="宋体" w:eastAsia="宋体"/>
          <w:b w:val="0"/>
          <w:spacing w:val="0"/>
          <w:sz w:val="24"/>
          <w:szCs w:val="24"/>
        </w:rPr>
        <w:t>16.6.3除因不可抗力或谈判文件认可的情形以外，成交供应商不与采购人签订合同的；</w:t>
      </w:r>
    </w:p>
    <w:p>
      <w:pPr>
        <w:pStyle w:val="12"/>
        <w:adjustRightInd w:val="0"/>
        <w:snapToGrid w:val="0"/>
        <w:spacing w:line="410" w:lineRule="exact"/>
        <w:ind w:firstLine="480" w:firstLineChars="200"/>
        <w:rPr>
          <w:rFonts w:ascii="宋体" w:hAnsi="宋体" w:eastAsia="宋体"/>
          <w:b w:val="0"/>
          <w:spacing w:val="0"/>
          <w:sz w:val="24"/>
          <w:szCs w:val="24"/>
        </w:rPr>
      </w:pPr>
      <w:r>
        <w:rPr>
          <w:rFonts w:hint="eastAsia" w:ascii="宋体" w:hAnsi="宋体" w:eastAsia="宋体"/>
          <w:b w:val="0"/>
          <w:spacing w:val="0"/>
          <w:sz w:val="24"/>
          <w:szCs w:val="24"/>
        </w:rPr>
        <w:t>16.6.4供应商与采购人、其他供应商或者采购代理机构恶意串通的；</w:t>
      </w:r>
    </w:p>
    <w:p>
      <w:pPr>
        <w:widowControl/>
        <w:snapToGrid w:val="0"/>
        <w:spacing w:line="400" w:lineRule="exact"/>
        <w:ind w:firstLine="482" w:firstLineChars="200"/>
        <w:rPr>
          <w:rFonts w:ascii="宋体" w:hAnsi="宋体"/>
          <w:sz w:val="24"/>
          <w:szCs w:val="24"/>
        </w:rPr>
      </w:pPr>
      <w:r>
        <w:rPr>
          <w:rFonts w:hint="eastAsia" w:ascii="宋体" w:hAnsi="宋体"/>
          <w:b/>
          <w:sz w:val="24"/>
          <w:szCs w:val="24"/>
        </w:rPr>
        <w:t>16.6.5采购文件规定的其他情形。</w:t>
      </w:r>
    </w:p>
    <w:p>
      <w:pPr>
        <w:pStyle w:val="4"/>
        <w:snapToGrid w:val="0"/>
        <w:spacing w:before="100" w:beforeAutospacing="1" w:after="100" w:afterAutospacing="1" w:line="560" w:lineRule="exact"/>
        <w:jc w:val="center"/>
        <w:rPr>
          <w:rFonts w:ascii="宋体" w:hAnsi="宋体"/>
          <w:sz w:val="24"/>
        </w:rPr>
      </w:pPr>
      <w:bookmarkStart w:id="143" w:name="_Toc269710458"/>
      <w:bookmarkStart w:id="144" w:name="_Toc340341936"/>
      <w:bookmarkStart w:id="145" w:name="_Toc6047109"/>
      <w:r>
        <w:rPr>
          <w:rFonts w:hint="eastAsia" w:ascii="宋体" w:hAnsi="宋体"/>
          <w:sz w:val="24"/>
        </w:rPr>
        <w:t>（四）竞标文件的递交</w:t>
      </w:r>
      <w:bookmarkEnd w:id="142"/>
      <w:bookmarkEnd w:id="143"/>
      <w:bookmarkEnd w:id="144"/>
      <w:bookmarkEnd w:id="145"/>
    </w:p>
    <w:p>
      <w:pPr>
        <w:pStyle w:val="16"/>
        <w:snapToGrid w:val="0"/>
        <w:spacing w:line="440" w:lineRule="exact"/>
        <w:outlineLvl w:val="2"/>
        <w:rPr>
          <w:rFonts w:hAnsi="宋体"/>
          <w:b/>
          <w:sz w:val="24"/>
          <w:szCs w:val="24"/>
        </w:rPr>
      </w:pPr>
      <w:bookmarkStart w:id="146" w:name="_Toc219055090"/>
      <w:bookmarkStart w:id="147" w:name="_Toc139257187"/>
      <w:bookmarkStart w:id="148" w:name="_Toc219054944"/>
      <w:bookmarkStart w:id="149" w:name="_Toc340341937"/>
      <w:bookmarkStart w:id="150" w:name="_Toc6047110"/>
      <w:r>
        <w:rPr>
          <w:rFonts w:hint="eastAsia" w:hAnsi="宋体"/>
          <w:b/>
          <w:sz w:val="24"/>
          <w:szCs w:val="24"/>
        </w:rPr>
        <w:t>17.竞标文件的密封与标记</w:t>
      </w:r>
      <w:bookmarkEnd w:id="146"/>
      <w:bookmarkEnd w:id="147"/>
      <w:bookmarkEnd w:id="148"/>
      <w:bookmarkEnd w:id="149"/>
      <w:bookmarkEnd w:id="150"/>
    </w:p>
    <w:p>
      <w:pPr>
        <w:pStyle w:val="16"/>
        <w:snapToGrid w:val="0"/>
        <w:spacing w:line="440" w:lineRule="exact"/>
        <w:ind w:firstLine="420"/>
        <w:rPr>
          <w:rFonts w:hAnsi="宋体"/>
          <w:sz w:val="24"/>
          <w:szCs w:val="24"/>
        </w:rPr>
      </w:pPr>
      <w:r>
        <w:rPr>
          <w:rFonts w:hint="eastAsia" w:hAnsi="宋体"/>
          <w:sz w:val="24"/>
          <w:szCs w:val="24"/>
        </w:rPr>
        <w:t>17.1竞标人应将竞标文件正、副本分别装订成册，在每本文件封面上标明“正本”或“副本”以及项目名称、项目编号、竞标人名称等内容。</w:t>
      </w:r>
    </w:p>
    <w:p>
      <w:pPr>
        <w:pStyle w:val="16"/>
        <w:snapToGrid w:val="0"/>
        <w:spacing w:line="440" w:lineRule="exact"/>
        <w:ind w:firstLine="480" w:firstLineChars="200"/>
        <w:rPr>
          <w:rFonts w:hAnsi="宋体"/>
          <w:sz w:val="24"/>
          <w:szCs w:val="24"/>
        </w:rPr>
      </w:pPr>
      <w:r>
        <w:rPr>
          <w:rFonts w:hint="eastAsia" w:hAnsi="宋体"/>
          <w:sz w:val="24"/>
          <w:szCs w:val="24"/>
        </w:rPr>
        <w:t>17.2竞标人应将竞标文件（正本壹份、副本叁份）一并装入竞标文件袋加以密封，并在封口处密封签章（公章、密封章均可）。</w:t>
      </w:r>
    </w:p>
    <w:p>
      <w:pPr>
        <w:pStyle w:val="16"/>
        <w:snapToGrid w:val="0"/>
        <w:spacing w:line="440" w:lineRule="exact"/>
        <w:ind w:firstLine="420"/>
        <w:rPr>
          <w:rFonts w:hAnsi="宋体"/>
          <w:sz w:val="24"/>
          <w:szCs w:val="24"/>
        </w:rPr>
      </w:pPr>
      <w:r>
        <w:rPr>
          <w:rFonts w:hint="eastAsia" w:hAnsi="宋体"/>
          <w:sz w:val="24"/>
          <w:szCs w:val="24"/>
        </w:rPr>
        <w:t>17.3文件袋上应写明：</w:t>
      </w:r>
    </w:p>
    <w:p>
      <w:pPr>
        <w:pStyle w:val="12"/>
        <w:adjustRightInd w:val="0"/>
        <w:snapToGrid w:val="0"/>
        <w:spacing w:line="440" w:lineRule="exact"/>
        <w:ind w:firstLine="480" w:firstLineChars="200"/>
        <w:rPr>
          <w:rFonts w:ascii="宋体" w:hAnsi="宋体" w:eastAsia="宋体"/>
          <w:b w:val="0"/>
          <w:spacing w:val="0"/>
          <w:sz w:val="24"/>
          <w:szCs w:val="24"/>
        </w:rPr>
      </w:pPr>
      <w:r>
        <w:rPr>
          <w:rFonts w:hint="eastAsia" w:ascii="宋体" w:hAnsi="宋体" w:eastAsia="宋体"/>
          <w:b w:val="0"/>
          <w:spacing w:val="0"/>
          <w:sz w:val="24"/>
          <w:szCs w:val="24"/>
        </w:rPr>
        <w:t>项目名称：</w:t>
      </w:r>
    </w:p>
    <w:p>
      <w:pPr>
        <w:pStyle w:val="12"/>
        <w:adjustRightInd w:val="0"/>
        <w:snapToGrid w:val="0"/>
        <w:spacing w:line="440" w:lineRule="exact"/>
        <w:ind w:firstLine="480" w:firstLineChars="200"/>
        <w:rPr>
          <w:rFonts w:ascii="宋体" w:hAnsi="宋体" w:eastAsia="宋体"/>
          <w:b w:val="0"/>
          <w:spacing w:val="0"/>
          <w:sz w:val="24"/>
          <w:szCs w:val="24"/>
          <w:u w:val="single"/>
        </w:rPr>
      </w:pPr>
      <w:r>
        <w:rPr>
          <w:rFonts w:hint="eastAsia" w:ascii="宋体" w:hAnsi="宋体" w:eastAsia="宋体"/>
          <w:b w:val="0"/>
          <w:spacing w:val="0"/>
          <w:sz w:val="24"/>
          <w:szCs w:val="24"/>
        </w:rPr>
        <w:t>项目编号：</w:t>
      </w:r>
    </w:p>
    <w:p>
      <w:pPr>
        <w:pStyle w:val="12"/>
        <w:adjustRightInd w:val="0"/>
        <w:snapToGrid w:val="0"/>
        <w:spacing w:line="440" w:lineRule="exact"/>
        <w:ind w:firstLine="480" w:firstLineChars="200"/>
        <w:rPr>
          <w:rFonts w:ascii="宋体" w:hAnsi="宋体" w:eastAsia="宋体"/>
          <w:b w:val="0"/>
          <w:spacing w:val="0"/>
          <w:sz w:val="24"/>
          <w:szCs w:val="24"/>
        </w:rPr>
      </w:pPr>
      <w:r>
        <w:rPr>
          <w:rFonts w:hint="eastAsia" w:ascii="宋体" w:hAnsi="宋体" w:eastAsia="宋体"/>
          <w:b w:val="0"/>
          <w:spacing w:val="0"/>
          <w:sz w:val="24"/>
          <w:szCs w:val="24"/>
        </w:rPr>
        <w:t>标段号：</w:t>
      </w:r>
    </w:p>
    <w:p>
      <w:pPr>
        <w:pStyle w:val="12"/>
        <w:adjustRightInd w:val="0"/>
        <w:snapToGrid w:val="0"/>
        <w:spacing w:line="440" w:lineRule="exact"/>
        <w:ind w:firstLine="480" w:firstLineChars="200"/>
        <w:rPr>
          <w:rFonts w:ascii="宋体" w:hAnsi="宋体" w:eastAsia="宋体"/>
          <w:b w:val="0"/>
          <w:spacing w:val="0"/>
          <w:sz w:val="24"/>
          <w:szCs w:val="24"/>
          <w:u w:val="single"/>
        </w:rPr>
      </w:pPr>
      <w:r>
        <w:rPr>
          <w:rFonts w:hint="eastAsia" w:ascii="宋体" w:hAnsi="宋体" w:eastAsia="宋体"/>
          <w:b w:val="0"/>
          <w:spacing w:val="0"/>
          <w:sz w:val="24"/>
          <w:szCs w:val="24"/>
        </w:rPr>
        <w:t>竞 标 人：</w:t>
      </w:r>
    </w:p>
    <w:p>
      <w:pPr>
        <w:pStyle w:val="16"/>
        <w:adjustRightInd w:val="0"/>
        <w:snapToGrid w:val="0"/>
        <w:spacing w:line="440" w:lineRule="exact"/>
        <w:ind w:firstLine="482" w:firstLineChars="200"/>
        <w:rPr>
          <w:rFonts w:hAnsi="宋体"/>
          <w:sz w:val="24"/>
          <w:szCs w:val="24"/>
        </w:rPr>
      </w:pPr>
      <w:r>
        <w:rPr>
          <w:rFonts w:hint="eastAsia" w:hAnsi="宋体"/>
          <w:b/>
          <w:sz w:val="24"/>
          <w:szCs w:val="24"/>
        </w:rPr>
        <w:t>注明</w:t>
      </w:r>
      <w:r>
        <w:rPr>
          <w:rFonts w:hint="eastAsia" w:hAnsi="宋体"/>
          <w:sz w:val="24"/>
          <w:szCs w:val="24"/>
        </w:rPr>
        <w:t>：</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r>
        <w:rPr>
          <w:rFonts w:hint="eastAsia" w:hAnsi="宋体"/>
          <w:sz w:val="24"/>
          <w:szCs w:val="24"/>
          <w:u w:val="single"/>
        </w:rPr>
        <w:t xml:space="preserve">   </w:t>
      </w:r>
      <w:r>
        <w:rPr>
          <w:rFonts w:hint="eastAsia" w:hAnsi="宋体"/>
          <w:sz w:val="24"/>
          <w:szCs w:val="24"/>
        </w:rPr>
        <w:t>时</w:t>
      </w:r>
      <w:r>
        <w:rPr>
          <w:rFonts w:hint="eastAsia" w:hAnsi="宋体"/>
          <w:sz w:val="24"/>
          <w:szCs w:val="24"/>
          <w:u w:val="single"/>
        </w:rPr>
        <w:t xml:space="preserve">   </w:t>
      </w:r>
      <w:r>
        <w:rPr>
          <w:rFonts w:hint="eastAsia" w:hAnsi="宋体"/>
          <w:sz w:val="24"/>
          <w:szCs w:val="24"/>
        </w:rPr>
        <w:t>分前不得开封</w:t>
      </w:r>
    </w:p>
    <w:p>
      <w:pPr>
        <w:pStyle w:val="12"/>
        <w:adjustRightInd w:val="0"/>
        <w:snapToGrid w:val="0"/>
        <w:spacing w:line="440" w:lineRule="exact"/>
        <w:ind w:firstLine="480" w:firstLineChars="200"/>
        <w:rPr>
          <w:rFonts w:ascii="宋体" w:hAnsi="宋体" w:eastAsia="宋体"/>
          <w:b w:val="0"/>
          <w:spacing w:val="0"/>
          <w:sz w:val="24"/>
          <w:szCs w:val="24"/>
        </w:rPr>
      </w:pPr>
      <w:r>
        <w:rPr>
          <w:rFonts w:hint="eastAsia" w:ascii="宋体" w:hAnsi="宋体" w:eastAsia="宋体"/>
          <w:b w:val="0"/>
          <w:spacing w:val="0"/>
          <w:sz w:val="24"/>
          <w:szCs w:val="24"/>
        </w:rPr>
        <w:t>签收时间：</w:t>
      </w:r>
    </w:p>
    <w:p>
      <w:pPr>
        <w:pStyle w:val="16"/>
        <w:spacing w:line="440" w:lineRule="exact"/>
        <w:ind w:firstLine="420"/>
        <w:rPr>
          <w:rFonts w:hAnsi="宋体"/>
          <w:sz w:val="24"/>
          <w:szCs w:val="24"/>
        </w:rPr>
      </w:pPr>
      <w:r>
        <w:rPr>
          <w:rFonts w:hint="eastAsia" w:hAnsi="宋体"/>
          <w:sz w:val="24"/>
          <w:szCs w:val="24"/>
        </w:rPr>
        <w:t>17.4竞标人按上述要求样式自行包装。</w:t>
      </w:r>
      <w:r>
        <w:rPr>
          <w:rFonts w:hint="eastAsia" w:hAnsi="宋体"/>
          <w:bCs/>
          <w:sz w:val="24"/>
          <w:szCs w:val="24"/>
        </w:rPr>
        <w:t>竞</w:t>
      </w:r>
      <w:r>
        <w:rPr>
          <w:rFonts w:hAnsi="宋体"/>
          <w:bCs/>
          <w:sz w:val="24"/>
          <w:szCs w:val="24"/>
        </w:rPr>
        <w:t>标文件的密封以</w:t>
      </w:r>
      <w:r>
        <w:rPr>
          <w:rFonts w:hint="eastAsia" w:hAnsi="宋体"/>
          <w:bCs/>
          <w:sz w:val="24"/>
          <w:szCs w:val="24"/>
        </w:rPr>
        <w:t>竞</w:t>
      </w:r>
      <w:r>
        <w:rPr>
          <w:rFonts w:hAnsi="宋体"/>
          <w:bCs/>
          <w:sz w:val="24"/>
          <w:szCs w:val="24"/>
        </w:rPr>
        <w:t>标文件袋无明显缝隙暴露袋内文件且封口处有密封签</w:t>
      </w:r>
      <w:r>
        <w:rPr>
          <w:rFonts w:hint="eastAsia" w:hAnsi="宋体"/>
          <w:bCs/>
          <w:sz w:val="24"/>
          <w:szCs w:val="24"/>
        </w:rPr>
        <w:t>字或法人公</w:t>
      </w:r>
      <w:r>
        <w:rPr>
          <w:rFonts w:hAnsi="宋体"/>
          <w:bCs/>
          <w:sz w:val="24"/>
          <w:szCs w:val="24"/>
        </w:rPr>
        <w:t>章为合格。</w:t>
      </w:r>
    </w:p>
    <w:p>
      <w:pPr>
        <w:pStyle w:val="16"/>
        <w:snapToGrid w:val="0"/>
        <w:spacing w:line="440" w:lineRule="exact"/>
        <w:ind w:firstLine="420"/>
        <w:rPr>
          <w:rFonts w:hAnsi="宋体"/>
          <w:sz w:val="24"/>
          <w:szCs w:val="24"/>
        </w:rPr>
      </w:pPr>
      <w:r>
        <w:rPr>
          <w:rFonts w:hAnsi="宋体"/>
          <w:b/>
          <w:bCs/>
          <w:sz w:val="24"/>
          <w:szCs w:val="24"/>
        </w:rPr>
        <w:t>17.</w:t>
      </w:r>
      <w:r>
        <w:rPr>
          <w:rFonts w:hint="eastAsia" w:hAnsi="宋体"/>
          <w:b/>
          <w:bCs/>
          <w:sz w:val="24"/>
          <w:szCs w:val="24"/>
        </w:rPr>
        <w:t>5竞标人在递交竞标文件时未按本须知要求密封、标记的，采购代理机构有权拒收，拒收所产生的后果由竞标人自负。</w:t>
      </w:r>
    </w:p>
    <w:p>
      <w:pPr>
        <w:pStyle w:val="16"/>
        <w:snapToGrid w:val="0"/>
        <w:spacing w:line="440" w:lineRule="exact"/>
        <w:outlineLvl w:val="2"/>
        <w:rPr>
          <w:rFonts w:hAnsi="宋体"/>
          <w:b/>
          <w:sz w:val="24"/>
          <w:szCs w:val="24"/>
        </w:rPr>
      </w:pPr>
      <w:bookmarkStart w:id="151" w:name="_Toc219054945"/>
      <w:bookmarkStart w:id="152" w:name="_Toc139257188"/>
      <w:bookmarkStart w:id="153" w:name="_Toc219055091"/>
      <w:bookmarkStart w:id="154" w:name="_Toc340341938"/>
      <w:bookmarkStart w:id="155" w:name="_Toc6047111"/>
      <w:r>
        <w:rPr>
          <w:rFonts w:hint="eastAsia" w:hAnsi="宋体"/>
          <w:b/>
          <w:sz w:val="24"/>
          <w:szCs w:val="24"/>
        </w:rPr>
        <w:t>18.竞标截止时间</w:t>
      </w:r>
      <w:bookmarkEnd w:id="151"/>
      <w:bookmarkEnd w:id="152"/>
      <w:bookmarkEnd w:id="153"/>
      <w:bookmarkEnd w:id="154"/>
      <w:bookmarkEnd w:id="155"/>
    </w:p>
    <w:p>
      <w:pPr>
        <w:pStyle w:val="16"/>
        <w:snapToGrid w:val="0"/>
        <w:spacing w:line="440" w:lineRule="exact"/>
        <w:ind w:firstLine="420"/>
        <w:rPr>
          <w:rFonts w:hAnsi="宋体"/>
          <w:sz w:val="24"/>
          <w:szCs w:val="24"/>
          <w:u w:val="single"/>
        </w:rPr>
      </w:pPr>
      <w:bookmarkStart w:id="156" w:name="_Toc139257189"/>
      <w:r>
        <w:rPr>
          <w:rFonts w:hint="eastAsia" w:hAnsi="宋体"/>
          <w:sz w:val="24"/>
          <w:szCs w:val="24"/>
        </w:rPr>
        <w:t>竞标人必须在规定时间内将竞标文件递交到竞标人须知前附表规定的地点，</w:t>
      </w:r>
      <w:r>
        <w:rPr>
          <w:rFonts w:hint="eastAsia" w:hAnsi="宋体"/>
          <w:kern w:val="0"/>
          <w:sz w:val="24"/>
          <w:szCs w:val="24"/>
        </w:rPr>
        <w:t>超过竞标截止时间递交的竞标文件将不予受理。</w:t>
      </w:r>
    </w:p>
    <w:p>
      <w:pPr>
        <w:pStyle w:val="16"/>
        <w:snapToGrid w:val="0"/>
        <w:spacing w:line="440" w:lineRule="exact"/>
        <w:outlineLvl w:val="2"/>
        <w:rPr>
          <w:rFonts w:hAnsi="宋体"/>
          <w:b/>
          <w:sz w:val="24"/>
          <w:szCs w:val="24"/>
        </w:rPr>
      </w:pPr>
      <w:bookmarkStart w:id="157" w:name="_Toc340341939"/>
      <w:bookmarkStart w:id="158" w:name="_Toc219054946"/>
      <w:bookmarkStart w:id="159" w:name="_Toc219055092"/>
      <w:bookmarkStart w:id="160" w:name="_Toc6047112"/>
      <w:r>
        <w:rPr>
          <w:rFonts w:hint="eastAsia" w:hAnsi="宋体"/>
          <w:b/>
          <w:sz w:val="24"/>
          <w:szCs w:val="24"/>
        </w:rPr>
        <w:t>19.竞标文件的修改及撤回</w:t>
      </w:r>
      <w:bookmarkEnd w:id="156"/>
      <w:bookmarkEnd w:id="157"/>
      <w:bookmarkEnd w:id="158"/>
      <w:bookmarkEnd w:id="159"/>
      <w:bookmarkEnd w:id="160"/>
    </w:p>
    <w:p>
      <w:pPr>
        <w:pStyle w:val="16"/>
        <w:snapToGrid w:val="0"/>
        <w:spacing w:line="440" w:lineRule="exact"/>
        <w:ind w:firstLine="506" w:firstLineChars="211"/>
        <w:rPr>
          <w:rFonts w:hAnsi="宋体"/>
          <w:sz w:val="24"/>
          <w:szCs w:val="24"/>
        </w:rPr>
      </w:pPr>
      <w:r>
        <w:rPr>
          <w:rFonts w:hint="eastAsia" w:hAnsi="宋体"/>
          <w:sz w:val="24"/>
          <w:szCs w:val="24"/>
        </w:rPr>
        <w:t>19.1竞标人在竞标截止时间前,对所递交的竞标文件可以进行补充、修改或撤回，对竞标人所递交的补充、修改或撤回需要向采购代理机构出具书面通知。补充、修改的内容为竞标文件的组成部分。</w:t>
      </w:r>
    </w:p>
    <w:p>
      <w:pPr>
        <w:pStyle w:val="16"/>
        <w:snapToGrid w:val="0"/>
        <w:spacing w:line="440" w:lineRule="exact"/>
        <w:ind w:firstLine="506" w:firstLineChars="211"/>
        <w:rPr>
          <w:rFonts w:hAnsi="宋体"/>
          <w:sz w:val="24"/>
          <w:szCs w:val="24"/>
        </w:rPr>
      </w:pPr>
      <w:r>
        <w:rPr>
          <w:rFonts w:hint="eastAsia" w:hAnsi="宋体"/>
          <w:sz w:val="24"/>
          <w:szCs w:val="24"/>
        </w:rPr>
        <w:t>19.2竞标文件的修改和撤回通知应按本须知规定密封、标记和递交，并在封面上标明“修改”字样。</w:t>
      </w:r>
    </w:p>
    <w:p>
      <w:pPr>
        <w:pStyle w:val="16"/>
        <w:snapToGrid w:val="0"/>
        <w:spacing w:line="440" w:lineRule="exact"/>
        <w:ind w:firstLine="506" w:firstLineChars="211"/>
        <w:rPr>
          <w:rFonts w:hAnsi="宋体"/>
          <w:sz w:val="24"/>
          <w:szCs w:val="24"/>
        </w:rPr>
      </w:pPr>
      <w:r>
        <w:rPr>
          <w:rFonts w:hint="eastAsia" w:hAnsi="宋体"/>
          <w:sz w:val="24"/>
          <w:szCs w:val="24"/>
        </w:rPr>
        <w:t>19.3在竞标截止时间后，竞标人不得对其竞标做任何修改。</w:t>
      </w:r>
    </w:p>
    <w:p>
      <w:pPr>
        <w:pStyle w:val="16"/>
        <w:snapToGrid w:val="0"/>
        <w:spacing w:line="440" w:lineRule="exact"/>
        <w:ind w:firstLine="506" w:firstLineChars="211"/>
        <w:rPr>
          <w:rFonts w:hAnsi="宋体"/>
          <w:sz w:val="24"/>
          <w:szCs w:val="24"/>
        </w:rPr>
      </w:pPr>
      <w:r>
        <w:rPr>
          <w:rFonts w:hint="eastAsia" w:hAnsi="宋体"/>
          <w:sz w:val="24"/>
          <w:szCs w:val="24"/>
        </w:rPr>
        <w:t>19.4在竞标截止后的竞标有效期内，竞标人不得撤回其竞标，否则其全部谈判保证金将不予退还。</w:t>
      </w:r>
    </w:p>
    <w:p>
      <w:pPr>
        <w:pStyle w:val="16"/>
        <w:adjustRightInd w:val="0"/>
        <w:snapToGrid w:val="0"/>
        <w:spacing w:line="440" w:lineRule="exact"/>
        <w:outlineLvl w:val="2"/>
        <w:rPr>
          <w:rFonts w:hAnsi="宋体"/>
          <w:sz w:val="24"/>
          <w:szCs w:val="24"/>
        </w:rPr>
      </w:pPr>
      <w:bookmarkStart w:id="161" w:name="_Toc6047113"/>
      <w:r>
        <w:rPr>
          <w:rFonts w:hint="eastAsia" w:hAnsi="宋体"/>
          <w:sz w:val="24"/>
          <w:szCs w:val="24"/>
        </w:rPr>
        <w:t>20.</w:t>
      </w:r>
      <w:r>
        <w:rPr>
          <w:rFonts w:hint="eastAsia" w:hAnsi="宋体"/>
          <w:b/>
          <w:sz w:val="24"/>
          <w:szCs w:val="24"/>
        </w:rPr>
        <w:t>竞标文件的递交</w:t>
      </w:r>
      <w:bookmarkEnd w:id="161"/>
    </w:p>
    <w:p>
      <w:pPr>
        <w:pStyle w:val="16"/>
        <w:adjustRightInd w:val="0"/>
        <w:snapToGrid w:val="0"/>
        <w:spacing w:line="440" w:lineRule="exact"/>
        <w:ind w:firstLine="528" w:firstLineChars="220"/>
        <w:rPr>
          <w:rFonts w:hAnsi="宋体"/>
          <w:b/>
          <w:sz w:val="24"/>
          <w:szCs w:val="24"/>
        </w:rPr>
      </w:pPr>
      <w:r>
        <w:rPr>
          <w:rFonts w:hint="eastAsia" w:hAnsi="宋体"/>
          <w:sz w:val="24"/>
          <w:szCs w:val="24"/>
        </w:rPr>
        <w:t>20.1采购代理机构派工作人员在本须知前附表规定的时间、地点签收竞标文件</w:t>
      </w:r>
      <w:r>
        <w:rPr>
          <w:rFonts w:hint="eastAsia" w:hAnsi="宋体"/>
          <w:b/>
          <w:sz w:val="24"/>
          <w:szCs w:val="24"/>
        </w:rPr>
        <w:t>。</w:t>
      </w:r>
    </w:p>
    <w:p>
      <w:pPr>
        <w:pStyle w:val="16"/>
        <w:snapToGrid w:val="0"/>
        <w:spacing w:line="440" w:lineRule="exact"/>
        <w:ind w:firstLine="420"/>
        <w:rPr>
          <w:rFonts w:hAnsi="宋体"/>
          <w:sz w:val="24"/>
          <w:szCs w:val="24"/>
        </w:rPr>
      </w:pPr>
      <w:r>
        <w:rPr>
          <w:rFonts w:hint="eastAsia" w:hAnsi="宋体"/>
          <w:sz w:val="24"/>
          <w:szCs w:val="24"/>
        </w:rPr>
        <w:t>20.2竞标截止时间结束后参与竞标人不足三家的，除采购任务取消情形外，采购人将按照政府采购有关规定执行。</w:t>
      </w:r>
    </w:p>
    <w:p>
      <w:pPr>
        <w:pStyle w:val="4"/>
        <w:snapToGrid w:val="0"/>
        <w:spacing w:before="100" w:beforeAutospacing="1" w:after="100" w:afterAutospacing="1" w:line="560" w:lineRule="exact"/>
        <w:jc w:val="center"/>
        <w:rPr>
          <w:rFonts w:ascii="宋体" w:hAnsi="宋体"/>
        </w:rPr>
      </w:pPr>
      <w:bookmarkStart w:id="162" w:name="_Toc139257190"/>
      <w:bookmarkStart w:id="163" w:name="_Toc269710462"/>
      <w:bookmarkStart w:id="164" w:name="_Toc340341940"/>
      <w:bookmarkStart w:id="165" w:name="_Toc6047114"/>
      <w:r>
        <w:rPr>
          <w:rFonts w:hint="eastAsia" w:ascii="宋体" w:hAnsi="宋体"/>
          <w:sz w:val="24"/>
        </w:rPr>
        <w:t>（五</w:t>
      </w:r>
      <w:bookmarkEnd w:id="162"/>
      <w:bookmarkStart w:id="166" w:name="_Toc139257191"/>
      <w:r>
        <w:rPr>
          <w:rFonts w:hint="eastAsia" w:ascii="宋体" w:hAnsi="宋体"/>
          <w:sz w:val="24"/>
        </w:rPr>
        <w:t>）谈判与</w:t>
      </w:r>
      <w:bookmarkEnd w:id="163"/>
      <w:bookmarkEnd w:id="164"/>
      <w:r>
        <w:rPr>
          <w:rFonts w:hint="eastAsia" w:ascii="宋体" w:hAnsi="宋体"/>
          <w:sz w:val="24"/>
        </w:rPr>
        <w:t>评审</w:t>
      </w:r>
      <w:bookmarkEnd w:id="165"/>
    </w:p>
    <w:bookmarkEnd w:id="166"/>
    <w:p>
      <w:pPr>
        <w:pStyle w:val="16"/>
        <w:snapToGrid w:val="0"/>
        <w:spacing w:line="440" w:lineRule="exact"/>
        <w:outlineLvl w:val="2"/>
        <w:rPr>
          <w:rFonts w:hAnsi="宋体"/>
          <w:b/>
          <w:sz w:val="24"/>
          <w:szCs w:val="24"/>
        </w:rPr>
      </w:pPr>
      <w:bookmarkStart w:id="167" w:name="_Toc6047115"/>
      <w:bookmarkStart w:id="168" w:name="_Toc139257196"/>
      <w:r>
        <w:rPr>
          <w:rFonts w:hint="eastAsia" w:hAnsi="宋体"/>
          <w:b/>
          <w:sz w:val="24"/>
          <w:szCs w:val="24"/>
        </w:rPr>
        <w:t>21.谈判</w:t>
      </w:r>
      <w:bookmarkEnd w:id="167"/>
    </w:p>
    <w:p>
      <w:pPr>
        <w:pStyle w:val="16"/>
        <w:spacing w:line="440" w:lineRule="exact"/>
        <w:ind w:firstLine="420"/>
        <w:rPr>
          <w:rFonts w:hAnsi="宋体"/>
          <w:sz w:val="24"/>
          <w:szCs w:val="24"/>
        </w:rPr>
      </w:pPr>
      <w:r>
        <w:rPr>
          <w:rFonts w:hint="eastAsia" w:hAnsi="宋体"/>
          <w:sz w:val="24"/>
          <w:szCs w:val="24"/>
        </w:rPr>
        <w:t>21.1采购人将在截标时间后在</w:t>
      </w:r>
      <w:r>
        <w:rPr>
          <w:rFonts w:hint="eastAsia" w:hAnsi="宋体"/>
          <w:b/>
          <w:sz w:val="24"/>
          <w:szCs w:val="24"/>
          <w:u w:val="single"/>
        </w:rPr>
        <w:t>广西元强建设项目管理有限公司开标厅（广西百色市龙景区新环球投资大厦左塔1926号）</w:t>
      </w:r>
      <w:r>
        <w:rPr>
          <w:rFonts w:hint="eastAsia" w:hAnsi="宋体"/>
          <w:sz w:val="24"/>
          <w:szCs w:val="24"/>
        </w:rPr>
        <w:t>举行谈判会议，竞标人的法定代表人或其委托代理人必须持以下证件依时到现场参加竞标，否则作拒收竞标文件处理。</w:t>
      </w:r>
    </w:p>
    <w:p>
      <w:pPr>
        <w:pStyle w:val="16"/>
        <w:spacing w:line="440" w:lineRule="exact"/>
        <w:ind w:firstLine="420"/>
        <w:rPr>
          <w:rFonts w:hAnsi="宋体"/>
          <w:b/>
          <w:sz w:val="24"/>
          <w:szCs w:val="24"/>
        </w:rPr>
      </w:pPr>
      <w:r>
        <w:rPr>
          <w:rFonts w:hint="eastAsia" w:hAnsi="宋体"/>
          <w:b/>
          <w:sz w:val="24"/>
          <w:szCs w:val="24"/>
        </w:rPr>
        <w:t>⑴法定代表人持营业执照复印件加盖单位公章、本人第二代居民身份证或授权委托人持授权委托书原件及本人第二代居民身份证；</w:t>
      </w:r>
    </w:p>
    <w:p>
      <w:pPr>
        <w:pStyle w:val="16"/>
        <w:spacing w:line="440" w:lineRule="exact"/>
        <w:ind w:firstLine="420"/>
        <w:rPr>
          <w:rFonts w:hAnsi="宋体"/>
          <w:b/>
          <w:sz w:val="24"/>
          <w:szCs w:val="24"/>
        </w:rPr>
      </w:pPr>
      <w:r>
        <w:rPr>
          <w:rFonts w:hint="eastAsia" w:hAnsi="宋体"/>
          <w:b/>
          <w:sz w:val="24"/>
          <w:szCs w:val="24"/>
        </w:rPr>
        <w:t>(2)竞标保证金缴纳凭证证明材料；</w:t>
      </w:r>
    </w:p>
    <w:p>
      <w:pPr>
        <w:pStyle w:val="16"/>
        <w:spacing w:line="440" w:lineRule="exact"/>
        <w:ind w:firstLine="420"/>
        <w:rPr>
          <w:rFonts w:hAnsi="宋体"/>
          <w:sz w:val="24"/>
          <w:szCs w:val="24"/>
        </w:rPr>
      </w:pPr>
      <w:r>
        <w:rPr>
          <w:rFonts w:hint="eastAsia" w:hAnsi="宋体"/>
          <w:sz w:val="24"/>
          <w:szCs w:val="24"/>
        </w:rPr>
        <w:t>21.2谈判会议由广西元强建设项目管理有限公司组织并主持，首先由主持人介绍参加谈判会议的人员名单并由采购人代表和监标人员一同检验参加谈判会的各竞标人是否按要求提交21.1条规定递交的材料，如相关证件缺失或者无效的将不予进入谈判环节，否则作无效竞标处理；然后由竞标人或其当场推荐的代表、采购人代表和监督人员代表共同检查竞标文件密封的完整性并签字确认；密封性检查完毕后由代理机构工作人员宣布谈判会议期间的有关事项，告知应当回避的情形，提请有关人员回避。按规定提交合格撤回通知的竞标文件不予开封。</w:t>
      </w:r>
    </w:p>
    <w:p>
      <w:pPr>
        <w:pStyle w:val="16"/>
        <w:spacing w:line="440" w:lineRule="exact"/>
        <w:ind w:firstLine="420"/>
        <w:rPr>
          <w:rFonts w:hAnsi="宋体"/>
          <w:sz w:val="24"/>
          <w:szCs w:val="24"/>
        </w:rPr>
      </w:pPr>
      <w:r>
        <w:rPr>
          <w:rFonts w:hint="eastAsia" w:hAnsi="宋体"/>
          <w:sz w:val="24"/>
          <w:szCs w:val="24"/>
        </w:rPr>
        <w:t>21.3采购代理机构根据竞标项目的特点组建由三人以上（含三人）的单数组成的谈判小组，</w:t>
      </w:r>
      <w:r>
        <w:rPr>
          <w:rFonts w:hAnsi="宋体"/>
          <w:sz w:val="24"/>
          <w:szCs w:val="24"/>
        </w:rPr>
        <w:t>小组成员由采购人代表和有关专家组成，其中专家人数不少于成员总数的三分之二</w:t>
      </w:r>
      <w:r>
        <w:rPr>
          <w:rFonts w:hint="eastAsia" w:hAnsi="宋体"/>
          <w:sz w:val="24"/>
          <w:szCs w:val="24"/>
        </w:rPr>
        <w:t>。在整个谈判过程中，谈判小组将负责对全部竞标文件进行审查、谈判及评审工作。</w:t>
      </w:r>
    </w:p>
    <w:p>
      <w:pPr>
        <w:pStyle w:val="16"/>
        <w:spacing w:line="440" w:lineRule="exact"/>
        <w:ind w:firstLine="420"/>
        <w:rPr>
          <w:rFonts w:hAnsi="宋体"/>
          <w:sz w:val="24"/>
          <w:szCs w:val="24"/>
        </w:rPr>
      </w:pPr>
      <w:r>
        <w:rPr>
          <w:rFonts w:hint="eastAsia" w:hAnsi="宋体"/>
          <w:sz w:val="24"/>
          <w:szCs w:val="24"/>
        </w:rPr>
        <w:t>21.4</w:t>
      </w:r>
      <w:r>
        <w:rPr>
          <w:rFonts w:hAnsi="宋体"/>
          <w:sz w:val="24"/>
          <w:szCs w:val="24"/>
        </w:rPr>
        <w:t>在谈判</w:t>
      </w:r>
      <w:r>
        <w:rPr>
          <w:rFonts w:hint="eastAsia" w:hAnsi="宋体"/>
          <w:sz w:val="24"/>
          <w:szCs w:val="24"/>
        </w:rPr>
        <w:t>开始前，谈判小组</w:t>
      </w:r>
      <w:r>
        <w:rPr>
          <w:rFonts w:hAnsi="宋体"/>
          <w:sz w:val="24"/>
          <w:szCs w:val="24"/>
        </w:rPr>
        <w:t xml:space="preserve">定好下列事项：谈判的具体程序，如谈判轮次及每个轮次的谈判重点；拟谈判的内容，包括技术规格、价格、服务等，明确谈判小组应当考虑的具体因素及相关要求等。 </w:t>
      </w:r>
    </w:p>
    <w:p>
      <w:pPr>
        <w:pStyle w:val="16"/>
        <w:spacing w:line="440" w:lineRule="exact"/>
        <w:ind w:firstLine="420"/>
        <w:rPr>
          <w:rFonts w:hAnsi="宋体"/>
          <w:sz w:val="24"/>
          <w:szCs w:val="24"/>
        </w:rPr>
      </w:pPr>
      <w:r>
        <w:rPr>
          <w:rFonts w:hint="eastAsia" w:hAnsi="宋体"/>
          <w:sz w:val="24"/>
          <w:szCs w:val="24"/>
        </w:rPr>
        <w:t>21.5</w:t>
      </w:r>
      <w:r>
        <w:rPr>
          <w:rFonts w:hAnsi="宋体"/>
          <w:sz w:val="24"/>
          <w:szCs w:val="24"/>
        </w:rPr>
        <w:t>谈判小组对</w:t>
      </w:r>
      <w:r>
        <w:rPr>
          <w:rFonts w:hint="eastAsia" w:hAnsi="宋体"/>
          <w:sz w:val="24"/>
          <w:szCs w:val="24"/>
        </w:rPr>
        <w:t>竞标资格条件及</w:t>
      </w:r>
      <w:r>
        <w:rPr>
          <w:rFonts w:hAnsi="宋体"/>
          <w:sz w:val="24"/>
          <w:szCs w:val="24"/>
        </w:rPr>
        <w:t>响应文件进行评审，并从符合</w:t>
      </w:r>
      <w:r>
        <w:rPr>
          <w:rFonts w:hint="eastAsia" w:hAnsi="宋体"/>
          <w:sz w:val="24"/>
          <w:szCs w:val="24"/>
        </w:rPr>
        <w:t>竞争性谈判文件规定的</w:t>
      </w:r>
      <w:r>
        <w:rPr>
          <w:rFonts w:hAnsi="宋体"/>
          <w:sz w:val="24"/>
          <w:szCs w:val="24"/>
        </w:rPr>
        <w:t>相应资格条件的供应商名单中确定不少于3家的供应商参加谈判。资格条件</w:t>
      </w:r>
      <w:r>
        <w:rPr>
          <w:rFonts w:hint="eastAsia" w:hAnsi="宋体"/>
          <w:sz w:val="24"/>
          <w:szCs w:val="24"/>
        </w:rPr>
        <w:t>不符合</w:t>
      </w:r>
      <w:r>
        <w:rPr>
          <w:rFonts w:hAnsi="宋体"/>
          <w:sz w:val="24"/>
          <w:szCs w:val="24"/>
        </w:rPr>
        <w:t>的供应商</w:t>
      </w:r>
      <w:r>
        <w:rPr>
          <w:rFonts w:hint="eastAsia" w:hAnsi="宋体"/>
          <w:sz w:val="24"/>
          <w:szCs w:val="24"/>
        </w:rPr>
        <w:t>或</w:t>
      </w:r>
      <w:r>
        <w:rPr>
          <w:rFonts w:hAnsi="宋体"/>
          <w:sz w:val="24"/>
          <w:szCs w:val="24"/>
        </w:rPr>
        <w:t>未实质性响应谈判文件的响应文件按无效处理，谈判小组应当告知有关供应商。</w:t>
      </w:r>
      <w:r>
        <w:rPr>
          <w:rFonts w:hAnsi="宋体"/>
          <w:sz w:val="24"/>
          <w:szCs w:val="24"/>
        </w:rPr>
        <w:br w:type="textWrapping"/>
      </w:r>
      <w:r>
        <w:rPr>
          <w:rFonts w:hint="eastAsia" w:hAnsi="宋体"/>
          <w:sz w:val="24"/>
          <w:szCs w:val="24"/>
        </w:rPr>
        <w:t xml:space="preserve">    21.6第一轮谈判</w:t>
      </w:r>
    </w:p>
    <w:p>
      <w:pPr>
        <w:pStyle w:val="16"/>
        <w:spacing w:line="440" w:lineRule="exact"/>
        <w:ind w:firstLine="420"/>
        <w:rPr>
          <w:rFonts w:hAnsi="宋体"/>
          <w:sz w:val="24"/>
          <w:szCs w:val="24"/>
        </w:rPr>
      </w:pPr>
      <w:r>
        <w:rPr>
          <w:rFonts w:hint="eastAsia" w:hAnsi="宋体"/>
          <w:sz w:val="24"/>
          <w:szCs w:val="24"/>
        </w:rPr>
        <w:t>谈判小组按已确定的谈判顺序，</w:t>
      </w:r>
      <w:r>
        <w:rPr>
          <w:rFonts w:hAnsi="宋体"/>
          <w:sz w:val="24"/>
          <w:szCs w:val="24"/>
        </w:rPr>
        <w:t>谈判小组所有成员应当集中与单一供应商分别进行谈判，并给予所有参加谈判的供应商平等的谈判机会。</w:t>
      </w:r>
      <w:r>
        <w:rPr>
          <w:rFonts w:hint="eastAsia" w:hAnsi="宋体"/>
          <w:sz w:val="24"/>
          <w:szCs w:val="24"/>
        </w:rPr>
        <w:t>竞标人的法定代表人或其授权的受托人必须持证件（法定代表人持本人身份证明书和有效的身份证或委托代理人持法人授权委托书原件及本人有效的身份证）依时到达现场等候参加谈判，并自觉接受核验上述证件。</w:t>
      </w:r>
    </w:p>
    <w:p>
      <w:pPr>
        <w:pStyle w:val="16"/>
        <w:spacing w:line="440" w:lineRule="exact"/>
        <w:ind w:firstLine="420"/>
        <w:rPr>
          <w:rFonts w:hAnsi="宋体"/>
          <w:sz w:val="24"/>
          <w:szCs w:val="24"/>
        </w:rPr>
      </w:pPr>
      <w:r>
        <w:rPr>
          <w:rFonts w:hAnsi="宋体"/>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pPr>
        <w:pStyle w:val="16"/>
        <w:spacing w:line="440" w:lineRule="exact"/>
        <w:ind w:firstLine="420"/>
        <w:rPr>
          <w:rFonts w:hAnsi="宋体"/>
          <w:sz w:val="24"/>
          <w:szCs w:val="24"/>
        </w:rPr>
      </w:pPr>
      <w:r>
        <w:rPr>
          <w:rFonts w:hAnsi="宋体"/>
          <w:sz w:val="24"/>
          <w:szCs w:val="24"/>
        </w:rPr>
        <w:t>对谈判文件作出的实质性变动是谈判文件的有效组成部分，谈判小组应当及时以书面形式同时通知所有参加谈判的供应商。</w:t>
      </w:r>
    </w:p>
    <w:p>
      <w:pPr>
        <w:pStyle w:val="16"/>
        <w:spacing w:line="440" w:lineRule="exact"/>
        <w:ind w:firstLine="420"/>
        <w:rPr>
          <w:rFonts w:hAnsi="宋体"/>
          <w:sz w:val="24"/>
          <w:szCs w:val="24"/>
        </w:rPr>
      </w:pPr>
      <w:r>
        <w:rPr>
          <w:rFonts w:hAnsi="宋体"/>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16"/>
        <w:spacing w:line="440" w:lineRule="exact"/>
        <w:ind w:firstLine="420"/>
        <w:rPr>
          <w:rFonts w:hAnsi="宋体"/>
          <w:sz w:val="24"/>
          <w:szCs w:val="24"/>
        </w:rPr>
      </w:pPr>
      <w:r>
        <w:rPr>
          <w:rFonts w:hint="eastAsia" w:hAnsi="宋体"/>
          <w:sz w:val="24"/>
          <w:szCs w:val="24"/>
        </w:rPr>
        <w:t>谈判中，谈判的任何一方不得透露与谈判有关的其他供应商的技术资料、价格和其他信息。</w:t>
      </w:r>
    </w:p>
    <w:p>
      <w:pPr>
        <w:pStyle w:val="16"/>
        <w:spacing w:line="440" w:lineRule="exact"/>
        <w:ind w:firstLine="420"/>
        <w:rPr>
          <w:rFonts w:hAnsi="宋体"/>
          <w:sz w:val="24"/>
          <w:szCs w:val="24"/>
        </w:rPr>
      </w:pPr>
      <w:r>
        <w:rPr>
          <w:rFonts w:hint="eastAsia" w:hAnsi="宋体"/>
          <w:sz w:val="24"/>
          <w:szCs w:val="24"/>
        </w:rPr>
        <w:t>谈判小组对谈判过程和重要谈判内容进行记录，谈判双方在记录上签字确认。</w:t>
      </w:r>
    </w:p>
    <w:p>
      <w:pPr>
        <w:pStyle w:val="16"/>
        <w:spacing w:line="440" w:lineRule="exact"/>
        <w:ind w:firstLine="420"/>
        <w:rPr>
          <w:rFonts w:hAnsi="宋体"/>
          <w:sz w:val="24"/>
          <w:szCs w:val="24"/>
        </w:rPr>
      </w:pPr>
      <w:r>
        <w:rPr>
          <w:rFonts w:hint="eastAsia" w:hAnsi="宋体"/>
          <w:sz w:val="24"/>
          <w:szCs w:val="24"/>
        </w:rPr>
        <w:t>谈判小组一致确定响应供应商符合谈判文件要求的，按谈判文件设定的方法和标准确定成交候选人。第一轮谈判谈判小组未能确定成交候选人的，对谈判文件修正后进行第二轮谈判。</w:t>
      </w:r>
    </w:p>
    <w:p>
      <w:pPr>
        <w:pStyle w:val="16"/>
        <w:spacing w:line="440" w:lineRule="exact"/>
        <w:ind w:firstLine="420"/>
        <w:rPr>
          <w:rFonts w:hAnsi="宋体"/>
          <w:sz w:val="24"/>
          <w:szCs w:val="24"/>
        </w:rPr>
      </w:pPr>
      <w:r>
        <w:rPr>
          <w:rFonts w:hint="eastAsia" w:hAnsi="宋体"/>
          <w:sz w:val="24"/>
          <w:szCs w:val="24"/>
        </w:rPr>
        <w:t>21.7谈判文件修正</w:t>
      </w:r>
    </w:p>
    <w:p>
      <w:pPr>
        <w:pStyle w:val="16"/>
        <w:spacing w:line="440" w:lineRule="exact"/>
        <w:ind w:firstLine="420"/>
        <w:rPr>
          <w:rFonts w:hAnsi="宋体"/>
          <w:sz w:val="24"/>
          <w:szCs w:val="24"/>
        </w:rPr>
      </w:pPr>
      <w:r>
        <w:rPr>
          <w:rFonts w:hint="eastAsia" w:hAnsi="宋体"/>
          <w:sz w:val="24"/>
          <w:szCs w:val="24"/>
        </w:rPr>
        <w:t>⑴、第一轮谈判结束后，各响应供应商退场等候，谈判小组进行合议。根据第一轮谈判掌握的情况，可以对谈判文件进行修改，确定采购内容的详细规格或具体要求，优化采购方案。</w:t>
      </w:r>
    </w:p>
    <w:p>
      <w:pPr>
        <w:pStyle w:val="16"/>
        <w:spacing w:line="440" w:lineRule="exact"/>
        <w:ind w:firstLine="420"/>
        <w:rPr>
          <w:rFonts w:hAnsi="宋体"/>
          <w:sz w:val="24"/>
          <w:szCs w:val="24"/>
        </w:rPr>
      </w:pPr>
      <w:r>
        <w:rPr>
          <w:rFonts w:hint="eastAsia" w:hAnsi="宋体"/>
          <w:sz w:val="24"/>
          <w:szCs w:val="24"/>
        </w:rPr>
        <w:t>⑵、采购代理机构通知响应供应商集中，谈判小组强调调整后的采购要求，将谈判文件的修改结果以书面形式通知响应供应商，向响应供应商提供较充分的修正时间。</w:t>
      </w:r>
    </w:p>
    <w:p>
      <w:pPr>
        <w:pStyle w:val="16"/>
        <w:spacing w:line="440" w:lineRule="exact"/>
        <w:ind w:firstLine="420"/>
        <w:rPr>
          <w:rFonts w:hAnsi="宋体"/>
          <w:sz w:val="24"/>
          <w:szCs w:val="24"/>
        </w:rPr>
      </w:pPr>
      <w:r>
        <w:rPr>
          <w:rFonts w:hint="eastAsia" w:hAnsi="宋体"/>
          <w:sz w:val="24"/>
          <w:szCs w:val="24"/>
        </w:rPr>
        <w:t>⑶、响应供应商根据第一轮谈判情况和谈判文件修改书面通知，对原响应文件进行修正，并将修正文件签字（盖公章）后密封送交谈判小组。逾时不交的，视同放弃谈判。修正文件与响应文件同具法律效应。</w:t>
      </w:r>
    </w:p>
    <w:p>
      <w:pPr>
        <w:pStyle w:val="16"/>
        <w:spacing w:line="440" w:lineRule="exact"/>
        <w:ind w:firstLine="420"/>
        <w:rPr>
          <w:rFonts w:hAnsi="宋体"/>
          <w:sz w:val="24"/>
          <w:szCs w:val="24"/>
        </w:rPr>
      </w:pPr>
      <w:r>
        <w:rPr>
          <w:rFonts w:hint="eastAsia" w:hAnsi="宋体"/>
          <w:sz w:val="24"/>
          <w:szCs w:val="24"/>
        </w:rPr>
        <w:t>21.8第二轮谈判</w:t>
      </w:r>
    </w:p>
    <w:p>
      <w:pPr>
        <w:pStyle w:val="16"/>
        <w:spacing w:line="440" w:lineRule="exact"/>
        <w:ind w:firstLine="420"/>
        <w:rPr>
          <w:rFonts w:hAnsi="宋体"/>
          <w:sz w:val="24"/>
          <w:szCs w:val="24"/>
        </w:rPr>
      </w:pPr>
      <w:r>
        <w:rPr>
          <w:rFonts w:hint="eastAsia" w:hAnsi="宋体"/>
          <w:sz w:val="24"/>
          <w:szCs w:val="24"/>
        </w:rPr>
        <w:t>谈判小组就修正后的谈判文件与响应供应商分别进行谈判。谈判小组对谈判过程和重要谈判内容进行记录，谈判双方在记录上签字确认。谈判小组按谈判文件设定的方法和标准确定成交候选人。</w:t>
      </w:r>
    </w:p>
    <w:p>
      <w:pPr>
        <w:pStyle w:val="16"/>
        <w:spacing w:line="440" w:lineRule="exact"/>
        <w:ind w:firstLine="420"/>
        <w:rPr>
          <w:rFonts w:hAnsi="宋体"/>
          <w:sz w:val="24"/>
          <w:szCs w:val="24"/>
        </w:rPr>
      </w:pPr>
      <w:r>
        <w:rPr>
          <w:rFonts w:hint="eastAsia" w:hAnsi="宋体"/>
          <w:sz w:val="24"/>
          <w:szCs w:val="24"/>
        </w:rPr>
        <w:t>第二轮谈判谈判小组未能确定成交候选人的，对谈判文件修正后进行第三轮谈判。以此类推（最多三轮）。</w:t>
      </w:r>
    </w:p>
    <w:p>
      <w:pPr>
        <w:pStyle w:val="16"/>
        <w:spacing w:line="440" w:lineRule="exact"/>
        <w:ind w:firstLine="420"/>
        <w:rPr>
          <w:rFonts w:hAnsi="宋体"/>
          <w:sz w:val="24"/>
          <w:szCs w:val="24"/>
        </w:rPr>
      </w:pPr>
      <w:r>
        <w:rPr>
          <w:rFonts w:hint="eastAsia" w:hAnsi="宋体"/>
          <w:sz w:val="24"/>
          <w:szCs w:val="24"/>
        </w:rPr>
        <w:t>21.9最后报价</w:t>
      </w:r>
    </w:p>
    <w:p>
      <w:pPr>
        <w:pStyle w:val="16"/>
        <w:spacing w:line="440" w:lineRule="exact"/>
        <w:ind w:firstLine="420"/>
        <w:rPr>
          <w:rFonts w:hAnsi="宋体"/>
          <w:sz w:val="24"/>
          <w:szCs w:val="24"/>
        </w:rPr>
      </w:pPr>
      <w:r>
        <w:rPr>
          <w:rFonts w:hint="eastAsia" w:hAnsi="宋体"/>
          <w:sz w:val="24"/>
          <w:szCs w:val="24"/>
        </w:rPr>
        <w:t>21.9.1</w:t>
      </w:r>
      <w:r>
        <w:rPr>
          <w:rFonts w:hAnsi="宋体"/>
          <w:sz w:val="24"/>
          <w:szCs w:val="24"/>
        </w:rPr>
        <w:t>谈判文件能够详细列明采购标的的技术、服务要求的，谈判结束后，谈判小组应当要求所有继续参加谈判的供应商在规定时间内</w:t>
      </w:r>
      <w:r>
        <w:rPr>
          <w:rFonts w:hint="eastAsia" w:hAnsi="宋体"/>
          <w:sz w:val="24"/>
          <w:szCs w:val="24"/>
        </w:rPr>
        <w:t>密封</w:t>
      </w:r>
      <w:r>
        <w:rPr>
          <w:rFonts w:hAnsi="宋体"/>
          <w:sz w:val="24"/>
          <w:szCs w:val="24"/>
        </w:rPr>
        <w:t>提交最后报价，提交最后报价的供应商不得少于3家。</w:t>
      </w:r>
    </w:p>
    <w:p>
      <w:pPr>
        <w:pStyle w:val="16"/>
        <w:spacing w:line="440" w:lineRule="exact"/>
        <w:ind w:firstLine="420"/>
        <w:rPr>
          <w:rFonts w:hAnsi="宋体"/>
          <w:sz w:val="24"/>
          <w:szCs w:val="24"/>
        </w:rPr>
      </w:pPr>
      <w:r>
        <w:rPr>
          <w:rFonts w:hint="eastAsia" w:hAnsi="宋体"/>
          <w:sz w:val="24"/>
          <w:szCs w:val="24"/>
        </w:rPr>
        <w:t>21.9.2</w:t>
      </w:r>
      <w:r>
        <w:rPr>
          <w:rFonts w:hAnsi="宋体"/>
          <w:sz w:val="24"/>
          <w:szCs w:val="24"/>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w:t>
      </w:r>
      <w:r>
        <w:rPr>
          <w:rFonts w:hint="eastAsia" w:hAnsi="宋体"/>
          <w:sz w:val="24"/>
          <w:szCs w:val="24"/>
        </w:rPr>
        <w:t>密封</w:t>
      </w:r>
      <w:r>
        <w:rPr>
          <w:rFonts w:hAnsi="宋体"/>
          <w:sz w:val="24"/>
          <w:szCs w:val="24"/>
        </w:rPr>
        <w:t>提交最后报价。</w:t>
      </w:r>
    </w:p>
    <w:p>
      <w:pPr>
        <w:pStyle w:val="16"/>
        <w:spacing w:line="440" w:lineRule="exact"/>
        <w:ind w:firstLine="420"/>
        <w:rPr>
          <w:rFonts w:hAnsi="宋体"/>
          <w:sz w:val="24"/>
          <w:szCs w:val="24"/>
        </w:rPr>
      </w:pPr>
      <w:r>
        <w:rPr>
          <w:rFonts w:hint="eastAsia" w:hAnsi="宋体"/>
          <w:sz w:val="24"/>
          <w:szCs w:val="24"/>
        </w:rPr>
        <w:t>21.9.3</w:t>
      </w:r>
      <w:r>
        <w:rPr>
          <w:rFonts w:hAnsi="宋体"/>
          <w:sz w:val="24"/>
          <w:szCs w:val="24"/>
        </w:rPr>
        <w:t>最后报价是供应商</w:t>
      </w:r>
      <w:r>
        <w:rPr>
          <w:rFonts w:hint="eastAsia" w:hAnsi="宋体"/>
          <w:sz w:val="24"/>
          <w:szCs w:val="24"/>
        </w:rPr>
        <w:t>竞标</w:t>
      </w:r>
      <w:r>
        <w:rPr>
          <w:rFonts w:hAnsi="宋体"/>
          <w:sz w:val="24"/>
          <w:szCs w:val="24"/>
        </w:rPr>
        <w:t>文件的有效组成部分。</w:t>
      </w:r>
    </w:p>
    <w:p>
      <w:pPr>
        <w:pStyle w:val="16"/>
        <w:spacing w:line="440" w:lineRule="exact"/>
        <w:ind w:firstLine="420"/>
        <w:rPr>
          <w:rFonts w:hAnsi="宋体"/>
          <w:sz w:val="24"/>
          <w:szCs w:val="24"/>
        </w:rPr>
      </w:pPr>
      <w:r>
        <w:rPr>
          <w:rFonts w:hint="eastAsia" w:hAnsi="宋体"/>
          <w:sz w:val="24"/>
          <w:szCs w:val="24"/>
        </w:rPr>
        <w:t>21.9.4 已经提交响应文件的供应商，在提交最后报价之前，可以根据谈判情况退出谈判。采购人、采购代理机构将退还退出谈判的供应商的保证金。</w:t>
      </w:r>
    </w:p>
    <w:p>
      <w:pPr>
        <w:pStyle w:val="16"/>
        <w:spacing w:line="440" w:lineRule="exact"/>
        <w:ind w:firstLine="420"/>
        <w:rPr>
          <w:rFonts w:hAnsi="宋体"/>
          <w:sz w:val="24"/>
          <w:szCs w:val="24"/>
        </w:rPr>
      </w:pPr>
      <w:r>
        <w:rPr>
          <w:rFonts w:hint="eastAsia" w:hAnsi="宋体"/>
          <w:sz w:val="24"/>
          <w:szCs w:val="24"/>
        </w:rPr>
        <w:t>21.10最终谈判结束后，谈判小组不得再与竞标人进行任何形式的商谈。</w:t>
      </w:r>
    </w:p>
    <w:p>
      <w:pPr>
        <w:pStyle w:val="16"/>
        <w:spacing w:line="440" w:lineRule="exact"/>
        <w:ind w:firstLine="420"/>
        <w:rPr>
          <w:rFonts w:hAnsi="宋体"/>
          <w:sz w:val="24"/>
          <w:szCs w:val="24"/>
        </w:rPr>
      </w:pPr>
      <w:r>
        <w:rPr>
          <w:rFonts w:hint="eastAsia" w:hAnsi="宋体"/>
          <w:sz w:val="24"/>
          <w:szCs w:val="24"/>
        </w:rPr>
        <w:t>21.11谈判的任何一方不得透露与谈判有关的其他竞标人的技术资料、价格和其他信息。</w:t>
      </w:r>
    </w:p>
    <w:p>
      <w:pPr>
        <w:pStyle w:val="16"/>
        <w:snapToGrid w:val="0"/>
        <w:spacing w:line="440" w:lineRule="exact"/>
        <w:outlineLvl w:val="2"/>
        <w:rPr>
          <w:rFonts w:hAnsi="宋体"/>
          <w:b/>
          <w:sz w:val="24"/>
          <w:szCs w:val="24"/>
        </w:rPr>
      </w:pPr>
      <w:bookmarkStart w:id="169" w:name="_Toc6047116"/>
      <w:r>
        <w:rPr>
          <w:rFonts w:hint="eastAsia" w:hAnsi="宋体"/>
          <w:b/>
          <w:sz w:val="24"/>
          <w:szCs w:val="24"/>
        </w:rPr>
        <w:t>22. 评审</w:t>
      </w:r>
      <w:bookmarkEnd w:id="169"/>
      <w:r>
        <w:rPr>
          <w:rFonts w:hint="eastAsia" w:hAnsi="宋体"/>
          <w:b/>
          <w:sz w:val="24"/>
          <w:szCs w:val="24"/>
        </w:rPr>
        <w:t xml:space="preserve"> </w:t>
      </w:r>
    </w:p>
    <w:p>
      <w:pPr>
        <w:pStyle w:val="16"/>
        <w:spacing w:line="440" w:lineRule="exact"/>
        <w:ind w:firstLine="420"/>
        <w:rPr>
          <w:rFonts w:hAnsi="宋体"/>
          <w:sz w:val="24"/>
          <w:szCs w:val="24"/>
        </w:rPr>
      </w:pPr>
      <w:r>
        <w:rPr>
          <w:rFonts w:hint="eastAsia" w:hAnsi="宋体"/>
          <w:sz w:val="24"/>
          <w:szCs w:val="24"/>
        </w:rPr>
        <w:t>22.1本采购项目是以政府采购预算价为最高限价，超出政府采购预算价的最终竞标报价，采购人不能支付时，谈判小组将不予以评审。</w:t>
      </w:r>
    </w:p>
    <w:p>
      <w:pPr>
        <w:pStyle w:val="16"/>
        <w:spacing w:line="440" w:lineRule="exact"/>
        <w:ind w:firstLine="420"/>
        <w:rPr>
          <w:rFonts w:hAnsi="宋体"/>
          <w:sz w:val="24"/>
          <w:szCs w:val="24"/>
        </w:rPr>
      </w:pPr>
      <w:r>
        <w:rPr>
          <w:rFonts w:hint="eastAsia" w:hAnsi="宋体"/>
          <w:sz w:val="24"/>
          <w:szCs w:val="24"/>
        </w:rPr>
        <w:t>22.2当某一分标全部最终竞标报价或部份最终竞标报价超出政府采购预算价的，若采购人能够支付并书面提出提高采购预算价，使该分标在采购预算内有三家（含三家）以上竞标人的，此时该分标可继续进行评审。</w:t>
      </w:r>
    </w:p>
    <w:p>
      <w:pPr>
        <w:pStyle w:val="16"/>
        <w:spacing w:line="440" w:lineRule="exact"/>
        <w:ind w:firstLine="420"/>
        <w:rPr>
          <w:rFonts w:hAnsi="宋体"/>
          <w:sz w:val="24"/>
          <w:szCs w:val="24"/>
        </w:rPr>
      </w:pPr>
      <w:r>
        <w:rPr>
          <w:rFonts w:hint="eastAsia" w:hAnsi="宋体"/>
          <w:sz w:val="24"/>
          <w:szCs w:val="24"/>
        </w:rPr>
        <w:t>22.3若竞标人的最终竞标报价都超出政府采购预算价的，若采购人能支付的，此评审有效。</w:t>
      </w:r>
    </w:p>
    <w:p>
      <w:pPr>
        <w:pStyle w:val="16"/>
        <w:spacing w:line="440" w:lineRule="exact"/>
        <w:ind w:firstLine="420"/>
        <w:rPr>
          <w:rFonts w:hAnsi="宋体"/>
          <w:sz w:val="24"/>
          <w:szCs w:val="24"/>
        </w:rPr>
      </w:pPr>
      <w:r>
        <w:rPr>
          <w:rFonts w:hint="eastAsia" w:hAnsi="宋体"/>
          <w:sz w:val="24"/>
          <w:szCs w:val="24"/>
        </w:rPr>
        <w:t>22.4本采购项目的评审依据为谈判文件和竞标文件。</w:t>
      </w:r>
    </w:p>
    <w:p>
      <w:pPr>
        <w:pStyle w:val="16"/>
        <w:spacing w:line="440" w:lineRule="exact"/>
        <w:ind w:firstLine="420"/>
        <w:rPr>
          <w:rFonts w:hAnsi="宋体"/>
          <w:sz w:val="24"/>
          <w:szCs w:val="24"/>
        </w:rPr>
      </w:pPr>
      <w:r>
        <w:rPr>
          <w:rFonts w:hint="eastAsia" w:hAnsi="宋体"/>
          <w:sz w:val="24"/>
          <w:szCs w:val="24"/>
        </w:rPr>
        <w:t>22.5本项目采用的评审方法按本须知前附表第9项规定执行，“谈判小组”成员、有关工作人员及其他知情人不得透露对竞标文件的评审、比较和成交候选供应商的推荐情况以及与评审有关的其他情况。</w:t>
      </w:r>
    </w:p>
    <w:p>
      <w:pPr>
        <w:pStyle w:val="16"/>
        <w:spacing w:line="440" w:lineRule="exact"/>
        <w:ind w:firstLine="420"/>
        <w:rPr>
          <w:rFonts w:hAnsi="宋体"/>
          <w:sz w:val="24"/>
          <w:szCs w:val="24"/>
        </w:rPr>
      </w:pPr>
      <w:r>
        <w:rPr>
          <w:rFonts w:hint="eastAsia" w:hAnsi="宋体"/>
          <w:sz w:val="24"/>
          <w:szCs w:val="24"/>
        </w:rPr>
        <w:t>22.6竞标人在评审过程中，所进行的力图影响评审结果公正性的活动，将可能导致其成交资格被取消。</w:t>
      </w:r>
    </w:p>
    <w:p>
      <w:pPr>
        <w:pStyle w:val="16"/>
        <w:spacing w:line="440" w:lineRule="exact"/>
        <w:ind w:firstLine="420"/>
        <w:rPr>
          <w:rFonts w:hAnsi="宋体"/>
          <w:sz w:val="24"/>
          <w:szCs w:val="24"/>
        </w:rPr>
      </w:pPr>
      <w:r>
        <w:rPr>
          <w:rFonts w:hint="eastAsia" w:hAnsi="宋体"/>
          <w:sz w:val="24"/>
          <w:szCs w:val="24"/>
        </w:rPr>
        <w:t>22.7特别说明：</w:t>
      </w:r>
    </w:p>
    <w:p>
      <w:pPr>
        <w:pStyle w:val="16"/>
        <w:spacing w:line="440" w:lineRule="exact"/>
        <w:ind w:firstLine="480"/>
        <w:rPr>
          <w:rFonts w:hAnsi="宋体"/>
          <w:b/>
          <w:sz w:val="24"/>
          <w:szCs w:val="24"/>
        </w:rPr>
      </w:pPr>
      <w:r>
        <w:rPr>
          <w:rFonts w:hint="eastAsia" w:hAnsi="宋体"/>
          <w:b/>
          <w:sz w:val="24"/>
          <w:szCs w:val="24"/>
        </w:rPr>
        <w:t>22.7.1出现下列情形之一的，在评审过程中，取其中通过资格审查、符合性审查且报价最低的参加评审；当报价相同时，则由采购人自主选择确定一个参加评审的竞标人，其他竞标无效：</w:t>
      </w:r>
    </w:p>
    <w:p>
      <w:pPr>
        <w:pStyle w:val="16"/>
        <w:spacing w:line="440" w:lineRule="exact"/>
        <w:ind w:firstLine="420"/>
        <w:rPr>
          <w:rFonts w:hAnsi="宋体"/>
          <w:b/>
          <w:sz w:val="24"/>
          <w:szCs w:val="24"/>
        </w:rPr>
      </w:pPr>
      <w:r>
        <w:rPr>
          <w:rFonts w:hint="eastAsia" w:hAnsi="宋体"/>
          <w:b/>
          <w:sz w:val="24"/>
          <w:szCs w:val="24"/>
        </w:rPr>
        <w:t>（1）提供相同品牌产品的不同竞标人参加单一产品的同一合同项下的政府采购活动的。</w:t>
      </w:r>
    </w:p>
    <w:p>
      <w:pPr>
        <w:pStyle w:val="16"/>
        <w:spacing w:line="440" w:lineRule="exact"/>
        <w:ind w:firstLine="420"/>
        <w:rPr>
          <w:rFonts w:hAnsi="宋体"/>
          <w:b/>
          <w:sz w:val="24"/>
          <w:szCs w:val="24"/>
        </w:rPr>
      </w:pPr>
      <w:r>
        <w:rPr>
          <w:rFonts w:hint="eastAsia" w:hAnsi="宋体"/>
          <w:b/>
          <w:sz w:val="24"/>
          <w:szCs w:val="24"/>
        </w:rPr>
        <w:t>（2）提供核心产品品牌均相同的不同竞标人参加非单一产品的同一合同项下的政府采购活动的。核心产品的名称应当在谈判文件中载明。（如未载明，则说明本项目无核心产品）</w:t>
      </w:r>
    </w:p>
    <w:p>
      <w:pPr>
        <w:pStyle w:val="16"/>
        <w:spacing w:line="440" w:lineRule="exact"/>
        <w:ind w:firstLine="480"/>
        <w:rPr>
          <w:rFonts w:hAnsi="宋体"/>
          <w:b/>
          <w:sz w:val="24"/>
          <w:szCs w:val="24"/>
        </w:rPr>
      </w:pPr>
      <w:r>
        <w:rPr>
          <w:rFonts w:hint="eastAsia" w:hAnsi="宋体"/>
          <w:b/>
          <w:sz w:val="24"/>
          <w:szCs w:val="24"/>
        </w:rPr>
        <w:t>22.7.2竞标人竞标所使用的资格、信誉、荣誉、业绩与企业认证必须为本法人所拥有。竞标人竞标所使用的采购项目实施人员必须为本法人员工（或必须为本法人或控股公司正式员工）。</w:t>
      </w:r>
    </w:p>
    <w:p>
      <w:pPr>
        <w:pStyle w:val="16"/>
        <w:spacing w:line="440" w:lineRule="exact"/>
        <w:ind w:firstLine="480"/>
        <w:rPr>
          <w:rFonts w:hAnsi="宋体"/>
          <w:b/>
          <w:sz w:val="24"/>
          <w:szCs w:val="24"/>
        </w:rPr>
      </w:pPr>
      <w:r>
        <w:rPr>
          <w:rFonts w:hint="eastAsia" w:hAnsi="宋体"/>
          <w:b/>
          <w:sz w:val="24"/>
          <w:szCs w:val="24"/>
        </w:rPr>
        <w:t>22.7.3竞标人应仔细阅读谈判文件的所有内容，按照谈判文件的要求提交竞标文件，并对所提供的全部资料的真实性承担法律责任。</w:t>
      </w:r>
    </w:p>
    <w:p>
      <w:pPr>
        <w:pStyle w:val="16"/>
        <w:spacing w:line="440" w:lineRule="exact"/>
        <w:ind w:firstLine="480"/>
        <w:rPr>
          <w:rFonts w:hAnsi="宋体"/>
          <w:b/>
          <w:sz w:val="24"/>
          <w:szCs w:val="24"/>
        </w:rPr>
      </w:pPr>
      <w:r>
        <w:rPr>
          <w:rFonts w:hint="eastAsia" w:hAnsi="宋体"/>
          <w:b/>
          <w:sz w:val="24"/>
          <w:szCs w:val="24"/>
        </w:rPr>
        <w:t>22.7.4竞标人在竞标活动中提供任何虚假材料,其竞标无效，并报监管部门查处；成交后发现的,成交人须依照《中华人民共和国消费者权益保护法》第49条之规定双倍赔偿采购人，且民事赔偿并不免除违法竞标人的行政与刑事责任。</w:t>
      </w:r>
    </w:p>
    <w:p>
      <w:pPr>
        <w:pStyle w:val="16"/>
        <w:spacing w:line="440" w:lineRule="exact"/>
        <w:ind w:firstLine="480"/>
        <w:rPr>
          <w:rFonts w:hAnsi="宋体"/>
          <w:b/>
          <w:sz w:val="24"/>
          <w:szCs w:val="24"/>
        </w:rPr>
      </w:pPr>
      <w:r>
        <w:rPr>
          <w:rFonts w:hint="eastAsia" w:hAnsi="宋体"/>
          <w:b/>
          <w:sz w:val="24"/>
          <w:szCs w:val="24"/>
        </w:rPr>
        <w:t>22.7.5在政府采购活动中，采购人员及相关人员与竞标人有下列利害关系之一的，应当回避：</w:t>
      </w:r>
    </w:p>
    <w:p>
      <w:pPr>
        <w:pStyle w:val="16"/>
        <w:spacing w:line="440" w:lineRule="exact"/>
        <w:ind w:firstLine="420"/>
        <w:rPr>
          <w:rFonts w:hAnsi="宋体"/>
          <w:b/>
          <w:sz w:val="24"/>
          <w:szCs w:val="24"/>
        </w:rPr>
      </w:pPr>
      <w:r>
        <w:rPr>
          <w:rFonts w:hint="eastAsia" w:hAnsi="宋体"/>
          <w:b/>
          <w:sz w:val="24"/>
          <w:szCs w:val="24"/>
        </w:rPr>
        <w:t>（1）参加采购活动前3年内与竞标人存在劳动关系；</w:t>
      </w:r>
    </w:p>
    <w:p>
      <w:pPr>
        <w:pStyle w:val="16"/>
        <w:spacing w:line="440" w:lineRule="exact"/>
        <w:ind w:firstLine="420"/>
        <w:rPr>
          <w:rFonts w:hAnsi="宋体"/>
          <w:b/>
          <w:sz w:val="24"/>
          <w:szCs w:val="24"/>
        </w:rPr>
      </w:pPr>
      <w:r>
        <w:rPr>
          <w:rFonts w:hint="eastAsia" w:hAnsi="宋体"/>
          <w:b/>
          <w:sz w:val="24"/>
          <w:szCs w:val="24"/>
        </w:rPr>
        <w:t>（2）参加采购活动前3年内担任竞标人的董事、监事；</w:t>
      </w:r>
    </w:p>
    <w:p>
      <w:pPr>
        <w:pStyle w:val="16"/>
        <w:spacing w:line="440" w:lineRule="exact"/>
        <w:ind w:firstLine="420"/>
        <w:rPr>
          <w:rFonts w:hAnsi="宋体"/>
          <w:b/>
          <w:sz w:val="24"/>
          <w:szCs w:val="24"/>
        </w:rPr>
      </w:pPr>
      <w:r>
        <w:rPr>
          <w:rFonts w:hint="eastAsia" w:hAnsi="宋体"/>
          <w:b/>
          <w:sz w:val="24"/>
          <w:szCs w:val="24"/>
        </w:rPr>
        <w:t>（3）参加采购活动前3年内是竞标人的控股股东或者实际控制人；</w:t>
      </w:r>
    </w:p>
    <w:p>
      <w:pPr>
        <w:pStyle w:val="16"/>
        <w:spacing w:line="440" w:lineRule="exact"/>
        <w:ind w:firstLine="420"/>
        <w:rPr>
          <w:rFonts w:hAnsi="宋体"/>
          <w:b/>
          <w:sz w:val="24"/>
          <w:szCs w:val="24"/>
        </w:rPr>
      </w:pPr>
      <w:r>
        <w:rPr>
          <w:rFonts w:hint="eastAsia" w:hAnsi="宋体"/>
          <w:b/>
          <w:sz w:val="24"/>
          <w:szCs w:val="24"/>
        </w:rPr>
        <w:t>（4）与竞标人的法定代表人或者负责人有夫妻、直系血亲、三代以内旁系血亲或者近姻亲关系；</w:t>
      </w:r>
    </w:p>
    <w:p>
      <w:pPr>
        <w:pStyle w:val="16"/>
        <w:spacing w:line="440" w:lineRule="exact"/>
        <w:ind w:firstLine="420"/>
        <w:rPr>
          <w:rFonts w:hAnsi="宋体"/>
          <w:b/>
          <w:sz w:val="24"/>
          <w:szCs w:val="24"/>
        </w:rPr>
      </w:pPr>
      <w:r>
        <w:rPr>
          <w:rFonts w:hint="eastAsia" w:hAnsi="宋体"/>
          <w:b/>
          <w:sz w:val="24"/>
          <w:szCs w:val="24"/>
        </w:rPr>
        <w:t>（5）与竞标人有其他可能影响政府采购活动公平、公正进行的关系。</w:t>
      </w:r>
    </w:p>
    <w:p>
      <w:pPr>
        <w:pStyle w:val="16"/>
        <w:spacing w:line="440" w:lineRule="exact"/>
        <w:ind w:firstLine="480"/>
        <w:rPr>
          <w:rFonts w:hAnsi="宋体"/>
          <w:b/>
          <w:sz w:val="24"/>
          <w:szCs w:val="24"/>
        </w:rPr>
      </w:pPr>
      <w:r>
        <w:rPr>
          <w:rFonts w:hint="eastAsia" w:hAnsi="宋体"/>
          <w:b/>
          <w:sz w:val="24"/>
          <w:szCs w:val="24"/>
        </w:rPr>
        <w:t>竞标人认为采购人员及相关人员与其他竞标人有利害关系的，可以向采购人或者采购代理机构书面提出回避申请，并说明理由。采购人或者采购代理机构应当及时询问被申请回避人员，有利害关系的被申请回避人员应当回避。</w:t>
      </w:r>
    </w:p>
    <w:p>
      <w:pPr>
        <w:pStyle w:val="16"/>
        <w:spacing w:line="440" w:lineRule="exact"/>
        <w:ind w:firstLine="480"/>
        <w:rPr>
          <w:rFonts w:hAnsi="宋体"/>
          <w:b/>
          <w:sz w:val="24"/>
          <w:szCs w:val="24"/>
        </w:rPr>
      </w:pPr>
      <w:r>
        <w:rPr>
          <w:rFonts w:hint="eastAsia" w:hAnsi="宋体"/>
          <w:b/>
          <w:sz w:val="24"/>
          <w:szCs w:val="24"/>
        </w:rPr>
        <w:t>22.7.6有下列情形之一的视为竞标人相互串通竞标，竞标文件将被视为无效：</w:t>
      </w:r>
    </w:p>
    <w:p>
      <w:pPr>
        <w:pStyle w:val="16"/>
        <w:spacing w:line="440" w:lineRule="exact"/>
        <w:ind w:firstLine="420"/>
        <w:rPr>
          <w:rFonts w:hAnsi="宋体"/>
          <w:b/>
          <w:sz w:val="24"/>
          <w:szCs w:val="24"/>
        </w:rPr>
      </w:pPr>
      <w:r>
        <w:rPr>
          <w:rFonts w:hint="eastAsia" w:hAnsi="宋体"/>
          <w:b/>
          <w:sz w:val="24"/>
          <w:szCs w:val="24"/>
        </w:rPr>
        <w:t>（1）不同竞标人的竞标文件由同一单位或者个人编制；或不同竞标人报名的IP地址一致的；</w:t>
      </w:r>
    </w:p>
    <w:p>
      <w:pPr>
        <w:pStyle w:val="16"/>
        <w:spacing w:line="440" w:lineRule="exact"/>
        <w:ind w:firstLine="420"/>
        <w:rPr>
          <w:rFonts w:hAnsi="宋体"/>
          <w:b/>
          <w:sz w:val="24"/>
          <w:szCs w:val="24"/>
        </w:rPr>
      </w:pPr>
      <w:r>
        <w:rPr>
          <w:rFonts w:hint="eastAsia" w:hAnsi="宋体"/>
          <w:b/>
          <w:sz w:val="24"/>
          <w:szCs w:val="24"/>
        </w:rPr>
        <w:t>（2）不同竞标人委托同一单位或者个人办理竞标事宜；</w:t>
      </w:r>
    </w:p>
    <w:p>
      <w:pPr>
        <w:pStyle w:val="16"/>
        <w:spacing w:line="440" w:lineRule="exact"/>
        <w:ind w:firstLine="420"/>
        <w:rPr>
          <w:rFonts w:hAnsi="宋体"/>
          <w:b/>
          <w:sz w:val="24"/>
          <w:szCs w:val="24"/>
        </w:rPr>
      </w:pPr>
      <w:r>
        <w:rPr>
          <w:rFonts w:hint="eastAsia" w:hAnsi="宋体"/>
          <w:b/>
          <w:sz w:val="24"/>
          <w:szCs w:val="24"/>
        </w:rPr>
        <w:t>（3）不同的竞标人的竞标文件载明的项目管理员为同一个人；</w:t>
      </w:r>
    </w:p>
    <w:p>
      <w:pPr>
        <w:pStyle w:val="16"/>
        <w:spacing w:line="440" w:lineRule="exact"/>
        <w:ind w:firstLine="420"/>
        <w:rPr>
          <w:rFonts w:hAnsi="宋体"/>
          <w:b/>
          <w:sz w:val="24"/>
          <w:szCs w:val="24"/>
        </w:rPr>
      </w:pPr>
      <w:r>
        <w:rPr>
          <w:rFonts w:hint="eastAsia" w:hAnsi="宋体"/>
          <w:b/>
          <w:sz w:val="24"/>
          <w:szCs w:val="24"/>
        </w:rPr>
        <w:t>（4）不同竞标人的竞标文件异常一致或竞标报价呈规律性差异；</w:t>
      </w:r>
    </w:p>
    <w:p>
      <w:pPr>
        <w:pStyle w:val="16"/>
        <w:spacing w:line="440" w:lineRule="exact"/>
        <w:ind w:firstLine="420"/>
        <w:rPr>
          <w:rFonts w:hAnsi="宋体"/>
          <w:b/>
          <w:sz w:val="24"/>
          <w:szCs w:val="24"/>
        </w:rPr>
      </w:pPr>
      <w:r>
        <w:rPr>
          <w:rFonts w:hint="eastAsia" w:hAnsi="宋体"/>
          <w:b/>
          <w:sz w:val="24"/>
          <w:szCs w:val="24"/>
        </w:rPr>
        <w:t>（5）不同竞标人的竞标文件相互混装；</w:t>
      </w:r>
    </w:p>
    <w:p>
      <w:pPr>
        <w:pStyle w:val="16"/>
        <w:spacing w:line="440" w:lineRule="exact"/>
        <w:ind w:firstLine="420"/>
        <w:rPr>
          <w:rFonts w:hAnsi="宋体"/>
          <w:b/>
          <w:sz w:val="24"/>
          <w:szCs w:val="24"/>
        </w:rPr>
      </w:pPr>
      <w:r>
        <w:rPr>
          <w:rFonts w:hint="eastAsia" w:hAnsi="宋体"/>
          <w:b/>
          <w:sz w:val="24"/>
          <w:szCs w:val="24"/>
        </w:rPr>
        <w:t>（6）不同竞标人的竞标保证金从同一单位或者个人账户转出。</w:t>
      </w:r>
    </w:p>
    <w:p>
      <w:pPr>
        <w:pStyle w:val="16"/>
        <w:spacing w:line="440" w:lineRule="exact"/>
        <w:ind w:firstLine="480"/>
        <w:rPr>
          <w:rFonts w:hAnsi="宋体"/>
          <w:b/>
          <w:sz w:val="24"/>
          <w:szCs w:val="24"/>
        </w:rPr>
      </w:pPr>
      <w:r>
        <w:rPr>
          <w:rFonts w:hint="eastAsia" w:hAnsi="宋体"/>
          <w:b/>
          <w:sz w:val="24"/>
          <w:szCs w:val="24"/>
        </w:rPr>
        <w:t>22.7.7供应商有下列情形之一的，属于恶意串通行为：</w:t>
      </w:r>
    </w:p>
    <w:p>
      <w:pPr>
        <w:pStyle w:val="16"/>
        <w:spacing w:line="440" w:lineRule="exact"/>
        <w:ind w:firstLine="420"/>
        <w:rPr>
          <w:rFonts w:hAnsi="宋体"/>
          <w:b/>
          <w:sz w:val="24"/>
          <w:szCs w:val="24"/>
        </w:rPr>
      </w:pPr>
      <w:r>
        <w:rPr>
          <w:rFonts w:hint="eastAsia" w:hAnsi="宋体"/>
          <w:b/>
          <w:sz w:val="24"/>
          <w:szCs w:val="24"/>
        </w:rPr>
        <w:t>（1）供应商直接或者间接从采购人或者采购代理机构处获得其他供应商的相关信息并修改其竞标文件或者响应文件：</w:t>
      </w:r>
    </w:p>
    <w:p>
      <w:pPr>
        <w:pStyle w:val="16"/>
        <w:spacing w:line="440" w:lineRule="exact"/>
        <w:ind w:firstLine="420"/>
        <w:rPr>
          <w:rFonts w:hAnsi="宋体"/>
          <w:b/>
          <w:sz w:val="24"/>
          <w:szCs w:val="24"/>
        </w:rPr>
      </w:pPr>
      <w:r>
        <w:rPr>
          <w:rFonts w:hint="eastAsia" w:hAnsi="宋体"/>
          <w:b/>
          <w:sz w:val="24"/>
          <w:szCs w:val="24"/>
        </w:rPr>
        <w:t>（2）供应商按照采购人或者采购代理机构的授意撤换、修改竞标文件或者响应文件；</w:t>
      </w:r>
    </w:p>
    <w:p>
      <w:pPr>
        <w:pStyle w:val="16"/>
        <w:spacing w:line="440" w:lineRule="exact"/>
        <w:ind w:firstLine="420"/>
        <w:rPr>
          <w:rFonts w:hAnsi="宋体"/>
          <w:b/>
          <w:sz w:val="24"/>
          <w:szCs w:val="24"/>
        </w:rPr>
      </w:pPr>
      <w:r>
        <w:rPr>
          <w:rFonts w:hint="eastAsia" w:hAnsi="宋体"/>
          <w:b/>
          <w:sz w:val="24"/>
          <w:szCs w:val="24"/>
        </w:rPr>
        <w:t>（3）供应商之间协商报价、技术方案等竞标文件或者响应文件的实质性内容；</w:t>
      </w:r>
    </w:p>
    <w:p>
      <w:pPr>
        <w:pStyle w:val="16"/>
        <w:spacing w:line="440" w:lineRule="exact"/>
        <w:ind w:firstLine="420"/>
        <w:rPr>
          <w:rFonts w:hAnsi="宋体"/>
          <w:b/>
          <w:sz w:val="24"/>
          <w:szCs w:val="24"/>
        </w:rPr>
      </w:pPr>
      <w:r>
        <w:rPr>
          <w:rFonts w:hint="eastAsia" w:hAnsi="宋体"/>
          <w:b/>
          <w:sz w:val="24"/>
          <w:szCs w:val="24"/>
        </w:rPr>
        <w:t>（4）属于同一集团、协会、商会等组织成员的供应商按照该组织要求协同参加政府采购活动；</w:t>
      </w:r>
    </w:p>
    <w:p>
      <w:pPr>
        <w:pStyle w:val="16"/>
        <w:spacing w:line="440" w:lineRule="exact"/>
        <w:ind w:firstLine="420"/>
        <w:rPr>
          <w:rFonts w:hAnsi="宋体"/>
          <w:b/>
          <w:sz w:val="24"/>
          <w:szCs w:val="24"/>
        </w:rPr>
      </w:pPr>
      <w:r>
        <w:rPr>
          <w:rFonts w:hint="eastAsia" w:hAnsi="宋体"/>
          <w:b/>
          <w:sz w:val="24"/>
          <w:szCs w:val="24"/>
        </w:rPr>
        <w:t>（5）供应商之间事先约定一致抬高或者压低竞标报价,或者在采购项目中事先约定轮流以高价位或者低价位成交,或者事先约定由某一特定供应商成交,然后再参加竞标；</w:t>
      </w:r>
    </w:p>
    <w:p>
      <w:pPr>
        <w:pStyle w:val="16"/>
        <w:spacing w:line="440" w:lineRule="exact"/>
        <w:ind w:firstLine="420"/>
        <w:rPr>
          <w:rFonts w:hAnsi="宋体"/>
          <w:b/>
          <w:sz w:val="24"/>
          <w:szCs w:val="24"/>
        </w:rPr>
      </w:pPr>
      <w:r>
        <w:rPr>
          <w:rFonts w:hint="eastAsia" w:hAnsi="宋体"/>
          <w:b/>
          <w:sz w:val="24"/>
          <w:szCs w:val="24"/>
        </w:rPr>
        <w:t>（6）供应商之间商定部分供应商放弃参加政府采购活动或者放弃成交；</w:t>
      </w:r>
    </w:p>
    <w:p>
      <w:pPr>
        <w:pStyle w:val="16"/>
        <w:spacing w:line="440" w:lineRule="exact"/>
        <w:ind w:firstLine="420"/>
        <w:rPr>
          <w:rFonts w:hAnsi="宋体"/>
          <w:b/>
          <w:sz w:val="24"/>
          <w:szCs w:val="24"/>
        </w:rPr>
      </w:pPr>
      <w:r>
        <w:rPr>
          <w:rFonts w:hint="eastAsia" w:hAnsi="宋体"/>
          <w:b/>
          <w:sz w:val="24"/>
          <w:szCs w:val="24"/>
        </w:rPr>
        <w:t>（7）供应商与采购人或者采购代理机构之间、供应商相互之间，为谋求特定供应商成交或者排斥其他供应商的其他串通行为。</w:t>
      </w:r>
    </w:p>
    <w:p>
      <w:pPr>
        <w:pStyle w:val="16"/>
        <w:snapToGrid w:val="0"/>
        <w:spacing w:line="440" w:lineRule="exact"/>
        <w:outlineLvl w:val="2"/>
        <w:rPr>
          <w:rFonts w:hAnsi="宋体"/>
          <w:sz w:val="24"/>
          <w:szCs w:val="24"/>
        </w:rPr>
      </w:pPr>
      <w:bookmarkStart w:id="170" w:name="_Toc6047117"/>
      <w:r>
        <w:rPr>
          <w:rFonts w:hint="eastAsia" w:hAnsi="宋体"/>
          <w:b/>
          <w:sz w:val="24"/>
          <w:szCs w:val="24"/>
        </w:rPr>
        <w:t>23.竞标文件的澄清或说明</w:t>
      </w:r>
      <w:bookmarkEnd w:id="170"/>
    </w:p>
    <w:p>
      <w:pPr>
        <w:pStyle w:val="16"/>
        <w:snapToGrid w:val="0"/>
        <w:spacing w:line="440" w:lineRule="exact"/>
        <w:ind w:firstLine="420"/>
        <w:rPr>
          <w:rFonts w:hAnsi="宋体"/>
          <w:sz w:val="24"/>
          <w:szCs w:val="24"/>
        </w:rPr>
      </w:pPr>
      <w:r>
        <w:rPr>
          <w:rFonts w:hint="eastAsia" w:hAnsi="宋体"/>
          <w:spacing w:val="-4"/>
          <w:sz w:val="24"/>
          <w:szCs w:val="24"/>
        </w:rPr>
        <w:t>23.1谈判小组有权要求竞标人以书面形式就其竞标文件中含义不明确的内容</w:t>
      </w:r>
      <w:r>
        <w:rPr>
          <w:rFonts w:hint="eastAsia" w:hAnsi="宋体"/>
          <w:sz w:val="24"/>
          <w:szCs w:val="24"/>
        </w:rPr>
        <w:t>在规定时间内以书面形式予以澄清</w:t>
      </w:r>
      <w:r>
        <w:rPr>
          <w:rFonts w:hint="eastAsia" w:hAnsi="宋体"/>
          <w:spacing w:val="-4"/>
          <w:sz w:val="24"/>
          <w:szCs w:val="24"/>
        </w:rPr>
        <w:t>或说明，</w:t>
      </w:r>
      <w:r>
        <w:rPr>
          <w:rFonts w:hint="eastAsia" w:hAnsi="宋体"/>
          <w:sz w:val="24"/>
          <w:szCs w:val="24"/>
        </w:rPr>
        <w:t>并由其法定代表人或授权委托代理人签名。</w:t>
      </w:r>
    </w:p>
    <w:p>
      <w:pPr>
        <w:pStyle w:val="16"/>
        <w:snapToGrid w:val="0"/>
        <w:spacing w:line="440" w:lineRule="exact"/>
        <w:ind w:firstLine="420"/>
        <w:rPr>
          <w:rFonts w:hAnsi="宋体"/>
          <w:sz w:val="24"/>
          <w:szCs w:val="24"/>
        </w:rPr>
      </w:pPr>
      <w:r>
        <w:rPr>
          <w:rFonts w:hint="eastAsia" w:hAnsi="宋体"/>
          <w:sz w:val="24"/>
          <w:szCs w:val="24"/>
        </w:rPr>
        <w:t>23.2竞标人的澄清或说明函是竞标文件的组成部分。</w:t>
      </w:r>
    </w:p>
    <w:p>
      <w:pPr>
        <w:pStyle w:val="16"/>
        <w:snapToGrid w:val="0"/>
        <w:spacing w:line="440" w:lineRule="exact"/>
        <w:ind w:firstLine="420"/>
        <w:rPr>
          <w:rFonts w:hAnsi="宋体"/>
          <w:sz w:val="24"/>
          <w:szCs w:val="24"/>
        </w:rPr>
      </w:pPr>
      <w:r>
        <w:rPr>
          <w:rFonts w:hint="eastAsia" w:hAnsi="宋体"/>
          <w:sz w:val="24"/>
          <w:szCs w:val="24"/>
        </w:rPr>
        <w:t>23.3竞标人对竞标文件的澄清或说明不得超出竞标文件的范围或改变竞标的实质内容。</w:t>
      </w:r>
    </w:p>
    <w:p>
      <w:pPr>
        <w:pStyle w:val="16"/>
        <w:snapToGrid w:val="0"/>
        <w:spacing w:line="440" w:lineRule="exact"/>
        <w:outlineLvl w:val="2"/>
        <w:rPr>
          <w:rFonts w:hAnsi="宋体"/>
          <w:b/>
          <w:sz w:val="24"/>
          <w:szCs w:val="24"/>
        </w:rPr>
      </w:pPr>
      <w:bookmarkStart w:id="171" w:name="_Toc509048508"/>
      <w:bookmarkStart w:id="172" w:name="_Toc219054947"/>
      <w:bookmarkStart w:id="173" w:name="_Toc219055094"/>
      <w:bookmarkStart w:id="174" w:name="_Toc184205581"/>
      <w:bookmarkStart w:id="175" w:name="_Toc139257194"/>
      <w:bookmarkStart w:id="176" w:name="_Toc63611605"/>
      <w:bookmarkStart w:id="177" w:name="_Toc340341941"/>
      <w:bookmarkStart w:id="178" w:name="_Toc6047118"/>
      <w:r>
        <w:rPr>
          <w:rFonts w:hint="eastAsia" w:hAnsi="宋体"/>
          <w:b/>
          <w:sz w:val="24"/>
          <w:szCs w:val="24"/>
        </w:rPr>
        <w:t>24.无效竞标</w:t>
      </w:r>
      <w:bookmarkEnd w:id="171"/>
      <w:bookmarkEnd w:id="172"/>
      <w:bookmarkEnd w:id="173"/>
      <w:bookmarkEnd w:id="174"/>
      <w:bookmarkEnd w:id="175"/>
      <w:bookmarkEnd w:id="176"/>
      <w:r>
        <w:rPr>
          <w:rFonts w:hint="eastAsia" w:hAnsi="宋体"/>
          <w:b/>
          <w:sz w:val="24"/>
          <w:szCs w:val="24"/>
        </w:rPr>
        <w:t>和废标</w:t>
      </w:r>
      <w:bookmarkEnd w:id="177"/>
      <w:bookmarkEnd w:id="178"/>
    </w:p>
    <w:p>
      <w:pPr>
        <w:pStyle w:val="16"/>
        <w:snapToGrid w:val="0"/>
        <w:spacing w:line="440" w:lineRule="exact"/>
        <w:ind w:firstLine="420"/>
        <w:rPr>
          <w:rFonts w:hAnsi="宋体"/>
          <w:sz w:val="24"/>
          <w:szCs w:val="24"/>
        </w:rPr>
      </w:pPr>
      <w:r>
        <w:rPr>
          <w:rFonts w:hint="eastAsia" w:hAnsi="宋体"/>
          <w:sz w:val="24"/>
          <w:szCs w:val="24"/>
        </w:rPr>
        <w:t>24.1竞标文件如有下列情况之一，将会在评审中按照无效竞标处理：</w:t>
      </w:r>
    </w:p>
    <w:p>
      <w:pPr>
        <w:pStyle w:val="16"/>
        <w:numPr>
          <w:ilvl w:val="0"/>
          <w:numId w:val="1"/>
        </w:numPr>
        <w:snapToGrid w:val="0"/>
        <w:spacing w:line="440" w:lineRule="exact"/>
        <w:rPr>
          <w:rFonts w:hAnsi="宋体"/>
          <w:sz w:val="24"/>
          <w:szCs w:val="24"/>
        </w:rPr>
      </w:pPr>
      <w:r>
        <w:rPr>
          <w:rFonts w:hint="eastAsia" w:hAnsi="宋体"/>
          <w:sz w:val="24"/>
          <w:szCs w:val="24"/>
        </w:rPr>
        <w:t>竞标人未按规定向采购代理机构购买本项目谈判文件；</w:t>
      </w:r>
    </w:p>
    <w:p>
      <w:pPr>
        <w:pStyle w:val="16"/>
        <w:numPr>
          <w:ilvl w:val="0"/>
          <w:numId w:val="1"/>
        </w:numPr>
        <w:snapToGrid w:val="0"/>
        <w:spacing w:line="440" w:lineRule="exact"/>
        <w:rPr>
          <w:rFonts w:hAnsi="宋体"/>
          <w:sz w:val="24"/>
          <w:szCs w:val="24"/>
        </w:rPr>
      </w:pPr>
      <w:r>
        <w:rPr>
          <w:rFonts w:hint="eastAsia" w:hAnsi="宋体"/>
          <w:sz w:val="24"/>
          <w:szCs w:val="24"/>
        </w:rPr>
        <w:t>未按规定提交竞标保证金的；</w:t>
      </w:r>
    </w:p>
    <w:p>
      <w:pPr>
        <w:pStyle w:val="16"/>
        <w:numPr>
          <w:ilvl w:val="0"/>
          <w:numId w:val="1"/>
        </w:numPr>
        <w:snapToGrid w:val="0"/>
        <w:spacing w:line="440" w:lineRule="exact"/>
        <w:rPr>
          <w:rFonts w:hAnsi="宋体"/>
          <w:sz w:val="24"/>
          <w:szCs w:val="24"/>
        </w:rPr>
      </w:pPr>
      <w:r>
        <w:rPr>
          <w:rFonts w:hint="eastAsia" w:hAnsi="宋体"/>
          <w:sz w:val="24"/>
          <w:szCs w:val="24"/>
        </w:rPr>
        <w:t>未按照竞争性谈判文件规定要求密封、签署、盖章的；</w:t>
      </w:r>
    </w:p>
    <w:p>
      <w:pPr>
        <w:pStyle w:val="16"/>
        <w:numPr>
          <w:ilvl w:val="0"/>
          <w:numId w:val="1"/>
        </w:numPr>
        <w:snapToGrid w:val="0"/>
        <w:spacing w:line="440" w:lineRule="exact"/>
        <w:rPr>
          <w:rFonts w:hAnsi="宋体"/>
          <w:sz w:val="24"/>
          <w:szCs w:val="24"/>
        </w:rPr>
      </w:pPr>
      <w:r>
        <w:rPr>
          <w:rFonts w:hint="eastAsia" w:hAnsi="宋体"/>
          <w:sz w:val="24"/>
          <w:szCs w:val="24"/>
        </w:rPr>
        <w:t>竞标人所提供材料不足以证明其具备竞争性谈判文件中规定资格要求并且在谈判规定的时间内无法说明和补充的；</w:t>
      </w:r>
    </w:p>
    <w:p>
      <w:pPr>
        <w:pStyle w:val="16"/>
        <w:numPr>
          <w:ilvl w:val="0"/>
          <w:numId w:val="1"/>
        </w:numPr>
        <w:snapToGrid w:val="0"/>
        <w:spacing w:line="440" w:lineRule="exact"/>
        <w:rPr>
          <w:rFonts w:hAnsi="宋体"/>
          <w:sz w:val="24"/>
          <w:szCs w:val="24"/>
        </w:rPr>
      </w:pPr>
      <w:r>
        <w:rPr>
          <w:rFonts w:hint="eastAsia" w:hAnsi="宋体"/>
          <w:sz w:val="24"/>
          <w:szCs w:val="24"/>
        </w:rPr>
        <w:t>最终报价不在有效报价范围内的；</w:t>
      </w:r>
    </w:p>
    <w:p>
      <w:pPr>
        <w:pStyle w:val="16"/>
        <w:numPr>
          <w:ilvl w:val="0"/>
          <w:numId w:val="1"/>
        </w:numPr>
        <w:snapToGrid w:val="0"/>
        <w:spacing w:line="440" w:lineRule="exact"/>
        <w:rPr>
          <w:rFonts w:hAnsi="宋体"/>
          <w:sz w:val="24"/>
          <w:szCs w:val="24"/>
        </w:rPr>
      </w:pPr>
      <w:r>
        <w:rPr>
          <w:rFonts w:hint="eastAsia" w:hAnsi="宋体"/>
          <w:sz w:val="24"/>
          <w:szCs w:val="24"/>
        </w:rPr>
        <w:t>竞标人无法在规定时间内提供资格证明材料进行核对，或应谈判小组要求提供的有关材料原件与其在竞标文件中所提供的材料复印件不一致的；</w:t>
      </w:r>
    </w:p>
    <w:p>
      <w:pPr>
        <w:pStyle w:val="16"/>
        <w:numPr>
          <w:ilvl w:val="0"/>
          <w:numId w:val="1"/>
        </w:numPr>
        <w:snapToGrid w:val="0"/>
        <w:spacing w:line="440" w:lineRule="exact"/>
        <w:rPr>
          <w:rFonts w:hAnsi="宋体"/>
          <w:sz w:val="24"/>
          <w:szCs w:val="24"/>
        </w:rPr>
      </w:pPr>
      <w:r>
        <w:rPr>
          <w:rFonts w:hint="eastAsia" w:hAnsi="宋体"/>
          <w:sz w:val="24"/>
          <w:szCs w:val="24"/>
        </w:rPr>
        <w:t>未实质性响应谈判文件的；</w:t>
      </w:r>
    </w:p>
    <w:p>
      <w:pPr>
        <w:pStyle w:val="16"/>
        <w:numPr>
          <w:ilvl w:val="0"/>
          <w:numId w:val="1"/>
        </w:numPr>
        <w:snapToGrid w:val="0"/>
        <w:spacing w:line="440" w:lineRule="exact"/>
        <w:rPr>
          <w:rFonts w:hAnsi="宋体"/>
          <w:sz w:val="24"/>
          <w:szCs w:val="24"/>
        </w:rPr>
      </w:pPr>
      <w:r>
        <w:rPr>
          <w:rFonts w:hint="eastAsia" w:hAnsi="宋体"/>
          <w:sz w:val="24"/>
          <w:szCs w:val="24"/>
        </w:rPr>
        <w:t>竞</w:t>
      </w:r>
      <w:r>
        <w:rPr>
          <w:rFonts w:hAnsi="宋体"/>
          <w:sz w:val="24"/>
          <w:szCs w:val="24"/>
        </w:rPr>
        <w:t>标人递交两份或多份内容不同的</w:t>
      </w:r>
      <w:r>
        <w:rPr>
          <w:rFonts w:hint="eastAsia" w:hAnsi="宋体"/>
          <w:sz w:val="24"/>
          <w:szCs w:val="24"/>
        </w:rPr>
        <w:t>竞</w:t>
      </w:r>
      <w:r>
        <w:rPr>
          <w:rFonts w:hAnsi="宋体"/>
          <w:sz w:val="24"/>
          <w:szCs w:val="24"/>
        </w:rPr>
        <w:t>标文件，或在一份</w:t>
      </w:r>
      <w:r>
        <w:rPr>
          <w:rFonts w:hint="eastAsia" w:hAnsi="宋体"/>
          <w:sz w:val="24"/>
          <w:szCs w:val="24"/>
        </w:rPr>
        <w:t>竞</w:t>
      </w:r>
      <w:r>
        <w:rPr>
          <w:rFonts w:hAnsi="宋体"/>
          <w:sz w:val="24"/>
          <w:szCs w:val="24"/>
        </w:rPr>
        <w:t>标文件中对同一</w:t>
      </w:r>
      <w:r>
        <w:rPr>
          <w:rFonts w:hint="eastAsia" w:hAnsi="宋体"/>
          <w:sz w:val="24"/>
          <w:szCs w:val="24"/>
        </w:rPr>
        <w:t>采购</w:t>
      </w:r>
      <w:r>
        <w:rPr>
          <w:rFonts w:hAnsi="宋体"/>
          <w:sz w:val="24"/>
          <w:szCs w:val="24"/>
        </w:rPr>
        <w:t>货物报有两个或多个报价，且未声明哪一个为最终报价的，按</w:t>
      </w:r>
      <w:r>
        <w:rPr>
          <w:rFonts w:hint="eastAsia" w:hAnsi="宋体"/>
          <w:sz w:val="24"/>
          <w:szCs w:val="24"/>
        </w:rPr>
        <w:t>谈判文件</w:t>
      </w:r>
      <w:r>
        <w:rPr>
          <w:rFonts w:hAnsi="宋体"/>
          <w:sz w:val="24"/>
          <w:szCs w:val="24"/>
        </w:rPr>
        <w:t>规定提交备选</w:t>
      </w:r>
      <w:r>
        <w:rPr>
          <w:rFonts w:hint="eastAsia" w:hAnsi="宋体"/>
          <w:sz w:val="24"/>
          <w:szCs w:val="24"/>
        </w:rPr>
        <w:t>竞</w:t>
      </w:r>
      <w:r>
        <w:rPr>
          <w:rFonts w:hAnsi="宋体"/>
          <w:sz w:val="24"/>
          <w:szCs w:val="24"/>
        </w:rPr>
        <w:t>标方案的除外</w:t>
      </w:r>
      <w:r>
        <w:rPr>
          <w:rFonts w:hint="eastAsia" w:hAnsi="宋体"/>
          <w:sz w:val="24"/>
          <w:szCs w:val="24"/>
        </w:rPr>
        <w:t>；</w:t>
      </w:r>
    </w:p>
    <w:p>
      <w:pPr>
        <w:pStyle w:val="16"/>
        <w:numPr>
          <w:ilvl w:val="0"/>
          <w:numId w:val="1"/>
        </w:numPr>
        <w:snapToGrid w:val="0"/>
        <w:spacing w:line="440" w:lineRule="exact"/>
        <w:rPr>
          <w:rFonts w:hAnsi="宋体"/>
          <w:sz w:val="24"/>
          <w:szCs w:val="24"/>
        </w:rPr>
      </w:pPr>
      <w:r>
        <w:rPr>
          <w:rFonts w:hint="eastAsia" w:hAnsi="宋体"/>
          <w:sz w:val="24"/>
          <w:szCs w:val="24"/>
        </w:rPr>
        <w:t>不符合法律、法规和竞争性谈判文件中规定的其他实质性要求的。</w:t>
      </w:r>
    </w:p>
    <w:p>
      <w:pPr>
        <w:pStyle w:val="16"/>
        <w:snapToGrid w:val="0"/>
        <w:spacing w:line="440" w:lineRule="exact"/>
        <w:ind w:firstLine="480" w:firstLineChars="200"/>
        <w:rPr>
          <w:rFonts w:hAnsi="宋体"/>
          <w:sz w:val="24"/>
          <w:szCs w:val="24"/>
        </w:rPr>
      </w:pPr>
      <w:r>
        <w:rPr>
          <w:rFonts w:hint="eastAsia" w:hAnsi="宋体"/>
          <w:sz w:val="24"/>
          <w:szCs w:val="24"/>
        </w:rPr>
        <w:t>24.2有下列情形之一的，应予以废标：</w:t>
      </w:r>
    </w:p>
    <w:p>
      <w:pPr>
        <w:pStyle w:val="16"/>
        <w:snapToGrid w:val="0"/>
        <w:spacing w:line="440" w:lineRule="exact"/>
        <w:ind w:firstLine="480" w:firstLineChars="200"/>
        <w:rPr>
          <w:rFonts w:hAnsi="宋体"/>
          <w:sz w:val="24"/>
          <w:szCs w:val="24"/>
        </w:rPr>
      </w:pPr>
      <w:r>
        <w:rPr>
          <w:rFonts w:hint="eastAsia" w:hAnsi="宋体"/>
          <w:sz w:val="24"/>
          <w:szCs w:val="24"/>
        </w:rPr>
        <w:t>⑴竞标截止时间止，竞标人不足3家的。</w:t>
      </w:r>
    </w:p>
    <w:p>
      <w:pPr>
        <w:pStyle w:val="16"/>
        <w:snapToGrid w:val="0"/>
        <w:spacing w:line="440" w:lineRule="exact"/>
        <w:ind w:firstLine="480" w:firstLineChars="200"/>
        <w:rPr>
          <w:rFonts w:hAnsi="宋体"/>
          <w:sz w:val="24"/>
          <w:szCs w:val="24"/>
        </w:rPr>
      </w:pPr>
      <w:r>
        <w:rPr>
          <w:rFonts w:hint="eastAsia" w:hAnsi="宋体"/>
          <w:sz w:val="24"/>
          <w:szCs w:val="24"/>
        </w:rPr>
        <w:t>⑵符合专业条件的供应商或者对竞争性谈判文件作实质响应的供应商不足三家的；</w:t>
      </w:r>
    </w:p>
    <w:p>
      <w:pPr>
        <w:pStyle w:val="16"/>
        <w:snapToGrid w:val="0"/>
        <w:spacing w:line="440" w:lineRule="exact"/>
        <w:ind w:firstLine="480" w:firstLineChars="200"/>
        <w:rPr>
          <w:rFonts w:hAnsi="宋体"/>
          <w:sz w:val="24"/>
          <w:szCs w:val="24"/>
        </w:rPr>
      </w:pPr>
      <w:r>
        <w:rPr>
          <w:rFonts w:hint="eastAsia" w:hAnsi="宋体"/>
          <w:sz w:val="24"/>
          <w:szCs w:val="24"/>
        </w:rPr>
        <w:t>⑶出现影响采购公正的违法、违规行为的；</w:t>
      </w:r>
    </w:p>
    <w:p>
      <w:pPr>
        <w:pStyle w:val="16"/>
        <w:snapToGrid w:val="0"/>
        <w:spacing w:line="440" w:lineRule="exact"/>
        <w:ind w:firstLine="480" w:firstLineChars="200"/>
        <w:rPr>
          <w:rFonts w:hAnsi="宋体"/>
          <w:sz w:val="24"/>
          <w:szCs w:val="24"/>
        </w:rPr>
      </w:pPr>
      <w:r>
        <w:rPr>
          <w:rFonts w:hint="eastAsia" w:hAnsi="宋体"/>
          <w:sz w:val="24"/>
          <w:szCs w:val="24"/>
        </w:rPr>
        <w:t>⑷竞标人的报价均超过了采购预算控制价，采购人不能支付的；</w:t>
      </w:r>
    </w:p>
    <w:p>
      <w:pPr>
        <w:pStyle w:val="16"/>
        <w:snapToGrid w:val="0"/>
        <w:spacing w:line="440" w:lineRule="exact"/>
        <w:ind w:left="420"/>
        <w:rPr>
          <w:rFonts w:hAnsi="宋体"/>
          <w:sz w:val="24"/>
          <w:szCs w:val="24"/>
        </w:rPr>
      </w:pPr>
      <w:r>
        <w:rPr>
          <w:rFonts w:hint="eastAsia" w:hAnsi="宋体"/>
          <w:sz w:val="24"/>
          <w:szCs w:val="24"/>
        </w:rPr>
        <w:t>⑸因重大变故，采购任务取消的。</w:t>
      </w:r>
    </w:p>
    <w:p>
      <w:pPr>
        <w:pStyle w:val="4"/>
        <w:snapToGrid w:val="0"/>
        <w:spacing w:before="100" w:beforeAutospacing="1" w:after="100" w:afterAutospacing="1" w:line="560" w:lineRule="exact"/>
        <w:jc w:val="center"/>
        <w:rPr>
          <w:rFonts w:ascii="宋体" w:hAnsi="宋体"/>
        </w:rPr>
      </w:pPr>
      <w:bookmarkStart w:id="179" w:name="_Toc6047119"/>
      <w:bookmarkStart w:id="180" w:name="_Toc269710464"/>
      <w:bookmarkStart w:id="181" w:name="_Toc340341942"/>
      <w:r>
        <w:rPr>
          <w:rFonts w:hint="eastAsia" w:ascii="宋体" w:hAnsi="宋体"/>
          <w:sz w:val="24"/>
        </w:rPr>
        <w:t>（六</w:t>
      </w:r>
      <w:bookmarkEnd w:id="168"/>
      <w:r>
        <w:rPr>
          <w:rFonts w:hint="eastAsia" w:ascii="宋体" w:hAnsi="宋体"/>
          <w:sz w:val="24"/>
        </w:rPr>
        <w:t>）签订合同</w:t>
      </w:r>
      <w:bookmarkEnd w:id="179"/>
      <w:bookmarkEnd w:id="180"/>
      <w:bookmarkEnd w:id="181"/>
    </w:p>
    <w:p>
      <w:pPr>
        <w:pStyle w:val="16"/>
        <w:snapToGrid w:val="0"/>
        <w:spacing w:line="440" w:lineRule="exact"/>
        <w:outlineLvl w:val="2"/>
        <w:rPr>
          <w:rFonts w:hAnsi="宋体"/>
          <w:b/>
          <w:sz w:val="24"/>
          <w:szCs w:val="24"/>
        </w:rPr>
      </w:pPr>
      <w:bookmarkStart w:id="182" w:name="_Toc6047120"/>
      <w:bookmarkStart w:id="183" w:name="_Toc340341943"/>
      <w:bookmarkStart w:id="184" w:name="_Toc219055096"/>
      <w:bookmarkStart w:id="185" w:name="_Toc219054948"/>
      <w:bookmarkStart w:id="186" w:name="_Toc139257197"/>
      <w:r>
        <w:rPr>
          <w:rFonts w:hint="eastAsia" w:hAnsi="宋体"/>
          <w:b/>
          <w:sz w:val="24"/>
          <w:szCs w:val="24"/>
        </w:rPr>
        <w:t>25. 成交结果及公告</w:t>
      </w:r>
      <w:bookmarkEnd w:id="182"/>
    </w:p>
    <w:p>
      <w:pPr>
        <w:pStyle w:val="16"/>
        <w:snapToGrid w:val="0"/>
        <w:spacing w:line="440" w:lineRule="exact"/>
        <w:ind w:left="315" w:leftChars="150"/>
        <w:rPr>
          <w:rFonts w:hAnsi="宋体"/>
          <w:sz w:val="24"/>
          <w:szCs w:val="24"/>
        </w:rPr>
      </w:pPr>
      <w:r>
        <w:rPr>
          <w:rFonts w:hint="eastAsia" w:hAnsi="宋体"/>
          <w:sz w:val="24"/>
          <w:szCs w:val="24"/>
        </w:rPr>
        <w:t>25.1采购代理机构应当在评审结束后2个工作日内将评审报告送采购人确认。</w:t>
      </w:r>
      <w:r>
        <w:rPr>
          <w:rFonts w:hint="eastAsia" w:hAnsi="宋体"/>
          <w:sz w:val="24"/>
          <w:szCs w:val="24"/>
        </w:rPr>
        <w:br w:type="textWrapping"/>
      </w:r>
      <w:r>
        <w:rPr>
          <w:rFonts w:hint="eastAsia" w:hAnsi="宋体"/>
          <w:sz w:val="24"/>
          <w:szCs w:val="24"/>
        </w:rPr>
        <w:t>25.2采购人应当在收到评审报告后5个工作日内确认成交结果。成交结果确认后2个工作日内，代理机构将在</w:t>
      </w:r>
      <w:r>
        <w:rPr>
          <w:rFonts w:hint="eastAsia" w:hAnsi="宋体"/>
          <w:sz w:val="24"/>
        </w:rPr>
        <w:t>中国政府采购网（www.ccgp.gov.cn）、广西壮族自治区政府采购网（</w:t>
      </w:r>
      <w:r>
        <w:rPr>
          <w:rFonts w:hAnsi="宋体"/>
          <w:sz w:val="24"/>
        </w:rPr>
        <w:t>www.zfcg.gxzf.gov.cn</w:t>
      </w:r>
      <w:r>
        <w:rPr>
          <w:rFonts w:hint="eastAsia" w:hAnsi="宋体"/>
          <w:sz w:val="24"/>
        </w:rPr>
        <w:t>）</w:t>
      </w:r>
      <w:r>
        <w:rPr>
          <w:rFonts w:hint="eastAsia" w:hAnsi="宋体"/>
          <w:sz w:val="24"/>
          <w:szCs w:val="24"/>
        </w:rPr>
        <w:t>站上发布成交结果公告。</w:t>
      </w:r>
    </w:p>
    <w:p>
      <w:pPr>
        <w:pStyle w:val="16"/>
        <w:snapToGrid w:val="0"/>
        <w:spacing w:line="440" w:lineRule="exact"/>
        <w:outlineLvl w:val="2"/>
        <w:rPr>
          <w:rFonts w:hAnsi="宋体"/>
          <w:b/>
          <w:sz w:val="24"/>
          <w:szCs w:val="24"/>
        </w:rPr>
      </w:pPr>
      <w:bookmarkStart w:id="187" w:name="_Toc6047121"/>
      <w:r>
        <w:rPr>
          <w:rFonts w:hint="eastAsia" w:hAnsi="宋体"/>
          <w:b/>
          <w:sz w:val="24"/>
          <w:szCs w:val="24"/>
        </w:rPr>
        <w:t>26.质疑</w:t>
      </w:r>
      <w:bookmarkEnd w:id="187"/>
    </w:p>
    <w:p>
      <w:pPr>
        <w:pStyle w:val="16"/>
        <w:snapToGrid w:val="0"/>
        <w:spacing w:line="440" w:lineRule="exact"/>
        <w:ind w:firstLine="480" w:firstLineChars="200"/>
        <w:rPr>
          <w:rFonts w:hAnsi="宋体"/>
          <w:sz w:val="24"/>
          <w:szCs w:val="24"/>
        </w:rPr>
      </w:pPr>
      <w:r>
        <w:rPr>
          <w:rFonts w:hint="eastAsia" w:hAnsi="宋体"/>
          <w:sz w:val="24"/>
          <w:szCs w:val="24"/>
        </w:rPr>
        <w:t>26.1竞标人认为本竞标活动损害其权益的，应在知道其权益受到损害之日起七个工作日内，以书面形式向采购人或采购代理机构提出质疑并及时索要书面回执。质疑竞标人必须首先经过质疑程序，质疑材料必须符合《广西壮族自治区政府采购供应商质疑处理办法》（桂财采[2006]11号）的相关规定。</w:t>
      </w:r>
      <w:r>
        <w:rPr>
          <w:rFonts w:hint="eastAsia" w:hAnsi="宋体"/>
          <w:b/>
          <w:sz w:val="24"/>
          <w:szCs w:val="24"/>
        </w:rPr>
        <w:t>电话：</w:t>
      </w:r>
      <w:r>
        <w:rPr>
          <w:rFonts w:hAnsi="宋体"/>
          <w:b/>
          <w:sz w:val="24"/>
          <w:szCs w:val="24"/>
        </w:rPr>
        <w:t>0776-2840555</w:t>
      </w:r>
      <w:r>
        <w:rPr>
          <w:rFonts w:hint="eastAsia" w:hAnsi="宋体"/>
          <w:b/>
          <w:sz w:val="24"/>
          <w:szCs w:val="24"/>
        </w:rPr>
        <w:t>。</w:t>
      </w:r>
    </w:p>
    <w:p>
      <w:pPr>
        <w:pStyle w:val="16"/>
        <w:snapToGrid w:val="0"/>
        <w:spacing w:line="440" w:lineRule="exact"/>
        <w:ind w:firstLine="480" w:firstLineChars="200"/>
        <w:rPr>
          <w:rFonts w:hAnsi="宋体"/>
          <w:sz w:val="24"/>
          <w:szCs w:val="24"/>
        </w:rPr>
      </w:pPr>
      <w:r>
        <w:rPr>
          <w:rFonts w:hint="eastAsia" w:hAnsi="宋体"/>
          <w:sz w:val="24"/>
          <w:szCs w:val="24"/>
        </w:rPr>
        <w:t>26.2采购人、采购代理机构将按规定在收到竞标人的书面质疑后七个工作日内做出答复，但答复的内容不涉及商业秘密。</w:t>
      </w:r>
    </w:p>
    <w:p>
      <w:pPr>
        <w:pStyle w:val="16"/>
        <w:snapToGrid w:val="0"/>
        <w:spacing w:line="440" w:lineRule="exact"/>
        <w:outlineLvl w:val="2"/>
        <w:rPr>
          <w:rFonts w:hAnsi="宋体"/>
          <w:b/>
          <w:sz w:val="24"/>
          <w:szCs w:val="24"/>
        </w:rPr>
      </w:pPr>
      <w:bookmarkStart w:id="188" w:name="_Toc6047122"/>
      <w:r>
        <w:rPr>
          <w:rFonts w:hint="eastAsia" w:hAnsi="宋体"/>
          <w:b/>
          <w:sz w:val="24"/>
          <w:szCs w:val="24"/>
        </w:rPr>
        <w:t>27.投诉</w:t>
      </w:r>
      <w:bookmarkEnd w:id="188"/>
    </w:p>
    <w:p>
      <w:pPr>
        <w:pStyle w:val="16"/>
        <w:snapToGrid w:val="0"/>
        <w:spacing w:line="440" w:lineRule="exact"/>
        <w:ind w:firstLine="480" w:firstLineChars="200"/>
        <w:rPr>
          <w:rFonts w:hAnsi="宋体"/>
          <w:sz w:val="24"/>
          <w:szCs w:val="24"/>
        </w:rPr>
      </w:pPr>
      <w:bookmarkStart w:id="189" w:name="_Toc404090297"/>
      <w:bookmarkStart w:id="190" w:name="_Toc429859102"/>
      <w:bookmarkStart w:id="191" w:name="_Toc408618408"/>
      <w:bookmarkStart w:id="192" w:name="_Toc404638780"/>
      <w:bookmarkStart w:id="193" w:name="_Toc435907328"/>
      <w:bookmarkStart w:id="194" w:name="_Toc403571629"/>
      <w:bookmarkStart w:id="195" w:name="_Toc403940110"/>
      <w:bookmarkStart w:id="196" w:name="_Toc410654861"/>
      <w:bookmarkStart w:id="197" w:name="_Toc403940641"/>
      <w:bookmarkStart w:id="198" w:name="_Toc419443339"/>
      <w:bookmarkStart w:id="199" w:name="_Toc404297444"/>
      <w:bookmarkStart w:id="200" w:name="_Toc427336338"/>
      <w:bookmarkStart w:id="201" w:name="_Toc430075030"/>
      <w:bookmarkStart w:id="202" w:name="_Toc437554541"/>
      <w:bookmarkStart w:id="203" w:name="_Toc409372297"/>
      <w:bookmarkStart w:id="204" w:name="_Toc413961145"/>
      <w:bookmarkStart w:id="205" w:name="_Toc424118307"/>
      <w:bookmarkStart w:id="206" w:name="_Toc410686240"/>
      <w:r>
        <w:rPr>
          <w:rFonts w:hint="eastAsia" w:hAnsi="宋体"/>
          <w:sz w:val="24"/>
          <w:szCs w:val="24"/>
        </w:rPr>
        <w:t>质疑竞标人首先经过质疑程序，若对采购人、采购代理机构的答复不满意或者采购人、采购代理机构未在规定的时间内做出答复的，竞标人可以在答复期满后十五个工作日内向当地监督管理部门投诉。</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16"/>
        <w:adjustRightInd w:val="0"/>
        <w:snapToGrid w:val="0"/>
        <w:spacing w:line="440" w:lineRule="exact"/>
        <w:outlineLvl w:val="2"/>
        <w:rPr>
          <w:rFonts w:hAnsi="宋体"/>
          <w:b/>
          <w:sz w:val="24"/>
          <w:szCs w:val="24"/>
        </w:rPr>
      </w:pPr>
      <w:bookmarkStart w:id="207" w:name="_Toc6047123"/>
      <w:r>
        <w:rPr>
          <w:rFonts w:hint="eastAsia" w:hAnsi="宋体"/>
          <w:b/>
          <w:sz w:val="24"/>
          <w:szCs w:val="24"/>
        </w:rPr>
        <w:t>28. 成交通知</w:t>
      </w:r>
      <w:bookmarkEnd w:id="207"/>
    </w:p>
    <w:p>
      <w:pPr>
        <w:pStyle w:val="16"/>
        <w:adjustRightInd w:val="0"/>
        <w:snapToGrid w:val="0"/>
        <w:spacing w:line="440" w:lineRule="exact"/>
        <w:ind w:firstLine="420"/>
        <w:rPr>
          <w:rFonts w:hAnsi="宋体"/>
          <w:sz w:val="24"/>
          <w:szCs w:val="24"/>
        </w:rPr>
      </w:pPr>
      <w:r>
        <w:rPr>
          <w:rFonts w:hint="eastAsia" w:hAnsi="宋体"/>
          <w:sz w:val="24"/>
          <w:szCs w:val="24"/>
        </w:rPr>
        <w:t>28.1在发布成交公告的同时，采购代理机构将向成交供应商发出成交通知书。</w:t>
      </w:r>
    </w:p>
    <w:p>
      <w:pPr>
        <w:pStyle w:val="16"/>
        <w:snapToGrid w:val="0"/>
        <w:spacing w:line="440" w:lineRule="exact"/>
        <w:ind w:firstLine="420"/>
        <w:rPr>
          <w:rFonts w:hAnsi="宋体"/>
          <w:sz w:val="24"/>
          <w:szCs w:val="24"/>
        </w:rPr>
      </w:pPr>
      <w:r>
        <w:rPr>
          <w:rFonts w:hint="eastAsia" w:hAnsi="宋体"/>
          <w:sz w:val="24"/>
          <w:szCs w:val="24"/>
        </w:rPr>
        <w:t>28.2采购代理机构无义务向未成交的竞标人解释未成交原因和退还其竞标文件。</w:t>
      </w:r>
      <w:bookmarkEnd w:id="183"/>
      <w:bookmarkEnd w:id="184"/>
      <w:bookmarkEnd w:id="185"/>
      <w:bookmarkEnd w:id="186"/>
    </w:p>
    <w:p>
      <w:pPr>
        <w:pStyle w:val="16"/>
        <w:snapToGrid w:val="0"/>
        <w:spacing w:line="440" w:lineRule="exact"/>
        <w:outlineLvl w:val="2"/>
        <w:rPr>
          <w:rFonts w:hAnsi="宋体"/>
          <w:b/>
          <w:sz w:val="24"/>
          <w:szCs w:val="24"/>
        </w:rPr>
      </w:pPr>
      <w:bookmarkStart w:id="208" w:name="_Toc219055098"/>
      <w:bookmarkStart w:id="209" w:name="_Toc340341944"/>
      <w:bookmarkStart w:id="210" w:name="_Toc139257199"/>
      <w:bookmarkStart w:id="211" w:name="_Toc219054950"/>
      <w:bookmarkStart w:id="212" w:name="_Toc6047124"/>
      <w:r>
        <w:rPr>
          <w:rFonts w:hint="eastAsia" w:hAnsi="宋体"/>
          <w:b/>
          <w:sz w:val="24"/>
          <w:szCs w:val="24"/>
        </w:rPr>
        <w:t>29.合同授予标准</w:t>
      </w:r>
      <w:bookmarkEnd w:id="208"/>
      <w:bookmarkEnd w:id="209"/>
      <w:bookmarkEnd w:id="210"/>
      <w:bookmarkEnd w:id="211"/>
      <w:bookmarkEnd w:id="212"/>
    </w:p>
    <w:p>
      <w:pPr>
        <w:pStyle w:val="16"/>
        <w:snapToGrid w:val="0"/>
        <w:spacing w:line="440" w:lineRule="exact"/>
        <w:ind w:firstLine="435"/>
        <w:rPr>
          <w:rFonts w:hAnsi="宋体"/>
          <w:sz w:val="24"/>
          <w:szCs w:val="24"/>
        </w:rPr>
      </w:pPr>
      <w:r>
        <w:rPr>
          <w:rFonts w:hint="eastAsia" w:hAnsi="宋体"/>
          <w:sz w:val="24"/>
          <w:szCs w:val="24"/>
        </w:rPr>
        <w:t>29.1合同授予被确定为实质上响应竞争性谈判文件要求，评审认为具备履行合同能力, 按“评定成交的标准</w:t>
      </w:r>
      <w:r>
        <w:rPr>
          <w:rFonts w:hAnsi="宋体"/>
          <w:sz w:val="24"/>
          <w:szCs w:val="24"/>
        </w:rPr>
        <w:t>”</w:t>
      </w:r>
      <w:r>
        <w:rPr>
          <w:rFonts w:hint="eastAsia" w:hAnsi="宋体"/>
          <w:sz w:val="24"/>
          <w:szCs w:val="24"/>
        </w:rPr>
        <w:t>推荐的的竞标人。</w:t>
      </w:r>
    </w:p>
    <w:p>
      <w:pPr>
        <w:pStyle w:val="16"/>
        <w:snapToGrid w:val="0"/>
        <w:spacing w:line="440" w:lineRule="exact"/>
        <w:ind w:firstLine="435"/>
        <w:rPr>
          <w:rFonts w:hAnsi="宋体"/>
          <w:sz w:val="24"/>
          <w:szCs w:val="24"/>
        </w:rPr>
      </w:pPr>
      <w:r>
        <w:rPr>
          <w:rFonts w:hint="eastAsia" w:hAnsi="宋体"/>
          <w:sz w:val="24"/>
          <w:szCs w:val="24"/>
        </w:rPr>
        <w:t>29.2采购人应按照评审报告中推荐的成交候选供应商顺序确定成交供应商，也可以事先授权谈判小组直接确定成交供应商。</w:t>
      </w:r>
    </w:p>
    <w:p>
      <w:pPr>
        <w:pStyle w:val="16"/>
        <w:snapToGrid w:val="0"/>
        <w:spacing w:line="440" w:lineRule="exact"/>
        <w:ind w:firstLine="435"/>
        <w:rPr>
          <w:rFonts w:hAnsi="宋体"/>
          <w:sz w:val="24"/>
          <w:szCs w:val="24"/>
        </w:rPr>
      </w:pPr>
      <w:r>
        <w:rPr>
          <w:rFonts w:hint="eastAsia" w:hAnsi="宋体"/>
          <w:sz w:val="24"/>
          <w:szCs w:val="24"/>
        </w:rPr>
        <w:t>29.3成交供应商因不可抗力或者自身原因不能履行采购合同的，采购人可以与排位在成交供应商之后第一个成交候选供应商签订采购合同，以此类推，或重新组织采购。</w:t>
      </w:r>
    </w:p>
    <w:p>
      <w:pPr>
        <w:pStyle w:val="16"/>
        <w:snapToGrid w:val="0"/>
        <w:spacing w:line="440" w:lineRule="exact"/>
        <w:outlineLvl w:val="2"/>
        <w:rPr>
          <w:rFonts w:hAnsi="宋体"/>
          <w:b/>
          <w:sz w:val="24"/>
          <w:szCs w:val="24"/>
        </w:rPr>
      </w:pPr>
      <w:bookmarkStart w:id="213" w:name="_Toc219055099"/>
      <w:bookmarkStart w:id="214" w:name="_Toc219054951"/>
      <w:bookmarkStart w:id="215" w:name="_Toc139257200"/>
      <w:bookmarkStart w:id="216" w:name="_Toc340341945"/>
      <w:bookmarkStart w:id="217" w:name="_Toc6047125"/>
      <w:r>
        <w:rPr>
          <w:rFonts w:hint="eastAsia" w:hAnsi="宋体"/>
          <w:b/>
          <w:sz w:val="24"/>
          <w:szCs w:val="24"/>
        </w:rPr>
        <w:t>30.签订合同</w:t>
      </w:r>
      <w:bookmarkEnd w:id="213"/>
      <w:bookmarkEnd w:id="214"/>
      <w:bookmarkEnd w:id="215"/>
      <w:bookmarkEnd w:id="216"/>
      <w:bookmarkEnd w:id="217"/>
    </w:p>
    <w:p>
      <w:pPr>
        <w:pStyle w:val="16"/>
        <w:snapToGrid w:val="0"/>
        <w:spacing w:line="440" w:lineRule="exact"/>
        <w:ind w:firstLine="420"/>
        <w:rPr>
          <w:rFonts w:hAnsi="宋体"/>
          <w:sz w:val="24"/>
          <w:szCs w:val="24"/>
        </w:rPr>
      </w:pPr>
      <w:r>
        <w:rPr>
          <w:rFonts w:hint="eastAsia" w:hAnsi="宋体"/>
          <w:sz w:val="24"/>
          <w:szCs w:val="24"/>
        </w:rPr>
        <w:t>30.1竞标人在收到成交通知书后，应按成交通知书中规定的时间、地点与采购人签订合同。</w:t>
      </w:r>
    </w:p>
    <w:p>
      <w:pPr>
        <w:pStyle w:val="16"/>
        <w:snapToGrid w:val="0"/>
        <w:spacing w:line="440" w:lineRule="exact"/>
        <w:ind w:firstLine="420"/>
        <w:rPr>
          <w:rFonts w:hAnsi="宋体"/>
          <w:sz w:val="24"/>
          <w:szCs w:val="24"/>
        </w:rPr>
      </w:pPr>
      <w:r>
        <w:rPr>
          <w:rFonts w:hint="eastAsia" w:hAnsi="宋体"/>
          <w:sz w:val="24"/>
          <w:szCs w:val="24"/>
        </w:rPr>
        <w:t>30.2如成交人不按成交通知书的规定签订合同，则按成交人违约处理，采购代理机构将取消该成交人决定，并对该成交人的全部竞标保证金不予退还。</w:t>
      </w:r>
    </w:p>
    <w:p>
      <w:pPr>
        <w:pStyle w:val="16"/>
        <w:snapToGrid w:val="0"/>
        <w:spacing w:line="440" w:lineRule="exact"/>
        <w:ind w:firstLine="420"/>
        <w:rPr>
          <w:rFonts w:hAnsi="宋体"/>
          <w:sz w:val="24"/>
          <w:szCs w:val="24"/>
        </w:rPr>
      </w:pPr>
      <w:r>
        <w:rPr>
          <w:rFonts w:hint="eastAsia" w:hAnsi="宋体"/>
          <w:sz w:val="24"/>
          <w:szCs w:val="24"/>
        </w:rPr>
        <w:t>30.3如遇30.2情形。采购人有权从成交候选供应商中确定成交人，组织成交人与采购人签订合同，或重新组织采购。</w:t>
      </w:r>
    </w:p>
    <w:p>
      <w:pPr>
        <w:pStyle w:val="16"/>
        <w:snapToGrid w:val="0"/>
        <w:spacing w:line="440" w:lineRule="exact"/>
        <w:ind w:firstLine="420"/>
        <w:rPr>
          <w:rFonts w:hAnsi="宋体"/>
          <w:sz w:val="24"/>
          <w:szCs w:val="24"/>
        </w:rPr>
      </w:pPr>
      <w:r>
        <w:rPr>
          <w:rFonts w:hint="eastAsia" w:hAnsi="宋体"/>
          <w:sz w:val="24"/>
          <w:szCs w:val="24"/>
        </w:rPr>
        <w:t>30.4 合同签订必须按照《中华人民共和国政府采购法》、《中华人民共和国合同法》的有关规定执行，否则由此造成的后果由采购人负责。</w:t>
      </w:r>
    </w:p>
    <w:p>
      <w:pPr>
        <w:pStyle w:val="16"/>
        <w:snapToGrid w:val="0"/>
        <w:spacing w:line="440" w:lineRule="exact"/>
        <w:ind w:firstLine="420"/>
        <w:rPr>
          <w:rFonts w:hAnsi="宋体"/>
          <w:sz w:val="24"/>
          <w:szCs w:val="24"/>
        </w:rPr>
      </w:pPr>
      <w:r>
        <w:rPr>
          <w:rFonts w:hint="eastAsia" w:hAnsi="宋体"/>
          <w:sz w:val="24"/>
          <w:szCs w:val="24"/>
        </w:rPr>
        <w:t>30.5政府采购项目的采购合同自签订之日起七个工作日内，采购人应当将合同副本报同级政府采购监督管理部门和有关部门备案。</w:t>
      </w:r>
    </w:p>
    <w:p>
      <w:pPr>
        <w:pStyle w:val="16"/>
        <w:snapToGrid w:val="0"/>
        <w:spacing w:line="440" w:lineRule="exact"/>
        <w:ind w:firstLine="420"/>
        <w:rPr>
          <w:rFonts w:hAnsi="宋体"/>
          <w:sz w:val="24"/>
          <w:szCs w:val="24"/>
        </w:rPr>
      </w:pPr>
      <w:r>
        <w:rPr>
          <w:rFonts w:hint="eastAsia" w:hAnsi="宋体"/>
          <w:sz w:val="24"/>
          <w:szCs w:val="24"/>
        </w:rPr>
        <w:t>30.6财政部门根据已备案的政府采购合同办理合同款项的支付，对未正式备案的政府采购合同，将不予办理合同价款的支付。</w:t>
      </w:r>
    </w:p>
    <w:p>
      <w:pPr>
        <w:pStyle w:val="16"/>
        <w:snapToGrid w:val="0"/>
        <w:spacing w:line="360" w:lineRule="exact"/>
        <w:outlineLvl w:val="2"/>
        <w:rPr>
          <w:rFonts w:hAnsi="宋体"/>
          <w:b/>
          <w:sz w:val="24"/>
          <w:szCs w:val="24"/>
        </w:rPr>
      </w:pPr>
      <w:bookmarkStart w:id="218" w:name="_Toc219054952"/>
      <w:bookmarkStart w:id="219" w:name="_Toc219055100"/>
      <w:bookmarkStart w:id="220" w:name="_Toc139257201"/>
      <w:bookmarkStart w:id="221" w:name="_Toc340341946"/>
      <w:bookmarkStart w:id="222" w:name="_Toc6047126"/>
      <w:r>
        <w:rPr>
          <w:rFonts w:hint="eastAsia" w:hAnsi="宋体"/>
          <w:b/>
          <w:sz w:val="24"/>
          <w:szCs w:val="24"/>
        </w:rPr>
        <w:t>31.履约保证金</w:t>
      </w:r>
      <w:bookmarkEnd w:id="218"/>
      <w:bookmarkEnd w:id="219"/>
      <w:bookmarkEnd w:id="220"/>
      <w:bookmarkEnd w:id="221"/>
      <w:bookmarkEnd w:id="222"/>
      <w:r>
        <w:rPr>
          <w:rFonts w:hint="eastAsia" w:hAnsi="宋体"/>
          <w:b/>
          <w:sz w:val="24"/>
          <w:szCs w:val="24"/>
        </w:rPr>
        <w:t>：</w:t>
      </w:r>
      <w:r>
        <w:rPr>
          <w:rFonts w:hint="eastAsia" w:hAnsi="宋体"/>
          <w:b/>
          <w:sz w:val="24"/>
          <w:szCs w:val="24"/>
          <w:u w:val="single"/>
        </w:rPr>
        <w:t>/</w:t>
      </w:r>
    </w:p>
    <w:p>
      <w:pPr>
        <w:pStyle w:val="4"/>
        <w:snapToGrid w:val="0"/>
        <w:spacing w:before="100" w:beforeAutospacing="1" w:after="100" w:afterAutospacing="1" w:line="360" w:lineRule="exact"/>
        <w:jc w:val="center"/>
        <w:rPr>
          <w:rFonts w:ascii="宋体" w:hAnsi="宋体"/>
        </w:rPr>
      </w:pPr>
      <w:bookmarkStart w:id="223" w:name="_Toc139257202"/>
      <w:bookmarkStart w:id="224" w:name="_Toc269710469"/>
      <w:bookmarkStart w:id="225" w:name="_Toc340341947"/>
      <w:bookmarkStart w:id="226" w:name="_Toc404638785"/>
      <w:bookmarkStart w:id="227" w:name="_Toc6047127"/>
      <w:r>
        <w:rPr>
          <w:rFonts w:hint="eastAsia" w:ascii="宋体" w:hAnsi="宋体"/>
          <w:sz w:val="24"/>
        </w:rPr>
        <w:t>（七）其他事项</w:t>
      </w:r>
      <w:bookmarkEnd w:id="223"/>
      <w:bookmarkEnd w:id="224"/>
      <w:bookmarkEnd w:id="225"/>
      <w:bookmarkEnd w:id="226"/>
      <w:bookmarkEnd w:id="227"/>
    </w:p>
    <w:p>
      <w:pPr>
        <w:pStyle w:val="16"/>
        <w:snapToGrid w:val="0"/>
        <w:spacing w:line="360" w:lineRule="exact"/>
        <w:outlineLvl w:val="2"/>
        <w:rPr>
          <w:rFonts w:hAnsi="宋体"/>
          <w:b/>
          <w:sz w:val="24"/>
          <w:szCs w:val="24"/>
        </w:rPr>
      </w:pPr>
      <w:bookmarkStart w:id="228" w:name="_Toc219055102"/>
      <w:bookmarkStart w:id="229" w:name="_Toc139257203"/>
      <w:bookmarkStart w:id="230" w:name="_Toc219054953"/>
      <w:bookmarkStart w:id="231" w:name="_Toc340341948"/>
      <w:bookmarkStart w:id="232" w:name="_Toc6047128"/>
      <w:r>
        <w:rPr>
          <w:rFonts w:hint="eastAsia" w:hAnsi="宋体"/>
          <w:b/>
          <w:sz w:val="24"/>
          <w:szCs w:val="24"/>
        </w:rPr>
        <w:t>32.服务费</w:t>
      </w:r>
      <w:bookmarkEnd w:id="228"/>
      <w:bookmarkEnd w:id="229"/>
      <w:bookmarkEnd w:id="230"/>
      <w:bookmarkEnd w:id="231"/>
      <w:bookmarkEnd w:id="232"/>
    </w:p>
    <w:p>
      <w:pPr>
        <w:spacing w:line="440" w:lineRule="exact"/>
        <w:ind w:firstLine="420"/>
        <w:rPr>
          <w:rFonts w:ascii="宋体" w:hAnsi="宋体"/>
          <w:sz w:val="24"/>
          <w:szCs w:val="24"/>
        </w:rPr>
      </w:pPr>
      <w:bookmarkStart w:id="233" w:name="_Toc404638787"/>
      <w:bookmarkStart w:id="234" w:name="_Toc408618415"/>
      <w:bookmarkStart w:id="235" w:name="_Toc404297451"/>
      <w:bookmarkStart w:id="236" w:name="_Toc139257204"/>
      <w:bookmarkStart w:id="237" w:name="_Toc219055103"/>
      <w:bookmarkStart w:id="238" w:name="_Toc219054954"/>
      <w:bookmarkStart w:id="239" w:name="_Toc340341950"/>
      <w:r>
        <w:rPr>
          <w:rFonts w:hint="eastAsia" w:ascii="宋体" w:hAnsi="宋体"/>
          <w:sz w:val="24"/>
          <w:szCs w:val="24"/>
        </w:rPr>
        <w:t>领取成交通知书前，成交人须向采购代理机构一次付清采购代理服务费，采购代理服务费根据采购人与代理机构签订的委托代理协议约定的收费标准计取。否则，采购代理机构将视之为违约，取消该成交决定，成交人已提交的全部竞标保证金不予退还。</w:t>
      </w:r>
      <w:bookmarkEnd w:id="233"/>
      <w:bookmarkEnd w:id="234"/>
      <w:bookmarkEnd w:id="235"/>
    </w:p>
    <w:p>
      <w:pPr>
        <w:pStyle w:val="16"/>
        <w:snapToGrid w:val="0"/>
        <w:spacing w:line="360" w:lineRule="exact"/>
        <w:outlineLvl w:val="2"/>
        <w:rPr>
          <w:rFonts w:hAnsi="宋体"/>
          <w:b/>
          <w:sz w:val="24"/>
          <w:szCs w:val="24"/>
        </w:rPr>
      </w:pPr>
      <w:bookmarkStart w:id="240" w:name="_Toc6047129"/>
      <w:r>
        <w:rPr>
          <w:rFonts w:hint="eastAsia" w:hAnsi="宋体"/>
          <w:b/>
          <w:sz w:val="24"/>
          <w:szCs w:val="24"/>
        </w:rPr>
        <w:t>33.解释权</w:t>
      </w:r>
      <w:bookmarkEnd w:id="236"/>
      <w:bookmarkEnd w:id="237"/>
      <w:bookmarkEnd w:id="238"/>
      <w:bookmarkEnd w:id="239"/>
      <w:bookmarkEnd w:id="240"/>
    </w:p>
    <w:p>
      <w:pPr>
        <w:pStyle w:val="16"/>
        <w:snapToGrid w:val="0"/>
        <w:spacing w:line="360" w:lineRule="exact"/>
        <w:ind w:firstLine="420"/>
        <w:rPr>
          <w:rFonts w:hAnsi="宋体"/>
          <w:sz w:val="24"/>
          <w:szCs w:val="24"/>
        </w:rPr>
      </w:pPr>
      <w:r>
        <w:rPr>
          <w:rFonts w:hint="eastAsia" w:hAnsi="宋体"/>
          <w:sz w:val="24"/>
          <w:szCs w:val="24"/>
        </w:rPr>
        <w:t>33.1本竞争性谈判文件是根据《中华人民共和国政府采购法》的有关规定及参照国际惯例编制，解释权属本采购代理机构。</w:t>
      </w:r>
    </w:p>
    <w:p>
      <w:pPr>
        <w:pStyle w:val="16"/>
        <w:snapToGrid w:val="0"/>
        <w:spacing w:line="360" w:lineRule="exact"/>
        <w:ind w:firstLine="420"/>
        <w:rPr>
          <w:rFonts w:hAnsi="宋体"/>
          <w:sz w:val="24"/>
          <w:szCs w:val="24"/>
        </w:rPr>
      </w:pPr>
      <w:r>
        <w:rPr>
          <w:rFonts w:hint="eastAsia" w:hAnsi="宋体"/>
          <w:sz w:val="24"/>
          <w:szCs w:val="24"/>
        </w:rPr>
        <w:t>33.2本竞争性谈判文件中未注明处按《中华人民共和国政府采购法》及现行的有关规定执行。</w:t>
      </w:r>
    </w:p>
    <w:p>
      <w:pPr>
        <w:pStyle w:val="16"/>
        <w:snapToGrid w:val="0"/>
        <w:spacing w:line="360" w:lineRule="exact"/>
        <w:outlineLvl w:val="2"/>
        <w:rPr>
          <w:rFonts w:hAnsi="宋体"/>
          <w:b/>
          <w:sz w:val="24"/>
          <w:szCs w:val="24"/>
        </w:rPr>
      </w:pPr>
      <w:bookmarkStart w:id="241" w:name="_Toc6047130"/>
      <w:r>
        <w:rPr>
          <w:rFonts w:hint="eastAsia" w:hAnsi="宋体"/>
          <w:b/>
          <w:sz w:val="24"/>
          <w:szCs w:val="24"/>
        </w:rPr>
        <w:t>34.通讯地址</w:t>
      </w:r>
      <w:bookmarkEnd w:id="241"/>
    </w:p>
    <w:p>
      <w:pPr>
        <w:pStyle w:val="16"/>
        <w:snapToGrid w:val="0"/>
        <w:spacing w:line="360" w:lineRule="exact"/>
        <w:ind w:firstLine="540" w:firstLineChars="225"/>
        <w:rPr>
          <w:rFonts w:hAnsi="宋体"/>
          <w:sz w:val="24"/>
          <w:szCs w:val="24"/>
        </w:rPr>
      </w:pPr>
      <w:r>
        <w:rPr>
          <w:rFonts w:hint="eastAsia" w:hAnsi="宋体"/>
          <w:sz w:val="24"/>
          <w:szCs w:val="24"/>
        </w:rPr>
        <w:t>所有与本竞争性谈判文件有关的函电请按下列通讯地址联系：</w:t>
      </w:r>
    </w:p>
    <w:p>
      <w:pPr>
        <w:pStyle w:val="16"/>
        <w:tabs>
          <w:tab w:val="left" w:pos="1990"/>
        </w:tabs>
        <w:snapToGrid w:val="0"/>
        <w:spacing w:line="440" w:lineRule="exact"/>
        <w:ind w:firstLine="530" w:firstLineChars="221"/>
        <w:rPr>
          <w:rFonts w:hAnsi="宋体"/>
          <w:sz w:val="24"/>
          <w:szCs w:val="24"/>
        </w:rPr>
      </w:pPr>
      <w:r>
        <w:rPr>
          <w:rFonts w:hint="eastAsia" w:hAnsi="宋体"/>
          <w:sz w:val="24"/>
          <w:szCs w:val="24"/>
        </w:rPr>
        <w:t>采购代理机构：广西元强建设项目管理有限公司</w:t>
      </w:r>
    </w:p>
    <w:p>
      <w:pPr>
        <w:pStyle w:val="16"/>
        <w:adjustRightInd w:val="0"/>
        <w:snapToGrid w:val="0"/>
        <w:spacing w:line="440" w:lineRule="exact"/>
        <w:ind w:left="420" w:leftChars="200" w:firstLine="120" w:firstLineChars="50"/>
        <w:rPr>
          <w:rFonts w:hAnsi="宋体"/>
          <w:spacing w:val="-4"/>
          <w:sz w:val="24"/>
          <w:szCs w:val="24"/>
        </w:rPr>
      </w:pPr>
      <w:r>
        <w:rPr>
          <w:rFonts w:hint="eastAsia" w:hAnsi="宋体"/>
          <w:sz w:val="24"/>
          <w:szCs w:val="24"/>
        </w:rPr>
        <w:t>通讯地址：广西百色市龙景区新环球投资大厦左塔1926号</w:t>
      </w:r>
    </w:p>
    <w:p>
      <w:pPr>
        <w:pStyle w:val="16"/>
        <w:adjustRightInd w:val="0"/>
        <w:snapToGrid w:val="0"/>
        <w:spacing w:line="440" w:lineRule="exact"/>
        <w:ind w:left="420" w:leftChars="200" w:firstLine="120" w:firstLineChars="50"/>
        <w:rPr>
          <w:rFonts w:hAnsi="宋体"/>
          <w:sz w:val="24"/>
          <w:szCs w:val="24"/>
        </w:rPr>
      </w:pPr>
      <w:r>
        <w:rPr>
          <w:rFonts w:hint="eastAsia" w:hAnsi="宋体"/>
          <w:sz w:val="24"/>
          <w:szCs w:val="24"/>
        </w:rPr>
        <w:t xml:space="preserve">采购代理机构联系人：李新宇  联系电话/传真: </w:t>
      </w:r>
      <w:r>
        <w:rPr>
          <w:rFonts w:hAnsi="宋体"/>
          <w:bCs/>
          <w:sz w:val="24"/>
          <w:szCs w:val="24"/>
        </w:rPr>
        <w:t>0776-2840555</w:t>
      </w:r>
      <w:r>
        <w:rPr>
          <w:rFonts w:hint="eastAsia" w:hAnsi="宋体"/>
          <w:sz w:val="24"/>
          <w:szCs w:val="24"/>
        </w:rPr>
        <w:t xml:space="preserve"> </w:t>
      </w:r>
    </w:p>
    <w:p>
      <w:pPr>
        <w:pStyle w:val="16"/>
        <w:adjustRightInd w:val="0"/>
        <w:snapToGrid w:val="0"/>
        <w:spacing w:line="440" w:lineRule="exact"/>
        <w:ind w:left="420" w:leftChars="200" w:firstLine="120" w:firstLineChars="50"/>
        <w:rPr>
          <w:rFonts w:hAnsi="宋体"/>
          <w:sz w:val="24"/>
          <w:szCs w:val="24"/>
        </w:rPr>
      </w:pPr>
    </w:p>
    <w:p>
      <w:pPr>
        <w:pStyle w:val="16"/>
        <w:adjustRightInd w:val="0"/>
        <w:snapToGrid w:val="0"/>
        <w:spacing w:line="440" w:lineRule="exact"/>
        <w:ind w:left="420" w:leftChars="200" w:firstLine="120" w:firstLineChars="50"/>
        <w:rPr>
          <w:rFonts w:hAnsi="宋体"/>
          <w:sz w:val="24"/>
          <w:szCs w:val="24"/>
        </w:rPr>
      </w:pPr>
    </w:p>
    <w:p>
      <w:pPr>
        <w:pStyle w:val="16"/>
        <w:adjustRightInd w:val="0"/>
        <w:snapToGrid w:val="0"/>
        <w:spacing w:line="440" w:lineRule="exact"/>
        <w:ind w:left="420" w:leftChars="200" w:firstLine="120" w:firstLineChars="50"/>
        <w:rPr>
          <w:rFonts w:hAnsi="宋体"/>
          <w:sz w:val="24"/>
          <w:szCs w:val="24"/>
        </w:rPr>
      </w:pPr>
    </w:p>
    <w:p>
      <w:pPr>
        <w:pStyle w:val="16"/>
        <w:adjustRightInd w:val="0"/>
        <w:snapToGrid w:val="0"/>
        <w:spacing w:line="440" w:lineRule="exact"/>
        <w:ind w:left="420" w:leftChars="200" w:firstLine="120" w:firstLineChars="50"/>
        <w:rPr>
          <w:rFonts w:hAnsi="宋体"/>
          <w:sz w:val="24"/>
          <w:szCs w:val="24"/>
        </w:rPr>
      </w:pPr>
    </w:p>
    <w:p>
      <w:pPr>
        <w:pStyle w:val="16"/>
        <w:adjustRightInd w:val="0"/>
        <w:snapToGrid w:val="0"/>
        <w:spacing w:line="440" w:lineRule="exact"/>
        <w:ind w:left="420" w:leftChars="200" w:firstLine="120" w:firstLineChars="50"/>
        <w:rPr>
          <w:rFonts w:hAnsi="宋体"/>
          <w:sz w:val="24"/>
          <w:szCs w:val="24"/>
        </w:rPr>
      </w:pPr>
    </w:p>
    <w:p>
      <w:pPr>
        <w:pStyle w:val="16"/>
        <w:adjustRightInd w:val="0"/>
        <w:snapToGrid w:val="0"/>
        <w:spacing w:line="440" w:lineRule="exact"/>
        <w:ind w:left="420" w:leftChars="200" w:firstLine="120" w:firstLineChars="50"/>
        <w:rPr>
          <w:rFonts w:hAnsi="宋体"/>
          <w:sz w:val="24"/>
          <w:szCs w:val="24"/>
        </w:rPr>
      </w:pPr>
    </w:p>
    <w:p>
      <w:pPr>
        <w:pStyle w:val="16"/>
        <w:adjustRightInd w:val="0"/>
        <w:snapToGrid w:val="0"/>
        <w:spacing w:line="440" w:lineRule="exact"/>
        <w:rPr>
          <w:rFonts w:hAnsi="宋体"/>
          <w:sz w:val="24"/>
          <w:szCs w:val="24"/>
        </w:rPr>
      </w:pPr>
    </w:p>
    <w:p>
      <w:pPr>
        <w:pStyle w:val="16"/>
        <w:adjustRightInd w:val="0"/>
        <w:snapToGrid w:val="0"/>
        <w:spacing w:line="440" w:lineRule="exact"/>
        <w:rPr>
          <w:rFonts w:hAnsi="宋体"/>
          <w:sz w:val="24"/>
          <w:szCs w:val="24"/>
        </w:rPr>
      </w:pPr>
    </w:p>
    <w:p>
      <w:pPr>
        <w:pStyle w:val="16"/>
        <w:adjustRightInd w:val="0"/>
        <w:snapToGrid w:val="0"/>
        <w:spacing w:line="440" w:lineRule="exact"/>
        <w:rPr>
          <w:rFonts w:hAnsi="宋体"/>
          <w:sz w:val="24"/>
          <w:szCs w:val="24"/>
        </w:rPr>
      </w:pPr>
    </w:p>
    <w:p>
      <w:pPr>
        <w:pStyle w:val="16"/>
        <w:adjustRightInd w:val="0"/>
        <w:snapToGrid w:val="0"/>
        <w:spacing w:line="440" w:lineRule="exact"/>
        <w:rPr>
          <w:rFonts w:hAnsi="宋体"/>
          <w:sz w:val="24"/>
          <w:szCs w:val="24"/>
        </w:rPr>
      </w:pPr>
    </w:p>
    <w:p>
      <w:pPr>
        <w:pStyle w:val="16"/>
        <w:adjustRightInd w:val="0"/>
        <w:snapToGrid w:val="0"/>
        <w:spacing w:line="440" w:lineRule="exact"/>
        <w:rPr>
          <w:rFonts w:hAnsi="宋体"/>
          <w:sz w:val="24"/>
          <w:szCs w:val="24"/>
        </w:rPr>
      </w:pPr>
    </w:p>
    <w:p>
      <w:pPr>
        <w:pStyle w:val="16"/>
        <w:adjustRightInd w:val="0"/>
        <w:snapToGrid w:val="0"/>
        <w:spacing w:line="440" w:lineRule="exact"/>
        <w:rPr>
          <w:rFonts w:hAnsi="宋体"/>
          <w:sz w:val="24"/>
          <w:szCs w:val="24"/>
        </w:rPr>
      </w:pPr>
    </w:p>
    <w:p>
      <w:pPr>
        <w:pStyle w:val="16"/>
        <w:adjustRightInd w:val="0"/>
        <w:snapToGrid w:val="0"/>
        <w:spacing w:line="440" w:lineRule="exact"/>
        <w:rPr>
          <w:rFonts w:hAnsi="宋体"/>
          <w:sz w:val="24"/>
          <w:szCs w:val="24"/>
        </w:rPr>
      </w:pPr>
    </w:p>
    <w:p>
      <w:pPr>
        <w:pStyle w:val="16"/>
        <w:adjustRightInd w:val="0"/>
        <w:snapToGrid w:val="0"/>
        <w:spacing w:line="440" w:lineRule="exact"/>
        <w:rPr>
          <w:rFonts w:hAnsi="宋体"/>
          <w:sz w:val="24"/>
          <w:szCs w:val="24"/>
        </w:rPr>
      </w:pPr>
    </w:p>
    <w:p>
      <w:pPr>
        <w:pStyle w:val="16"/>
        <w:adjustRightInd w:val="0"/>
        <w:snapToGrid w:val="0"/>
        <w:spacing w:line="440" w:lineRule="exact"/>
        <w:rPr>
          <w:rFonts w:hAnsi="宋体"/>
          <w:sz w:val="24"/>
          <w:szCs w:val="24"/>
        </w:rPr>
      </w:pPr>
    </w:p>
    <w:p>
      <w:pPr>
        <w:pStyle w:val="16"/>
        <w:adjustRightInd w:val="0"/>
        <w:snapToGrid w:val="0"/>
        <w:spacing w:line="440" w:lineRule="exact"/>
        <w:rPr>
          <w:rFonts w:hAnsi="宋体"/>
          <w:sz w:val="24"/>
          <w:szCs w:val="24"/>
        </w:rPr>
      </w:pPr>
    </w:p>
    <w:p>
      <w:pPr>
        <w:pStyle w:val="16"/>
        <w:adjustRightInd w:val="0"/>
        <w:snapToGrid w:val="0"/>
        <w:spacing w:line="440" w:lineRule="exact"/>
        <w:rPr>
          <w:rFonts w:hAnsi="宋体"/>
          <w:sz w:val="24"/>
          <w:szCs w:val="24"/>
        </w:rPr>
      </w:pPr>
    </w:p>
    <w:p>
      <w:pPr>
        <w:pStyle w:val="16"/>
        <w:adjustRightInd w:val="0"/>
        <w:snapToGrid w:val="0"/>
        <w:spacing w:line="440" w:lineRule="exact"/>
        <w:rPr>
          <w:rFonts w:hAnsi="宋体"/>
          <w:sz w:val="24"/>
          <w:szCs w:val="24"/>
        </w:rPr>
      </w:pPr>
    </w:p>
    <w:p>
      <w:pPr>
        <w:pStyle w:val="16"/>
        <w:adjustRightInd w:val="0"/>
        <w:snapToGrid w:val="0"/>
        <w:spacing w:line="440" w:lineRule="exact"/>
        <w:rPr>
          <w:rFonts w:hAnsi="宋体"/>
          <w:sz w:val="24"/>
          <w:szCs w:val="24"/>
        </w:rPr>
      </w:pPr>
    </w:p>
    <w:p>
      <w:pPr>
        <w:pStyle w:val="16"/>
        <w:adjustRightInd w:val="0"/>
        <w:snapToGrid w:val="0"/>
        <w:spacing w:line="440" w:lineRule="exact"/>
        <w:rPr>
          <w:rFonts w:hAnsi="宋体"/>
          <w:sz w:val="24"/>
          <w:szCs w:val="24"/>
        </w:rPr>
      </w:pPr>
    </w:p>
    <w:p>
      <w:pPr>
        <w:pStyle w:val="16"/>
        <w:adjustRightInd w:val="0"/>
        <w:snapToGrid w:val="0"/>
        <w:spacing w:line="440" w:lineRule="exact"/>
        <w:rPr>
          <w:rFonts w:hAnsi="宋体"/>
          <w:sz w:val="24"/>
          <w:szCs w:val="24"/>
        </w:rPr>
      </w:pPr>
    </w:p>
    <w:p>
      <w:pPr>
        <w:pStyle w:val="16"/>
        <w:adjustRightInd w:val="0"/>
        <w:snapToGrid w:val="0"/>
        <w:spacing w:line="440" w:lineRule="exact"/>
        <w:rPr>
          <w:rFonts w:hAnsi="宋体"/>
          <w:sz w:val="24"/>
          <w:szCs w:val="24"/>
        </w:rPr>
      </w:pPr>
    </w:p>
    <w:p>
      <w:pPr>
        <w:jc w:val="center"/>
        <w:outlineLvl w:val="0"/>
        <w:rPr>
          <w:rFonts w:ascii="宋体" w:hAnsi="宋体"/>
          <w:b/>
          <w:sz w:val="28"/>
          <w:szCs w:val="28"/>
        </w:rPr>
      </w:pPr>
      <w:bookmarkStart w:id="242" w:name="_Toc390154368"/>
      <w:bookmarkStart w:id="243" w:name="_Toc6047131"/>
      <w:r>
        <w:rPr>
          <w:rFonts w:hint="eastAsia" w:ascii="宋体" w:hAnsi="宋体"/>
          <w:b/>
          <w:sz w:val="28"/>
          <w:szCs w:val="28"/>
        </w:rPr>
        <w:t>第二章  项目要求及货物需求一览表</w:t>
      </w:r>
      <w:bookmarkEnd w:id="242"/>
      <w:bookmarkEnd w:id="243"/>
    </w:p>
    <w:p>
      <w:pPr>
        <w:spacing w:line="360" w:lineRule="auto"/>
        <w:jc w:val="center"/>
        <w:outlineLvl w:val="1"/>
        <w:rPr>
          <w:rFonts w:ascii="宋体" w:hAnsi="宋体"/>
          <w:b/>
          <w:sz w:val="24"/>
          <w:szCs w:val="24"/>
        </w:rPr>
      </w:pPr>
      <w:bookmarkStart w:id="244" w:name="_Toc350333783"/>
      <w:bookmarkStart w:id="245" w:name="_Toc320095506"/>
      <w:bookmarkStart w:id="246" w:name="_Toc390154369"/>
      <w:bookmarkStart w:id="247" w:name="_Toc6047132"/>
      <w:bookmarkStart w:id="248" w:name="_Toc509048519"/>
      <w:bookmarkStart w:id="249" w:name="_Toc219054956"/>
      <w:bookmarkStart w:id="250" w:name="_Toc247854205"/>
      <w:r>
        <w:rPr>
          <w:rFonts w:hint="eastAsia" w:ascii="宋体" w:hAnsi="宋体"/>
          <w:b/>
          <w:sz w:val="24"/>
          <w:szCs w:val="24"/>
        </w:rPr>
        <w:t>一、项目要求</w:t>
      </w:r>
      <w:bookmarkEnd w:id="244"/>
      <w:bookmarkEnd w:id="245"/>
      <w:bookmarkEnd w:id="246"/>
      <w:bookmarkEnd w:id="247"/>
      <w:bookmarkEnd w:id="248"/>
      <w:bookmarkEnd w:id="249"/>
      <w:bookmarkEnd w:id="250"/>
    </w:p>
    <w:p>
      <w:pPr>
        <w:pStyle w:val="16"/>
        <w:tabs>
          <w:tab w:val="left" w:pos="1990"/>
        </w:tabs>
        <w:snapToGrid w:val="0"/>
        <w:spacing w:line="640" w:lineRule="exact"/>
        <w:ind w:firstLine="480" w:firstLineChars="200"/>
        <w:rPr>
          <w:rFonts w:hAnsi="宋体"/>
          <w:kern w:val="0"/>
          <w:sz w:val="24"/>
          <w:szCs w:val="24"/>
        </w:rPr>
      </w:pPr>
      <w:r>
        <w:rPr>
          <w:rFonts w:hint="eastAsia" w:hAnsi="宋体"/>
          <w:kern w:val="0"/>
          <w:sz w:val="24"/>
          <w:szCs w:val="24"/>
        </w:rPr>
        <w:t>1.所供货物必须是按国家有关行业质量标准要求，符合竞争性谈判文件的要求且能满足本项目技术参数的全新货物。</w:t>
      </w:r>
    </w:p>
    <w:p>
      <w:pPr>
        <w:pStyle w:val="16"/>
        <w:tabs>
          <w:tab w:val="left" w:pos="1990"/>
        </w:tabs>
        <w:snapToGrid w:val="0"/>
        <w:spacing w:line="640" w:lineRule="exact"/>
        <w:ind w:firstLine="480" w:firstLineChars="200"/>
        <w:rPr>
          <w:rFonts w:hAnsi="宋体"/>
          <w:kern w:val="0"/>
          <w:sz w:val="24"/>
          <w:szCs w:val="24"/>
        </w:rPr>
      </w:pPr>
      <w:r>
        <w:rPr>
          <w:rFonts w:hint="eastAsia" w:hAnsi="宋体"/>
          <w:kern w:val="0"/>
          <w:sz w:val="24"/>
          <w:szCs w:val="24"/>
        </w:rPr>
        <w:t>2.提货验收前所产生的一切费用，由成交供应商负责。货物验收地点由采购人指定。</w:t>
      </w:r>
    </w:p>
    <w:p>
      <w:pPr>
        <w:pStyle w:val="16"/>
        <w:tabs>
          <w:tab w:val="left" w:pos="1990"/>
        </w:tabs>
        <w:snapToGrid w:val="0"/>
        <w:spacing w:line="640" w:lineRule="exact"/>
        <w:ind w:firstLine="480" w:firstLineChars="200"/>
        <w:rPr>
          <w:rFonts w:hAnsi="宋体"/>
          <w:kern w:val="0"/>
          <w:sz w:val="24"/>
          <w:szCs w:val="24"/>
        </w:rPr>
      </w:pPr>
      <w:r>
        <w:rPr>
          <w:rFonts w:hint="eastAsia" w:hAnsi="宋体"/>
          <w:kern w:val="0"/>
          <w:sz w:val="24"/>
          <w:szCs w:val="24"/>
        </w:rPr>
        <w:t>3.成交人应依据采购人的要求免费负责货物的包装、装车和运输、卸车、安装调试等工作，按照采购人要求时间和地点供货。</w:t>
      </w:r>
    </w:p>
    <w:p>
      <w:pPr>
        <w:pStyle w:val="16"/>
        <w:tabs>
          <w:tab w:val="left" w:pos="1990"/>
        </w:tabs>
        <w:snapToGrid w:val="0"/>
        <w:spacing w:line="640" w:lineRule="exact"/>
        <w:ind w:firstLine="480" w:firstLineChars="200"/>
        <w:rPr>
          <w:rFonts w:hAnsi="宋体"/>
          <w:b/>
          <w:kern w:val="0"/>
          <w:sz w:val="24"/>
          <w:szCs w:val="24"/>
        </w:rPr>
      </w:pPr>
      <w:r>
        <w:rPr>
          <w:rFonts w:hint="eastAsia" w:hAnsi="宋体"/>
          <w:kern w:val="0"/>
          <w:sz w:val="24"/>
          <w:szCs w:val="24"/>
        </w:rPr>
        <w:t>4.竞标人在计算竞标报价时，</w:t>
      </w:r>
      <w:r>
        <w:rPr>
          <w:rFonts w:hint="eastAsia" w:hAnsi="宋体"/>
          <w:b/>
          <w:kern w:val="0"/>
          <w:sz w:val="24"/>
          <w:szCs w:val="24"/>
        </w:rPr>
        <w:t>包含货款、标准附件、备品备件、专用工具、包装、运输、装卸、保险、税金、货到就位以及安装、调试、培训、保修等一切税金和最终交付使用前的一切费用。竞标人根据采购文件的要求结合自身的实际情况进行报价。竞标人的最终报价将作为谈判小组评比的最终依据。</w:t>
      </w:r>
    </w:p>
    <w:p>
      <w:pPr>
        <w:pStyle w:val="16"/>
        <w:tabs>
          <w:tab w:val="left" w:pos="1990"/>
        </w:tabs>
        <w:snapToGrid w:val="0"/>
        <w:spacing w:line="640" w:lineRule="exact"/>
        <w:ind w:firstLine="482" w:firstLineChars="200"/>
        <w:rPr>
          <w:rFonts w:hAnsi="宋体"/>
          <w:b/>
          <w:kern w:val="0"/>
          <w:sz w:val="24"/>
          <w:szCs w:val="24"/>
        </w:rPr>
      </w:pPr>
      <w:r>
        <w:rPr>
          <w:rFonts w:hint="eastAsia" w:hAnsi="宋体"/>
          <w:b/>
          <w:kern w:val="0"/>
          <w:sz w:val="24"/>
          <w:szCs w:val="24"/>
        </w:rPr>
        <w:t>5</w:t>
      </w:r>
      <w:r>
        <w:rPr>
          <w:rFonts w:hint="eastAsia" w:hAnsi="宋体"/>
          <w:kern w:val="0"/>
          <w:sz w:val="24"/>
          <w:szCs w:val="24"/>
        </w:rPr>
        <w:t>.</w:t>
      </w:r>
      <w:r>
        <w:rPr>
          <w:rFonts w:hint="eastAsia" w:hAnsi="宋体"/>
          <w:b/>
          <w:kern w:val="0"/>
          <w:sz w:val="24"/>
          <w:szCs w:val="24"/>
        </w:rPr>
        <w:t>竞标报价小写金额只精确到小数点后两位，如竞标人不按要求报价的，其报价无效，将作无效竞标处理。</w:t>
      </w:r>
    </w:p>
    <w:p>
      <w:pPr>
        <w:pStyle w:val="16"/>
        <w:tabs>
          <w:tab w:val="left" w:pos="1990"/>
        </w:tabs>
        <w:snapToGrid w:val="0"/>
        <w:spacing w:line="640" w:lineRule="exact"/>
        <w:ind w:firstLine="482" w:firstLineChars="200"/>
        <w:rPr>
          <w:rFonts w:hAnsi="宋体"/>
          <w:b/>
          <w:kern w:val="0"/>
          <w:sz w:val="24"/>
          <w:szCs w:val="24"/>
        </w:rPr>
      </w:pPr>
    </w:p>
    <w:p>
      <w:pPr>
        <w:pStyle w:val="16"/>
        <w:tabs>
          <w:tab w:val="left" w:pos="1990"/>
        </w:tabs>
        <w:snapToGrid w:val="0"/>
        <w:spacing w:line="440" w:lineRule="exact"/>
        <w:rPr>
          <w:rFonts w:hAnsi="宋体"/>
        </w:rPr>
      </w:pPr>
    </w:p>
    <w:p>
      <w:pPr>
        <w:pStyle w:val="16"/>
        <w:tabs>
          <w:tab w:val="left" w:pos="1990"/>
        </w:tabs>
        <w:snapToGrid w:val="0"/>
        <w:spacing w:line="440" w:lineRule="exact"/>
        <w:rPr>
          <w:rFonts w:hAnsi="宋体"/>
        </w:rPr>
      </w:pPr>
    </w:p>
    <w:p>
      <w:pPr>
        <w:pStyle w:val="16"/>
        <w:tabs>
          <w:tab w:val="left" w:pos="1990"/>
        </w:tabs>
        <w:snapToGrid w:val="0"/>
        <w:spacing w:line="440" w:lineRule="exact"/>
        <w:rPr>
          <w:rFonts w:hAnsi="宋体"/>
        </w:rPr>
      </w:pPr>
    </w:p>
    <w:p>
      <w:pPr>
        <w:pStyle w:val="16"/>
        <w:tabs>
          <w:tab w:val="left" w:pos="1990"/>
        </w:tabs>
        <w:snapToGrid w:val="0"/>
        <w:spacing w:line="440" w:lineRule="exact"/>
        <w:rPr>
          <w:rFonts w:hAnsi="宋体"/>
        </w:rPr>
      </w:pPr>
    </w:p>
    <w:p>
      <w:pPr>
        <w:pStyle w:val="16"/>
        <w:tabs>
          <w:tab w:val="left" w:pos="1990"/>
        </w:tabs>
        <w:snapToGrid w:val="0"/>
        <w:spacing w:line="440" w:lineRule="exact"/>
        <w:rPr>
          <w:rFonts w:hAnsi="宋体"/>
        </w:rPr>
      </w:pPr>
    </w:p>
    <w:p>
      <w:pPr>
        <w:pStyle w:val="16"/>
        <w:tabs>
          <w:tab w:val="left" w:pos="1990"/>
        </w:tabs>
        <w:snapToGrid w:val="0"/>
        <w:spacing w:line="440" w:lineRule="exact"/>
        <w:rPr>
          <w:rFonts w:hAnsi="宋体"/>
        </w:rPr>
      </w:pPr>
    </w:p>
    <w:p>
      <w:pPr>
        <w:pStyle w:val="16"/>
        <w:tabs>
          <w:tab w:val="left" w:pos="1990"/>
        </w:tabs>
        <w:snapToGrid w:val="0"/>
        <w:spacing w:line="440" w:lineRule="exact"/>
        <w:rPr>
          <w:rFonts w:hAnsi="宋体"/>
        </w:rPr>
      </w:pPr>
    </w:p>
    <w:p>
      <w:pPr>
        <w:pStyle w:val="16"/>
        <w:tabs>
          <w:tab w:val="left" w:pos="1990"/>
        </w:tabs>
        <w:snapToGrid w:val="0"/>
        <w:spacing w:line="440" w:lineRule="exact"/>
        <w:rPr>
          <w:rFonts w:hAnsi="宋体"/>
        </w:rPr>
      </w:pPr>
    </w:p>
    <w:p>
      <w:pPr>
        <w:pStyle w:val="16"/>
        <w:tabs>
          <w:tab w:val="left" w:pos="1990"/>
        </w:tabs>
        <w:snapToGrid w:val="0"/>
        <w:spacing w:line="440" w:lineRule="exact"/>
        <w:rPr>
          <w:rFonts w:hAnsi="宋体"/>
        </w:rPr>
      </w:pPr>
    </w:p>
    <w:p>
      <w:pPr>
        <w:pStyle w:val="16"/>
        <w:tabs>
          <w:tab w:val="left" w:pos="1990"/>
        </w:tabs>
        <w:snapToGrid w:val="0"/>
        <w:spacing w:line="440" w:lineRule="exact"/>
        <w:rPr>
          <w:rFonts w:hAnsi="宋体"/>
        </w:rPr>
      </w:pPr>
    </w:p>
    <w:p>
      <w:pPr>
        <w:pStyle w:val="16"/>
        <w:tabs>
          <w:tab w:val="left" w:pos="1990"/>
        </w:tabs>
        <w:snapToGrid w:val="0"/>
        <w:spacing w:line="440" w:lineRule="exact"/>
        <w:rPr>
          <w:rFonts w:hAnsi="宋体"/>
        </w:rPr>
      </w:pPr>
    </w:p>
    <w:p>
      <w:pPr>
        <w:pStyle w:val="16"/>
        <w:tabs>
          <w:tab w:val="left" w:pos="1990"/>
        </w:tabs>
        <w:snapToGrid w:val="0"/>
        <w:spacing w:line="440" w:lineRule="exact"/>
        <w:rPr>
          <w:rFonts w:hAnsi="宋体"/>
        </w:rPr>
      </w:pPr>
    </w:p>
    <w:bookmarkEnd w:id="36"/>
    <w:bookmarkEnd w:id="37"/>
    <w:p>
      <w:pPr>
        <w:pStyle w:val="2"/>
        <w:spacing w:line="500" w:lineRule="exact"/>
        <w:rPr>
          <w:rFonts w:ascii="宋体" w:hAnsi="宋体" w:eastAsia="宋体"/>
          <w:b/>
          <w:sz w:val="30"/>
          <w:szCs w:val="30"/>
        </w:rPr>
      </w:pPr>
      <w:bookmarkStart w:id="251" w:name="_Toc219054955"/>
      <w:bookmarkStart w:id="252" w:name="_Toc139257206"/>
      <w:bookmarkStart w:id="253" w:name="_Toc139256742"/>
      <w:bookmarkStart w:id="254" w:name="_Toc340341951"/>
      <w:bookmarkStart w:id="255" w:name="_Toc6047133"/>
      <w:bookmarkStart w:id="256" w:name="_Toc111254564"/>
      <w:bookmarkStart w:id="257" w:name="_Toc105341457"/>
      <w:bookmarkStart w:id="258" w:name="_Toc78294041"/>
      <w:r>
        <w:rPr>
          <w:rFonts w:hint="eastAsia" w:ascii="宋体" w:hAnsi="宋体" w:eastAsia="宋体"/>
          <w:b/>
          <w:sz w:val="30"/>
          <w:szCs w:val="30"/>
        </w:rPr>
        <w:t>二、货物需求一览表</w:t>
      </w:r>
      <w:bookmarkEnd w:id="251"/>
      <w:bookmarkEnd w:id="252"/>
      <w:bookmarkEnd w:id="253"/>
      <w:bookmarkEnd w:id="254"/>
      <w:bookmarkEnd w:id="255"/>
    </w:p>
    <w:bookmarkEnd w:id="256"/>
    <w:bookmarkEnd w:id="257"/>
    <w:bookmarkEnd w:id="258"/>
    <w:p>
      <w:pPr>
        <w:adjustRightInd w:val="0"/>
        <w:spacing w:line="360" w:lineRule="exact"/>
        <w:ind w:left="6" w:firstLine="431"/>
        <w:rPr>
          <w:rFonts w:ascii="宋体" w:hAnsi="宋体"/>
          <w:b/>
          <w:bCs/>
          <w:sz w:val="24"/>
          <w:szCs w:val="24"/>
        </w:rPr>
      </w:pPr>
      <w:bookmarkStart w:id="259" w:name="_Toc340341952"/>
      <w:r>
        <w:rPr>
          <w:rFonts w:hint="eastAsia" w:ascii="宋体" w:hAnsi="宋体"/>
          <w:b/>
          <w:bCs/>
          <w:sz w:val="24"/>
          <w:szCs w:val="24"/>
        </w:rPr>
        <w:t>（一）、说明：</w:t>
      </w:r>
    </w:p>
    <w:p>
      <w:pPr>
        <w:adjustRightInd w:val="0"/>
        <w:spacing w:line="360" w:lineRule="exact"/>
        <w:ind w:firstLine="431"/>
        <w:rPr>
          <w:rFonts w:ascii="宋体" w:hAnsi="宋体"/>
          <w:b/>
          <w:bCs/>
          <w:sz w:val="24"/>
          <w:szCs w:val="24"/>
        </w:rPr>
      </w:pPr>
      <w:r>
        <w:rPr>
          <w:rFonts w:hint="eastAsia" w:ascii="宋体" w:hAnsi="宋体"/>
          <w:b/>
          <w:bCs/>
          <w:sz w:val="24"/>
          <w:szCs w:val="24"/>
        </w:rPr>
        <w:t>1.</w:t>
      </w:r>
      <w:r>
        <w:rPr>
          <w:rFonts w:ascii="宋体" w:hAnsi="宋体"/>
          <w:b/>
          <w:bCs/>
          <w:sz w:val="24"/>
          <w:szCs w:val="24"/>
        </w:rPr>
        <w:t>本一览表中</w:t>
      </w:r>
      <w:r>
        <w:rPr>
          <w:rFonts w:hint="eastAsia" w:ascii="宋体" w:hAnsi="宋体"/>
          <w:b/>
          <w:bCs/>
          <w:sz w:val="24"/>
          <w:szCs w:val="24"/>
        </w:rPr>
        <w:t>的品牌型号、技术参数及其性能（配置）仅起参考作用，竞标人可选用其他品牌型号替代。</w:t>
      </w:r>
    </w:p>
    <w:p>
      <w:pPr>
        <w:adjustRightInd w:val="0"/>
        <w:spacing w:line="360" w:lineRule="exact"/>
        <w:ind w:left="6" w:firstLine="431"/>
        <w:rPr>
          <w:rFonts w:ascii="宋体" w:hAnsi="宋体"/>
          <w:b/>
          <w:bCs/>
          <w:sz w:val="24"/>
          <w:szCs w:val="24"/>
        </w:rPr>
      </w:pPr>
      <w:r>
        <w:rPr>
          <w:rFonts w:hint="eastAsia" w:ascii="宋体" w:hAnsi="宋体"/>
          <w:b/>
          <w:bCs/>
          <w:sz w:val="24"/>
          <w:szCs w:val="24"/>
        </w:rPr>
        <w:t>2.</w:t>
      </w:r>
      <w:r>
        <w:rPr>
          <w:rFonts w:ascii="宋体" w:hAnsi="宋体"/>
          <w:b/>
          <w:bCs/>
          <w:sz w:val="24"/>
          <w:szCs w:val="24"/>
        </w:rPr>
        <w:t>本一览表中</w:t>
      </w:r>
      <w:r>
        <w:rPr>
          <w:rFonts w:hint="eastAsia" w:ascii="宋体" w:hAnsi="宋体"/>
          <w:b/>
          <w:bCs/>
          <w:sz w:val="24"/>
          <w:szCs w:val="24"/>
        </w:rPr>
        <w:t>参考品牌型号及技术参数性能（配置）不明确或有误的，或竞标人选用其他品牌型号替代的，请以详细、正确的品牌型号、技术参数性能（配置）同时填写竞标报价表和技术规格偏离表</w:t>
      </w:r>
      <w:r>
        <w:rPr>
          <w:rFonts w:ascii="宋体" w:hAnsi="宋体"/>
          <w:b/>
          <w:bCs/>
          <w:sz w:val="24"/>
          <w:szCs w:val="24"/>
        </w:rPr>
        <w:t>。</w:t>
      </w:r>
    </w:p>
    <w:p>
      <w:pPr>
        <w:adjustRightInd w:val="0"/>
        <w:spacing w:line="360" w:lineRule="exact"/>
        <w:ind w:left="6" w:firstLine="431"/>
        <w:rPr>
          <w:rFonts w:ascii="宋体" w:hAnsi="宋体"/>
          <w:b/>
          <w:bCs/>
          <w:sz w:val="24"/>
          <w:szCs w:val="24"/>
        </w:rPr>
      </w:pPr>
      <w:r>
        <w:rPr>
          <w:rFonts w:hint="eastAsia" w:ascii="宋体" w:hAnsi="宋体"/>
          <w:b/>
          <w:bCs/>
          <w:sz w:val="24"/>
          <w:szCs w:val="24"/>
        </w:rPr>
        <w:t>3.重要的货物技术参数、性能（配置）及要求，竞标人的竞标产品必须满足或优于该参数配置要求，否则竞标无效。</w:t>
      </w:r>
    </w:p>
    <w:p>
      <w:pPr>
        <w:adjustRightInd w:val="0"/>
        <w:spacing w:line="360" w:lineRule="exact"/>
        <w:ind w:left="6" w:firstLine="431"/>
        <w:rPr>
          <w:rFonts w:ascii="宋体" w:hAnsi="宋体"/>
          <w:b/>
          <w:bCs/>
          <w:sz w:val="24"/>
          <w:szCs w:val="24"/>
        </w:rPr>
      </w:pPr>
      <w:r>
        <w:rPr>
          <w:rFonts w:hint="eastAsia" w:ascii="宋体" w:hAnsi="宋体"/>
          <w:b/>
          <w:bCs/>
          <w:sz w:val="24"/>
          <w:szCs w:val="24"/>
        </w:rPr>
        <w:t>4.竞标人必须自行为其竞标产品侵犯其他竞标人或专利人的专利成果承担相应法律责任；同时，具有产品专利的竞标人应在其竞标文件中提供与其自有产品专利相关的有效证明材料，否则，不能就其产品的专利在本项目竞标过程中被侵权问题提出异议。</w:t>
      </w:r>
    </w:p>
    <w:p>
      <w:pPr>
        <w:adjustRightInd w:val="0"/>
        <w:spacing w:line="360" w:lineRule="exact"/>
        <w:ind w:left="6" w:firstLine="431"/>
        <w:rPr>
          <w:rFonts w:ascii="宋体" w:hAnsi="宋体"/>
          <w:b/>
          <w:bCs/>
          <w:sz w:val="24"/>
          <w:szCs w:val="24"/>
        </w:rPr>
      </w:pPr>
      <w:r>
        <w:rPr>
          <w:rFonts w:hint="eastAsia" w:ascii="宋体" w:hAnsi="宋体"/>
          <w:b/>
          <w:bCs/>
          <w:sz w:val="24"/>
          <w:szCs w:val="24"/>
        </w:rPr>
        <w:t>5.若采购货物含有现行节能产品政府采购清单中的强制节能产品时，竞标人的竞标货物必须使用政府强制采购的节能产品，竞标人在竞标文件中必须提供所投产品属于现行政府强制采购节能产品的证明材料（加盖竞标人公章），否则相应竞标无效。</w:t>
      </w:r>
    </w:p>
    <w:p>
      <w:pPr>
        <w:adjustRightInd w:val="0"/>
        <w:spacing w:line="360" w:lineRule="exact"/>
        <w:ind w:left="6" w:firstLine="431"/>
        <w:rPr>
          <w:rFonts w:ascii="宋体" w:hAnsi="宋体"/>
          <w:b/>
          <w:bCs/>
          <w:sz w:val="24"/>
          <w:szCs w:val="24"/>
        </w:rPr>
      </w:pPr>
      <w:r>
        <w:rPr>
          <w:rFonts w:hint="eastAsia" w:ascii="宋体" w:hAnsi="宋体"/>
          <w:b/>
          <w:bCs/>
          <w:sz w:val="24"/>
          <w:szCs w:val="24"/>
        </w:rPr>
        <w:t>6.本谈判文件所称中小企业必须符合《政府采购促进中小企业发展暂行办法》第二条规定。</w:t>
      </w:r>
    </w:p>
    <w:p>
      <w:pPr>
        <w:adjustRightInd w:val="0"/>
        <w:spacing w:line="360" w:lineRule="exact"/>
        <w:ind w:left="6" w:firstLine="431"/>
        <w:rPr>
          <w:rFonts w:ascii="宋体" w:hAnsi="宋体"/>
          <w:b/>
          <w:bCs/>
          <w:sz w:val="24"/>
          <w:szCs w:val="24"/>
        </w:rPr>
      </w:pPr>
      <w:r>
        <w:rPr>
          <w:rFonts w:hint="eastAsia" w:ascii="宋体" w:hAnsi="宋体"/>
          <w:b/>
          <w:bCs/>
          <w:sz w:val="24"/>
          <w:szCs w:val="24"/>
        </w:rPr>
        <w:t>6.1 小型和微型企业产品的价格给予6%-10%的扣除，用扣除后的价格参与评审，具体扣除比例请以第四章《评审办法及评审标准》的规定为准。</w:t>
      </w:r>
    </w:p>
    <w:p>
      <w:pPr>
        <w:adjustRightInd w:val="0"/>
        <w:spacing w:line="360" w:lineRule="exact"/>
        <w:ind w:left="6" w:firstLine="431"/>
        <w:rPr>
          <w:rFonts w:ascii="宋体" w:hAnsi="宋体"/>
          <w:b/>
          <w:bCs/>
          <w:sz w:val="24"/>
          <w:szCs w:val="24"/>
        </w:rPr>
      </w:pPr>
      <w:r>
        <w:rPr>
          <w:rFonts w:hint="eastAsia" w:ascii="宋体" w:hAnsi="宋体"/>
          <w:b/>
          <w:bCs/>
          <w:sz w:val="24"/>
          <w:szCs w:val="24"/>
        </w:rPr>
        <w:t>6.2小型、微型企业提供中型企业制造的货物的，视同为中型企业。</w:t>
      </w:r>
    </w:p>
    <w:p>
      <w:pPr>
        <w:adjustRightInd w:val="0"/>
        <w:spacing w:line="360" w:lineRule="exact"/>
        <w:ind w:left="6" w:firstLine="431"/>
        <w:rPr>
          <w:rFonts w:ascii="宋体" w:hAnsi="宋体"/>
          <w:b/>
          <w:bCs/>
          <w:sz w:val="24"/>
          <w:szCs w:val="24"/>
        </w:rPr>
      </w:pPr>
      <w:r>
        <w:rPr>
          <w:rFonts w:hint="eastAsia" w:ascii="宋体" w:hAnsi="宋体"/>
          <w:b/>
          <w:bCs/>
          <w:sz w:val="24"/>
          <w:szCs w:val="24"/>
        </w:rPr>
        <w:t>6.3 小型、微型企业提供大型企业制造的货物的，视同为大型企业。</w:t>
      </w:r>
    </w:p>
    <w:p>
      <w:pPr>
        <w:rPr>
          <w:rFonts w:ascii="宋体" w:hAnsi="宋体"/>
          <w:b/>
          <w:sz w:val="24"/>
          <w:szCs w:val="24"/>
        </w:rPr>
      </w:pPr>
      <w:r>
        <w:rPr>
          <w:rFonts w:hint="eastAsia"/>
        </w:rPr>
        <w:t xml:space="preserve">   </w:t>
      </w:r>
      <w:r>
        <w:rPr>
          <w:rFonts w:hint="eastAsia" w:ascii="宋体" w:hAnsi="宋体"/>
          <w:b/>
          <w:sz w:val="24"/>
          <w:szCs w:val="24"/>
        </w:rPr>
        <w:t xml:space="preserve"> 6.4竞标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ind w:firstLine="361" w:firstLineChars="150"/>
        <w:rPr>
          <w:rFonts w:ascii="宋体" w:hAnsi="宋体"/>
          <w:b/>
          <w:sz w:val="24"/>
          <w:szCs w:val="24"/>
        </w:rPr>
      </w:pPr>
      <w:r>
        <w:rPr>
          <w:rFonts w:hint="eastAsia" w:ascii="宋体" w:hAnsi="宋体"/>
          <w:b/>
          <w:sz w:val="24"/>
          <w:szCs w:val="24"/>
        </w:rPr>
        <w:t>6.5竞标产品提供单位按《关于促进残疾人就业政府采购政策的通知》(财库〔2017〕141号)认定为残疾人福利性单位的，在政府采购活动中，残疾人福利性单位视同小型、微型企业。符合条件的残疾人福利性单位在参加政府采购活动时，应当提供本通知规定的《残疾人福利性单位声明函》，并对声明的真实性负责。</w:t>
      </w:r>
    </w:p>
    <w:p/>
    <w:p/>
    <w:p/>
    <w:p/>
    <w:p/>
    <w:p/>
    <w:p/>
    <w:p/>
    <w:p/>
    <w:p/>
    <w:p/>
    <w:tbl>
      <w:tblPr>
        <w:tblStyle w:val="34"/>
        <w:tblW w:w="9364" w:type="dxa"/>
        <w:tblInd w:w="93" w:type="dxa"/>
        <w:tblLayout w:type="autofit"/>
        <w:tblCellMar>
          <w:top w:w="0" w:type="dxa"/>
          <w:left w:w="108" w:type="dxa"/>
          <w:bottom w:w="0" w:type="dxa"/>
          <w:right w:w="108" w:type="dxa"/>
        </w:tblCellMar>
      </w:tblPr>
      <w:tblGrid>
        <w:gridCol w:w="436"/>
        <w:gridCol w:w="142"/>
        <w:gridCol w:w="846"/>
        <w:gridCol w:w="680"/>
        <w:gridCol w:w="179"/>
        <w:gridCol w:w="6645"/>
        <w:gridCol w:w="436"/>
      </w:tblGrid>
      <w:tr>
        <w:tblPrEx>
          <w:tblCellMar>
            <w:top w:w="0" w:type="dxa"/>
            <w:left w:w="108" w:type="dxa"/>
            <w:bottom w:w="0" w:type="dxa"/>
            <w:right w:w="108" w:type="dxa"/>
          </w:tblCellMar>
        </w:tblPrEx>
        <w:trPr>
          <w:trHeight w:val="439" w:hRule="atLeast"/>
        </w:trPr>
        <w:tc>
          <w:tcPr>
            <w:tcW w:w="4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98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货物名称</w:t>
            </w:r>
          </w:p>
        </w:tc>
        <w:tc>
          <w:tcPr>
            <w:tcW w:w="6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数量/</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单位</w:t>
            </w:r>
          </w:p>
        </w:tc>
        <w:tc>
          <w:tcPr>
            <w:tcW w:w="682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规格技术参数配置需求</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240" w:hRule="atLeast"/>
        </w:trPr>
        <w:tc>
          <w:tcPr>
            <w:tcW w:w="9364" w:type="dxa"/>
            <w:gridSpan w:val="7"/>
            <w:tcBorders>
              <w:top w:val="nil"/>
              <w:left w:val="single" w:color="auto" w:sz="4" w:space="0"/>
              <w:bottom w:val="single" w:color="auto" w:sz="4" w:space="0"/>
              <w:right w:val="single" w:color="auto" w:sz="4" w:space="0"/>
            </w:tcBorders>
            <w:shd w:val="clear" w:color="auto" w:fill="auto"/>
            <w:noWrap/>
            <w:vAlign w:val="center"/>
          </w:tcPr>
          <w:p>
            <w:pPr>
              <w:ind w:firstLine="2108" w:firstLineChars="1000"/>
              <w:rPr>
                <w:rFonts w:ascii="宋体" w:hAnsi="宋体"/>
                <w:b/>
                <w:color w:val="000000"/>
                <w:szCs w:val="21"/>
              </w:rPr>
            </w:pPr>
            <w:r>
              <w:rPr>
                <w:rFonts w:hint="eastAsia" w:ascii="宋体" w:hAnsi="宋体" w:cs="宋体"/>
                <w:b/>
                <w:color w:val="000000"/>
                <w:kern w:val="0"/>
                <w:szCs w:val="21"/>
              </w:rPr>
              <w:t>田阳区区级和10个乡镇应急救援装备A标段</w:t>
            </w:r>
          </w:p>
        </w:tc>
      </w:tr>
      <w:tr>
        <w:tblPrEx>
          <w:tblCellMar>
            <w:top w:w="0" w:type="dxa"/>
            <w:left w:w="108" w:type="dxa"/>
            <w:bottom w:w="0" w:type="dxa"/>
            <w:right w:w="108" w:type="dxa"/>
          </w:tblCellMar>
        </w:tblPrEx>
        <w:trPr>
          <w:trHeight w:val="241"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无人机行业版（动态变焦）</w:t>
            </w:r>
          </w:p>
        </w:tc>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1架</w:t>
            </w:r>
          </w:p>
        </w:tc>
        <w:tc>
          <w:tcPr>
            <w:tcW w:w="6645" w:type="dxa"/>
            <w:tcBorders>
              <w:top w:val="single" w:color="auto" w:sz="4" w:space="0"/>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szCs w:val="21"/>
              </w:rPr>
            </w:pPr>
            <w:r>
              <w:rPr>
                <w:rFonts w:hint="eastAsia" w:asciiTheme="majorEastAsia" w:hAnsiTheme="majorEastAsia" w:eastAsiaTheme="majorEastAsia"/>
                <w:szCs w:val="21"/>
              </w:rPr>
              <w:t>行业变焦版</w:t>
            </w:r>
            <w:r>
              <w:rPr>
                <w:rFonts w:hint="eastAsia" w:asciiTheme="majorEastAsia" w:hAnsiTheme="majorEastAsia" w:eastAsiaTheme="majorEastAsia"/>
                <w:szCs w:val="21"/>
              </w:rPr>
              <w:br w:type="textWrapping"/>
            </w:r>
            <w:r>
              <w:rPr>
                <w:rFonts w:hint="eastAsia" w:asciiTheme="majorEastAsia" w:hAnsiTheme="majorEastAsia" w:eastAsiaTheme="majorEastAsia"/>
                <w:szCs w:val="21"/>
              </w:rPr>
              <w:t>夜航灯、喊话器、照明灯</w:t>
            </w:r>
            <w:r>
              <w:rPr>
                <w:rFonts w:hint="eastAsia" w:asciiTheme="majorEastAsia" w:hAnsiTheme="majorEastAsia" w:eastAsiaTheme="majorEastAsia"/>
                <w:szCs w:val="21"/>
              </w:rPr>
              <w:br w:type="textWrapping"/>
            </w:r>
            <w:r>
              <w:rPr>
                <w:rFonts w:hint="eastAsia" w:asciiTheme="majorEastAsia" w:hAnsiTheme="majorEastAsia" w:eastAsiaTheme="majorEastAsia"/>
                <w:szCs w:val="21"/>
              </w:rPr>
              <w:t>适用系统：ANDROID,iOS</w:t>
            </w:r>
            <w:r>
              <w:rPr>
                <w:rFonts w:hint="eastAsia" w:asciiTheme="majorEastAsia" w:hAnsiTheme="majorEastAsia" w:eastAsiaTheme="majorEastAsia"/>
                <w:szCs w:val="21"/>
              </w:rPr>
              <w:br w:type="textWrapping"/>
            </w:r>
            <w:r>
              <w:rPr>
                <w:rFonts w:hint="eastAsia" w:asciiTheme="majorEastAsia" w:hAnsiTheme="majorEastAsia" w:eastAsiaTheme="majorEastAsia"/>
                <w:szCs w:val="21"/>
              </w:rPr>
              <w:t>控制方式：智能APP,遥控式</w:t>
            </w:r>
            <w:r>
              <w:rPr>
                <w:rFonts w:hint="eastAsia" w:asciiTheme="majorEastAsia" w:hAnsiTheme="majorEastAsia" w:eastAsiaTheme="majorEastAsia"/>
                <w:szCs w:val="21"/>
              </w:rPr>
              <w:br w:type="textWrapping"/>
            </w:r>
            <w:r>
              <w:rPr>
                <w:rFonts w:hint="eastAsia" w:asciiTheme="majorEastAsia" w:hAnsiTheme="majorEastAsia" w:eastAsiaTheme="majorEastAsia"/>
                <w:szCs w:val="21"/>
              </w:rPr>
              <w:t>遥控距离：7KM及以上</w:t>
            </w:r>
            <w:r>
              <w:rPr>
                <w:rFonts w:hint="eastAsia" w:asciiTheme="majorEastAsia" w:hAnsiTheme="majorEastAsia" w:eastAsiaTheme="majorEastAsia"/>
                <w:szCs w:val="21"/>
              </w:rPr>
              <w:br w:type="textWrapping"/>
            </w:r>
            <w:r>
              <w:rPr>
                <w:rFonts w:hint="eastAsia" w:asciiTheme="majorEastAsia" w:hAnsiTheme="majorEastAsia" w:eastAsiaTheme="majorEastAsia"/>
                <w:szCs w:val="21"/>
              </w:rPr>
              <w:t xml:space="preserve">拍摄模式：拍照 视频 </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olor w:val="000000"/>
                <w:szCs w:val="21"/>
              </w:rPr>
            </w:pPr>
          </w:p>
        </w:tc>
      </w:tr>
      <w:tr>
        <w:tblPrEx>
          <w:tblCellMar>
            <w:top w:w="0" w:type="dxa"/>
            <w:left w:w="108" w:type="dxa"/>
            <w:bottom w:w="0" w:type="dxa"/>
            <w:right w:w="108" w:type="dxa"/>
          </w:tblCellMar>
        </w:tblPrEx>
        <w:trPr>
          <w:trHeight w:val="393"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110" w:firstLineChars="50"/>
              <w:rPr>
                <w:rFonts w:ascii="宋体" w:hAnsi="宋体" w:cs="宋体"/>
                <w:color w:val="000000"/>
                <w:kern w:val="0"/>
                <w:sz w:val="22"/>
                <w:szCs w:val="22"/>
              </w:rPr>
            </w:pPr>
            <w:r>
              <w:rPr>
                <w:rFonts w:hint="eastAsia" w:ascii="宋体" w:hAnsi="宋体" w:cs="宋体"/>
                <w:color w:val="000000"/>
                <w:kern w:val="0"/>
                <w:sz w:val="22"/>
                <w:szCs w:val="22"/>
              </w:rPr>
              <w:t>2</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无人机行业版智能电池</w:t>
            </w:r>
          </w:p>
        </w:tc>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2块</w:t>
            </w:r>
          </w:p>
        </w:tc>
        <w:tc>
          <w:tcPr>
            <w:tcW w:w="6645" w:type="dxa"/>
            <w:tcBorders>
              <w:top w:val="single" w:color="auto" w:sz="4" w:space="0"/>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szCs w:val="21"/>
              </w:rPr>
            </w:pPr>
            <w:r>
              <w:rPr>
                <w:rFonts w:hint="eastAsia" w:asciiTheme="majorEastAsia" w:hAnsiTheme="majorEastAsia" w:eastAsiaTheme="majorEastAsia"/>
                <w:szCs w:val="21"/>
              </w:rPr>
              <w:t>原装电池行业版</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trHeight w:val="336"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110" w:firstLineChars="50"/>
              <w:rPr>
                <w:rFonts w:ascii="宋体" w:hAnsi="宋体" w:cs="宋体"/>
                <w:color w:val="000000"/>
                <w:kern w:val="0"/>
                <w:sz w:val="22"/>
                <w:szCs w:val="22"/>
              </w:rPr>
            </w:pPr>
            <w:r>
              <w:rPr>
                <w:rFonts w:hint="eastAsia" w:ascii="宋体" w:hAnsi="宋体" w:cs="宋体"/>
                <w:color w:val="000000"/>
                <w:kern w:val="0"/>
                <w:sz w:val="22"/>
                <w:szCs w:val="22"/>
              </w:rPr>
              <w:t>3</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钢筋速断器</w:t>
            </w:r>
          </w:p>
        </w:tc>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2套</w:t>
            </w:r>
          </w:p>
        </w:tc>
        <w:tc>
          <w:tcPr>
            <w:tcW w:w="6645" w:type="dxa"/>
            <w:tcBorders>
              <w:top w:val="single" w:color="auto" w:sz="4" w:space="0"/>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szCs w:val="21"/>
              </w:rPr>
            </w:pPr>
            <w:r>
              <w:rPr>
                <w:rFonts w:hint="eastAsia" w:asciiTheme="majorEastAsia" w:hAnsiTheme="majorEastAsia" w:eastAsiaTheme="majorEastAsia"/>
                <w:szCs w:val="21"/>
              </w:rPr>
              <w:t>液压钢筋剪</w:t>
            </w:r>
            <w:r>
              <w:rPr>
                <w:rFonts w:hint="eastAsia" w:asciiTheme="majorEastAsia" w:hAnsiTheme="majorEastAsia" w:eastAsiaTheme="majorEastAsia"/>
                <w:szCs w:val="21"/>
              </w:rPr>
              <w:br w:type="textWrapping"/>
            </w:r>
            <w:r>
              <w:rPr>
                <w:rFonts w:hint="eastAsia" w:asciiTheme="majorEastAsia" w:hAnsiTheme="majorEastAsia" w:eastAsiaTheme="majorEastAsia"/>
                <w:szCs w:val="21"/>
              </w:rPr>
              <w:t>剪切范围：剪切4-22mm</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trHeight w:val="305"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110" w:firstLineChars="50"/>
              <w:rPr>
                <w:rFonts w:ascii="宋体" w:hAnsi="宋体" w:cs="宋体"/>
                <w:color w:val="000000"/>
                <w:kern w:val="0"/>
                <w:sz w:val="22"/>
                <w:szCs w:val="22"/>
              </w:rPr>
            </w:pPr>
            <w:r>
              <w:rPr>
                <w:rFonts w:hint="eastAsia" w:ascii="宋体" w:hAnsi="宋体" w:cs="宋体"/>
                <w:color w:val="000000"/>
                <w:kern w:val="0"/>
                <w:sz w:val="22"/>
                <w:szCs w:val="22"/>
              </w:rPr>
              <w:t>4</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无齿锯切割机</w:t>
            </w:r>
          </w:p>
        </w:tc>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2个</w:t>
            </w:r>
          </w:p>
        </w:tc>
        <w:tc>
          <w:tcPr>
            <w:tcW w:w="6645" w:type="dxa"/>
            <w:tcBorders>
              <w:top w:val="single" w:color="auto" w:sz="4" w:space="0"/>
              <w:left w:val="nil"/>
              <w:bottom w:val="single" w:color="auto" w:sz="4" w:space="0"/>
              <w:right w:val="single" w:color="auto" w:sz="4" w:space="0"/>
            </w:tcBorders>
            <w:shd w:val="clear" w:color="auto" w:fill="auto"/>
            <w:noWrap/>
            <w:vAlign w:val="center"/>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切割砂轮直径mm：350</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功率kw/hp ： 3.2/4.4</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声能等级dB(A)：109</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声压等级dB(A)：98</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左右震动值m/s：3.9/3.9</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排量cm³： 66.7</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最高主轴速度1/min³：4880</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最大切割深度mm：125</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空转转速1/min ：2500</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重量KG:9.7</w:t>
            </w:r>
          </w:p>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总长度：72.5</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110" w:firstLineChars="50"/>
              <w:rPr>
                <w:rFonts w:ascii="宋体" w:hAnsi="宋体" w:cs="宋体"/>
                <w:color w:val="000000"/>
                <w:kern w:val="0"/>
                <w:sz w:val="22"/>
                <w:szCs w:val="22"/>
              </w:rPr>
            </w:pPr>
            <w:r>
              <w:rPr>
                <w:rFonts w:hint="eastAsia" w:ascii="宋体" w:hAnsi="宋体" w:cs="宋体"/>
                <w:color w:val="000000"/>
                <w:kern w:val="0"/>
                <w:sz w:val="22"/>
                <w:szCs w:val="22"/>
              </w:rPr>
              <w:t>5</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双轮异向切割锯</w:t>
            </w:r>
          </w:p>
        </w:tc>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2个</w:t>
            </w:r>
          </w:p>
        </w:tc>
        <w:tc>
          <w:tcPr>
            <w:tcW w:w="6645" w:type="dxa"/>
            <w:tcBorders>
              <w:top w:val="single" w:color="auto" w:sz="4" w:space="0"/>
              <w:left w:val="nil"/>
              <w:bottom w:val="single" w:color="auto" w:sz="4" w:space="0"/>
              <w:right w:val="single" w:color="auto" w:sz="4" w:space="0"/>
            </w:tcBorders>
            <w:shd w:val="clear" w:color="auto" w:fill="auto"/>
            <w:noWrap/>
            <w:vAlign w:val="center"/>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气缸排量：70.7</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缸径（mm）:50</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活塞行程（mm）36</w:t>
            </w:r>
          </w:p>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标准怠速（rpm）：2600</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55"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110" w:firstLineChars="50"/>
              <w:rPr>
                <w:rFonts w:ascii="宋体" w:hAnsi="宋体" w:cs="宋体"/>
                <w:color w:val="000000"/>
                <w:kern w:val="0"/>
                <w:sz w:val="22"/>
                <w:szCs w:val="22"/>
              </w:rPr>
            </w:pPr>
            <w:r>
              <w:rPr>
                <w:rFonts w:hint="eastAsia" w:ascii="宋体" w:hAnsi="宋体" w:cs="宋体"/>
                <w:color w:val="000000"/>
                <w:kern w:val="0"/>
                <w:sz w:val="22"/>
                <w:szCs w:val="22"/>
              </w:rPr>
              <w:t>6</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红外线生命探测仪</w:t>
            </w:r>
          </w:p>
        </w:tc>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4套</w:t>
            </w:r>
          </w:p>
        </w:tc>
        <w:tc>
          <w:tcPr>
            <w:tcW w:w="6645" w:type="dxa"/>
            <w:tcBorders>
              <w:top w:val="single" w:color="auto" w:sz="4" w:space="0"/>
              <w:left w:val="nil"/>
              <w:bottom w:val="single" w:color="auto" w:sz="4" w:space="0"/>
              <w:right w:val="single" w:color="auto" w:sz="4" w:space="0"/>
            </w:tcBorders>
            <w:shd w:val="clear" w:color="auto" w:fill="auto"/>
            <w:noWrap/>
          </w:tcPr>
          <w:p>
            <w:pPr>
              <w:rPr>
                <w:rFonts w:asciiTheme="majorEastAsia" w:hAnsiTheme="majorEastAsia" w:eastAsiaTheme="majorEastAsia"/>
                <w:szCs w:val="21"/>
              </w:rPr>
            </w:pPr>
            <w:r>
              <w:rPr>
                <w:rFonts w:hint="eastAsia" w:asciiTheme="majorEastAsia" w:hAnsiTheme="majorEastAsia" w:eastAsiaTheme="majorEastAsia"/>
                <w:szCs w:val="21"/>
              </w:rPr>
              <w:t>红外热成像</w:t>
            </w:r>
          </w:p>
          <w:p>
            <w:pPr>
              <w:rPr>
                <w:rFonts w:asciiTheme="majorEastAsia" w:hAnsiTheme="majorEastAsia" w:eastAsiaTheme="majorEastAsia"/>
                <w:szCs w:val="21"/>
              </w:rPr>
            </w:pPr>
            <w:r>
              <w:rPr>
                <w:rFonts w:hint="eastAsia" w:asciiTheme="majorEastAsia" w:hAnsiTheme="majorEastAsia" w:eastAsiaTheme="majorEastAsia"/>
                <w:szCs w:val="21"/>
              </w:rPr>
              <w:t>支架目标测距：1000米</w:t>
            </w:r>
          </w:p>
          <w:p>
            <w:pPr>
              <w:rPr>
                <w:rFonts w:asciiTheme="majorEastAsia" w:hAnsiTheme="majorEastAsia" w:eastAsiaTheme="majorEastAsia"/>
                <w:szCs w:val="21"/>
              </w:rPr>
            </w:pPr>
            <w:r>
              <w:rPr>
                <w:rFonts w:hint="eastAsia" w:asciiTheme="majorEastAsia" w:hAnsiTheme="majorEastAsia" w:eastAsiaTheme="majorEastAsia"/>
                <w:szCs w:val="21"/>
              </w:rPr>
              <w:t>适用温度环境：-30℃-+60℃</w:t>
            </w:r>
          </w:p>
          <w:p>
            <w:pPr>
              <w:rPr>
                <w:rFonts w:asciiTheme="majorEastAsia" w:hAnsiTheme="majorEastAsia" w:eastAsiaTheme="majorEastAsia"/>
                <w:szCs w:val="21"/>
              </w:rPr>
            </w:pPr>
            <w:r>
              <w:rPr>
                <w:rFonts w:hint="eastAsia" w:asciiTheme="majorEastAsia" w:hAnsiTheme="majorEastAsia" w:eastAsiaTheme="majorEastAsia"/>
                <w:szCs w:val="21"/>
              </w:rPr>
              <w:t>电池使用：5小时长续航</w:t>
            </w:r>
          </w:p>
          <w:p>
            <w:pPr>
              <w:rPr>
                <w:rFonts w:asciiTheme="majorEastAsia" w:hAnsiTheme="majorEastAsia" w:eastAsiaTheme="majorEastAsia"/>
                <w:szCs w:val="21"/>
              </w:rPr>
            </w:pPr>
            <w:r>
              <w:rPr>
                <w:rFonts w:hint="eastAsia" w:asciiTheme="majorEastAsia" w:hAnsiTheme="majorEastAsia" w:eastAsiaTheme="majorEastAsia"/>
                <w:szCs w:val="21"/>
              </w:rPr>
              <w:t>电池类型：可充电锂离子电池</w:t>
            </w:r>
          </w:p>
          <w:p>
            <w:pPr>
              <w:rPr>
                <w:rFonts w:cs="宋体" w:asciiTheme="majorEastAsia" w:hAnsiTheme="majorEastAsia" w:eastAsiaTheme="majorEastAsia"/>
                <w:szCs w:val="21"/>
              </w:rPr>
            </w:pPr>
            <w:r>
              <w:rPr>
                <w:rFonts w:hint="eastAsia" w:asciiTheme="majorEastAsia" w:hAnsiTheme="majorEastAsia" w:eastAsiaTheme="majorEastAsia"/>
                <w:szCs w:val="21"/>
              </w:rPr>
              <w:t>可连接设备：iOS 安卓 平板电脑 笔记本电脑</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trHeight w:val="255"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110" w:firstLineChars="50"/>
              <w:rPr>
                <w:rFonts w:ascii="宋体" w:hAnsi="宋体" w:cs="宋体"/>
                <w:color w:val="000000"/>
                <w:kern w:val="0"/>
                <w:sz w:val="22"/>
                <w:szCs w:val="22"/>
              </w:rPr>
            </w:pPr>
            <w:r>
              <w:rPr>
                <w:rFonts w:hint="eastAsia" w:ascii="宋体" w:hAnsi="宋体" w:cs="宋体"/>
                <w:color w:val="000000"/>
                <w:kern w:val="0"/>
                <w:sz w:val="22"/>
                <w:szCs w:val="22"/>
              </w:rPr>
              <w:t>7</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红外热像仪</w:t>
            </w:r>
          </w:p>
        </w:tc>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2台</w:t>
            </w:r>
          </w:p>
        </w:tc>
        <w:tc>
          <w:tcPr>
            <w:tcW w:w="6645" w:type="dxa"/>
            <w:tcBorders>
              <w:top w:val="single" w:color="auto" w:sz="4" w:space="0"/>
              <w:left w:val="nil"/>
              <w:bottom w:val="single" w:color="auto" w:sz="4" w:space="0"/>
              <w:right w:val="single" w:color="auto" w:sz="4" w:space="0"/>
            </w:tcBorders>
            <w:shd w:val="clear" w:color="auto" w:fill="auto"/>
            <w:noWrap/>
            <w:vAlign w:val="center"/>
          </w:tcPr>
          <w:p>
            <w:pPr>
              <w:rPr>
                <w:rFonts w:asciiTheme="majorEastAsia" w:hAnsiTheme="majorEastAsia" w:eastAsiaTheme="majorEastAsia"/>
                <w:szCs w:val="21"/>
              </w:rPr>
            </w:pPr>
            <w:r>
              <w:rPr>
                <w:rFonts w:hint="eastAsia" w:asciiTheme="majorEastAsia" w:hAnsiTheme="majorEastAsia" w:eastAsiaTheme="majorEastAsia"/>
                <w:szCs w:val="21"/>
              </w:rPr>
              <w:t>专业版</w:t>
            </w:r>
          </w:p>
          <w:p>
            <w:pPr>
              <w:rPr>
                <w:rFonts w:asciiTheme="majorEastAsia" w:hAnsiTheme="majorEastAsia" w:eastAsiaTheme="majorEastAsia"/>
                <w:szCs w:val="21"/>
              </w:rPr>
            </w:pPr>
            <w:r>
              <w:rPr>
                <w:rFonts w:hint="eastAsia" w:asciiTheme="majorEastAsia" w:hAnsiTheme="majorEastAsia" w:eastAsiaTheme="majorEastAsia"/>
                <w:szCs w:val="21"/>
              </w:rPr>
              <w:t>储存扩展：8G内存/图片可导出</w:t>
            </w:r>
          </w:p>
          <w:p>
            <w:pPr>
              <w:rPr>
                <w:rFonts w:asciiTheme="majorEastAsia" w:hAnsiTheme="majorEastAsia" w:eastAsiaTheme="majorEastAsia"/>
                <w:szCs w:val="21"/>
              </w:rPr>
            </w:pPr>
            <w:r>
              <w:rPr>
                <w:rFonts w:hint="eastAsia" w:asciiTheme="majorEastAsia" w:hAnsiTheme="majorEastAsia" w:eastAsiaTheme="majorEastAsia"/>
                <w:szCs w:val="21"/>
              </w:rPr>
              <w:t>续航时间：8小时</w:t>
            </w:r>
          </w:p>
          <w:p>
            <w:pPr>
              <w:rPr>
                <w:rFonts w:asciiTheme="majorEastAsia" w:hAnsiTheme="majorEastAsia" w:eastAsiaTheme="majorEastAsia"/>
                <w:szCs w:val="21"/>
              </w:rPr>
            </w:pPr>
            <w:r>
              <w:rPr>
                <w:rFonts w:hint="eastAsia" w:asciiTheme="majorEastAsia" w:hAnsiTheme="majorEastAsia" w:eastAsiaTheme="majorEastAsia"/>
                <w:szCs w:val="21"/>
              </w:rPr>
              <w:t>电池类型：可充电锂离子电池</w:t>
            </w:r>
          </w:p>
          <w:p>
            <w:pPr>
              <w:rPr>
                <w:rFonts w:asciiTheme="majorEastAsia" w:hAnsiTheme="majorEastAsia" w:eastAsiaTheme="majorEastAsia"/>
                <w:szCs w:val="21"/>
              </w:rPr>
            </w:pPr>
            <w:r>
              <w:rPr>
                <w:rFonts w:hint="eastAsia" w:asciiTheme="majorEastAsia" w:hAnsiTheme="majorEastAsia" w:eastAsiaTheme="majorEastAsia"/>
                <w:szCs w:val="21"/>
              </w:rPr>
              <w:t>续航时间：4小时</w:t>
            </w:r>
          </w:p>
          <w:p>
            <w:pPr>
              <w:rPr>
                <w:rFonts w:cs="宋体" w:asciiTheme="majorEastAsia" w:hAnsiTheme="majorEastAsia" w:eastAsiaTheme="majorEastAsia"/>
                <w:szCs w:val="21"/>
              </w:rPr>
            </w:pPr>
            <w:r>
              <w:rPr>
                <w:rFonts w:hint="eastAsia" w:asciiTheme="majorEastAsia" w:hAnsiTheme="majorEastAsia" w:eastAsiaTheme="majorEastAsia"/>
                <w:szCs w:val="21"/>
              </w:rPr>
              <w:t>电池电池：4*AA电池</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25"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110" w:firstLineChars="50"/>
              <w:rPr>
                <w:rFonts w:ascii="宋体" w:hAnsi="宋体" w:cs="宋体"/>
                <w:color w:val="000000"/>
                <w:kern w:val="0"/>
                <w:sz w:val="22"/>
                <w:szCs w:val="22"/>
              </w:rPr>
            </w:pPr>
            <w:r>
              <w:rPr>
                <w:rFonts w:hint="eastAsia" w:ascii="宋体" w:hAnsi="宋体" w:cs="宋体"/>
                <w:color w:val="000000"/>
                <w:kern w:val="0"/>
                <w:sz w:val="22"/>
                <w:szCs w:val="22"/>
              </w:rPr>
              <w:t>8</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液压千斤顶</w:t>
            </w:r>
          </w:p>
        </w:tc>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4台</w:t>
            </w:r>
          </w:p>
        </w:tc>
        <w:tc>
          <w:tcPr>
            <w:tcW w:w="6645" w:type="dxa"/>
            <w:tcBorders>
              <w:top w:val="single" w:color="auto" w:sz="4" w:space="0"/>
              <w:left w:val="nil"/>
              <w:bottom w:val="single" w:color="auto" w:sz="4" w:space="0"/>
              <w:right w:val="single" w:color="auto" w:sz="4" w:space="0"/>
            </w:tcBorders>
            <w:shd w:val="clear" w:color="auto" w:fill="auto"/>
            <w:noWrap/>
          </w:tcPr>
          <w:p>
            <w:pPr>
              <w:rPr>
                <w:rFonts w:asciiTheme="majorEastAsia" w:hAnsiTheme="majorEastAsia" w:eastAsiaTheme="majorEastAsia"/>
                <w:szCs w:val="21"/>
              </w:rPr>
            </w:pPr>
            <w:r>
              <w:rPr>
                <w:rFonts w:hint="eastAsia" w:asciiTheme="majorEastAsia" w:hAnsiTheme="majorEastAsia" w:eastAsiaTheme="majorEastAsia"/>
                <w:szCs w:val="21"/>
              </w:rPr>
              <w:t>最低高度：≤235</w:t>
            </w:r>
          </w:p>
          <w:p>
            <w:pPr>
              <w:rPr>
                <w:rFonts w:asciiTheme="majorEastAsia" w:hAnsiTheme="majorEastAsia" w:eastAsiaTheme="majorEastAsia"/>
                <w:szCs w:val="21"/>
              </w:rPr>
            </w:pPr>
            <w:r>
              <w:rPr>
                <w:rFonts w:hint="eastAsia" w:asciiTheme="majorEastAsia" w:hAnsiTheme="majorEastAsia" w:eastAsiaTheme="majorEastAsia"/>
                <w:szCs w:val="21"/>
              </w:rPr>
              <w:t>起升高度:≥160</w:t>
            </w:r>
          </w:p>
          <w:p>
            <w:pPr>
              <w:rPr>
                <w:rFonts w:asciiTheme="majorEastAsia" w:hAnsiTheme="majorEastAsia" w:eastAsiaTheme="majorEastAsia"/>
                <w:szCs w:val="21"/>
              </w:rPr>
            </w:pPr>
            <w:r>
              <w:rPr>
                <w:rFonts w:hint="eastAsia" w:asciiTheme="majorEastAsia" w:hAnsiTheme="majorEastAsia" w:eastAsiaTheme="majorEastAsia"/>
                <w:szCs w:val="21"/>
              </w:rPr>
              <w:t>调整高度：≥5</w:t>
            </w:r>
          </w:p>
          <w:p>
            <w:pPr>
              <w:rPr>
                <w:rFonts w:cs="宋体" w:asciiTheme="majorEastAsia" w:hAnsiTheme="majorEastAsia" w:eastAsiaTheme="majorEastAsia"/>
                <w:szCs w:val="21"/>
              </w:rPr>
            </w:pPr>
            <w:r>
              <w:rPr>
                <w:rFonts w:hint="eastAsia" w:asciiTheme="majorEastAsia" w:hAnsiTheme="majorEastAsia" w:eastAsiaTheme="majorEastAsia"/>
                <w:szCs w:val="21"/>
              </w:rPr>
              <w:t>额定起重量：20T</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15"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110" w:firstLineChars="50"/>
              <w:rPr>
                <w:rFonts w:ascii="宋体" w:hAnsi="宋体" w:cs="宋体"/>
                <w:color w:val="000000"/>
                <w:kern w:val="0"/>
                <w:sz w:val="22"/>
                <w:szCs w:val="22"/>
              </w:rPr>
            </w:pPr>
            <w:r>
              <w:rPr>
                <w:rFonts w:hint="eastAsia" w:ascii="宋体" w:hAnsi="宋体" w:cs="宋体"/>
                <w:color w:val="000000"/>
                <w:kern w:val="0"/>
                <w:sz w:val="22"/>
                <w:szCs w:val="22"/>
              </w:rPr>
              <w:t>9</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逃生自救呼吸器</w:t>
            </w:r>
          </w:p>
        </w:tc>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200个</w:t>
            </w:r>
          </w:p>
        </w:tc>
        <w:tc>
          <w:tcPr>
            <w:tcW w:w="6645" w:type="dxa"/>
            <w:tcBorders>
              <w:top w:val="single" w:color="auto" w:sz="4" w:space="0"/>
              <w:left w:val="nil"/>
              <w:bottom w:val="single" w:color="auto" w:sz="4" w:space="0"/>
              <w:right w:val="single" w:color="auto" w:sz="4" w:space="0"/>
            </w:tcBorders>
            <w:shd w:val="clear" w:color="auto" w:fill="auto"/>
            <w:noWrap/>
          </w:tcPr>
          <w:p>
            <w:pPr>
              <w:rPr>
                <w:rFonts w:asciiTheme="majorEastAsia" w:hAnsiTheme="majorEastAsia" w:eastAsiaTheme="majorEastAsia"/>
                <w:szCs w:val="21"/>
              </w:rPr>
            </w:pPr>
            <w:r>
              <w:rPr>
                <w:rFonts w:hint="eastAsia" w:asciiTheme="majorEastAsia" w:hAnsiTheme="majorEastAsia" w:eastAsiaTheme="majorEastAsia"/>
                <w:szCs w:val="21"/>
              </w:rPr>
              <w:t>防护时间：不少于30分钟（拆开密封包算起）</w:t>
            </w:r>
          </w:p>
          <w:p>
            <w:pPr>
              <w:rPr>
                <w:rFonts w:asciiTheme="majorEastAsia" w:hAnsiTheme="majorEastAsia" w:eastAsiaTheme="majorEastAsia"/>
                <w:szCs w:val="21"/>
              </w:rPr>
            </w:pPr>
            <w:r>
              <w:rPr>
                <w:rFonts w:hint="eastAsia" w:asciiTheme="majorEastAsia" w:hAnsiTheme="majorEastAsia" w:eastAsiaTheme="majorEastAsia"/>
                <w:szCs w:val="21"/>
              </w:rPr>
              <w:t>数量：1盒1个</w:t>
            </w:r>
          </w:p>
          <w:p>
            <w:pPr>
              <w:rPr>
                <w:rFonts w:asciiTheme="majorEastAsia" w:hAnsiTheme="majorEastAsia" w:eastAsiaTheme="majorEastAsia"/>
                <w:szCs w:val="21"/>
              </w:rPr>
            </w:pPr>
            <w:r>
              <w:rPr>
                <w:rFonts w:hint="eastAsia" w:asciiTheme="majorEastAsia" w:hAnsiTheme="majorEastAsia" w:eastAsiaTheme="majorEastAsia"/>
                <w:szCs w:val="21"/>
              </w:rPr>
              <w:t>产品认证：GB20972.7-2012(国标)保质期：3年</w:t>
            </w:r>
          </w:p>
          <w:p>
            <w:pPr>
              <w:rPr>
                <w:rFonts w:asciiTheme="majorEastAsia" w:hAnsiTheme="majorEastAsia" w:eastAsiaTheme="majorEastAsia"/>
                <w:szCs w:val="21"/>
              </w:rPr>
            </w:pPr>
            <w:r>
              <w:rPr>
                <w:rFonts w:hint="eastAsia" w:asciiTheme="majorEastAsia" w:hAnsiTheme="majorEastAsia" w:eastAsiaTheme="majorEastAsia"/>
                <w:szCs w:val="21"/>
              </w:rPr>
              <w:t>注意事项：不适用氧气溶度低于17%环境</w:t>
            </w:r>
          </w:p>
          <w:p>
            <w:pPr>
              <w:rPr>
                <w:rFonts w:asciiTheme="majorEastAsia" w:hAnsiTheme="majorEastAsia" w:eastAsiaTheme="majorEastAsia"/>
                <w:szCs w:val="21"/>
              </w:rPr>
            </w:pPr>
            <w:r>
              <w:rPr>
                <w:rFonts w:hint="eastAsia" w:asciiTheme="majorEastAsia" w:hAnsiTheme="majorEastAsia" w:eastAsiaTheme="majorEastAsia"/>
                <w:szCs w:val="21"/>
              </w:rPr>
              <w:t>使用范围：CO 氧化氢 毒烟雾等等</w:t>
            </w:r>
          </w:p>
          <w:p>
            <w:pPr>
              <w:rPr>
                <w:rFonts w:asciiTheme="majorEastAsia" w:hAnsiTheme="majorEastAsia" w:eastAsiaTheme="majorEastAsia"/>
                <w:szCs w:val="21"/>
              </w:rPr>
            </w:pPr>
            <w:r>
              <w:rPr>
                <w:rFonts w:hint="eastAsia" w:asciiTheme="majorEastAsia" w:hAnsiTheme="majorEastAsia" w:eastAsiaTheme="majorEastAsia"/>
                <w:szCs w:val="21"/>
              </w:rPr>
              <w:t>温馨提示：本产品属于一次性用品</w:t>
            </w:r>
          </w:p>
          <w:p>
            <w:pPr>
              <w:rPr>
                <w:rFonts w:cs="宋体" w:asciiTheme="majorEastAsia" w:hAnsiTheme="majorEastAsia" w:eastAsiaTheme="majorEastAsia"/>
                <w:szCs w:val="21"/>
              </w:rPr>
            </w:pPr>
            <w:r>
              <w:rPr>
                <w:rFonts w:hint="eastAsia" w:asciiTheme="majorEastAsia" w:hAnsiTheme="majorEastAsia" w:eastAsiaTheme="majorEastAsia"/>
                <w:szCs w:val="21"/>
              </w:rPr>
              <w:t>主要作用：保护人体呼吸器官 眼睛和头面部肤色</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75"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110" w:firstLineChars="50"/>
              <w:rPr>
                <w:rFonts w:ascii="宋体" w:hAnsi="宋体" w:cs="宋体"/>
                <w:color w:val="000000"/>
                <w:kern w:val="0"/>
                <w:sz w:val="22"/>
                <w:szCs w:val="22"/>
              </w:rPr>
            </w:pPr>
            <w:r>
              <w:rPr>
                <w:rFonts w:hint="eastAsia" w:ascii="宋体" w:hAnsi="宋体" w:cs="宋体"/>
                <w:color w:val="000000"/>
                <w:kern w:val="0"/>
                <w:sz w:val="22"/>
                <w:szCs w:val="22"/>
              </w:rPr>
              <w:t>10</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正压式呼吸器</w:t>
            </w:r>
          </w:p>
        </w:tc>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5套</w:t>
            </w:r>
          </w:p>
        </w:tc>
        <w:tc>
          <w:tcPr>
            <w:tcW w:w="6645" w:type="dxa"/>
            <w:tcBorders>
              <w:top w:val="single" w:color="auto" w:sz="4" w:space="0"/>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szCs w:val="21"/>
              </w:rPr>
            </w:pPr>
            <w:r>
              <w:rPr>
                <w:rFonts w:hint="eastAsia" w:asciiTheme="majorEastAsia" w:hAnsiTheme="majorEastAsia" w:eastAsiaTheme="majorEastAsia"/>
                <w:szCs w:val="21"/>
              </w:rPr>
              <w:t>正压式空气呼吸器(6.8L碳纤维)</w:t>
            </w:r>
            <w:r>
              <w:rPr>
                <w:rFonts w:hint="eastAsia" w:asciiTheme="majorEastAsia" w:hAnsiTheme="majorEastAsia" w:eastAsiaTheme="majorEastAsia"/>
                <w:szCs w:val="21"/>
              </w:rPr>
              <w:br w:type="textWrapping"/>
            </w:r>
            <w:r>
              <w:rPr>
                <w:rFonts w:hint="eastAsia" w:asciiTheme="majorEastAsia" w:hAnsiTheme="majorEastAsia" w:eastAsiaTheme="majorEastAsia"/>
                <w:szCs w:val="21"/>
              </w:rPr>
              <w:t>产品结构由8个部件组成</w:t>
            </w:r>
            <w:r>
              <w:rPr>
                <w:rFonts w:hint="eastAsia" w:asciiTheme="majorEastAsia" w:hAnsiTheme="majorEastAsia" w:eastAsiaTheme="majorEastAsia"/>
                <w:szCs w:val="21"/>
              </w:rPr>
              <w:br w:type="textWrapping"/>
            </w:r>
            <w:r>
              <w:rPr>
                <w:rFonts w:hint="eastAsia" w:asciiTheme="majorEastAsia" w:hAnsiTheme="majorEastAsia" w:eastAsiaTheme="majorEastAsia"/>
                <w:szCs w:val="21"/>
              </w:rPr>
              <w:t>全面罩、碳纤维气瓶、报警哨压力表</w:t>
            </w:r>
            <w:r>
              <w:rPr>
                <w:rFonts w:hint="eastAsia" w:asciiTheme="majorEastAsia" w:hAnsiTheme="majorEastAsia" w:eastAsiaTheme="majorEastAsia"/>
                <w:szCs w:val="21"/>
              </w:rPr>
              <w:br w:type="textWrapping"/>
            </w:r>
            <w:r>
              <w:rPr>
                <w:rFonts w:hint="eastAsia" w:asciiTheme="majorEastAsia" w:hAnsiTheme="majorEastAsia" w:eastAsiaTheme="majorEastAsia"/>
                <w:szCs w:val="21"/>
              </w:rPr>
              <w:t>气瓶阀、减压器、背板、快速接头、</w:t>
            </w:r>
            <w:r>
              <w:rPr>
                <w:rFonts w:hint="eastAsia" w:asciiTheme="majorEastAsia" w:hAnsiTheme="majorEastAsia" w:eastAsiaTheme="majorEastAsia"/>
                <w:szCs w:val="21"/>
              </w:rPr>
              <w:br w:type="textWrapping"/>
            </w:r>
            <w:r>
              <w:rPr>
                <w:rFonts w:hint="eastAsia" w:asciiTheme="majorEastAsia" w:hAnsiTheme="majorEastAsia" w:eastAsiaTheme="majorEastAsia"/>
                <w:szCs w:val="21"/>
              </w:rPr>
              <w:t>供气阀</w:t>
            </w:r>
            <w:r>
              <w:rPr>
                <w:rFonts w:hint="eastAsia" w:asciiTheme="majorEastAsia" w:hAnsiTheme="majorEastAsia" w:eastAsiaTheme="majorEastAsia"/>
                <w:szCs w:val="21"/>
              </w:rPr>
              <w:br w:type="textWrapping"/>
            </w:r>
            <w:r>
              <w:rPr>
                <w:rFonts w:hint="eastAsia" w:asciiTheme="majorEastAsia" w:hAnsiTheme="majorEastAsia" w:eastAsiaTheme="majorEastAsia"/>
                <w:szCs w:val="21"/>
              </w:rPr>
              <w:t>产品特点)具有重量轻、体积小、使用维护方便</w:t>
            </w:r>
            <w:r>
              <w:rPr>
                <w:rFonts w:hint="eastAsia" w:asciiTheme="majorEastAsia" w:hAnsiTheme="majorEastAsia" w:eastAsiaTheme="majorEastAsia"/>
                <w:szCs w:val="21"/>
              </w:rPr>
              <w:br w:type="textWrapping"/>
            </w:r>
            <w:r>
              <w:rPr>
                <w:rFonts w:hint="eastAsia" w:asciiTheme="majorEastAsia" w:hAnsiTheme="majorEastAsia" w:eastAsiaTheme="majorEastAsia"/>
                <w:szCs w:val="21"/>
              </w:rPr>
              <w:t>佩戴舒适、性能稳定等优点;是从事</w:t>
            </w:r>
            <w:r>
              <w:rPr>
                <w:rFonts w:hint="eastAsia" w:asciiTheme="majorEastAsia" w:hAnsiTheme="majorEastAsia" w:eastAsiaTheme="majorEastAsia"/>
                <w:szCs w:val="21"/>
              </w:rPr>
              <w:br w:type="textWrapping"/>
            </w:r>
            <w:r>
              <w:rPr>
                <w:rFonts w:hint="eastAsia" w:asciiTheme="majorEastAsia" w:hAnsiTheme="majorEastAsia" w:eastAsiaTheme="majorEastAsia"/>
                <w:szCs w:val="21"/>
              </w:rPr>
              <w:t>抢险救灾、灭火作业理想的个人呼吸</w:t>
            </w:r>
            <w:r>
              <w:rPr>
                <w:rFonts w:hint="eastAsia" w:asciiTheme="majorEastAsia" w:hAnsiTheme="majorEastAsia" w:eastAsiaTheme="majorEastAsia"/>
                <w:szCs w:val="21"/>
              </w:rPr>
              <w:br w:type="textWrapping"/>
            </w:r>
            <w:r>
              <w:rPr>
                <w:rFonts w:hint="eastAsia" w:asciiTheme="majorEastAsia" w:hAnsiTheme="majorEastAsia" w:eastAsiaTheme="majorEastAsia"/>
                <w:szCs w:val="21"/>
              </w:rPr>
              <w:t>保护装置</w:t>
            </w:r>
            <w:r>
              <w:rPr>
                <w:rFonts w:hint="eastAsia" w:asciiTheme="majorEastAsia" w:hAnsiTheme="majorEastAsia" w:eastAsiaTheme="majorEastAsia"/>
                <w:szCs w:val="21"/>
              </w:rPr>
              <w:br w:type="textWrapping"/>
            </w:r>
            <w:r>
              <w:rPr>
                <w:rFonts w:hint="eastAsia" w:asciiTheme="majorEastAsia" w:hAnsiTheme="majorEastAsia" w:eastAsiaTheme="majorEastAsia"/>
                <w:szCs w:val="21"/>
              </w:rPr>
              <w:t>应用范国消防、石油、化工、冶金、电力等行业</w:t>
            </w:r>
            <w:r>
              <w:rPr>
                <w:rFonts w:hint="eastAsia" w:asciiTheme="majorEastAsia" w:hAnsiTheme="majorEastAsia" w:eastAsiaTheme="majorEastAsia"/>
                <w:szCs w:val="21"/>
              </w:rPr>
              <w:br w:type="textWrapping"/>
            </w:r>
            <w:r>
              <w:rPr>
                <w:rFonts w:hint="eastAsia" w:asciiTheme="majorEastAsia" w:hAnsiTheme="majorEastAsia" w:eastAsiaTheme="majorEastAsia"/>
                <w:szCs w:val="21"/>
              </w:rPr>
              <w:t>包装尺寸：71×30×44CM</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09"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110" w:firstLineChars="50"/>
              <w:rPr>
                <w:rFonts w:ascii="宋体" w:hAnsi="宋体" w:cs="宋体"/>
                <w:color w:val="000000"/>
                <w:kern w:val="0"/>
                <w:sz w:val="22"/>
                <w:szCs w:val="22"/>
              </w:rPr>
            </w:pPr>
            <w:r>
              <w:rPr>
                <w:rFonts w:hint="eastAsia" w:ascii="宋体" w:hAnsi="宋体" w:cs="宋体"/>
                <w:color w:val="000000"/>
                <w:kern w:val="0"/>
                <w:sz w:val="22"/>
                <w:szCs w:val="22"/>
              </w:rPr>
              <w:t>11</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激光测距仪</w:t>
            </w:r>
          </w:p>
        </w:tc>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2个</w:t>
            </w:r>
          </w:p>
        </w:tc>
        <w:tc>
          <w:tcPr>
            <w:tcW w:w="6645" w:type="dxa"/>
            <w:tcBorders>
              <w:top w:val="single" w:color="auto" w:sz="4" w:space="0"/>
              <w:left w:val="nil"/>
              <w:bottom w:val="single" w:color="auto" w:sz="4" w:space="0"/>
              <w:right w:val="single" w:color="auto" w:sz="4" w:space="0"/>
            </w:tcBorders>
            <w:shd w:val="clear" w:color="auto" w:fill="auto"/>
            <w:noWrap/>
          </w:tcPr>
          <w:p>
            <w:pPr>
              <w:rPr>
                <w:rFonts w:asciiTheme="majorEastAsia" w:hAnsiTheme="majorEastAsia" w:eastAsiaTheme="majorEastAsia"/>
                <w:szCs w:val="21"/>
              </w:rPr>
            </w:pPr>
            <w:r>
              <w:rPr>
                <w:rFonts w:hint="eastAsia" w:asciiTheme="majorEastAsia" w:hAnsiTheme="majorEastAsia" w:eastAsiaTheme="majorEastAsia"/>
                <w:szCs w:val="21"/>
              </w:rPr>
              <w:t>显示精准：0.1-80mm</w:t>
            </w:r>
          </w:p>
          <w:p>
            <w:pPr>
              <w:rPr>
                <w:rFonts w:asciiTheme="majorEastAsia" w:hAnsiTheme="majorEastAsia" w:eastAsiaTheme="majorEastAsia"/>
                <w:szCs w:val="21"/>
              </w:rPr>
            </w:pPr>
            <w:r>
              <w:rPr>
                <w:rFonts w:hint="eastAsia" w:asciiTheme="majorEastAsia" w:hAnsiTheme="majorEastAsia" w:eastAsiaTheme="majorEastAsia"/>
                <w:szCs w:val="21"/>
              </w:rPr>
              <w:t>测量精准：±1.5</w:t>
            </w:r>
          </w:p>
          <w:p>
            <w:pPr>
              <w:rPr>
                <w:rFonts w:asciiTheme="majorEastAsia" w:hAnsiTheme="majorEastAsia" w:eastAsiaTheme="majorEastAsia"/>
                <w:szCs w:val="21"/>
              </w:rPr>
            </w:pPr>
            <w:r>
              <w:rPr>
                <w:rFonts w:hint="eastAsia" w:asciiTheme="majorEastAsia" w:hAnsiTheme="majorEastAsia" w:eastAsiaTheme="majorEastAsia"/>
                <w:szCs w:val="21"/>
              </w:rPr>
              <w:t>激光类型：620-650nm,p＜1mW</w:t>
            </w:r>
          </w:p>
          <w:p>
            <w:pPr>
              <w:rPr>
                <w:rFonts w:asciiTheme="majorEastAsia" w:hAnsiTheme="majorEastAsia" w:eastAsiaTheme="majorEastAsia"/>
                <w:szCs w:val="21"/>
              </w:rPr>
            </w:pPr>
            <w:r>
              <w:rPr>
                <w:rFonts w:hint="eastAsia" w:asciiTheme="majorEastAsia" w:hAnsiTheme="majorEastAsia" w:eastAsiaTheme="majorEastAsia"/>
                <w:szCs w:val="21"/>
              </w:rPr>
              <w:t>激光等级：2级</w:t>
            </w:r>
          </w:p>
          <w:p>
            <w:pPr>
              <w:rPr>
                <w:rFonts w:asciiTheme="majorEastAsia" w:hAnsiTheme="majorEastAsia" w:eastAsiaTheme="majorEastAsia"/>
                <w:szCs w:val="21"/>
              </w:rPr>
            </w:pPr>
            <w:r>
              <w:rPr>
                <w:rFonts w:hint="eastAsia" w:asciiTheme="majorEastAsia" w:hAnsiTheme="majorEastAsia" w:eastAsiaTheme="majorEastAsia"/>
                <w:szCs w:val="21"/>
              </w:rPr>
              <w:t>数据储存数量：99</w:t>
            </w:r>
          </w:p>
          <w:p>
            <w:pPr>
              <w:rPr>
                <w:rFonts w:asciiTheme="majorEastAsia" w:hAnsiTheme="majorEastAsia" w:eastAsiaTheme="majorEastAsia"/>
                <w:szCs w:val="21"/>
              </w:rPr>
            </w:pPr>
            <w:r>
              <w:rPr>
                <w:rFonts w:hint="eastAsia" w:asciiTheme="majorEastAsia" w:hAnsiTheme="majorEastAsia" w:eastAsiaTheme="majorEastAsia"/>
                <w:szCs w:val="21"/>
              </w:rPr>
              <w:t>最小显示单位：mm</w:t>
            </w:r>
          </w:p>
          <w:p>
            <w:pPr>
              <w:rPr>
                <w:rFonts w:asciiTheme="majorEastAsia" w:hAnsiTheme="majorEastAsia" w:eastAsiaTheme="majorEastAsia"/>
                <w:szCs w:val="21"/>
              </w:rPr>
            </w:pPr>
            <w:r>
              <w:rPr>
                <w:rFonts w:hint="eastAsia" w:asciiTheme="majorEastAsia" w:hAnsiTheme="majorEastAsia" w:eastAsiaTheme="majorEastAsia"/>
                <w:szCs w:val="21"/>
              </w:rPr>
              <w:t>电池寿命：单次测量5000次以上</w:t>
            </w:r>
          </w:p>
          <w:p>
            <w:pPr>
              <w:rPr>
                <w:rFonts w:asciiTheme="majorEastAsia" w:hAnsiTheme="majorEastAsia" w:eastAsiaTheme="majorEastAsia"/>
                <w:szCs w:val="21"/>
              </w:rPr>
            </w:pPr>
            <w:r>
              <w:rPr>
                <w:rFonts w:hint="eastAsia" w:asciiTheme="majorEastAsia" w:hAnsiTheme="majorEastAsia" w:eastAsiaTheme="majorEastAsia"/>
                <w:szCs w:val="21"/>
              </w:rPr>
              <w:t>工作温度：-10℃-+50℃</w:t>
            </w:r>
          </w:p>
          <w:p>
            <w:pPr>
              <w:rPr>
                <w:rFonts w:cs="宋体" w:asciiTheme="majorEastAsia" w:hAnsiTheme="majorEastAsia" w:eastAsiaTheme="majorEastAsia"/>
                <w:szCs w:val="21"/>
              </w:rPr>
            </w:pPr>
            <w:r>
              <w:rPr>
                <w:rFonts w:hint="eastAsia" w:asciiTheme="majorEastAsia" w:hAnsiTheme="majorEastAsia" w:eastAsiaTheme="majorEastAsia"/>
                <w:szCs w:val="21"/>
              </w:rPr>
              <w:t>存储温度-25℃-+70℃</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15"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110" w:firstLineChars="50"/>
              <w:rPr>
                <w:rFonts w:ascii="宋体" w:hAnsi="宋体" w:cs="宋体"/>
                <w:color w:val="000000"/>
                <w:kern w:val="0"/>
                <w:sz w:val="22"/>
                <w:szCs w:val="22"/>
              </w:rPr>
            </w:pPr>
            <w:r>
              <w:rPr>
                <w:rFonts w:hint="eastAsia" w:ascii="宋体" w:hAnsi="宋体" w:cs="宋体"/>
                <w:color w:val="000000"/>
                <w:kern w:val="0"/>
                <w:sz w:val="22"/>
                <w:szCs w:val="22"/>
              </w:rPr>
              <w:t>12</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四合一气体探测仪</w:t>
            </w:r>
          </w:p>
        </w:tc>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2个</w:t>
            </w:r>
          </w:p>
        </w:tc>
        <w:tc>
          <w:tcPr>
            <w:tcW w:w="6645" w:type="dxa"/>
            <w:tcBorders>
              <w:top w:val="single" w:color="auto" w:sz="4" w:space="0"/>
              <w:left w:val="nil"/>
              <w:bottom w:val="single" w:color="auto" w:sz="4" w:space="0"/>
              <w:right w:val="single" w:color="auto" w:sz="4" w:space="0"/>
            </w:tcBorders>
            <w:shd w:val="clear" w:color="auto" w:fill="auto"/>
            <w:noWrap/>
            <w:vAlign w:val="center"/>
          </w:tcPr>
          <w:p>
            <w:pPr>
              <w:rPr>
                <w:rFonts w:asciiTheme="majorEastAsia" w:hAnsiTheme="majorEastAsia" w:eastAsiaTheme="majorEastAsia"/>
                <w:szCs w:val="21"/>
              </w:rPr>
            </w:pPr>
            <w:r>
              <w:rPr>
                <w:rFonts w:hint="eastAsia" w:asciiTheme="majorEastAsia" w:hAnsiTheme="majorEastAsia" w:eastAsiaTheme="majorEastAsia"/>
                <w:szCs w:val="21"/>
              </w:rPr>
              <w:t>检测气体类型：氧气 可燃气 一氧化碳 硫化氢</w:t>
            </w:r>
          </w:p>
          <w:p>
            <w:pPr>
              <w:rPr>
                <w:rFonts w:asciiTheme="majorEastAsia" w:hAnsiTheme="majorEastAsia" w:eastAsiaTheme="majorEastAsia"/>
                <w:szCs w:val="21"/>
              </w:rPr>
            </w:pPr>
            <w:r>
              <w:rPr>
                <w:rFonts w:hint="eastAsia" w:asciiTheme="majorEastAsia" w:hAnsiTheme="majorEastAsia" w:eastAsiaTheme="majorEastAsia"/>
                <w:szCs w:val="21"/>
              </w:rPr>
              <w:t>显示误差：±5%FS(可燃)、±10%（一氧化碳）、±5mol/mo(硫化氢)</w:t>
            </w:r>
          </w:p>
          <w:p>
            <w:pPr>
              <w:rPr>
                <w:rFonts w:asciiTheme="majorEastAsia" w:hAnsiTheme="majorEastAsia" w:eastAsiaTheme="majorEastAsia"/>
                <w:szCs w:val="21"/>
              </w:rPr>
            </w:pPr>
            <w:r>
              <w:rPr>
                <w:rFonts w:hint="eastAsia" w:asciiTheme="majorEastAsia" w:hAnsiTheme="majorEastAsia" w:eastAsiaTheme="majorEastAsia"/>
                <w:szCs w:val="21"/>
              </w:rPr>
              <w:t>指示方式：液晶显示实时数据及系统状态 发光二级管 声音 振动报警提示、故障及欠压</w:t>
            </w:r>
          </w:p>
          <w:p>
            <w:pPr>
              <w:rPr>
                <w:rFonts w:asciiTheme="majorEastAsia" w:hAnsiTheme="majorEastAsia" w:eastAsiaTheme="majorEastAsia"/>
                <w:szCs w:val="21"/>
              </w:rPr>
            </w:pPr>
            <w:r>
              <w:rPr>
                <w:rFonts w:hint="eastAsia" w:asciiTheme="majorEastAsia" w:hAnsiTheme="majorEastAsia" w:eastAsiaTheme="majorEastAsia"/>
                <w:szCs w:val="21"/>
              </w:rPr>
              <w:t>充电电压：DC3.7V</w:t>
            </w:r>
          </w:p>
          <w:p>
            <w:pPr>
              <w:rPr>
                <w:rFonts w:cs="宋体" w:asciiTheme="majorEastAsia" w:hAnsiTheme="majorEastAsia" w:eastAsiaTheme="majorEastAsia"/>
                <w:szCs w:val="21"/>
              </w:rPr>
            </w:pPr>
            <w:r>
              <w:rPr>
                <w:rFonts w:hint="eastAsia" w:asciiTheme="majorEastAsia" w:hAnsiTheme="majorEastAsia" w:eastAsiaTheme="majorEastAsia"/>
                <w:szCs w:val="21"/>
              </w:rPr>
              <w:t>（锂电池容量4600mah） 传感器寿命：2年</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kern w:val="0"/>
                <w:sz w:val="22"/>
                <w:szCs w:val="22"/>
              </w:rPr>
            </w:pPr>
            <w:r>
              <w:rPr>
                <w:rFonts w:hint="eastAsia" w:ascii="宋体" w:hAnsi="宋体" w:cs="宋体"/>
                <w:color w:val="000000"/>
                <w:kern w:val="0"/>
                <w:sz w:val="22"/>
                <w:szCs w:val="22"/>
              </w:rPr>
              <w:t>13</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移动发电机工作灯组</w:t>
            </w:r>
          </w:p>
        </w:tc>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4台</w:t>
            </w:r>
          </w:p>
        </w:tc>
        <w:tc>
          <w:tcPr>
            <w:tcW w:w="6645" w:type="dxa"/>
            <w:tcBorders>
              <w:top w:val="single" w:color="auto" w:sz="4" w:space="0"/>
              <w:left w:val="nil"/>
              <w:bottom w:val="single" w:color="auto" w:sz="4" w:space="0"/>
              <w:right w:val="single" w:color="auto" w:sz="4" w:space="0"/>
            </w:tcBorders>
            <w:shd w:val="clear" w:color="auto" w:fill="auto"/>
            <w:noWrap/>
            <w:vAlign w:val="center"/>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移动升降灯</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额定电压：AC220v</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光源功率 :4*500W/4*1000W</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连续工作时间：13h</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发电机组额定输出功率： 2000W/5000W</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油箱额定容量：15L/25L</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气杠最大升高:4.5m/6m</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防护等级：1P65</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新阳光发电机</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额定电压：230V</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额定频率HZ：50</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xml:space="preserve"> 额定功率KW：2.8</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最大功率KW：3.0</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功率因素：1</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状态： 有别</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数：单相</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发动机型：170F</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启动方式：手启动</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燃油溶机L：15</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包装尺寸mm:615*450*475</w:t>
            </w:r>
          </w:p>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净重（KG）:44</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55"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110" w:firstLineChars="50"/>
              <w:rPr>
                <w:rFonts w:ascii="宋体" w:hAnsi="宋体" w:cs="宋体"/>
                <w:color w:val="000000"/>
                <w:kern w:val="0"/>
                <w:sz w:val="22"/>
                <w:szCs w:val="22"/>
              </w:rPr>
            </w:pPr>
            <w:r>
              <w:rPr>
                <w:rFonts w:hint="eastAsia" w:ascii="宋体" w:hAnsi="宋体" w:cs="宋体"/>
                <w:color w:val="000000"/>
                <w:kern w:val="0"/>
                <w:sz w:val="22"/>
                <w:szCs w:val="22"/>
              </w:rPr>
              <w:t>14</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移动升降照明灯</w:t>
            </w:r>
          </w:p>
        </w:tc>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20</w:t>
            </w:r>
          </w:p>
        </w:tc>
        <w:tc>
          <w:tcPr>
            <w:tcW w:w="6645" w:type="dxa"/>
            <w:tcBorders>
              <w:top w:val="single" w:color="auto" w:sz="4" w:space="0"/>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光源功率 :1*500W</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110" w:firstLineChars="50"/>
              <w:rPr>
                <w:rFonts w:ascii="宋体" w:hAnsi="宋体" w:cs="宋体"/>
                <w:color w:val="000000"/>
                <w:kern w:val="0"/>
                <w:sz w:val="22"/>
                <w:szCs w:val="22"/>
              </w:rPr>
            </w:pPr>
            <w:r>
              <w:rPr>
                <w:rFonts w:hint="eastAsia" w:ascii="宋体" w:hAnsi="宋体" w:cs="宋体"/>
                <w:color w:val="000000"/>
                <w:kern w:val="0"/>
                <w:sz w:val="22"/>
                <w:szCs w:val="22"/>
              </w:rPr>
              <w:t>15</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头戴射灯</w:t>
            </w:r>
          </w:p>
        </w:tc>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100个</w:t>
            </w:r>
          </w:p>
        </w:tc>
        <w:tc>
          <w:tcPr>
            <w:tcW w:w="6645" w:type="dxa"/>
            <w:tcBorders>
              <w:top w:val="single" w:color="auto" w:sz="4" w:space="0"/>
              <w:left w:val="nil"/>
              <w:bottom w:val="single" w:color="auto" w:sz="4" w:space="0"/>
              <w:right w:val="single" w:color="auto" w:sz="4" w:space="0"/>
            </w:tcBorders>
            <w:shd w:val="clear" w:color="auto" w:fill="auto"/>
            <w:noWrap/>
          </w:tcPr>
          <w:p>
            <w:pPr>
              <w:rPr>
                <w:rFonts w:asciiTheme="majorEastAsia" w:hAnsiTheme="majorEastAsia" w:eastAsiaTheme="majorEastAsia"/>
                <w:szCs w:val="21"/>
              </w:rPr>
            </w:pPr>
            <w:r>
              <w:rPr>
                <w:rFonts w:hint="eastAsia" w:asciiTheme="majorEastAsia" w:hAnsiTheme="majorEastAsia" w:eastAsiaTheme="majorEastAsia"/>
                <w:szCs w:val="21"/>
              </w:rPr>
              <w:t>型号：防水强光头灯</w:t>
            </w:r>
            <w:r>
              <w:rPr>
                <w:rFonts w:cs="Arial" w:asciiTheme="majorEastAsia" w:hAnsiTheme="majorEastAsia" w:eastAsiaTheme="majorEastAsia"/>
                <w:szCs w:val="21"/>
              </w:rPr>
              <w:t>LED</w:t>
            </w:r>
            <w:r>
              <w:rPr>
                <w:rFonts w:hint="eastAsia" w:asciiTheme="majorEastAsia" w:hAnsiTheme="majorEastAsia" w:eastAsiaTheme="majorEastAsia"/>
                <w:szCs w:val="21"/>
              </w:rPr>
              <w:t>电池容量：</w:t>
            </w:r>
            <w:r>
              <w:rPr>
                <w:rFonts w:cs="Arial" w:asciiTheme="majorEastAsia" w:hAnsiTheme="majorEastAsia" w:eastAsiaTheme="majorEastAsia"/>
                <w:szCs w:val="21"/>
              </w:rPr>
              <w:t>5200mAh</w:t>
            </w:r>
            <w:r>
              <w:rPr>
                <w:rFonts w:hint="eastAsia" w:asciiTheme="majorEastAsia" w:hAnsiTheme="majorEastAsia" w:eastAsiaTheme="majorEastAsia"/>
                <w:szCs w:val="21"/>
              </w:rPr>
              <w:t>锂电池</w:t>
            </w:r>
          </w:p>
          <w:p>
            <w:pPr>
              <w:rPr>
                <w:rFonts w:asciiTheme="majorEastAsia" w:hAnsiTheme="majorEastAsia" w:eastAsiaTheme="majorEastAsia"/>
                <w:szCs w:val="21"/>
              </w:rPr>
            </w:pPr>
            <w:r>
              <w:rPr>
                <w:rFonts w:hint="eastAsia" w:asciiTheme="majorEastAsia" w:hAnsiTheme="majorEastAsia" w:eastAsiaTheme="majorEastAsia"/>
                <w:szCs w:val="21"/>
              </w:rPr>
              <w:t>射程距离：</w:t>
            </w:r>
            <w:r>
              <w:rPr>
                <w:rFonts w:cs="Arial" w:asciiTheme="majorEastAsia" w:hAnsiTheme="majorEastAsia" w:eastAsiaTheme="majorEastAsia"/>
                <w:szCs w:val="21"/>
              </w:rPr>
              <w:t>1000</w:t>
            </w:r>
            <w:r>
              <w:rPr>
                <w:rFonts w:hint="eastAsia" w:asciiTheme="majorEastAsia" w:hAnsiTheme="majorEastAsia" w:eastAsiaTheme="majorEastAsia"/>
                <w:szCs w:val="21"/>
              </w:rPr>
              <w:t>米</w:t>
            </w:r>
          </w:p>
          <w:p>
            <w:pPr>
              <w:rPr>
                <w:rFonts w:asciiTheme="majorEastAsia" w:hAnsiTheme="majorEastAsia" w:eastAsiaTheme="majorEastAsia"/>
                <w:szCs w:val="21"/>
              </w:rPr>
            </w:pPr>
            <w:r>
              <w:rPr>
                <w:rFonts w:hint="eastAsia" w:asciiTheme="majorEastAsia" w:hAnsiTheme="majorEastAsia" w:eastAsiaTheme="majorEastAsia"/>
                <w:szCs w:val="21"/>
              </w:rPr>
              <w:t>光源功率：</w:t>
            </w:r>
            <w:r>
              <w:rPr>
                <w:rFonts w:cs="Arial" w:asciiTheme="majorEastAsia" w:hAnsiTheme="majorEastAsia" w:eastAsiaTheme="majorEastAsia"/>
                <w:szCs w:val="21"/>
              </w:rPr>
              <w:t>30W.</w:t>
            </w:r>
          </w:p>
          <w:p>
            <w:pPr>
              <w:rPr>
                <w:rFonts w:cs="Arial" w:asciiTheme="majorEastAsia" w:hAnsiTheme="majorEastAsia" w:eastAsiaTheme="majorEastAsia"/>
                <w:szCs w:val="21"/>
              </w:rPr>
            </w:pPr>
            <w:r>
              <w:rPr>
                <w:rFonts w:hint="eastAsia" w:asciiTheme="majorEastAsia" w:hAnsiTheme="majorEastAsia" w:eastAsiaTheme="majorEastAsia"/>
                <w:szCs w:val="21"/>
              </w:rPr>
              <w:t>防水等级：生活性防水</w:t>
            </w:r>
          </w:p>
          <w:p>
            <w:pPr>
              <w:rPr>
                <w:rFonts w:cs="Arial" w:asciiTheme="majorEastAsia" w:hAnsiTheme="majorEastAsia" w:eastAsiaTheme="majorEastAsia"/>
                <w:szCs w:val="21"/>
              </w:rPr>
            </w:pPr>
            <w:r>
              <w:rPr>
                <w:rFonts w:hint="eastAsia" w:asciiTheme="majorEastAsia" w:hAnsiTheme="majorEastAsia" w:eastAsiaTheme="majorEastAsia"/>
                <w:szCs w:val="21"/>
              </w:rPr>
              <w:t>额定电压：</w:t>
            </w:r>
            <w:r>
              <w:rPr>
                <w:rFonts w:cs="Arial" w:asciiTheme="majorEastAsia" w:hAnsiTheme="majorEastAsia" w:eastAsiaTheme="majorEastAsia"/>
                <w:szCs w:val="21"/>
              </w:rPr>
              <w:t>DC3.6-4.3V/50HZ</w:t>
            </w:r>
          </w:p>
          <w:p>
            <w:pPr>
              <w:rPr>
                <w:rFonts w:asciiTheme="majorEastAsia" w:hAnsiTheme="majorEastAsia" w:eastAsiaTheme="majorEastAsia"/>
                <w:szCs w:val="21"/>
              </w:rPr>
            </w:pPr>
            <w:r>
              <w:rPr>
                <w:rFonts w:hint="eastAsia" w:asciiTheme="majorEastAsia" w:hAnsiTheme="majorEastAsia" w:eastAsiaTheme="majorEastAsia"/>
                <w:szCs w:val="21"/>
              </w:rPr>
              <w:t>充电时间：</w:t>
            </w:r>
            <w:r>
              <w:rPr>
                <w:rFonts w:cs="Arial" w:asciiTheme="majorEastAsia" w:hAnsiTheme="majorEastAsia" w:eastAsiaTheme="majorEastAsia"/>
                <w:szCs w:val="21"/>
              </w:rPr>
              <w:t>6-8</w:t>
            </w:r>
            <w:r>
              <w:rPr>
                <w:rFonts w:hint="eastAsia" w:asciiTheme="majorEastAsia" w:hAnsiTheme="majorEastAsia" w:eastAsiaTheme="majorEastAsia"/>
                <w:szCs w:val="21"/>
              </w:rPr>
              <w:t>小时</w:t>
            </w:r>
          </w:p>
          <w:p>
            <w:pPr>
              <w:rPr>
                <w:rFonts w:cs="Arial" w:asciiTheme="majorEastAsia" w:hAnsiTheme="majorEastAsia" w:eastAsiaTheme="majorEastAsia"/>
                <w:szCs w:val="21"/>
              </w:rPr>
            </w:pPr>
            <w:r>
              <w:rPr>
                <w:rFonts w:hint="eastAsia" w:asciiTheme="majorEastAsia" w:hAnsiTheme="majorEastAsia" w:eastAsiaTheme="majorEastAsia"/>
                <w:szCs w:val="21"/>
              </w:rPr>
              <w:t>灯杯规格：Φ</w:t>
            </w:r>
            <w:r>
              <w:rPr>
                <w:rFonts w:cs="Arial" w:asciiTheme="majorEastAsia" w:hAnsiTheme="majorEastAsia" w:eastAsiaTheme="majorEastAsia"/>
                <w:szCs w:val="21"/>
              </w:rPr>
              <w:t xml:space="preserve">68 </w:t>
            </w:r>
          </w:p>
          <w:p>
            <w:pPr>
              <w:rPr>
                <w:rFonts w:asciiTheme="majorEastAsia" w:hAnsiTheme="majorEastAsia" w:eastAsiaTheme="majorEastAsia"/>
                <w:szCs w:val="21"/>
              </w:rPr>
            </w:pPr>
            <w:r>
              <w:rPr>
                <w:rFonts w:hint="eastAsia" w:asciiTheme="majorEastAsia" w:hAnsiTheme="majorEastAsia" w:eastAsiaTheme="majorEastAsia"/>
                <w:szCs w:val="21"/>
              </w:rPr>
              <w:t>使用时间：弱光</w:t>
            </w:r>
            <w:r>
              <w:rPr>
                <w:rFonts w:cs="Arial" w:asciiTheme="majorEastAsia" w:hAnsiTheme="majorEastAsia" w:eastAsiaTheme="majorEastAsia"/>
                <w:szCs w:val="21"/>
              </w:rPr>
              <w:t>20</w:t>
            </w:r>
            <w:r>
              <w:rPr>
                <w:rFonts w:hint="eastAsia" w:asciiTheme="majorEastAsia" w:hAnsiTheme="majorEastAsia" w:eastAsiaTheme="majorEastAsia"/>
                <w:szCs w:val="21"/>
              </w:rPr>
              <w:t>小时，强光</w:t>
            </w:r>
            <w:r>
              <w:rPr>
                <w:rFonts w:cs="Arial" w:asciiTheme="majorEastAsia" w:hAnsiTheme="majorEastAsia" w:eastAsiaTheme="majorEastAsia"/>
                <w:szCs w:val="21"/>
              </w:rPr>
              <w:t>10</w:t>
            </w:r>
            <w:r>
              <w:rPr>
                <w:rFonts w:hint="eastAsia" w:asciiTheme="majorEastAsia" w:hAnsiTheme="majorEastAsia" w:eastAsiaTheme="majorEastAsia"/>
                <w:szCs w:val="21"/>
              </w:rPr>
              <w:t>小时</w:t>
            </w:r>
            <w:r>
              <w:rPr>
                <w:rFonts w:cs="Arial" w:asciiTheme="majorEastAsia" w:hAnsiTheme="majorEastAsia" w:eastAsiaTheme="majorEastAsia"/>
                <w:szCs w:val="21"/>
              </w:rPr>
              <w:t xml:space="preserve"> </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15"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110" w:firstLineChars="50"/>
              <w:rPr>
                <w:rFonts w:ascii="宋体" w:hAnsi="宋体" w:cs="宋体"/>
                <w:color w:val="000000"/>
                <w:kern w:val="0"/>
                <w:sz w:val="22"/>
                <w:szCs w:val="22"/>
              </w:rPr>
            </w:pPr>
            <w:r>
              <w:rPr>
                <w:rFonts w:hint="eastAsia" w:ascii="宋体" w:hAnsi="宋体" w:cs="宋体"/>
                <w:color w:val="000000"/>
                <w:kern w:val="0"/>
                <w:sz w:val="22"/>
                <w:szCs w:val="22"/>
              </w:rPr>
              <w:t>16</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手提式探照灯</w:t>
            </w:r>
          </w:p>
        </w:tc>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100个</w:t>
            </w:r>
          </w:p>
        </w:tc>
        <w:tc>
          <w:tcPr>
            <w:tcW w:w="6645" w:type="dxa"/>
            <w:tcBorders>
              <w:top w:val="single" w:color="auto" w:sz="4" w:space="0"/>
              <w:left w:val="nil"/>
              <w:bottom w:val="single" w:color="auto" w:sz="4" w:space="0"/>
              <w:right w:val="single" w:color="auto" w:sz="4" w:space="0"/>
            </w:tcBorders>
            <w:shd w:val="clear" w:color="auto" w:fill="auto"/>
            <w:noWrap/>
            <w:vAlign w:val="center"/>
          </w:tcPr>
          <w:p>
            <w:pPr>
              <w:rPr>
                <w:rFonts w:asciiTheme="majorEastAsia" w:hAnsiTheme="majorEastAsia" w:eastAsiaTheme="majorEastAsia"/>
                <w:szCs w:val="21"/>
              </w:rPr>
            </w:pPr>
            <w:r>
              <w:rPr>
                <w:rFonts w:hint="eastAsia" w:asciiTheme="majorEastAsia" w:hAnsiTheme="majorEastAsia" w:eastAsiaTheme="majorEastAsia"/>
                <w:szCs w:val="21"/>
              </w:rPr>
              <w:t>充电模式：多功能充电</w:t>
            </w:r>
          </w:p>
          <w:p>
            <w:pPr>
              <w:rPr>
                <w:rFonts w:asciiTheme="majorEastAsia" w:hAnsiTheme="majorEastAsia" w:eastAsiaTheme="majorEastAsia"/>
                <w:szCs w:val="21"/>
              </w:rPr>
            </w:pPr>
            <w:r>
              <w:rPr>
                <w:rFonts w:hint="eastAsia" w:asciiTheme="majorEastAsia" w:hAnsiTheme="majorEastAsia" w:eastAsiaTheme="majorEastAsia"/>
                <w:szCs w:val="21"/>
              </w:rPr>
              <w:t>使用环境：日常携带 露营 徒步 夜骑 探洞 打猎</w:t>
            </w:r>
          </w:p>
          <w:p>
            <w:pPr>
              <w:rPr>
                <w:rFonts w:asciiTheme="majorEastAsia" w:hAnsiTheme="majorEastAsia" w:eastAsiaTheme="majorEastAsia"/>
                <w:szCs w:val="21"/>
              </w:rPr>
            </w:pPr>
            <w:r>
              <w:rPr>
                <w:rFonts w:hint="eastAsia" w:asciiTheme="majorEastAsia" w:hAnsiTheme="majorEastAsia" w:eastAsiaTheme="majorEastAsia"/>
                <w:szCs w:val="21"/>
              </w:rPr>
              <w:t>最大射程：500M以上</w:t>
            </w:r>
          </w:p>
          <w:p>
            <w:pPr>
              <w:rPr>
                <w:rFonts w:cs="宋体" w:asciiTheme="majorEastAsia" w:hAnsiTheme="majorEastAsia" w:eastAsiaTheme="majorEastAsia"/>
                <w:szCs w:val="21"/>
              </w:rPr>
            </w:pPr>
            <w:r>
              <w:rPr>
                <w:rFonts w:hint="eastAsia" w:asciiTheme="majorEastAsia" w:hAnsiTheme="majorEastAsia" w:eastAsiaTheme="majorEastAsia"/>
                <w:szCs w:val="21"/>
              </w:rPr>
              <w:t>连续照明时间：8-40H</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60"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110" w:firstLineChars="50"/>
              <w:rPr>
                <w:rFonts w:ascii="宋体" w:hAnsi="宋体" w:cs="宋体"/>
                <w:color w:val="000000"/>
                <w:kern w:val="0"/>
                <w:sz w:val="22"/>
                <w:szCs w:val="22"/>
              </w:rPr>
            </w:pPr>
            <w:r>
              <w:rPr>
                <w:rFonts w:hint="eastAsia" w:ascii="宋体" w:hAnsi="宋体" w:cs="宋体"/>
                <w:color w:val="000000"/>
                <w:kern w:val="0"/>
                <w:sz w:val="22"/>
                <w:szCs w:val="22"/>
              </w:rPr>
              <w:t>17</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对讲机</w:t>
            </w:r>
          </w:p>
        </w:tc>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80个</w:t>
            </w:r>
          </w:p>
        </w:tc>
        <w:tc>
          <w:tcPr>
            <w:tcW w:w="6645" w:type="dxa"/>
            <w:tcBorders>
              <w:top w:val="single" w:color="auto" w:sz="4" w:space="0"/>
              <w:left w:val="nil"/>
              <w:bottom w:val="single" w:color="auto" w:sz="4" w:space="0"/>
              <w:right w:val="single" w:color="auto" w:sz="4" w:space="0"/>
            </w:tcBorders>
            <w:shd w:val="clear" w:color="auto" w:fill="auto"/>
            <w:noWrap/>
            <w:vAlign w:val="center"/>
          </w:tcPr>
          <w:p>
            <w:pPr>
              <w:rPr>
                <w:rFonts w:asciiTheme="majorEastAsia" w:hAnsiTheme="majorEastAsia" w:eastAsiaTheme="majorEastAsia"/>
                <w:szCs w:val="21"/>
              </w:rPr>
            </w:pPr>
            <w:r>
              <w:rPr>
                <w:rFonts w:hint="eastAsia" w:asciiTheme="majorEastAsia" w:hAnsiTheme="majorEastAsia" w:eastAsiaTheme="majorEastAsia"/>
                <w:szCs w:val="21"/>
              </w:rPr>
              <w:t>频率范围：136-74MHZ/400-470MHZ</w:t>
            </w:r>
          </w:p>
          <w:p>
            <w:pPr>
              <w:rPr>
                <w:rFonts w:asciiTheme="majorEastAsia" w:hAnsiTheme="majorEastAsia" w:eastAsiaTheme="majorEastAsia"/>
                <w:szCs w:val="21"/>
              </w:rPr>
            </w:pPr>
            <w:r>
              <w:rPr>
                <w:rFonts w:hint="eastAsia" w:asciiTheme="majorEastAsia" w:hAnsiTheme="majorEastAsia" w:eastAsiaTheme="majorEastAsia"/>
                <w:szCs w:val="21"/>
              </w:rPr>
              <w:t>信道数：16</w:t>
            </w:r>
          </w:p>
          <w:p>
            <w:pPr>
              <w:rPr>
                <w:rFonts w:asciiTheme="majorEastAsia" w:hAnsiTheme="majorEastAsia" w:eastAsiaTheme="majorEastAsia"/>
                <w:szCs w:val="21"/>
              </w:rPr>
            </w:pPr>
            <w:r>
              <w:rPr>
                <w:rFonts w:hint="eastAsia" w:asciiTheme="majorEastAsia" w:hAnsiTheme="majorEastAsia" w:eastAsiaTheme="majorEastAsia"/>
                <w:szCs w:val="21"/>
              </w:rPr>
              <w:t>音频失真:≤5%</w:t>
            </w:r>
          </w:p>
          <w:p>
            <w:pPr>
              <w:rPr>
                <w:rFonts w:asciiTheme="majorEastAsia" w:hAnsiTheme="majorEastAsia" w:eastAsiaTheme="majorEastAsia"/>
                <w:szCs w:val="21"/>
              </w:rPr>
            </w:pPr>
            <w:r>
              <w:rPr>
                <w:rFonts w:hint="eastAsia" w:asciiTheme="majorEastAsia" w:hAnsiTheme="majorEastAsia" w:eastAsiaTheme="majorEastAsia"/>
                <w:szCs w:val="21"/>
              </w:rPr>
              <w:t>载波容差：5PPm</w:t>
            </w:r>
          </w:p>
          <w:p>
            <w:pPr>
              <w:rPr>
                <w:rFonts w:asciiTheme="majorEastAsia" w:hAnsiTheme="majorEastAsia" w:eastAsiaTheme="majorEastAsia"/>
                <w:szCs w:val="21"/>
              </w:rPr>
            </w:pPr>
            <w:r>
              <w:rPr>
                <w:rFonts w:hint="eastAsia" w:asciiTheme="majorEastAsia" w:hAnsiTheme="majorEastAsia" w:eastAsiaTheme="majorEastAsia"/>
                <w:szCs w:val="21"/>
              </w:rPr>
              <w:t>最大频偏 ≤±5KHZ</w:t>
            </w:r>
          </w:p>
          <w:p>
            <w:pPr>
              <w:rPr>
                <w:rFonts w:asciiTheme="majorEastAsia" w:hAnsiTheme="majorEastAsia" w:eastAsiaTheme="majorEastAsia"/>
                <w:szCs w:val="21"/>
              </w:rPr>
            </w:pPr>
            <w:r>
              <w:rPr>
                <w:rFonts w:hint="eastAsia" w:asciiTheme="majorEastAsia" w:hAnsiTheme="majorEastAsia" w:eastAsiaTheme="majorEastAsia"/>
                <w:szCs w:val="21"/>
              </w:rPr>
              <w:t>远程：5公里</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00"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110" w:firstLineChars="50"/>
              <w:rPr>
                <w:rFonts w:ascii="宋体" w:hAnsi="宋体" w:cs="宋体"/>
                <w:color w:val="000000"/>
                <w:kern w:val="0"/>
                <w:sz w:val="22"/>
                <w:szCs w:val="22"/>
              </w:rPr>
            </w:pPr>
            <w:r>
              <w:rPr>
                <w:rFonts w:hint="eastAsia" w:ascii="宋体" w:hAnsi="宋体" w:cs="宋体"/>
                <w:color w:val="000000"/>
                <w:kern w:val="0"/>
                <w:sz w:val="22"/>
                <w:szCs w:val="22"/>
              </w:rPr>
              <w:t>18</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手持喊话器</w:t>
            </w:r>
          </w:p>
        </w:tc>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20个</w:t>
            </w:r>
          </w:p>
        </w:tc>
        <w:tc>
          <w:tcPr>
            <w:tcW w:w="6645" w:type="dxa"/>
            <w:tcBorders>
              <w:top w:val="single" w:color="auto" w:sz="4" w:space="0"/>
              <w:left w:val="nil"/>
              <w:bottom w:val="single" w:color="auto" w:sz="4" w:space="0"/>
              <w:right w:val="single" w:color="auto" w:sz="4" w:space="0"/>
            </w:tcBorders>
            <w:shd w:val="clear" w:color="auto" w:fill="auto"/>
            <w:noWrap/>
            <w:vAlign w:val="center"/>
          </w:tcPr>
          <w:p>
            <w:pPr>
              <w:rPr>
                <w:rFonts w:asciiTheme="majorEastAsia" w:hAnsiTheme="majorEastAsia" w:eastAsiaTheme="majorEastAsia"/>
                <w:szCs w:val="21"/>
              </w:rPr>
            </w:pPr>
            <w:r>
              <w:rPr>
                <w:rFonts w:hint="eastAsia" w:asciiTheme="majorEastAsia" w:hAnsiTheme="majorEastAsia" w:eastAsiaTheme="majorEastAsia"/>
                <w:szCs w:val="21"/>
              </w:rPr>
              <w:t>电源：DC5V/1A</w:t>
            </w:r>
          </w:p>
          <w:p>
            <w:pPr>
              <w:rPr>
                <w:rFonts w:asciiTheme="majorEastAsia" w:hAnsiTheme="majorEastAsia" w:eastAsiaTheme="majorEastAsia"/>
                <w:szCs w:val="21"/>
              </w:rPr>
            </w:pPr>
            <w:r>
              <w:rPr>
                <w:rFonts w:hint="eastAsia" w:asciiTheme="majorEastAsia" w:hAnsiTheme="majorEastAsia" w:eastAsiaTheme="majorEastAsia"/>
                <w:szCs w:val="21"/>
              </w:rPr>
              <w:t>峰值功率：35W</w:t>
            </w:r>
          </w:p>
          <w:p>
            <w:pPr>
              <w:rPr>
                <w:rFonts w:asciiTheme="majorEastAsia" w:hAnsiTheme="majorEastAsia" w:eastAsiaTheme="majorEastAsia"/>
                <w:szCs w:val="21"/>
              </w:rPr>
            </w:pPr>
            <w:r>
              <w:rPr>
                <w:rFonts w:hint="eastAsia" w:asciiTheme="majorEastAsia" w:hAnsiTheme="majorEastAsia" w:eastAsiaTheme="majorEastAsia"/>
                <w:szCs w:val="21"/>
              </w:rPr>
              <w:t>频率响应：150HZ-18KHZ</w:t>
            </w:r>
          </w:p>
          <w:p>
            <w:pPr>
              <w:rPr>
                <w:rFonts w:cs="宋体" w:asciiTheme="majorEastAsia" w:hAnsiTheme="majorEastAsia" w:eastAsiaTheme="majorEastAsia"/>
                <w:szCs w:val="21"/>
              </w:rPr>
            </w:pPr>
            <w:r>
              <w:rPr>
                <w:rFonts w:hint="eastAsia" w:asciiTheme="majorEastAsia" w:hAnsiTheme="majorEastAsia" w:eastAsiaTheme="majorEastAsia"/>
                <w:szCs w:val="21"/>
              </w:rPr>
              <w:t>电池规格：1800mA/3.7V  信噪比：≥80db</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55"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110" w:firstLineChars="50"/>
              <w:rPr>
                <w:rFonts w:ascii="宋体" w:hAnsi="宋体" w:cs="宋体"/>
                <w:color w:val="000000"/>
                <w:kern w:val="0"/>
                <w:sz w:val="22"/>
                <w:szCs w:val="22"/>
              </w:rPr>
            </w:pPr>
            <w:r>
              <w:rPr>
                <w:rFonts w:hint="eastAsia" w:ascii="宋体" w:hAnsi="宋体" w:cs="宋体"/>
                <w:color w:val="000000"/>
                <w:kern w:val="0"/>
                <w:sz w:val="22"/>
                <w:szCs w:val="22"/>
              </w:rPr>
              <w:t>19</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手提扩音器</w:t>
            </w:r>
          </w:p>
        </w:tc>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20个</w:t>
            </w:r>
          </w:p>
        </w:tc>
        <w:tc>
          <w:tcPr>
            <w:tcW w:w="6645" w:type="dxa"/>
            <w:tcBorders>
              <w:top w:val="single" w:color="auto" w:sz="4" w:space="0"/>
              <w:left w:val="nil"/>
              <w:bottom w:val="single" w:color="auto" w:sz="4" w:space="0"/>
              <w:right w:val="single" w:color="auto" w:sz="4" w:space="0"/>
            </w:tcBorders>
            <w:shd w:val="clear" w:color="auto" w:fill="auto"/>
            <w:noWrap/>
            <w:vAlign w:val="center"/>
          </w:tcPr>
          <w:p>
            <w:pPr>
              <w:rPr>
                <w:rFonts w:asciiTheme="majorEastAsia" w:hAnsiTheme="majorEastAsia" w:eastAsiaTheme="majorEastAsia"/>
                <w:szCs w:val="21"/>
              </w:rPr>
            </w:pPr>
            <w:r>
              <w:rPr>
                <w:rFonts w:hint="eastAsia" w:asciiTheme="majorEastAsia" w:hAnsiTheme="majorEastAsia" w:eastAsiaTheme="majorEastAsia"/>
                <w:szCs w:val="21"/>
              </w:rPr>
              <w:t>电源：DC5V/1A</w:t>
            </w:r>
          </w:p>
          <w:p>
            <w:pPr>
              <w:rPr>
                <w:rFonts w:asciiTheme="majorEastAsia" w:hAnsiTheme="majorEastAsia" w:eastAsiaTheme="majorEastAsia"/>
                <w:szCs w:val="21"/>
              </w:rPr>
            </w:pPr>
            <w:r>
              <w:rPr>
                <w:rFonts w:hint="eastAsia" w:asciiTheme="majorEastAsia" w:hAnsiTheme="majorEastAsia" w:eastAsiaTheme="majorEastAsia"/>
                <w:szCs w:val="21"/>
              </w:rPr>
              <w:t>峰值功率：35W</w:t>
            </w:r>
          </w:p>
          <w:p>
            <w:pPr>
              <w:rPr>
                <w:rFonts w:asciiTheme="majorEastAsia" w:hAnsiTheme="majorEastAsia" w:eastAsiaTheme="majorEastAsia"/>
                <w:szCs w:val="21"/>
              </w:rPr>
            </w:pPr>
            <w:r>
              <w:rPr>
                <w:rFonts w:hint="eastAsia" w:asciiTheme="majorEastAsia" w:hAnsiTheme="majorEastAsia" w:eastAsiaTheme="majorEastAsia"/>
                <w:szCs w:val="21"/>
              </w:rPr>
              <w:t>频率响应：150HZ-18KHZ</w:t>
            </w:r>
          </w:p>
          <w:p>
            <w:pPr>
              <w:rPr>
                <w:rFonts w:asciiTheme="majorEastAsia" w:hAnsiTheme="majorEastAsia" w:eastAsiaTheme="majorEastAsia"/>
                <w:szCs w:val="21"/>
              </w:rPr>
            </w:pPr>
            <w:r>
              <w:rPr>
                <w:rFonts w:hint="eastAsia" w:asciiTheme="majorEastAsia" w:hAnsiTheme="majorEastAsia" w:eastAsiaTheme="majorEastAsia"/>
                <w:szCs w:val="21"/>
              </w:rPr>
              <w:t>电池规格：1800mA/3.7V</w:t>
            </w:r>
          </w:p>
          <w:p>
            <w:pPr>
              <w:rPr>
                <w:rFonts w:cs="宋体" w:asciiTheme="majorEastAsia" w:hAnsiTheme="majorEastAsia" w:eastAsiaTheme="majorEastAsia"/>
                <w:szCs w:val="21"/>
              </w:rPr>
            </w:pPr>
            <w:r>
              <w:rPr>
                <w:rFonts w:hint="eastAsia" w:asciiTheme="majorEastAsia" w:hAnsiTheme="majorEastAsia" w:eastAsiaTheme="majorEastAsia"/>
                <w:szCs w:val="21"/>
              </w:rPr>
              <w:t>信噪比：≥80db</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81" w:hRule="atLeast"/>
        </w:trPr>
        <w:tc>
          <w:tcPr>
            <w:tcW w:w="9364"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田阳区区级和10个乡镇应急救援装备B标段</w:t>
            </w:r>
          </w:p>
        </w:tc>
      </w:tr>
      <w:tr>
        <w:tblPrEx>
          <w:tblCellMar>
            <w:top w:w="0" w:type="dxa"/>
            <w:left w:w="108" w:type="dxa"/>
            <w:bottom w:w="0" w:type="dxa"/>
            <w:right w:w="108" w:type="dxa"/>
          </w:tblCellMar>
        </w:tblPrEx>
        <w:trPr>
          <w:trHeight w:val="195"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1</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一级化学防护服</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10套</w:t>
            </w:r>
          </w:p>
        </w:tc>
        <w:tc>
          <w:tcPr>
            <w:tcW w:w="6824" w:type="dxa"/>
            <w:gridSpan w:val="2"/>
            <w:tcBorders>
              <w:top w:val="single" w:color="auto" w:sz="4" w:space="0"/>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szCs w:val="21"/>
              </w:rPr>
            </w:pPr>
            <w:r>
              <w:rPr>
                <w:rFonts w:asciiTheme="majorEastAsia" w:hAnsiTheme="majorEastAsia" w:eastAsiaTheme="majorEastAsia"/>
                <w:szCs w:val="21"/>
              </w:rPr>
              <w:t>灭火战斗和抢险救援一级化学防护服：具备阻燃、耐热老化、耐寒、耐汽油、抗辐射热渗透能力、绝缘、防水、密封性强等性能。可以有效的抗御芳烃、卤代烃、酸、植物油、动物油的危害。服装面屏为硬质透明材料，具有防割、防水雾的功能。胶靴可以防滑、防穿刺、防静电，全套服装为双层缝制，双面热溶胶式连接，无明显接缝，拉锁粘台，完全密封。在防护服内部具有通风管路以及分配阀。</w:t>
            </w:r>
            <w:r>
              <w:rPr>
                <w:rFonts w:asciiTheme="majorEastAsia" w:hAnsiTheme="majorEastAsia" w:eastAsiaTheme="majorEastAsia"/>
                <w:szCs w:val="21"/>
              </w:rPr>
              <w:br w:type="textWrapping"/>
            </w:r>
            <w:r>
              <w:rPr>
                <w:rFonts w:asciiTheme="majorEastAsia" w:hAnsiTheme="majorEastAsia" w:eastAsiaTheme="majorEastAsia"/>
                <w:szCs w:val="21"/>
              </w:rPr>
              <w:t>产品基本参数:1、防酸渗透性能80％H2SO4、60％HN03、30％HCL：60min不渗透：2、防碱渗透性能6.1mol／LNaOH：60min不渗透。3、阻燃性能：160有焰燃烧时间≤2s；160无焰燃烧时间≤10s；160损毁长度≤l0cm（无熔融、滴落现象）。重量≤5kg</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180"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2</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多功能工具箱</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10个</w:t>
            </w:r>
          </w:p>
        </w:tc>
        <w:tc>
          <w:tcPr>
            <w:tcW w:w="6824" w:type="dxa"/>
            <w:gridSpan w:val="2"/>
            <w:tcBorders>
              <w:top w:val="single" w:color="auto" w:sz="4" w:space="0"/>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szCs w:val="21"/>
              </w:rPr>
            </w:pPr>
            <w:r>
              <w:rPr>
                <w:rFonts w:asciiTheme="majorEastAsia" w:hAnsiTheme="majorEastAsia" w:eastAsiaTheme="majorEastAsia"/>
                <w:szCs w:val="21"/>
              </w:rPr>
              <w:t>综合具备普遍适用的应急救援破拆功能，包括：撬、砍、扭、剪、凿、拔、切、撞、冲、顶、撕、铲、敲、拉、劈等等。</w:t>
            </w:r>
            <w:r>
              <w:rPr>
                <w:rFonts w:asciiTheme="majorEastAsia" w:hAnsiTheme="majorEastAsia" w:eastAsiaTheme="majorEastAsia"/>
                <w:szCs w:val="21"/>
              </w:rPr>
              <w:br w:type="textWrapping"/>
            </w:r>
            <w:r>
              <w:rPr>
                <w:rFonts w:asciiTheme="majorEastAsia" w:hAnsiTheme="majorEastAsia" w:eastAsiaTheme="majorEastAsia"/>
                <w:szCs w:val="21"/>
              </w:rPr>
              <w:t>特点：无须动力，单人即可操作，体积小，重量轻，.配有专用便携式铝合金工具箱，携带方便。</w:t>
            </w:r>
            <w:r>
              <w:rPr>
                <w:rFonts w:asciiTheme="majorEastAsia" w:hAnsiTheme="majorEastAsia" w:eastAsiaTheme="majorEastAsia"/>
                <w:szCs w:val="21"/>
              </w:rPr>
              <w:br w:type="textWrapping"/>
            </w:r>
            <w:r>
              <w:rPr>
                <w:rFonts w:asciiTheme="majorEastAsia" w:hAnsiTheme="majorEastAsia" w:eastAsiaTheme="majorEastAsia"/>
                <w:szCs w:val="21"/>
              </w:rPr>
              <w:t>配置及技术参数：</w:t>
            </w:r>
            <w:r>
              <w:rPr>
                <w:rFonts w:asciiTheme="majorEastAsia" w:hAnsiTheme="majorEastAsia" w:eastAsiaTheme="majorEastAsia"/>
                <w:szCs w:val="21"/>
              </w:rPr>
              <w:br w:type="textWrapping"/>
            </w:r>
            <w:r>
              <w:rPr>
                <w:rFonts w:asciiTheme="majorEastAsia" w:hAnsiTheme="majorEastAsia" w:eastAsiaTheme="majorEastAsia"/>
                <w:szCs w:val="21"/>
              </w:rPr>
              <w:t>1、多功能工具包括：操纵杆、破拆斧、3寸宽凿子、1寸宽凿子、金属切割刀、破锁刀、钎子、铲子共8件套。</w:t>
            </w:r>
            <w:r>
              <w:rPr>
                <w:rFonts w:asciiTheme="majorEastAsia" w:hAnsiTheme="majorEastAsia" w:eastAsiaTheme="majorEastAsia"/>
                <w:szCs w:val="21"/>
              </w:rPr>
              <w:br w:type="textWrapping"/>
            </w:r>
            <w:r>
              <w:rPr>
                <w:rFonts w:asciiTheme="majorEastAsia" w:hAnsiTheme="majorEastAsia" w:eastAsiaTheme="majorEastAsia"/>
                <w:szCs w:val="21"/>
              </w:rPr>
              <w:t>2、材质：合金铸造</w:t>
            </w:r>
            <w:r>
              <w:rPr>
                <w:rFonts w:asciiTheme="majorEastAsia" w:hAnsiTheme="majorEastAsia" w:eastAsiaTheme="majorEastAsia"/>
                <w:szCs w:val="21"/>
              </w:rPr>
              <w:br w:type="textWrapping"/>
            </w:r>
            <w:r>
              <w:rPr>
                <w:rFonts w:asciiTheme="majorEastAsia" w:hAnsiTheme="majorEastAsia" w:eastAsiaTheme="majorEastAsia"/>
                <w:szCs w:val="21"/>
              </w:rPr>
              <w:t>3、尺寸：800mm*450mm*125mm</w:t>
            </w:r>
            <w:r>
              <w:rPr>
                <w:rFonts w:asciiTheme="majorEastAsia" w:hAnsiTheme="majorEastAsia" w:eastAsiaTheme="majorEastAsia"/>
                <w:szCs w:val="21"/>
              </w:rPr>
              <w:br w:type="textWrapping"/>
            </w:r>
            <w:r>
              <w:rPr>
                <w:rFonts w:asciiTheme="majorEastAsia" w:hAnsiTheme="majorEastAsia" w:eastAsiaTheme="majorEastAsia"/>
                <w:szCs w:val="21"/>
              </w:rPr>
              <w:t>4、重量：12.6KG</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57"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3</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抢险救援服套装</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45套</w:t>
            </w:r>
          </w:p>
        </w:tc>
        <w:tc>
          <w:tcPr>
            <w:tcW w:w="6824" w:type="dxa"/>
            <w:gridSpan w:val="2"/>
            <w:tcBorders>
              <w:top w:val="single" w:color="auto" w:sz="4" w:space="0"/>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szCs w:val="21"/>
              </w:rPr>
            </w:pPr>
            <w:r>
              <w:rPr>
                <w:rFonts w:asciiTheme="majorEastAsia" w:hAnsiTheme="majorEastAsia" w:eastAsiaTheme="majorEastAsia"/>
                <w:szCs w:val="21"/>
              </w:rPr>
              <w:t>芳纶面料应急救援服；用于建筑倒塌、狭窄空间及攀登等救援现场的身体防护。技术参数：符合GA633-2006标准；具备阻燃、耐磨、轻便，抗拉力强、颜色及标识醒目等性能。质量1.1kg，色差等级4-5级，阻燃性能：面料续燃时间0s、损毁长度44mm，撕破强力：经向200N、纬向230N，断裂强力：经向758N、纬向799N，接缝断裂强力690N，防静电性能0.53μC，质量1.065kg。</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17"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4</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抢险救援服套装</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95套</w:t>
            </w:r>
          </w:p>
        </w:tc>
        <w:tc>
          <w:tcPr>
            <w:tcW w:w="6824" w:type="dxa"/>
            <w:gridSpan w:val="2"/>
            <w:tcBorders>
              <w:top w:val="single" w:color="auto" w:sz="4" w:space="0"/>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szCs w:val="21"/>
              </w:rPr>
            </w:pPr>
            <w:r>
              <w:rPr>
                <w:rFonts w:asciiTheme="majorEastAsia" w:hAnsiTheme="majorEastAsia" w:eastAsiaTheme="majorEastAsia"/>
                <w:szCs w:val="21"/>
              </w:rPr>
              <w:t>1、防火服阻燃性能及款式符合《GB/T33536-2017防护服装森林防火服》标准标。</w:t>
            </w:r>
            <w:r>
              <w:rPr>
                <w:rFonts w:asciiTheme="majorEastAsia" w:hAnsiTheme="majorEastAsia" w:eastAsiaTheme="majorEastAsia"/>
                <w:szCs w:val="21"/>
              </w:rPr>
              <w:br w:type="textWrapping"/>
            </w:r>
            <w:r>
              <w:rPr>
                <w:rFonts w:asciiTheme="majorEastAsia" w:hAnsiTheme="majorEastAsia" w:eastAsiaTheme="majorEastAsia"/>
                <w:szCs w:val="21"/>
              </w:rPr>
              <w:t>2、扑火服（衣、裤）材质：采用永久阻燃、防静电芳纶纤维布料。</w:t>
            </w:r>
            <w:r>
              <w:rPr>
                <w:rFonts w:asciiTheme="majorEastAsia" w:hAnsiTheme="majorEastAsia" w:eastAsiaTheme="majorEastAsia"/>
                <w:szCs w:val="21"/>
              </w:rPr>
              <w:br w:type="textWrapping"/>
            </w:r>
            <w:r>
              <w:rPr>
                <w:rFonts w:asciiTheme="majorEastAsia" w:hAnsiTheme="majorEastAsia" w:eastAsiaTheme="majorEastAsia"/>
                <w:szCs w:val="21"/>
              </w:rPr>
              <w:t>3、颜色：森林防火的颜色为桔红色。</w:t>
            </w:r>
            <w:r>
              <w:rPr>
                <w:rFonts w:asciiTheme="majorEastAsia" w:hAnsiTheme="majorEastAsia" w:eastAsiaTheme="majorEastAsia"/>
                <w:szCs w:val="21"/>
              </w:rPr>
              <w:br w:type="textWrapping"/>
            </w:r>
            <w:r>
              <w:rPr>
                <w:rFonts w:asciiTheme="majorEastAsia" w:hAnsiTheme="majorEastAsia" w:eastAsiaTheme="majorEastAsia"/>
                <w:szCs w:val="21"/>
              </w:rPr>
              <w:t>4、阻燃性能：（1）续燃时间：经向≤0.5s，纬向≤0.5s；（2）阴燃时间：经向≤0.5s，纬向≤0.5s；</w:t>
            </w:r>
            <w:r>
              <w:rPr>
                <w:rFonts w:asciiTheme="majorEastAsia" w:hAnsiTheme="majorEastAsia" w:eastAsiaTheme="majorEastAsia"/>
                <w:szCs w:val="21"/>
              </w:rPr>
              <w:br w:type="textWrapping"/>
            </w:r>
            <w:r>
              <w:rPr>
                <w:rFonts w:asciiTheme="majorEastAsia" w:hAnsiTheme="majorEastAsia" w:eastAsiaTheme="majorEastAsia"/>
                <w:szCs w:val="21"/>
              </w:rPr>
              <w:t>5、物理性能（水洗50次后）：（1）面料断裂强力：经向≥1300N，纬向≥1100N；（2）面料撕破强力：经向≥200N，纬向≥150N；（3）甲醇含量：0；（4）耐洗色牢度：变色≥4级，沾色≥4级；（5）电荷面密度：≤1.5μC/m2；（6）裤后裆接缝和肩缝强力：≥650N；（7）尺寸变化率：±2.0%之间；（8）色牢度：耐汗≥4级，耐摩擦≥3级</w:t>
            </w:r>
            <w:r>
              <w:rPr>
                <w:rFonts w:asciiTheme="majorEastAsia" w:hAnsiTheme="majorEastAsia" w:eastAsiaTheme="majorEastAsia"/>
                <w:szCs w:val="21"/>
              </w:rPr>
              <w:br w:type="textWrapping"/>
            </w:r>
            <w:r>
              <w:rPr>
                <w:rFonts w:asciiTheme="majorEastAsia" w:hAnsiTheme="majorEastAsia" w:eastAsiaTheme="majorEastAsia"/>
                <w:szCs w:val="21"/>
              </w:rPr>
              <w:t>5、其他：前胸、后背、手臂、腿部有醒目阻燃反光材料；后背印森林防火名称，手臂有国家森林防火标志，整体保证：袖口、领口、裤口紧，上衣穿着时盖住裤子上端，裤腿下部采用阻燃魔术贴包或阻燃钮扣缝制。</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30"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5</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防护靴</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45套</w:t>
            </w:r>
          </w:p>
        </w:tc>
        <w:tc>
          <w:tcPr>
            <w:tcW w:w="6824" w:type="dxa"/>
            <w:gridSpan w:val="2"/>
            <w:tcBorders>
              <w:top w:val="single" w:color="auto" w:sz="4" w:space="0"/>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szCs w:val="21"/>
              </w:rPr>
            </w:pPr>
            <w:r>
              <w:rPr>
                <w:rFonts w:asciiTheme="majorEastAsia" w:hAnsiTheme="majorEastAsia" w:eastAsiaTheme="majorEastAsia"/>
                <w:szCs w:val="21"/>
              </w:rPr>
              <w:t>1、材质：鞋面为反毛皮，鞋帮为纯棉阻燃防水帆布、反毛皮高帮。</w:t>
            </w:r>
            <w:r>
              <w:rPr>
                <w:rFonts w:asciiTheme="majorEastAsia" w:hAnsiTheme="majorEastAsia" w:eastAsiaTheme="majorEastAsia"/>
                <w:szCs w:val="21"/>
              </w:rPr>
              <w:br w:type="textWrapping"/>
            </w:r>
            <w:r>
              <w:rPr>
                <w:rFonts w:asciiTheme="majorEastAsia" w:hAnsiTheme="majorEastAsia" w:eastAsiaTheme="majorEastAsia"/>
                <w:szCs w:val="21"/>
              </w:rPr>
              <w:t>2、鞋帮舌与鞋帮面一体设计，可防止灰尘、火星进入；帮高≥220mm，鞋帮内侧设有防水透气铝合金材质透气孔。</w:t>
            </w:r>
            <w:r>
              <w:rPr>
                <w:rFonts w:asciiTheme="majorEastAsia" w:hAnsiTheme="majorEastAsia" w:eastAsiaTheme="majorEastAsia"/>
                <w:szCs w:val="21"/>
              </w:rPr>
              <w:br w:type="textWrapping"/>
            </w:r>
            <w:r>
              <w:rPr>
                <w:rFonts w:asciiTheme="majorEastAsia" w:hAnsiTheme="majorEastAsia" w:eastAsiaTheme="majorEastAsia"/>
                <w:szCs w:val="21"/>
              </w:rPr>
              <w:t>3、帮底剥离强度：≥85N/cm。</w:t>
            </w:r>
            <w:r>
              <w:rPr>
                <w:rFonts w:asciiTheme="majorEastAsia" w:hAnsiTheme="majorEastAsia" w:eastAsiaTheme="majorEastAsia"/>
                <w:szCs w:val="21"/>
              </w:rPr>
              <w:br w:type="textWrapping"/>
            </w:r>
            <w:r>
              <w:rPr>
                <w:rFonts w:asciiTheme="majorEastAsia" w:hAnsiTheme="majorEastAsia" w:eastAsiaTheme="majorEastAsia"/>
                <w:szCs w:val="21"/>
              </w:rPr>
              <w:t>4、鞋底：采用耐高温合成阻燃橡胶与非金属防扎网膜压。</w:t>
            </w:r>
            <w:r>
              <w:rPr>
                <w:rFonts w:asciiTheme="majorEastAsia" w:hAnsiTheme="majorEastAsia" w:eastAsiaTheme="majorEastAsia"/>
                <w:szCs w:val="21"/>
              </w:rPr>
              <w:br w:type="textWrapping"/>
            </w:r>
            <w:r>
              <w:rPr>
                <w:rFonts w:asciiTheme="majorEastAsia" w:hAnsiTheme="majorEastAsia" w:eastAsiaTheme="majorEastAsia"/>
                <w:szCs w:val="21"/>
              </w:rPr>
              <w:t>5、外底耐磨性能：≤5mm。</w:t>
            </w:r>
            <w:r>
              <w:rPr>
                <w:rFonts w:asciiTheme="majorEastAsia" w:hAnsiTheme="majorEastAsia" w:eastAsiaTheme="majorEastAsia"/>
                <w:szCs w:val="21"/>
              </w:rPr>
              <w:br w:type="textWrapping"/>
            </w:r>
            <w:r>
              <w:rPr>
                <w:rFonts w:asciiTheme="majorEastAsia" w:hAnsiTheme="majorEastAsia" w:eastAsiaTheme="majorEastAsia"/>
                <w:szCs w:val="21"/>
              </w:rPr>
              <w:t>6、阻燃性能：阴燃时间≤1s，续燃时间≤1s。</w:t>
            </w:r>
            <w:r>
              <w:rPr>
                <w:rFonts w:asciiTheme="majorEastAsia" w:hAnsiTheme="majorEastAsia" w:eastAsiaTheme="majorEastAsia"/>
                <w:szCs w:val="21"/>
              </w:rPr>
              <w:br w:type="textWrapping"/>
            </w:r>
            <w:r>
              <w:rPr>
                <w:rFonts w:asciiTheme="majorEastAsia" w:hAnsiTheme="majorEastAsia" w:eastAsiaTheme="majorEastAsia"/>
                <w:szCs w:val="21"/>
              </w:rPr>
              <w:t>7、功能特点：具有阻燃、防水、防尘、防滑、防割、防扎功能；具有穿着轻便舒适，美观，适合野外灭火实战的特点。</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85"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6</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防护手套</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45套</w:t>
            </w:r>
          </w:p>
        </w:tc>
        <w:tc>
          <w:tcPr>
            <w:tcW w:w="6824" w:type="dxa"/>
            <w:gridSpan w:val="2"/>
            <w:tcBorders>
              <w:top w:val="single" w:color="auto" w:sz="4" w:space="0"/>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szCs w:val="21"/>
              </w:rPr>
            </w:pPr>
            <w:r>
              <w:rPr>
                <w:rFonts w:asciiTheme="majorEastAsia" w:hAnsiTheme="majorEastAsia" w:eastAsiaTheme="majorEastAsia"/>
                <w:szCs w:val="21"/>
              </w:rPr>
              <w:t>1、手掌及手背部采用真皮制作面料，皮层厚度：≥0.8mm。</w:t>
            </w:r>
            <w:r>
              <w:rPr>
                <w:rFonts w:asciiTheme="majorEastAsia" w:hAnsiTheme="majorEastAsia" w:eastAsiaTheme="majorEastAsia"/>
                <w:szCs w:val="21"/>
              </w:rPr>
              <w:br w:type="textWrapping"/>
            </w:r>
            <w:r>
              <w:rPr>
                <w:rFonts w:asciiTheme="majorEastAsia" w:hAnsiTheme="majorEastAsia" w:eastAsiaTheme="majorEastAsia"/>
                <w:szCs w:val="21"/>
              </w:rPr>
              <w:t>2、手背外增加一层防辐射阻燃铝箔。</w:t>
            </w:r>
            <w:r>
              <w:rPr>
                <w:rFonts w:asciiTheme="majorEastAsia" w:hAnsiTheme="majorEastAsia" w:eastAsiaTheme="majorEastAsia"/>
                <w:szCs w:val="21"/>
              </w:rPr>
              <w:br w:type="textWrapping"/>
            </w:r>
            <w:r>
              <w:rPr>
                <w:rFonts w:asciiTheme="majorEastAsia" w:hAnsiTheme="majorEastAsia" w:eastAsiaTheme="majorEastAsia"/>
                <w:szCs w:val="21"/>
              </w:rPr>
              <w:t>3、手臂部为阻燃纯棉面料制作的手臂护套，长度≥25cm，与扑火服衣袖联为一体。</w:t>
            </w:r>
            <w:r>
              <w:rPr>
                <w:rFonts w:asciiTheme="majorEastAsia" w:hAnsiTheme="majorEastAsia" w:eastAsiaTheme="majorEastAsia"/>
                <w:szCs w:val="21"/>
              </w:rPr>
              <w:br w:type="textWrapping"/>
            </w:r>
            <w:r>
              <w:rPr>
                <w:rFonts w:asciiTheme="majorEastAsia" w:hAnsiTheme="majorEastAsia" w:eastAsiaTheme="majorEastAsia"/>
                <w:szCs w:val="21"/>
              </w:rPr>
              <w:t>4、穿戴舒适，耐磨、耐刮，防护能力强。</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7</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通讯头盔</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45个</w:t>
            </w:r>
          </w:p>
        </w:tc>
        <w:tc>
          <w:tcPr>
            <w:tcW w:w="6824" w:type="dxa"/>
            <w:gridSpan w:val="2"/>
            <w:tcBorders>
              <w:top w:val="single" w:color="auto" w:sz="4" w:space="0"/>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szCs w:val="21"/>
              </w:rPr>
            </w:pPr>
            <w:r>
              <w:rPr>
                <w:rFonts w:asciiTheme="majorEastAsia" w:hAnsiTheme="majorEastAsia" w:eastAsiaTheme="majorEastAsia"/>
                <w:szCs w:val="21"/>
              </w:rPr>
              <w:t>头盔及配件采用新型防火阻燃材料。</w:t>
            </w:r>
            <w:r>
              <w:rPr>
                <w:rFonts w:asciiTheme="majorEastAsia" w:hAnsiTheme="majorEastAsia" w:eastAsiaTheme="majorEastAsia"/>
                <w:szCs w:val="21"/>
              </w:rPr>
              <w:br w:type="textWrapping"/>
            </w:r>
            <w:r>
              <w:rPr>
                <w:rFonts w:asciiTheme="majorEastAsia" w:hAnsiTheme="majorEastAsia" w:eastAsiaTheme="majorEastAsia"/>
                <w:szCs w:val="21"/>
              </w:rPr>
              <w:t>主要组成附件：1. 头盔1个；3. 天线1根；4. 防护罩1件；5. 披肩1件；6. 耳麦1个；7. 手电筒选配。</w:t>
            </w:r>
            <w:r>
              <w:rPr>
                <w:rFonts w:asciiTheme="majorEastAsia" w:hAnsiTheme="majorEastAsia" w:eastAsiaTheme="majorEastAsia"/>
                <w:szCs w:val="21"/>
              </w:rPr>
              <w:br w:type="textWrapping"/>
            </w:r>
            <w:r>
              <w:rPr>
                <w:rFonts w:asciiTheme="majorEastAsia" w:hAnsiTheme="majorEastAsia" w:eastAsiaTheme="majorEastAsia"/>
                <w:szCs w:val="21"/>
              </w:rPr>
              <w:t>1. 主要功能及参数：</w:t>
            </w:r>
            <w:r>
              <w:rPr>
                <w:rFonts w:asciiTheme="majorEastAsia" w:hAnsiTheme="majorEastAsia" w:eastAsiaTheme="majorEastAsia"/>
                <w:szCs w:val="21"/>
              </w:rPr>
              <w:br w:type="textWrapping"/>
            </w:r>
            <w:r>
              <w:rPr>
                <w:rFonts w:asciiTheme="majorEastAsia" w:hAnsiTheme="majorEastAsia" w:eastAsiaTheme="majorEastAsia"/>
                <w:szCs w:val="21"/>
              </w:rPr>
              <w:t>1）射频输出功率：4w；</w:t>
            </w:r>
            <w:r>
              <w:rPr>
                <w:rFonts w:asciiTheme="majorEastAsia" w:hAnsiTheme="majorEastAsia" w:eastAsiaTheme="majorEastAsia"/>
                <w:szCs w:val="21"/>
              </w:rPr>
              <w:br w:type="textWrapping"/>
            </w:r>
            <w:r>
              <w:rPr>
                <w:rFonts w:asciiTheme="majorEastAsia" w:hAnsiTheme="majorEastAsia" w:eastAsiaTheme="majorEastAsia"/>
                <w:szCs w:val="21"/>
              </w:rPr>
              <w:t>2）频率范围： 136-174 mhz/400—470mhz；</w:t>
            </w:r>
            <w:r>
              <w:rPr>
                <w:rFonts w:asciiTheme="majorEastAsia" w:hAnsiTheme="majorEastAsia" w:eastAsiaTheme="majorEastAsia"/>
                <w:szCs w:val="21"/>
              </w:rPr>
              <w:br w:type="textWrapping"/>
            </w:r>
            <w:r>
              <w:rPr>
                <w:rFonts w:asciiTheme="majorEastAsia" w:hAnsiTheme="majorEastAsia" w:eastAsiaTheme="majorEastAsia"/>
                <w:szCs w:val="21"/>
              </w:rPr>
              <w:t>3）对讲机重量：1Kg；</w:t>
            </w:r>
            <w:r>
              <w:rPr>
                <w:rFonts w:asciiTheme="majorEastAsia" w:hAnsiTheme="majorEastAsia" w:eastAsiaTheme="majorEastAsia"/>
                <w:szCs w:val="21"/>
              </w:rPr>
              <w:br w:type="textWrapping"/>
            </w:r>
            <w:r>
              <w:rPr>
                <w:rFonts w:asciiTheme="majorEastAsia" w:hAnsiTheme="majorEastAsia" w:eastAsiaTheme="majorEastAsia"/>
                <w:szCs w:val="21"/>
              </w:rPr>
              <w:t>4）电池类型：干电池；</w:t>
            </w:r>
            <w:r>
              <w:rPr>
                <w:rFonts w:asciiTheme="majorEastAsia" w:hAnsiTheme="majorEastAsia" w:eastAsiaTheme="majorEastAsia"/>
                <w:szCs w:val="21"/>
              </w:rPr>
              <w:br w:type="textWrapping"/>
            </w:r>
            <w:r>
              <w:rPr>
                <w:rFonts w:asciiTheme="majorEastAsia" w:hAnsiTheme="majorEastAsia" w:eastAsiaTheme="majorEastAsia"/>
                <w:szCs w:val="21"/>
              </w:rPr>
              <w:t>5）待机时长：72h；</w:t>
            </w:r>
            <w:r>
              <w:rPr>
                <w:rFonts w:asciiTheme="majorEastAsia" w:hAnsiTheme="majorEastAsia" w:eastAsiaTheme="majorEastAsia"/>
                <w:szCs w:val="21"/>
              </w:rPr>
              <w:br w:type="textWrapping"/>
            </w:r>
            <w:r>
              <w:rPr>
                <w:rFonts w:asciiTheme="majorEastAsia" w:hAnsiTheme="majorEastAsia" w:eastAsiaTheme="majorEastAsia"/>
                <w:szCs w:val="21"/>
              </w:rPr>
              <w:t>6）连续通话时长：2h；</w:t>
            </w:r>
            <w:r>
              <w:rPr>
                <w:rFonts w:asciiTheme="majorEastAsia" w:hAnsiTheme="majorEastAsia" w:eastAsiaTheme="majorEastAsia"/>
                <w:szCs w:val="21"/>
              </w:rPr>
              <w:br w:type="textWrapping"/>
            </w:r>
            <w:r>
              <w:rPr>
                <w:rFonts w:asciiTheme="majorEastAsia" w:hAnsiTheme="majorEastAsia" w:eastAsiaTheme="majorEastAsia"/>
                <w:szCs w:val="21"/>
              </w:rPr>
              <w:t xml:space="preserve">7）理论通讯距离：3--5km；  </w:t>
            </w:r>
            <w:r>
              <w:rPr>
                <w:rFonts w:asciiTheme="majorEastAsia" w:hAnsiTheme="majorEastAsia" w:eastAsiaTheme="majorEastAsia"/>
                <w:szCs w:val="21"/>
              </w:rPr>
              <w:br w:type="textWrapping"/>
            </w:r>
            <w:r>
              <w:rPr>
                <w:rFonts w:asciiTheme="majorEastAsia" w:hAnsiTheme="majorEastAsia" w:eastAsiaTheme="majorEastAsia"/>
                <w:szCs w:val="21"/>
              </w:rPr>
              <w:t xml:space="preserve">8）监听功能：有；  </w:t>
            </w:r>
            <w:r>
              <w:rPr>
                <w:rFonts w:asciiTheme="majorEastAsia" w:hAnsiTheme="majorEastAsia" w:eastAsiaTheme="majorEastAsia"/>
                <w:szCs w:val="21"/>
              </w:rPr>
              <w:br w:type="textWrapping"/>
            </w:r>
            <w:r>
              <w:rPr>
                <w:rFonts w:asciiTheme="majorEastAsia" w:hAnsiTheme="majorEastAsia" w:eastAsiaTheme="majorEastAsia"/>
                <w:szCs w:val="21"/>
              </w:rPr>
              <w:t>9）头盔性能：防冲击、放刺穿，帽檐独特的设计加强头部保护；电绝缘性好，耐220v电压。</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45"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8</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工兵铲</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45把</w:t>
            </w:r>
          </w:p>
        </w:tc>
        <w:tc>
          <w:tcPr>
            <w:tcW w:w="6824" w:type="dxa"/>
            <w:gridSpan w:val="2"/>
            <w:tcBorders>
              <w:top w:val="single" w:color="auto" w:sz="4" w:space="0"/>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szCs w:val="21"/>
              </w:rPr>
            </w:pPr>
            <w:r>
              <w:rPr>
                <w:rFonts w:asciiTheme="majorEastAsia" w:hAnsiTheme="majorEastAsia" w:eastAsiaTheme="majorEastAsia"/>
                <w:szCs w:val="21"/>
              </w:rPr>
              <w:t>205工兵铲战备锹，军工品质，铲锹大小175*235</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15"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9</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单兵装备背包</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45个</w:t>
            </w:r>
          </w:p>
        </w:tc>
        <w:tc>
          <w:tcPr>
            <w:tcW w:w="6824" w:type="dxa"/>
            <w:gridSpan w:val="2"/>
            <w:tcBorders>
              <w:top w:val="single" w:color="auto" w:sz="4" w:space="0"/>
              <w:left w:val="nil"/>
              <w:bottom w:val="single" w:color="auto" w:sz="4" w:space="0"/>
              <w:right w:val="single" w:color="auto" w:sz="4" w:space="0"/>
            </w:tcBorders>
            <w:shd w:val="clear" w:color="auto" w:fill="auto"/>
            <w:noWrap/>
            <w:vAlign w:val="center"/>
          </w:tcPr>
          <w:p>
            <w:pPr>
              <w:rPr>
                <w:rFonts w:asciiTheme="majorEastAsia" w:hAnsiTheme="majorEastAsia" w:eastAsiaTheme="majorEastAsia"/>
                <w:szCs w:val="21"/>
              </w:rPr>
            </w:pPr>
            <w:r>
              <w:rPr>
                <w:rFonts w:asciiTheme="majorEastAsia" w:hAnsiTheme="majorEastAsia" w:eastAsiaTheme="majorEastAsia"/>
                <w:szCs w:val="21"/>
              </w:rPr>
              <w:t>容量规格35L,</w:t>
            </w:r>
          </w:p>
          <w:p>
            <w:pPr>
              <w:rPr>
                <w:rFonts w:cs="宋体" w:asciiTheme="majorEastAsia" w:hAnsiTheme="majorEastAsia" w:eastAsiaTheme="majorEastAsia"/>
                <w:szCs w:val="21"/>
              </w:rPr>
            </w:pPr>
            <w:r>
              <w:rPr>
                <w:rFonts w:asciiTheme="majorEastAsia" w:hAnsiTheme="majorEastAsia" w:eastAsiaTheme="majorEastAsia"/>
                <w:szCs w:val="21"/>
              </w:rPr>
              <w:t>1、面料阻燃防火布。</w:t>
            </w:r>
            <w:r>
              <w:rPr>
                <w:rFonts w:asciiTheme="majorEastAsia" w:hAnsiTheme="majorEastAsia" w:eastAsiaTheme="majorEastAsia"/>
                <w:szCs w:val="21"/>
              </w:rPr>
              <w:br w:type="textWrapping"/>
            </w:r>
            <w:r>
              <w:rPr>
                <w:rFonts w:asciiTheme="majorEastAsia" w:hAnsiTheme="majorEastAsia" w:eastAsiaTheme="majorEastAsia"/>
                <w:szCs w:val="21"/>
              </w:rPr>
              <w:t>2、续燃时间≤2S,阴燃时间≤2S。</w:t>
            </w:r>
            <w:r>
              <w:rPr>
                <w:rFonts w:asciiTheme="majorEastAsia" w:hAnsiTheme="majorEastAsia" w:eastAsiaTheme="majorEastAsia"/>
                <w:szCs w:val="21"/>
              </w:rPr>
              <w:br w:type="textWrapping"/>
            </w:r>
            <w:r>
              <w:rPr>
                <w:rFonts w:asciiTheme="majorEastAsia" w:hAnsiTheme="majorEastAsia" w:eastAsiaTheme="majorEastAsia"/>
                <w:szCs w:val="21"/>
              </w:rPr>
              <w:t>3、不能有熔融滴落现象。</w:t>
            </w:r>
            <w:r>
              <w:rPr>
                <w:rFonts w:asciiTheme="majorEastAsia" w:hAnsiTheme="majorEastAsia" w:eastAsiaTheme="majorEastAsia"/>
                <w:szCs w:val="21"/>
              </w:rPr>
              <w:br w:type="textWrapping"/>
            </w:r>
            <w:r>
              <w:rPr>
                <w:rFonts w:asciiTheme="majorEastAsia" w:hAnsiTheme="majorEastAsia" w:eastAsiaTheme="majorEastAsia"/>
                <w:szCs w:val="21"/>
              </w:rPr>
              <w:t>4、面料损毁长度经向≤62mm,纬向≤61mm。</w:t>
            </w:r>
            <w:r>
              <w:rPr>
                <w:rFonts w:asciiTheme="majorEastAsia" w:hAnsiTheme="majorEastAsia" w:eastAsiaTheme="majorEastAsia"/>
                <w:szCs w:val="21"/>
              </w:rPr>
              <w:br w:type="textWrapping"/>
            </w:r>
            <w:r>
              <w:rPr>
                <w:rFonts w:asciiTheme="majorEastAsia" w:hAnsiTheme="majorEastAsia" w:eastAsiaTheme="majorEastAsia"/>
                <w:szCs w:val="21"/>
              </w:rPr>
              <w:t>5、面料断裂强力经向≥450N，纬向≥455N。</w:t>
            </w:r>
            <w:r>
              <w:rPr>
                <w:rFonts w:asciiTheme="majorEastAsia" w:hAnsiTheme="majorEastAsia" w:eastAsiaTheme="majorEastAsia"/>
                <w:szCs w:val="21"/>
              </w:rPr>
              <w:br w:type="textWrapping"/>
            </w:r>
            <w:r>
              <w:rPr>
                <w:rFonts w:asciiTheme="majorEastAsia" w:hAnsiTheme="majorEastAsia" w:eastAsiaTheme="majorEastAsia"/>
                <w:szCs w:val="21"/>
              </w:rPr>
              <w:t>6、面料撕破强力经向≥280N,纬向≥285N。</w:t>
            </w:r>
            <w:r>
              <w:rPr>
                <w:rFonts w:asciiTheme="majorEastAsia" w:hAnsiTheme="majorEastAsia" w:eastAsiaTheme="majorEastAsia"/>
                <w:szCs w:val="21"/>
              </w:rPr>
              <w:br w:type="textWrapping"/>
            </w:r>
            <w:r>
              <w:rPr>
                <w:rFonts w:asciiTheme="majorEastAsia" w:hAnsiTheme="majorEastAsia" w:eastAsiaTheme="majorEastAsia"/>
                <w:szCs w:val="21"/>
              </w:rPr>
              <w:t>7、面料水洗尺寸变化率2. 5%~ +2. 5%。8、面料热稳定≤10%。</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15"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10</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急救包</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color w:val="000000"/>
                <w:szCs w:val="21"/>
              </w:rPr>
            </w:pPr>
            <w:r>
              <w:rPr>
                <w:rFonts w:cs="仿宋_GB2312" w:asciiTheme="majorEastAsia" w:hAnsiTheme="majorEastAsia" w:eastAsiaTheme="majorEastAsia"/>
                <w:color w:val="000000"/>
                <w:kern w:val="0"/>
                <w:szCs w:val="21"/>
              </w:rPr>
              <w:t>10个</w:t>
            </w:r>
          </w:p>
        </w:tc>
        <w:tc>
          <w:tcPr>
            <w:tcW w:w="6824" w:type="dxa"/>
            <w:gridSpan w:val="2"/>
            <w:tcBorders>
              <w:top w:val="single" w:color="auto" w:sz="4" w:space="0"/>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szCs w:val="21"/>
              </w:rPr>
            </w:pPr>
            <w:r>
              <w:rPr>
                <w:rFonts w:asciiTheme="majorEastAsia" w:hAnsiTheme="majorEastAsia" w:eastAsiaTheme="majorEastAsia"/>
                <w:szCs w:val="21"/>
              </w:rPr>
              <w:t>森防急救包【数码迷彩 大包】，材料：尼龙帆布；尺寸：15x11x7厘米（长宽高）；重量：约254克。配置：创口贴7.2cmx1.9cm 数量10；自粘固定胶带 1.25cmx10y数量1；创口贴10x10cm数量2；三角巾96x96x136cm数量1；PET铝箔保温急救毯130cmx220cm数量1；不粘伤口护理敷料10cmx10cm数量2；CPR人工呼吸面膜数量1；酒精棉片 8；优碘棉片 4；任意剪状自粘性伤口敷料贴布6cmx10cm（两片/包） 1；塑胶棉花夹 ( 长 ) 1；弹性包扎绷带8.0cm x 400cm 1；急救止血绷帶10cmx12cmx400cm 1；一次性检查手套(一双/包) 1</w:t>
            </w:r>
            <w:r>
              <w:rPr>
                <w:rFonts w:asciiTheme="majorEastAsia" w:hAnsiTheme="majorEastAsia" w:eastAsiaTheme="majorEastAsia"/>
                <w:szCs w:val="21"/>
              </w:rPr>
              <w:br w:type="textWrapping"/>
            </w:r>
            <w:r>
              <w:rPr>
                <w:rFonts w:asciiTheme="majorEastAsia" w:hAnsiTheme="majorEastAsia" w:eastAsiaTheme="majorEastAsia"/>
                <w:szCs w:val="21"/>
              </w:rPr>
              <w:t>急救剪刀小型 1；安全别针 6；塑胶口哨 1；</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45"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11</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油锯</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24个</w:t>
            </w:r>
          </w:p>
        </w:tc>
        <w:tc>
          <w:tcPr>
            <w:tcW w:w="6824" w:type="dxa"/>
            <w:gridSpan w:val="2"/>
            <w:tcBorders>
              <w:top w:val="single" w:color="auto" w:sz="4" w:space="0"/>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szCs w:val="21"/>
              </w:rPr>
            </w:pPr>
            <w:r>
              <w:rPr>
                <w:rFonts w:asciiTheme="majorEastAsia" w:hAnsiTheme="majorEastAsia" w:eastAsiaTheme="majorEastAsia"/>
                <w:szCs w:val="21"/>
              </w:rPr>
              <w:t>1、发动机形式：单缸、二冲程、风冷、曲轴箱回流扫气；</w:t>
            </w:r>
            <w:r>
              <w:rPr>
                <w:rFonts w:asciiTheme="majorEastAsia" w:hAnsiTheme="majorEastAsia" w:eastAsiaTheme="majorEastAsia"/>
                <w:szCs w:val="21"/>
              </w:rPr>
              <w:br w:type="textWrapping"/>
            </w:r>
            <w:r>
              <w:rPr>
                <w:rFonts w:asciiTheme="majorEastAsia" w:hAnsiTheme="majorEastAsia" w:eastAsiaTheme="majorEastAsia"/>
                <w:szCs w:val="21"/>
              </w:rPr>
              <w:t>2、箱体为镁合金箱体，进口锯链；</w:t>
            </w:r>
            <w:r>
              <w:rPr>
                <w:rFonts w:asciiTheme="majorEastAsia" w:hAnsiTheme="majorEastAsia" w:eastAsiaTheme="majorEastAsia"/>
                <w:szCs w:val="21"/>
              </w:rPr>
              <w:br w:type="textWrapping"/>
            </w:r>
            <w:r>
              <w:rPr>
                <w:rFonts w:asciiTheme="majorEastAsia" w:hAnsiTheme="majorEastAsia" w:eastAsiaTheme="majorEastAsia"/>
                <w:szCs w:val="21"/>
              </w:rPr>
              <w:t>3、排量：＞54ml；</w:t>
            </w:r>
            <w:r>
              <w:rPr>
                <w:rFonts w:asciiTheme="majorEastAsia" w:hAnsiTheme="majorEastAsia" w:eastAsiaTheme="majorEastAsia"/>
                <w:szCs w:val="21"/>
              </w:rPr>
              <w:br w:type="textWrapping"/>
            </w:r>
            <w:r>
              <w:rPr>
                <w:rFonts w:asciiTheme="majorEastAsia" w:hAnsiTheme="majorEastAsia" w:eastAsiaTheme="majorEastAsia"/>
                <w:szCs w:val="21"/>
              </w:rPr>
              <w:t>4、自动锯链润滑油泵，无需手动泵油；</w:t>
            </w:r>
            <w:r>
              <w:rPr>
                <w:rFonts w:asciiTheme="majorEastAsia" w:hAnsiTheme="majorEastAsia" w:eastAsiaTheme="majorEastAsia"/>
                <w:szCs w:val="21"/>
              </w:rPr>
              <w:br w:type="textWrapping"/>
            </w:r>
            <w:r>
              <w:rPr>
                <w:rFonts w:asciiTheme="majorEastAsia" w:hAnsiTheme="majorEastAsia" w:eastAsiaTheme="majorEastAsia"/>
                <w:szCs w:val="21"/>
              </w:rPr>
              <w:t>5、导板长度20吋，最大锯截树径约1m；</w:t>
            </w:r>
            <w:r>
              <w:rPr>
                <w:rFonts w:asciiTheme="majorEastAsia" w:hAnsiTheme="majorEastAsia" w:eastAsiaTheme="majorEastAsia"/>
                <w:szCs w:val="21"/>
              </w:rPr>
              <w:br w:type="textWrapping"/>
            </w:r>
            <w:r>
              <w:rPr>
                <w:rFonts w:asciiTheme="majorEastAsia" w:hAnsiTheme="majorEastAsia" w:eastAsiaTheme="majorEastAsia"/>
                <w:szCs w:val="21"/>
              </w:rPr>
              <w:t>6、常温启动性能：＜15s；</w:t>
            </w:r>
            <w:r>
              <w:rPr>
                <w:rFonts w:asciiTheme="majorEastAsia" w:hAnsiTheme="majorEastAsia" w:eastAsiaTheme="majorEastAsia"/>
                <w:szCs w:val="21"/>
              </w:rPr>
              <w:br w:type="textWrapping"/>
            </w:r>
            <w:r>
              <w:rPr>
                <w:rFonts w:asciiTheme="majorEastAsia" w:hAnsiTheme="majorEastAsia" w:eastAsiaTheme="majorEastAsia"/>
                <w:szCs w:val="21"/>
              </w:rPr>
              <w:t>7、发动机最低燃油消耗率：＜545g/kw.h；</w:t>
            </w:r>
            <w:r>
              <w:rPr>
                <w:rFonts w:asciiTheme="majorEastAsia" w:hAnsiTheme="majorEastAsia" w:eastAsiaTheme="majorEastAsia"/>
                <w:szCs w:val="21"/>
              </w:rPr>
              <w:br w:type="textWrapping"/>
            </w:r>
            <w:r>
              <w:rPr>
                <w:rFonts w:asciiTheme="majorEastAsia" w:hAnsiTheme="majorEastAsia" w:eastAsiaTheme="majorEastAsia"/>
                <w:szCs w:val="21"/>
              </w:rPr>
              <w:t>8、手感振动：＜9m/s2；</w:t>
            </w:r>
            <w:r>
              <w:rPr>
                <w:rFonts w:asciiTheme="majorEastAsia" w:hAnsiTheme="majorEastAsia" w:eastAsiaTheme="majorEastAsia"/>
                <w:szCs w:val="21"/>
              </w:rPr>
              <w:br w:type="textWrapping"/>
            </w:r>
            <w:r>
              <w:rPr>
                <w:rFonts w:asciiTheme="majorEastAsia" w:hAnsiTheme="majorEastAsia" w:eastAsiaTheme="majorEastAsia"/>
                <w:szCs w:val="21"/>
              </w:rPr>
              <w:t>9、最大功率≥3Kw；</w:t>
            </w:r>
            <w:r>
              <w:rPr>
                <w:rFonts w:asciiTheme="majorEastAsia" w:hAnsiTheme="majorEastAsia" w:eastAsiaTheme="majorEastAsia"/>
                <w:szCs w:val="21"/>
              </w:rPr>
              <w:br w:type="textWrapping"/>
            </w:r>
            <w:r>
              <w:rPr>
                <w:rFonts w:asciiTheme="majorEastAsia" w:hAnsiTheme="majorEastAsia" w:eastAsiaTheme="majorEastAsia"/>
                <w:szCs w:val="21"/>
              </w:rPr>
              <w:t>10、主机比质量：≤2.5kg/kw；</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00"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12</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拉梯</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2个</w:t>
            </w:r>
          </w:p>
        </w:tc>
        <w:tc>
          <w:tcPr>
            <w:tcW w:w="6824" w:type="dxa"/>
            <w:gridSpan w:val="2"/>
            <w:tcBorders>
              <w:top w:val="single" w:color="auto" w:sz="4" w:space="0"/>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szCs w:val="21"/>
              </w:rPr>
            </w:pPr>
            <w:r>
              <w:rPr>
                <w:rFonts w:asciiTheme="majorEastAsia" w:hAnsiTheme="majorEastAsia" w:eastAsiaTheme="majorEastAsia"/>
                <w:szCs w:val="21"/>
              </w:rPr>
              <w:t>精选五年以上优质毛竹为原料，经特殊工艺防腐、防蛀、脱脂、高温处理、多层粘合成材制成。金属配件采用优质钢材模具精制而成，使用轻便、灵活，是消防扑救火灾常备器材。</w:t>
            </w:r>
            <w:r>
              <w:rPr>
                <w:rFonts w:asciiTheme="majorEastAsia" w:hAnsiTheme="majorEastAsia" w:eastAsiaTheme="majorEastAsia"/>
                <w:szCs w:val="21"/>
              </w:rPr>
              <w:br w:type="textWrapping"/>
            </w:r>
            <w:r>
              <w:rPr>
                <w:rFonts w:asciiTheme="majorEastAsia" w:hAnsiTheme="majorEastAsia" w:eastAsiaTheme="majorEastAsia"/>
                <w:szCs w:val="21"/>
              </w:rPr>
              <w:t>技术性能：</w:t>
            </w:r>
            <w:r>
              <w:rPr>
                <w:rFonts w:asciiTheme="majorEastAsia" w:hAnsiTheme="majorEastAsia" w:eastAsiaTheme="majorEastAsia"/>
                <w:szCs w:val="21"/>
              </w:rPr>
              <w:br w:type="textWrapping"/>
            </w:r>
            <w:r>
              <w:rPr>
                <w:rFonts w:asciiTheme="majorEastAsia" w:hAnsiTheme="majorEastAsia" w:eastAsiaTheme="majorEastAsia"/>
                <w:szCs w:val="21"/>
              </w:rPr>
              <w:t>1、工作高度：3±0.1m</w:t>
            </w:r>
            <w:r>
              <w:rPr>
                <w:rFonts w:asciiTheme="majorEastAsia" w:hAnsiTheme="majorEastAsia" w:eastAsiaTheme="majorEastAsia"/>
                <w:szCs w:val="21"/>
              </w:rPr>
              <w:br w:type="textWrapping"/>
            </w:r>
            <w:r>
              <w:rPr>
                <w:rFonts w:asciiTheme="majorEastAsia" w:hAnsiTheme="majorEastAsia" w:eastAsiaTheme="majorEastAsia"/>
                <w:szCs w:val="21"/>
              </w:rPr>
              <w:t>2、最小梯宽：250±2mm</w:t>
            </w:r>
            <w:r>
              <w:rPr>
                <w:rFonts w:asciiTheme="majorEastAsia" w:hAnsiTheme="majorEastAsia" w:eastAsiaTheme="majorEastAsia"/>
                <w:szCs w:val="21"/>
              </w:rPr>
              <w:br w:type="textWrapping"/>
            </w:r>
            <w:r>
              <w:rPr>
                <w:rFonts w:asciiTheme="majorEastAsia" w:hAnsiTheme="majorEastAsia" w:eastAsiaTheme="majorEastAsia"/>
                <w:szCs w:val="21"/>
              </w:rPr>
              <w:t>3、梯蹬间距：340±2mm</w:t>
            </w:r>
            <w:r>
              <w:rPr>
                <w:rFonts w:asciiTheme="majorEastAsia" w:hAnsiTheme="majorEastAsia" w:eastAsiaTheme="majorEastAsia"/>
                <w:szCs w:val="21"/>
              </w:rPr>
              <w:br w:type="textWrapping"/>
            </w:r>
            <w:r>
              <w:rPr>
                <w:rFonts w:asciiTheme="majorEastAsia" w:hAnsiTheme="majorEastAsia" w:eastAsiaTheme="majorEastAsia"/>
                <w:szCs w:val="21"/>
              </w:rPr>
              <w:t>4、整梯质量：≤12kg</w:t>
            </w:r>
            <w:r>
              <w:rPr>
                <w:rFonts w:asciiTheme="majorEastAsia" w:hAnsiTheme="majorEastAsia" w:eastAsiaTheme="majorEastAsia"/>
                <w:szCs w:val="21"/>
              </w:rPr>
              <w:br w:type="textWrapping"/>
            </w:r>
            <w:r>
              <w:rPr>
                <w:rFonts w:asciiTheme="majorEastAsia" w:hAnsiTheme="majorEastAsia" w:eastAsiaTheme="majorEastAsia"/>
                <w:szCs w:val="21"/>
              </w:rPr>
              <w:t>5、梯节扭转角：≤20</w:t>
            </w:r>
            <w:r>
              <w:rPr>
                <w:rFonts w:asciiTheme="majorEastAsia" w:hAnsiTheme="majorEastAsia" w:eastAsiaTheme="majorEastAsia"/>
                <w:szCs w:val="21"/>
              </w:rPr>
              <w:br w:type="textWrapping"/>
            </w:r>
            <w:r>
              <w:rPr>
                <w:rFonts w:asciiTheme="majorEastAsia" w:hAnsiTheme="majorEastAsia" w:eastAsiaTheme="majorEastAsia"/>
                <w:szCs w:val="21"/>
              </w:rPr>
              <w:t>6、水平弯曲残余变形比值：≤0.15％</w:t>
            </w:r>
            <w:r>
              <w:rPr>
                <w:rFonts w:asciiTheme="majorEastAsia" w:hAnsiTheme="majorEastAsia" w:eastAsiaTheme="majorEastAsia"/>
                <w:szCs w:val="21"/>
              </w:rPr>
              <w:br w:type="textWrapping"/>
            </w:r>
            <w:r>
              <w:rPr>
                <w:rFonts w:asciiTheme="majorEastAsia" w:hAnsiTheme="majorEastAsia" w:eastAsiaTheme="majorEastAsia"/>
                <w:szCs w:val="21"/>
              </w:rPr>
              <w:t>7、梯蹬弯曲残余变形比值：≤0.5％</w:t>
            </w:r>
            <w:r>
              <w:rPr>
                <w:rFonts w:asciiTheme="majorEastAsia" w:hAnsiTheme="majorEastAsia" w:eastAsiaTheme="majorEastAsia"/>
                <w:szCs w:val="21"/>
              </w:rPr>
              <w:br w:type="textWrapping"/>
            </w:r>
            <w:r>
              <w:rPr>
                <w:rFonts w:asciiTheme="majorEastAsia" w:hAnsiTheme="majorEastAsia" w:eastAsiaTheme="majorEastAsia"/>
                <w:szCs w:val="21"/>
              </w:rPr>
              <w:t>8、侧板摇摆残余变形比值：≤0.3％</w:t>
            </w:r>
            <w:r>
              <w:rPr>
                <w:rFonts w:asciiTheme="majorEastAsia" w:hAnsiTheme="majorEastAsia" w:eastAsiaTheme="majorEastAsia"/>
                <w:szCs w:val="21"/>
              </w:rPr>
              <w:br w:type="textWrapping"/>
            </w:r>
            <w:r>
              <w:rPr>
                <w:rFonts w:asciiTheme="majorEastAsia" w:hAnsiTheme="majorEastAsia" w:eastAsiaTheme="majorEastAsia"/>
                <w:szCs w:val="21"/>
              </w:rPr>
              <w:t>9、梯蹬剪切强度：梯蹬与侧板的连接处和梯蹬本身无任何断裂现象。</w:t>
            </w:r>
            <w:r>
              <w:rPr>
                <w:rFonts w:asciiTheme="majorEastAsia" w:hAnsiTheme="majorEastAsia" w:eastAsiaTheme="majorEastAsia"/>
                <w:szCs w:val="21"/>
              </w:rPr>
              <w:br w:type="textWrapping"/>
            </w:r>
            <w:r>
              <w:rPr>
                <w:rFonts w:asciiTheme="majorEastAsia" w:hAnsiTheme="majorEastAsia" w:eastAsiaTheme="majorEastAsia"/>
                <w:szCs w:val="21"/>
              </w:rPr>
              <w:t>10、消防梯在进行翘曲试验后，任一梯脚均不离地。</w:t>
            </w:r>
            <w:r>
              <w:rPr>
                <w:rFonts w:asciiTheme="majorEastAsia" w:hAnsiTheme="majorEastAsia" w:eastAsiaTheme="majorEastAsia"/>
                <w:szCs w:val="21"/>
              </w:rPr>
              <w:br w:type="textWrapping"/>
            </w:r>
            <w:r>
              <w:rPr>
                <w:rFonts w:asciiTheme="majorEastAsia" w:hAnsiTheme="majorEastAsia" w:eastAsiaTheme="majorEastAsia"/>
                <w:szCs w:val="21"/>
              </w:rPr>
              <w:t>11、梯蹬与侧板紧密吻合，无松动和加楔，金属梯蹬设有防滑措施。符合GA137-2007《消防梯》的标准要求。</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75"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13</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背油桶</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10个</w:t>
            </w:r>
          </w:p>
        </w:tc>
        <w:tc>
          <w:tcPr>
            <w:tcW w:w="6824" w:type="dxa"/>
            <w:gridSpan w:val="2"/>
            <w:tcBorders>
              <w:top w:val="single" w:color="auto" w:sz="4" w:space="0"/>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szCs w:val="21"/>
              </w:rPr>
            </w:pPr>
            <w:r>
              <w:rPr>
                <w:rFonts w:asciiTheme="majorEastAsia" w:hAnsiTheme="majorEastAsia" w:eastAsiaTheme="majorEastAsia"/>
                <w:szCs w:val="21"/>
              </w:rPr>
              <w:t>油桶容量20L，油桶采用优质铁制作、配有高强度橡胶软管，连接加油枪使用方便、安全快捷、简单。密封性能好;</w:t>
            </w:r>
            <w:r>
              <w:rPr>
                <w:rFonts w:asciiTheme="majorEastAsia" w:hAnsiTheme="majorEastAsia" w:eastAsiaTheme="majorEastAsia"/>
                <w:szCs w:val="21"/>
              </w:rPr>
              <w:br w:type="textWrapping"/>
            </w:r>
            <w:r>
              <w:rPr>
                <w:rFonts w:asciiTheme="majorEastAsia" w:hAnsiTheme="majorEastAsia" w:eastAsiaTheme="majorEastAsia"/>
                <w:szCs w:val="21"/>
              </w:rPr>
              <w:t>具有安全、防泄漏、防腐、防酸碱等特点。</w:t>
            </w:r>
            <w:r>
              <w:rPr>
                <w:rFonts w:asciiTheme="majorEastAsia" w:hAnsiTheme="majorEastAsia" w:eastAsiaTheme="majorEastAsia"/>
                <w:szCs w:val="21"/>
              </w:rPr>
              <w:br w:type="textWrapping"/>
            </w:r>
            <w:r>
              <w:rPr>
                <w:rFonts w:asciiTheme="majorEastAsia" w:hAnsiTheme="majorEastAsia" w:eastAsiaTheme="majorEastAsia"/>
                <w:szCs w:val="21"/>
              </w:rPr>
              <w:t>双肩背带、背负舒适且透气，轻松便利，方便上山行军</w:t>
            </w:r>
            <w:r>
              <w:rPr>
                <w:rFonts w:asciiTheme="majorEastAsia" w:hAnsiTheme="majorEastAsia" w:eastAsiaTheme="majorEastAsia"/>
                <w:szCs w:val="21"/>
              </w:rPr>
              <w:br w:type="textWrapping"/>
            </w:r>
            <w:r>
              <w:rPr>
                <w:rFonts w:asciiTheme="majorEastAsia" w:hAnsiTheme="majorEastAsia" w:eastAsiaTheme="majorEastAsia"/>
                <w:szCs w:val="21"/>
              </w:rPr>
              <w:t>很好的解决了消防车辆、扑火机具及人员生活的用油/水问题。</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30"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14</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水壶</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50</w:t>
            </w:r>
          </w:p>
        </w:tc>
        <w:tc>
          <w:tcPr>
            <w:tcW w:w="6824" w:type="dxa"/>
            <w:gridSpan w:val="2"/>
            <w:tcBorders>
              <w:top w:val="single" w:color="auto" w:sz="4" w:space="0"/>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szCs w:val="21"/>
              </w:rPr>
            </w:pPr>
            <w:r>
              <w:rPr>
                <w:rFonts w:asciiTheme="majorEastAsia" w:hAnsiTheme="majorEastAsia" w:eastAsiaTheme="majorEastAsia"/>
                <w:szCs w:val="21"/>
              </w:rPr>
              <w:t>1.容积1L</w:t>
            </w:r>
            <w:r>
              <w:rPr>
                <w:rFonts w:asciiTheme="majorEastAsia" w:hAnsiTheme="majorEastAsia" w:eastAsiaTheme="majorEastAsia"/>
                <w:szCs w:val="21"/>
              </w:rPr>
              <w:br w:type="textWrapping"/>
            </w:r>
            <w:r>
              <w:rPr>
                <w:rFonts w:asciiTheme="majorEastAsia" w:hAnsiTheme="majorEastAsia" w:eastAsiaTheme="majorEastAsia"/>
                <w:szCs w:val="21"/>
              </w:rPr>
              <w:t>2.外形尺寸：19cm×13cm×9cm</w:t>
            </w:r>
            <w:r>
              <w:rPr>
                <w:rFonts w:asciiTheme="majorEastAsia" w:hAnsiTheme="majorEastAsia" w:eastAsiaTheme="majorEastAsia"/>
                <w:szCs w:val="21"/>
              </w:rPr>
              <w:br w:type="textWrapping"/>
            </w:r>
            <w:r>
              <w:rPr>
                <w:rFonts w:asciiTheme="majorEastAsia" w:hAnsiTheme="majorEastAsia" w:eastAsiaTheme="majorEastAsia"/>
                <w:szCs w:val="21"/>
              </w:rPr>
              <w:t>3.水壶为铝合金材质，水壶套有帆布包可背负可腰挂。</w:t>
            </w:r>
            <w:r>
              <w:rPr>
                <w:rFonts w:asciiTheme="majorEastAsia" w:hAnsiTheme="majorEastAsia" w:eastAsiaTheme="majorEastAsia"/>
                <w:szCs w:val="21"/>
              </w:rPr>
              <w:br w:type="textWrapping"/>
            </w:r>
            <w:r>
              <w:rPr>
                <w:rFonts w:asciiTheme="majorEastAsia" w:hAnsiTheme="majorEastAsia" w:eastAsiaTheme="majorEastAsia"/>
                <w:szCs w:val="21"/>
              </w:rPr>
              <w:t>4.总重：370g</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15</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救援作训服（春）</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90套</w:t>
            </w:r>
          </w:p>
        </w:tc>
        <w:tc>
          <w:tcPr>
            <w:tcW w:w="6824" w:type="dxa"/>
            <w:gridSpan w:val="2"/>
            <w:tcBorders>
              <w:top w:val="single" w:color="auto" w:sz="4" w:space="0"/>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szCs w:val="21"/>
              </w:rPr>
            </w:pPr>
            <w:r>
              <w:rPr>
                <w:rFonts w:asciiTheme="majorEastAsia" w:hAnsiTheme="majorEastAsia" w:eastAsiaTheme="majorEastAsia"/>
                <w:szCs w:val="21"/>
              </w:rPr>
              <w:t>救援作训服春夏装，材质棉涤（涤35%棉65%），丛林迷彩，不掉色，尺码可选</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15"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16</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救援作训服（秋）</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90套</w:t>
            </w:r>
          </w:p>
        </w:tc>
        <w:tc>
          <w:tcPr>
            <w:tcW w:w="6824" w:type="dxa"/>
            <w:gridSpan w:val="2"/>
            <w:tcBorders>
              <w:top w:val="single" w:color="auto" w:sz="4" w:space="0"/>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szCs w:val="21"/>
              </w:rPr>
            </w:pPr>
            <w:r>
              <w:rPr>
                <w:rFonts w:asciiTheme="majorEastAsia" w:hAnsiTheme="majorEastAsia" w:eastAsiaTheme="majorEastAsia"/>
                <w:szCs w:val="21"/>
              </w:rPr>
              <w:t>救援作训服秋冬装，材质棉涤（涤35%棉65%），接缝断裂强度：&gt; 118N,丛林迷彩，不掉色，尺码可选</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15"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17</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作训体能服</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90套</w:t>
            </w:r>
          </w:p>
        </w:tc>
        <w:tc>
          <w:tcPr>
            <w:tcW w:w="6824" w:type="dxa"/>
            <w:gridSpan w:val="2"/>
            <w:tcBorders>
              <w:top w:val="single" w:color="auto" w:sz="4" w:space="0"/>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szCs w:val="21"/>
              </w:rPr>
            </w:pPr>
            <w:r>
              <w:rPr>
                <w:rFonts w:asciiTheme="majorEastAsia" w:hAnsiTheme="majorEastAsia" w:eastAsiaTheme="majorEastAsia"/>
                <w:szCs w:val="21"/>
              </w:rPr>
              <w:t>纯棉材质，透气,耐磨,吸湿排汗，作训专用体能服，尺码可选</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30"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18</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作训靴</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90双</w:t>
            </w:r>
          </w:p>
        </w:tc>
        <w:tc>
          <w:tcPr>
            <w:tcW w:w="6824" w:type="dxa"/>
            <w:gridSpan w:val="2"/>
            <w:tcBorders>
              <w:top w:val="single" w:color="auto" w:sz="4" w:space="0"/>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szCs w:val="21"/>
              </w:rPr>
            </w:pPr>
            <w:r>
              <w:rPr>
                <w:rFonts w:asciiTheme="majorEastAsia" w:hAnsiTheme="majorEastAsia" w:eastAsiaTheme="majorEastAsia"/>
                <w:szCs w:val="21"/>
              </w:rPr>
              <w:t>迷彩丛林，低帮作训靴，尺码可选</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75" w:hRule="atLeast"/>
        </w:trPr>
        <w:tc>
          <w:tcPr>
            <w:tcW w:w="9364"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田阳区区级和10个乡镇应急救援装备C标段</w:t>
            </w:r>
          </w:p>
        </w:tc>
      </w:tr>
      <w:tr>
        <w:tblPrEx>
          <w:tblCellMar>
            <w:top w:w="0" w:type="dxa"/>
            <w:left w:w="108" w:type="dxa"/>
            <w:bottom w:w="0" w:type="dxa"/>
            <w:right w:w="108" w:type="dxa"/>
          </w:tblCellMar>
        </w:tblPrEx>
        <w:trPr>
          <w:trHeight w:val="350"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1</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大型农用灌溉抽水机</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4台</w:t>
            </w:r>
          </w:p>
        </w:tc>
        <w:tc>
          <w:tcPr>
            <w:tcW w:w="682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流量m3h：180</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扬程m：20</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吸程m：8</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发动机形式：</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单缸，四冲程，风冷，柴油发动机"</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缸径x行程：92*75</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压缩比：19:1</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排耗量cc ：496</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功率KW：12.2</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供油方式 ：自流式</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冷</w:t>
            </w:r>
            <w:r>
              <w:rPr>
                <w:rFonts w:hint="eastAsia" w:cs="宋体" w:asciiTheme="majorEastAsia" w:hAnsiTheme="majorEastAsia" w:eastAsiaTheme="majorEastAsia"/>
                <w:color w:val="000000"/>
                <w:kern w:val="0"/>
                <w:szCs w:val="21"/>
              </w:rPr>
              <w:t>卻</w:t>
            </w:r>
            <w:r>
              <w:rPr>
                <w:rFonts w:hint="eastAsia" w:cs="仿宋_GB2312" w:asciiTheme="majorEastAsia" w:hAnsiTheme="majorEastAsia" w:eastAsiaTheme="majorEastAsia"/>
                <w:color w:val="000000"/>
                <w:kern w:val="0"/>
                <w:szCs w:val="21"/>
              </w:rPr>
              <w:t>方式：风冷</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起动方式 ：手拉式/电启动</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转速：3600</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机油容量 L：1.65</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燃油箱容积L：20</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耗油量g/kW.h：271.1</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包装尺寸（L×W×H）mm：960×630×820</w:t>
            </w:r>
          </w:p>
          <w:p>
            <w:pPr>
              <w:widowControl/>
              <w:jc w:val="left"/>
              <w:textAlignment w:val="center"/>
              <w:rPr>
                <w:rFonts w:cs="仿宋_GB2312" w:asciiTheme="majorEastAsia" w:hAnsiTheme="majorEastAsia" w:eastAsiaTheme="majorEastAsia"/>
                <w:color w:val="000000"/>
                <w:szCs w:val="21"/>
              </w:rPr>
            </w:pPr>
            <w:r>
              <w:rPr>
                <w:rFonts w:hint="eastAsia" w:cs="仿宋_GB2312" w:asciiTheme="majorEastAsia" w:hAnsiTheme="majorEastAsia" w:eastAsiaTheme="majorEastAsia"/>
                <w:color w:val="000000"/>
                <w:kern w:val="0"/>
                <w:szCs w:val="21"/>
              </w:rPr>
              <w:t>净重/毛重kg：125/132</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79"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2</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小型农用灌溉抽水机</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44台</w:t>
            </w:r>
          </w:p>
        </w:tc>
        <w:tc>
          <w:tcPr>
            <w:tcW w:w="682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发动机型式：单缸、四冲程、风冷 OHV,25°</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启动方式：手拉反冲启动</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 xml:space="preserve">点火系统：无触点晶体管T.C.I </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缸径×行程(mm）：70×54</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排量(mL)：208</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最大持续功率(kW/3600rpm)：4.2</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燃油容积(L)：3.6</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机油容积(L)：0.6</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进、出水口径(mm)：50/50</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最大吸程(m)：7</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最大扬程(m)：30</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最大流量(m3/h)：25</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自吸时间 (sec)：≤180</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体积（机架外型尺寸） (mm)：530×410×450</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包装尺寸：545×435×480</w:t>
            </w:r>
          </w:p>
          <w:p>
            <w:pPr>
              <w:widowControl/>
              <w:jc w:val="left"/>
              <w:textAlignment w:val="center"/>
              <w:rPr>
                <w:rFonts w:cs="仿宋_GB2312" w:asciiTheme="majorEastAsia" w:hAnsiTheme="majorEastAsia" w:eastAsiaTheme="majorEastAsia"/>
                <w:color w:val="000000"/>
                <w:szCs w:val="21"/>
              </w:rPr>
            </w:pPr>
            <w:r>
              <w:rPr>
                <w:rFonts w:hint="eastAsia" w:cs="仿宋_GB2312" w:asciiTheme="majorEastAsia" w:hAnsiTheme="majorEastAsia" w:eastAsiaTheme="majorEastAsia"/>
                <w:color w:val="000000"/>
                <w:kern w:val="0"/>
                <w:szCs w:val="21"/>
              </w:rPr>
              <w:t>净重/毛重(kg)：24/26</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18"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3</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防汛专用雨衣</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200件</w:t>
            </w:r>
          </w:p>
        </w:tc>
        <w:tc>
          <w:tcPr>
            <w:tcW w:w="682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面料：牛津布300D、环保PVC防水涂层、加宽TC反光条。</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87"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4</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防汛专用水靴</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200双</w:t>
            </w:r>
          </w:p>
        </w:tc>
        <w:tc>
          <w:tcPr>
            <w:tcW w:w="682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鞋总高：39cm</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尺码：36-45</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净重：3斤</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大底材质：</w:t>
            </w:r>
          </w:p>
          <w:p>
            <w:pPr>
              <w:widowControl/>
              <w:jc w:val="left"/>
              <w:textAlignment w:val="center"/>
              <w:rPr>
                <w:rFonts w:cs="仿宋_GB2312" w:asciiTheme="majorEastAsia" w:hAnsiTheme="majorEastAsia" w:eastAsiaTheme="majorEastAsia"/>
                <w:color w:val="000000"/>
                <w:szCs w:val="21"/>
              </w:rPr>
            </w:pPr>
            <w:r>
              <w:rPr>
                <w:rFonts w:hint="eastAsia" w:cs="仿宋_GB2312" w:asciiTheme="majorEastAsia" w:hAnsiTheme="majorEastAsia" w:eastAsiaTheme="majorEastAsia"/>
                <w:color w:val="000000"/>
                <w:kern w:val="0"/>
                <w:szCs w:val="21"/>
              </w:rPr>
              <w:t>天然橡胶材质，加厚磨牙底型，耐磨防滑有弹性，橡胶柔软舒适，不发硬</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30"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5</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救生衣</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200件</w:t>
            </w:r>
          </w:p>
        </w:tc>
        <w:tc>
          <w:tcPr>
            <w:tcW w:w="682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颜色：橙色</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浮力：7.5kg</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哨子：1只</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材质：优质EPE，外面防水牛津布</w:t>
            </w:r>
          </w:p>
          <w:p>
            <w:pPr>
              <w:widowControl/>
              <w:jc w:val="left"/>
              <w:textAlignment w:val="center"/>
              <w:rPr>
                <w:rFonts w:cs="仿宋_GB2312" w:asciiTheme="majorEastAsia" w:hAnsiTheme="majorEastAsia" w:eastAsiaTheme="majorEastAsia"/>
                <w:color w:val="000000"/>
                <w:szCs w:val="21"/>
              </w:rPr>
            </w:pPr>
            <w:r>
              <w:rPr>
                <w:rFonts w:hint="eastAsia" w:cs="仿宋_GB2312" w:asciiTheme="majorEastAsia" w:hAnsiTheme="majorEastAsia" w:eastAsiaTheme="majorEastAsia"/>
                <w:color w:val="000000"/>
                <w:kern w:val="0"/>
                <w:szCs w:val="21"/>
              </w:rPr>
              <w:t>特点：耐高温、耐酸、耐碱、耐热、耐油。</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60"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6</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救生圈</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200件</w:t>
            </w:r>
          </w:p>
        </w:tc>
        <w:tc>
          <w:tcPr>
            <w:tcW w:w="682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规格：成人救生圈外径71cm内径44cm</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颜色：橙色</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浮力：14.5kg</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材质：外壳为聚乙稀，芯材为聚安脂</w:t>
            </w:r>
          </w:p>
          <w:p>
            <w:pPr>
              <w:widowControl/>
              <w:jc w:val="left"/>
              <w:textAlignment w:val="center"/>
              <w:rPr>
                <w:rFonts w:cs="仿宋_GB2312" w:asciiTheme="majorEastAsia" w:hAnsiTheme="majorEastAsia" w:eastAsiaTheme="majorEastAsia"/>
                <w:color w:val="000000"/>
                <w:szCs w:val="21"/>
              </w:rPr>
            </w:pPr>
            <w:r>
              <w:rPr>
                <w:rFonts w:hint="eastAsia" w:cs="仿宋_GB2312" w:asciiTheme="majorEastAsia" w:hAnsiTheme="majorEastAsia" w:eastAsiaTheme="majorEastAsia"/>
                <w:color w:val="000000"/>
                <w:kern w:val="0"/>
                <w:szCs w:val="21"/>
              </w:rPr>
              <w:t>特点：耐高温、耐酸、耐碱、耐热、耐油</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74"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7</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防汛编织袋</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500个</w:t>
            </w:r>
          </w:p>
        </w:tc>
        <w:tc>
          <w:tcPr>
            <w:tcW w:w="682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产品名称：编织袋</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产品材质：PP颗粒</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产品克重：平方38-67克</w:t>
            </w:r>
          </w:p>
          <w:p>
            <w:pPr>
              <w:widowControl/>
              <w:jc w:val="left"/>
              <w:textAlignment w:val="center"/>
              <w:rPr>
                <w:rFonts w:cs="仿宋_GB2312" w:asciiTheme="majorEastAsia" w:hAnsiTheme="majorEastAsia" w:eastAsiaTheme="majorEastAsia"/>
                <w:color w:val="000000"/>
                <w:szCs w:val="21"/>
              </w:rPr>
            </w:pPr>
            <w:r>
              <w:rPr>
                <w:rFonts w:hint="eastAsia" w:cs="仿宋_GB2312" w:asciiTheme="majorEastAsia" w:hAnsiTheme="majorEastAsia" w:eastAsiaTheme="majorEastAsia"/>
                <w:color w:val="000000"/>
                <w:kern w:val="0"/>
                <w:szCs w:val="21"/>
              </w:rPr>
              <w:t>产品用途：适合物流运输，建筑沙石、打包快递、防汛、生活垃圾、包装纸箱等</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90"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8</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防汛专用铲</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200把</w:t>
            </w:r>
          </w:p>
        </w:tc>
        <w:tc>
          <w:tcPr>
            <w:tcW w:w="682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规格：长款</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材质：50锰钢</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铲头厚度：1.8mm</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淬火硬度：HRC48-55</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木柄材质：水曲柳</w:t>
            </w:r>
          </w:p>
          <w:p>
            <w:pPr>
              <w:widowControl/>
              <w:jc w:val="left"/>
              <w:textAlignment w:val="center"/>
              <w:rPr>
                <w:rFonts w:cs="仿宋_GB2312" w:asciiTheme="majorEastAsia" w:hAnsiTheme="majorEastAsia" w:eastAsiaTheme="majorEastAsia"/>
                <w:color w:val="000000"/>
                <w:szCs w:val="21"/>
              </w:rPr>
            </w:pPr>
            <w:r>
              <w:rPr>
                <w:rFonts w:hint="eastAsia" w:cs="仿宋_GB2312" w:asciiTheme="majorEastAsia" w:hAnsiTheme="majorEastAsia" w:eastAsiaTheme="majorEastAsia"/>
                <w:color w:val="000000"/>
                <w:kern w:val="0"/>
                <w:szCs w:val="21"/>
              </w:rPr>
              <w:t>铲头重量：0.91KG</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60"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9</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防汛专用锄头</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200把</w:t>
            </w:r>
          </w:p>
        </w:tc>
        <w:tc>
          <w:tcPr>
            <w:tcW w:w="682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cs="仿宋_GB2312" w:asciiTheme="majorEastAsia" w:hAnsiTheme="majorEastAsia" w:eastAsiaTheme="majorEastAsia"/>
                <w:color w:val="000000"/>
                <w:szCs w:val="21"/>
              </w:rPr>
            </w:pPr>
            <w:r>
              <w:rPr>
                <w:rFonts w:hint="eastAsia" w:cs="仿宋_GB2312" w:asciiTheme="majorEastAsia" w:hAnsiTheme="majorEastAsia" w:eastAsiaTheme="majorEastAsia"/>
                <w:color w:val="000000"/>
                <w:kern w:val="0"/>
                <w:szCs w:val="21"/>
              </w:rPr>
              <w:t>锰钢一体锻打，反复锻造，经久耐用、锄口经过开刃处理，恒温淬火。</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75"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10</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防汛安全帽</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200个</w:t>
            </w:r>
          </w:p>
        </w:tc>
        <w:tc>
          <w:tcPr>
            <w:tcW w:w="682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材质：ABS工程塑料</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款式：三筋透气型</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内里：棉质织物内衬</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内衬：四点式内衬插接式调节</w:t>
            </w:r>
          </w:p>
          <w:p>
            <w:pPr>
              <w:widowControl/>
              <w:jc w:val="left"/>
              <w:textAlignment w:val="center"/>
              <w:rPr>
                <w:rFonts w:cs="仿宋_GB2312" w:asciiTheme="majorEastAsia" w:hAnsiTheme="majorEastAsia" w:eastAsiaTheme="majorEastAsia"/>
                <w:color w:val="000000"/>
                <w:szCs w:val="21"/>
              </w:rPr>
            </w:pPr>
            <w:r>
              <w:rPr>
                <w:rFonts w:hint="eastAsia" w:cs="仿宋_GB2312" w:asciiTheme="majorEastAsia" w:hAnsiTheme="majorEastAsia" w:eastAsiaTheme="majorEastAsia"/>
                <w:color w:val="000000"/>
                <w:kern w:val="0"/>
                <w:szCs w:val="21"/>
              </w:rPr>
              <w:t>环境：建筑工程、电力运输、矿山石油</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90"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11</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救灾专用帐篷</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90顶</w:t>
            </w:r>
          </w:p>
        </w:tc>
        <w:tc>
          <w:tcPr>
            <w:tcW w:w="682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3*4米救灾帐篷</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标配1门四窗，窗户带纱窗，门两侧拉链，门和窗都有绑带。</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支架：25mm*0.9mm铁管烤漆白色漆。</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布顶：800d PVC牛津布。</w:t>
            </w:r>
          </w:p>
          <w:p>
            <w:pPr>
              <w:widowControl/>
              <w:jc w:val="left"/>
              <w:textAlignment w:val="center"/>
              <w:rPr>
                <w:rFonts w:cs="仿宋_GB2312" w:asciiTheme="majorEastAsia" w:hAnsiTheme="majorEastAsia" w:eastAsiaTheme="majorEastAsia"/>
                <w:color w:val="000000"/>
                <w:szCs w:val="21"/>
              </w:rPr>
            </w:pPr>
            <w:r>
              <w:rPr>
                <w:rFonts w:hint="eastAsia" w:cs="仿宋_GB2312" w:asciiTheme="majorEastAsia" w:hAnsiTheme="majorEastAsia" w:eastAsiaTheme="majorEastAsia"/>
                <w:color w:val="000000"/>
                <w:kern w:val="0"/>
                <w:szCs w:val="21"/>
              </w:rPr>
              <w:t>窗户大小高60cm*宽53cm，窗口到地面1米。门：175cm*宽100cm。</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15"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12</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简易折叠帐篷</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40顶</w:t>
            </w:r>
          </w:p>
        </w:tc>
        <w:tc>
          <w:tcPr>
            <w:tcW w:w="682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布料：600D加密，加厚牛津布，具有防雨，遮阳，防紫外线功能。</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四方钢管铁架烤漆：</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上脚: 30*30*0.5mm, 1.47m</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下脚：25*25*0.5mm, 0.97m</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交叉管：12*25mm</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顶杆：Φ 22*0.5mm</w:t>
            </w:r>
          </w:p>
          <w:p>
            <w:pPr>
              <w:widowControl/>
              <w:jc w:val="left"/>
              <w:textAlignment w:val="center"/>
              <w:rPr>
                <w:rFonts w:cs="仿宋_GB2312" w:asciiTheme="majorEastAsia" w:hAnsiTheme="majorEastAsia" w:eastAsiaTheme="majorEastAsia"/>
                <w:color w:val="000000"/>
                <w:szCs w:val="21"/>
              </w:rPr>
            </w:pPr>
            <w:r>
              <w:rPr>
                <w:rFonts w:hint="eastAsia" w:cs="仿宋_GB2312" w:asciiTheme="majorEastAsia" w:hAnsiTheme="majorEastAsia" w:eastAsiaTheme="majorEastAsia"/>
                <w:color w:val="000000"/>
                <w:kern w:val="0"/>
                <w:szCs w:val="21"/>
              </w:rPr>
              <w:t>重量约15公斤</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00"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13</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救灾折叠床</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40张</w:t>
            </w:r>
          </w:p>
        </w:tc>
        <w:tc>
          <w:tcPr>
            <w:tcW w:w="682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规格：1850*700*350mm</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材料1、救灾床主要框架采用Q235ψ  25*1.1直缝电焊钢管。</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 xml:space="preserve">   2、连接片材料规格为Q235</w:t>
            </w:r>
          </w:p>
          <w:p>
            <w:pPr>
              <w:widowControl/>
              <w:jc w:val="left"/>
              <w:textAlignment w:val="center"/>
              <w:rPr>
                <w:rFonts w:cs="仿宋_GB2312" w:asciiTheme="majorEastAsia" w:hAnsiTheme="majorEastAsia" w:eastAsiaTheme="majorEastAsia"/>
                <w:color w:val="000000"/>
                <w:szCs w:val="21"/>
              </w:rPr>
            </w:pPr>
            <w:r>
              <w:rPr>
                <w:rFonts w:hint="eastAsia" w:cs="仿宋_GB2312" w:asciiTheme="majorEastAsia" w:hAnsiTheme="majorEastAsia" w:eastAsiaTheme="majorEastAsia"/>
                <w:color w:val="000000"/>
                <w:kern w:val="0"/>
                <w:szCs w:val="21"/>
              </w:rPr>
              <w:t xml:space="preserve">   3、救灾折叠床主要面布666x666dtex天蓝PVC涂层布。</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599" w:hRule="atLeast"/>
        </w:trPr>
        <w:tc>
          <w:tcPr>
            <w:tcW w:w="5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14</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警戒隔离带</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仿宋_GB2312"/>
                <w:color w:val="000000"/>
                <w:szCs w:val="21"/>
              </w:rPr>
            </w:pPr>
            <w:r>
              <w:rPr>
                <w:rFonts w:ascii="宋体" w:hAnsi="宋体" w:cs="仿宋_GB2312"/>
                <w:color w:val="000000"/>
                <w:kern w:val="0"/>
                <w:szCs w:val="21"/>
              </w:rPr>
              <w:t>200个</w:t>
            </w:r>
          </w:p>
        </w:tc>
        <w:tc>
          <w:tcPr>
            <w:tcW w:w="682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材质：涤沦布/化纤布</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宽度：约4公分</w:t>
            </w:r>
          </w:p>
          <w:p>
            <w:pPr>
              <w:widowControl/>
              <w:jc w:val="left"/>
              <w:textAlignment w:val="center"/>
              <w:rPr>
                <w:rFonts w:cs="仿宋_GB2312" w:asciiTheme="majorEastAsia" w:hAnsiTheme="majorEastAsia" w:eastAsiaTheme="majorEastAsia"/>
                <w:color w:val="000000"/>
                <w:kern w:val="0"/>
                <w:szCs w:val="21"/>
              </w:rPr>
            </w:pPr>
            <w:r>
              <w:rPr>
                <w:rFonts w:hint="eastAsia" w:cs="仿宋_GB2312" w:asciiTheme="majorEastAsia" w:hAnsiTheme="majorEastAsia" w:eastAsiaTheme="majorEastAsia"/>
                <w:color w:val="000000"/>
                <w:kern w:val="0"/>
                <w:szCs w:val="21"/>
              </w:rPr>
              <w:t>厚度：10丝</w:t>
            </w:r>
          </w:p>
          <w:p>
            <w:pPr>
              <w:widowControl/>
              <w:jc w:val="left"/>
              <w:textAlignment w:val="center"/>
              <w:rPr>
                <w:rFonts w:cs="仿宋_GB2312" w:asciiTheme="majorEastAsia" w:hAnsiTheme="majorEastAsia" w:eastAsiaTheme="majorEastAsia"/>
                <w:color w:val="000000"/>
                <w:szCs w:val="21"/>
              </w:rPr>
            </w:pPr>
            <w:r>
              <w:rPr>
                <w:rFonts w:hint="eastAsia" w:cs="仿宋_GB2312" w:asciiTheme="majorEastAsia" w:hAnsiTheme="majorEastAsia" w:eastAsiaTheme="majorEastAsia"/>
                <w:color w:val="000000"/>
                <w:kern w:val="0"/>
                <w:szCs w:val="21"/>
              </w:rPr>
              <w:t>使用环境：用于电力检修、道路维护、事故现场救援等警示区域</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105" w:hRule="atLeast"/>
        </w:trPr>
        <w:tc>
          <w:tcPr>
            <w:tcW w:w="9364"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80" w:lineRule="exact"/>
              <w:rPr>
                <w:rFonts w:ascii="宋体" w:hAnsi="宋体" w:cs="宋体"/>
                <w:kern w:val="0"/>
                <w:sz w:val="24"/>
                <w:szCs w:val="24"/>
              </w:rPr>
            </w:pPr>
            <w:r>
              <w:rPr>
                <w:rFonts w:hint="eastAsia" w:ascii="宋体" w:hAnsi="宋体" w:cs="宋体"/>
                <w:kern w:val="0"/>
                <w:sz w:val="24"/>
                <w:szCs w:val="24"/>
              </w:rPr>
              <w:t>一、售后服务、技术要求及其它要求：</w:t>
            </w:r>
            <w:r>
              <w:rPr>
                <w:rFonts w:hint="eastAsia" w:ascii="宋体" w:hAnsi="宋体" w:cs="宋体"/>
                <w:kern w:val="0"/>
                <w:sz w:val="24"/>
                <w:szCs w:val="24"/>
              </w:rPr>
              <w:br w:type="textWrapping"/>
            </w:r>
            <w:r>
              <w:rPr>
                <w:rFonts w:hint="eastAsia" w:ascii="宋体" w:hAnsi="宋体" w:cs="宋体"/>
                <w:color w:val="000000"/>
                <w:kern w:val="0"/>
                <w:sz w:val="24"/>
                <w:szCs w:val="24"/>
              </w:rPr>
              <w:t>1.售后服务要求：免费送货上门、免费安装调试至合格，</w:t>
            </w:r>
            <w:r>
              <w:rPr>
                <w:rFonts w:hint="eastAsia" w:ascii="宋体" w:hAnsi="宋体" w:cs="宋体"/>
                <w:kern w:val="0"/>
                <w:sz w:val="24"/>
                <w:szCs w:val="24"/>
              </w:rPr>
              <w:t>按国家有关产品三包规定执行三包，质保期除特别注明外，最短不得少于1年，免费维修，终身维护。</w:t>
            </w:r>
          </w:p>
          <w:p>
            <w:pPr>
              <w:spacing w:line="380" w:lineRule="exact"/>
              <w:rPr>
                <w:rFonts w:ascii="宋体" w:hAnsi="宋体" w:cs="宋体"/>
                <w:kern w:val="0"/>
                <w:sz w:val="24"/>
                <w:szCs w:val="24"/>
              </w:rPr>
            </w:pPr>
            <w:r>
              <w:rPr>
                <w:rFonts w:hint="eastAsia" w:ascii="宋体" w:hAnsi="宋体" w:cs="宋体"/>
                <w:kern w:val="0"/>
                <w:sz w:val="24"/>
                <w:szCs w:val="24"/>
              </w:rPr>
              <w:t>2.签定合同日期：自成交通知书发出之日起25天内。</w:t>
            </w:r>
            <w:r>
              <w:rPr>
                <w:rFonts w:hint="eastAsia" w:ascii="宋体" w:hAnsi="宋体" w:cs="宋体"/>
                <w:kern w:val="0"/>
                <w:sz w:val="24"/>
                <w:szCs w:val="24"/>
              </w:rPr>
              <w:br w:type="textWrapping"/>
            </w:r>
            <w:r>
              <w:rPr>
                <w:rFonts w:hint="eastAsia" w:ascii="宋体" w:hAnsi="宋体" w:cs="宋体"/>
                <w:kern w:val="0"/>
                <w:sz w:val="24"/>
                <w:szCs w:val="24"/>
              </w:rPr>
              <w:t>3.交货期：自签订合同之日起15天内供货完毕并交付正常使用。</w:t>
            </w:r>
            <w:r>
              <w:rPr>
                <w:rFonts w:hint="eastAsia" w:ascii="宋体" w:hAnsi="宋体" w:cs="宋体"/>
                <w:kern w:val="0"/>
                <w:sz w:val="24"/>
                <w:szCs w:val="24"/>
              </w:rPr>
              <w:br w:type="textWrapping"/>
            </w:r>
            <w:r>
              <w:rPr>
                <w:rFonts w:hint="eastAsia" w:ascii="宋体" w:hAnsi="宋体" w:cs="宋体"/>
                <w:kern w:val="0"/>
                <w:sz w:val="24"/>
                <w:szCs w:val="24"/>
              </w:rPr>
              <w:t>4.交货地点：</w:t>
            </w:r>
            <w:r>
              <w:rPr>
                <w:rFonts w:hint="eastAsia" w:ascii="宋体" w:hAnsi="宋体" w:cs="宋体"/>
                <w:color w:val="000000"/>
                <w:kern w:val="0"/>
                <w:sz w:val="24"/>
                <w:szCs w:val="24"/>
              </w:rPr>
              <w:t>采购人指定地点</w:t>
            </w:r>
            <w:r>
              <w:rPr>
                <w:rFonts w:hint="eastAsia" w:ascii="宋体" w:hAnsi="宋体" w:cs="宋体"/>
                <w:kern w:val="0"/>
                <w:sz w:val="24"/>
                <w:szCs w:val="24"/>
              </w:rPr>
              <w:t>。</w:t>
            </w:r>
            <w:r>
              <w:rPr>
                <w:rFonts w:hint="eastAsia" w:ascii="宋体" w:hAnsi="宋体" w:cs="宋体"/>
                <w:kern w:val="0"/>
                <w:sz w:val="24"/>
                <w:szCs w:val="24"/>
              </w:rPr>
              <w:br w:type="textWrapping"/>
            </w:r>
            <w:r>
              <w:rPr>
                <w:rFonts w:hint="eastAsia" w:ascii="宋体" w:hAnsi="宋体" w:cs="宋体"/>
                <w:kern w:val="0"/>
                <w:sz w:val="24"/>
                <w:szCs w:val="24"/>
              </w:rPr>
              <w:t>5.根据用户实际需要，必须免费为现场操作使用及维护人员提供培训直至能熟练。免费提供完善的产品使用手册、操作培训手册、维护手册。</w:t>
            </w:r>
            <w:r>
              <w:rPr>
                <w:rFonts w:hint="eastAsia" w:ascii="宋体" w:hAnsi="宋体" w:cs="宋体"/>
                <w:kern w:val="0"/>
                <w:sz w:val="24"/>
                <w:szCs w:val="24"/>
              </w:rPr>
              <w:br w:type="textWrapping"/>
            </w:r>
            <w:r>
              <w:rPr>
                <w:rFonts w:hint="eastAsia" w:ascii="宋体" w:hAnsi="宋体" w:cs="宋体"/>
                <w:kern w:val="0"/>
                <w:sz w:val="24"/>
                <w:szCs w:val="24"/>
              </w:rPr>
              <w:t>6.</w:t>
            </w:r>
            <w:r>
              <w:rPr>
                <w:rFonts w:hint="eastAsia"/>
              </w:rPr>
              <w:t xml:space="preserve"> </w:t>
            </w:r>
            <w:r>
              <w:rPr>
                <w:rFonts w:hint="eastAsia" w:ascii="宋体" w:hAnsi="宋体" w:cs="宋体"/>
                <w:kern w:val="0"/>
                <w:sz w:val="24"/>
                <w:szCs w:val="24"/>
              </w:rPr>
              <w:t>竞标人在竞标文件中必须对产品的“技术参数及性能（配置）要求”中的所有条款进行逐条应答，必须满足的技术条件，竞标人必须作出满足或者优于该要求的承诺，否则竞标无效。</w:t>
            </w:r>
          </w:p>
          <w:p>
            <w:pPr>
              <w:spacing w:line="380" w:lineRule="exact"/>
              <w:rPr>
                <w:rFonts w:ascii="宋体" w:hAnsi="宋体" w:cs="宋体"/>
                <w:kern w:val="0"/>
                <w:sz w:val="24"/>
                <w:szCs w:val="24"/>
              </w:rPr>
            </w:pPr>
            <w:r>
              <w:rPr>
                <w:rFonts w:hint="eastAsia" w:ascii="宋体" w:hAnsi="宋体" w:cs="宋体"/>
                <w:kern w:val="0"/>
                <w:sz w:val="24"/>
                <w:szCs w:val="24"/>
              </w:rPr>
              <w:t>二、实质性要求和条件：</w:t>
            </w:r>
            <w:r>
              <w:rPr>
                <w:rFonts w:hint="eastAsia" w:ascii="宋体" w:hAnsi="宋体" w:cs="宋体"/>
                <w:kern w:val="0"/>
                <w:sz w:val="24"/>
                <w:szCs w:val="24"/>
              </w:rPr>
              <w:br w:type="textWrapping"/>
            </w:r>
            <w:r>
              <w:rPr>
                <w:rFonts w:hint="eastAsia" w:ascii="宋体" w:hAnsi="宋体" w:cs="宋体"/>
                <w:kern w:val="0"/>
                <w:sz w:val="24"/>
                <w:szCs w:val="24"/>
              </w:rPr>
              <w:t>1.严格按照用户指定的位置进行安装。</w:t>
            </w:r>
            <w:r>
              <w:rPr>
                <w:rFonts w:hint="eastAsia" w:ascii="宋体" w:hAnsi="宋体" w:cs="宋体"/>
                <w:kern w:val="0"/>
                <w:sz w:val="24"/>
                <w:szCs w:val="24"/>
              </w:rPr>
              <w:br w:type="textWrapping"/>
            </w:r>
            <w:r>
              <w:rPr>
                <w:rFonts w:hint="eastAsia" w:ascii="宋体" w:hAnsi="宋体" w:cs="宋体"/>
                <w:kern w:val="0"/>
                <w:sz w:val="24"/>
                <w:szCs w:val="24"/>
              </w:rPr>
              <w:t>2.设备的故障响应时间：售后服务时间为7×24小时，接到故障通知后30分钟内响应，,在6小时内不能解决的，供应商须在三个工作日内提供与原货物技术参数要求相同或高于原货物技术参数要求的备用产品，以保证采购人的正常工作。</w:t>
            </w:r>
          </w:p>
          <w:p>
            <w:pPr>
              <w:rPr>
                <w:rFonts w:ascii="宋体" w:hAnsi="宋体" w:cs="宋体"/>
                <w:color w:val="000000"/>
                <w:kern w:val="0"/>
                <w:sz w:val="22"/>
                <w:szCs w:val="22"/>
              </w:rPr>
            </w:pPr>
            <w:r>
              <w:rPr>
                <w:rFonts w:hint="eastAsia" w:ascii="宋体" w:hAnsi="宋体" w:cs="宋体"/>
                <w:kern w:val="0"/>
                <w:sz w:val="24"/>
                <w:szCs w:val="24"/>
              </w:rPr>
              <w:t>注：竞标总价必须包含货款、标准附件、备品备件、专用工具、包装、运输、装卸、保险、税金、货到就位以及安装、调试、培训、保修等一切税金和最终交付使用前的一切费用</w:t>
            </w:r>
            <w:r>
              <w:rPr>
                <w:rFonts w:hint="eastAsia" w:ascii="宋体" w:hAnsi="宋体" w:cs="宋体"/>
                <w:color w:val="000000"/>
                <w:szCs w:val="21"/>
              </w:rPr>
              <w:t>。</w:t>
            </w:r>
          </w:p>
        </w:tc>
      </w:tr>
    </w:tbl>
    <w:p/>
    <w:p/>
    <w:p/>
    <w:p/>
    <w:p/>
    <w:p/>
    <w:p/>
    <w:p/>
    <w:p/>
    <w:p/>
    <w:p/>
    <w:p/>
    <w:p/>
    <w:p>
      <w:pPr>
        <w:pStyle w:val="2"/>
        <w:spacing w:line="460" w:lineRule="exact"/>
        <w:ind w:firstLine="2665" w:firstLineChars="833"/>
        <w:jc w:val="both"/>
        <w:rPr>
          <w:rFonts w:ascii="宋体" w:hAnsi="宋体" w:eastAsia="宋体"/>
          <w:sz w:val="21"/>
          <w:szCs w:val="21"/>
        </w:rPr>
      </w:pPr>
      <w:bookmarkStart w:id="260" w:name="_Toc6047134"/>
      <w:r>
        <w:rPr>
          <w:rFonts w:hint="eastAsia" w:ascii="宋体" w:hAnsi="宋体" w:eastAsia="宋体"/>
        </w:rPr>
        <w:t>第三章   政府采购合同（格式</w:t>
      </w:r>
      <w:r>
        <w:rPr>
          <w:rFonts w:hint="eastAsia" w:ascii="宋体" w:hAnsi="宋体" w:eastAsia="宋体"/>
          <w:sz w:val="21"/>
          <w:szCs w:val="21"/>
        </w:rPr>
        <w:t>）</w:t>
      </w:r>
      <w:bookmarkEnd w:id="260"/>
    </w:p>
    <w:p>
      <w:pPr>
        <w:rPr>
          <w:rFonts w:ascii="宋体" w:hAnsi="宋体"/>
          <w:b/>
          <w:sz w:val="24"/>
          <w:szCs w:val="24"/>
        </w:rPr>
      </w:pPr>
      <w:bookmarkStart w:id="261" w:name="_Toc403571639"/>
      <w:r>
        <w:rPr>
          <w:rFonts w:hint="eastAsia" w:ascii="宋体" w:hAnsi="宋体"/>
          <w:bCs/>
          <w:sz w:val="24"/>
          <w:szCs w:val="24"/>
        </w:rPr>
        <w:t xml:space="preserve">                                          合同编号：</w:t>
      </w:r>
      <w:bookmarkEnd w:id="259"/>
      <w:bookmarkEnd w:id="261"/>
    </w:p>
    <w:p>
      <w:pPr>
        <w:snapToGrid w:val="0"/>
        <w:spacing w:line="360" w:lineRule="exact"/>
        <w:rPr>
          <w:rFonts w:ascii="宋体" w:hAnsi="宋体"/>
          <w:bCs/>
          <w:sz w:val="24"/>
          <w:szCs w:val="24"/>
          <w:u w:val="single"/>
        </w:rPr>
      </w:pPr>
      <w:r>
        <w:rPr>
          <w:rFonts w:hint="eastAsia" w:ascii="宋体" w:hAnsi="宋体"/>
          <w:bCs/>
          <w:sz w:val="24"/>
          <w:szCs w:val="24"/>
        </w:rPr>
        <w:t>采购人（甲方）</w:t>
      </w:r>
      <w:r>
        <w:rPr>
          <w:rFonts w:hint="eastAsia" w:ascii="宋体" w:hAnsi="宋体"/>
          <w:bCs/>
          <w:sz w:val="24"/>
          <w:szCs w:val="24"/>
          <w:u w:val="single"/>
        </w:rPr>
        <w:t>百色市田阳区应急管理局</w:t>
      </w:r>
      <w:r>
        <w:rPr>
          <w:rFonts w:hint="eastAsia" w:ascii="宋体" w:hAnsi="宋体"/>
          <w:bCs/>
          <w:sz w:val="24"/>
          <w:szCs w:val="24"/>
        </w:rPr>
        <w:t xml:space="preserve">      采购计划号</w:t>
      </w:r>
    </w:p>
    <w:p>
      <w:pPr>
        <w:snapToGrid w:val="0"/>
        <w:spacing w:line="360" w:lineRule="exact"/>
        <w:ind w:left="6120" w:hanging="6120" w:hangingChars="2550"/>
        <w:rPr>
          <w:rFonts w:ascii="宋体" w:hAnsi="宋体"/>
          <w:bCs/>
          <w:sz w:val="24"/>
          <w:szCs w:val="24"/>
        </w:rPr>
      </w:pPr>
      <w:r>
        <w:rPr>
          <w:rFonts w:hint="eastAsia" w:ascii="宋体" w:hAnsi="宋体"/>
          <w:bCs/>
          <w:sz w:val="24"/>
          <w:szCs w:val="24"/>
        </w:rPr>
        <w:t>供应商 （乙 方）</w:t>
      </w:r>
      <w:r>
        <w:rPr>
          <w:rFonts w:hint="eastAsia" w:ascii="宋体" w:hAnsi="宋体"/>
          <w:bCs/>
          <w:sz w:val="24"/>
          <w:szCs w:val="24"/>
          <w:u w:val="single"/>
        </w:rPr>
        <w:t xml:space="preserve">                        </w:t>
      </w:r>
      <w:r>
        <w:rPr>
          <w:rFonts w:hint="eastAsia" w:ascii="宋体" w:hAnsi="宋体"/>
          <w:bCs/>
          <w:sz w:val="24"/>
          <w:szCs w:val="24"/>
        </w:rPr>
        <w:t xml:space="preserve">  项目名称和编号：</w:t>
      </w:r>
    </w:p>
    <w:p>
      <w:pPr>
        <w:snapToGrid w:val="0"/>
        <w:spacing w:line="360" w:lineRule="exact"/>
        <w:rPr>
          <w:rFonts w:ascii="宋体" w:hAnsi="宋体"/>
          <w:bCs/>
          <w:sz w:val="24"/>
          <w:szCs w:val="24"/>
          <w:u w:val="single"/>
        </w:rPr>
      </w:pPr>
      <w:r>
        <w:rPr>
          <w:rFonts w:hint="eastAsia" w:ascii="宋体" w:hAnsi="宋体"/>
          <w:bCs/>
          <w:sz w:val="24"/>
          <w:szCs w:val="24"/>
        </w:rPr>
        <w:t xml:space="preserve">签 订 地 点  </w:t>
      </w:r>
      <w:r>
        <w:rPr>
          <w:rFonts w:hint="eastAsia" w:ascii="宋体" w:hAnsi="宋体"/>
          <w:bCs/>
          <w:sz w:val="24"/>
          <w:szCs w:val="24"/>
          <w:u w:val="single"/>
        </w:rPr>
        <w:t xml:space="preserve">                         </w:t>
      </w:r>
      <w:r>
        <w:rPr>
          <w:rFonts w:hint="eastAsia" w:ascii="宋体" w:hAnsi="宋体"/>
          <w:bCs/>
          <w:sz w:val="24"/>
          <w:szCs w:val="24"/>
        </w:rPr>
        <w:t xml:space="preserve">    签订时间</w:t>
      </w:r>
      <w:r>
        <w:rPr>
          <w:rFonts w:hint="eastAsia" w:ascii="宋体" w:hAnsi="宋体"/>
          <w:bCs/>
          <w:sz w:val="24"/>
          <w:szCs w:val="24"/>
          <w:u w:val="single"/>
        </w:rPr>
        <w:t xml:space="preserve"> </w:t>
      </w:r>
    </w:p>
    <w:p>
      <w:pPr>
        <w:snapToGrid w:val="0"/>
        <w:spacing w:line="360" w:lineRule="exact"/>
        <w:rPr>
          <w:rFonts w:ascii="宋体" w:hAnsi="宋体"/>
          <w:bCs/>
          <w:sz w:val="24"/>
          <w:szCs w:val="24"/>
        </w:rPr>
      </w:pPr>
      <w:r>
        <w:rPr>
          <w:rFonts w:hint="eastAsia" w:ascii="宋体" w:hAnsi="宋体"/>
          <w:bCs/>
          <w:sz w:val="24"/>
          <w:szCs w:val="24"/>
        </w:rPr>
        <w:t xml:space="preserve">   根据《中华人民共和国政府采购法》、《中华人民共和国合同法》等法律、法规规定，按照竞争性谈判文件（采购文件）规定条款和成交（成交）供应商承诺，甲乙双方签订本合同。</w:t>
      </w:r>
    </w:p>
    <w:p>
      <w:pPr>
        <w:snapToGrid w:val="0"/>
        <w:spacing w:line="360" w:lineRule="exact"/>
        <w:rPr>
          <w:rFonts w:ascii="宋体" w:hAnsi="宋体"/>
          <w:b/>
          <w:bCs/>
          <w:sz w:val="24"/>
          <w:szCs w:val="24"/>
        </w:rPr>
      </w:pPr>
      <w:r>
        <w:rPr>
          <w:rFonts w:hint="eastAsia" w:ascii="宋体" w:hAnsi="宋体"/>
          <w:b/>
          <w:bCs/>
          <w:sz w:val="24"/>
          <w:szCs w:val="24"/>
        </w:rPr>
        <w:t>第一条  合同标的</w:t>
      </w:r>
    </w:p>
    <w:p>
      <w:pPr>
        <w:numPr>
          <w:ilvl w:val="0"/>
          <w:numId w:val="2"/>
        </w:numPr>
        <w:snapToGrid w:val="0"/>
        <w:spacing w:line="360" w:lineRule="exact"/>
        <w:rPr>
          <w:rFonts w:ascii="宋体" w:hAnsi="宋体"/>
          <w:b/>
          <w:bCs/>
          <w:sz w:val="24"/>
          <w:szCs w:val="24"/>
        </w:rPr>
      </w:pPr>
      <w:r>
        <w:rPr>
          <w:rFonts w:hint="eastAsia" w:ascii="宋体" w:hAnsi="宋体"/>
          <w:bCs/>
          <w:sz w:val="24"/>
          <w:szCs w:val="24"/>
        </w:rPr>
        <w:t>供货一览表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139"/>
        <w:gridCol w:w="1070"/>
        <w:gridCol w:w="1070"/>
        <w:gridCol w:w="1070"/>
        <w:gridCol w:w="1070"/>
        <w:gridCol w:w="1070"/>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napToGrid w:val="0"/>
              <w:jc w:val="center"/>
              <w:rPr>
                <w:rFonts w:ascii="宋体" w:hAnsi="宋体"/>
                <w:bCs/>
                <w:sz w:val="24"/>
                <w:szCs w:val="24"/>
              </w:rPr>
            </w:pPr>
            <w:r>
              <w:rPr>
                <w:rFonts w:hint="eastAsia" w:ascii="宋体" w:hAnsi="宋体"/>
                <w:bCs/>
                <w:sz w:val="24"/>
                <w:szCs w:val="24"/>
              </w:rPr>
              <w:t>序号</w:t>
            </w:r>
          </w:p>
        </w:tc>
        <w:tc>
          <w:tcPr>
            <w:tcW w:w="2139" w:type="dxa"/>
            <w:vAlign w:val="center"/>
          </w:tcPr>
          <w:p>
            <w:pPr>
              <w:snapToGrid w:val="0"/>
              <w:jc w:val="center"/>
              <w:rPr>
                <w:rFonts w:ascii="宋体" w:hAnsi="宋体"/>
                <w:bCs/>
                <w:sz w:val="24"/>
                <w:szCs w:val="24"/>
              </w:rPr>
            </w:pPr>
            <w:r>
              <w:rPr>
                <w:rFonts w:hint="eastAsia" w:ascii="宋体" w:hAnsi="宋体"/>
                <w:bCs/>
                <w:sz w:val="24"/>
                <w:szCs w:val="24"/>
              </w:rPr>
              <w:t>产品名称</w:t>
            </w:r>
          </w:p>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r>
              <w:rPr>
                <w:rFonts w:hint="eastAsia" w:ascii="宋体" w:hAnsi="宋体"/>
                <w:bCs/>
                <w:sz w:val="24"/>
                <w:szCs w:val="24"/>
              </w:rPr>
              <w:t>规格技术参数配置</w:t>
            </w:r>
          </w:p>
        </w:tc>
        <w:tc>
          <w:tcPr>
            <w:tcW w:w="1070" w:type="dxa"/>
            <w:vAlign w:val="center"/>
          </w:tcPr>
          <w:p>
            <w:pPr>
              <w:snapToGrid w:val="0"/>
              <w:jc w:val="center"/>
              <w:rPr>
                <w:rFonts w:ascii="宋体" w:hAnsi="宋体"/>
                <w:bCs/>
                <w:sz w:val="24"/>
                <w:szCs w:val="24"/>
              </w:rPr>
            </w:pPr>
            <w:r>
              <w:rPr>
                <w:rFonts w:hint="eastAsia" w:ascii="宋体" w:hAnsi="宋体"/>
                <w:bCs/>
                <w:sz w:val="24"/>
                <w:szCs w:val="24"/>
              </w:rPr>
              <w:t>产地或厂家</w:t>
            </w:r>
          </w:p>
        </w:tc>
        <w:tc>
          <w:tcPr>
            <w:tcW w:w="1070" w:type="dxa"/>
            <w:vAlign w:val="center"/>
          </w:tcPr>
          <w:p>
            <w:pPr>
              <w:snapToGrid w:val="0"/>
              <w:jc w:val="center"/>
              <w:rPr>
                <w:rFonts w:ascii="宋体" w:hAnsi="宋体"/>
                <w:bCs/>
                <w:sz w:val="24"/>
                <w:szCs w:val="24"/>
              </w:rPr>
            </w:pPr>
            <w:r>
              <w:rPr>
                <w:rFonts w:hint="eastAsia" w:ascii="宋体" w:hAnsi="宋体"/>
                <w:bCs/>
                <w:sz w:val="24"/>
                <w:szCs w:val="24"/>
              </w:rPr>
              <w:t>数量（估算）</w:t>
            </w:r>
          </w:p>
        </w:tc>
        <w:tc>
          <w:tcPr>
            <w:tcW w:w="1070" w:type="dxa"/>
            <w:vAlign w:val="center"/>
          </w:tcPr>
          <w:p>
            <w:pPr>
              <w:snapToGrid w:val="0"/>
              <w:jc w:val="center"/>
              <w:rPr>
                <w:rFonts w:ascii="宋体" w:hAnsi="宋体"/>
                <w:bCs/>
                <w:sz w:val="24"/>
                <w:szCs w:val="24"/>
              </w:rPr>
            </w:pPr>
            <w:r>
              <w:rPr>
                <w:rFonts w:hint="eastAsia" w:ascii="宋体" w:hAnsi="宋体"/>
                <w:bCs/>
                <w:sz w:val="24"/>
                <w:szCs w:val="24"/>
              </w:rPr>
              <w:t>单位</w:t>
            </w:r>
          </w:p>
        </w:tc>
        <w:tc>
          <w:tcPr>
            <w:tcW w:w="1070" w:type="dxa"/>
            <w:vAlign w:val="center"/>
          </w:tcPr>
          <w:p>
            <w:pPr>
              <w:snapToGrid w:val="0"/>
              <w:jc w:val="center"/>
              <w:rPr>
                <w:rFonts w:ascii="宋体" w:hAnsi="宋体"/>
                <w:bCs/>
                <w:sz w:val="24"/>
                <w:szCs w:val="24"/>
              </w:rPr>
            </w:pPr>
            <w:r>
              <w:rPr>
                <w:rFonts w:hint="eastAsia" w:ascii="宋体" w:hAnsi="宋体"/>
                <w:bCs/>
                <w:sz w:val="24"/>
                <w:szCs w:val="24"/>
              </w:rPr>
              <w:t>单价</w:t>
            </w:r>
          </w:p>
          <w:p>
            <w:pPr>
              <w:snapToGrid w:val="0"/>
              <w:jc w:val="center"/>
              <w:rPr>
                <w:rFonts w:ascii="宋体" w:hAnsi="宋体"/>
                <w:bCs/>
                <w:sz w:val="24"/>
                <w:szCs w:val="24"/>
              </w:rPr>
            </w:pPr>
            <w:r>
              <w:rPr>
                <w:rFonts w:hint="eastAsia" w:ascii="宋体" w:hAnsi="宋体"/>
                <w:bCs/>
                <w:sz w:val="24"/>
                <w:szCs w:val="24"/>
              </w:rPr>
              <w:t>（元）</w:t>
            </w:r>
          </w:p>
        </w:tc>
        <w:tc>
          <w:tcPr>
            <w:tcW w:w="1070" w:type="dxa"/>
            <w:vAlign w:val="center"/>
          </w:tcPr>
          <w:p>
            <w:pPr>
              <w:snapToGrid w:val="0"/>
              <w:jc w:val="center"/>
              <w:rPr>
                <w:rFonts w:ascii="宋体" w:hAnsi="宋体"/>
                <w:bCs/>
                <w:sz w:val="24"/>
                <w:szCs w:val="24"/>
              </w:rPr>
            </w:pPr>
            <w:r>
              <w:rPr>
                <w:rFonts w:hint="eastAsia" w:ascii="宋体" w:hAnsi="宋体"/>
                <w:bCs/>
                <w:sz w:val="24"/>
                <w:szCs w:val="24"/>
              </w:rPr>
              <w:t>金额</w:t>
            </w:r>
          </w:p>
          <w:p>
            <w:pPr>
              <w:snapToGrid w:val="0"/>
              <w:jc w:val="center"/>
              <w:rPr>
                <w:rFonts w:ascii="宋体" w:hAnsi="宋体"/>
                <w:bCs/>
                <w:sz w:val="24"/>
                <w:szCs w:val="24"/>
              </w:rPr>
            </w:pPr>
            <w:r>
              <w:rPr>
                <w:rFonts w:hint="eastAsia" w:ascii="宋体" w:hAnsi="宋体"/>
                <w:bCs/>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napToGrid w:val="0"/>
              <w:jc w:val="center"/>
              <w:rPr>
                <w:rFonts w:ascii="宋体" w:hAnsi="宋体"/>
                <w:bCs/>
                <w:sz w:val="24"/>
                <w:szCs w:val="24"/>
              </w:rPr>
            </w:pPr>
            <w:r>
              <w:rPr>
                <w:rFonts w:hint="eastAsia" w:ascii="宋体" w:hAnsi="宋体"/>
                <w:bCs/>
                <w:sz w:val="24"/>
                <w:szCs w:val="24"/>
              </w:rPr>
              <w:t>1</w:t>
            </w:r>
          </w:p>
        </w:tc>
        <w:tc>
          <w:tcPr>
            <w:tcW w:w="2139"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napToGrid w:val="0"/>
              <w:jc w:val="center"/>
              <w:rPr>
                <w:rFonts w:ascii="宋体" w:hAnsi="宋体"/>
                <w:bCs/>
                <w:sz w:val="24"/>
                <w:szCs w:val="24"/>
              </w:rPr>
            </w:pPr>
            <w:r>
              <w:rPr>
                <w:rFonts w:hint="eastAsia" w:ascii="宋体" w:hAnsi="宋体"/>
                <w:bCs/>
                <w:sz w:val="24"/>
                <w:szCs w:val="24"/>
              </w:rPr>
              <w:t>2</w:t>
            </w:r>
          </w:p>
        </w:tc>
        <w:tc>
          <w:tcPr>
            <w:tcW w:w="2139"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napToGrid w:val="0"/>
              <w:jc w:val="center"/>
              <w:rPr>
                <w:rFonts w:ascii="宋体" w:hAnsi="宋体"/>
                <w:bCs/>
                <w:sz w:val="24"/>
                <w:szCs w:val="24"/>
              </w:rPr>
            </w:pPr>
            <w:r>
              <w:rPr>
                <w:rFonts w:hint="eastAsia" w:ascii="宋体" w:hAnsi="宋体"/>
                <w:bCs/>
                <w:sz w:val="24"/>
                <w:szCs w:val="24"/>
              </w:rPr>
              <w:t>3</w:t>
            </w:r>
          </w:p>
        </w:tc>
        <w:tc>
          <w:tcPr>
            <w:tcW w:w="2139"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c>
          <w:tcPr>
            <w:tcW w:w="1070" w:type="dxa"/>
            <w:vAlign w:val="center"/>
          </w:tcPr>
          <w:p>
            <w:pPr>
              <w:snapToGrid w:val="0"/>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7" w:type="dxa"/>
            <w:gridSpan w:val="8"/>
            <w:vAlign w:val="center"/>
          </w:tcPr>
          <w:p>
            <w:pPr>
              <w:snapToGrid w:val="0"/>
              <w:rPr>
                <w:rFonts w:ascii="宋体" w:hAnsi="宋体"/>
                <w:bCs/>
                <w:sz w:val="24"/>
                <w:szCs w:val="24"/>
              </w:rPr>
            </w:pPr>
            <w:r>
              <w:rPr>
                <w:rFonts w:hint="eastAsia" w:ascii="宋体" w:hAnsi="宋体"/>
                <w:bCs/>
                <w:sz w:val="24"/>
                <w:szCs w:val="24"/>
              </w:rPr>
              <w:t>人民币合计金额（大写）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207" w:type="dxa"/>
            <w:gridSpan w:val="8"/>
            <w:vAlign w:val="center"/>
          </w:tcPr>
          <w:p>
            <w:pPr>
              <w:snapToGrid w:val="0"/>
              <w:rPr>
                <w:rFonts w:ascii="宋体" w:hAnsi="宋体"/>
                <w:bCs/>
                <w:sz w:val="24"/>
                <w:szCs w:val="24"/>
                <w:u w:val="single"/>
              </w:rPr>
            </w:pPr>
            <w:r>
              <w:rPr>
                <w:rFonts w:hint="eastAsia" w:ascii="宋体" w:hAnsi="宋体"/>
                <w:bCs/>
                <w:sz w:val="24"/>
                <w:szCs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207" w:type="dxa"/>
            <w:gridSpan w:val="8"/>
            <w:vAlign w:val="center"/>
          </w:tcPr>
          <w:p>
            <w:pPr>
              <w:snapToGrid w:val="0"/>
              <w:rPr>
                <w:rFonts w:ascii="宋体" w:hAnsi="宋体"/>
                <w:bCs/>
                <w:sz w:val="24"/>
                <w:szCs w:val="24"/>
                <w:u w:val="single"/>
              </w:rPr>
            </w:pPr>
            <w:r>
              <w:rPr>
                <w:rFonts w:hint="eastAsia" w:ascii="宋体" w:hAnsi="宋体"/>
                <w:bCs/>
                <w:sz w:val="24"/>
                <w:szCs w:val="24"/>
              </w:rPr>
              <w:t>质保期:</w:t>
            </w:r>
            <w:r>
              <w:rPr>
                <w:rFonts w:hint="eastAsia" w:ascii="宋体" w:hAnsi="宋体"/>
                <w:bCs/>
                <w:sz w:val="24"/>
                <w:szCs w:val="24"/>
                <w:u w:val="single"/>
              </w:rPr>
              <w:t xml:space="preserve"> </w:t>
            </w:r>
          </w:p>
        </w:tc>
      </w:tr>
    </w:tbl>
    <w:p>
      <w:pPr>
        <w:snapToGrid w:val="0"/>
        <w:spacing w:line="420" w:lineRule="exact"/>
        <w:rPr>
          <w:rFonts w:ascii="宋体" w:hAnsi="宋体"/>
          <w:bCs/>
          <w:sz w:val="24"/>
          <w:szCs w:val="24"/>
        </w:rPr>
      </w:pPr>
      <w:r>
        <w:rPr>
          <w:rFonts w:hint="eastAsia" w:ascii="宋体" w:hAnsi="宋体"/>
          <w:bCs/>
          <w:sz w:val="24"/>
          <w:szCs w:val="24"/>
        </w:rPr>
        <w:t>2．合同合计金额包括货物价款，标准附件、备件、专用工具、安装、调试、检验、技术培训及技术资料和包装、运输、装卸、保险、税金、保修等全部费用。如竞争性谈判文件对其另有规定的，从其规定。</w:t>
      </w:r>
    </w:p>
    <w:p>
      <w:pPr>
        <w:snapToGrid w:val="0"/>
        <w:spacing w:line="420" w:lineRule="exact"/>
        <w:rPr>
          <w:rFonts w:ascii="宋体" w:hAnsi="宋体"/>
          <w:b/>
          <w:bCs/>
          <w:sz w:val="24"/>
          <w:szCs w:val="24"/>
        </w:rPr>
      </w:pPr>
      <w:r>
        <w:rPr>
          <w:rFonts w:hint="eastAsia" w:ascii="宋体" w:hAnsi="宋体"/>
          <w:b/>
          <w:bCs/>
          <w:sz w:val="24"/>
          <w:szCs w:val="24"/>
        </w:rPr>
        <w:t>第二条  质量保证</w:t>
      </w:r>
    </w:p>
    <w:p>
      <w:pPr>
        <w:snapToGrid w:val="0"/>
        <w:spacing w:line="420" w:lineRule="exact"/>
        <w:rPr>
          <w:rFonts w:ascii="宋体" w:hAnsi="宋体"/>
          <w:bCs/>
          <w:sz w:val="24"/>
          <w:szCs w:val="24"/>
        </w:rPr>
      </w:pPr>
      <w:r>
        <w:rPr>
          <w:rFonts w:hint="eastAsia" w:ascii="宋体" w:hAnsi="宋体"/>
          <w:bCs/>
          <w:sz w:val="24"/>
          <w:szCs w:val="24"/>
        </w:rPr>
        <w:t>1．乙方所提供的货物型号、技术规格、技术参数等质量必须与竞争性谈判文件和承诺相一致。乙方提供的自主创新产品、节能和环保产品必须是列入政府采购清单的产品。</w:t>
      </w:r>
    </w:p>
    <w:p>
      <w:pPr>
        <w:snapToGrid w:val="0"/>
        <w:spacing w:line="420" w:lineRule="exact"/>
        <w:rPr>
          <w:rFonts w:ascii="宋体" w:hAnsi="宋体"/>
          <w:bCs/>
          <w:sz w:val="24"/>
          <w:szCs w:val="24"/>
        </w:rPr>
      </w:pPr>
      <w:r>
        <w:rPr>
          <w:rFonts w:hint="eastAsia" w:ascii="宋体" w:hAnsi="宋体"/>
          <w:bCs/>
          <w:sz w:val="24"/>
          <w:szCs w:val="24"/>
        </w:rPr>
        <w:t>2．乙方所提供的货物必须是全新、未使用的原装产品，且在正常安装、使用和保养条件下，其使用寿命期内各项指标均达到质量要求。</w:t>
      </w:r>
    </w:p>
    <w:p>
      <w:pPr>
        <w:snapToGrid w:val="0"/>
        <w:spacing w:line="420" w:lineRule="exact"/>
        <w:rPr>
          <w:rFonts w:ascii="宋体" w:hAnsi="宋体"/>
          <w:b/>
          <w:bCs/>
          <w:sz w:val="24"/>
          <w:szCs w:val="24"/>
        </w:rPr>
      </w:pPr>
      <w:r>
        <w:rPr>
          <w:rFonts w:hint="eastAsia" w:ascii="宋体" w:hAnsi="宋体"/>
          <w:b/>
          <w:bCs/>
          <w:sz w:val="24"/>
          <w:szCs w:val="24"/>
        </w:rPr>
        <w:t>第三条  权力保证</w:t>
      </w:r>
    </w:p>
    <w:p>
      <w:pPr>
        <w:snapToGrid w:val="0"/>
        <w:spacing w:line="420" w:lineRule="exact"/>
        <w:rPr>
          <w:rFonts w:ascii="宋体" w:hAnsi="宋体"/>
          <w:bCs/>
          <w:sz w:val="24"/>
          <w:szCs w:val="24"/>
        </w:rPr>
      </w:pPr>
      <w:r>
        <w:rPr>
          <w:rFonts w:hint="eastAsia" w:ascii="宋体" w:hAnsi="宋体"/>
          <w:bCs/>
          <w:sz w:val="24"/>
          <w:szCs w:val="24"/>
        </w:rPr>
        <w:t>1.乙方应保证所提供货物在使用时不会侵犯任何第三方的专利权、商标权、工业设计权或其他权利。</w:t>
      </w:r>
    </w:p>
    <w:p>
      <w:pPr>
        <w:snapToGrid w:val="0"/>
        <w:spacing w:line="420" w:lineRule="exact"/>
        <w:rPr>
          <w:rFonts w:ascii="宋体" w:hAnsi="宋体"/>
          <w:bCs/>
          <w:sz w:val="24"/>
          <w:szCs w:val="24"/>
        </w:rPr>
      </w:pPr>
      <w:r>
        <w:rPr>
          <w:rFonts w:hint="eastAsia" w:ascii="宋体" w:hAnsi="宋体"/>
          <w:bCs/>
          <w:sz w:val="24"/>
          <w:szCs w:val="24"/>
        </w:rPr>
        <w:t>2.乙方应按谈判文件规定的时间向甲方提供使用货物的有关技术资料。</w:t>
      </w:r>
    </w:p>
    <w:p>
      <w:pPr>
        <w:snapToGrid w:val="0"/>
        <w:spacing w:line="420" w:lineRule="exact"/>
        <w:rPr>
          <w:rFonts w:ascii="宋体" w:hAnsi="宋体"/>
          <w:bCs/>
          <w:sz w:val="24"/>
          <w:szCs w:val="24"/>
        </w:rPr>
      </w:pPr>
      <w:r>
        <w:rPr>
          <w:rFonts w:hint="eastAsia" w:ascii="宋体" w:hAnsi="宋体"/>
          <w:bCs/>
          <w:sz w:val="24"/>
          <w:szCs w:val="24"/>
        </w:rPr>
        <w:t>3.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420" w:lineRule="exact"/>
        <w:rPr>
          <w:rFonts w:ascii="宋体" w:hAnsi="宋体"/>
          <w:bCs/>
          <w:sz w:val="24"/>
          <w:szCs w:val="24"/>
        </w:rPr>
      </w:pPr>
      <w:r>
        <w:rPr>
          <w:rFonts w:hint="eastAsia" w:ascii="宋体" w:hAnsi="宋体"/>
          <w:bCs/>
          <w:sz w:val="24"/>
          <w:szCs w:val="24"/>
        </w:rPr>
        <w:t>4.乙方保证所交付的货物的所有权完全属于乙方且无任何抵押、质押、查封等产权瑕疵。</w:t>
      </w:r>
    </w:p>
    <w:p>
      <w:pPr>
        <w:snapToGrid w:val="0"/>
        <w:spacing w:line="420" w:lineRule="exact"/>
        <w:rPr>
          <w:rFonts w:ascii="宋体" w:hAnsi="宋体"/>
          <w:b/>
          <w:bCs/>
          <w:sz w:val="24"/>
          <w:szCs w:val="24"/>
        </w:rPr>
      </w:pPr>
      <w:r>
        <w:rPr>
          <w:rFonts w:hint="eastAsia" w:ascii="宋体" w:hAnsi="宋体"/>
          <w:b/>
          <w:bCs/>
          <w:sz w:val="24"/>
          <w:szCs w:val="24"/>
        </w:rPr>
        <w:t>第四条  包装和运输</w:t>
      </w:r>
    </w:p>
    <w:p>
      <w:pPr>
        <w:snapToGrid w:val="0"/>
        <w:spacing w:line="420" w:lineRule="exact"/>
        <w:rPr>
          <w:rFonts w:ascii="宋体" w:hAnsi="宋体"/>
          <w:bCs/>
          <w:sz w:val="24"/>
          <w:szCs w:val="24"/>
        </w:rPr>
      </w:pPr>
      <w:r>
        <w:rPr>
          <w:rFonts w:hint="eastAsia" w:ascii="宋体" w:hAnsi="宋体"/>
          <w:bCs/>
          <w:sz w:val="24"/>
          <w:szCs w:val="24"/>
        </w:rPr>
        <w:t>1．乙方提供的货物均应按竞争性谈判文件要求的包装材料、包装标准、包装方式进行包装，每一包装单元内就附详细的装箱清单和产品质量合格证。</w:t>
      </w:r>
    </w:p>
    <w:p>
      <w:pPr>
        <w:snapToGrid w:val="0"/>
        <w:spacing w:line="420" w:lineRule="exact"/>
        <w:rPr>
          <w:rFonts w:ascii="宋体" w:hAnsi="宋体"/>
          <w:bCs/>
          <w:sz w:val="24"/>
          <w:szCs w:val="24"/>
        </w:rPr>
      </w:pPr>
      <w:r>
        <w:rPr>
          <w:rFonts w:hint="eastAsia" w:ascii="宋体" w:hAnsi="宋体"/>
          <w:bCs/>
          <w:sz w:val="24"/>
          <w:szCs w:val="24"/>
        </w:rPr>
        <w:t>2．货物的运输方式：</w:t>
      </w:r>
      <w:r>
        <w:rPr>
          <w:rFonts w:hint="eastAsia" w:ascii="宋体" w:hAnsi="宋体"/>
          <w:bCs/>
          <w:sz w:val="24"/>
          <w:szCs w:val="24"/>
          <w:u w:val="single"/>
        </w:rPr>
        <w:t xml:space="preserve"> 由乙方自行解决 </w:t>
      </w:r>
      <w:r>
        <w:rPr>
          <w:rFonts w:hint="eastAsia" w:ascii="宋体" w:hAnsi="宋体"/>
          <w:bCs/>
          <w:sz w:val="24"/>
          <w:szCs w:val="24"/>
        </w:rPr>
        <w:t>。</w:t>
      </w:r>
    </w:p>
    <w:p>
      <w:pPr>
        <w:snapToGrid w:val="0"/>
        <w:spacing w:line="420" w:lineRule="exact"/>
        <w:rPr>
          <w:rFonts w:ascii="宋体" w:hAnsi="宋体"/>
          <w:bCs/>
          <w:sz w:val="24"/>
          <w:szCs w:val="24"/>
        </w:rPr>
      </w:pPr>
      <w:r>
        <w:rPr>
          <w:rFonts w:hint="eastAsia" w:ascii="宋体" w:hAnsi="宋体"/>
          <w:bCs/>
          <w:sz w:val="24"/>
          <w:szCs w:val="24"/>
        </w:rPr>
        <w:t>3．乙方负责货物运输，货物运输合理损耗及计算方法：</w:t>
      </w:r>
      <w:r>
        <w:rPr>
          <w:rFonts w:hint="eastAsia" w:ascii="宋体" w:hAnsi="宋体"/>
          <w:bCs/>
          <w:sz w:val="24"/>
          <w:szCs w:val="24"/>
          <w:u w:val="single"/>
        </w:rPr>
        <w:t xml:space="preserve">          </w:t>
      </w:r>
      <w:r>
        <w:rPr>
          <w:rFonts w:hint="eastAsia" w:ascii="宋体" w:hAnsi="宋体"/>
          <w:bCs/>
          <w:sz w:val="24"/>
          <w:szCs w:val="24"/>
        </w:rPr>
        <w:t>。</w:t>
      </w:r>
    </w:p>
    <w:p>
      <w:pPr>
        <w:snapToGrid w:val="0"/>
        <w:spacing w:line="420" w:lineRule="exact"/>
        <w:rPr>
          <w:rFonts w:ascii="宋体" w:hAnsi="宋体"/>
          <w:b/>
          <w:bCs/>
          <w:sz w:val="24"/>
          <w:szCs w:val="24"/>
        </w:rPr>
      </w:pPr>
      <w:r>
        <w:rPr>
          <w:rFonts w:hint="eastAsia" w:ascii="宋体" w:hAnsi="宋体"/>
          <w:b/>
          <w:bCs/>
          <w:sz w:val="24"/>
          <w:szCs w:val="24"/>
        </w:rPr>
        <w:t>第五条  交付</w:t>
      </w:r>
    </w:p>
    <w:p>
      <w:pPr>
        <w:snapToGrid w:val="0"/>
        <w:spacing w:line="420" w:lineRule="exact"/>
        <w:rPr>
          <w:rFonts w:ascii="宋体" w:hAnsi="宋体"/>
          <w:bCs/>
          <w:sz w:val="24"/>
          <w:szCs w:val="24"/>
        </w:rPr>
      </w:pPr>
      <w:r>
        <w:rPr>
          <w:rFonts w:hint="eastAsia" w:ascii="宋体" w:hAnsi="宋体"/>
          <w:bCs/>
          <w:sz w:val="24"/>
          <w:szCs w:val="24"/>
        </w:rPr>
        <w:t>1．交货期：</w:t>
      </w:r>
      <w:r>
        <w:rPr>
          <w:rFonts w:hint="eastAsia" w:ascii="宋体" w:hAnsi="宋体" w:cs="宋体"/>
          <w:kern w:val="0"/>
          <w:sz w:val="24"/>
          <w:szCs w:val="24"/>
          <w:u w:val="single"/>
        </w:rPr>
        <w:t xml:space="preserve">                </w:t>
      </w:r>
      <w:r>
        <w:rPr>
          <w:rFonts w:hint="eastAsia" w:ascii="宋体" w:hAnsi="宋体"/>
          <w:bCs/>
          <w:sz w:val="24"/>
          <w:szCs w:val="24"/>
        </w:rPr>
        <w:t>， 交货地点：</w:t>
      </w:r>
      <w:r>
        <w:rPr>
          <w:rFonts w:hint="eastAsia" w:ascii="宋体" w:hAnsi="宋体" w:cs="宋体"/>
          <w:color w:val="000000"/>
          <w:kern w:val="0"/>
          <w:sz w:val="24"/>
          <w:szCs w:val="24"/>
          <w:u w:val="single"/>
        </w:rPr>
        <w:t>采购人指定的地点</w:t>
      </w:r>
      <w:r>
        <w:rPr>
          <w:rFonts w:hint="eastAsia" w:ascii="宋体" w:hAnsi="宋体"/>
          <w:bCs/>
          <w:sz w:val="24"/>
          <w:szCs w:val="24"/>
        </w:rPr>
        <w:t>。</w:t>
      </w:r>
    </w:p>
    <w:p>
      <w:pPr>
        <w:snapToGrid w:val="0"/>
        <w:spacing w:line="420" w:lineRule="exact"/>
        <w:rPr>
          <w:rFonts w:ascii="宋体" w:hAnsi="宋体"/>
          <w:bCs/>
          <w:sz w:val="24"/>
          <w:szCs w:val="24"/>
        </w:rPr>
      </w:pPr>
      <w:r>
        <w:rPr>
          <w:rFonts w:hint="eastAsia" w:ascii="宋体" w:hAnsi="宋体"/>
          <w:bCs/>
          <w:sz w:val="24"/>
          <w:szCs w:val="24"/>
        </w:rPr>
        <w:t>2．乙方提供不符合竞争性谈判文件和本合同规定的货物，甲方有权拒绝接受。</w:t>
      </w:r>
    </w:p>
    <w:p>
      <w:pPr>
        <w:snapToGrid w:val="0"/>
        <w:spacing w:line="420" w:lineRule="exact"/>
        <w:rPr>
          <w:rFonts w:ascii="宋体" w:hAnsi="宋体"/>
          <w:bCs/>
          <w:sz w:val="24"/>
          <w:szCs w:val="24"/>
        </w:rPr>
      </w:pPr>
      <w:r>
        <w:rPr>
          <w:rFonts w:hint="eastAsia" w:ascii="宋体" w:hAnsi="宋体"/>
          <w:bCs/>
          <w:sz w:val="24"/>
          <w:szCs w:val="24"/>
        </w:rPr>
        <w:t>3．乙方应将所提供货物的装箱清单、用户手册、原厂保修卡、随机资料、工具和备品、备件等交付给甲方，如有缺失应及时补齐，否则视为逾期交货。</w:t>
      </w:r>
    </w:p>
    <w:p>
      <w:pPr>
        <w:snapToGrid w:val="0"/>
        <w:spacing w:line="420" w:lineRule="exact"/>
        <w:rPr>
          <w:rFonts w:ascii="宋体" w:hAnsi="宋体"/>
          <w:bCs/>
          <w:sz w:val="24"/>
          <w:szCs w:val="24"/>
        </w:rPr>
      </w:pPr>
      <w:r>
        <w:rPr>
          <w:rFonts w:hint="eastAsia" w:ascii="宋体" w:hAnsi="宋体"/>
          <w:bCs/>
          <w:sz w:val="24"/>
          <w:szCs w:val="24"/>
        </w:rPr>
        <w:t>4．甲方应当在到货（安装、调试完）后七个工作日内进行验收，逾期不验收的，乙方可视同验收合格。验收合格后由甲乙方签署货物验收单并加盖采购人公章，甲乙双方各执一份。</w:t>
      </w:r>
    </w:p>
    <w:p>
      <w:pPr>
        <w:snapToGrid w:val="0"/>
        <w:spacing w:line="420" w:lineRule="exact"/>
        <w:rPr>
          <w:rFonts w:ascii="宋体" w:hAnsi="宋体"/>
          <w:b/>
          <w:bCs/>
          <w:sz w:val="24"/>
          <w:szCs w:val="24"/>
        </w:rPr>
      </w:pPr>
      <w:r>
        <w:rPr>
          <w:rFonts w:hint="eastAsia" w:ascii="宋体" w:hAnsi="宋体"/>
          <w:b/>
          <w:bCs/>
          <w:sz w:val="24"/>
          <w:szCs w:val="24"/>
        </w:rPr>
        <w:t>第六条   安装和培训</w:t>
      </w:r>
    </w:p>
    <w:p>
      <w:pPr>
        <w:snapToGrid w:val="0"/>
        <w:spacing w:line="420" w:lineRule="exact"/>
        <w:rPr>
          <w:rFonts w:ascii="宋体" w:hAnsi="宋体"/>
          <w:bCs/>
          <w:sz w:val="24"/>
          <w:szCs w:val="24"/>
          <w:u w:val="single"/>
        </w:rPr>
      </w:pPr>
      <w:r>
        <w:rPr>
          <w:rFonts w:hint="eastAsia" w:ascii="宋体" w:hAnsi="宋体"/>
          <w:bCs/>
          <w:sz w:val="24"/>
          <w:szCs w:val="24"/>
        </w:rPr>
        <w:t>1．甲方应提供必要安装条件（如场地、电源、水源等）。</w:t>
      </w:r>
    </w:p>
    <w:p>
      <w:pPr>
        <w:snapToGrid w:val="0"/>
        <w:spacing w:line="420" w:lineRule="exact"/>
        <w:rPr>
          <w:rFonts w:ascii="宋体" w:hAnsi="宋体"/>
          <w:bCs/>
          <w:sz w:val="24"/>
          <w:szCs w:val="24"/>
        </w:rPr>
      </w:pPr>
      <w:r>
        <w:rPr>
          <w:rFonts w:hint="eastAsia" w:ascii="宋体" w:hAnsi="宋体"/>
          <w:bCs/>
          <w:sz w:val="24"/>
          <w:szCs w:val="24"/>
        </w:rPr>
        <w:t>2．乙方负责甲方有关人员的培训。培训时间、地点：</w:t>
      </w:r>
      <w:r>
        <w:rPr>
          <w:rFonts w:hint="eastAsia" w:ascii="宋体" w:hAnsi="宋体"/>
          <w:bCs/>
          <w:sz w:val="24"/>
          <w:szCs w:val="24"/>
          <w:u w:val="single"/>
        </w:rPr>
        <w:t xml:space="preserve">        </w:t>
      </w:r>
      <w:r>
        <w:rPr>
          <w:rFonts w:hint="eastAsia" w:ascii="宋体" w:hAnsi="宋体"/>
          <w:bCs/>
          <w:sz w:val="24"/>
          <w:szCs w:val="24"/>
        </w:rPr>
        <w:t>。</w:t>
      </w:r>
    </w:p>
    <w:p>
      <w:pPr>
        <w:snapToGrid w:val="0"/>
        <w:spacing w:line="420" w:lineRule="exact"/>
        <w:rPr>
          <w:rFonts w:ascii="宋体" w:hAnsi="宋体"/>
          <w:b/>
          <w:bCs/>
          <w:sz w:val="24"/>
          <w:szCs w:val="24"/>
        </w:rPr>
      </w:pPr>
      <w:r>
        <w:rPr>
          <w:rFonts w:hint="eastAsia" w:ascii="宋体" w:hAnsi="宋体"/>
          <w:b/>
          <w:bCs/>
          <w:sz w:val="24"/>
          <w:szCs w:val="24"/>
        </w:rPr>
        <w:t>第七条  售后服务、保修期</w:t>
      </w:r>
    </w:p>
    <w:p>
      <w:pPr>
        <w:snapToGrid w:val="0"/>
        <w:spacing w:line="420" w:lineRule="exact"/>
        <w:rPr>
          <w:rFonts w:ascii="宋体" w:hAnsi="宋体"/>
          <w:bCs/>
          <w:sz w:val="24"/>
          <w:szCs w:val="24"/>
        </w:rPr>
      </w:pPr>
      <w:r>
        <w:rPr>
          <w:rFonts w:hint="eastAsia" w:ascii="宋体" w:hAnsi="宋体"/>
          <w:bCs/>
          <w:sz w:val="24"/>
          <w:szCs w:val="24"/>
        </w:rPr>
        <w:t>1．乙方应按照国家有关法律和“三包”规定以及竞争性谈判文件和本合同所附的《服务承诺》，为甲方提供售后服务。</w:t>
      </w:r>
    </w:p>
    <w:p>
      <w:pPr>
        <w:snapToGrid w:val="0"/>
        <w:spacing w:line="420" w:lineRule="exact"/>
        <w:rPr>
          <w:rFonts w:ascii="宋体" w:hAnsi="宋体"/>
          <w:bCs/>
          <w:sz w:val="24"/>
          <w:szCs w:val="24"/>
        </w:rPr>
      </w:pPr>
      <w:r>
        <w:rPr>
          <w:rFonts w:hint="eastAsia" w:ascii="宋体" w:hAnsi="宋体"/>
          <w:bCs/>
          <w:sz w:val="24"/>
          <w:szCs w:val="24"/>
        </w:rPr>
        <w:t>2．货物保修期：</w:t>
      </w:r>
      <w:r>
        <w:rPr>
          <w:rFonts w:hint="eastAsia" w:ascii="宋体" w:hAnsi="宋体"/>
          <w:bCs/>
          <w:sz w:val="24"/>
          <w:szCs w:val="24"/>
          <w:u w:val="single"/>
        </w:rPr>
        <w:t xml:space="preserve">          </w:t>
      </w:r>
      <w:r>
        <w:rPr>
          <w:rFonts w:hint="eastAsia" w:ascii="宋体" w:hAnsi="宋体"/>
          <w:bCs/>
          <w:sz w:val="24"/>
          <w:szCs w:val="24"/>
        </w:rPr>
        <w:t>。</w:t>
      </w:r>
    </w:p>
    <w:p>
      <w:pPr>
        <w:snapToGrid w:val="0"/>
        <w:spacing w:line="420" w:lineRule="exact"/>
        <w:rPr>
          <w:rFonts w:ascii="宋体" w:hAnsi="宋体"/>
          <w:bCs/>
          <w:sz w:val="24"/>
          <w:szCs w:val="24"/>
        </w:rPr>
      </w:pPr>
      <w:r>
        <w:rPr>
          <w:rFonts w:hint="eastAsia" w:ascii="宋体" w:hAnsi="宋体"/>
          <w:bCs/>
          <w:sz w:val="24"/>
          <w:szCs w:val="24"/>
        </w:rPr>
        <w:t>3．乙方提供的服务承诺和售后服务及保修期责任等其它具体约定事项。（见合同附件）</w:t>
      </w:r>
    </w:p>
    <w:p>
      <w:pPr>
        <w:snapToGrid w:val="0"/>
        <w:spacing w:line="420" w:lineRule="exact"/>
        <w:rPr>
          <w:rFonts w:ascii="宋体" w:hAnsi="宋体"/>
          <w:b/>
          <w:bCs/>
          <w:sz w:val="24"/>
          <w:szCs w:val="24"/>
        </w:rPr>
      </w:pPr>
      <w:r>
        <w:rPr>
          <w:rFonts w:hint="eastAsia" w:ascii="宋体" w:hAnsi="宋体"/>
          <w:b/>
          <w:bCs/>
          <w:sz w:val="24"/>
          <w:szCs w:val="24"/>
        </w:rPr>
        <w:t>第八条  付款方式和保证金</w:t>
      </w:r>
    </w:p>
    <w:p>
      <w:pPr>
        <w:snapToGrid w:val="0"/>
        <w:spacing w:line="420" w:lineRule="exact"/>
        <w:rPr>
          <w:rFonts w:ascii="宋体" w:hAnsi="宋体"/>
          <w:bCs/>
          <w:sz w:val="24"/>
          <w:szCs w:val="24"/>
        </w:rPr>
      </w:pPr>
      <w:r>
        <w:rPr>
          <w:rFonts w:hint="eastAsia" w:ascii="宋体" w:hAnsi="宋体"/>
          <w:bCs/>
          <w:sz w:val="24"/>
          <w:szCs w:val="24"/>
        </w:rPr>
        <w:t>1．当采购数量与实际使用数量不一致时，乙方应根据实际使用量供货，合同的最终结算金额按实际使用量乘以成交单价进行计算。</w:t>
      </w:r>
    </w:p>
    <w:p>
      <w:pPr>
        <w:snapToGrid w:val="0"/>
        <w:spacing w:line="420" w:lineRule="exact"/>
        <w:rPr>
          <w:rFonts w:ascii="宋体" w:hAnsi="宋体"/>
          <w:bCs/>
          <w:sz w:val="24"/>
          <w:szCs w:val="24"/>
        </w:rPr>
      </w:pPr>
      <w:r>
        <w:rPr>
          <w:rFonts w:hint="eastAsia" w:ascii="宋体" w:hAnsi="宋体"/>
          <w:bCs/>
          <w:sz w:val="24"/>
          <w:szCs w:val="24"/>
        </w:rPr>
        <w:t>2．资金性质：</w:t>
      </w:r>
      <w:r>
        <w:rPr>
          <w:rFonts w:hint="eastAsia" w:ascii="宋体" w:hAnsi="宋体"/>
          <w:bCs/>
          <w:sz w:val="24"/>
          <w:szCs w:val="24"/>
          <w:u w:val="single"/>
        </w:rPr>
        <w:t xml:space="preserve">          </w:t>
      </w:r>
      <w:r>
        <w:rPr>
          <w:rFonts w:hint="eastAsia" w:ascii="宋体" w:hAnsi="宋体"/>
          <w:bCs/>
          <w:sz w:val="24"/>
          <w:szCs w:val="24"/>
        </w:rPr>
        <w:t>。</w:t>
      </w:r>
    </w:p>
    <w:p>
      <w:pPr>
        <w:pStyle w:val="16"/>
        <w:spacing w:line="420" w:lineRule="exact"/>
        <w:rPr>
          <w:rFonts w:hAnsi="宋体"/>
          <w:bCs/>
          <w:sz w:val="24"/>
          <w:szCs w:val="24"/>
        </w:rPr>
      </w:pPr>
      <w:r>
        <w:rPr>
          <w:rFonts w:hint="eastAsia" w:hAnsi="宋体"/>
          <w:bCs/>
          <w:sz w:val="24"/>
          <w:szCs w:val="24"/>
        </w:rPr>
        <w:t>3.以实际验收合格货物到货数量进行计价结算；</w:t>
      </w:r>
    </w:p>
    <w:p>
      <w:pPr>
        <w:snapToGrid w:val="0"/>
        <w:spacing w:line="420" w:lineRule="exact"/>
        <w:rPr>
          <w:rFonts w:ascii="宋体" w:hAnsi="宋体"/>
          <w:b/>
          <w:color w:val="FF0000"/>
          <w:sz w:val="24"/>
          <w:szCs w:val="24"/>
        </w:rPr>
      </w:pPr>
      <w:r>
        <w:rPr>
          <w:rFonts w:hint="eastAsia" w:ascii="宋体" w:hAnsi="宋体"/>
          <w:bCs/>
          <w:color w:val="FF0000"/>
          <w:sz w:val="24"/>
          <w:szCs w:val="24"/>
        </w:rPr>
        <w:t>4.</w:t>
      </w:r>
      <w:r>
        <w:rPr>
          <w:rFonts w:hint="eastAsia" w:ascii="宋体" w:hAnsi="宋体"/>
          <w:b/>
          <w:color w:val="FF0000"/>
          <w:sz w:val="24"/>
          <w:szCs w:val="24"/>
        </w:rPr>
        <w:t>付款方式：双方签订合同后甲方五个工作日内支付合同总金额50%的预付款给乙方，待所有货物供货完毕验收合格完后五个工作日内支付至合同总金额的95%给乙方，余款在过质保期后在五个工作日内结清,不计利息（乙方在交货时同时将发票开具给甲方）。</w:t>
      </w:r>
    </w:p>
    <w:p>
      <w:pPr>
        <w:snapToGrid w:val="0"/>
        <w:spacing w:line="420" w:lineRule="exact"/>
        <w:rPr>
          <w:rFonts w:ascii="宋体" w:hAnsi="宋体"/>
          <w:b/>
          <w:bCs/>
          <w:sz w:val="24"/>
          <w:szCs w:val="24"/>
        </w:rPr>
      </w:pPr>
      <w:r>
        <w:rPr>
          <w:rFonts w:hint="eastAsia" w:ascii="宋体" w:hAnsi="宋体"/>
          <w:b/>
          <w:bCs/>
          <w:sz w:val="24"/>
          <w:szCs w:val="24"/>
        </w:rPr>
        <w:t>第九条  税费</w:t>
      </w:r>
    </w:p>
    <w:p>
      <w:pPr>
        <w:snapToGrid w:val="0"/>
        <w:spacing w:line="420" w:lineRule="exact"/>
        <w:ind w:firstLine="480" w:firstLineChars="200"/>
        <w:rPr>
          <w:rFonts w:ascii="宋体" w:hAnsi="宋体"/>
          <w:bCs/>
          <w:sz w:val="24"/>
          <w:szCs w:val="24"/>
        </w:rPr>
      </w:pPr>
      <w:r>
        <w:rPr>
          <w:rFonts w:hint="eastAsia" w:ascii="宋体" w:hAnsi="宋体"/>
          <w:bCs/>
          <w:sz w:val="24"/>
          <w:szCs w:val="24"/>
        </w:rPr>
        <w:t>本合同执行中相关的一切税费均由乙方负担。</w:t>
      </w:r>
    </w:p>
    <w:p>
      <w:pPr>
        <w:snapToGrid w:val="0"/>
        <w:spacing w:line="420" w:lineRule="exact"/>
        <w:rPr>
          <w:rFonts w:ascii="宋体" w:hAnsi="宋体"/>
          <w:b/>
          <w:bCs/>
          <w:sz w:val="24"/>
          <w:szCs w:val="24"/>
        </w:rPr>
      </w:pPr>
      <w:r>
        <w:rPr>
          <w:rFonts w:hint="eastAsia" w:ascii="宋体" w:hAnsi="宋体"/>
          <w:b/>
          <w:bCs/>
          <w:sz w:val="24"/>
          <w:szCs w:val="24"/>
        </w:rPr>
        <w:t>第十条  质量保证及售后服务</w:t>
      </w:r>
    </w:p>
    <w:p>
      <w:pPr>
        <w:snapToGrid w:val="0"/>
        <w:spacing w:line="420" w:lineRule="exact"/>
        <w:rPr>
          <w:rFonts w:ascii="宋体" w:hAnsi="宋体"/>
          <w:bCs/>
          <w:sz w:val="24"/>
          <w:szCs w:val="24"/>
        </w:rPr>
      </w:pPr>
      <w:r>
        <w:rPr>
          <w:rFonts w:hint="eastAsia" w:ascii="宋体" w:hAnsi="宋体"/>
          <w:bCs/>
          <w:sz w:val="24"/>
          <w:szCs w:val="24"/>
        </w:rPr>
        <w:t>1．乙方应按谈判文件规定的货物性能、技术要求、质量标准向甲方提供未经使用的全新产品。要求者不合，根据实际情况，经双方协商，可按以下办法处理：</w:t>
      </w:r>
    </w:p>
    <w:p>
      <w:pPr>
        <w:snapToGrid w:val="0"/>
        <w:spacing w:line="420" w:lineRule="exact"/>
        <w:rPr>
          <w:rFonts w:ascii="宋体" w:hAnsi="宋体"/>
          <w:bCs/>
          <w:sz w:val="24"/>
          <w:szCs w:val="24"/>
        </w:rPr>
      </w:pPr>
      <w:r>
        <w:rPr>
          <w:rFonts w:hint="eastAsia" w:ascii="宋体" w:hAnsi="宋体"/>
          <w:bCs/>
          <w:sz w:val="24"/>
          <w:szCs w:val="24"/>
        </w:rPr>
        <w:t>（1）更换：由乙方承担所发生的全部费用</w:t>
      </w:r>
    </w:p>
    <w:p>
      <w:pPr>
        <w:snapToGrid w:val="0"/>
        <w:spacing w:line="420" w:lineRule="exact"/>
        <w:rPr>
          <w:rFonts w:ascii="宋体" w:hAnsi="宋体"/>
          <w:bCs/>
          <w:sz w:val="24"/>
          <w:szCs w:val="24"/>
        </w:rPr>
      </w:pPr>
      <w:r>
        <w:rPr>
          <w:rFonts w:hint="eastAsia" w:ascii="宋体" w:hAnsi="宋体"/>
          <w:bCs/>
          <w:sz w:val="24"/>
          <w:szCs w:val="24"/>
        </w:rPr>
        <w:t>（2）贬值处理：由甲乙双方合议定价。</w:t>
      </w:r>
    </w:p>
    <w:p>
      <w:pPr>
        <w:snapToGrid w:val="0"/>
        <w:spacing w:line="420" w:lineRule="exact"/>
        <w:rPr>
          <w:rFonts w:ascii="宋体" w:hAnsi="宋体"/>
          <w:bCs/>
          <w:sz w:val="24"/>
          <w:szCs w:val="24"/>
        </w:rPr>
      </w:pPr>
      <w:r>
        <w:rPr>
          <w:rFonts w:hint="eastAsia" w:ascii="宋体" w:hAnsi="宋体"/>
          <w:bCs/>
          <w:sz w:val="24"/>
          <w:szCs w:val="24"/>
        </w:rPr>
        <w:t>（3）退货处理：乙方应退还甲方支付的合同款，同时应承担该货物的直接费用（运输、保险、检验、货款利息及银行手续费等）。</w:t>
      </w:r>
    </w:p>
    <w:p>
      <w:pPr>
        <w:snapToGrid w:val="0"/>
        <w:spacing w:line="420" w:lineRule="exact"/>
        <w:rPr>
          <w:rFonts w:ascii="宋体" w:hAnsi="宋体"/>
          <w:bCs/>
          <w:sz w:val="24"/>
          <w:szCs w:val="24"/>
        </w:rPr>
      </w:pPr>
      <w:r>
        <w:rPr>
          <w:rFonts w:hint="eastAsia" w:ascii="宋体" w:hAnsi="宋体"/>
          <w:bCs/>
          <w:sz w:val="24"/>
          <w:szCs w:val="24"/>
        </w:rPr>
        <w:t>2．如在使用过程中发生质量问题，乙方在接到甲方通知后在</w:t>
      </w:r>
      <w:r>
        <w:rPr>
          <w:rFonts w:hint="eastAsia" w:ascii="宋体" w:hAnsi="宋体"/>
          <w:bCs/>
          <w:sz w:val="24"/>
          <w:szCs w:val="24"/>
          <w:u w:val="single"/>
        </w:rPr>
        <w:t xml:space="preserve">    </w:t>
      </w:r>
      <w:r>
        <w:rPr>
          <w:rFonts w:hint="eastAsia" w:ascii="宋体" w:hAnsi="宋体"/>
          <w:bCs/>
          <w:sz w:val="24"/>
          <w:szCs w:val="24"/>
        </w:rPr>
        <w:t>小时内到达甲方现场处理。</w:t>
      </w:r>
    </w:p>
    <w:p>
      <w:pPr>
        <w:snapToGrid w:val="0"/>
        <w:spacing w:line="420" w:lineRule="exact"/>
        <w:rPr>
          <w:rFonts w:ascii="宋体" w:hAnsi="宋体"/>
          <w:bCs/>
          <w:sz w:val="24"/>
          <w:szCs w:val="24"/>
        </w:rPr>
      </w:pPr>
      <w:r>
        <w:rPr>
          <w:rFonts w:hint="eastAsia" w:ascii="宋体" w:hAnsi="宋体"/>
          <w:bCs/>
          <w:sz w:val="24"/>
          <w:szCs w:val="24"/>
        </w:rPr>
        <w:t>3．在质保期内，乙方应对货物出现的质量及安全问题负责处理解决并承担一切费用。</w:t>
      </w:r>
    </w:p>
    <w:p>
      <w:pPr>
        <w:snapToGrid w:val="0"/>
        <w:spacing w:line="420" w:lineRule="exact"/>
        <w:rPr>
          <w:rFonts w:ascii="宋体" w:hAnsi="宋体"/>
          <w:bCs/>
          <w:sz w:val="24"/>
          <w:szCs w:val="24"/>
        </w:rPr>
      </w:pPr>
      <w:r>
        <w:rPr>
          <w:rFonts w:hint="eastAsia" w:ascii="宋体" w:hAnsi="宋体"/>
          <w:bCs/>
          <w:sz w:val="24"/>
          <w:szCs w:val="24"/>
        </w:rPr>
        <w:t>4．上述的货物免费保修期为</w:t>
      </w:r>
      <w:r>
        <w:rPr>
          <w:rFonts w:hint="eastAsia" w:ascii="宋体" w:hAnsi="宋体"/>
          <w:bCs/>
          <w:sz w:val="24"/>
          <w:szCs w:val="24"/>
          <w:u w:val="single"/>
        </w:rPr>
        <w:t xml:space="preserve">    </w:t>
      </w:r>
      <w:r>
        <w:rPr>
          <w:rFonts w:hint="eastAsia" w:ascii="宋体" w:hAnsi="宋体"/>
          <w:bCs/>
          <w:sz w:val="24"/>
          <w:szCs w:val="24"/>
        </w:rPr>
        <w:t>年，因人为因素出现的故障不在免费保修范围内。超过保修期的机器设备，终生维修，维修时只收部件成本费。</w:t>
      </w:r>
    </w:p>
    <w:p>
      <w:pPr>
        <w:snapToGrid w:val="0"/>
        <w:spacing w:line="420" w:lineRule="exact"/>
        <w:rPr>
          <w:rFonts w:ascii="宋体" w:hAnsi="宋体"/>
          <w:b/>
          <w:bCs/>
          <w:sz w:val="24"/>
          <w:szCs w:val="24"/>
        </w:rPr>
      </w:pPr>
      <w:r>
        <w:rPr>
          <w:rFonts w:hint="eastAsia" w:ascii="宋体" w:hAnsi="宋体"/>
          <w:b/>
          <w:bCs/>
          <w:sz w:val="24"/>
          <w:szCs w:val="24"/>
        </w:rPr>
        <w:t>第十一条  调试和验收</w:t>
      </w:r>
    </w:p>
    <w:p>
      <w:pPr>
        <w:snapToGrid w:val="0"/>
        <w:spacing w:line="420" w:lineRule="exact"/>
        <w:rPr>
          <w:rFonts w:ascii="宋体" w:hAnsi="宋体"/>
          <w:bCs/>
          <w:sz w:val="24"/>
          <w:szCs w:val="24"/>
        </w:rPr>
      </w:pPr>
      <w:r>
        <w:rPr>
          <w:rFonts w:hint="eastAsia" w:ascii="宋体" w:hAnsi="宋体"/>
          <w:bCs/>
          <w:sz w:val="24"/>
          <w:szCs w:val="24"/>
        </w:rPr>
        <w:t>1．甲方对乙方提交的货物依据谈判文件上的技术规格要求和国家有关质量标准进行现场初步验收，外观、说明书符合谈判文件技术要求的，给予签收，初步验收不合格的不予签收。货到后，甲方应当在到货（安装、调试完）后七个工作日内进行验收。</w:t>
      </w:r>
    </w:p>
    <w:p>
      <w:pPr>
        <w:snapToGrid w:val="0"/>
        <w:spacing w:line="420" w:lineRule="exact"/>
        <w:rPr>
          <w:rFonts w:ascii="宋体" w:hAnsi="宋体"/>
          <w:bCs/>
          <w:sz w:val="24"/>
          <w:szCs w:val="24"/>
        </w:rPr>
      </w:pPr>
      <w:r>
        <w:rPr>
          <w:rFonts w:hint="eastAsia" w:ascii="宋体" w:hAnsi="宋体"/>
          <w:bCs/>
          <w:sz w:val="24"/>
          <w:szCs w:val="24"/>
        </w:rPr>
        <w:t>2．乙方交货前应对产品作出全面检查和对验收文件进行整理，并列出清单，作为甲方收货验收和使用的技术条件依据，检验的结果应随货物交甲方。乙方需同时提供本批次货物的产品出厂质量检验报告。</w:t>
      </w:r>
    </w:p>
    <w:p>
      <w:pPr>
        <w:snapToGrid w:val="0"/>
        <w:spacing w:line="420" w:lineRule="exact"/>
        <w:rPr>
          <w:rFonts w:ascii="宋体" w:hAnsi="宋体"/>
          <w:bCs/>
          <w:sz w:val="24"/>
          <w:szCs w:val="24"/>
        </w:rPr>
      </w:pPr>
      <w:r>
        <w:rPr>
          <w:rFonts w:hint="eastAsia" w:ascii="宋体" w:hAnsi="宋体"/>
          <w:bCs/>
          <w:sz w:val="24"/>
          <w:szCs w:val="24"/>
        </w:rPr>
        <w:t>3．甲方对乙方提供的货物在使用前进行调试时，乙方需负责安装并培训甲方的使用操作人员，并协助甲方一起调试，直到符合技术要求，甲方才做最终验收。</w:t>
      </w:r>
    </w:p>
    <w:p>
      <w:pPr>
        <w:snapToGrid w:val="0"/>
        <w:spacing w:line="420" w:lineRule="exact"/>
        <w:rPr>
          <w:rFonts w:ascii="宋体" w:hAnsi="宋体"/>
          <w:bCs/>
          <w:sz w:val="24"/>
          <w:szCs w:val="24"/>
        </w:rPr>
      </w:pPr>
      <w:r>
        <w:rPr>
          <w:rFonts w:hint="eastAsia" w:ascii="宋体" w:hAnsi="宋体"/>
          <w:bCs/>
          <w:sz w:val="24"/>
          <w:szCs w:val="24"/>
        </w:rPr>
        <w:t>4．</w:t>
      </w:r>
      <w:r>
        <w:rPr>
          <w:rFonts w:hint="eastAsia" w:ascii="宋体" w:hAnsi="宋体"/>
          <w:sz w:val="24"/>
          <w:szCs w:val="24"/>
        </w:rPr>
        <w:t>对于</w:t>
      </w:r>
      <w:r>
        <w:rPr>
          <w:rFonts w:hint="eastAsia" w:ascii="宋体" w:hAnsi="宋体"/>
          <w:bCs/>
          <w:sz w:val="24"/>
          <w:szCs w:val="24"/>
        </w:rPr>
        <w:t>技术复杂的货物，甲方应请国家认可的专业检测机构参与初步验收及最终验收，并由其出具质量检测报告。</w:t>
      </w:r>
    </w:p>
    <w:p>
      <w:pPr>
        <w:snapToGrid w:val="0"/>
        <w:spacing w:line="420" w:lineRule="exact"/>
        <w:rPr>
          <w:rFonts w:ascii="宋体" w:hAnsi="宋体"/>
          <w:bCs/>
          <w:sz w:val="24"/>
          <w:szCs w:val="24"/>
        </w:rPr>
      </w:pPr>
      <w:r>
        <w:rPr>
          <w:rFonts w:hint="eastAsia" w:ascii="宋体" w:hAnsi="宋体"/>
          <w:bCs/>
          <w:sz w:val="24"/>
          <w:szCs w:val="24"/>
        </w:rPr>
        <w:t>5．</w:t>
      </w:r>
      <w:r>
        <w:rPr>
          <w:rFonts w:hint="eastAsia" w:ascii="宋体" w:hAnsi="宋体"/>
          <w:sz w:val="24"/>
          <w:szCs w:val="24"/>
        </w:rPr>
        <w:t>甲方对每种规格货物进行随机取样送检，取样时乙方必须在场，送检费用由乙方负担。</w:t>
      </w:r>
    </w:p>
    <w:p>
      <w:pPr>
        <w:snapToGrid w:val="0"/>
        <w:spacing w:line="420" w:lineRule="exact"/>
        <w:rPr>
          <w:rFonts w:ascii="宋体" w:hAnsi="宋体"/>
          <w:b/>
          <w:bCs/>
          <w:sz w:val="24"/>
          <w:szCs w:val="24"/>
        </w:rPr>
      </w:pPr>
      <w:r>
        <w:rPr>
          <w:rFonts w:hint="eastAsia" w:ascii="宋体" w:hAnsi="宋体"/>
          <w:b/>
          <w:bCs/>
          <w:sz w:val="24"/>
          <w:szCs w:val="24"/>
        </w:rPr>
        <w:t>第十二条  货物包装、发运及运输</w:t>
      </w:r>
    </w:p>
    <w:p>
      <w:pPr>
        <w:snapToGrid w:val="0"/>
        <w:spacing w:line="420" w:lineRule="exact"/>
        <w:rPr>
          <w:rFonts w:ascii="宋体" w:hAnsi="宋体"/>
          <w:bCs/>
          <w:sz w:val="24"/>
          <w:szCs w:val="24"/>
        </w:rPr>
      </w:pPr>
      <w:r>
        <w:rPr>
          <w:rFonts w:hint="eastAsia" w:ascii="宋体" w:hAnsi="宋体"/>
          <w:bCs/>
          <w:sz w:val="24"/>
          <w:szCs w:val="24"/>
        </w:rPr>
        <w:t>1．乙方应在货物发运前对其进行满足运输距离、防潮、防震、防锈和防破损装卸等要求包装，以保证货物安全运达甲方指定地点。</w:t>
      </w:r>
    </w:p>
    <w:p>
      <w:pPr>
        <w:snapToGrid w:val="0"/>
        <w:spacing w:line="420" w:lineRule="exact"/>
        <w:rPr>
          <w:rFonts w:ascii="宋体" w:hAnsi="宋体"/>
          <w:bCs/>
          <w:sz w:val="24"/>
          <w:szCs w:val="24"/>
        </w:rPr>
      </w:pPr>
      <w:r>
        <w:rPr>
          <w:rFonts w:hint="eastAsia" w:ascii="宋体" w:hAnsi="宋体"/>
          <w:bCs/>
          <w:sz w:val="24"/>
          <w:szCs w:val="24"/>
        </w:rPr>
        <w:t>2．使用说明书、质量检验证明书、随配附件和工具以及清单一并附于货物内。</w:t>
      </w:r>
    </w:p>
    <w:p>
      <w:pPr>
        <w:snapToGrid w:val="0"/>
        <w:spacing w:line="420" w:lineRule="exact"/>
        <w:rPr>
          <w:rFonts w:ascii="宋体" w:hAnsi="宋体"/>
          <w:bCs/>
          <w:sz w:val="24"/>
          <w:szCs w:val="24"/>
        </w:rPr>
      </w:pPr>
      <w:r>
        <w:rPr>
          <w:rFonts w:hint="eastAsia" w:ascii="宋体" w:hAnsi="宋体"/>
          <w:bCs/>
          <w:sz w:val="24"/>
          <w:szCs w:val="24"/>
        </w:rPr>
        <w:t>3．乙方在货物发运手续办理完毕后二十四小时内或货到甲方四十八小时前通知甲方，以准备接货。</w:t>
      </w:r>
    </w:p>
    <w:p>
      <w:pPr>
        <w:snapToGrid w:val="0"/>
        <w:spacing w:line="420" w:lineRule="exact"/>
        <w:rPr>
          <w:rFonts w:ascii="宋体" w:hAnsi="宋体"/>
          <w:bCs/>
          <w:sz w:val="24"/>
          <w:szCs w:val="24"/>
        </w:rPr>
      </w:pPr>
      <w:r>
        <w:rPr>
          <w:rFonts w:hint="eastAsia" w:ascii="宋体" w:hAnsi="宋体"/>
          <w:bCs/>
          <w:sz w:val="24"/>
          <w:szCs w:val="24"/>
        </w:rPr>
        <w:t>4．货物在交付甲方前发生的风险均由乙方负责。</w:t>
      </w:r>
    </w:p>
    <w:p>
      <w:pPr>
        <w:snapToGrid w:val="0"/>
        <w:spacing w:line="420" w:lineRule="exact"/>
        <w:rPr>
          <w:rFonts w:ascii="宋体" w:hAnsi="宋体"/>
          <w:bCs/>
          <w:sz w:val="24"/>
          <w:szCs w:val="24"/>
        </w:rPr>
      </w:pPr>
      <w:r>
        <w:rPr>
          <w:rFonts w:hint="eastAsia" w:ascii="宋体" w:hAnsi="宋体"/>
          <w:bCs/>
          <w:sz w:val="24"/>
          <w:szCs w:val="24"/>
        </w:rPr>
        <w:t>5．货物在规定的交付期限内由乙方送达甲方指定的地点交付，乙方同时需通知甲方货物已送达。</w:t>
      </w:r>
    </w:p>
    <w:p>
      <w:pPr>
        <w:snapToGrid w:val="0"/>
        <w:spacing w:line="420" w:lineRule="exact"/>
        <w:rPr>
          <w:rFonts w:ascii="宋体" w:hAnsi="宋体"/>
          <w:b/>
          <w:bCs/>
          <w:sz w:val="24"/>
          <w:szCs w:val="24"/>
        </w:rPr>
      </w:pPr>
      <w:r>
        <w:rPr>
          <w:rFonts w:hint="eastAsia" w:ascii="宋体" w:hAnsi="宋体"/>
          <w:b/>
          <w:bCs/>
          <w:sz w:val="24"/>
          <w:szCs w:val="24"/>
        </w:rPr>
        <w:t>第十三条  违约责任</w:t>
      </w:r>
    </w:p>
    <w:p>
      <w:pPr>
        <w:snapToGrid w:val="0"/>
        <w:spacing w:line="420" w:lineRule="exact"/>
        <w:rPr>
          <w:rFonts w:ascii="宋体" w:hAnsi="宋体"/>
          <w:bCs/>
          <w:sz w:val="24"/>
          <w:szCs w:val="24"/>
        </w:rPr>
      </w:pPr>
      <w:r>
        <w:rPr>
          <w:rFonts w:hint="eastAsia" w:ascii="宋体" w:hAnsi="宋体"/>
          <w:bCs/>
          <w:sz w:val="24"/>
          <w:szCs w:val="24"/>
        </w:rPr>
        <w:t>1．乙方所提供的货物规格、技术标准、材料等质量不合格的，应及时更换，更换不及时的按逾期交货处罚；因质量问题甲方不同意接收的或特殊情况甲方同意接收的，乙方应向甲方支付违约货款额5%违约金并赔偿甲方经济损失。</w:t>
      </w:r>
    </w:p>
    <w:p>
      <w:pPr>
        <w:snapToGrid w:val="0"/>
        <w:spacing w:line="420" w:lineRule="exact"/>
        <w:rPr>
          <w:rFonts w:ascii="宋体" w:hAnsi="宋体"/>
          <w:bCs/>
          <w:sz w:val="24"/>
          <w:szCs w:val="24"/>
        </w:rPr>
      </w:pPr>
      <w:r>
        <w:rPr>
          <w:rFonts w:hint="eastAsia" w:ascii="宋体" w:hAnsi="宋体"/>
          <w:bCs/>
          <w:sz w:val="24"/>
          <w:szCs w:val="24"/>
        </w:rPr>
        <w:t>2．乙方提供的货物如侵犯了第三方合法权益而引发的任何纠纷或诉讼，均由乙方负责交涉并承担全部责任。</w:t>
      </w:r>
    </w:p>
    <w:p>
      <w:pPr>
        <w:snapToGrid w:val="0"/>
        <w:spacing w:line="420" w:lineRule="exact"/>
        <w:rPr>
          <w:rFonts w:ascii="宋体" w:hAnsi="宋体"/>
          <w:bCs/>
          <w:sz w:val="24"/>
          <w:szCs w:val="24"/>
        </w:rPr>
      </w:pPr>
      <w:r>
        <w:rPr>
          <w:rFonts w:hint="eastAsia" w:ascii="宋体" w:hAnsi="宋体"/>
          <w:bCs/>
          <w:sz w:val="24"/>
          <w:szCs w:val="24"/>
        </w:rPr>
        <w:t>3．因包装、运输引起的货物损坏，按质量不合格处理。</w:t>
      </w:r>
    </w:p>
    <w:p>
      <w:pPr>
        <w:snapToGrid w:val="0"/>
        <w:spacing w:line="420" w:lineRule="exact"/>
        <w:rPr>
          <w:rFonts w:ascii="宋体" w:hAnsi="宋体"/>
          <w:bCs/>
          <w:sz w:val="24"/>
          <w:szCs w:val="24"/>
        </w:rPr>
      </w:pPr>
      <w:r>
        <w:rPr>
          <w:rFonts w:hint="eastAsia" w:ascii="宋体" w:hAnsi="宋体"/>
          <w:bCs/>
          <w:sz w:val="24"/>
          <w:szCs w:val="24"/>
        </w:rPr>
        <w:t>4．甲方无故延期接收货物、乙方逾期交货的，每天向对方偿付违约货款额3%违约金，担违约金累计不超过违约货款额</w:t>
      </w:r>
      <w:r>
        <w:rPr>
          <w:rFonts w:hint="eastAsia" w:ascii="宋体" w:hAnsi="宋体"/>
          <w:bCs/>
          <w:sz w:val="24"/>
          <w:szCs w:val="24"/>
          <w:u w:val="single"/>
        </w:rPr>
        <w:t>5%</w:t>
      </w:r>
      <w:r>
        <w:rPr>
          <w:rFonts w:hint="eastAsia" w:ascii="宋体" w:hAnsi="宋体"/>
          <w:bCs/>
          <w:sz w:val="24"/>
          <w:szCs w:val="24"/>
        </w:rPr>
        <w:t>，超过</w:t>
      </w:r>
      <w:r>
        <w:rPr>
          <w:rFonts w:hint="eastAsia" w:ascii="宋体" w:hAnsi="宋体"/>
          <w:bCs/>
          <w:sz w:val="24"/>
          <w:szCs w:val="24"/>
          <w:u w:val="single"/>
        </w:rPr>
        <w:t xml:space="preserve">    </w:t>
      </w:r>
      <w:r>
        <w:rPr>
          <w:rFonts w:hint="eastAsia" w:ascii="宋体" w:hAnsi="宋体"/>
          <w:bCs/>
          <w:sz w:val="24"/>
          <w:szCs w:val="24"/>
        </w:rPr>
        <w:t>天对方有权解除合同，违约方承担因此给对方造成的经济损失；甲方延期付货款的，每天向乙方偿付延期货款额</w:t>
      </w:r>
      <w:r>
        <w:rPr>
          <w:rFonts w:hint="eastAsia" w:ascii="宋体" w:hAnsi="宋体"/>
          <w:bCs/>
          <w:sz w:val="24"/>
          <w:szCs w:val="24"/>
          <w:u w:val="single"/>
        </w:rPr>
        <w:t>3‰</w:t>
      </w:r>
      <w:r>
        <w:rPr>
          <w:rFonts w:hint="eastAsia" w:ascii="宋体" w:hAnsi="宋体"/>
          <w:bCs/>
          <w:sz w:val="24"/>
          <w:szCs w:val="24"/>
        </w:rPr>
        <w:t>滞纳金。但滞纳金累计不得超过延期货款额</w:t>
      </w:r>
      <w:r>
        <w:rPr>
          <w:rFonts w:hint="eastAsia" w:ascii="宋体" w:hAnsi="宋体"/>
          <w:bCs/>
          <w:sz w:val="24"/>
          <w:szCs w:val="24"/>
          <w:u w:val="single"/>
        </w:rPr>
        <w:t>5%</w:t>
      </w:r>
      <w:r>
        <w:rPr>
          <w:rFonts w:hint="eastAsia" w:ascii="宋体" w:hAnsi="宋体"/>
          <w:bCs/>
          <w:sz w:val="24"/>
          <w:szCs w:val="24"/>
        </w:rPr>
        <w:t>。</w:t>
      </w:r>
    </w:p>
    <w:p>
      <w:pPr>
        <w:snapToGrid w:val="0"/>
        <w:spacing w:line="420" w:lineRule="exact"/>
        <w:rPr>
          <w:rFonts w:ascii="宋体" w:hAnsi="宋体"/>
          <w:bCs/>
          <w:sz w:val="24"/>
          <w:szCs w:val="24"/>
        </w:rPr>
      </w:pPr>
      <w:r>
        <w:rPr>
          <w:rFonts w:hint="eastAsia" w:ascii="宋体" w:hAnsi="宋体"/>
          <w:bCs/>
          <w:sz w:val="24"/>
          <w:szCs w:val="24"/>
        </w:rPr>
        <w:t>5．乙方未按本合同和竞标文件中规定的服务承诺提供售后服务的，乙方应按本合同合计金额</w:t>
      </w:r>
      <w:r>
        <w:rPr>
          <w:rFonts w:hint="eastAsia" w:ascii="宋体" w:hAnsi="宋体"/>
          <w:bCs/>
          <w:sz w:val="24"/>
          <w:szCs w:val="24"/>
          <w:u w:val="single"/>
        </w:rPr>
        <w:t>5%</w:t>
      </w:r>
      <w:r>
        <w:rPr>
          <w:rFonts w:hint="eastAsia" w:ascii="宋体" w:hAnsi="宋体"/>
          <w:bCs/>
          <w:sz w:val="24"/>
          <w:szCs w:val="24"/>
        </w:rPr>
        <w:t>向甲方支付违约金。</w:t>
      </w:r>
    </w:p>
    <w:p>
      <w:pPr>
        <w:snapToGrid w:val="0"/>
        <w:spacing w:line="420" w:lineRule="exact"/>
        <w:rPr>
          <w:rFonts w:ascii="宋体" w:hAnsi="宋体"/>
          <w:bCs/>
          <w:sz w:val="24"/>
          <w:szCs w:val="24"/>
        </w:rPr>
      </w:pPr>
      <w:r>
        <w:rPr>
          <w:rFonts w:hint="eastAsia" w:ascii="宋体" w:hAnsi="宋体"/>
          <w:bCs/>
          <w:sz w:val="24"/>
          <w:szCs w:val="24"/>
        </w:rPr>
        <w:t>6．乙方提供的货物在质量保证期内，因设计、工艺或材料的缺陷和其它质量原因造成的问题，由乙方负责，费用从质量保证金中扣除，不足另补。</w:t>
      </w:r>
    </w:p>
    <w:p>
      <w:pPr>
        <w:snapToGrid w:val="0"/>
        <w:spacing w:line="420" w:lineRule="exact"/>
        <w:rPr>
          <w:rFonts w:ascii="宋体" w:hAnsi="宋体"/>
          <w:bCs/>
          <w:sz w:val="24"/>
          <w:szCs w:val="24"/>
        </w:rPr>
      </w:pPr>
      <w:r>
        <w:rPr>
          <w:rFonts w:hint="eastAsia" w:ascii="宋体" w:hAnsi="宋体"/>
          <w:bCs/>
          <w:sz w:val="24"/>
          <w:szCs w:val="24"/>
        </w:rPr>
        <w:t>7．其他违约行为按违约货款额5%收取违约金并赔偿经济损失。</w:t>
      </w:r>
    </w:p>
    <w:p>
      <w:pPr>
        <w:snapToGrid w:val="0"/>
        <w:spacing w:line="420" w:lineRule="exact"/>
        <w:rPr>
          <w:rFonts w:ascii="宋体" w:hAnsi="宋体"/>
          <w:b/>
          <w:bCs/>
          <w:sz w:val="24"/>
          <w:szCs w:val="24"/>
        </w:rPr>
      </w:pPr>
      <w:r>
        <w:rPr>
          <w:rFonts w:hint="eastAsia" w:ascii="宋体" w:hAnsi="宋体"/>
          <w:b/>
          <w:bCs/>
          <w:sz w:val="24"/>
          <w:szCs w:val="24"/>
        </w:rPr>
        <w:t>第十四条   不可抗力事件处理</w:t>
      </w:r>
    </w:p>
    <w:p>
      <w:pPr>
        <w:snapToGrid w:val="0"/>
        <w:spacing w:line="420" w:lineRule="exact"/>
        <w:rPr>
          <w:rFonts w:ascii="宋体" w:hAnsi="宋体"/>
          <w:bCs/>
          <w:sz w:val="24"/>
          <w:szCs w:val="24"/>
        </w:rPr>
      </w:pPr>
      <w:r>
        <w:rPr>
          <w:rFonts w:hint="eastAsia" w:ascii="宋体" w:hAnsi="宋体"/>
          <w:bCs/>
          <w:sz w:val="24"/>
          <w:szCs w:val="24"/>
        </w:rPr>
        <w:t>1．在合同有效期内，任何一方因不可抗力事件导致不能履行合同，则合同履行期可延长，其延长期与不可抗力影响期相同。</w:t>
      </w:r>
    </w:p>
    <w:p>
      <w:pPr>
        <w:snapToGrid w:val="0"/>
        <w:spacing w:line="420" w:lineRule="exact"/>
        <w:rPr>
          <w:rFonts w:ascii="宋体" w:hAnsi="宋体"/>
          <w:bCs/>
          <w:sz w:val="24"/>
          <w:szCs w:val="24"/>
        </w:rPr>
      </w:pPr>
      <w:r>
        <w:rPr>
          <w:rFonts w:hint="eastAsia" w:ascii="宋体" w:hAnsi="宋体"/>
          <w:bCs/>
          <w:sz w:val="24"/>
          <w:szCs w:val="24"/>
        </w:rPr>
        <w:t>2．不可抗力事件发生后，应立即通知对方，并寄送有关权威机构出具的证明。</w:t>
      </w:r>
    </w:p>
    <w:p>
      <w:pPr>
        <w:snapToGrid w:val="0"/>
        <w:spacing w:line="420" w:lineRule="exact"/>
        <w:rPr>
          <w:rFonts w:ascii="宋体" w:hAnsi="宋体"/>
          <w:bCs/>
          <w:sz w:val="24"/>
          <w:szCs w:val="24"/>
        </w:rPr>
      </w:pPr>
      <w:r>
        <w:rPr>
          <w:rFonts w:hint="eastAsia" w:ascii="宋体" w:hAnsi="宋体"/>
          <w:bCs/>
          <w:sz w:val="24"/>
          <w:szCs w:val="24"/>
        </w:rPr>
        <w:t>3．不可抗力事件延续一百二十天以上，双方应通过友好协商，确定是否继续履行合同。</w:t>
      </w:r>
    </w:p>
    <w:p>
      <w:pPr>
        <w:snapToGrid w:val="0"/>
        <w:spacing w:line="420" w:lineRule="exact"/>
        <w:rPr>
          <w:rFonts w:ascii="宋体" w:hAnsi="宋体"/>
          <w:b/>
          <w:bCs/>
          <w:sz w:val="24"/>
          <w:szCs w:val="24"/>
        </w:rPr>
      </w:pPr>
      <w:r>
        <w:rPr>
          <w:rFonts w:hint="eastAsia" w:ascii="宋体" w:hAnsi="宋体"/>
          <w:b/>
          <w:bCs/>
          <w:sz w:val="24"/>
          <w:szCs w:val="24"/>
        </w:rPr>
        <w:t>第十五条  合同争议解决</w:t>
      </w:r>
    </w:p>
    <w:p>
      <w:pPr>
        <w:snapToGrid w:val="0"/>
        <w:spacing w:line="420" w:lineRule="exact"/>
        <w:rPr>
          <w:rFonts w:ascii="宋体" w:hAnsi="宋体"/>
          <w:bCs/>
          <w:sz w:val="24"/>
          <w:szCs w:val="24"/>
        </w:rPr>
      </w:pPr>
      <w:r>
        <w:rPr>
          <w:rFonts w:hint="eastAsia" w:ascii="宋体" w:hAnsi="宋体"/>
          <w:bCs/>
          <w:sz w:val="24"/>
          <w:szCs w:val="24"/>
        </w:rPr>
        <w:t>1．因货物质量问题发生争议的，应邀请国家认可的质量检测机构对货物质量进行鉴定。货物符合标准的，鉴定费由甲方承担；货物不符合标准的，鉴定费由乙方承担。</w:t>
      </w:r>
    </w:p>
    <w:p>
      <w:pPr>
        <w:snapToGrid w:val="0"/>
        <w:spacing w:line="420" w:lineRule="exact"/>
        <w:rPr>
          <w:rFonts w:ascii="宋体" w:hAnsi="宋体"/>
          <w:bCs/>
          <w:sz w:val="24"/>
          <w:szCs w:val="24"/>
        </w:rPr>
      </w:pPr>
      <w:r>
        <w:rPr>
          <w:rFonts w:hint="eastAsia" w:ascii="宋体" w:hAnsi="宋体"/>
          <w:bCs/>
          <w:sz w:val="24"/>
          <w:szCs w:val="24"/>
        </w:rPr>
        <w:t>2．因履行本合同引起的或与本合同有关的争议，甲乙双方应首先通过友好协商解决，如果协商不能解决，可向仲裁委员会申请仲裁或向人民法院提起诉讼。</w:t>
      </w:r>
    </w:p>
    <w:p>
      <w:pPr>
        <w:snapToGrid w:val="0"/>
        <w:spacing w:line="420" w:lineRule="exact"/>
        <w:rPr>
          <w:rFonts w:ascii="宋体" w:hAnsi="宋体"/>
          <w:b/>
          <w:bCs/>
          <w:sz w:val="24"/>
          <w:szCs w:val="24"/>
        </w:rPr>
      </w:pPr>
      <w:r>
        <w:rPr>
          <w:rFonts w:hint="eastAsia" w:ascii="宋体" w:hAnsi="宋体"/>
          <w:b/>
          <w:bCs/>
          <w:sz w:val="24"/>
          <w:szCs w:val="24"/>
        </w:rPr>
        <w:t>第十六条  诉论</w:t>
      </w:r>
    </w:p>
    <w:p>
      <w:pPr>
        <w:snapToGrid w:val="0"/>
        <w:spacing w:line="420" w:lineRule="exact"/>
        <w:ind w:firstLine="480" w:firstLineChars="200"/>
        <w:rPr>
          <w:rFonts w:ascii="宋体" w:hAnsi="宋体"/>
          <w:bCs/>
          <w:sz w:val="24"/>
          <w:szCs w:val="24"/>
        </w:rPr>
      </w:pPr>
      <w:r>
        <w:rPr>
          <w:rFonts w:hint="eastAsia" w:ascii="宋体" w:hAnsi="宋体"/>
          <w:bCs/>
          <w:sz w:val="24"/>
          <w:szCs w:val="24"/>
        </w:rPr>
        <w:t>双方在执行合同中所发生的一切争议，应通过协商解决。如果协商不能解决，可向仲裁委员会申请仲裁或向人民法院提起诉讼。</w:t>
      </w:r>
    </w:p>
    <w:p>
      <w:pPr>
        <w:snapToGrid w:val="0"/>
        <w:spacing w:line="420" w:lineRule="exact"/>
        <w:rPr>
          <w:rFonts w:ascii="宋体" w:hAnsi="宋体"/>
          <w:b/>
          <w:bCs/>
          <w:sz w:val="24"/>
          <w:szCs w:val="24"/>
        </w:rPr>
      </w:pPr>
      <w:r>
        <w:rPr>
          <w:rFonts w:hint="eastAsia" w:ascii="宋体" w:hAnsi="宋体"/>
          <w:b/>
          <w:bCs/>
          <w:sz w:val="24"/>
          <w:szCs w:val="24"/>
        </w:rPr>
        <w:t>第十七条  合同生效及其它</w:t>
      </w:r>
    </w:p>
    <w:p>
      <w:pPr>
        <w:snapToGrid w:val="0"/>
        <w:spacing w:line="420" w:lineRule="exact"/>
        <w:rPr>
          <w:rFonts w:ascii="宋体" w:hAnsi="宋体"/>
          <w:bCs/>
          <w:sz w:val="24"/>
          <w:szCs w:val="24"/>
        </w:rPr>
      </w:pPr>
      <w:r>
        <w:rPr>
          <w:rFonts w:hint="eastAsia" w:ascii="宋体" w:hAnsi="宋体"/>
          <w:bCs/>
          <w:sz w:val="24"/>
          <w:szCs w:val="24"/>
        </w:rPr>
        <w:t>1．合同经双方法定代表人或授权代表签字并加盖单位公章后生效。</w:t>
      </w:r>
    </w:p>
    <w:p>
      <w:pPr>
        <w:snapToGrid w:val="0"/>
        <w:spacing w:line="420" w:lineRule="exact"/>
        <w:rPr>
          <w:rFonts w:ascii="宋体" w:hAnsi="宋体"/>
          <w:bCs/>
          <w:sz w:val="24"/>
          <w:szCs w:val="24"/>
        </w:rPr>
      </w:pPr>
      <w:r>
        <w:rPr>
          <w:rFonts w:hint="eastAsia" w:ascii="宋体" w:hAnsi="宋体"/>
          <w:bCs/>
          <w:sz w:val="24"/>
          <w:szCs w:val="24"/>
        </w:rPr>
        <w:t>2．合同执行中涉及采购资金和采购内容修改或补充的，须经财政部门审批，并签书面补充协议报财政部门备案，方可作为主合同不可分割的一部分。</w:t>
      </w:r>
    </w:p>
    <w:p>
      <w:pPr>
        <w:snapToGrid w:val="0"/>
        <w:spacing w:line="420" w:lineRule="exact"/>
        <w:rPr>
          <w:rFonts w:ascii="宋体" w:hAnsi="宋体"/>
          <w:bCs/>
          <w:sz w:val="24"/>
          <w:szCs w:val="24"/>
        </w:rPr>
      </w:pPr>
      <w:r>
        <w:rPr>
          <w:rFonts w:hint="eastAsia" w:ascii="宋体" w:hAnsi="宋体"/>
          <w:bCs/>
          <w:sz w:val="24"/>
          <w:szCs w:val="24"/>
        </w:rPr>
        <w:t>3．本合同未尽事宜，遵照（合同法）有关条文执行。</w:t>
      </w:r>
    </w:p>
    <w:p>
      <w:pPr>
        <w:snapToGrid w:val="0"/>
        <w:spacing w:line="420" w:lineRule="exact"/>
        <w:rPr>
          <w:rFonts w:ascii="宋体" w:hAnsi="宋体"/>
          <w:b/>
          <w:bCs/>
          <w:sz w:val="24"/>
          <w:szCs w:val="24"/>
        </w:rPr>
      </w:pPr>
      <w:r>
        <w:rPr>
          <w:rFonts w:hint="eastAsia" w:ascii="宋体" w:hAnsi="宋体"/>
          <w:b/>
          <w:bCs/>
          <w:sz w:val="24"/>
          <w:szCs w:val="24"/>
        </w:rPr>
        <w:t>第十八条  合同的变更、终止与转让</w:t>
      </w:r>
    </w:p>
    <w:p>
      <w:pPr>
        <w:snapToGrid w:val="0"/>
        <w:spacing w:line="420" w:lineRule="exact"/>
        <w:rPr>
          <w:rFonts w:ascii="宋体" w:hAnsi="宋体"/>
          <w:bCs/>
          <w:sz w:val="24"/>
          <w:szCs w:val="24"/>
        </w:rPr>
      </w:pPr>
      <w:r>
        <w:rPr>
          <w:rFonts w:hint="eastAsia" w:ascii="宋体" w:hAnsi="宋体"/>
          <w:bCs/>
          <w:sz w:val="24"/>
          <w:szCs w:val="24"/>
        </w:rPr>
        <w:t>1．除《中华人民共和国政府采购法》第五十条规定的情形外，本合同一经签订，甲乙双方不得擅自变更、中止或终止。</w:t>
      </w:r>
    </w:p>
    <w:p>
      <w:pPr>
        <w:snapToGrid w:val="0"/>
        <w:spacing w:line="420" w:lineRule="exact"/>
        <w:rPr>
          <w:rFonts w:ascii="宋体" w:hAnsi="宋体"/>
          <w:bCs/>
          <w:sz w:val="24"/>
          <w:szCs w:val="24"/>
        </w:rPr>
      </w:pPr>
      <w:r>
        <w:rPr>
          <w:rFonts w:hint="eastAsia" w:ascii="宋体" w:hAnsi="宋体"/>
          <w:bCs/>
          <w:sz w:val="24"/>
          <w:szCs w:val="24"/>
        </w:rPr>
        <w:t>2．乙方不得擅自转让（无进口资格的供应商委托进口货物除外）其应履行的合同义务。</w:t>
      </w:r>
    </w:p>
    <w:p>
      <w:pPr>
        <w:snapToGrid w:val="0"/>
        <w:spacing w:line="420" w:lineRule="exact"/>
        <w:rPr>
          <w:rFonts w:ascii="宋体" w:hAnsi="宋体"/>
          <w:bCs/>
          <w:sz w:val="24"/>
          <w:szCs w:val="24"/>
        </w:rPr>
      </w:pPr>
      <w:r>
        <w:rPr>
          <w:rFonts w:hint="eastAsia" w:ascii="宋体" w:hAnsi="宋体"/>
          <w:bCs/>
          <w:sz w:val="24"/>
          <w:szCs w:val="24"/>
        </w:rPr>
        <w:t>3．合同经双方法定代表人或授权代表签字并加盖单位公章后生效。</w:t>
      </w:r>
    </w:p>
    <w:p>
      <w:pPr>
        <w:snapToGrid w:val="0"/>
        <w:spacing w:line="420" w:lineRule="exact"/>
        <w:rPr>
          <w:rFonts w:ascii="宋体" w:hAnsi="宋体"/>
          <w:bCs/>
          <w:sz w:val="24"/>
          <w:szCs w:val="24"/>
        </w:rPr>
      </w:pPr>
      <w:r>
        <w:rPr>
          <w:rFonts w:hint="eastAsia" w:ascii="宋体" w:hAnsi="宋体"/>
          <w:bCs/>
          <w:sz w:val="24"/>
          <w:szCs w:val="24"/>
        </w:rPr>
        <w:t>4．合同执行中涉及采购资金和采购内容修改或补充的，须经财政部门审批，并签书面补充协议报财政部门备案，方可作为合同不可分割的一部分。</w:t>
      </w:r>
    </w:p>
    <w:p>
      <w:pPr>
        <w:snapToGrid w:val="0"/>
        <w:spacing w:line="420" w:lineRule="exact"/>
        <w:rPr>
          <w:rFonts w:ascii="宋体" w:hAnsi="宋体"/>
          <w:bCs/>
          <w:sz w:val="24"/>
          <w:szCs w:val="24"/>
        </w:rPr>
      </w:pPr>
      <w:r>
        <w:rPr>
          <w:rFonts w:hint="eastAsia" w:ascii="宋体" w:hAnsi="宋体"/>
          <w:bCs/>
          <w:sz w:val="24"/>
          <w:szCs w:val="24"/>
        </w:rPr>
        <w:t>5.本合同未尽事宜，遵照《合同法》有关条文执行。</w:t>
      </w:r>
    </w:p>
    <w:p>
      <w:pPr>
        <w:snapToGrid w:val="0"/>
        <w:spacing w:line="420" w:lineRule="exact"/>
        <w:rPr>
          <w:rFonts w:ascii="宋体" w:hAnsi="宋体"/>
          <w:b/>
          <w:bCs/>
          <w:sz w:val="24"/>
          <w:szCs w:val="24"/>
        </w:rPr>
      </w:pPr>
      <w:r>
        <w:rPr>
          <w:rFonts w:hint="eastAsia" w:ascii="宋体" w:hAnsi="宋体"/>
          <w:b/>
          <w:bCs/>
          <w:sz w:val="24"/>
          <w:szCs w:val="24"/>
        </w:rPr>
        <w:t>第十九条  签订本合同依据</w:t>
      </w:r>
    </w:p>
    <w:p>
      <w:pPr>
        <w:snapToGrid w:val="0"/>
        <w:spacing w:line="420" w:lineRule="exact"/>
        <w:rPr>
          <w:rFonts w:ascii="宋体" w:hAnsi="宋体"/>
          <w:bCs/>
          <w:sz w:val="24"/>
          <w:szCs w:val="24"/>
        </w:rPr>
      </w:pPr>
      <w:r>
        <w:rPr>
          <w:rFonts w:hint="eastAsia" w:ascii="宋体" w:hAnsi="宋体"/>
          <w:bCs/>
          <w:sz w:val="24"/>
          <w:szCs w:val="24"/>
        </w:rPr>
        <w:t>1．政府采购(招标)文件；</w:t>
      </w:r>
    </w:p>
    <w:p>
      <w:pPr>
        <w:snapToGrid w:val="0"/>
        <w:spacing w:line="420" w:lineRule="exact"/>
        <w:rPr>
          <w:rFonts w:ascii="宋体" w:hAnsi="宋体"/>
          <w:bCs/>
          <w:sz w:val="24"/>
          <w:szCs w:val="24"/>
        </w:rPr>
      </w:pPr>
      <w:r>
        <w:rPr>
          <w:rFonts w:hint="eastAsia" w:ascii="宋体" w:hAnsi="宋体"/>
          <w:bCs/>
          <w:sz w:val="24"/>
          <w:szCs w:val="24"/>
        </w:rPr>
        <w:t>2．乙方提供的采购竞标（或应答）文件；</w:t>
      </w:r>
    </w:p>
    <w:p>
      <w:pPr>
        <w:snapToGrid w:val="0"/>
        <w:spacing w:line="420" w:lineRule="exact"/>
        <w:rPr>
          <w:rFonts w:ascii="宋体" w:hAnsi="宋体"/>
          <w:bCs/>
          <w:sz w:val="24"/>
          <w:szCs w:val="24"/>
        </w:rPr>
      </w:pPr>
      <w:r>
        <w:rPr>
          <w:rFonts w:hint="eastAsia" w:ascii="宋体" w:hAnsi="宋体"/>
          <w:bCs/>
          <w:sz w:val="24"/>
          <w:szCs w:val="24"/>
        </w:rPr>
        <w:t>3．竞标承诺书；</w:t>
      </w:r>
    </w:p>
    <w:p>
      <w:pPr>
        <w:snapToGrid w:val="0"/>
        <w:spacing w:line="420" w:lineRule="exact"/>
        <w:rPr>
          <w:rFonts w:ascii="宋体" w:hAnsi="宋体"/>
          <w:bCs/>
          <w:sz w:val="24"/>
          <w:szCs w:val="24"/>
        </w:rPr>
      </w:pPr>
      <w:r>
        <w:rPr>
          <w:rFonts w:hint="eastAsia" w:ascii="宋体" w:hAnsi="宋体"/>
          <w:bCs/>
          <w:sz w:val="24"/>
          <w:szCs w:val="24"/>
        </w:rPr>
        <w:t>4．成交或成交通知书。</w:t>
      </w:r>
    </w:p>
    <w:p>
      <w:pPr>
        <w:snapToGrid w:val="0"/>
        <w:spacing w:line="420" w:lineRule="exact"/>
        <w:rPr>
          <w:rFonts w:ascii="宋体" w:hAnsi="宋体"/>
          <w:bCs/>
          <w:sz w:val="24"/>
          <w:szCs w:val="24"/>
        </w:rPr>
      </w:pPr>
      <w:r>
        <w:rPr>
          <w:rFonts w:hint="eastAsia" w:ascii="宋体" w:hAnsi="宋体"/>
          <w:b/>
          <w:bCs/>
          <w:sz w:val="24"/>
          <w:szCs w:val="24"/>
        </w:rPr>
        <w:t>第二十条</w:t>
      </w:r>
      <w:r>
        <w:rPr>
          <w:rFonts w:hint="eastAsia" w:ascii="宋体" w:hAnsi="宋体"/>
          <w:bCs/>
          <w:sz w:val="24"/>
          <w:szCs w:val="24"/>
        </w:rPr>
        <w:t xml:space="preserve">  本合同一式四份，具有同等法律效力，财政部门（政府采购监管部门）、采购代理机构各一份，甲乙双方各一份（可根据需要另增加）。</w:t>
      </w:r>
    </w:p>
    <w:p>
      <w:pPr>
        <w:snapToGrid w:val="0"/>
        <w:spacing w:line="420" w:lineRule="exact"/>
        <w:rPr>
          <w:rFonts w:ascii="宋体" w:hAnsi="宋体"/>
          <w:bCs/>
          <w:sz w:val="24"/>
          <w:szCs w:val="24"/>
        </w:rPr>
      </w:pPr>
      <w:r>
        <w:rPr>
          <w:rFonts w:hint="eastAsia" w:ascii="宋体" w:hAnsi="宋体"/>
          <w:bCs/>
          <w:sz w:val="24"/>
          <w:szCs w:val="24"/>
        </w:rPr>
        <w:t>本合同甲乙双方签字盖章后生效，自签订之日起七个工作日内，采购人应当将合同副本报同级财政部门备案。</w:t>
      </w:r>
    </w:p>
    <w:p>
      <w:pPr>
        <w:snapToGrid w:val="0"/>
        <w:spacing w:line="360" w:lineRule="exact"/>
        <w:rPr>
          <w:rFonts w:ascii="宋体" w:hAnsi="宋体"/>
          <w:bCs/>
          <w:sz w:val="24"/>
          <w:szCs w:val="24"/>
        </w:rPr>
      </w:pP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1"/>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21" w:type="dxa"/>
          </w:tcPr>
          <w:p>
            <w:pPr>
              <w:snapToGrid w:val="0"/>
              <w:spacing w:line="360" w:lineRule="exact"/>
              <w:rPr>
                <w:rFonts w:ascii="宋体" w:hAnsi="宋体"/>
                <w:bCs/>
                <w:sz w:val="24"/>
                <w:szCs w:val="24"/>
              </w:rPr>
            </w:pPr>
            <w:r>
              <w:rPr>
                <w:rFonts w:hint="eastAsia" w:ascii="宋体" w:hAnsi="宋体"/>
                <w:bCs/>
                <w:sz w:val="24"/>
                <w:szCs w:val="24"/>
              </w:rPr>
              <w:t>甲方（章）</w:t>
            </w:r>
          </w:p>
          <w:p>
            <w:pPr>
              <w:snapToGrid w:val="0"/>
              <w:spacing w:line="360" w:lineRule="exact"/>
              <w:rPr>
                <w:rFonts w:ascii="宋体" w:hAnsi="宋体"/>
                <w:bCs/>
                <w:sz w:val="24"/>
                <w:szCs w:val="24"/>
              </w:rPr>
            </w:pPr>
          </w:p>
          <w:p>
            <w:pPr>
              <w:wordWrap w:val="0"/>
              <w:snapToGrid w:val="0"/>
              <w:spacing w:line="360" w:lineRule="exact"/>
              <w:jc w:val="right"/>
              <w:rPr>
                <w:rFonts w:ascii="宋体" w:hAnsi="宋体"/>
                <w:bCs/>
                <w:sz w:val="24"/>
                <w:szCs w:val="24"/>
              </w:rPr>
            </w:pPr>
            <w:r>
              <w:rPr>
                <w:rFonts w:hint="eastAsia" w:ascii="宋体" w:hAnsi="宋体"/>
                <w:bCs/>
                <w:sz w:val="24"/>
                <w:szCs w:val="24"/>
              </w:rPr>
              <w:t>年  月  日</w:t>
            </w:r>
          </w:p>
        </w:tc>
        <w:tc>
          <w:tcPr>
            <w:tcW w:w="4621" w:type="dxa"/>
          </w:tcPr>
          <w:p>
            <w:pPr>
              <w:snapToGrid w:val="0"/>
              <w:spacing w:line="360" w:lineRule="exact"/>
              <w:rPr>
                <w:rFonts w:ascii="宋体" w:hAnsi="宋体"/>
                <w:bCs/>
                <w:sz w:val="24"/>
                <w:szCs w:val="24"/>
              </w:rPr>
            </w:pPr>
            <w:r>
              <w:rPr>
                <w:rFonts w:hint="eastAsia" w:ascii="宋体" w:hAnsi="宋体"/>
                <w:bCs/>
                <w:sz w:val="24"/>
                <w:szCs w:val="24"/>
              </w:rPr>
              <w:t>乙方（章）</w:t>
            </w:r>
          </w:p>
          <w:p>
            <w:pPr>
              <w:snapToGrid w:val="0"/>
              <w:spacing w:line="360" w:lineRule="exact"/>
              <w:rPr>
                <w:rFonts w:ascii="宋体" w:hAnsi="宋体"/>
                <w:bCs/>
                <w:sz w:val="24"/>
                <w:szCs w:val="24"/>
              </w:rPr>
            </w:pPr>
          </w:p>
          <w:p>
            <w:pPr>
              <w:snapToGrid w:val="0"/>
              <w:spacing w:line="360" w:lineRule="exact"/>
              <w:jc w:val="right"/>
              <w:rPr>
                <w:rFonts w:ascii="宋体" w:hAnsi="宋体"/>
                <w:bCs/>
                <w:sz w:val="24"/>
                <w:szCs w:val="24"/>
              </w:rPr>
            </w:pPr>
            <w:r>
              <w:rPr>
                <w:rFonts w:hint="eastAsia" w:ascii="宋体" w:hAnsi="宋体"/>
                <w:bCs/>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621" w:type="dxa"/>
            <w:vAlign w:val="center"/>
          </w:tcPr>
          <w:p>
            <w:pPr>
              <w:snapToGrid w:val="0"/>
              <w:spacing w:line="360" w:lineRule="exact"/>
              <w:rPr>
                <w:rFonts w:ascii="宋体" w:hAnsi="宋体"/>
                <w:bCs/>
                <w:sz w:val="24"/>
                <w:szCs w:val="24"/>
              </w:rPr>
            </w:pPr>
            <w:r>
              <w:rPr>
                <w:rFonts w:hint="eastAsia" w:ascii="宋体" w:hAnsi="宋体"/>
                <w:bCs/>
                <w:sz w:val="24"/>
                <w:szCs w:val="24"/>
              </w:rPr>
              <w:t>单位地址：</w:t>
            </w:r>
          </w:p>
        </w:tc>
        <w:tc>
          <w:tcPr>
            <w:tcW w:w="4621" w:type="dxa"/>
            <w:vAlign w:val="center"/>
          </w:tcPr>
          <w:p>
            <w:pPr>
              <w:snapToGrid w:val="0"/>
              <w:spacing w:line="360" w:lineRule="exact"/>
              <w:rPr>
                <w:rFonts w:ascii="宋体" w:hAnsi="宋体"/>
                <w:bCs/>
                <w:sz w:val="24"/>
                <w:szCs w:val="24"/>
              </w:rPr>
            </w:pPr>
            <w:r>
              <w:rPr>
                <w:rFonts w:hint="eastAsia" w:ascii="宋体" w:hAnsi="宋体"/>
                <w:bCs/>
                <w:sz w:val="24"/>
                <w:szCs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621" w:type="dxa"/>
            <w:vAlign w:val="center"/>
          </w:tcPr>
          <w:p>
            <w:pPr>
              <w:snapToGrid w:val="0"/>
              <w:spacing w:line="360" w:lineRule="exact"/>
              <w:rPr>
                <w:rFonts w:ascii="宋体" w:hAnsi="宋体"/>
                <w:bCs/>
                <w:sz w:val="24"/>
                <w:szCs w:val="24"/>
              </w:rPr>
            </w:pPr>
            <w:r>
              <w:rPr>
                <w:rFonts w:hint="eastAsia" w:ascii="宋体" w:hAnsi="宋体"/>
                <w:bCs/>
                <w:sz w:val="24"/>
                <w:szCs w:val="24"/>
              </w:rPr>
              <w:t>法定代表人：</w:t>
            </w:r>
          </w:p>
        </w:tc>
        <w:tc>
          <w:tcPr>
            <w:tcW w:w="4621" w:type="dxa"/>
            <w:vAlign w:val="center"/>
          </w:tcPr>
          <w:p>
            <w:pPr>
              <w:snapToGrid w:val="0"/>
              <w:spacing w:line="360" w:lineRule="exact"/>
              <w:rPr>
                <w:rFonts w:ascii="宋体" w:hAnsi="宋体"/>
                <w:bCs/>
                <w:sz w:val="24"/>
                <w:szCs w:val="24"/>
              </w:rPr>
            </w:pPr>
            <w:r>
              <w:rPr>
                <w:rFonts w:hint="eastAsia" w:ascii="宋体" w:hAnsi="宋体"/>
                <w:bCs/>
                <w:sz w:val="24"/>
                <w:szCs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621" w:type="dxa"/>
            <w:vAlign w:val="center"/>
          </w:tcPr>
          <w:p>
            <w:pPr>
              <w:snapToGrid w:val="0"/>
              <w:spacing w:line="360" w:lineRule="exact"/>
              <w:rPr>
                <w:rFonts w:ascii="宋体" w:hAnsi="宋体"/>
                <w:bCs/>
                <w:sz w:val="24"/>
                <w:szCs w:val="24"/>
              </w:rPr>
            </w:pPr>
            <w:r>
              <w:rPr>
                <w:rFonts w:hint="eastAsia" w:ascii="宋体" w:hAnsi="宋体"/>
                <w:bCs/>
                <w:sz w:val="24"/>
                <w:szCs w:val="24"/>
              </w:rPr>
              <w:t>委托代理人：</w:t>
            </w:r>
          </w:p>
        </w:tc>
        <w:tc>
          <w:tcPr>
            <w:tcW w:w="4621" w:type="dxa"/>
            <w:vAlign w:val="center"/>
          </w:tcPr>
          <w:p>
            <w:pPr>
              <w:snapToGrid w:val="0"/>
              <w:spacing w:line="360" w:lineRule="exact"/>
              <w:rPr>
                <w:rFonts w:ascii="宋体" w:hAnsi="宋体"/>
                <w:bCs/>
                <w:sz w:val="24"/>
                <w:szCs w:val="24"/>
              </w:rPr>
            </w:pPr>
            <w:r>
              <w:rPr>
                <w:rFonts w:hint="eastAsia" w:ascii="宋体" w:hAnsi="宋体"/>
                <w:bCs/>
                <w:sz w:val="24"/>
                <w:szCs w:val="24"/>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621" w:type="dxa"/>
            <w:vAlign w:val="center"/>
          </w:tcPr>
          <w:p>
            <w:pPr>
              <w:snapToGrid w:val="0"/>
              <w:spacing w:line="360" w:lineRule="exact"/>
              <w:rPr>
                <w:rFonts w:ascii="宋体" w:hAnsi="宋体"/>
                <w:bCs/>
                <w:sz w:val="24"/>
                <w:szCs w:val="24"/>
              </w:rPr>
            </w:pPr>
            <w:r>
              <w:rPr>
                <w:rFonts w:hint="eastAsia" w:ascii="宋体" w:hAnsi="宋体"/>
                <w:bCs/>
                <w:sz w:val="24"/>
                <w:szCs w:val="24"/>
              </w:rPr>
              <w:t>电话：</w:t>
            </w:r>
          </w:p>
        </w:tc>
        <w:tc>
          <w:tcPr>
            <w:tcW w:w="4621" w:type="dxa"/>
            <w:vAlign w:val="center"/>
          </w:tcPr>
          <w:p>
            <w:pPr>
              <w:snapToGrid w:val="0"/>
              <w:spacing w:line="360" w:lineRule="exact"/>
              <w:rPr>
                <w:rFonts w:ascii="宋体" w:hAnsi="宋体"/>
                <w:bCs/>
                <w:sz w:val="24"/>
                <w:szCs w:val="24"/>
              </w:rPr>
            </w:pPr>
            <w:r>
              <w:rPr>
                <w:rFonts w:hint="eastAsia" w:ascii="宋体" w:hAnsi="宋体"/>
                <w:bCs/>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621" w:type="dxa"/>
            <w:vAlign w:val="center"/>
          </w:tcPr>
          <w:p>
            <w:pPr>
              <w:snapToGrid w:val="0"/>
              <w:spacing w:line="360" w:lineRule="exact"/>
              <w:rPr>
                <w:rFonts w:ascii="宋体" w:hAnsi="宋体"/>
                <w:bCs/>
                <w:sz w:val="24"/>
                <w:szCs w:val="24"/>
              </w:rPr>
            </w:pPr>
            <w:r>
              <w:rPr>
                <w:rFonts w:hint="eastAsia" w:ascii="宋体" w:hAnsi="宋体"/>
                <w:bCs/>
                <w:sz w:val="24"/>
                <w:szCs w:val="24"/>
              </w:rPr>
              <w:t>电子邮箱：</w:t>
            </w:r>
          </w:p>
        </w:tc>
        <w:tc>
          <w:tcPr>
            <w:tcW w:w="4621" w:type="dxa"/>
            <w:vAlign w:val="center"/>
          </w:tcPr>
          <w:p>
            <w:pPr>
              <w:snapToGrid w:val="0"/>
              <w:spacing w:line="360" w:lineRule="exact"/>
              <w:rPr>
                <w:rFonts w:ascii="宋体" w:hAnsi="宋体"/>
                <w:bCs/>
                <w:sz w:val="24"/>
                <w:szCs w:val="24"/>
              </w:rPr>
            </w:pPr>
            <w:r>
              <w:rPr>
                <w:rFonts w:hint="eastAsia" w:ascii="宋体" w:hAnsi="宋体"/>
                <w:bCs/>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621" w:type="dxa"/>
            <w:vAlign w:val="center"/>
          </w:tcPr>
          <w:p>
            <w:pPr>
              <w:snapToGrid w:val="0"/>
              <w:spacing w:line="360" w:lineRule="exact"/>
              <w:rPr>
                <w:rFonts w:ascii="宋体" w:hAnsi="宋体"/>
                <w:bCs/>
                <w:sz w:val="24"/>
                <w:szCs w:val="24"/>
              </w:rPr>
            </w:pPr>
            <w:r>
              <w:rPr>
                <w:rFonts w:hint="eastAsia" w:ascii="宋体" w:hAnsi="宋体"/>
                <w:bCs/>
                <w:sz w:val="24"/>
                <w:szCs w:val="24"/>
              </w:rPr>
              <w:t>开户银行：</w:t>
            </w:r>
          </w:p>
        </w:tc>
        <w:tc>
          <w:tcPr>
            <w:tcW w:w="4621" w:type="dxa"/>
            <w:vAlign w:val="center"/>
          </w:tcPr>
          <w:p>
            <w:pPr>
              <w:snapToGrid w:val="0"/>
              <w:spacing w:line="360" w:lineRule="exact"/>
              <w:rPr>
                <w:rFonts w:ascii="宋体" w:hAnsi="宋体"/>
                <w:bCs/>
                <w:sz w:val="24"/>
                <w:szCs w:val="24"/>
              </w:rPr>
            </w:pPr>
            <w:r>
              <w:rPr>
                <w:rFonts w:hint="eastAsia" w:ascii="宋体" w:hAnsi="宋体"/>
                <w:bCs/>
                <w:sz w:val="24"/>
                <w:szCs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621" w:type="dxa"/>
            <w:vAlign w:val="center"/>
          </w:tcPr>
          <w:p>
            <w:pPr>
              <w:snapToGrid w:val="0"/>
              <w:spacing w:line="360" w:lineRule="exact"/>
              <w:rPr>
                <w:rFonts w:ascii="宋体" w:hAnsi="宋体"/>
                <w:bCs/>
                <w:sz w:val="24"/>
                <w:szCs w:val="24"/>
              </w:rPr>
            </w:pPr>
            <w:r>
              <w:rPr>
                <w:rFonts w:hint="eastAsia" w:ascii="宋体" w:hAnsi="宋体"/>
                <w:bCs/>
                <w:sz w:val="24"/>
                <w:szCs w:val="24"/>
              </w:rPr>
              <w:t>账号：</w:t>
            </w:r>
          </w:p>
        </w:tc>
        <w:tc>
          <w:tcPr>
            <w:tcW w:w="4621" w:type="dxa"/>
            <w:vAlign w:val="center"/>
          </w:tcPr>
          <w:p>
            <w:pPr>
              <w:snapToGrid w:val="0"/>
              <w:spacing w:line="360" w:lineRule="exact"/>
              <w:rPr>
                <w:rFonts w:ascii="宋体" w:hAnsi="宋体"/>
                <w:bCs/>
                <w:sz w:val="24"/>
                <w:szCs w:val="24"/>
              </w:rPr>
            </w:pPr>
            <w:r>
              <w:rPr>
                <w:rFonts w:hint="eastAsia" w:ascii="宋体" w:hAnsi="宋体"/>
                <w:bCs/>
                <w:sz w:val="24"/>
                <w:szCs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621" w:type="dxa"/>
            <w:vAlign w:val="center"/>
          </w:tcPr>
          <w:p>
            <w:pPr>
              <w:snapToGrid w:val="0"/>
              <w:spacing w:line="360" w:lineRule="exact"/>
              <w:rPr>
                <w:rFonts w:ascii="宋体" w:hAnsi="宋体"/>
                <w:bCs/>
                <w:sz w:val="24"/>
                <w:szCs w:val="24"/>
              </w:rPr>
            </w:pPr>
            <w:r>
              <w:rPr>
                <w:rFonts w:hint="eastAsia" w:ascii="宋体" w:hAnsi="宋体"/>
                <w:bCs/>
                <w:sz w:val="24"/>
                <w:szCs w:val="24"/>
              </w:rPr>
              <w:t>邮政编码：</w:t>
            </w:r>
          </w:p>
        </w:tc>
        <w:tc>
          <w:tcPr>
            <w:tcW w:w="4621" w:type="dxa"/>
            <w:vAlign w:val="center"/>
          </w:tcPr>
          <w:p>
            <w:pPr>
              <w:snapToGrid w:val="0"/>
              <w:spacing w:line="360" w:lineRule="exact"/>
              <w:rPr>
                <w:rFonts w:ascii="宋体" w:hAnsi="宋体"/>
                <w:bCs/>
                <w:sz w:val="24"/>
                <w:szCs w:val="24"/>
              </w:rPr>
            </w:pPr>
            <w:r>
              <w:rPr>
                <w:rFonts w:hint="eastAsia" w:ascii="宋体" w:hAnsi="宋体"/>
                <w:bCs/>
                <w:sz w:val="24"/>
                <w:szCs w:val="24"/>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242" w:type="dxa"/>
            <w:gridSpan w:val="2"/>
            <w:vAlign w:val="center"/>
          </w:tcPr>
          <w:p>
            <w:pPr>
              <w:snapToGrid w:val="0"/>
              <w:spacing w:line="360" w:lineRule="exact"/>
              <w:rPr>
                <w:rFonts w:ascii="宋体" w:hAnsi="宋体"/>
                <w:bCs/>
                <w:sz w:val="24"/>
                <w:szCs w:val="24"/>
              </w:rPr>
            </w:pPr>
            <w:r>
              <w:rPr>
                <w:rFonts w:hint="eastAsia" w:ascii="宋体" w:hAnsi="宋体"/>
                <w:bCs/>
                <w:sz w:val="24"/>
                <w:szCs w:val="24"/>
              </w:rPr>
              <w:t>经办人：</w:t>
            </w:r>
          </w:p>
          <w:p>
            <w:pPr>
              <w:wordWrap w:val="0"/>
              <w:snapToGrid w:val="0"/>
              <w:spacing w:line="360" w:lineRule="exact"/>
              <w:ind w:firstLine="3480" w:firstLineChars="1450"/>
              <w:rPr>
                <w:rFonts w:ascii="宋体" w:hAnsi="宋体"/>
                <w:bCs/>
                <w:sz w:val="24"/>
                <w:szCs w:val="24"/>
              </w:rPr>
            </w:pPr>
            <w:r>
              <w:rPr>
                <w:rFonts w:hint="eastAsia" w:ascii="宋体" w:hAnsi="宋体"/>
                <w:bCs/>
                <w:sz w:val="24"/>
                <w:szCs w:val="24"/>
              </w:rPr>
              <w:t>年   月  日</w:t>
            </w:r>
          </w:p>
        </w:tc>
      </w:tr>
    </w:tbl>
    <w:p>
      <w:pPr>
        <w:snapToGrid w:val="0"/>
        <w:spacing w:line="360" w:lineRule="exact"/>
        <w:jc w:val="center"/>
        <w:rPr>
          <w:rFonts w:ascii="宋体" w:hAnsi="宋体"/>
          <w:b/>
          <w:bCs/>
          <w:sz w:val="28"/>
          <w:szCs w:val="28"/>
        </w:rPr>
      </w:pPr>
    </w:p>
    <w:p>
      <w:pPr>
        <w:snapToGrid w:val="0"/>
        <w:spacing w:line="360" w:lineRule="exact"/>
        <w:jc w:val="center"/>
        <w:rPr>
          <w:rFonts w:ascii="宋体" w:hAnsi="宋体"/>
          <w:b/>
          <w:bCs/>
          <w:sz w:val="28"/>
          <w:szCs w:val="28"/>
        </w:rPr>
      </w:pPr>
    </w:p>
    <w:p>
      <w:pPr>
        <w:snapToGrid w:val="0"/>
        <w:spacing w:line="360" w:lineRule="exact"/>
        <w:jc w:val="center"/>
        <w:rPr>
          <w:rFonts w:ascii="宋体" w:hAnsi="宋体"/>
          <w:b/>
          <w:bCs/>
          <w:sz w:val="28"/>
          <w:szCs w:val="28"/>
        </w:rPr>
      </w:pPr>
    </w:p>
    <w:p>
      <w:pPr>
        <w:snapToGrid w:val="0"/>
        <w:spacing w:line="360" w:lineRule="exact"/>
        <w:jc w:val="center"/>
        <w:rPr>
          <w:rFonts w:ascii="宋体" w:hAnsi="宋体"/>
          <w:b/>
          <w:bCs/>
          <w:sz w:val="28"/>
          <w:szCs w:val="28"/>
        </w:rPr>
      </w:pPr>
    </w:p>
    <w:p>
      <w:pPr>
        <w:snapToGrid w:val="0"/>
        <w:spacing w:line="360" w:lineRule="exact"/>
        <w:rPr>
          <w:rFonts w:ascii="宋体" w:hAnsi="宋体"/>
          <w:b/>
          <w:bCs/>
          <w:sz w:val="28"/>
          <w:szCs w:val="28"/>
        </w:rPr>
      </w:pPr>
    </w:p>
    <w:p>
      <w:pPr>
        <w:snapToGrid w:val="0"/>
        <w:spacing w:line="360" w:lineRule="exact"/>
        <w:rPr>
          <w:rFonts w:ascii="宋体" w:hAnsi="宋体"/>
          <w:b/>
          <w:bCs/>
          <w:sz w:val="28"/>
          <w:szCs w:val="28"/>
        </w:rPr>
      </w:pPr>
    </w:p>
    <w:p>
      <w:pPr>
        <w:snapToGrid w:val="0"/>
        <w:spacing w:line="360" w:lineRule="exact"/>
        <w:rPr>
          <w:rFonts w:ascii="宋体" w:hAnsi="宋体"/>
          <w:b/>
          <w:bCs/>
          <w:sz w:val="28"/>
          <w:szCs w:val="28"/>
        </w:rPr>
      </w:pPr>
    </w:p>
    <w:p>
      <w:pPr>
        <w:snapToGrid w:val="0"/>
        <w:spacing w:line="360" w:lineRule="exact"/>
        <w:jc w:val="center"/>
        <w:rPr>
          <w:rFonts w:ascii="宋体" w:hAnsi="宋体"/>
          <w:b/>
          <w:bCs/>
          <w:sz w:val="28"/>
          <w:szCs w:val="28"/>
        </w:rPr>
      </w:pPr>
      <w:r>
        <w:rPr>
          <w:rFonts w:hint="eastAsia" w:ascii="宋体" w:hAnsi="宋体"/>
          <w:b/>
          <w:bCs/>
          <w:sz w:val="28"/>
          <w:szCs w:val="28"/>
        </w:rPr>
        <w:t>合同附件</w:t>
      </w:r>
    </w:p>
    <w:p>
      <w:pPr>
        <w:snapToGrid w:val="0"/>
        <w:spacing w:line="360" w:lineRule="exact"/>
        <w:ind w:firstLine="422" w:firstLineChars="200"/>
        <w:jc w:val="center"/>
        <w:rPr>
          <w:rFonts w:ascii="宋体" w:hAnsi="宋体"/>
          <w:b/>
          <w:bCs/>
          <w:szCs w:val="21"/>
        </w:rPr>
      </w:pP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7"/>
        <w:gridCol w:w="4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754" w:type="dxa"/>
            <w:gridSpan w:val="2"/>
          </w:tcPr>
          <w:p>
            <w:pPr>
              <w:snapToGrid w:val="0"/>
              <w:spacing w:line="360" w:lineRule="exact"/>
              <w:rPr>
                <w:rFonts w:ascii="宋体" w:hAnsi="宋体"/>
                <w:bCs/>
                <w:sz w:val="24"/>
                <w:szCs w:val="24"/>
              </w:rPr>
            </w:pPr>
            <w:r>
              <w:rPr>
                <w:rFonts w:hint="eastAsia" w:ascii="宋体" w:hAnsi="宋体"/>
                <w:bCs/>
                <w:sz w:val="24"/>
                <w:szCs w:val="24"/>
              </w:rPr>
              <w:t>1．供应商承诺具体事项：</w:t>
            </w: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754" w:type="dxa"/>
            <w:gridSpan w:val="2"/>
          </w:tcPr>
          <w:p>
            <w:pPr>
              <w:snapToGrid w:val="0"/>
              <w:spacing w:line="360" w:lineRule="exact"/>
              <w:rPr>
                <w:rFonts w:ascii="宋体" w:hAnsi="宋体"/>
                <w:bCs/>
                <w:sz w:val="24"/>
                <w:szCs w:val="24"/>
              </w:rPr>
            </w:pPr>
            <w:r>
              <w:rPr>
                <w:rFonts w:hint="eastAsia" w:ascii="宋体" w:hAnsi="宋体"/>
                <w:bCs/>
                <w:sz w:val="24"/>
                <w:szCs w:val="24"/>
              </w:rPr>
              <w:t>2．售后服务具体事项：</w:t>
            </w: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754" w:type="dxa"/>
            <w:gridSpan w:val="2"/>
          </w:tcPr>
          <w:p>
            <w:pPr>
              <w:snapToGrid w:val="0"/>
              <w:spacing w:line="360" w:lineRule="exact"/>
              <w:rPr>
                <w:rFonts w:ascii="宋体" w:hAnsi="宋体"/>
                <w:bCs/>
                <w:sz w:val="24"/>
                <w:szCs w:val="24"/>
              </w:rPr>
            </w:pPr>
            <w:r>
              <w:rPr>
                <w:rFonts w:hint="eastAsia" w:ascii="宋体" w:hAnsi="宋体"/>
                <w:bCs/>
                <w:sz w:val="24"/>
                <w:szCs w:val="24"/>
              </w:rPr>
              <w:t>3．保修期责任：</w:t>
            </w: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754" w:type="dxa"/>
            <w:gridSpan w:val="2"/>
          </w:tcPr>
          <w:p>
            <w:pPr>
              <w:snapToGrid w:val="0"/>
              <w:spacing w:line="360" w:lineRule="exact"/>
              <w:rPr>
                <w:rFonts w:ascii="宋体" w:hAnsi="宋体"/>
                <w:bCs/>
                <w:sz w:val="24"/>
                <w:szCs w:val="24"/>
              </w:rPr>
            </w:pPr>
            <w:r>
              <w:rPr>
                <w:rFonts w:hint="eastAsia" w:ascii="宋体" w:hAnsi="宋体"/>
                <w:bCs/>
                <w:sz w:val="24"/>
                <w:szCs w:val="24"/>
              </w:rPr>
              <w:t>4．其他具体事项：</w:t>
            </w: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4377" w:type="dxa"/>
          </w:tcPr>
          <w:p>
            <w:pPr>
              <w:snapToGrid w:val="0"/>
              <w:spacing w:line="360" w:lineRule="exact"/>
              <w:rPr>
                <w:rFonts w:ascii="宋体" w:hAnsi="宋体"/>
                <w:bCs/>
                <w:sz w:val="24"/>
                <w:szCs w:val="24"/>
              </w:rPr>
            </w:pPr>
            <w:r>
              <w:rPr>
                <w:rFonts w:hint="eastAsia" w:ascii="宋体" w:hAnsi="宋体"/>
                <w:bCs/>
                <w:sz w:val="24"/>
                <w:szCs w:val="24"/>
              </w:rPr>
              <w:t>甲方（章）</w:t>
            </w: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wordWrap w:val="0"/>
              <w:snapToGrid w:val="0"/>
              <w:spacing w:line="360" w:lineRule="exact"/>
              <w:jc w:val="right"/>
              <w:rPr>
                <w:rFonts w:ascii="宋体" w:hAnsi="宋体"/>
                <w:bCs/>
                <w:sz w:val="24"/>
                <w:szCs w:val="24"/>
              </w:rPr>
            </w:pPr>
            <w:r>
              <w:rPr>
                <w:rFonts w:hint="eastAsia" w:ascii="宋体" w:hAnsi="宋体"/>
                <w:bCs/>
                <w:sz w:val="24"/>
                <w:szCs w:val="24"/>
              </w:rPr>
              <w:t>年  月  日</w:t>
            </w:r>
          </w:p>
        </w:tc>
        <w:tc>
          <w:tcPr>
            <w:tcW w:w="4377" w:type="dxa"/>
          </w:tcPr>
          <w:p>
            <w:pPr>
              <w:snapToGrid w:val="0"/>
              <w:spacing w:line="360" w:lineRule="exact"/>
              <w:rPr>
                <w:rFonts w:ascii="宋体" w:hAnsi="宋体"/>
                <w:bCs/>
                <w:sz w:val="24"/>
                <w:szCs w:val="24"/>
              </w:rPr>
            </w:pPr>
            <w:r>
              <w:rPr>
                <w:rFonts w:hint="eastAsia" w:ascii="宋体" w:hAnsi="宋体"/>
                <w:bCs/>
                <w:sz w:val="24"/>
                <w:szCs w:val="24"/>
              </w:rPr>
              <w:t>乙方（章）</w:t>
            </w:r>
          </w:p>
          <w:p>
            <w:pPr>
              <w:snapToGrid w:val="0"/>
              <w:spacing w:line="360" w:lineRule="exact"/>
              <w:rPr>
                <w:rFonts w:ascii="宋体" w:hAnsi="宋体"/>
                <w:bCs/>
                <w:sz w:val="24"/>
                <w:szCs w:val="24"/>
              </w:rPr>
            </w:pPr>
          </w:p>
          <w:p>
            <w:pPr>
              <w:snapToGrid w:val="0"/>
              <w:spacing w:line="360" w:lineRule="exact"/>
              <w:rPr>
                <w:rFonts w:ascii="宋体" w:hAnsi="宋体"/>
                <w:bCs/>
                <w:sz w:val="24"/>
                <w:szCs w:val="24"/>
              </w:rPr>
            </w:pPr>
          </w:p>
          <w:p>
            <w:pPr>
              <w:snapToGrid w:val="0"/>
              <w:spacing w:line="360" w:lineRule="exact"/>
              <w:jc w:val="right"/>
              <w:rPr>
                <w:rFonts w:ascii="宋体" w:hAnsi="宋体"/>
                <w:bCs/>
                <w:sz w:val="24"/>
                <w:szCs w:val="24"/>
              </w:rPr>
            </w:pPr>
          </w:p>
          <w:p>
            <w:pPr>
              <w:snapToGrid w:val="0"/>
              <w:spacing w:line="360" w:lineRule="exact"/>
              <w:jc w:val="right"/>
              <w:rPr>
                <w:rFonts w:ascii="宋体" w:hAnsi="宋体"/>
                <w:bCs/>
                <w:sz w:val="24"/>
                <w:szCs w:val="24"/>
              </w:rPr>
            </w:pPr>
          </w:p>
          <w:p>
            <w:pPr>
              <w:snapToGrid w:val="0"/>
              <w:spacing w:line="360" w:lineRule="exact"/>
              <w:jc w:val="right"/>
              <w:rPr>
                <w:rFonts w:ascii="宋体" w:hAnsi="宋体"/>
                <w:bCs/>
                <w:sz w:val="24"/>
                <w:szCs w:val="24"/>
              </w:rPr>
            </w:pPr>
          </w:p>
          <w:p>
            <w:pPr>
              <w:snapToGrid w:val="0"/>
              <w:spacing w:line="360" w:lineRule="exact"/>
              <w:jc w:val="right"/>
              <w:rPr>
                <w:rFonts w:ascii="宋体" w:hAnsi="宋体"/>
                <w:bCs/>
                <w:sz w:val="24"/>
                <w:szCs w:val="24"/>
              </w:rPr>
            </w:pPr>
          </w:p>
          <w:p>
            <w:pPr>
              <w:snapToGrid w:val="0"/>
              <w:spacing w:line="360" w:lineRule="exact"/>
              <w:jc w:val="right"/>
              <w:rPr>
                <w:rFonts w:ascii="宋体" w:hAnsi="宋体"/>
                <w:bCs/>
                <w:sz w:val="24"/>
                <w:szCs w:val="24"/>
              </w:rPr>
            </w:pPr>
          </w:p>
          <w:p>
            <w:pPr>
              <w:snapToGrid w:val="0"/>
              <w:spacing w:line="360" w:lineRule="exact"/>
              <w:jc w:val="right"/>
              <w:rPr>
                <w:rFonts w:ascii="宋体" w:hAnsi="宋体"/>
                <w:bCs/>
                <w:sz w:val="24"/>
                <w:szCs w:val="24"/>
              </w:rPr>
            </w:pPr>
          </w:p>
          <w:p>
            <w:pPr>
              <w:snapToGrid w:val="0"/>
              <w:spacing w:line="360" w:lineRule="exact"/>
              <w:jc w:val="right"/>
              <w:rPr>
                <w:rFonts w:ascii="宋体" w:hAnsi="宋体"/>
                <w:bCs/>
                <w:sz w:val="24"/>
                <w:szCs w:val="24"/>
              </w:rPr>
            </w:pPr>
          </w:p>
          <w:p>
            <w:pPr>
              <w:snapToGrid w:val="0"/>
              <w:spacing w:line="360" w:lineRule="exact"/>
              <w:ind w:right="210"/>
              <w:jc w:val="right"/>
              <w:rPr>
                <w:rFonts w:ascii="宋体" w:hAnsi="宋体"/>
                <w:bCs/>
                <w:sz w:val="24"/>
                <w:szCs w:val="24"/>
              </w:rPr>
            </w:pPr>
          </w:p>
          <w:p>
            <w:pPr>
              <w:snapToGrid w:val="0"/>
              <w:spacing w:line="360" w:lineRule="exact"/>
              <w:jc w:val="right"/>
              <w:rPr>
                <w:rFonts w:ascii="宋体" w:hAnsi="宋体"/>
                <w:bCs/>
                <w:sz w:val="24"/>
                <w:szCs w:val="24"/>
              </w:rPr>
            </w:pPr>
            <w:r>
              <w:rPr>
                <w:rFonts w:hint="eastAsia" w:ascii="宋体" w:hAnsi="宋体"/>
                <w:bCs/>
                <w:sz w:val="24"/>
                <w:szCs w:val="24"/>
              </w:rPr>
              <w:t>年  月  日</w:t>
            </w:r>
          </w:p>
        </w:tc>
      </w:tr>
    </w:tbl>
    <w:p>
      <w:pPr>
        <w:widowControl/>
        <w:shd w:val="clear" w:color="auto" w:fill="FFFFFF"/>
        <w:rPr>
          <w:rFonts w:hAnsi="宋体" w:cs="Arial"/>
          <w:b/>
          <w:bCs/>
          <w:kern w:val="0"/>
          <w:sz w:val="28"/>
          <w:szCs w:val="28"/>
        </w:rPr>
      </w:pPr>
    </w:p>
    <w:p>
      <w:pPr>
        <w:widowControl/>
        <w:shd w:val="clear" w:color="auto" w:fill="FFFFFF"/>
        <w:rPr>
          <w:rFonts w:hAnsi="宋体" w:cs="Arial"/>
          <w:b/>
          <w:bCs/>
          <w:kern w:val="0"/>
          <w:sz w:val="28"/>
          <w:szCs w:val="28"/>
        </w:rPr>
      </w:pPr>
    </w:p>
    <w:p>
      <w:pPr>
        <w:widowControl/>
        <w:shd w:val="clear" w:color="auto" w:fill="FFFFFF"/>
        <w:rPr>
          <w:rFonts w:hAnsi="宋体" w:cs="Arial"/>
          <w:b/>
          <w:bCs/>
          <w:kern w:val="0"/>
          <w:sz w:val="28"/>
          <w:szCs w:val="28"/>
        </w:rPr>
      </w:pPr>
    </w:p>
    <w:p>
      <w:pPr>
        <w:widowControl/>
        <w:shd w:val="clear" w:color="auto" w:fill="FFFFFF"/>
        <w:rPr>
          <w:rFonts w:hAnsi="宋体" w:cs="Arial"/>
          <w:b/>
          <w:bCs/>
          <w:kern w:val="0"/>
          <w:sz w:val="28"/>
          <w:szCs w:val="28"/>
        </w:rPr>
      </w:pPr>
    </w:p>
    <w:p>
      <w:pPr>
        <w:widowControl/>
        <w:shd w:val="clear" w:color="auto" w:fill="FFFFFF"/>
        <w:rPr>
          <w:rFonts w:hAnsi="宋体" w:cs="Arial"/>
          <w:b/>
          <w:bCs/>
          <w:kern w:val="0"/>
          <w:sz w:val="28"/>
          <w:szCs w:val="28"/>
        </w:rPr>
      </w:pPr>
    </w:p>
    <w:p>
      <w:pPr>
        <w:widowControl/>
        <w:shd w:val="clear" w:color="auto" w:fill="FFFFFF"/>
        <w:jc w:val="center"/>
        <w:rPr>
          <w:rFonts w:hAnsi="宋体" w:cs="Arial"/>
          <w:b/>
          <w:bCs/>
          <w:kern w:val="0"/>
          <w:sz w:val="28"/>
          <w:szCs w:val="28"/>
        </w:rPr>
      </w:pPr>
      <w:r>
        <w:rPr>
          <w:rFonts w:hint="eastAsia" w:hAnsi="宋体" w:cs="Arial"/>
          <w:b/>
          <w:bCs/>
          <w:kern w:val="0"/>
          <w:sz w:val="28"/>
          <w:szCs w:val="28"/>
        </w:rPr>
        <w:t>广西壮族自治区政府采购项目合同验收书（格式）</w:t>
      </w:r>
    </w:p>
    <w:p>
      <w:pPr>
        <w:widowControl/>
        <w:snapToGrid w:val="0"/>
        <w:spacing w:before="100" w:beforeAutospacing="1" w:after="100" w:afterAutospacing="1" w:line="320" w:lineRule="exact"/>
        <w:ind w:left="-359" w:leftChars="-171" w:firstLine="420" w:firstLineChars="200"/>
        <w:jc w:val="left"/>
        <w:rPr>
          <w:rFonts w:ascii="宋体" w:hAnsi="宋体" w:cs="宋体"/>
          <w:kern w:val="0"/>
          <w:szCs w:val="21"/>
        </w:rPr>
      </w:pPr>
      <w:r>
        <w:rPr>
          <w:rFonts w:hint="eastAsia" w:ascii="宋体" w:hAnsi="宋体" w:cs="宋体"/>
          <w:kern w:val="0"/>
          <w:szCs w:val="21"/>
        </w:rPr>
        <w:t>根据政府采购项目（</w:t>
      </w:r>
      <w:r>
        <w:rPr>
          <w:rFonts w:hint="eastAsia" w:ascii="宋体" w:hAnsi="宋体" w:cs="宋体"/>
          <w:kern w:val="0"/>
          <w:szCs w:val="21"/>
          <w:u w:val="single"/>
        </w:rPr>
        <w:t xml:space="preserve">采购合同编号：   </w:t>
      </w:r>
      <w:r>
        <w:rPr>
          <w:rFonts w:hint="eastAsia" w:ascii="宋体" w:hAnsi="宋体" w:cs="宋体"/>
          <w:kern w:val="0"/>
          <w:szCs w:val="21"/>
        </w:rPr>
        <w:t>）的约定，我单位对（</w:t>
      </w:r>
      <w:r>
        <w:rPr>
          <w:rFonts w:hint="eastAsia" w:ascii="宋体" w:hAnsi="宋体" w:cs="宋体"/>
          <w:kern w:val="0"/>
          <w:szCs w:val="21"/>
          <w:u w:val="single"/>
        </w:rPr>
        <w:t>项目名称   ）</w:t>
      </w:r>
      <w:r>
        <w:rPr>
          <w:rFonts w:hint="eastAsia" w:ascii="宋体" w:hAnsi="宋体" w:cs="宋体"/>
          <w:kern w:val="0"/>
          <w:szCs w:val="21"/>
        </w:rPr>
        <w:t>政府采购项目中标（或成交）供应商</w:t>
      </w:r>
      <w:r>
        <w:rPr>
          <w:rFonts w:hint="eastAsia" w:ascii="宋体" w:hAnsi="宋体" w:cs="宋体"/>
          <w:kern w:val="0"/>
          <w:szCs w:val="21"/>
          <w:u w:val="single"/>
        </w:rPr>
        <w:t>（公司名称      ）</w:t>
      </w:r>
      <w:r>
        <w:rPr>
          <w:rFonts w:hint="eastAsia" w:ascii="宋体" w:hAnsi="宋体" w:cs="宋体"/>
          <w:kern w:val="0"/>
          <w:szCs w:val="21"/>
        </w:rPr>
        <w:t>提供的货物（或工程、服务）进行了验收，验收情况如下：</w:t>
      </w:r>
    </w:p>
    <w:tbl>
      <w:tblPr>
        <w:tblStyle w:val="3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27"/>
        <w:gridCol w:w="2294"/>
        <w:gridCol w:w="946"/>
        <w:gridCol w:w="2495"/>
        <w:gridCol w:w="205"/>
        <w:gridCol w:w="793"/>
        <w:gridCol w:w="13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82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 w:firstLineChars="2"/>
              <w:jc w:val="center"/>
              <w:rPr>
                <w:rFonts w:ascii="宋体" w:hAnsi="宋体" w:cs="宋体"/>
                <w:kern w:val="0"/>
                <w:szCs w:val="21"/>
              </w:rPr>
            </w:pPr>
            <w:r>
              <w:rPr>
                <w:rFonts w:hint="eastAsia" w:ascii="宋体" w:hAnsi="宋体" w:cs="宋体"/>
                <w:kern w:val="0"/>
                <w:szCs w:val="21"/>
              </w:rPr>
              <w:t>验收方式：</w:t>
            </w:r>
          </w:p>
        </w:tc>
        <w:tc>
          <w:tcPr>
            <w:tcW w:w="5806" w:type="dxa"/>
            <w:gridSpan w:val="5"/>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center"/>
              <w:rPr>
                <w:rFonts w:ascii="宋体" w:hAnsi="宋体" w:cs="宋体"/>
                <w:kern w:val="0"/>
                <w:szCs w:val="21"/>
              </w:rPr>
            </w:pPr>
            <w:r>
              <w:rPr>
                <w:rFonts w:hint="eastAsia" w:ascii="宋体" w:hAnsi="宋体" w:cs="宋体"/>
                <w:kern w:val="0"/>
                <w:szCs w:val="21"/>
              </w:rPr>
              <w:t>□自行验收     □委托验收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2" w:hRule="atLeast"/>
          <w:jc w:val="center"/>
        </w:trPr>
        <w:tc>
          <w:tcPr>
            <w:tcW w:w="152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2" w:firstLineChars="1"/>
              <w:jc w:val="center"/>
              <w:rPr>
                <w:rFonts w:ascii="宋体" w:hAnsi="宋体" w:cs="宋体"/>
                <w:kern w:val="0"/>
                <w:szCs w:val="21"/>
              </w:rPr>
            </w:pPr>
            <w:r>
              <w:rPr>
                <w:rFonts w:hint="eastAsia" w:ascii="宋体" w:hAnsi="宋体" w:cs="宋体"/>
                <w:kern w:val="0"/>
                <w:szCs w:val="21"/>
              </w:rPr>
              <w:t>序号</w:t>
            </w:r>
          </w:p>
        </w:tc>
        <w:tc>
          <w:tcPr>
            <w:tcW w:w="2294"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2" w:firstLineChars="1"/>
              <w:jc w:val="center"/>
              <w:rPr>
                <w:rFonts w:ascii="宋体" w:hAnsi="宋体" w:cs="宋体"/>
                <w:kern w:val="0"/>
                <w:szCs w:val="21"/>
              </w:rPr>
            </w:pPr>
            <w:r>
              <w:rPr>
                <w:rFonts w:hint="eastAsia" w:ascii="宋体" w:hAnsi="宋体" w:cs="宋体"/>
                <w:kern w:val="0"/>
                <w:szCs w:val="21"/>
              </w:rPr>
              <w:t>名  称</w:t>
            </w: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2" w:firstLineChars="1"/>
              <w:jc w:val="center"/>
              <w:rPr>
                <w:rFonts w:ascii="宋体" w:hAnsi="宋体" w:cs="宋体"/>
                <w:kern w:val="0"/>
                <w:szCs w:val="21"/>
              </w:rPr>
            </w:pPr>
            <w:r>
              <w:rPr>
                <w:rFonts w:hint="eastAsia" w:ascii="宋体" w:hAnsi="宋体" w:cs="宋体"/>
                <w:kern w:val="0"/>
                <w:szCs w:val="21"/>
              </w:rPr>
              <w:t>货物型号规格、标准及配置等（或服务内容、标准）</w:t>
            </w: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jc w:val="center"/>
              <w:rPr>
                <w:rFonts w:ascii="宋体" w:hAnsi="宋体" w:cs="宋体"/>
                <w:kern w:val="0"/>
                <w:szCs w:val="21"/>
              </w:rPr>
            </w:pPr>
            <w:r>
              <w:rPr>
                <w:rFonts w:hint="eastAsia" w:ascii="宋体" w:hAnsi="宋体" w:cs="宋体"/>
                <w:kern w:val="0"/>
                <w:szCs w:val="21"/>
              </w:rPr>
              <w:t>数量</w:t>
            </w:r>
          </w:p>
        </w:tc>
        <w:tc>
          <w:tcPr>
            <w:tcW w:w="136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2" w:firstLineChars="1"/>
              <w:jc w:val="center"/>
              <w:rPr>
                <w:rFonts w:ascii="宋体" w:hAnsi="宋体" w:cs="宋体"/>
                <w:kern w:val="0"/>
                <w:szCs w:val="21"/>
              </w:rPr>
            </w:pPr>
            <w:r>
              <w:rPr>
                <w:rFonts w:hint="eastAsia" w:ascii="宋体" w:hAnsi="宋体" w:cs="宋体"/>
                <w:kern w:val="0"/>
                <w:szCs w:val="21"/>
              </w:rPr>
              <w:t>金  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2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 w:firstLineChars="2"/>
              <w:jc w:val="left"/>
              <w:rPr>
                <w:rFonts w:ascii="宋体" w:hAnsi="宋体" w:cs="宋体"/>
                <w:kern w:val="0"/>
                <w:szCs w:val="21"/>
              </w:rPr>
            </w:pPr>
          </w:p>
        </w:tc>
        <w:tc>
          <w:tcPr>
            <w:tcW w:w="2294"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left"/>
              <w:rPr>
                <w:rFonts w:ascii="宋体" w:hAnsi="宋体" w:cs="宋体"/>
                <w:kern w:val="0"/>
                <w:szCs w:val="21"/>
              </w:rPr>
            </w:pP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left"/>
              <w:rPr>
                <w:rFonts w:ascii="宋体" w:hAnsi="宋体" w:cs="宋体"/>
                <w:kern w:val="0"/>
                <w:szCs w:val="21"/>
              </w:rPr>
            </w:pP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420" w:firstLineChars="200"/>
              <w:jc w:val="left"/>
              <w:rPr>
                <w:rFonts w:ascii="宋体" w:hAnsi="宋体" w:cs="宋体"/>
                <w:kern w:val="0"/>
                <w:szCs w:val="21"/>
              </w:rPr>
            </w:pPr>
          </w:p>
        </w:tc>
        <w:tc>
          <w:tcPr>
            <w:tcW w:w="136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420" w:firstLineChars="200"/>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2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left"/>
              <w:rPr>
                <w:rFonts w:ascii="宋体" w:hAnsi="宋体" w:cs="宋体"/>
                <w:kern w:val="0"/>
                <w:szCs w:val="21"/>
              </w:rPr>
            </w:pPr>
          </w:p>
        </w:tc>
        <w:tc>
          <w:tcPr>
            <w:tcW w:w="2294"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left"/>
              <w:rPr>
                <w:rFonts w:ascii="宋体" w:hAnsi="宋体" w:cs="宋体"/>
                <w:kern w:val="0"/>
                <w:szCs w:val="21"/>
              </w:rPr>
            </w:pP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left"/>
              <w:rPr>
                <w:rFonts w:ascii="宋体" w:hAnsi="宋体" w:cs="宋体"/>
                <w:kern w:val="0"/>
                <w:szCs w:val="21"/>
              </w:rPr>
            </w:pP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420" w:firstLineChars="200"/>
              <w:jc w:val="left"/>
              <w:rPr>
                <w:rFonts w:ascii="宋体" w:hAnsi="宋体" w:cs="宋体"/>
                <w:kern w:val="0"/>
                <w:szCs w:val="21"/>
              </w:rPr>
            </w:pPr>
          </w:p>
        </w:tc>
        <w:tc>
          <w:tcPr>
            <w:tcW w:w="136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420" w:firstLineChars="200"/>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2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left"/>
              <w:rPr>
                <w:rFonts w:ascii="宋体" w:hAnsi="宋体" w:cs="宋体"/>
                <w:kern w:val="0"/>
                <w:szCs w:val="21"/>
              </w:rPr>
            </w:pPr>
          </w:p>
        </w:tc>
        <w:tc>
          <w:tcPr>
            <w:tcW w:w="2294"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left"/>
              <w:rPr>
                <w:rFonts w:ascii="宋体" w:hAnsi="宋体" w:cs="宋体"/>
                <w:kern w:val="0"/>
                <w:szCs w:val="21"/>
              </w:rPr>
            </w:pP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left"/>
              <w:rPr>
                <w:rFonts w:ascii="宋体" w:hAnsi="宋体" w:cs="宋体"/>
                <w:kern w:val="0"/>
                <w:szCs w:val="21"/>
              </w:rPr>
            </w:pP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420" w:firstLineChars="200"/>
              <w:jc w:val="left"/>
              <w:rPr>
                <w:rFonts w:ascii="宋体" w:hAnsi="宋体" w:cs="宋体"/>
                <w:kern w:val="0"/>
                <w:szCs w:val="21"/>
              </w:rPr>
            </w:pPr>
          </w:p>
        </w:tc>
        <w:tc>
          <w:tcPr>
            <w:tcW w:w="136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420" w:firstLineChars="200"/>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7262" w:type="dxa"/>
            <w:gridSpan w:val="4"/>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 w:firstLineChars="2"/>
              <w:jc w:val="left"/>
              <w:rPr>
                <w:rFonts w:ascii="宋体" w:hAnsi="宋体" w:cs="宋体"/>
                <w:kern w:val="0"/>
                <w:szCs w:val="21"/>
              </w:rPr>
            </w:pPr>
            <w:r>
              <w:rPr>
                <w:rFonts w:hint="eastAsia" w:ascii="宋体" w:hAnsi="宋体" w:cs="宋体"/>
                <w:kern w:val="0"/>
                <w:szCs w:val="21"/>
              </w:rPr>
              <w:t>合   计</w:t>
            </w: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420" w:firstLineChars="200"/>
              <w:jc w:val="left"/>
              <w:rPr>
                <w:rFonts w:ascii="宋体" w:hAnsi="宋体" w:cs="宋体"/>
                <w:kern w:val="0"/>
                <w:szCs w:val="21"/>
              </w:rPr>
            </w:pPr>
          </w:p>
        </w:tc>
        <w:tc>
          <w:tcPr>
            <w:tcW w:w="136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420" w:firstLineChars="200"/>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9627" w:type="dxa"/>
            <w:gridSpan w:val="7"/>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2" w:firstLineChars="1"/>
              <w:jc w:val="left"/>
              <w:rPr>
                <w:rFonts w:ascii="宋体" w:hAnsi="宋体" w:cs="宋体"/>
                <w:kern w:val="0"/>
                <w:szCs w:val="21"/>
              </w:rPr>
            </w:pPr>
            <w:r>
              <w:rPr>
                <w:rFonts w:hint="eastAsia" w:ascii="宋体" w:hAnsi="宋体" w:cs="宋体"/>
                <w:kern w:val="0"/>
                <w:szCs w:val="21"/>
              </w:rPr>
              <w:t>合计大写金额：  仟  佰  拾  万  仟  佰  拾  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6" w:hRule="atLeast"/>
          <w:jc w:val="center"/>
        </w:trPr>
        <w:tc>
          <w:tcPr>
            <w:tcW w:w="152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2" w:firstLineChars="1"/>
              <w:jc w:val="left"/>
              <w:rPr>
                <w:rFonts w:ascii="宋体" w:hAnsi="宋体" w:cs="宋体"/>
                <w:kern w:val="0"/>
                <w:szCs w:val="21"/>
              </w:rPr>
            </w:pPr>
            <w:r>
              <w:rPr>
                <w:rFonts w:hint="eastAsia" w:ascii="宋体" w:hAnsi="宋体" w:cs="宋体"/>
                <w:kern w:val="0"/>
                <w:szCs w:val="21"/>
              </w:rPr>
              <w:t>实际供货日期</w:t>
            </w:r>
          </w:p>
        </w:tc>
        <w:tc>
          <w:tcPr>
            <w:tcW w:w="3240"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100" w:beforeAutospacing="1" w:after="100" w:afterAutospacing="1" w:line="320" w:lineRule="exact"/>
              <w:ind w:firstLine="420" w:firstLineChars="200"/>
              <w:jc w:val="left"/>
              <w:rPr>
                <w:rFonts w:ascii="宋体" w:hAnsi="宋体" w:cs="宋体"/>
                <w:kern w:val="0"/>
                <w:szCs w:val="21"/>
              </w:rPr>
            </w:pPr>
          </w:p>
        </w:tc>
        <w:tc>
          <w:tcPr>
            <w:tcW w:w="2700"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100" w:beforeAutospacing="1" w:after="100" w:afterAutospacing="1" w:line="320" w:lineRule="exact"/>
              <w:ind w:firstLine="39" w:firstLineChars="19"/>
              <w:jc w:val="center"/>
              <w:rPr>
                <w:rFonts w:ascii="宋体" w:hAnsi="宋体" w:cs="宋体"/>
                <w:kern w:val="0"/>
                <w:szCs w:val="21"/>
              </w:rPr>
            </w:pPr>
            <w:r>
              <w:rPr>
                <w:rFonts w:hint="eastAsia" w:ascii="宋体" w:hAnsi="宋体" w:cs="宋体"/>
                <w:kern w:val="0"/>
                <w:szCs w:val="21"/>
              </w:rPr>
              <w:t>合同交货验收日期</w:t>
            </w:r>
          </w:p>
        </w:tc>
        <w:tc>
          <w:tcPr>
            <w:tcW w:w="2160"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100" w:beforeAutospacing="1" w:after="100" w:afterAutospacing="1" w:line="320" w:lineRule="exact"/>
              <w:ind w:firstLine="420" w:firstLineChars="200"/>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4" w:hRule="atLeast"/>
          <w:jc w:val="center"/>
        </w:trPr>
        <w:tc>
          <w:tcPr>
            <w:tcW w:w="152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420" w:firstLineChars="200"/>
              <w:jc w:val="left"/>
              <w:rPr>
                <w:rFonts w:ascii="宋体" w:hAnsi="宋体" w:cs="宋体"/>
                <w:kern w:val="0"/>
                <w:szCs w:val="21"/>
              </w:rPr>
            </w:pPr>
          </w:p>
        </w:tc>
        <w:tc>
          <w:tcPr>
            <w:tcW w:w="3240"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100" w:beforeAutospacing="1" w:after="100" w:afterAutospacing="1" w:line="320" w:lineRule="exact"/>
              <w:ind w:firstLine="420" w:firstLineChars="200"/>
              <w:jc w:val="left"/>
              <w:rPr>
                <w:rFonts w:ascii="宋体" w:hAnsi="宋体" w:cs="宋体"/>
                <w:kern w:val="0"/>
                <w:szCs w:val="21"/>
              </w:rPr>
            </w:pPr>
          </w:p>
        </w:tc>
        <w:tc>
          <w:tcPr>
            <w:tcW w:w="2700"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100" w:beforeAutospacing="1" w:after="100" w:afterAutospacing="1" w:line="320" w:lineRule="exact"/>
              <w:ind w:left="590" w:firstLine="420" w:firstLineChars="200"/>
              <w:jc w:val="left"/>
              <w:rPr>
                <w:rFonts w:ascii="宋体" w:hAnsi="宋体" w:cs="宋体"/>
                <w:kern w:val="0"/>
                <w:szCs w:val="21"/>
              </w:rPr>
            </w:pPr>
          </w:p>
        </w:tc>
        <w:tc>
          <w:tcPr>
            <w:tcW w:w="2160"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100" w:beforeAutospacing="1" w:after="100" w:afterAutospacing="1" w:line="320" w:lineRule="exact"/>
              <w:ind w:firstLine="420" w:firstLineChars="200"/>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5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exact"/>
              <w:jc w:val="left"/>
              <w:rPr>
                <w:rFonts w:ascii="宋体" w:hAnsi="宋体" w:cs="宋体"/>
                <w:kern w:val="0"/>
                <w:szCs w:val="21"/>
              </w:rPr>
            </w:pPr>
            <w:r>
              <w:rPr>
                <w:rFonts w:hint="eastAsia" w:ascii="宋体" w:hAnsi="宋体" w:cs="宋体"/>
                <w:kern w:val="0"/>
                <w:szCs w:val="21"/>
              </w:rPr>
              <w:t>验收具体内容</w:t>
            </w:r>
          </w:p>
        </w:tc>
        <w:tc>
          <w:tcPr>
            <w:tcW w:w="8100" w:type="dxa"/>
            <w:gridSpan w:val="6"/>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exact"/>
              <w:jc w:val="left"/>
              <w:rPr>
                <w:rFonts w:ascii="宋体" w:hAnsi="宋体" w:cs="宋体"/>
                <w:kern w:val="0"/>
                <w:szCs w:val="21"/>
              </w:rPr>
            </w:pPr>
            <w:r>
              <w:rPr>
                <w:rFonts w:hint="eastAsia" w:ascii="宋体" w:hAnsi="宋体"/>
                <w:szCs w:val="21"/>
              </w:rPr>
              <w:t>（应</w:t>
            </w:r>
            <w:r>
              <w:rPr>
                <w:rFonts w:hint="eastAsia" w:ascii="宋体" w:hAnsi="宋体" w:cs="宋体"/>
                <w:kern w:val="0"/>
                <w:szCs w:val="21"/>
              </w:rPr>
              <w:t>按采购合同、采购文件、竞标响应文件及验收方案等进行验收；并核对</w:t>
            </w:r>
            <w:r>
              <w:rPr>
                <w:rFonts w:hint="eastAsia" w:ascii="宋体" w:hAnsi="宋体"/>
                <w:szCs w:val="21"/>
              </w:rPr>
              <w:t>中标或者成交供应商在安装调试等方面是否违反合同约定或服务规范要求、提供的质量保证证明材料是否齐全、应有的配件及附件是否达到合同约定等</w:t>
            </w:r>
            <w:r>
              <w:rPr>
                <w:rFonts w:hint="eastAsia" w:ascii="宋体" w:hAnsi="宋体" w:cs="宋体"/>
                <w:kern w:val="0"/>
                <w:szCs w:val="21"/>
              </w:rPr>
              <w:t>。可附件)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80" w:hRule="atLeast"/>
          <w:jc w:val="center"/>
        </w:trPr>
        <w:tc>
          <w:tcPr>
            <w:tcW w:w="1527"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exact"/>
              <w:jc w:val="left"/>
              <w:rPr>
                <w:rFonts w:ascii="宋体" w:hAnsi="宋体" w:cs="宋体"/>
                <w:kern w:val="0"/>
                <w:szCs w:val="21"/>
              </w:rPr>
            </w:pPr>
            <w:r>
              <w:rPr>
                <w:rFonts w:hint="eastAsia" w:ascii="宋体" w:hAnsi="宋体" w:cs="宋体"/>
                <w:kern w:val="0"/>
                <w:szCs w:val="21"/>
              </w:rPr>
              <w:t>验收小组意见</w:t>
            </w:r>
          </w:p>
        </w:tc>
        <w:tc>
          <w:tcPr>
            <w:tcW w:w="8100" w:type="dxa"/>
            <w:gridSpan w:val="6"/>
            <w:tcBorders>
              <w:top w:val="single" w:color="auto" w:sz="8" w:space="0"/>
              <w:left w:val="single" w:color="auto" w:sz="8" w:space="0"/>
              <w:bottom w:val="single" w:color="auto" w:sz="4" w:space="0"/>
              <w:right w:val="single" w:color="auto" w:sz="8" w:space="0"/>
            </w:tcBorders>
            <w:vAlign w:val="center"/>
          </w:tcPr>
          <w:p>
            <w:pPr>
              <w:widowControl/>
              <w:spacing w:before="100" w:beforeAutospacing="1" w:after="100" w:afterAutospacing="1" w:line="320" w:lineRule="exact"/>
              <w:jc w:val="left"/>
              <w:rPr>
                <w:rFonts w:ascii="宋体" w:hAnsi="宋体" w:cs="宋体"/>
                <w:kern w:val="0"/>
                <w:szCs w:val="21"/>
              </w:rPr>
            </w:pPr>
            <w:r>
              <w:rPr>
                <w:rFonts w:hint="eastAsia" w:ascii="宋体" w:hAnsi="宋体" w:cs="宋体"/>
                <w:kern w:val="0"/>
                <w:szCs w:val="21"/>
              </w:rPr>
              <w:t>验收结论性意见：</w:t>
            </w:r>
          </w:p>
          <w:p>
            <w:pPr>
              <w:widowControl/>
              <w:spacing w:before="100" w:beforeAutospacing="1" w:after="100" w:afterAutospacing="1" w:line="320" w:lineRule="exact"/>
              <w:jc w:val="left"/>
              <w:rPr>
                <w:rFonts w:ascii="宋体" w:hAnsi="宋体" w:cs="宋体"/>
                <w:kern w:val="0"/>
                <w:szCs w:val="21"/>
              </w:rPr>
            </w:pPr>
          </w:p>
          <w:p>
            <w:pPr>
              <w:widowControl/>
              <w:spacing w:before="100" w:beforeAutospacing="1" w:after="100" w:afterAutospacing="1" w:line="32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80" w:hRule="atLeast"/>
          <w:jc w:val="center"/>
        </w:trPr>
        <w:tc>
          <w:tcPr>
            <w:tcW w:w="152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p>
        </w:tc>
        <w:tc>
          <w:tcPr>
            <w:tcW w:w="8100" w:type="dxa"/>
            <w:gridSpan w:val="6"/>
            <w:tcBorders>
              <w:top w:val="single" w:color="auto" w:sz="4" w:space="0"/>
              <w:left w:val="single" w:color="auto" w:sz="8" w:space="0"/>
              <w:bottom w:val="single" w:color="auto" w:sz="8" w:space="0"/>
              <w:right w:val="single" w:color="auto" w:sz="8" w:space="0"/>
            </w:tcBorders>
            <w:vAlign w:val="center"/>
          </w:tcPr>
          <w:p>
            <w:pPr>
              <w:spacing w:before="100" w:beforeAutospacing="1" w:after="100" w:afterAutospacing="1" w:line="320" w:lineRule="exact"/>
              <w:ind w:firstLine="84" w:firstLineChars="40"/>
              <w:jc w:val="left"/>
              <w:rPr>
                <w:rFonts w:ascii="宋体" w:hAnsi="宋体" w:cs="宋体"/>
                <w:kern w:val="0"/>
                <w:szCs w:val="21"/>
              </w:rPr>
            </w:pPr>
            <w:r>
              <w:rPr>
                <w:rFonts w:hint="eastAsia" w:ascii="宋体" w:hAnsi="宋体" w:cs="宋体"/>
                <w:kern w:val="0"/>
                <w:szCs w:val="21"/>
              </w:rPr>
              <w:t>有异议的意见和说明理由：</w:t>
            </w:r>
          </w:p>
          <w:p>
            <w:pPr>
              <w:spacing w:before="100" w:beforeAutospacing="1" w:after="100" w:afterAutospacing="1" w:line="320" w:lineRule="exact"/>
              <w:jc w:val="left"/>
              <w:rPr>
                <w:rFonts w:ascii="宋体" w:hAnsi="宋体" w:cs="宋体"/>
                <w:kern w:val="0"/>
                <w:szCs w:val="21"/>
              </w:rPr>
            </w:pPr>
            <w:r>
              <w:rPr>
                <w:rFonts w:hint="eastAsia" w:ascii="宋体" w:hAnsi="宋体" w:cs="宋体"/>
                <w:kern w:val="0"/>
                <w:szCs w:val="21"/>
              </w:rPr>
              <w:t xml:space="preserve">                                      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7" w:hRule="atLeast"/>
          <w:jc w:val="center"/>
        </w:trPr>
        <w:tc>
          <w:tcPr>
            <w:tcW w:w="9627" w:type="dxa"/>
            <w:gridSpan w:val="7"/>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exact"/>
              <w:jc w:val="left"/>
              <w:rPr>
                <w:rFonts w:ascii="宋体" w:hAnsi="宋体" w:cs="宋体"/>
                <w:kern w:val="0"/>
                <w:szCs w:val="21"/>
              </w:rPr>
            </w:pPr>
            <w:r>
              <w:rPr>
                <w:rFonts w:hint="eastAsia" w:ascii="宋体" w:hAnsi="宋体" w:cs="宋体"/>
                <w:kern w:val="0"/>
                <w:szCs w:val="21"/>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6" w:hRule="atLeast"/>
          <w:jc w:val="center"/>
        </w:trPr>
        <w:tc>
          <w:tcPr>
            <w:tcW w:w="9627" w:type="dxa"/>
            <w:gridSpan w:val="7"/>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exact"/>
              <w:jc w:val="left"/>
              <w:rPr>
                <w:rFonts w:ascii="宋体" w:hAnsi="宋体" w:cs="宋体"/>
                <w:kern w:val="0"/>
                <w:szCs w:val="21"/>
              </w:rPr>
            </w:pPr>
            <w:r>
              <w:rPr>
                <w:rFonts w:hint="eastAsia" w:ascii="宋体" w:hAnsi="宋体" w:cs="宋体"/>
                <w:kern w:val="0"/>
                <w:szCs w:val="21"/>
              </w:rPr>
              <w:t>监督人员或其他相关人员签字：</w:t>
            </w:r>
          </w:p>
          <w:p>
            <w:pPr>
              <w:widowControl/>
              <w:spacing w:before="100" w:beforeAutospacing="1" w:after="100" w:afterAutospacing="1" w:line="320" w:lineRule="exact"/>
              <w:ind w:firstLine="65" w:firstLineChars="31"/>
              <w:jc w:val="left"/>
              <w:rPr>
                <w:rFonts w:ascii="宋体" w:hAnsi="宋体" w:cs="宋体"/>
                <w:kern w:val="0"/>
                <w:szCs w:val="21"/>
              </w:rPr>
            </w:pPr>
            <w:r>
              <w:rPr>
                <w:rFonts w:hint="eastAsia" w:ascii="宋体" w:hAnsi="宋体" w:cs="宋体"/>
                <w:kern w:val="0"/>
                <w:szCs w:val="21"/>
              </w:rPr>
              <w:t>或受邀机构的意见（盖章）：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58" w:hRule="atLeast"/>
          <w:jc w:val="center"/>
        </w:trPr>
        <w:tc>
          <w:tcPr>
            <w:tcW w:w="4767" w:type="dxa"/>
            <w:gridSpan w:val="3"/>
            <w:tcBorders>
              <w:top w:val="single" w:color="auto" w:sz="8" w:space="0"/>
              <w:left w:val="single" w:color="auto" w:sz="8" w:space="0"/>
              <w:bottom w:val="single" w:color="auto" w:sz="8" w:space="0"/>
              <w:right w:val="nil"/>
            </w:tcBorders>
            <w:tcMar>
              <w:top w:w="0" w:type="dxa"/>
              <w:left w:w="108" w:type="dxa"/>
              <w:bottom w:w="0" w:type="dxa"/>
              <w:right w:w="108" w:type="dxa"/>
            </w:tcMar>
            <w:vAlign w:val="center"/>
          </w:tcPr>
          <w:p>
            <w:pPr>
              <w:widowControl/>
              <w:spacing w:before="100" w:beforeAutospacing="1" w:after="100" w:afterAutospacing="1" w:line="320" w:lineRule="exact"/>
              <w:ind w:firstLine="65" w:firstLineChars="31"/>
              <w:jc w:val="left"/>
              <w:rPr>
                <w:rFonts w:ascii="宋体" w:hAnsi="宋体" w:cs="宋体"/>
                <w:kern w:val="0"/>
                <w:szCs w:val="21"/>
              </w:rPr>
            </w:pPr>
            <w:r>
              <w:rPr>
                <w:rFonts w:hint="eastAsia" w:ascii="宋体" w:hAnsi="宋体" w:cs="宋体"/>
                <w:kern w:val="0"/>
                <w:szCs w:val="21"/>
              </w:rPr>
              <w:t>中标或者成交供应商负责人签字或盖章：</w:t>
            </w:r>
          </w:p>
          <w:p>
            <w:pPr>
              <w:widowControl/>
              <w:spacing w:before="100" w:beforeAutospacing="1" w:after="100" w:afterAutospacing="1" w:line="320" w:lineRule="exact"/>
              <w:jc w:val="left"/>
              <w:rPr>
                <w:rFonts w:ascii="宋体" w:hAnsi="宋体" w:cs="宋体"/>
                <w:kern w:val="0"/>
                <w:szCs w:val="21"/>
              </w:rPr>
            </w:pPr>
          </w:p>
          <w:p>
            <w:pPr>
              <w:widowControl/>
              <w:spacing w:before="100" w:beforeAutospacing="1" w:after="100" w:afterAutospacing="1" w:line="320" w:lineRule="exact"/>
              <w:jc w:val="left"/>
              <w:rPr>
                <w:rFonts w:ascii="宋体" w:hAnsi="宋体" w:cs="宋体"/>
                <w:kern w:val="0"/>
                <w:szCs w:val="21"/>
              </w:rPr>
            </w:pPr>
            <w:r>
              <w:rPr>
                <w:rFonts w:hint="eastAsia" w:ascii="宋体" w:hAnsi="宋体" w:cs="宋体"/>
                <w:kern w:val="0"/>
                <w:szCs w:val="21"/>
              </w:rPr>
              <w:t>联系电话：  年  月  日</w:t>
            </w:r>
          </w:p>
        </w:tc>
        <w:tc>
          <w:tcPr>
            <w:tcW w:w="4860" w:type="dxa"/>
            <w:gridSpan w:val="4"/>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20" w:lineRule="exact"/>
              <w:jc w:val="left"/>
              <w:rPr>
                <w:rFonts w:ascii="宋体" w:hAnsi="宋体" w:cs="宋体"/>
                <w:kern w:val="0"/>
                <w:szCs w:val="21"/>
              </w:rPr>
            </w:pPr>
            <w:r>
              <w:rPr>
                <w:rFonts w:hint="eastAsia" w:ascii="宋体" w:hAnsi="宋体" w:cs="宋体"/>
                <w:kern w:val="0"/>
                <w:szCs w:val="21"/>
              </w:rPr>
              <w:t>采购人或受托机构的意见（盖章）：</w:t>
            </w:r>
          </w:p>
          <w:p>
            <w:pPr>
              <w:widowControl/>
              <w:spacing w:before="100" w:beforeAutospacing="1" w:after="100" w:afterAutospacing="1" w:line="320" w:lineRule="exact"/>
              <w:jc w:val="left"/>
              <w:rPr>
                <w:rFonts w:ascii="宋体" w:hAnsi="宋体" w:cs="宋体"/>
                <w:kern w:val="0"/>
                <w:szCs w:val="21"/>
              </w:rPr>
            </w:pPr>
          </w:p>
          <w:p>
            <w:pPr>
              <w:widowControl/>
              <w:spacing w:before="100" w:beforeAutospacing="1" w:after="100" w:afterAutospacing="1" w:line="320" w:lineRule="exact"/>
              <w:jc w:val="left"/>
              <w:rPr>
                <w:rFonts w:ascii="宋体" w:hAnsi="宋体" w:cs="宋体"/>
                <w:kern w:val="0"/>
                <w:szCs w:val="21"/>
              </w:rPr>
            </w:pPr>
            <w:r>
              <w:rPr>
                <w:rFonts w:hint="eastAsia" w:ascii="宋体" w:hAnsi="宋体" w:cs="宋体"/>
                <w:kern w:val="0"/>
                <w:szCs w:val="21"/>
              </w:rPr>
              <w:t>联系电话：                   年   月  日</w:t>
            </w:r>
          </w:p>
        </w:tc>
      </w:tr>
    </w:tbl>
    <w:p>
      <w:pPr>
        <w:pStyle w:val="2"/>
        <w:spacing w:line="500" w:lineRule="exact"/>
        <w:ind w:firstLine="1749" w:firstLineChars="396"/>
        <w:jc w:val="both"/>
        <w:rPr>
          <w:rFonts w:ascii="宋体" w:hAnsi="宋体" w:eastAsia="宋体"/>
          <w:b/>
          <w:sz w:val="44"/>
        </w:rPr>
      </w:pPr>
      <w:bookmarkStart w:id="262" w:name="_Toc6047135"/>
      <w:bookmarkStart w:id="263" w:name="_Toc340341953"/>
      <w:bookmarkStart w:id="264" w:name="_Toc219054961"/>
      <w:bookmarkStart w:id="265" w:name="_Toc139257208"/>
      <w:bookmarkStart w:id="266" w:name="_Toc139256744"/>
      <w:r>
        <w:rPr>
          <w:rFonts w:hint="eastAsia" w:ascii="宋体" w:hAnsi="宋体" w:eastAsia="宋体"/>
          <w:b/>
          <w:sz w:val="44"/>
        </w:rPr>
        <w:t>第四章  评审原则和成交标准</w:t>
      </w:r>
      <w:bookmarkEnd w:id="262"/>
      <w:bookmarkEnd w:id="263"/>
      <w:bookmarkEnd w:id="264"/>
      <w:bookmarkEnd w:id="265"/>
      <w:bookmarkEnd w:id="266"/>
    </w:p>
    <w:p>
      <w:pPr>
        <w:pStyle w:val="16"/>
        <w:spacing w:line="420" w:lineRule="exact"/>
        <w:rPr>
          <w:rFonts w:hAnsi="宋体"/>
          <w:b/>
          <w:sz w:val="24"/>
        </w:rPr>
      </w:pPr>
      <w:bookmarkStart w:id="267" w:name="_Toc139257209"/>
      <w:bookmarkStart w:id="268" w:name="_Toc139256745"/>
      <w:bookmarkStart w:id="269" w:name="_Toc219054962"/>
      <w:r>
        <w:rPr>
          <w:rFonts w:hint="eastAsia" w:hAnsi="宋体"/>
          <w:b/>
          <w:sz w:val="24"/>
        </w:rPr>
        <w:t>一、评审原则</w:t>
      </w:r>
    </w:p>
    <w:p>
      <w:pPr>
        <w:spacing w:line="440" w:lineRule="exact"/>
        <w:ind w:firstLine="480" w:firstLineChars="200"/>
        <w:rPr>
          <w:rFonts w:ascii="宋体" w:hAnsi="宋体"/>
          <w:sz w:val="24"/>
          <w:szCs w:val="24"/>
        </w:rPr>
      </w:pPr>
      <w:bookmarkStart w:id="270" w:name="_Toc153460353"/>
      <w:bookmarkStart w:id="271" w:name="_Toc130105471"/>
      <w:bookmarkStart w:id="272" w:name="_Toc121504883"/>
      <w:bookmarkStart w:id="273" w:name="_Toc123896193"/>
      <w:bookmarkStart w:id="274" w:name="_Toc175591331"/>
      <w:r>
        <w:rPr>
          <w:rFonts w:hint="eastAsia" w:ascii="宋体" w:hAnsi="宋体"/>
          <w:sz w:val="24"/>
          <w:szCs w:val="24"/>
        </w:rPr>
        <w:t>(1)评审活动遵循公平、公正、科学和择优的原则。</w:t>
      </w:r>
    </w:p>
    <w:p>
      <w:pPr>
        <w:spacing w:line="440" w:lineRule="exact"/>
        <w:ind w:firstLine="480" w:firstLineChars="200"/>
        <w:rPr>
          <w:rFonts w:ascii="宋体" w:hAnsi="宋体"/>
          <w:kern w:val="0"/>
          <w:sz w:val="24"/>
          <w:szCs w:val="24"/>
        </w:rPr>
      </w:pPr>
      <w:r>
        <w:rPr>
          <w:rFonts w:hint="eastAsia" w:ascii="宋体" w:hAnsi="宋体"/>
          <w:sz w:val="24"/>
          <w:szCs w:val="24"/>
        </w:rPr>
        <w:t>(2)</w:t>
      </w:r>
      <w:r>
        <w:rPr>
          <w:rFonts w:ascii="宋体" w:hAnsi="宋体"/>
          <w:sz w:val="24"/>
          <w:szCs w:val="24"/>
        </w:rPr>
        <w:t>评分分值计算保留小数点后两位，小数点后第三位</w:t>
      </w:r>
      <w:r>
        <w:rPr>
          <w:rFonts w:hint="eastAsia" w:ascii="宋体" w:hAnsi="宋体"/>
          <w:sz w:val="24"/>
          <w:szCs w:val="24"/>
        </w:rPr>
        <w:t>“</w:t>
      </w:r>
      <w:r>
        <w:rPr>
          <w:rFonts w:ascii="宋体" w:hAnsi="宋体"/>
          <w:sz w:val="24"/>
          <w:szCs w:val="24"/>
        </w:rPr>
        <w:t>四舍五入</w:t>
      </w:r>
      <w:r>
        <w:rPr>
          <w:rFonts w:hint="eastAsia" w:ascii="宋体" w:hAnsi="宋体"/>
          <w:sz w:val="24"/>
          <w:szCs w:val="24"/>
        </w:rPr>
        <w:t>”</w:t>
      </w:r>
      <w:r>
        <w:rPr>
          <w:rFonts w:ascii="宋体" w:hAnsi="宋体"/>
          <w:sz w:val="24"/>
          <w:szCs w:val="24"/>
        </w:rPr>
        <w:t>。</w:t>
      </w:r>
    </w:p>
    <w:p>
      <w:pPr>
        <w:spacing w:line="440" w:lineRule="exact"/>
        <w:rPr>
          <w:rFonts w:ascii="宋体" w:hAnsi="宋体"/>
          <w:b/>
          <w:kern w:val="0"/>
          <w:sz w:val="24"/>
          <w:szCs w:val="24"/>
        </w:rPr>
      </w:pPr>
      <w:bookmarkStart w:id="275" w:name="_Toc236014210"/>
      <w:bookmarkStart w:id="276" w:name="_Toc196295914"/>
      <w:bookmarkStart w:id="277" w:name="_Toc193131885"/>
      <w:r>
        <w:rPr>
          <w:rFonts w:hint="eastAsia" w:ascii="宋体" w:hAnsi="宋体"/>
          <w:b/>
          <w:sz w:val="24"/>
          <w:szCs w:val="24"/>
        </w:rPr>
        <w:t>二、定标办法</w:t>
      </w:r>
      <w:bookmarkEnd w:id="270"/>
      <w:bookmarkEnd w:id="271"/>
      <w:bookmarkEnd w:id="272"/>
      <w:bookmarkEnd w:id="273"/>
      <w:bookmarkEnd w:id="274"/>
      <w:bookmarkEnd w:id="275"/>
      <w:bookmarkEnd w:id="276"/>
      <w:bookmarkEnd w:id="277"/>
    </w:p>
    <w:p>
      <w:pPr>
        <w:pStyle w:val="16"/>
        <w:adjustRightInd w:val="0"/>
        <w:snapToGrid w:val="0"/>
        <w:spacing w:line="440" w:lineRule="exact"/>
        <w:textAlignment w:val="baseline"/>
        <w:rPr>
          <w:rFonts w:hAnsi="宋体"/>
          <w:b/>
          <w:sz w:val="24"/>
          <w:szCs w:val="24"/>
        </w:rPr>
      </w:pPr>
      <w:r>
        <w:rPr>
          <w:rFonts w:hint="eastAsia" w:hAnsi="宋体"/>
          <w:b/>
          <w:sz w:val="24"/>
          <w:szCs w:val="24"/>
        </w:rPr>
        <w:t>1．评审步骤：</w:t>
      </w:r>
    </w:p>
    <w:p>
      <w:pPr>
        <w:pStyle w:val="16"/>
        <w:spacing w:line="420" w:lineRule="exact"/>
        <w:ind w:firstLine="482" w:firstLineChars="200"/>
        <w:rPr>
          <w:rFonts w:hAnsi="宋体"/>
          <w:b/>
          <w:sz w:val="24"/>
          <w:szCs w:val="24"/>
        </w:rPr>
      </w:pPr>
      <w:r>
        <w:rPr>
          <w:rFonts w:hint="eastAsia" w:hAnsi="宋体"/>
          <w:b/>
          <w:sz w:val="24"/>
          <w:szCs w:val="24"/>
        </w:rPr>
        <w:t>1.1资格性审查：</w:t>
      </w:r>
    </w:p>
    <w:p>
      <w:pPr>
        <w:pStyle w:val="16"/>
        <w:snapToGrid w:val="0"/>
        <w:spacing w:line="440" w:lineRule="exact"/>
        <w:ind w:firstLine="482" w:firstLineChars="200"/>
        <w:rPr>
          <w:rFonts w:hAnsi="宋体"/>
          <w:b/>
          <w:color w:val="FF0000"/>
          <w:sz w:val="24"/>
          <w:szCs w:val="24"/>
        </w:rPr>
      </w:pPr>
      <w:r>
        <w:rPr>
          <w:rFonts w:hint="eastAsia" w:hAnsi="宋体"/>
          <w:b/>
          <w:color w:val="FF0000"/>
          <w:sz w:val="24"/>
          <w:szCs w:val="24"/>
        </w:rPr>
        <w:t>资格证明文件应包含以下材料[其中（1）、（2）、（3）、（5）、（6）、（7）、（8）、（9）项所要求提交的文件均必须提交，同时要加盖竞标人公章否则其竞标无效；第（5）项如为委托代理时必须提供，否则竞标无效]：</w:t>
      </w:r>
    </w:p>
    <w:p>
      <w:pPr>
        <w:pStyle w:val="16"/>
        <w:snapToGrid w:val="0"/>
        <w:spacing w:line="440" w:lineRule="exact"/>
        <w:ind w:firstLine="420"/>
        <w:rPr>
          <w:rFonts w:hAnsi="宋体"/>
          <w:b/>
          <w:color w:val="FF0000"/>
          <w:sz w:val="24"/>
          <w:szCs w:val="24"/>
        </w:rPr>
      </w:pPr>
      <w:r>
        <w:rPr>
          <w:rFonts w:hint="eastAsia" w:hAnsi="宋体"/>
          <w:b/>
          <w:color w:val="FF0000"/>
          <w:sz w:val="24"/>
          <w:szCs w:val="24"/>
        </w:rPr>
        <w:t>（1）</w:t>
      </w:r>
      <w:r>
        <w:rPr>
          <w:rFonts w:hint="eastAsia" w:hAnsi="宋体"/>
          <w:b/>
          <w:color w:val="FF0000"/>
          <w:kern w:val="0"/>
          <w:sz w:val="24"/>
          <w:szCs w:val="24"/>
        </w:rPr>
        <w:t>有效的企业法人营业执照或事业单位法人证书复印件</w:t>
      </w:r>
      <w:r>
        <w:rPr>
          <w:rFonts w:hint="eastAsia" w:hAnsi="宋体"/>
          <w:b/>
          <w:color w:val="FF0000"/>
          <w:sz w:val="24"/>
          <w:szCs w:val="24"/>
        </w:rPr>
        <w:t>；</w:t>
      </w:r>
      <w:r>
        <w:rPr>
          <w:rFonts w:hAnsi="宋体"/>
          <w:b/>
          <w:color w:val="FF0000"/>
          <w:sz w:val="24"/>
          <w:szCs w:val="24"/>
        </w:rPr>
        <w:t>(</w:t>
      </w:r>
      <w:r>
        <w:rPr>
          <w:rFonts w:hint="eastAsia" w:hAnsi="宋体"/>
          <w:b/>
          <w:color w:val="FF0000"/>
          <w:sz w:val="24"/>
          <w:szCs w:val="24"/>
        </w:rPr>
        <w:t>必须提交，加盖公章</w:t>
      </w:r>
      <w:r>
        <w:rPr>
          <w:rFonts w:hAnsi="宋体"/>
          <w:b/>
          <w:color w:val="FF0000"/>
          <w:sz w:val="24"/>
          <w:szCs w:val="24"/>
        </w:rPr>
        <w:t>)</w:t>
      </w:r>
    </w:p>
    <w:p>
      <w:pPr>
        <w:pStyle w:val="16"/>
        <w:snapToGrid w:val="0"/>
        <w:spacing w:line="440" w:lineRule="exact"/>
        <w:ind w:firstLine="420"/>
        <w:rPr>
          <w:rFonts w:hAnsi="宋体"/>
          <w:b/>
          <w:color w:val="FF0000"/>
          <w:sz w:val="24"/>
          <w:szCs w:val="24"/>
        </w:rPr>
      </w:pPr>
      <w:r>
        <w:rPr>
          <w:rFonts w:hint="eastAsia" w:hAnsi="宋体"/>
          <w:b/>
          <w:color w:val="FF0000"/>
          <w:sz w:val="24"/>
          <w:szCs w:val="24"/>
        </w:rPr>
        <w:t>（2）竞标人最近半年内任意一个月依法缴纳税收的凭证复印件（如税务机关开具的完税证、银行缴税付款凭证或缴款回单等（新成立的企业请按实际提供，无纳税记录的，应提供竞标人所在地的税务部门出具的《依法纳税或依法免税证明》复印件）；（必须提交，加盖公章，新成立的企业请按实际提供）</w:t>
      </w:r>
    </w:p>
    <w:p>
      <w:pPr>
        <w:pStyle w:val="16"/>
        <w:snapToGrid w:val="0"/>
        <w:spacing w:line="440" w:lineRule="exact"/>
        <w:ind w:firstLine="361" w:firstLineChars="150"/>
        <w:rPr>
          <w:rFonts w:hAnsi="宋体"/>
          <w:b/>
          <w:color w:val="FF0000"/>
          <w:sz w:val="24"/>
          <w:szCs w:val="24"/>
        </w:rPr>
      </w:pPr>
      <w:r>
        <w:rPr>
          <w:rFonts w:hint="eastAsia" w:hAnsi="宋体"/>
          <w:b/>
          <w:color w:val="FF0000"/>
          <w:sz w:val="24"/>
          <w:szCs w:val="24"/>
        </w:rPr>
        <w:t>（3）</w:t>
      </w:r>
      <w:r>
        <w:rPr>
          <w:rFonts w:hint="eastAsia" w:hAnsi="宋体" w:cs="宋体"/>
          <w:b/>
          <w:color w:val="FF0000"/>
          <w:sz w:val="24"/>
          <w:szCs w:val="24"/>
        </w:rPr>
        <w:t>竞标人最近半年内任意一个月依法缴纳社保费的缴费凭证复印件；无缴费记录的，应提供由供应商所在地社保部门出具的《依法缴纳或依法免缴社保费证明》复印件；（必须提交，加盖公章，新成立的企业请按实际提供）</w:t>
      </w:r>
    </w:p>
    <w:p>
      <w:pPr>
        <w:pStyle w:val="16"/>
        <w:snapToGrid w:val="0"/>
        <w:spacing w:line="440" w:lineRule="exact"/>
        <w:ind w:firstLine="361" w:firstLineChars="150"/>
        <w:rPr>
          <w:rFonts w:hAnsi="宋体"/>
          <w:b/>
          <w:color w:val="FF0000"/>
          <w:sz w:val="24"/>
          <w:szCs w:val="24"/>
        </w:rPr>
      </w:pPr>
      <w:r>
        <w:rPr>
          <w:rFonts w:hint="eastAsia" w:hAnsi="宋体"/>
          <w:b/>
          <w:color w:val="FF0000"/>
          <w:sz w:val="24"/>
          <w:szCs w:val="24"/>
        </w:rPr>
        <w:t>（4）法定代表人身份证复印件；</w:t>
      </w:r>
      <w:r>
        <w:rPr>
          <w:rFonts w:hAnsi="宋体"/>
          <w:b/>
          <w:color w:val="FF0000"/>
          <w:sz w:val="24"/>
          <w:szCs w:val="24"/>
        </w:rPr>
        <w:t>(</w:t>
      </w:r>
      <w:r>
        <w:rPr>
          <w:rFonts w:hint="eastAsia" w:hAnsi="宋体"/>
          <w:b/>
          <w:color w:val="FF0000"/>
          <w:sz w:val="24"/>
          <w:szCs w:val="24"/>
        </w:rPr>
        <w:t>必须提交，加盖公章</w:t>
      </w:r>
      <w:r>
        <w:rPr>
          <w:rFonts w:hAnsi="宋体"/>
          <w:b/>
          <w:color w:val="FF0000"/>
          <w:sz w:val="24"/>
          <w:szCs w:val="24"/>
        </w:rPr>
        <w:t>)</w:t>
      </w:r>
    </w:p>
    <w:p>
      <w:pPr>
        <w:pStyle w:val="16"/>
        <w:snapToGrid w:val="0"/>
        <w:spacing w:line="440" w:lineRule="exact"/>
        <w:ind w:firstLine="357" w:firstLineChars="148"/>
        <w:rPr>
          <w:rFonts w:hAnsi="宋体"/>
          <w:b/>
          <w:color w:val="FF0000"/>
          <w:sz w:val="24"/>
          <w:szCs w:val="24"/>
        </w:rPr>
      </w:pPr>
      <w:r>
        <w:rPr>
          <w:rFonts w:hint="eastAsia" w:hAnsi="宋体"/>
          <w:b/>
          <w:color w:val="FF0000"/>
          <w:sz w:val="24"/>
          <w:szCs w:val="24"/>
        </w:rPr>
        <w:t>（5）法定代表人授权委托书原件和授权委托代理人身份证复印件（委托代理时必须提供，且加盖单位公章）；</w:t>
      </w:r>
    </w:p>
    <w:p>
      <w:pPr>
        <w:pStyle w:val="16"/>
        <w:snapToGrid w:val="0"/>
        <w:spacing w:line="440" w:lineRule="exact"/>
        <w:ind w:firstLine="236" w:firstLineChars="98"/>
        <w:rPr>
          <w:rFonts w:hAnsi="宋体"/>
          <w:b/>
          <w:color w:val="FF0000"/>
          <w:sz w:val="24"/>
          <w:szCs w:val="24"/>
        </w:rPr>
      </w:pPr>
      <w:r>
        <w:rPr>
          <w:rFonts w:hint="eastAsia" w:hAnsi="宋体"/>
          <w:b/>
          <w:color w:val="FF0000"/>
          <w:sz w:val="24"/>
          <w:szCs w:val="24"/>
        </w:rPr>
        <w:t>（6）竞标保证金交款凭证证明材料复印件；</w:t>
      </w:r>
      <w:r>
        <w:rPr>
          <w:rFonts w:hAnsi="宋体"/>
          <w:b/>
          <w:color w:val="FF0000"/>
          <w:sz w:val="24"/>
          <w:szCs w:val="24"/>
        </w:rPr>
        <w:t>(</w:t>
      </w:r>
      <w:r>
        <w:rPr>
          <w:rFonts w:hint="eastAsia" w:hAnsi="宋体"/>
          <w:b/>
          <w:color w:val="FF0000"/>
          <w:sz w:val="24"/>
          <w:szCs w:val="24"/>
        </w:rPr>
        <w:t>加盖公章，原件备查</w:t>
      </w:r>
      <w:r>
        <w:rPr>
          <w:rFonts w:hAnsi="宋体"/>
          <w:b/>
          <w:color w:val="FF0000"/>
          <w:sz w:val="24"/>
          <w:szCs w:val="24"/>
        </w:rPr>
        <w:t>)</w:t>
      </w:r>
    </w:p>
    <w:p>
      <w:pPr>
        <w:pStyle w:val="16"/>
        <w:snapToGrid w:val="0"/>
        <w:spacing w:line="440" w:lineRule="exact"/>
        <w:ind w:firstLine="236" w:firstLineChars="98"/>
        <w:rPr>
          <w:rFonts w:hAnsi="宋体"/>
          <w:b/>
          <w:color w:val="FF0000"/>
          <w:sz w:val="24"/>
          <w:szCs w:val="24"/>
        </w:rPr>
      </w:pPr>
      <w:r>
        <w:rPr>
          <w:rFonts w:hint="eastAsia" w:hAnsi="宋体"/>
          <w:b/>
          <w:color w:val="FF0000"/>
          <w:sz w:val="24"/>
          <w:szCs w:val="24"/>
        </w:rPr>
        <w:t>（7）竞标人出具的本单位参加政府采购活动前3年内在经营活动中无重大违法记录的书面声明原件(必须提交)；</w:t>
      </w:r>
    </w:p>
    <w:p>
      <w:pPr>
        <w:pStyle w:val="16"/>
        <w:snapToGrid w:val="0"/>
        <w:spacing w:line="440" w:lineRule="exact"/>
        <w:ind w:firstLine="236" w:firstLineChars="98"/>
        <w:rPr>
          <w:rFonts w:hAnsi="宋体"/>
          <w:b/>
          <w:color w:val="FF0000"/>
          <w:sz w:val="24"/>
          <w:szCs w:val="24"/>
        </w:rPr>
      </w:pPr>
      <w:r>
        <w:rPr>
          <w:rFonts w:hint="eastAsia" w:hAnsi="宋体"/>
          <w:b/>
          <w:color w:val="FF0000"/>
          <w:sz w:val="24"/>
          <w:szCs w:val="24"/>
        </w:rPr>
        <w:t>（8）2019年度财务会计审计报告或财务会计报表复印件（加盖公章，新成立的单位请按实际提供）；</w:t>
      </w:r>
    </w:p>
    <w:p>
      <w:pPr>
        <w:pStyle w:val="16"/>
        <w:snapToGrid w:val="0"/>
        <w:spacing w:line="440" w:lineRule="exact"/>
        <w:ind w:firstLine="236" w:firstLineChars="98"/>
        <w:rPr>
          <w:rFonts w:hAnsi="宋体"/>
          <w:b/>
          <w:color w:val="FF0000"/>
          <w:sz w:val="24"/>
          <w:szCs w:val="24"/>
        </w:rPr>
      </w:pPr>
      <w:r>
        <w:rPr>
          <w:rFonts w:hint="eastAsia" w:hAnsi="宋体"/>
          <w:b/>
          <w:color w:val="FF0000"/>
          <w:sz w:val="24"/>
          <w:szCs w:val="24"/>
        </w:rPr>
        <w:t>（9）企业信用信息声明原件（必须提交，附上谈判公告发布之日起至截标时间止在“信用中国”网站(www.creditchina.gov.cn)、中国政府采购网(www.ccgp.gov.cn)等渠道查询的信用记录网页截图打印件作为附件）；</w:t>
      </w:r>
    </w:p>
    <w:p>
      <w:pPr>
        <w:pStyle w:val="16"/>
        <w:spacing w:line="420" w:lineRule="exact"/>
        <w:ind w:firstLine="482" w:firstLineChars="200"/>
        <w:rPr>
          <w:rFonts w:hAnsi="宋体"/>
          <w:b/>
          <w:sz w:val="24"/>
          <w:szCs w:val="24"/>
        </w:rPr>
      </w:pPr>
      <w:r>
        <w:rPr>
          <w:rFonts w:hAnsi="宋体"/>
          <w:b/>
          <w:sz w:val="24"/>
          <w:szCs w:val="24"/>
        </w:rPr>
        <w:t>1.2符合性审查内容</w:t>
      </w:r>
    </w:p>
    <w:p>
      <w:pPr>
        <w:pStyle w:val="16"/>
        <w:spacing w:line="420" w:lineRule="exact"/>
        <w:ind w:firstLine="480" w:firstLineChars="200"/>
        <w:rPr>
          <w:rFonts w:hAnsi="宋体"/>
          <w:sz w:val="24"/>
          <w:szCs w:val="24"/>
        </w:rPr>
      </w:pPr>
      <w:r>
        <w:rPr>
          <w:rFonts w:hAnsi="宋体"/>
          <w:sz w:val="24"/>
          <w:szCs w:val="24"/>
        </w:rPr>
        <w:t>在符合性审查时，竞标文件如有下列情况之一，将会在评审中按照无效竞标处理</w:t>
      </w:r>
    </w:p>
    <w:p>
      <w:pPr>
        <w:pStyle w:val="16"/>
        <w:snapToGrid w:val="0"/>
        <w:spacing w:line="440" w:lineRule="exact"/>
        <w:ind w:left="540"/>
        <w:rPr>
          <w:rFonts w:hAnsi="宋体"/>
          <w:sz w:val="24"/>
          <w:szCs w:val="24"/>
        </w:rPr>
      </w:pPr>
      <w:r>
        <w:rPr>
          <w:rFonts w:hint="eastAsia" w:hAnsi="宋体"/>
          <w:sz w:val="24"/>
          <w:szCs w:val="24"/>
        </w:rPr>
        <w:t>（1）</w:t>
      </w:r>
      <w:r>
        <w:rPr>
          <w:rFonts w:hAnsi="宋体"/>
          <w:sz w:val="24"/>
          <w:szCs w:val="24"/>
        </w:rPr>
        <w:t>竞标人未按规定向采购代理机构购买本项目谈判文件；</w:t>
      </w:r>
    </w:p>
    <w:p>
      <w:pPr>
        <w:pStyle w:val="16"/>
        <w:snapToGrid w:val="0"/>
        <w:spacing w:line="440" w:lineRule="exact"/>
        <w:ind w:left="540"/>
        <w:rPr>
          <w:rFonts w:hAnsi="宋体"/>
          <w:sz w:val="24"/>
          <w:szCs w:val="24"/>
        </w:rPr>
      </w:pPr>
      <w:r>
        <w:rPr>
          <w:rFonts w:hint="eastAsia" w:hAnsi="宋体"/>
          <w:sz w:val="24"/>
          <w:szCs w:val="24"/>
        </w:rPr>
        <w:t>（2）</w:t>
      </w:r>
      <w:r>
        <w:rPr>
          <w:rFonts w:hAnsi="宋体"/>
          <w:sz w:val="24"/>
          <w:szCs w:val="24"/>
        </w:rPr>
        <w:t>未按规定提交谈判保证金的；</w:t>
      </w:r>
    </w:p>
    <w:p>
      <w:pPr>
        <w:pStyle w:val="16"/>
        <w:snapToGrid w:val="0"/>
        <w:spacing w:line="440" w:lineRule="exact"/>
        <w:ind w:left="540"/>
        <w:rPr>
          <w:rFonts w:hAnsi="宋体"/>
          <w:sz w:val="24"/>
          <w:szCs w:val="24"/>
        </w:rPr>
      </w:pPr>
      <w:r>
        <w:rPr>
          <w:rFonts w:hint="eastAsia" w:hAnsi="宋体"/>
          <w:sz w:val="24"/>
          <w:szCs w:val="24"/>
        </w:rPr>
        <w:t>（3）</w:t>
      </w:r>
      <w:r>
        <w:rPr>
          <w:rFonts w:hAnsi="宋体"/>
          <w:sz w:val="24"/>
          <w:szCs w:val="24"/>
        </w:rPr>
        <w:t>未按照竞争性谈判文件规定要求密封、签署、盖章的；</w:t>
      </w:r>
    </w:p>
    <w:p>
      <w:pPr>
        <w:pStyle w:val="16"/>
        <w:snapToGrid w:val="0"/>
        <w:spacing w:line="440" w:lineRule="exact"/>
        <w:ind w:left="540"/>
        <w:rPr>
          <w:rFonts w:hAnsi="宋体"/>
          <w:sz w:val="24"/>
          <w:szCs w:val="24"/>
        </w:rPr>
      </w:pPr>
      <w:r>
        <w:rPr>
          <w:rFonts w:hint="eastAsia" w:hAnsi="宋体"/>
          <w:sz w:val="24"/>
          <w:szCs w:val="24"/>
        </w:rPr>
        <w:t>（4）</w:t>
      </w:r>
      <w:r>
        <w:rPr>
          <w:rFonts w:hAnsi="宋体"/>
          <w:sz w:val="24"/>
          <w:szCs w:val="24"/>
        </w:rPr>
        <w:t>竞标人所提供材料不足以证明其具备竞争性谈判文件中规定资格要求并且在谈判规定的时间内无法说明和补充的；</w:t>
      </w:r>
    </w:p>
    <w:p>
      <w:pPr>
        <w:pStyle w:val="16"/>
        <w:snapToGrid w:val="0"/>
        <w:spacing w:line="440" w:lineRule="exact"/>
        <w:ind w:firstLine="420"/>
        <w:rPr>
          <w:rFonts w:hAnsi="宋体"/>
          <w:sz w:val="24"/>
          <w:szCs w:val="24"/>
        </w:rPr>
      </w:pPr>
      <w:r>
        <w:rPr>
          <w:rFonts w:hAnsi="宋体"/>
          <w:sz w:val="24"/>
          <w:szCs w:val="24"/>
        </w:rPr>
        <w:t>（5）竞标人无法在规定时间内提供资格证明材料进行核对，或应谈判小组要求提供的有关材料原件与其在竞标文件中所提供的材料复印件不一致的；</w:t>
      </w:r>
    </w:p>
    <w:p>
      <w:pPr>
        <w:pStyle w:val="16"/>
        <w:snapToGrid w:val="0"/>
        <w:spacing w:line="440" w:lineRule="exact"/>
        <w:ind w:left="420"/>
        <w:rPr>
          <w:rFonts w:hAnsi="宋体"/>
          <w:sz w:val="24"/>
          <w:szCs w:val="24"/>
        </w:rPr>
      </w:pPr>
      <w:r>
        <w:rPr>
          <w:rFonts w:hAnsi="宋体"/>
          <w:sz w:val="24"/>
          <w:szCs w:val="24"/>
        </w:rPr>
        <w:t>（6）竞标有效期、交货时间、质保期等不能满足谈判文件要求的；</w:t>
      </w:r>
    </w:p>
    <w:p>
      <w:pPr>
        <w:pStyle w:val="16"/>
        <w:snapToGrid w:val="0"/>
        <w:spacing w:line="440" w:lineRule="exact"/>
        <w:ind w:left="420"/>
        <w:rPr>
          <w:rFonts w:hAnsi="宋体"/>
          <w:sz w:val="24"/>
          <w:szCs w:val="24"/>
        </w:rPr>
      </w:pPr>
      <w:r>
        <w:rPr>
          <w:rFonts w:hAnsi="宋体"/>
          <w:sz w:val="24"/>
          <w:szCs w:val="24"/>
        </w:rPr>
        <w:t>（7）不符合法律、法规和竞争性谈判文件中规定的其他实质性要求的。</w:t>
      </w:r>
    </w:p>
    <w:p>
      <w:pPr>
        <w:pStyle w:val="16"/>
        <w:spacing w:line="420" w:lineRule="exact"/>
        <w:ind w:firstLine="482" w:firstLineChars="200"/>
        <w:rPr>
          <w:rFonts w:hAnsi="宋体"/>
          <w:b/>
          <w:sz w:val="24"/>
          <w:szCs w:val="24"/>
        </w:rPr>
      </w:pPr>
      <w:r>
        <w:rPr>
          <w:rFonts w:hAnsi="宋体"/>
          <w:b/>
          <w:sz w:val="24"/>
          <w:szCs w:val="24"/>
        </w:rPr>
        <w:t>1.3技术评审：在技术评审时，如发现下列情形之一的，竞标文件将被视为无效：</w:t>
      </w:r>
    </w:p>
    <w:p>
      <w:pPr>
        <w:pStyle w:val="16"/>
        <w:snapToGrid w:val="0"/>
        <w:spacing w:line="440" w:lineRule="exact"/>
        <w:ind w:left="420"/>
        <w:rPr>
          <w:rFonts w:hAnsi="宋体"/>
          <w:sz w:val="24"/>
          <w:szCs w:val="24"/>
        </w:rPr>
      </w:pPr>
      <w:r>
        <w:rPr>
          <w:rFonts w:hAnsi="宋体"/>
          <w:sz w:val="24"/>
          <w:szCs w:val="24"/>
        </w:rPr>
        <w:t>（1）未提供或未如实提供竞标货物的技术参数，或者竞标文件标明的响应或偏离与事实不符或虚假竞标的；</w:t>
      </w:r>
    </w:p>
    <w:p>
      <w:pPr>
        <w:pStyle w:val="16"/>
        <w:snapToGrid w:val="0"/>
        <w:spacing w:line="440" w:lineRule="exact"/>
        <w:ind w:left="420"/>
        <w:rPr>
          <w:rFonts w:hAnsi="宋体"/>
          <w:sz w:val="24"/>
          <w:szCs w:val="24"/>
        </w:rPr>
      </w:pPr>
      <w:r>
        <w:rPr>
          <w:rFonts w:hAnsi="宋体"/>
          <w:sz w:val="24"/>
          <w:szCs w:val="24"/>
        </w:rPr>
        <w:t>（2）明显不符合谈判文件要求的规格型号、质量标准，或者与谈判文件中标“ ▲”或“★”的技术指标、主要功能项目发生实质性偏离的；</w:t>
      </w:r>
    </w:p>
    <w:p>
      <w:pPr>
        <w:pStyle w:val="16"/>
        <w:snapToGrid w:val="0"/>
        <w:spacing w:line="440" w:lineRule="exact"/>
        <w:ind w:left="420"/>
        <w:rPr>
          <w:rFonts w:hAnsi="宋体"/>
          <w:sz w:val="24"/>
          <w:szCs w:val="24"/>
        </w:rPr>
      </w:pPr>
      <w:r>
        <w:rPr>
          <w:rFonts w:hAnsi="宋体"/>
          <w:sz w:val="24"/>
          <w:szCs w:val="24"/>
        </w:rPr>
        <w:t>（3）允许偏离的技术、性能指标或者辅助功能项目发生负偏离达5项（含）以上的；</w:t>
      </w:r>
    </w:p>
    <w:p>
      <w:pPr>
        <w:pStyle w:val="16"/>
        <w:snapToGrid w:val="0"/>
        <w:spacing w:line="440" w:lineRule="exact"/>
        <w:ind w:left="420"/>
        <w:rPr>
          <w:rFonts w:hAnsi="宋体"/>
          <w:sz w:val="24"/>
          <w:szCs w:val="24"/>
        </w:rPr>
      </w:pPr>
      <w:r>
        <w:rPr>
          <w:rFonts w:hAnsi="宋体"/>
          <w:sz w:val="24"/>
          <w:szCs w:val="24"/>
        </w:rPr>
        <w:t>（4）竞标技术方案不明确，存在一个或一个以上备选（替代）竞标方案的；</w:t>
      </w:r>
    </w:p>
    <w:p>
      <w:pPr>
        <w:pStyle w:val="16"/>
        <w:snapToGrid w:val="0"/>
        <w:spacing w:line="440" w:lineRule="exact"/>
        <w:ind w:left="420"/>
        <w:rPr>
          <w:rFonts w:hAnsi="宋体"/>
          <w:sz w:val="24"/>
          <w:szCs w:val="24"/>
        </w:rPr>
      </w:pPr>
      <w:r>
        <w:rPr>
          <w:rFonts w:hAnsi="宋体"/>
          <w:sz w:val="24"/>
          <w:szCs w:val="24"/>
        </w:rPr>
        <w:t>（5）与其他参加本次竞标供应商的竞标文件（技</w:t>
      </w:r>
      <w:r>
        <w:rPr>
          <w:rFonts w:hint="eastAsia" w:hAnsi="宋体"/>
          <w:sz w:val="24"/>
          <w:szCs w:val="24"/>
        </w:rPr>
        <w:t>术</w:t>
      </w:r>
      <w:r>
        <w:rPr>
          <w:rFonts w:hAnsi="宋体"/>
          <w:sz w:val="24"/>
          <w:szCs w:val="24"/>
        </w:rPr>
        <w:t>文件</w:t>
      </w:r>
      <w:r>
        <w:rPr>
          <w:rFonts w:hint="eastAsia" w:hAnsi="宋体"/>
          <w:sz w:val="24"/>
          <w:szCs w:val="24"/>
        </w:rPr>
        <w:t>）的差错相同二处以上的</w:t>
      </w:r>
      <w:r>
        <w:rPr>
          <w:rFonts w:hAnsi="宋体"/>
          <w:sz w:val="24"/>
          <w:szCs w:val="24"/>
        </w:rPr>
        <w:t>。</w:t>
      </w:r>
    </w:p>
    <w:p>
      <w:pPr>
        <w:pStyle w:val="16"/>
        <w:spacing w:line="420" w:lineRule="exact"/>
        <w:ind w:firstLine="482" w:firstLineChars="200"/>
        <w:rPr>
          <w:rFonts w:hAnsi="宋体"/>
          <w:sz w:val="24"/>
          <w:szCs w:val="24"/>
        </w:rPr>
      </w:pPr>
      <w:r>
        <w:rPr>
          <w:rFonts w:hint="eastAsia" w:hAnsi="宋体"/>
          <w:b/>
          <w:bCs/>
          <w:sz w:val="24"/>
          <w:szCs w:val="24"/>
        </w:rPr>
        <w:t>1.4 在报价评审时，如发现下列情形之一的，竞标文件将被视为无效：</w:t>
      </w:r>
    </w:p>
    <w:p>
      <w:pPr>
        <w:pStyle w:val="16"/>
        <w:spacing w:line="420" w:lineRule="exact"/>
        <w:ind w:firstLine="480" w:firstLineChars="200"/>
        <w:rPr>
          <w:rFonts w:hAnsi="宋体"/>
          <w:sz w:val="24"/>
          <w:szCs w:val="24"/>
        </w:rPr>
      </w:pPr>
      <w:r>
        <w:rPr>
          <w:rFonts w:hint="eastAsia" w:hAnsi="宋体"/>
          <w:sz w:val="24"/>
          <w:szCs w:val="24"/>
        </w:rPr>
        <w:t>（1）未采用人民币报价或者未按照谈判文件标明的币种报价的；</w:t>
      </w:r>
    </w:p>
    <w:p>
      <w:pPr>
        <w:pStyle w:val="16"/>
        <w:spacing w:line="420" w:lineRule="exact"/>
        <w:ind w:firstLine="480" w:firstLineChars="200"/>
        <w:rPr>
          <w:rFonts w:hAnsi="宋体"/>
          <w:sz w:val="24"/>
          <w:szCs w:val="24"/>
        </w:rPr>
      </w:pPr>
      <w:r>
        <w:rPr>
          <w:rFonts w:hint="eastAsia" w:hAnsi="宋体"/>
          <w:sz w:val="24"/>
          <w:szCs w:val="24"/>
        </w:rPr>
        <w:t>（2）报价超出最高限价，或者超出采购预算金额，采购人不能支付的；</w:t>
      </w:r>
    </w:p>
    <w:p>
      <w:pPr>
        <w:pStyle w:val="16"/>
        <w:spacing w:line="420" w:lineRule="exact"/>
        <w:ind w:firstLine="480" w:firstLineChars="200"/>
        <w:rPr>
          <w:rFonts w:hAnsi="宋体"/>
          <w:sz w:val="24"/>
          <w:szCs w:val="24"/>
        </w:rPr>
      </w:pPr>
      <w:r>
        <w:rPr>
          <w:rFonts w:hint="eastAsia" w:hAnsi="宋体"/>
          <w:sz w:val="24"/>
          <w:szCs w:val="24"/>
        </w:rPr>
        <w:t>（3）竞标报价具有选择性，或者开标价格与竞标文件承诺的优惠（折扣）价格不一致的。</w:t>
      </w:r>
    </w:p>
    <w:p>
      <w:pPr>
        <w:pStyle w:val="16"/>
        <w:spacing w:line="420" w:lineRule="exact"/>
        <w:ind w:firstLine="482" w:firstLineChars="200"/>
        <w:rPr>
          <w:rFonts w:hAnsi="宋体"/>
          <w:b/>
          <w:bCs/>
          <w:sz w:val="24"/>
          <w:szCs w:val="24"/>
        </w:rPr>
      </w:pPr>
      <w:r>
        <w:rPr>
          <w:rFonts w:hAnsi="宋体"/>
          <w:b/>
          <w:bCs/>
          <w:sz w:val="24"/>
          <w:szCs w:val="24"/>
        </w:rPr>
        <w:t>1.5</w:t>
      </w:r>
      <w:r>
        <w:rPr>
          <w:rFonts w:hint="eastAsia" w:hAnsi="宋体"/>
          <w:b/>
          <w:bCs/>
          <w:sz w:val="24"/>
          <w:szCs w:val="24"/>
        </w:rPr>
        <w:t>谈判小组以竞争性谈判文件、竞标文件为评审依据，谈判小组应当从质量和服务均能满足采购文件实质性响应要求的供应商中，按照最后报价由低到高的顺序提出3名以上成交候选人，并编写评审报告。 采购代理机构应当在评审结束后2个工作日内将评审报告送采购人确认。采购人应当在收到评审报告后5个工作日内，从评审报告提出的成交候选人中，根据质量和服务均能满足采购文件实质性响应要求且最后报价最低的原则确定成交供应商。采购人逾期未确定成交供应商且不提出异议的，视为确定评审报告提出的最后报价最低的供应商为成交供应商。</w:t>
      </w:r>
    </w:p>
    <w:p>
      <w:pPr>
        <w:pStyle w:val="16"/>
        <w:spacing w:line="420" w:lineRule="exact"/>
        <w:ind w:firstLine="482" w:firstLineChars="200"/>
        <w:rPr>
          <w:rFonts w:hAnsi="宋体"/>
          <w:b/>
          <w:sz w:val="24"/>
          <w:szCs w:val="24"/>
        </w:rPr>
      </w:pPr>
      <w:r>
        <w:rPr>
          <w:rFonts w:hint="eastAsia" w:hAnsi="宋体"/>
          <w:b/>
          <w:sz w:val="24"/>
          <w:szCs w:val="24"/>
        </w:rPr>
        <w:t>政策功能折扣：</w:t>
      </w:r>
    </w:p>
    <w:p>
      <w:pPr>
        <w:pStyle w:val="16"/>
        <w:spacing w:line="420" w:lineRule="exact"/>
        <w:ind w:firstLine="480" w:firstLineChars="200"/>
        <w:rPr>
          <w:rFonts w:hAnsi="宋体"/>
          <w:b/>
          <w:sz w:val="24"/>
          <w:szCs w:val="24"/>
        </w:rPr>
      </w:pPr>
      <w:r>
        <w:rPr>
          <w:rFonts w:hint="eastAsia" w:hAnsi="宋体"/>
          <w:sz w:val="24"/>
          <w:szCs w:val="24"/>
        </w:rPr>
        <w:t>（1）小型和微型企业产品的价格给予</w:t>
      </w:r>
      <w:r>
        <w:rPr>
          <w:rFonts w:hint="eastAsia" w:hAnsi="宋体"/>
          <w:sz w:val="24"/>
          <w:szCs w:val="24"/>
          <w:u w:val="single"/>
        </w:rPr>
        <w:t xml:space="preserve"> 10 </w:t>
      </w:r>
      <w:r>
        <w:rPr>
          <w:rFonts w:hint="eastAsia" w:hAnsi="宋体"/>
          <w:sz w:val="24"/>
          <w:szCs w:val="24"/>
        </w:rPr>
        <w:t>%的扣除，用扣除后的价格参与评审。</w:t>
      </w:r>
      <w:r>
        <w:rPr>
          <w:rFonts w:hint="eastAsia" w:hAnsi="宋体"/>
          <w:bCs/>
          <w:sz w:val="24"/>
          <w:szCs w:val="24"/>
        </w:rPr>
        <w:t>｛依据《政府采购促进中小企业发展暂行办法》（财库【2011】181号）及桂财采【2012】3号文｝竞标人的竞标产品属于小型和微型企业产品的，价格给予10%的扣除。</w:t>
      </w:r>
      <w:r>
        <w:rPr>
          <w:rFonts w:hAnsi="宋体"/>
          <w:b/>
          <w:sz w:val="24"/>
          <w:szCs w:val="24"/>
        </w:rPr>
        <w:t>扣除后的价格为</w:t>
      </w:r>
      <w:r>
        <w:rPr>
          <w:rFonts w:hint="eastAsia" w:hAnsi="宋体"/>
          <w:b/>
          <w:sz w:val="24"/>
          <w:szCs w:val="24"/>
        </w:rPr>
        <w:t>政策折扣评审</w:t>
      </w:r>
      <w:r>
        <w:rPr>
          <w:rFonts w:hAnsi="宋体"/>
          <w:b/>
          <w:sz w:val="24"/>
          <w:szCs w:val="24"/>
        </w:rPr>
        <w:t>价，即</w:t>
      </w:r>
      <w:r>
        <w:rPr>
          <w:rFonts w:hint="eastAsia" w:hAnsi="宋体"/>
          <w:b/>
          <w:sz w:val="24"/>
          <w:szCs w:val="24"/>
        </w:rPr>
        <w:t>政策折扣报</w:t>
      </w:r>
      <w:r>
        <w:rPr>
          <w:rFonts w:hAnsi="宋体"/>
          <w:b/>
          <w:sz w:val="24"/>
          <w:szCs w:val="24"/>
        </w:rPr>
        <w:t>价=</w:t>
      </w:r>
      <w:r>
        <w:rPr>
          <w:rFonts w:hint="eastAsia" w:hAnsi="宋体"/>
          <w:b/>
          <w:sz w:val="24"/>
          <w:szCs w:val="24"/>
        </w:rPr>
        <w:t>最终竞标报价</w:t>
      </w:r>
      <w:r>
        <w:rPr>
          <w:rFonts w:hAnsi="宋体"/>
          <w:b/>
          <w:sz w:val="24"/>
          <w:szCs w:val="24"/>
        </w:rPr>
        <w:t>×（1-</w:t>
      </w:r>
      <w:r>
        <w:rPr>
          <w:rFonts w:hint="eastAsia" w:hAnsi="宋体"/>
          <w:b/>
          <w:sz w:val="24"/>
          <w:szCs w:val="24"/>
        </w:rPr>
        <w:t>10</w:t>
      </w:r>
      <w:r>
        <w:rPr>
          <w:rFonts w:hAnsi="宋体"/>
          <w:b/>
          <w:sz w:val="24"/>
          <w:szCs w:val="24"/>
        </w:rPr>
        <w:t>%）</w:t>
      </w:r>
      <w:r>
        <w:rPr>
          <w:rFonts w:hint="eastAsia" w:hAnsi="宋体"/>
          <w:b/>
          <w:sz w:val="24"/>
          <w:szCs w:val="24"/>
        </w:rPr>
        <w:t>；</w:t>
      </w:r>
    </w:p>
    <w:p>
      <w:pPr>
        <w:pStyle w:val="16"/>
        <w:spacing w:line="420" w:lineRule="exact"/>
        <w:ind w:firstLine="480" w:firstLineChars="200"/>
        <w:rPr>
          <w:rFonts w:hAnsi="宋体"/>
          <w:bCs/>
          <w:sz w:val="24"/>
          <w:szCs w:val="24"/>
        </w:rPr>
      </w:pPr>
      <w:r>
        <w:rPr>
          <w:rFonts w:hint="eastAsia" w:hAnsi="宋体"/>
          <w:sz w:val="24"/>
          <w:szCs w:val="24"/>
        </w:rPr>
        <w:t>（2</w:t>
      </w:r>
      <w:r>
        <w:rPr>
          <w:rFonts w:hAnsi="宋体"/>
          <w:sz w:val="24"/>
          <w:szCs w:val="24"/>
        </w:rPr>
        <w:t>）</w:t>
      </w:r>
      <w:r>
        <w:rPr>
          <w:rFonts w:hint="eastAsia" w:hAnsi="宋体"/>
          <w:sz w:val="24"/>
          <w:szCs w:val="24"/>
        </w:rPr>
        <w:t>竞标产品提供企业</w:t>
      </w:r>
      <w:r>
        <w:rPr>
          <w:rFonts w:hint="eastAsia" w:hAnsi="宋体"/>
          <w:bCs/>
          <w:sz w:val="24"/>
          <w:szCs w:val="24"/>
        </w:rPr>
        <w:t>按照《财政部、司法部关于政府采购支持监狱企业发展有关问题的通知》（财库〔2014〕68号）之规定，监狱企业视同小型、微型企业。监狱企业参加政府采购活动时，应当提供由省级以上监狱管理局、戒毒管理局（含新疆生产建设兵团）出具的属于监狱企业的证明文件；</w:t>
      </w:r>
    </w:p>
    <w:p>
      <w:pPr>
        <w:pStyle w:val="16"/>
        <w:spacing w:line="420" w:lineRule="exact"/>
        <w:ind w:firstLine="480" w:firstLineChars="200"/>
        <w:rPr>
          <w:rFonts w:hAnsi="宋体"/>
          <w:bCs/>
          <w:sz w:val="24"/>
          <w:szCs w:val="24"/>
        </w:rPr>
      </w:pPr>
      <w:r>
        <w:rPr>
          <w:rFonts w:hint="eastAsia" w:hAnsi="宋体"/>
          <w:bCs/>
          <w:sz w:val="24"/>
          <w:szCs w:val="24"/>
        </w:rPr>
        <w:t>（3）竞标产品提供单位按《关于促进残疾人就业政府采购政策的通知》(财库〔2017〕141号)认定为残疾人福利性单位的，在政府采购活动中，残疾人福利性单位视同小型、微型企业。符合条件的残疾人福利性单位在参加政府采购活动时，应当提供本通知规定的《残疾人福利性单位声明函》，并对声明的真实性负责。</w:t>
      </w:r>
    </w:p>
    <w:p>
      <w:pPr>
        <w:pStyle w:val="16"/>
        <w:spacing w:line="420" w:lineRule="exact"/>
        <w:ind w:firstLine="480" w:firstLineChars="200"/>
        <w:rPr>
          <w:rFonts w:hAnsi="宋体"/>
          <w:b/>
          <w:sz w:val="24"/>
          <w:szCs w:val="24"/>
        </w:rPr>
      </w:pPr>
      <w:r>
        <w:rPr>
          <w:rFonts w:hint="eastAsia" w:hAnsi="宋体"/>
          <w:sz w:val="24"/>
          <w:szCs w:val="24"/>
        </w:rPr>
        <w:t>（4）</w:t>
      </w:r>
      <w:r>
        <w:rPr>
          <w:rFonts w:hAnsi="宋体"/>
          <w:b/>
          <w:sz w:val="24"/>
          <w:szCs w:val="24"/>
        </w:rPr>
        <w:t>除上述情况外，</w:t>
      </w:r>
      <w:r>
        <w:rPr>
          <w:rFonts w:hint="eastAsia" w:hAnsi="宋体"/>
          <w:b/>
          <w:sz w:val="24"/>
          <w:szCs w:val="24"/>
        </w:rPr>
        <w:t>政策折扣报</w:t>
      </w:r>
      <w:r>
        <w:rPr>
          <w:rFonts w:hAnsi="宋体"/>
          <w:b/>
          <w:sz w:val="24"/>
          <w:szCs w:val="24"/>
        </w:rPr>
        <w:t>价=</w:t>
      </w:r>
      <w:r>
        <w:rPr>
          <w:rFonts w:hint="eastAsia" w:hAnsi="宋体"/>
          <w:b/>
          <w:sz w:val="24"/>
          <w:szCs w:val="24"/>
        </w:rPr>
        <w:t>最终竞标报价</w:t>
      </w:r>
      <w:r>
        <w:rPr>
          <w:rFonts w:hAnsi="宋体"/>
          <w:b/>
          <w:sz w:val="24"/>
          <w:szCs w:val="24"/>
        </w:rPr>
        <w:t>。</w:t>
      </w:r>
    </w:p>
    <w:p>
      <w:pPr>
        <w:pStyle w:val="16"/>
        <w:spacing w:line="420" w:lineRule="exact"/>
        <w:ind w:firstLine="482" w:firstLineChars="200"/>
        <w:rPr>
          <w:rFonts w:hAnsi="宋体"/>
          <w:b/>
          <w:bCs/>
          <w:sz w:val="24"/>
          <w:szCs w:val="24"/>
        </w:rPr>
      </w:pPr>
      <w:r>
        <w:rPr>
          <w:rFonts w:hint="eastAsia" w:hAnsi="宋体"/>
          <w:b/>
          <w:bCs/>
          <w:sz w:val="24"/>
          <w:szCs w:val="24"/>
        </w:rPr>
        <w:t>三、成交候选供应商推荐原则</w:t>
      </w:r>
    </w:p>
    <w:p>
      <w:pPr>
        <w:pStyle w:val="16"/>
        <w:spacing w:line="420" w:lineRule="exact"/>
        <w:ind w:firstLine="360" w:firstLineChars="150"/>
        <w:rPr>
          <w:rFonts w:hAnsi="宋体"/>
          <w:bCs/>
          <w:sz w:val="24"/>
          <w:szCs w:val="24"/>
        </w:rPr>
      </w:pPr>
      <w:r>
        <w:rPr>
          <w:rFonts w:hint="eastAsia" w:hAnsi="宋体"/>
          <w:bCs/>
          <w:sz w:val="24"/>
          <w:szCs w:val="24"/>
        </w:rPr>
        <w:t>（一）竞标产品符合采购需求、质量和服务相等时，谈判小组会将按</w:t>
      </w:r>
      <w:r>
        <w:rPr>
          <w:rFonts w:hint="eastAsia" w:hAnsi="宋体"/>
          <w:sz w:val="24"/>
          <w:szCs w:val="24"/>
        </w:rPr>
        <w:t>最终报价</w:t>
      </w:r>
      <w:r>
        <w:rPr>
          <w:rFonts w:hint="eastAsia" w:hAnsi="宋体"/>
          <w:bCs/>
          <w:sz w:val="24"/>
          <w:szCs w:val="24"/>
        </w:rPr>
        <w:t>由低到高顺序排列，并推荐最低</w:t>
      </w:r>
      <w:r>
        <w:rPr>
          <w:rFonts w:hint="eastAsia" w:hAnsi="宋体"/>
          <w:sz w:val="24"/>
          <w:szCs w:val="24"/>
        </w:rPr>
        <w:t>报价</w:t>
      </w:r>
      <w:r>
        <w:rPr>
          <w:rFonts w:hint="eastAsia" w:hAnsi="宋体"/>
          <w:bCs/>
          <w:sz w:val="24"/>
          <w:szCs w:val="24"/>
        </w:rPr>
        <w:t>的竞标人为成交候选供应商（最终竞标报价排序相同时，由谈判小组投票确定排序，并按得票由高到低的原则推荐成交候选供应商）。采购人应当确定谈判小组推荐排名第一的成交候选人为成交人。排名第一的成交候选人放弃成交、因不可抗力提出不能履行合同，或者竞争性谈判文件规定应当提交履约保证金而在规定的期限内未能提交的，采购人可以确定排名第二的成家候选人为成交人。排名第二的成交候选人因前款规定的同样原因不能签订合同的，采购人可以确定排名第三的成交候选人为成交人，其余以此类推。</w:t>
      </w:r>
    </w:p>
    <w:p>
      <w:pPr>
        <w:pStyle w:val="16"/>
        <w:spacing w:line="400" w:lineRule="exact"/>
        <w:ind w:firstLine="240" w:firstLineChars="100"/>
        <w:jc w:val="left"/>
        <w:rPr>
          <w:rFonts w:hAnsi="宋体"/>
          <w:bCs/>
          <w:sz w:val="24"/>
          <w:szCs w:val="24"/>
        </w:rPr>
      </w:pPr>
      <w:r>
        <w:rPr>
          <w:rFonts w:hint="eastAsia" w:hAnsi="宋体"/>
          <w:bCs/>
          <w:sz w:val="24"/>
          <w:szCs w:val="24"/>
        </w:rPr>
        <w:t>（二）谈判小组认为，某竞标人的有效最终竞标报价或者某些分项报价明显不合理或者低于成本，有可能影响商品质量和不能诚信履约的，应要求其在规定的期限内提供书面文件予以解释说明，并提交相关证明材料，否则，谈判小组可以取消该竞标人的成交候选资格，按顺序由排在后面的成交候选人递补，以此类推。</w:t>
      </w:r>
    </w:p>
    <w:p>
      <w:pPr>
        <w:pStyle w:val="16"/>
        <w:spacing w:line="400" w:lineRule="exact"/>
        <w:ind w:firstLine="118" w:firstLineChars="49"/>
        <w:jc w:val="left"/>
        <w:rPr>
          <w:rFonts w:hAnsi="宋体"/>
          <w:b/>
          <w:bCs/>
          <w:sz w:val="24"/>
          <w:szCs w:val="24"/>
        </w:rPr>
      </w:pPr>
      <w:r>
        <w:rPr>
          <w:rFonts w:hint="eastAsia" w:hAnsi="宋体"/>
          <w:b/>
          <w:bCs/>
          <w:sz w:val="24"/>
          <w:szCs w:val="24"/>
        </w:rPr>
        <w:t>四、特别说明</w:t>
      </w:r>
    </w:p>
    <w:p>
      <w:pPr>
        <w:pStyle w:val="16"/>
        <w:spacing w:line="400" w:lineRule="exact"/>
        <w:ind w:firstLine="480" w:firstLineChars="200"/>
        <w:jc w:val="left"/>
        <w:rPr>
          <w:rFonts w:hAnsi="宋体"/>
          <w:bCs/>
          <w:sz w:val="24"/>
          <w:szCs w:val="24"/>
        </w:rPr>
      </w:pPr>
      <w:r>
        <w:rPr>
          <w:rFonts w:hint="eastAsia" w:hAnsi="宋体"/>
          <w:bCs/>
          <w:sz w:val="24"/>
          <w:szCs w:val="24"/>
        </w:rPr>
        <w:t>谈判小组认为某竞标人的最终竞标报价明显低于其他通过符合性审查竞标人的最终竞标报价，有可能影响产品质量或者不能诚信履约的，应当要求其在谈判现场合理的时间内提供书面说明，必要时提交相关证明材料；竞标人不能证明其竞标报价合理性的，谈判小组应当将其作为无效竞标处理。</w:t>
      </w:r>
    </w:p>
    <w:p>
      <w:pPr>
        <w:rPr>
          <w:rFonts w:ascii="宋体" w:hAnsi="宋体"/>
          <w:sz w:val="24"/>
          <w:szCs w:val="24"/>
        </w:rPr>
      </w:pPr>
    </w:p>
    <w:p>
      <w:pPr>
        <w:pStyle w:val="2"/>
        <w:spacing w:before="100" w:beforeAutospacing="1" w:after="100" w:afterAutospacing="1" w:line="520" w:lineRule="exact"/>
        <w:rPr>
          <w:rFonts w:ascii="宋体" w:hAnsi="宋体" w:eastAsia="宋体"/>
          <w:sz w:val="44"/>
        </w:rPr>
      </w:pPr>
      <w:bookmarkStart w:id="278" w:name="_Toc340341954"/>
    </w:p>
    <w:p>
      <w:pPr>
        <w:rPr>
          <w:rFonts w:ascii="宋体" w:hAnsi="宋体"/>
          <w:sz w:val="44"/>
        </w:rPr>
      </w:pPr>
    </w:p>
    <w:p>
      <w:pPr>
        <w:rPr>
          <w:rFonts w:ascii="宋体" w:hAnsi="宋体"/>
          <w:sz w:val="44"/>
        </w:rPr>
      </w:pPr>
    </w:p>
    <w:p>
      <w:pPr>
        <w:rPr>
          <w:rFonts w:ascii="宋体" w:hAnsi="宋体"/>
          <w:sz w:val="44"/>
        </w:rPr>
      </w:pPr>
    </w:p>
    <w:p>
      <w:pPr>
        <w:pStyle w:val="2"/>
        <w:spacing w:before="100" w:beforeAutospacing="1" w:after="100" w:afterAutospacing="1" w:line="520" w:lineRule="exact"/>
        <w:rPr>
          <w:rFonts w:ascii="宋体" w:hAnsi="宋体" w:eastAsia="宋体"/>
          <w:sz w:val="44"/>
          <w:u w:val="single"/>
        </w:rPr>
      </w:pPr>
      <w:bookmarkStart w:id="279" w:name="_Toc6047136"/>
      <w:r>
        <w:rPr>
          <w:rFonts w:hint="eastAsia" w:ascii="宋体" w:hAnsi="宋体" w:eastAsia="宋体"/>
          <w:sz w:val="44"/>
        </w:rPr>
        <w:t>第五章  竞标文件（格式）</w:t>
      </w:r>
      <w:bookmarkEnd w:id="267"/>
      <w:bookmarkEnd w:id="268"/>
      <w:bookmarkEnd w:id="269"/>
      <w:bookmarkEnd w:id="278"/>
      <w:bookmarkEnd w:id="279"/>
    </w:p>
    <w:p>
      <w:pPr>
        <w:adjustRightInd w:val="0"/>
        <w:spacing w:line="312" w:lineRule="atLeast"/>
        <w:rPr>
          <w:rFonts w:ascii="宋体" w:hAnsi="宋体"/>
          <w:szCs w:val="21"/>
        </w:rPr>
      </w:pPr>
      <w:r>
        <w:rPr>
          <w:rFonts w:hint="eastAsia" w:ascii="宋体" w:hAnsi="宋体"/>
          <w:szCs w:val="21"/>
        </w:rPr>
        <w:t>（封面格式）</w:t>
      </w:r>
    </w:p>
    <w:p>
      <w:pPr>
        <w:adjustRightInd w:val="0"/>
        <w:spacing w:line="312" w:lineRule="atLeast"/>
        <w:rPr>
          <w:rFonts w:ascii="方正华隶简体" w:hAnsi="宋体" w:eastAsia="方正华隶简体"/>
        </w:rPr>
      </w:pPr>
    </w:p>
    <w:p>
      <w:pPr>
        <w:spacing w:line="780" w:lineRule="exact"/>
        <w:jc w:val="center"/>
        <w:rPr>
          <w:rFonts w:eastAsia="黑体"/>
          <w:sz w:val="36"/>
          <w:szCs w:val="36"/>
        </w:rPr>
      </w:pPr>
      <w:r>
        <w:rPr>
          <w:rFonts w:hint="eastAsia" w:eastAsia="黑体"/>
          <w:sz w:val="36"/>
          <w:szCs w:val="36"/>
        </w:rPr>
        <w:t>项目名称：</w:t>
      </w:r>
    </w:p>
    <w:p>
      <w:pPr>
        <w:spacing w:line="780" w:lineRule="exact"/>
        <w:jc w:val="center"/>
        <w:rPr>
          <w:rFonts w:eastAsia="黑体"/>
          <w:sz w:val="36"/>
          <w:szCs w:val="36"/>
        </w:rPr>
      </w:pPr>
      <w:r>
        <w:rPr>
          <w:rFonts w:hint="eastAsia" w:eastAsia="黑体"/>
          <w:sz w:val="36"/>
          <w:szCs w:val="36"/>
        </w:rPr>
        <w:t>项目编号：</w:t>
      </w:r>
    </w:p>
    <w:p>
      <w:pPr>
        <w:spacing w:line="780" w:lineRule="exact"/>
        <w:rPr>
          <w:rFonts w:eastAsia="黑体"/>
          <w:sz w:val="36"/>
          <w:szCs w:val="36"/>
        </w:rPr>
      </w:pPr>
      <w:r>
        <w:rPr>
          <w:rFonts w:hint="eastAsia" w:eastAsia="黑体"/>
          <w:sz w:val="36"/>
          <w:szCs w:val="36"/>
        </w:rPr>
        <w:t xml:space="preserve">                     标段号：</w:t>
      </w:r>
    </w:p>
    <w:p>
      <w:pPr>
        <w:rPr>
          <w:rFonts w:eastAsia="黑体"/>
          <w:sz w:val="28"/>
          <w:szCs w:val="28"/>
        </w:rPr>
      </w:pPr>
    </w:p>
    <w:p>
      <w:pPr>
        <w:jc w:val="center"/>
        <w:rPr>
          <w:rFonts w:eastAsia="黑体"/>
          <w:sz w:val="28"/>
          <w:szCs w:val="28"/>
        </w:rPr>
      </w:pPr>
      <w:r>
        <w:rPr>
          <w:rFonts w:hint="eastAsia" w:eastAsia="黑体"/>
          <w:sz w:val="84"/>
          <w:szCs w:val="84"/>
        </w:rPr>
        <w:t>竞标</w:t>
      </w:r>
      <w:r>
        <w:rPr>
          <w:rFonts w:eastAsia="黑体"/>
          <w:sz w:val="84"/>
          <w:szCs w:val="84"/>
        </w:rPr>
        <w:t>文件</w:t>
      </w:r>
    </w:p>
    <w:p>
      <w:pPr>
        <w:rPr>
          <w:rFonts w:eastAsia="黑体"/>
          <w:sz w:val="28"/>
          <w:szCs w:val="28"/>
        </w:rPr>
      </w:pPr>
    </w:p>
    <w:p>
      <w:pPr>
        <w:jc w:val="center"/>
        <w:rPr>
          <w:rFonts w:eastAsia="黑体"/>
          <w:sz w:val="44"/>
          <w:szCs w:val="44"/>
        </w:rPr>
      </w:pPr>
      <w:r>
        <w:rPr>
          <w:rFonts w:hint="eastAsia" w:eastAsia="黑体"/>
          <w:sz w:val="44"/>
          <w:szCs w:val="44"/>
        </w:rPr>
        <w:t>正本或副本</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spacing w:line="780" w:lineRule="exact"/>
        <w:ind w:firstLine="1080" w:firstLineChars="300"/>
        <w:rPr>
          <w:rFonts w:eastAsia="黑体"/>
          <w:sz w:val="36"/>
          <w:szCs w:val="36"/>
        </w:rPr>
      </w:pPr>
      <w:r>
        <w:rPr>
          <w:rFonts w:hint="eastAsia" w:eastAsia="黑体"/>
          <w:sz w:val="36"/>
          <w:szCs w:val="36"/>
        </w:rPr>
        <w:t>竞 标 人</w:t>
      </w:r>
      <w:r>
        <w:rPr>
          <w:rFonts w:eastAsia="黑体"/>
          <w:sz w:val="36"/>
          <w:szCs w:val="36"/>
        </w:rPr>
        <w:t>：</w:t>
      </w:r>
      <w:r>
        <w:rPr>
          <w:rFonts w:eastAsia="黑体"/>
          <w:sz w:val="36"/>
          <w:szCs w:val="36"/>
          <w:u w:val="single"/>
        </w:rPr>
        <w:t xml:space="preserve">     </w:t>
      </w:r>
      <w:r>
        <w:rPr>
          <w:rFonts w:hint="eastAsia" w:eastAsia="黑体"/>
          <w:sz w:val="36"/>
          <w:szCs w:val="36"/>
          <w:u w:val="single"/>
        </w:rPr>
        <w:t xml:space="preserve">              </w:t>
      </w:r>
      <w:r>
        <w:rPr>
          <w:rFonts w:eastAsia="黑体"/>
          <w:sz w:val="36"/>
          <w:szCs w:val="36"/>
        </w:rPr>
        <w:t>（盖单位章）</w:t>
      </w:r>
    </w:p>
    <w:p>
      <w:pPr>
        <w:spacing w:line="780" w:lineRule="exact"/>
        <w:ind w:firstLine="1080" w:firstLineChars="300"/>
        <w:rPr>
          <w:rFonts w:eastAsia="黑体"/>
          <w:sz w:val="36"/>
          <w:szCs w:val="36"/>
        </w:rPr>
      </w:pPr>
      <w:r>
        <w:rPr>
          <w:rFonts w:hint="eastAsia" w:eastAsia="黑体"/>
          <w:sz w:val="36"/>
          <w:szCs w:val="36"/>
        </w:rPr>
        <w:t>法定代表人或其委托代理人：</w:t>
      </w:r>
      <w:r>
        <w:rPr>
          <w:rFonts w:hint="eastAsia" w:eastAsia="黑体"/>
          <w:sz w:val="36"/>
          <w:szCs w:val="36"/>
          <w:u w:val="single"/>
        </w:rPr>
        <w:t xml:space="preserve">       </w:t>
      </w:r>
      <w:r>
        <w:rPr>
          <w:rFonts w:hint="eastAsia" w:ascii="宋体" w:hAnsi="宋体"/>
          <w:sz w:val="36"/>
          <w:szCs w:val="36"/>
        </w:rPr>
        <w:t>（签字）</w:t>
      </w:r>
    </w:p>
    <w:p>
      <w:pPr>
        <w:jc w:val="center"/>
        <w:rPr>
          <w:rFonts w:eastAsia="黑体"/>
          <w:sz w:val="36"/>
          <w:szCs w:val="36"/>
        </w:rPr>
      </w:pPr>
      <w:r>
        <w:rPr>
          <w:rFonts w:eastAsia="黑体"/>
          <w:sz w:val="36"/>
          <w:szCs w:val="36"/>
          <w:u w:val="single"/>
        </w:rPr>
        <w:t xml:space="preserve">    </w:t>
      </w:r>
      <w:r>
        <w:rPr>
          <w:rFonts w:eastAsia="黑体"/>
          <w:sz w:val="36"/>
          <w:szCs w:val="36"/>
        </w:rPr>
        <w:t>年</w:t>
      </w:r>
      <w:r>
        <w:rPr>
          <w:rFonts w:eastAsia="黑体"/>
          <w:sz w:val="36"/>
          <w:szCs w:val="36"/>
          <w:u w:val="single"/>
        </w:rPr>
        <w:t xml:space="preserve">   </w:t>
      </w:r>
      <w:r>
        <w:rPr>
          <w:rFonts w:eastAsia="黑体"/>
          <w:sz w:val="36"/>
          <w:szCs w:val="36"/>
        </w:rPr>
        <w:t>月</w:t>
      </w:r>
      <w:r>
        <w:rPr>
          <w:rFonts w:eastAsia="黑体"/>
          <w:sz w:val="36"/>
          <w:szCs w:val="36"/>
          <w:u w:val="single"/>
        </w:rPr>
        <w:t xml:space="preserve">   </w:t>
      </w:r>
      <w:r>
        <w:rPr>
          <w:rFonts w:eastAsia="黑体"/>
          <w:sz w:val="36"/>
          <w:szCs w:val="36"/>
        </w:rPr>
        <w:t>日</w:t>
      </w:r>
    </w:p>
    <w:p>
      <w:pPr>
        <w:rPr>
          <w:rFonts w:eastAsia="黑体"/>
          <w:sz w:val="36"/>
          <w:szCs w:val="36"/>
        </w:rPr>
      </w:pPr>
    </w:p>
    <w:p/>
    <w:p>
      <w:pPr>
        <w:pStyle w:val="16"/>
        <w:spacing w:line="500" w:lineRule="exact"/>
        <w:rPr>
          <w:rFonts w:hAnsi="宋体" w:cs="宋体"/>
        </w:rPr>
      </w:pPr>
      <w:r>
        <w:rPr>
          <w:rFonts w:hint="eastAsia" w:hAnsi="宋体" w:cs="宋体"/>
        </w:rPr>
        <w:t>（目录格式）</w:t>
      </w:r>
    </w:p>
    <w:p>
      <w:pPr>
        <w:spacing w:line="360" w:lineRule="auto"/>
        <w:rPr>
          <w:rFonts w:ascii="宋体" w:hAnsi="宋体" w:cs="宋体"/>
          <w:b/>
          <w:szCs w:val="21"/>
        </w:rPr>
      </w:pPr>
    </w:p>
    <w:p>
      <w:pPr>
        <w:spacing w:line="360" w:lineRule="auto"/>
        <w:jc w:val="center"/>
        <w:rPr>
          <w:rFonts w:ascii="宋体" w:hAnsi="宋体" w:cs="宋体"/>
          <w:b/>
          <w:sz w:val="44"/>
          <w:szCs w:val="44"/>
        </w:rPr>
      </w:pPr>
      <w:r>
        <w:rPr>
          <w:rFonts w:hint="eastAsia" w:ascii="宋体" w:hAnsi="宋体" w:cs="宋体"/>
          <w:b/>
          <w:sz w:val="44"/>
          <w:szCs w:val="44"/>
        </w:rPr>
        <w:t>目  录</w:t>
      </w:r>
    </w:p>
    <w:p>
      <w:pPr>
        <w:spacing w:line="380" w:lineRule="exact"/>
        <w:rPr>
          <w:rFonts w:ascii="宋体" w:hAnsi="宋体" w:cs="宋体"/>
          <w:b/>
          <w:szCs w:val="21"/>
        </w:rPr>
      </w:pPr>
    </w:p>
    <w:p>
      <w:pPr>
        <w:spacing w:line="360" w:lineRule="auto"/>
        <w:ind w:firstLine="560" w:firstLineChars="200"/>
        <w:rPr>
          <w:rFonts w:ascii="宋体" w:hAnsi="宋体" w:cs="宋体"/>
          <w:sz w:val="28"/>
          <w:szCs w:val="28"/>
        </w:rPr>
      </w:pPr>
      <w:r>
        <w:rPr>
          <w:rFonts w:hint="eastAsia" w:ascii="宋体" w:hAnsi="宋体" w:cs="宋体"/>
          <w:sz w:val="28"/>
          <w:szCs w:val="28"/>
        </w:rPr>
        <w:t>一、竞标函</w:t>
      </w:r>
    </w:p>
    <w:p>
      <w:pPr>
        <w:spacing w:line="360" w:lineRule="auto"/>
        <w:ind w:firstLine="560" w:firstLineChars="200"/>
        <w:rPr>
          <w:rFonts w:ascii="宋体" w:hAnsi="宋体" w:cs="宋体"/>
          <w:sz w:val="28"/>
          <w:szCs w:val="28"/>
        </w:rPr>
      </w:pPr>
      <w:r>
        <w:rPr>
          <w:rFonts w:hint="eastAsia" w:ascii="宋体" w:hAnsi="宋体" w:cs="宋体"/>
          <w:sz w:val="28"/>
          <w:szCs w:val="28"/>
        </w:rPr>
        <w:t>二、竞标保证金缴款凭证证明材料</w:t>
      </w:r>
    </w:p>
    <w:p>
      <w:pPr>
        <w:spacing w:line="360" w:lineRule="auto"/>
        <w:ind w:firstLine="560" w:firstLineChars="200"/>
        <w:rPr>
          <w:rFonts w:ascii="宋体" w:hAnsi="宋体" w:cs="宋体"/>
          <w:sz w:val="28"/>
          <w:szCs w:val="28"/>
        </w:rPr>
      </w:pPr>
      <w:r>
        <w:rPr>
          <w:rFonts w:hint="eastAsia" w:ascii="宋体" w:hAnsi="宋体" w:cs="宋体"/>
          <w:sz w:val="28"/>
          <w:szCs w:val="28"/>
        </w:rPr>
        <w:t>三、竞标报价表</w:t>
      </w:r>
    </w:p>
    <w:p>
      <w:pPr>
        <w:spacing w:line="360" w:lineRule="auto"/>
        <w:ind w:firstLine="560" w:firstLineChars="200"/>
        <w:rPr>
          <w:rFonts w:ascii="宋体" w:hAnsi="宋体" w:cs="宋体"/>
          <w:sz w:val="28"/>
          <w:szCs w:val="28"/>
        </w:rPr>
      </w:pPr>
      <w:r>
        <w:rPr>
          <w:rFonts w:hint="eastAsia" w:ascii="宋体" w:hAnsi="宋体" w:cs="宋体"/>
          <w:sz w:val="28"/>
          <w:szCs w:val="28"/>
        </w:rPr>
        <w:t>四、技术规格偏离表</w:t>
      </w:r>
    </w:p>
    <w:p>
      <w:pPr>
        <w:spacing w:line="360" w:lineRule="auto"/>
        <w:ind w:firstLine="560" w:firstLineChars="200"/>
        <w:rPr>
          <w:rFonts w:ascii="宋体" w:hAnsi="宋体" w:cs="宋体"/>
          <w:sz w:val="28"/>
          <w:szCs w:val="28"/>
        </w:rPr>
      </w:pPr>
      <w:r>
        <w:rPr>
          <w:rFonts w:hint="eastAsia" w:ascii="宋体" w:hAnsi="宋体" w:cs="宋体"/>
          <w:sz w:val="28"/>
          <w:szCs w:val="28"/>
        </w:rPr>
        <w:t>五、</w:t>
      </w:r>
      <w:r>
        <w:rPr>
          <w:rFonts w:hint="eastAsia" w:hAnsi="宋体" w:cs="宋体"/>
          <w:sz w:val="28"/>
          <w:szCs w:val="28"/>
        </w:rPr>
        <w:t>售后服务承诺书</w:t>
      </w:r>
    </w:p>
    <w:p>
      <w:pPr>
        <w:pStyle w:val="16"/>
        <w:spacing w:line="360" w:lineRule="auto"/>
        <w:ind w:firstLine="560" w:firstLineChars="200"/>
        <w:rPr>
          <w:rFonts w:hAnsi="宋体" w:cs="宋体"/>
          <w:sz w:val="28"/>
          <w:szCs w:val="28"/>
        </w:rPr>
      </w:pPr>
      <w:r>
        <w:rPr>
          <w:rFonts w:hint="eastAsia" w:hAnsi="宋体" w:cs="宋体"/>
          <w:sz w:val="28"/>
          <w:szCs w:val="28"/>
        </w:rPr>
        <w:t>六、资格证明文件</w:t>
      </w:r>
    </w:p>
    <w:p>
      <w:pPr>
        <w:pStyle w:val="16"/>
        <w:spacing w:line="360" w:lineRule="auto"/>
        <w:ind w:firstLine="560" w:firstLineChars="200"/>
        <w:rPr>
          <w:rFonts w:hAnsi="宋体" w:cs="宋体"/>
          <w:sz w:val="28"/>
          <w:szCs w:val="28"/>
        </w:rPr>
      </w:pPr>
      <w:r>
        <w:rPr>
          <w:rFonts w:hint="eastAsia" w:hAnsi="宋体" w:cs="宋体"/>
          <w:sz w:val="28"/>
          <w:szCs w:val="28"/>
        </w:rPr>
        <w:t>七、货物合格和竞争性谈判文件规定的证明文件</w:t>
      </w:r>
    </w:p>
    <w:p>
      <w:pPr>
        <w:pStyle w:val="16"/>
        <w:spacing w:line="360" w:lineRule="auto"/>
        <w:ind w:firstLine="560" w:firstLineChars="200"/>
        <w:rPr>
          <w:rFonts w:hAnsi="宋体" w:cs="宋体"/>
          <w:sz w:val="28"/>
          <w:szCs w:val="28"/>
        </w:rPr>
      </w:pPr>
      <w:r>
        <w:rPr>
          <w:rFonts w:hint="eastAsia" w:hAnsi="宋体" w:cs="宋体"/>
          <w:sz w:val="28"/>
          <w:szCs w:val="28"/>
        </w:rPr>
        <w:t>八、竞标人认为有必要提供的其它材料</w:t>
      </w:r>
    </w:p>
    <w:p>
      <w:pPr>
        <w:ind w:firstLine="560" w:firstLineChars="200"/>
        <w:rPr>
          <w:rFonts w:hAnsi="宋体" w:cs="宋体"/>
          <w:sz w:val="28"/>
          <w:szCs w:val="28"/>
        </w:rPr>
      </w:pPr>
    </w:p>
    <w:p>
      <w:pPr>
        <w:ind w:firstLine="560" w:firstLineChars="200"/>
        <w:rPr>
          <w:rFonts w:hAnsi="宋体" w:cs="宋体"/>
          <w:sz w:val="28"/>
          <w:szCs w:val="28"/>
        </w:rPr>
      </w:pPr>
    </w:p>
    <w:p>
      <w:pPr>
        <w:ind w:firstLine="560" w:firstLineChars="200"/>
        <w:rPr>
          <w:rFonts w:hAnsi="宋体" w:cs="宋体"/>
          <w:sz w:val="28"/>
          <w:szCs w:val="28"/>
        </w:rPr>
      </w:pPr>
    </w:p>
    <w:p>
      <w:pPr>
        <w:ind w:firstLine="560" w:firstLineChars="200"/>
        <w:rPr>
          <w:rFonts w:hAnsi="宋体" w:cs="宋体"/>
          <w:sz w:val="28"/>
          <w:szCs w:val="28"/>
        </w:rPr>
      </w:pPr>
    </w:p>
    <w:p>
      <w:pPr>
        <w:ind w:firstLine="560" w:firstLineChars="200"/>
        <w:rPr>
          <w:rFonts w:hAnsi="宋体" w:cs="宋体"/>
          <w:sz w:val="28"/>
          <w:szCs w:val="28"/>
        </w:rPr>
      </w:pPr>
    </w:p>
    <w:p>
      <w:pPr>
        <w:ind w:firstLine="560" w:firstLineChars="200"/>
        <w:rPr>
          <w:rFonts w:hAnsi="宋体" w:cs="宋体"/>
          <w:sz w:val="28"/>
          <w:szCs w:val="28"/>
        </w:rPr>
      </w:pPr>
    </w:p>
    <w:p>
      <w:pPr>
        <w:ind w:firstLine="560" w:firstLineChars="200"/>
        <w:rPr>
          <w:rFonts w:hAnsi="宋体" w:cs="宋体"/>
          <w:sz w:val="28"/>
          <w:szCs w:val="28"/>
        </w:rPr>
      </w:pPr>
    </w:p>
    <w:p>
      <w:pPr>
        <w:ind w:firstLine="560" w:firstLineChars="200"/>
        <w:rPr>
          <w:rFonts w:hAnsi="宋体" w:cs="宋体"/>
          <w:sz w:val="28"/>
          <w:szCs w:val="28"/>
        </w:rPr>
      </w:pPr>
    </w:p>
    <w:p>
      <w:pPr>
        <w:ind w:firstLine="560" w:firstLineChars="200"/>
        <w:rPr>
          <w:rFonts w:hAnsi="宋体" w:cs="宋体"/>
          <w:sz w:val="28"/>
          <w:szCs w:val="28"/>
        </w:rPr>
      </w:pPr>
    </w:p>
    <w:p>
      <w:pPr>
        <w:ind w:firstLine="560" w:firstLineChars="200"/>
        <w:rPr>
          <w:rFonts w:hAnsi="宋体" w:cs="宋体"/>
          <w:sz w:val="28"/>
          <w:szCs w:val="28"/>
        </w:rPr>
      </w:pPr>
    </w:p>
    <w:p>
      <w:pPr>
        <w:ind w:firstLine="560" w:firstLineChars="200"/>
        <w:rPr>
          <w:rFonts w:hAnsi="宋体" w:cs="宋体"/>
          <w:sz w:val="28"/>
          <w:szCs w:val="28"/>
        </w:rPr>
      </w:pPr>
    </w:p>
    <w:p>
      <w:pPr>
        <w:ind w:firstLine="560" w:firstLineChars="200"/>
        <w:rPr>
          <w:rFonts w:hAnsi="宋体" w:cs="宋体"/>
          <w:sz w:val="28"/>
          <w:szCs w:val="28"/>
        </w:rPr>
      </w:pPr>
    </w:p>
    <w:p>
      <w:pPr>
        <w:ind w:firstLine="560" w:firstLineChars="200"/>
        <w:rPr>
          <w:rFonts w:hAnsi="宋体" w:cs="宋体"/>
          <w:sz w:val="28"/>
          <w:szCs w:val="28"/>
        </w:rPr>
      </w:pPr>
    </w:p>
    <w:p>
      <w:pPr>
        <w:ind w:firstLine="420" w:firstLineChars="200"/>
      </w:pPr>
    </w:p>
    <w:p>
      <w:pPr>
        <w:ind w:firstLine="420" w:firstLineChars="200"/>
      </w:pPr>
    </w:p>
    <w:p>
      <w:pPr>
        <w:ind w:firstLine="420" w:firstLineChars="200"/>
      </w:pPr>
    </w:p>
    <w:p>
      <w:pPr>
        <w:ind w:firstLine="420" w:firstLineChars="200"/>
      </w:pPr>
    </w:p>
    <w:p/>
    <w:p>
      <w:pPr>
        <w:pStyle w:val="3"/>
        <w:numPr>
          <w:ilvl w:val="0"/>
          <w:numId w:val="3"/>
        </w:numPr>
        <w:jc w:val="center"/>
        <w:rPr>
          <w:rFonts w:ascii="宋体" w:hAnsi="宋体" w:eastAsia="宋体"/>
        </w:rPr>
      </w:pPr>
      <w:bookmarkStart w:id="280" w:name="_Toc219054963"/>
      <w:bookmarkStart w:id="281" w:name="_Toc340341955"/>
      <w:bookmarkStart w:id="282" w:name="_Toc6047137"/>
      <w:r>
        <w:rPr>
          <w:rFonts w:hint="eastAsia"/>
        </w:rPr>
        <w:t>竞 标 函（格 式）</w:t>
      </w:r>
      <w:bookmarkEnd w:id="280"/>
      <w:bookmarkEnd w:id="281"/>
      <w:bookmarkEnd w:id="282"/>
    </w:p>
    <w:p>
      <w:pPr>
        <w:pStyle w:val="16"/>
        <w:spacing w:line="420" w:lineRule="exact"/>
        <w:rPr>
          <w:rFonts w:hAnsi="宋体"/>
          <w:sz w:val="24"/>
          <w:szCs w:val="24"/>
        </w:rPr>
      </w:pPr>
      <w:r>
        <w:rPr>
          <w:rFonts w:hint="eastAsia" w:hAnsi="宋体"/>
          <w:sz w:val="24"/>
          <w:szCs w:val="24"/>
        </w:rPr>
        <w:t>致：</w:t>
      </w:r>
      <w:r>
        <w:rPr>
          <w:rFonts w:hint="eastAsia" w:hAnsi="宋体"/>
          <w:sz w:val="24"/>
          <w:szCs w:val="24"/>
          <w:u w:val="single"/>
        </w:rPr>
        <w:t>广西元强建设项目管理有限公司</w:t>
      </w:r>
      <w:r>
        <w:rPr>
          <w:rFonts w:hint="eastAsia" w:hAnsi="宋体"/>
          <w:sz w:val="24"/>
          <w:szCs w:val="24"/>
        </w:rPr>
        <w:t xml:space="preserve">   </w:t>
      </w:r>
    </w:p>
    <w:p>
      <w:pPr>
        <w:pStyle w:val="16"/>
        <w:spacing w:line="420" w:lineRule="exact"/>
        <w:ind w:left="210" w:leftChars="100" w:firstLine="480" w:firstLineChars="200"/>
        <w:rPr>
          <w:rFonts w:hAnsi="宋体"/>
          <w:sz w:val="24"/>
          <w:szCs w:val="24"/>
        </w:rPr>
      </w:pPr>
      <w:r>
        <w:rPr>
          <w:rFonts w:hint="eastAsia" w:hAnsi="宋体"/>
          <w:sz w:val="24"/>
          <w:szCs w:val="24"/>
        </w:rPr>
        <w:t>根据贵方</w:t>
      </w:r>
      <w:r>
        <w:rPr>
          <w:rFonts w:hint="eastAsia" w:hAnsi="宋体"/>
          <w:sz w:val="24"/>
          <w:szCs w:val="24"/>
          <w:u w:val="single"/>
        </w:rPr>
        <w:t>应急救援装备采购</w:t>
      </w:r>
      <w:r>
        <w:rPr>
          <w:rFonts w:hint="eastAsia" w:hAnsi="宋体"/>
          <w:sz w:val="24"/>
          <w:szCs w:val="24"/>
        </w:rPr>
        <w:t>项目竞争性谈判文件，项目编号</w:t>
      </w:r>
      <w:r>
        <w:rPr>
          <w:rFonts w:hAnsi="宋体"/>
          <w:sz w:val="24"/>
          <w:szCs w:val="24"/>
          <w:u w:val="single"/>
        </w:rPr>
        <w:t>BSZC20</w:t>
      </w:r>
      <w:r>
        <w:rPr>
          <w:rFonts w:hint="eastAsia" w:hAnsi="宋体"/>
          <w:sz w:val="24"/>
          <w:szCs w:val="24"/>
          <w:u w:val="single"/>
        </w:rPr>
        <w:t>20</w:t>
      </w:r>
      <w:r>
        <w:rPr>
          <w:rFonts w:hAnsi="宋体"/>
          <w:sz w:val="24"/>
          <w:szCs w:val="24"/>
          <w:u w:val="single"/>
        </w:rPr>
        <w:t>-J1-</w:t>
      </w:r>
      <w:r>
        <w:rPr>
          <w:rFonts w:hint="eastAsia" w:hAnsi="宋体"/>
          <w:sz w:val="24"/>
          <w:szCs w:val="24"/>
          <w:u w:val="single"/>
        </w:rPr>
        <w:t>210366</w:t>
      </w:r>
      <w:r>
        <w:rPr>
          <w:rFonts w:hAnsi="宋体"/>
          <w:sz w:val="24"/>
          <w:szCs w:val="24"/>
          <w:u w:val="single"/>
        </w:rPr>
        <w:t>-</w:t>
      </w:r>
      <w:r>
        <w:rPr>
          <w:rFonts w:hint="eastAsia" w:hAnsi="宋体"/>
          <w:sz w:val="24"/>
          <w:szCs w:val="24"/>
          <w:u w:val="single"/>
        </w:rPr>
        <w:t>GXYQ</w:t>
      </w:r>
      <w:r>
        <w:rPr>
          <w:rFonts w:hint="eastAsia" w:hAnsi="宋体"/>
          <w:sz w:val="24"/>
          <w:szCs w:val="24"/>
        </w:rPr>
        <w:t>，正式授权下述签字人</w:t>
      </w:r>
      <w:r>
        <w:rPr>
          <w:rFonts w:hint="eastAsia" w:hAnsi="宋体"/>
          <w:sz w:val="24"/>
          <w:szCs w:val="24"/>
          <w:u w:val="single"/>
        </w:rPr>
        <w:t xml:space="preserve">           </w:t>
      </w:r>
      <w:r>
        <w:rPr>
          <w:rFonts w:hint="eastAsia" w:hAnsi="宋体"/>
          <w:sz w:val="24"/>
          <w:szCs w:val="24"/>
        </w:rPr>
        <w:t>（姓名和职务）代表竞标人</w:t>
      </w:r>
      <w:r>
        <w:rPr>
          <w:rFonts w:hint="eastAsia" w:hAnsi="宋体"/>
          <w:sz w:val="24"/>
          <w:szCs w:val="24"/>
          <w:u w:val="single"/>
        </w:rPr>
        <w:t xml:space="preserve">   （竞标人单位名称）</w:t>
      </w:r>
      <w:r>
        <w:rPr>
          <w:rFonts w:hint="eastAsia" w:hAnsi="宋体"/>
          <w:sz w:val="24"/>
          <w:szCs w:val="24"/>
        </w:rPr>
        <w:t>，提交下述文件正本壹份，副本叁份。</w:t>
      </w:r>
    </w:p>
    <w:p>
      <w:pPr>
        <w:pStyle w:val="16"/>
        <w:spacing w:line="420" w:lineRule="exact"/>
        <w:ind w:left="101" w:leftChars="48" w:firstLine="595" w:firstLineChars="248"/>
        <w:rPr>
          <w:rFonts w:hAnsi="宋体"/>
          <w:sz w:val="24"/>
          <w:szCs w:val="24"/>
        </w:rPr>
      </w:pPr>
      <w:r>
        <w:rPr>
          <w:rFonts w:hint="eastAsia" w:hAnsi="宋体"/>
          <w:sz w:val="24"/>
          <w:szCs w:val="24"/>
        </w:rPr>
        <w:t>一、竞标报价表</w:t>
      </w:r>
    </w:p>
    <w:p>
      <w:pPr>
        <w:pStyle w:val="16"/>
        <w:spacing w:line="420" w:lineRule="exact"/>
        <w:ind w:left="101" w:leftChars="48" w:firstLine="595" w:firstLineChars="248"/>
        <w:rPr>
          <w:rFonts w:hAnsi="宋体"/>
          <w:sz w:val="24"/>
          <w:szCs w:val="24"/>
        </w:rPr>
      </w:pPr>
      <w:r>
        <w:rPr>
          <w:rFonts w:hint="eastAsia" w:hAnsi="宋体"/>
          <w:sz w:val="24"/>
          <w:szCs w:val="24"/>
        </w:rPr>
        <w:t>二、售后服务承诺书</w:t>
      </w:r>
    </w:p>
    <w:p>
      <w:pPr>
        <w:pStyle w:val="16"/>
        <w:spacing w:line="420" w:lineRule="exact"/>
        <w:ind w:left="101" w:leftChars="48" w:firstLine="595" w:firstLineChars="248"/>
        <w:rPr>
          <w:rFonts w:hAnsi="宋体"/>
          <w:sz w:val="24"/>
          <w:szCs w:val="24"/>
        </w:rPr>
      </w:pPr>
      <w:r>
        <w:rPr>
          <w:rFonts w:hint="eastAsia" w:hAnsi="宋体"/>
          <w:sz w:val="24"/>
          <w:szCs w:val="24"/>
        </w:rPr>
        <w:t>三、资格证明文件和竞标人须知第12条和第13条款要求竞标人提交的全部文件。</w:t>
      </w:r>
    </w:p>
    <w:p>
      <w:pPr>
        <w:pStyle w:val="16"/>
        <w:spacing w:line="420" w:lineRule="exact"/>
        <w:ind w:left="101" w:leftChars="48" w:firstLine="600" w:firstLineChars="250"/>
        <w:rPr>
          <w:rFonts w:hAnsi="宋体"/>
          <w:sz w:val="24"/>
          <w:szCs w:val="24"/>
        </w:rPr>
      </w:pPr>
      <w:r>
        <w:rPr>
          <w:rFonts w:hint="eastAsia" w:hAnsi="宋体"/>
          <w:sz w:val="24"/>
          <w:szCs w:val="24"/>
        </w:rPr>
        <w:t>四、竞标人基本情况登记表</w:t>
      </w:r>
    </w:p>
    <w:p>
      <w:pPr>
        <w:pStyle w:val="16"/>
        <w:spacing w:line="420" w:lineRule="exact"/>
        <w:ind w:left="101" w:leftChars="48" w:firstLine="595" w:firstLineChars="248"/>
        <w:rPr>
          <w:rFonts w:hAnsi="宋体"/>
          <w:sz w:val="24"/>
          <w:szCs w:val="24"/>
        </w:rPr>
      </w:pPr>
      <w:r>
        <w:rPr>
          <w:rFonts w:hint="eastAsia" w:hAnsi="宋体"/>
          <w:sz w:val="24"/>
          <w:szCs w:val="24"/>
        </w:rPr>
        <w:t>据此函，签字人兹宣布同意如下：</w:t>
      </w:r>
    </w:p>
    <w:p>
      <w:pPr>
        <w:pStyle w:val="16"/>
        <w:spacing w:line="420" w:lineRule="exact"/>
        <w:ind w:firstLine="480" w:firstLineChars="200"/>
        <w:rPr>
          <w:rFonts w:hAnsi="宋体"/>
          <w:sz w:val="24"/>
          <w:szCs w:val="24"/>
        </w:rPr>
      </w:pPr>
      <w:r>
        <w:rPr>
          <w:rFonts w:hint="eastAsia" w:hAnsi="宋体"/>
          <w:sz w:val="24"/>
          <w:szCs w:val="24"/>
        </w:rPr>
        <w:t>1.按竞争性谈判文件货物需求一览表和竞标报价表，竞标报价如下：</w:t>
      </w:r>
    </w:p>
    <w:p>
      <w:pPr>
        <w:pStyle w:val="16"/>
        <w:spacing w:line="400" w:lineRule="exact"/>
        <w:ind w:firstLine="720" w:firstLineChars="300"/>
        <w:rPr>
          <w:rFonts w:hAnsi="宋体"/>
          <w:b/>
          <w:sz w:val="24"/>
          <w:szCs w:val="24"/>
        </w:rPr>
      </w:pPr>
      <w:r>
        <w:rPr>
          <w:rFonts w:hint="eastAsia" w:hAnsi="宋体"/>
          <w:sz w:val="24"/>
          <w:szCs w:val="24"/>
        </w:rPr>
        <w:t>竞标报价</w:t>
      </w:r>
      <w:r>
        <w:rPr>
          <w:rFonts w:hint="eastAsia" w:hAnsi="宋体"/>
          <w:sz w:val="24"/>
          <w:szCs w:val="24"/>
          <w:u w:val="single"/>
        </w:rPr>
        <w:t xml:space="preserve">               （￥        ）</w:t>
      </w:r>
      <w:r>
        <w:rPr>
          <w:rFonts w:hint="eastAsia" w:hAnsi="宋体"/>
          <w:sz w:val="24"/>
          <w:szCs w:val="24"/>
        </w:rPr>
        <w:t>，交货期</w:t>
      </w:r>
      <w:r>
        <w:rPr>
          <w:rFonts w:hint="eastAsia" w:hAnsi="宋体"/>
          <w:sz w:val="24"/>
          <w:szCs w:val="24"/>
          <w:u w:val="single"/>
        </w:rPr>
        <w:t xml:space="preserve">         </w:t>
      </w:r>
      <w:r>
        <w:rPr>
          <w:rFonts w:hint="eastAsia" w:hAnsi="宋体"/>
          <w:sz w:val="24"/>
          <w:szCs w:val="24"/>
        </w:rPr>
        <w:t>，质保期</w:t>
      </w:r>
      <w:r>
        <w:rPr>
          <w:rFonts w:hint="eastAsia" w:hAnsi="宋体"/>
          <w:sz w:val="24"/>
          <w:szCs w:val="24"/>
          <w:u w:val="single"/>
        </w:rPr>
        <w:t xml:space="preserve">         </w:t>
      </w:r>
      <w:r>
        <w:rPr>
          <w:rFonts w:hint="eastAsia" w:hAnsi="宋体"/>
          <w:sz w:val="24"/>
          <w:szCs w:val="24"/>
        </w:rPr>
        <w:t>。</w:t>
      </w:r>
    </w:p>
    <w:p>
      <w:pPr>
        <w:pStyle w:val="16"/>
        <w:spacing w:line="420" w:lineRule="exact"/>
        <w:ind w:firstLine="480" w:firstLineChars="200"/>
        <w:rPr>
          <w:rFonts w:hAnsi="宋体"/>
          <w:sz w:val="24"/>
          <w:szCs w:val="24"/>
        </w:rPr>
      </w:pPr>
      <w:r>
        <w:rPr>
          <w:rFonts w:hint="eastAsia" w:hAnsi="宋体"/>
          <w:sz w:val="24"/>
          <w:szCs w:val="24"/>
        </w:rPr>
        <w:t>2.我方同意在竞标人须知规定的截止日期起遵循本竞争性谈判文件，在竞标人须知第14条规定的竞标有效期满之前均具有约束力，并按时到场参加竞标。</w:t>
      </w:r>
    </w:p>
    <w:p>
      <w:pPr>
        <w:pStyle w:val="16"/>
        <w:spacing w:line="420" w:lineRule="exact"/>
        <w:ind w:firstLine="480" w:firstLineChars="200"/>
        <w:rPr>
          <w:rFonts w:hAnsi="宋体"/>
          <w:sz w:val="24"/>
          <w:szCs w:val="24"/>
        </w:rPr>
      </w:pPr>
      <w:r>
        <w:rPr>
          <w:rFonts w:hint="eastAsia" w:hAnsi="宋体"/>
          <w:sz w:val="24"/>
          <w:szCs w:val="24"/>
        </w:rPr>
        <w:t>3.我方承诺已经具备《中华人民共和国政府采购法》中规定的参加政府采购活动的供应商应当具备的条件：</w:t>
      </w:r>
    </w:p>
    <w:p>
      <w:pPr>
        <w:pStyle w:val="16"/>
        <w:spacing w:line="420" w:lineRule="exact"/>
        <w:ind w:firstLine="480" w:firstLineChars="200"/>
        <w:rPr>
          <w:rFonts w:hAnsi="宋体"/>
          <w:sz w:val="24"/>
          <w:szCs w:val="24"/>
        </w:rPr>
      </w:pPr>
      <w:r>
        <w:rPr>
          <w:rFonts w:hint="eastAsia" w:hAnsi="宋体"/>
          <w:sz w:val="24"/>
          <w:szCs w:val="24"/>
        </w:rPr>
        <w:t>（1）具有独立承担民事责任的能力；</w:t>
      </w:r>
    </w:p>
    <w:p>
      <w:pPr>
        <w:pStyle w:val="16"/>
        <w:spacing w:line="420" w:lineRule="exact"/>
        <w:ind w:firstLine="480" w:firstLineChars="200"/>
        <w:rPr>
          <w:rFonts w:hAnsi="宋体"/>
          <w:sz w:val="24"/>
          <w:szCs w:val="24"/>
        </w:rPr>
      </w:pPr>
      <w:r>
        <w:rPr>
          <w:rFonts w:hint="eastAsia" w:hAnsi="宋体"/>
          <w:sz w:val="24"/>
          <w:szCs w:val="24"/>
        </w:rPr>
        <w:t>（2）具有良好的商业信誉和健全的财务会计制度；</w:t>
      </w:r>
    </w:p>
    <w:p>
      <w:pPr>
        <w:pStyle w:val="16"/>
        <w:spacing w:line="420" w:lineRule="exact"/>
        <w:ind w:firstLine="480" w:firstLineChars="200"/>
        <w:rPr>
          <w:rFonts w:hAnsi="宋体"/>
          <w:sz w:val="24"/>
          <w:szCs w:val="24"/>
        </w:rPr>
      </w:pPr>
      <w:r>
        <w:rPr>
          <w:rFonts w:hint="eastAsia" w:hAnsi="宋体"/>
          <w:sz w:val="24"/>
          <w:szCs w:val="24"/>
        </w:rPr>
        <w:t>（3）具有履行合同所必需的设备和专业技术能力；</w:t>
      </w:r>
    </w:p>
    <w:p>
      <w:pPr>
        <w:pStyle w:val="16"/>
        <w:spacing w:line="420" w:lineRule="exact"/>
        <w:ind w:firstLine="480" w:firstLineChars="200"/>
        <w:rPr>
          <w:rFonts w:hAnsi="宋体"/>
          <w:sz w:val="24"/>
          <w:szCs w:val="24"/>
        </w:rPr>
      </w:pPr>
      <w:r>
        <w:rPr>
          <w:rFonts w:hint="eastAsia" w:hAnsi="宋体"/>
          <w:sz w:val="24"/>
          <w:szCs w:val="24"/>
        </w:rPr>
        <w:t>（4）有依法缴纳税收和社会保障资金的良好记录；</w:t>
      </w:r>
    </w:p>
    <w:p>
      <w:pPr>
        <w:pStyle w:val="16"/>
        <w:spacing w:line="420" w:lineRule="exact"/>
        <w:ind w:firstLine="480" w:firstLineChars="200"/>
        <w:rPr>
          <w:rFonts w:hAnsi="宋体"/>
          <w:sz w:val="24"/>
          <w:szCs w:val="24"/>
        </w:rPr>
      </w:pPr>
      <w:r>
        <w:rPr>
          <w:rFonts w:hint="eastAsia" w:hAnsi="宋体"/>
          <w:sz w:val="24"/>
          <w:szCs w:val="24"/>
        </w:rPr>
        <w:t>（5）参加此项采购活动前三年内，在经营活动中没有重大违法记录。</w:t>
      </w:r>
    </w:p>
    <w:p>
      <w:pPr>
        <w:pStyle w:val="16"/>
        <w:spacing w:line="420" w:lineRule="exact"/>
        <w:ind w:firstLine="480" w:firstLineChars="200"/>
        <w:rPr>
          <w:rFonts w:hAnsi="宋体"/>
          <w:sz w:val="24"/>
          <w:szCs w:val="24"/>
        </w:rPr>
      </w:pPr>
      <w:r>
        <w:rPr>
          <w:rFonts w:hint="eastAsia" w:hAnsi="宋体"/>
          <w:sz w:val="24"/>
          <w:szCs w:val="24"/>
        </w:rPr>
        <w:t>4.我方根据竞争性谈判文件的规定，承担完成合同的责任和义务。</w:t>
      </w:r>
    </w:p>
    <w:p>
      <w:pPr>
        <w:pStyle w:val="16"/>
        <w:spacing w:line="420" w:lineRule="exact"/>
        <w:ind w:firstLine="480" w:firstLineChars="200"/>
        <w:rPr>
          <w:rFonts w:hAnsi="宋体"/>
          <w:sz w:val="24"/>
          <w:szCs w:val="24"/>
        </w:rPr>
      </w:pPr>
      <w:r>
        <w:rPr>
          <w:rFonts w:hint="eastAsia" w:hAnsi="宋体"/>
          <w:sz w:val="24"/>
          <w:szCs w:val="24"/>
        </w:rPr>
        <w:t>5.我方已详细审核竞争性谈判文件，我方知道必须放弃提出含糊不清或误解问题的权利。</w:t>
      </w:r>
    </w:p>
    <w:p>
      <w:pPr>
        <w:pStyle w:val="16"/>
        <w:spacing w:line="420" w:lineRule="exact"/>
        <w:ind w:firstLine="480" w:firstLineChars="200"/>
        <w:rPr>
          <w:rFonts w:hAnsi="宋体"/>
          <w:sz w:val="24"/>
          <w:szCs w:val="24"/>
        </w:rPr>
      </w:pPr>
      <w:r>
        <w:rPr>
          <w:rFonts w:hint="eastAsia" w:hAnsi="宋体"/>
          <w:sz w:val="24"/>
          <w:szCs w:val="24"/>
        </w:rPr>
        <w:t>6.如果在竞标截止时间后的竞标有效期内撤回竞标或者有其他违约行为，我方的竞标保证金可被贵方全部没收。</w:t>
      </w:r>
    </w:p>
    <w:p>
      <w:pPr>
        <w:pStyle w:val="16"/>
        <w:spacing w:line="420" w:lineRule="exact"/>
        <w:ind w:firstLine="480" w:firstLineChars="200"/>
        <w:rPr>
          <w:rFonts w:hAnsi="宋体"/>
          <w:sz w:val="24"/>
          <w:szCs w:val="24"/>
        </w:rPr>
      </w:pPr>
      <w:r>
        <w:rPr>
          <w:rFonts w:hint="eastAsia" w:hAnsi="宋体"/>
          <w:sz w:val="24"/>
          <w:szCs w:val="24"/>
        </w:rPr>
        <w:t>7.同意向贵方提供贵方可能要求的与本竞标有关的任何数据或资料。</w:t>
      </w:r>
    </w:p>
    <w:p>
      <w:pPr>
        <w:pStyle w:val="16"/>
        <w:spacing w:line="420" w:lineRule="exact"/>
        <w:ind w:firstLine="480" w:firstLineChars="200"/>
        <w:rPr>
          <w:rFonts w:hAnsi="宋体"/>
          <w:sz w:val="24"/>
          <w:szCs w:val="24"/>
        </w:rPr>
      </w:pPr>
      <w:r>
        <w:rPr>
          <w:rFonts w:hint="eastAsia" w:hAnsi="宋体"/>
          <w:sz w:val="24"/>
          <w:szCs w:val="24"/>
        </w:rPr>
        <w:t>8.我方完全理解贵方不一定要接受最低报价的竞标人为成交人。</w:t>
      </w:r>
    </w:p>
    <w:p>
      <w:pPr>
        <w:pStyle w:val="16"/>
        <w:spacing w:line="420" w:lineRule="exact"/>
        <w:ind w:firstLine="480" w:firstLineChars="200"/>
        <w:rPr>
          <w:rFonts w:hAnsi="宋体"/>
          <w:sz w:val="24"/>
          <w:szCs w:val="24"/>
        </w:rPr>
      </w:pPr>
      <w:r>
        <w:rPr>
          <w:rFonts w:hint="eastAsia" w:hAnsi="宋体"/>
          <w:sz w:val="24"/>
          <w:szCs w:val="24"/>
        </w:rPr>
        <w:t>9.若贵方需要，我方愿意提供我方作出的一切承诺的证明材料。</w:t>
      </w:r>
    </w:p>
    <w:p>
      <w:pPr>
        <w:pStyle w:val="16"/>
        <w:spacing w:line="420" w:lineRule="exact"/>
        <w:ind w:firstLine="480" w:firstLineChars="200"/>
        <w:rPr>
          <w:rFonts w:hAnsi="宋体"/>
          <w:sz w:val="24"/>
          <w:szCs w:val="24"/>
        </w:rPr>
      </w:pPr>
      <w:r>
        <w:rPr>
          <w:rFonts w:hint="eastAsia" w:hAnsi="宋体"/>
          <w:sz w:val="24"/>
          <w:szCs w:val="24"/>
        </w:rPr>
        <w:t>10.我方将严格遵守《中华人民共和国政府采购法》第七十七条规定，如有下列情形之一的，处以采购金额5‰以上10‰以下的罚款，列入不良行为记录名单，在一到三年内禁止参加政府采购活动，有违法所得的，并处没收违法所得，情节严重的，由工商行政管理机关吊销营业执照；构成犯罪的，依法追究刑事责任：</w:t>
      </w:r>
    </w:p>
    <w:p>
      <w:pPr>
        <w:pStyle w:val="16"/>
        <w:spacing w:line="420" w:lineRule="exact"/>
        <w:ind w:firstLine="480" w:firstLineChars="200"/>
        <w:rPr>
          <w:rFonts w:hAnsi="宋体"/>
          <w:sz w:val="24"/>
          <w:szCs w:val="24"/>
        </w:rPr>
      </w:pPr>
      <w:r>
        <w:rPr>
          <w:rFonts w:hint="eastAsia" w:hAnsi="宋体"/>
          <w:sz w:val="24"/>
          <w:szCs w:val="24"/>
        </w:rPr>
        <w:t>（1）提供虚假材料谋取成交的；</w:t>
      </w:r>
    </w:p>
    <w:p>
      <w:pPr>
        <w:pStyle w:val="16"/>
        <w:spacing w:line="420" w:lineRule="exact"/>
        <w:ind w:firstLine="480" w:firstLineChars="200"/>
        <w:rPr>
          <w:rFonts w:hAnsi="宋体"/>
          <w:sz w:val="24"/>
          <w:szCs w:val="24"/>
        </w:rPr>
      </w:pPr>
      <w:r>
        <w:rPr>
          <w:rFonts w:hint="eastAsia" w:hAnsi="宋体"/>
          <w:sz w:val="24"/>
          <w:szCs w:val="24"/>
        </w:rPr>
        <w:t>（2）采取不正当手段诋毁、排挤其他供应商的；</w:t>
      </w:r>
    </w:p>
    <w:p>
      <w:pPr>
        <w:pStyle w:val="16"/>
        <w:spacing w:line="420" w:lineRule="exact"/>
        <w:ind w:firstLine="480" w:firstLineChars="200"/>
        <w:rPr>
          <w:rFonts w:hAnsi="宋体"/>
          <w:sz w:val="24"/>
          <w:szCs w:val="24"/>
        </w:rPr>
      </w:pPr>
      <w:r>
        <w:rPr>
          <w:rFonts w:hint="eastAsia" w:hAnsi="宋体"/>
          <w:sz w:val="24"/>
          <w:szCs w:val="24"/>
        </w:rPr>
        <w:t>（3）与采购人、其他供应商或者采购代理机构恶意串通的；</w:t>
      </w:r>
    </w:p>
    <w:p>
      <w:pPr>
        <w:pStyle w:val="16"/>
        <w:spacing w:line="420" w:lineRule="exact"/>
        <w:ind w:firstLine="480" w:firstLineChars="200"/>
        <w:rPr>
          <w:rFonts w:hAnsi="宋体"/>
          <w:sz w:val="24"/>
          <w:szCs w:val="24"/>
        </w:rPr>
      </w:pPr>
      <w:r>
        <w:rPr>
          <w:rFonts w:hint="eastAsia" w:hAnsi="宋体"/>
          <w:sz w:val="24"/>
          <w:szCs w:val="24"/>
        </w:rPr>
        <w:t>（4）向采购人、采购代理机构行贿或者提供其他不正当利益的；</w:t>
      </w:r>
    </w:p>
    <w:p>
      <w:pPr>
        <w:pStyle w:val="16"/>
        <w:spacing w:line="420" w:lineRule="exact"/>
        <w:ind w:firstLine="480" w:firstLineChars="200"/>
        <w:rPr>
          <w:rFonts w:hAnsi="宋体"/>
          <w:sz w:val="24"/>
          <w:szCs w:val="24"/>
        </w:rPr>
      </w:pPr>
      <w:r>
        <w:rPr>
          <w:rFonts w:hint="eastAsia" w:hAnsi="宋体"/>
          <w:sz w:val="24"/>
          <w:szCs w:val="24"/>
        </w:rPr>
        <w:t>（5）在采购过程中与采购人进行协商谈判的；</w:t>
      </w:r>
    </w:p>
    <w:p>
      <w:pPr>
        <w:pStyle w:val="16"/>
        <w:spacing w:line="420" w:lineRule="exact"/>
        <w:ind w:firstLine="480" w:firstLineChars="200"/>
        <w:rPr>
          <w:rFonts w:hAnsi="宋体"/>
          <w:sz w:val="24"/>
          <w:szCs w:val="24"/>
        </w:rPr>
      </w:pPr>
      <w:r>
        <w:rPr>
          <w:rFonts w:hint="eastAsia" w:hAnsi="宋体"/>
          <w:sz w:val="24"/>
          <w:szCs w:val="24"/>
        </w:rPr>
        <w:t>（6）拒绝有关部门监督检查或提供虚假情况的。</w:t>
      </w:r>
    </w:p>
    <w:p>
      <w:pPr>
        <w:pStyle w:val="16"/>
        <w:spacing w:line="420" w:lineRule="exact"/>
        <w:ind w:left="101" w:leftChars="48" w:firstLine="595" w:firstLineChars="248"/>
        <w:rPr>
          <w:rFonts w:hAnsi="宋体"/>
          <w:sz w:val="24"/>
          <w:szCs w:val="24"/>
        </w:rPr>
      </w:pPr>
      <w:r>
        <w:rPr>
          <w:rFonts w:hint="eastAsia" w:hAnsi="宋体"/>
          <w:sz w:val="24"/>
          <w:szCs w:val="24"/>
        </w:rPr>
        <w:t>与本竞标有关的正式通讯地址为：</w:t>
      </w:r>
    </w:p>
    <w:p>
      <w:pPr>
        <w:pStyle w:val="16"/>
        <w:spacing w:line="420" w:lineRule="exact"/>
        <w:ind w:left="101" w:leftChars="48" w:firstLine="595" w:firstLineChars="248"/>
        <w:rPr>
          <w:rFonts w:hAnsi="宋体"/>
          <w:sz w:val="24"/>
          <w:szCs w:val="24"/>
        </w:rPr>
      </w:pPr>
      <w:r>
        <w:rPr>
          <w:rFonts w:hint="eastAsia" w:hAnsi="宋体"/>
          <w:sz w:val="24"/>
          <w:szCs w:val="24"/>
        </w:rPr>
        <w:t>地址：</w:t>
      </w:r>
      <w:r>
        <w:rPr>
          <w:rFonts w:hint="eastAsia" w:hAnsi="宋体"/>
          <w:sz w:val="24"/>
          <w:szCs w:val="24"/>
          <w:u w:val="single"/>
        </w:rPr>
        <w:t xml:space="preserve">                                </w:t>
      </w:r>
      <w:r>
        <w:rPr>
          <w:rFonts w:hint="eastAsia" w:hAnsi="宋体"/>
          <w:sz w:val="24"/>
          <w:szCs w:val="24"/>
        </w:rPr>
        <w:t xml:space="preserve"> 邮政编码：</w:t>
      </w:r>
    </w:p>
    <w:p>
      <w:pPr>
        <w:pStyle w:val="16"/>
        <w:spacing w:line="400" w:lineRule="exact"/>
        <w:ind w:firstLine="720" w:firstLineChars="300"/>
        <w:rPr>
          <w:rFonts w:hAnsi="宋体"/>
          <w:sz w:val="24"/>
          <w:szCs w:val="24"/>
          <w:u w:val="single"/>
        </w:rPr>
      </w:pPr>
      <w:r>
        <w:rPr>
          <w:rFonts w:hint="eastAsia" w:hAnsi="宋体"/>
          <w:sz w:val="24"/>
          <w:szCs w:val="24"/>
        </w:rPr>
        <w:t>电话或传真：</w:t>
      </w:r>
      <w:r>
        <w:rPr>
          <w:rFonts w:hint="eastAsia" w:hAnsi="宋体"/>
          <w:sz w:val="24"/>
          <w:szCs w:val="24"/>
          <w:u w:val="single"/>
        </w:rPr>
        <w:t xml:space="preserve">                                     </w:t>
      </w:r>
    </w:p>
    <w:p>
      <w:pPr>
        <w:pStyle w:val="16"/>
        <w:spacing w:line="400" w:lineRule="exact"/>
        <w:ind w:firstLine="720" w:firstLineChars="300"/>
        <w:rPr>
          <w:rFonts w:hAnsi="宋体"/>
          <w:sz w:val="24"/>
          <w:szCs w:val="24"/>
        </w:rPr>
      </w:pPr>
      <w:r>
        <w:rPr>
          <w:rFonts w:hint="eastAsia" w:hAnsi="宋体"/>
          <w:sz w:val="24"/>
          <w:szCs w:val="24"/>
        </w:rPr>
        <w:t>开户名称：</w:t>
      </w:r>
      <w:r>
        <w:rPr>
          <w:rFonts w:hint="eastAsia" w:hAnsi="宋体"/>
          <w:sz w:val="24"/>
          <w:szCs w:val="24"/>
          <w:u w:val="single"/>
        </w:rPr>
        <w:t xml:space="preserve">                                       </w:t>
      </w:r>
    </w:p>
    <w:p>
      <w:pPr>
        <w:pStyle w:val="16"/>
        <w:spacing w:line="400" w:lineRule="exact"/>
        <w:ind w:firstLine="720" w:firstLineChars="300"/>
        <w:rPr>
          <w:rFonts w:hAnsi="宋体"/>
          <w:sz w:val="24"/>
          <w:szCs w:val="24"/>
        </w:rPr>
      </w:pPr>
      <w:r>
        <w:rPr>
          <w:rFonts w:hint="eastAsia" w:hAnsi="宋体"/>
          <w:sz w:val="24"/>
          <w:szCs w:val="24"/>
        </w:rPr>
        <w:t>开户银行：</w:t>
      </w:r>
      <w:r>
        <w:rPr>
          <w:rFonts w:hint="eastAsia" w:hAnsi="宋体"/>
          <w:sz w:val="24"/>
          <w:szCs w:val="24"/>
          <w:u w:val="single"/>
        </w:rPr>
        <w:t xml:space="preserve">                                       </w:t>
      </w:r>
    </w:p>
    <w:p>
      <w:pPr>
        <w:pStyle w:val="16"/>
        <w:spacing w:line="400" w:lineRule="exact"/>
        <w:ind w:firstLine="720" w:firstLineChars="300"/>
        <w:rPr>
          <w:rFonts w:hAnsi="宋体"/>
          <w:sz w:val="24"/>
          <w:szCs w:val="24"/>
        </w:rPr>
      </w:pPr>
      <w:r>
        <w:rPr>
          <w:rFonts w:hint="eastAsia" w:hAnsi="宋体"/>
          <w:sz w:val="24"/>
          <w:szCs w:val="24"/>
        </w:rPr>
        <w:t>帐号：</w:t>
      </w:r>
      <w:r>
        <w:rPr>
          <w:rFonts w:hint="eastAsia" w:hAnsi="宋体"/>
          <w:sz w:val="24"/>
          <w:szCs w:val="24"/>
          <w:u w:val="single"/>
        </w:rPr>
        <w:t xml:space="preserve">                                           </w:t>
      </w:r>
    </w:p>
    <w:p>
      <w:pPr>
        <w:pStyle w:val="16"/>
        <w:spacing w:line="420" w:lineRule="exact"/>
        <w:ind w:left="101" w:leftChars="48" w:firstLine="595" w:firstLineChars="248"/>
        <w:rPr>
          <w:rFonts w:hAnsi="宋体"/>
          <w:sz w:val="24"/>
          <w:szCs w:val="24"/>
        </w:rPr>
      </w:pPr>
      <w:r>
        <w:rPr>
          <w:rFonts w:hint="eastAsia" w:hAnsi="宋体"/>
          <w:sz w:val="24"/>
          <w:szCs w:val="24"/>
        </w:rPr>
        <w:t>法定代表人或委托代理人签名：</w:t>
      </w:r>
      <w:r>
        <w:rPr>
          <w:rFonts w:hint="eastAsia" w:hAnsi="宋体"/>
          <w:sz w:val="24"/>
          <w:szCs w:val="24"/>
          <w:u w:val="single"/>
        </w:rPr>
        <w:t xml:space="preserve">                                  </w:t>
      </w:r>
    </w:p>
    <w:p>
      <w:pPr>
        <w:pStyle w:val="16"/>
        <w:spacing w:line="420" w:lineRule="exact"/>
        <w:ind w:left="101" w:leftChars="48" w:firstLine="595" w:firstLineChars="248"/>
        <w:rPr>
          <w:rFonts w:hAnsi="宋体"/>
          <w:sz w:val="24"/>
          <w:szCs w:val="24"/>
        </w:rPr>
      </w:pPr>
      <w:r>
        <w:rPr>
          <w:rFonts w:hint="eastAsia" w:hAnsi="宋体"/>
          <w:sz w:val="24"/>
          <w:szCs w:val="24"/>
        </w:rPr>
        <w:t>竞标人（单位公章）：</w:t>
      </w:r>
      <w:r>
        <w:rPr>
          <w:rFonts w:hint="eastAsia" w:hAnsi="宋体"/>
          <w:sz w:val="24"/>
          <w:szCs w:val="24"/>
          <w:u w:val="single"/>
        </w:rPr>
        <w:t xml:space="preserve">                                           </w:t>
      </w:r>
    </w:p>
    <w:p>
      <w:pPr>
        <w:pStyle w:val="16"/>
        <w:spacing w:line="420" w:lineRule="exact"/>
        <w:ind w:left="101" w:leftChars="48" w:firstLine="595" w:firstLineChars="248"/>
        <w:rPr>
          <w:rFonts w:hAnsi="宋体"/>
          <w:sz w:val="24"/>
          <w:szCs w:val="24"/>
          <w:u w:val="single"/>
        </w:rPr>
      </w:pPr>
      <w:r>
        <w:rPr>
          <w:rFonts w:hint="eastAsia" w:hAnsi="宋体"/>
          <w:sz w:val="24"/>
          <w:szCs w:val="24"/>
        </w:rPr>
        <w:t>日期：</w:t>
      </w:r>
      <w:r>
        <w:rPr>
          <w:rFonts w:hint="eastAsia" w:hAnsi="宋体"/>
          <w:sz w:val="24"/>
          <w:szCs w:val="24"/>
          <w:u w:val="single"/>
        </w:rPr>
        <w:t xml:space="preserve">                                                        </w:t>
      </w:r>
    </w:p>
    <w:p>
      <w:pPr>
        <w:pStyle w:val="16"/>
        <w:spacing w:line="420" w:lineRule="exact"/>
        <w:ind w:left="101" w:leftChars="48" w:firstLine="520" w:firstLineChars="248"/>
        <w:rPr>
          <w:rFonts w:hAnsi="宋体"/>
        </w:rPr>
      </w:pPr>
    </w:p>
    <w:p>
      <w:pPr>
        <w:pStyle w:val="16"/>
        <w:spacing w:line="420" w:lineRule="exact"/>
        <w:ind w:left="101" w:leftChars="48" w:firstLine="520" w:firstLineChars="248"/>
        <w:rPr>
          <w:rFonts w:hAnsi="宋体"/>
        </w:rPr>
      </w:pPr>
    </w:p>
    <w:p>
      <w:pPr>
        <w:pStyle w:val="16"/>
        <w:spacing w:line="420" w:lineRule="exact"/>
        <w:ind w:left="101" w:leftChars="48" w:firstLine="520" w:firstLineChars="248"/>
        <w:rPr>
          <w:rFonts w:hAnsi="宋体"/>
        </w:rPr>
      </w:pPr>
    </w:p>
    <w:p>
      <w:pPr>
        <w:pStyle w:val="16"/>
        <w:spacing w:line="420" w:lineRule="exact"/>
        <w:ind w:left="101" w:leftChars="48" w:firstLine="520" w:firstLineChars="248"/>
        <w:rPr>
          <w:rFonts w:hAnsi="宋体"/>
        </w:rPr>
      </w:pPr>
    </w:p>
    <w:p>
      <w:pPr>
        <w:pStyle w:val="16"/>
        <w:spacing w:line="420" w:lineRule="exact"/>
        <w:ind w:left="101" w:leftChars="48" w:firstLine="520" w:firstLineChars="248"/>
        <w:rPr>
          <w:rFonts w:hAnsi="宋体"/>
        </w:rPr>
      </w:pPr>
    </w:p>
    <w:p>
      <w:pPr>
        <w:pStyle w:val="16"/>
        <w:jc w:val="center"/>
        <w:rPr>
          <w:rFonts w:hAnsi="宋体"/>
          <w:b/>
          <w:sz w:val="32"/>
        </w:rPr>
      </w:pPr>
    </w:p>
    <w:p>
      <w:pPr>
        <w:pStyle w:val="16"/>
        <w:jc w:val="center"/>
        <w:rPr>
          <w:rFonts w:hAnsi="宋体"/>
          <w:b/>
          <w:sz w:val="32"/>
        </w:rPr>
      </w:pPr>
    </w:p>
    <w:p>
      <w:pPr>
        <w:pStyle w:val="16"/>
        <w:jc w:val="center"/>
        <w:rPr>
          <w:rFonts w:hAnsi="宋体"/>
          <w:b/>
          <w:sz w:val="32"/>
        </w:rPr>
      </w:pPr>
    </w:p>
    <w:p>
      <w:pPr>
        <w:pStyle w:val="16"/>
        <w:rPr>
          <w:rFonts w:hAnsi="宋体"/>
          <w:b/>
          <w:sz w:val="32"/>
        </w:rPr>
      </w:pPr>
    </w:p>
    <w:p>
      <w:pPr>
        <w:pStyle w:val="16"/>
        <w:rPr>
          <w:rFonts w:hAnsi="宋体"/>
          <w:b/>
          <w:sz w:val="32"/>
        </w:rPr>
      </w:pPr>
    </w:p>
    <w:p>
      <w:pPr>
        <w:pStyle w:val="16"/>
        <w:rPr>
          <w:rFonts w:hAnsi="宋体"/>
          <w:b/>
          <w:sz w:val="32"/>
        </w:rPr>
      </w:pPr>
    </w:p>
    <w:p>
      <w:pPr>
        <w:pStyle w:val="16"/>
        <w:rPr>
          <w:rFonts w:hAnsi="宋体"/>
          <w:b/>
          <w:sz w:val="32"/>
        </w:rPr>
      </w:pPr>
    </w:p>
    <w:p>
      <w:pPr>
        <w:pStyle w:val="16"/>
        <w:ind w:firstLine="3780" w:firstLineChars="1800"/>
        <w:rPr>
          <w:rFonts w:hAnsi="宋体"/>
          <w:u w:val="single"/>
        </w:rPr>
      </w:pPr>
    </w:p>
    <w:p>
      <w:pPr>
        <w:pStyle w:val="16"/>
        <w:ind w:firstLine="3780" w:firstLineChars="1800"/>
        <w:rPr>
          <w:rFonts w:hAnsi="宋体"/>
          <w:u w:val="single"/>
        </w:rPr>
      </w:pPr>
    </w:p>
    <w:p>
      <w:pPr>
        <w:pStyle w:val="3"/>
        <w:jc w:val="center"/>
        <w:rPr>
          <w:rFonts w:ascii="宋体" w:hAnsi="宋体" w:eastAsia="宋体"/>
          <w:sz w:val="28"/>
        </w:rPr>
      </w:pPr>
      <w:bookmarkStart w:id="283" w:name="_Toc6047138"/>
      <w:bookmarkStart w:id="284" w:name="_Toc269656006"/>
      <w:bookmarkStart w:id="285" w:name="_Toc340341956"/>
      <w:bookmarkStart w:id="286" w:name="_Toc219054966"/>
      <w:r>
        <w:rPr>
          <w:rFonts w:hint="eastAsia" w:ascii="宋体" w:hAnsi="宋体" w:eastAsia="宋体"/>
        </w:rPr>
        <w:t>二、</w:t>
      </w:r>
      <w:bookmarkStart w:id="287" w:name="_Toc219054964"/>
      <w:bookmarkStart w:id="288" w:name="_Toc401684098"/>
      <w:bookmarkStart w:id="289" w:name="_Toc219054965"/>
      <w:r>
        <w:rPr>
          <w:rFonts w:hint="eastAsia" w:ascii="宋体" w:hAnsi="宋体" w:eastAsia="宋体"/>
        </w:rPr>
        <w:t>竞标保证金缴纳凭证证明</w:t>
      </w:r>
      <w:bookmarkEnd w:id="283"/>
      <w:bookmarkEnd w:id="287"/>
      <w:bookmarkEnd w:id="288"/>
      <w:r>
        <w:rPr>
          <w:rFonts w:hint="eastAsia" w:ascii="宋体" w:hAnsi="宋体" w:eastAsia="宋体"/>
        </w:rPr>
        <w:t>材料</w:t>
      </w:r>
    </w:p>
    <w:p>
      <w:pPr>
        <w:pStyle w:val="16"/>
        <w:rPr>
          <w:rFonts w:hAnsi="宋体"/>
          <w:b/>
          <w:sz w:val="24"/>
          <w:szCs w:val="24"/>
        </w:rPr>
      </w:pPr>
    </w:p>
    <w:p>
      <w:pPr>
        <w:pStyle w:val="16"/>
        <w:ind w:firstLine="2007" w:firstLineChars="833"/>
        <w:rPr>
          <w:rFonts w:hAnsi="宋体"/>
          <w:b/>
          <w:sz w:val="24"/>
          <w:szCs w:val="24"/>
        </w:rPr>
      </w:pPr>
      <w:r>
        <w:rPr>
          <w:rFonts w:hint="eastAsia" w:hAnsi="宋体"/>
          <w:b/>
          <w:sz w:val="24"/>
          <w:szCs w:val="24"/>
        </w:rPr>
        <w:t>(附：银行出具的转账或电汇交款凭证等证明材料复印件)</w:t>
      </w: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16"/>
        <w:jc w:val="center"/>
        <w:rPr>
          <w:rFonts w:hAnsi="宋体"/>
        </w:rPr>
      </w:pPr>
    </w:p>
    <w:p>
      <w:pPr>
        <w:pStyle w:val="3"/>
        <w:jc w:val="center"/>
        <w:rPr>
          <w:rFonts w:ascii="宋体" w:hAnsi="宋体" w:eastAsia="宋体"/>
        </w:rPr>
      </w:pPr>
      <w:bookmarkStart w:id="290" w:name="_Toc6047139"/>
      <w:r>
        <w:rPr>
          <w:rFonts w:hint="eastAsia" w:ascii="宋体" w:hAnsi="宋体" w:eastAsia="宋体"/>
        </w:rPr>
        <w:t>三、竞标报价表（格式）</w:t>
      </w:r>
      <w:bookmarkEnd w:id="284"/>
      <w:bookmarkEnd w:id="285"/>
      <w:bookmarkEnd w:id="289"/>
      <w:bookmarkEnd w:id="290"/>
    </w:p>
    <w:tbl>
      <w:tblPr>
        <w:tblStyle w:val="34"/>
        <w:tblW w:w="995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1547"/>
        <w:gridCol w:w="758"/>
        <w:gridCol w:w="750"/>
        <w:gridCol w:w="740"/>
        <w:gridCol w:w="3258"/>
        <w:gridCol w:w="752"/>
        <w:gridCol w:w="14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r>
              <w:rPr>
                <w:rFonts w:hint="eastAsia" w:ascii="宋体" w:hAnsi="宋体"/>
                <w:b/>
                <w:szCs w:val="21"/>
              </w:rPr>
              <w:t>项号</w:t>
            </w:r>
          </w:p>
        </w:tc>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r>
              <w:rPr>
                <w:rFonts w:hint="eastAsia" w:ascii="宋体" w:hAnsi="宋体"/>
                <w:b/>
                <w:szCs w:val="21"/>
              </w:rPr>
              <w:t>货物名称</w:t>
            </w:r>
          </w:p>
        </w:tc>
        <w:tc>
          <w:tcPr>
            <w:tcW w:w="75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r>
              <w:rPr>
                <w:rFonts w:hint="eastAsia" w:ascii="宋体" w:hAnsi="宋体"/>
                <w:b/>
                <w:szCs w:val="21"/>
              </w:rPr>
              <w:t>数量</w:t>
            </w:r>
          </w:p>
          <w:p>
            <w:pPr>
              <w:numPr>
                <w:ilvl w:val="0"/>
                <w:numId w:val="4"/>
              </w:numPr>
              <w:snapToGrid w:val="0"/>
              <w:spacing w:before="50" w:after="50"/>
              <w:jc w:val="center"/>
              <w:rPr>
                <w:rFonts w:ascii="宋体" w:hAnsi="宋体"/>
                <w:b/>
                <w:szCs w:val="21"/>
              </w:rPr>
            </w:pPr>
          </w:p>
        </w:tc>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r>
              <w:rPr>
                <w:rFonts w:hint="eastAsia" w:ascii="宋体" w:hAnsi="宋体"/>
                <w:b/>
                <w:szCs w:val="21"/>
              </w:rPr>
              <w:t>计量单位</w:t>
            </w:r>
          </w:p>
        </w:tc>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r>
              <w:rPr>
                <w:rFonts w:hint="eastAsia" w:ascii="宋体" w:hAnsi="宋体"/>
                <w:b/>
                <w:szCs w:val="21"/>
              </w:rPr>
              <w:t>产地或厂家</w:t>
            </w:r>
          </w:p>
        </w:tc>
        <w:tc>
          <w:tcPr>
            <w:tcW w:w="325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r>
              <w:rPr>
                <w:rFonts w:hint="eastAsia" w:ascii="宋体" w:hAnsi="宋体"/>
                <w:b/>
                <w:szCs w:val="21"/>
              </w:rPr>
              <w:t>规格技术参数配置</w:t>
            </w:r>
          </w:p>
        </w:tc>
        <w:tc>
          <w:tcPr>
            <w:tcW w:w="7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r>
              <w:rPr>
                <w:rFonts w:hint="eastAsia" w:ascii="宋体" w:hAnsi="宋体"/>
                <w:b/>
                <w:szCs w:val="21"/>
              </w:rPr>
              <w:t>单价</w:t>
            </w:r>
          </w:p>
          <w:p>
            <w:pPr>
              <w:snapToGrid w:val="0"/>
              <w:spacing w:before="50" w:after="50"/>
              <w:jc w:val="center"/>
              <w:rPr>
                <w:rFonts w:ascii="宋体" w:hAnsi="宋体"/>
                <w:b/>
                <w:szCs w:val="21"/>
              </w:rPr>
            </w:pPr>
            <w:r>
              <w:rPr>
                <w:rFonts w:hint="eastAsia" w:ascii="宋体" w:hAnsi="宋体"/>
                <w:b/>
                <w:szCs w:val="21"/>
              </w:rPr>
              <w:t>②</w:t>
            </w:r>
          </w:p>
        </w:tc>
        <w:tc>
          <w:tcPr>
            <w:tcW w:w="14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r>
              <w:rPr>
                <w:rFonts w:hint="eastAsia" w:ascii="宋体" w:hAnsi="宋体"/>
                <w:b/>
                <w:szCs w:val="21"/>
              </w:rPr>
              <w:t>竞标报价</w:t>
            </w:r>
          </w:p>
          <w:p>
            <w:pPr>
              <w:snapToGrid w:val="0"/>
              <w:spacing w:before="50" w:after="50"/>
              <w:jc w:val="center"/>
              <w:rPr>
                <w:rFonts w:ascii="宋体" w:hAnsi="宋体"/>
                <w:b/>
                <w:szCs w:val="21"/>
              </w:rPr>
            </w:pPr>
            <w:r>
              <w:rPr>
                <w:rFonts w:ascii="宋体" w:hAnsi="宋体"/>
                <w:b/>
                <w:szCs w:val="21"/>
              </w:rPr>
              <w:t>③</w:t>
            </w:r>
            <w:r>
              <w:rPr>
                <w:rFonts w:hint="eastAsia" w:ascii="宋体" w:hAnsi="宋体"/>
                <w:b/>
                <w:szCs w:val="21"/>
              </w:rPr>
              <w:t>=①×②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r>
              <w:rPr>
                <w:rFonts w:hint="eastAsia" w:ascii="宋体" w:hAnsi="宋体"/>
                <w:b/>
                <w:szCs w:val="21"/>
              </w:rPr>
              <w:t>1</w:t>
            </w:r>
          </w:p>
        </w:tc>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p>
        </w:tc>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p>
        </w:tc>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p>
        </w:tc>
        <w:tc>
          <w:tcPr>
            <w:tcW w:w="3258"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Cs w:val="21"/>
              </w:rPr>
            </w:pPr>
          </w:p>
        </w:tc>
        <w:tc>
          <w:tcPr>
            <w:tcW w:w="7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r>
              <w:rPr>
                <w:rFonts w:hint="eastAsia" w:ascii="宋体" w:hAnsi="宋体"/>
                <w:b/>
                <w:szCs w:val="21"/>
              </w:rPr>
              <w:t>2</w:t>
            </w:r>
          </w:p>
        </w:tc>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p>
        </w:tc>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p>
        </w:tc>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p>
        </w:tc>
        <w:tc>
          <w:tcPr>
            <w:tcW w:w="3258"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Cs w:val="21"/>
              </w:rPr>
            </w:pPr>
          </w:p>
        </w:tc>
        <w:tc>
          <w:tcPr>
            <w:tcW w:w="7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r>
              <w:rPr>
                <w:rFonts w:hint="eastAsia" w:ascii="宋体" w:hAnsi="宋体"/>
                <w:b/>
                <w:szCs w:val="21"/>
              </w:rPr>
              <w:t>……</w:t>
            </w:r>
          </w:p>
        </w:tc>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r>
              <w:rPr>
                <w:rFonts w:hint="eastAsia" w:ascii="宋体" w:hAnsi="宋体"/>
                <w:b/>
                <w:szCs w:val="21"/>
              </w:rPr>
              <w:t>……</w:t>
            </w:r>
          </w:p>
        </w:tc>
        <w:tc>
          <w:tcPr>
            <w:tcW w:w="75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p>
        </w:tc>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p>
        </w:tc>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p>
        </w:tc>
        <w:tc>
          <w:tcPr>
            <w:tcW w:w="3258"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Cs w:val="21"/>
              </w:rPr>
            </w:pPr>
          </w:p>
        </w:tc>
        <w:tc>
          <w:tcPr>
            <w:tcW w:w="7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952" w:type="dxa"/>
            <w:gridSpan w:val="8"/>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pacing w:val="20"/>
                <w:szCs w:val="21"/>
              </w:rPr>
            </w:pPr>
            <w:r>
              <w:rPr>
                <w:rFonts w:hint="eastAsia" w:ascii="宋体" w:hAnsi="宋体"/>
                <w:szCs w:val="21"/>
              </w:rPr>
              <w:t>合计金额大写：</w:t>
            </w:r>
            <w:r>
              <w:rPr>
                <w:rFonts w:hint="eastAsia" w:ascii="宋体" w:hAnsi="宋体"/>
                <w:spacing w:val="20"/>
                <w:szCs w:val="21"/>
              </w:rPr>
              <w:t>人民币</w:t>
            </w:r>
            <w:r>
              <w:rPr>
                <w:rFonts w:hint="eastAsia" w:ascii="宋体" w:hAnsi="宋体"/>
                <w:szCs w:val="21"/>
              </w:rPr>
              <w:t xml:space="preserve">   </w:t>
            </w:r>
            <w:r>
              <w:rPr>
                <w:rFonts w:hint="eastAsia" w:ascii="宋体" w:hAnsi="宋体"/>
                <w:spacing w:val="20"/>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952" w:type="dxa"/>
            <w:gridSpan w:val="8"/>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Cs w:val="21"/>
              </w:rPr>
            </w:pPr>
            <w:r>
              <w:rPr>
                <w:rFonts w:hint="eastAsia" w:ascii="宋体" w:hAnsi="宋体"/>
                <w:szCs w:val="21"/>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952" w:type="dxa"/>
            <w:gridSpan w:val="8"/>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Cs w:val="21"/>
              </w:rPr>
            </w:pPr>
            <w:r>
              <w:rPr>
                <w:rFonts w:hint="eastAsia" w:ascii="宋体" w:hAnsi="宋体"/>
                <w:szCs w:val="21"/>
              </w:rPr>
              <w:t>交货地点：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952" w:type="dxa"/>
            <w:gridSpan w:val="8"/>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Cs w:val="21"/>
              </w:rPr>
            </w:pPr>
            <w:r>
              <w:rPr>
                <w:rFonts w:hint="eastAsia" w:ascii="宋体" w:hAnsi="宋体"/>
                <w:szCs w:val="21"/>
              </w:rPr>
              <w:t>质保期：</w:t>
            </w:r>
          </w:p>
        </w:tc>
      </w:tr>
    </w:tbl>
    <w:p>
      <w:pPr>
        <w:pStyle w:val="16"/>
        <w:rPr>
          <w:rFonts w:hAnsi="宋体"/>
        </w:rPr>
      </w:pPr>
    </w:p>
    <w:p>
      <w:pPr>
        <w:pStyle w:val="16"/>
        <w:rPr>
          <w:rFonts w:hAnsi="宋体"/>
        </w:rPr>
      </w:pPr>
    </w:p>
    <w:p>
      <w:pPr>
        <w:pStyle w:val="16"/>
        <w:rPr>
          <w:rFonts w:hAnsi="宋体"/>
          <w:sz w:val="24"/>
          <w:szCs w:val="24"/>
        </w:rPr>
      </w:pPr>
      <w:r>
        <w:rPr>
          <w:rFonts w:hint="eastAsia" w:hAnsi="宋体"/>
          <w:sz w:val="24"/>
          <w:szCs w:val="24"/>
        </w:rPr>
        <w:t>竞标人（盖单位公章）：</w:t>
      </w:r>
    </w:p>
    <w:p>
      <w:pPr>
        <w:pStyle w:val="16"/>
        <w:rPr>
          <w:rFonts w:hAnsi="宋体"/>
          <w:sz w:val="24"/>
          <w:szCs w:val="24"/>
        </w:rPr>
      </w:pPr>
    </w:p>
    <w:p>
      <w:pPr>
        <w:pStyle w:val="16"/>
        <w:rPr>
          <w:rFonts w:hAnsi="宋体"/>
          <w:sz w:val="24"/>
          <w:szCs w:val="24"/>
          <w:u w:val="single"/>
        </w:rPr>
      </w:pPr>
      <w:r>
        <w:rPr>
          <w:rFonts w:hint="eastAsia" w:hAnsi="宋体"/>
          <w:sz w:val="24"/>
          <w:szCs w:val="24"/>
        </w:rPr>
        <w:t>法定代表人或委托代理人签字：</w:t>
      </w:r>
    </w:p>
    <w:p>
      <w:pPr>
        <w:pStyle w:val="16"/>
        <w:rPr>
          <w:rFonts w:hAnsi="宋体"/>
          <w:b/>
          <w:sz w:val="24"/>
          <w:szCs w:val="24"/>
        </w:rPr>
      </w:pPr>
    </w:p>
    <w:p>
      <w:pPr>
        <w:pStyle w:val="16"/>
        <w:rPr>
          <w:rFonts w:hAnsi="宋体"/>
          <w:sz w:val="24"/>
          <w:szCs w:val="24"/>
        </w:rPr>
      </w:pPr>
      <w:r>
        <w:rPr>
          <w:rFonts w:hint="eastAsia" w:hAnsi="宋体"/>
          <w:sz w:val="24"/>
          <w:szCs w:val="24"/>
        </w:rPr>
        <w:t>竞标日期：   年   月  日</w:t>
      </w:r>
    </w:p>
    <w:p>
      <w:pPr>
        <w:pStyle w:val="16"/>
        <w:ind w:left="1205" w:hanging="1205" w:hangingChars="500"/>
        <w:rPr>
          <w:rFonts w:hAnsi="宋体"/>
          <w:b/>
          <w:sz w:val="24"/>
          <w:szCs w:val="24"/>
        </w:rPr>
      </w:pPr>
    </w:p>
    <w:p>
      <w:pPr>
        <w:pStyle w:val="16"/>
        <w:ind w:left="1205" w:hanging="1205" w:hangingChars="500"/>
        <w:rPr>
          <w:rFonts w:hAnsi="宋体"/>
          <w:b/>
          <w:sz w:val="24"/>
          <w:szCs w:val="24"/>
        </w:rPr>
      </w:pPr>
      <w:r>
        <w:rPr>
          <w:rFonts w:hint="eastAsia" w:hAnsi="宋体"/>
          <w:b/>
          <w:sz w:val="24"/>
          <w:szCs w:val="24"/>
        </w:rPr>
        <w:t>竞标说明：</w:t>
      </w:r>
    </w:p>
    <w:p>
      <w:pPr>
        <w:pStyle w:val="16"/>
        <w:rPr>
          <w:rFonts w:hAnsi="宋体"/>
          <w:b/>
          <w:sz w:val="24"/>
          <w:szCs w:val="24"/>
        </w:rPr>
      </w:pPr>
      <w:r>
        <w:rPr>
          <w:rFonts w:hint="eastAsia" w:hAnsi="宋体"/>
          <w:b/>
          <w:sz w:val="24"/>
          <w:szCs w:val="24"/>
        </w:rPr>
        <w:t>1.竞标人必须按以上格式加盖单位公章并签名，否则，无签名、盖单位公章的视为竞标无效。</w:t>
      </w:r>
    </w:p>
    <w:p>
      <w:pPr>
        <w:pStyle w:val="16"/>
        <w:rPr>
          <w:rFonts w:hAnsi="宋体"/>
          <w:b/>
          <w:sz w:val="24"/>
          <w:szCs w:val="24"/>
        </w:rPr>
      </w:pPr>
      <w:r>
        <w:rPr>
          <w:rFonts w:hint="eastAsia" w:hAnsi="宋体"/>
          <w:b/>
          <w:sz w:val="24"/>
          <w:szCs w:val="24"/>
        </w:rPr>
        <w:t>2.凡在技术参数及其性能（配置）要求中表述为“标配”或“标准标配”的货物，竞标人应在竞标报价中将其标配参数详细列明，否则竞标无效。</w:t>
      </w:r>
    </w:p>
    <w:p>
      <w:pPr>
        <w:pStyle w:val="16"/>
        <w:rPr>
          <w:rFonts w:hAnsi="宋体"/>
          <w:b/>
        </w:rPr>
      </w:pPr>
    </w:p>
    <w:p>
      <w:pPr>
        <w:pStyle w:val="16"/>
        <w:rPr>
          <w:rFonts w:hAnsi="宋体"/>
          <w:b/>
        </w:rPr>
      </w:pPr>
    </w:p>
    <w:p>
      <w:pPr>
        <w:pStyle w:val="16"/>
        <w:rPr>
          <w:rFonts w:hAnsi="宋体"/>
          <w:b/>
        </w:rPr>
      </w:pPr>
    </w:p>
    <w:p>
      <w:pPr>
        <w:pStyle w:val="16"/>
        <w:rPr>
          <w:rFonts w:hAnsi="宋体"/>
          <w:b/>
        </w:rPr>
      </w:pPr>
    </w:p>
    <w:p>
      <w:pPr>
        <w:pStyle w:val="16"/>
        <w:rPr>
          <w:rFonts w:hAnsi="宋体"/>
          <w:b/>
        </w:rPr>
      </w:pPr>
    </w:p>
    <w:p>
      <w:pPr>
        <w:pStyle w:val="16"/>
        <w:rPr>
          <w:rFonts w:hAnsi="宋体"/>
          <w:b/>
        </w:rPr>
      </w:pPr>
    </w:p>
    <w:p>
      <w:pPr>
        <w:pStyle w:val="16"/>
        <w:rPr>
          <w:rFonts w:hAnsi="宋体"/>
          <w:b/>
        </w:rPr>
      </w:pPr>
    </w:p>
    <w:p>
      <w:pPr>
        <w:pStyle w:val="16"/>
        <w:rPr>
          <w:rFonts w:hAnsi="宋体"/>
          <w:b/>
        </w:rPr>
      </w:pPr>
    </w:p>
    <w:p>
      <w:pPr>
        <w:pStyle w:val="16"/>
        <w:rPr>
          <w:rFonts w:hAnsi="宋体"/>
          <w:b/>
        </w:rPr>
      </w:pPr>
    </w:p>
    <w:p>
      <w:pPr>
        <w:pStyle w:val="16"/>
        <w:rPr>
          <w:rFonts w:hAnsi="宋体"/>
          <w:b/>
        </w:rPr>
      </w:pPr>
    </w:p>
    <w:p>
      <w:pPr>
        <w:pStyle w:val="16"/>
        <w:rPr>
          <w:rFonts w:hAnsi="宋体"/>
          <w:b/>
        </w:rPr>
      </w:pPr>
    </w:p>
    <w:p>
      <w:pPr>
        <w:pStyle w:val="16"/>
        <w:rPr>
          <w:rFonts w:hAnsi="宋体"/>
          <w:b/>
        </w:rPr>
      </w:pPr>
    </w:p>
    <w:p>
      <w:pPr>
        <w:pStyle w:val="3"/>
        <w:jc w:val="center"/>
        <w:rPr>
          <w:rFonts w:ascii="宋体" w:hAnsi="宋体" w:eastAsia="宋体"/>
          <w:sz w:val="28"/>
        </w:rPr>
      </w:pPr>
      <w:bookmarkStart w:id="291" w:name="_Toc6047140"/>
      <w:bookmarkStart w:id="292" w:name="_Toc340341957"/>
      <w:r>
        <w:rPr>
          <w:rFonts w:hint="eastAsia" w:ascii="宋体" w:hAnsi="宋体" w:eastAsia="宋体"/>
        </w:rPr>
        <w:t>四、技术规格偏离表（格式）</w:t>
      </w:r>
      <w:bookmarkEnd w:id="286"/>
      <w:bookmarkEnd w:id="291"/>
      <w:bookmarkEnd w:id="292"/>
    </w:p>
    <w:p>
      <w:pPr>
        <w:pStyle w:val="16"/>
        <w:spacing w:line="400" w:lineRule="exact"/>
        <w:ind w:firstLine="425"/>
        <w:rPr>
          <w:rFonts w:hAnsi="宋体"/>
          <w:sz w:val="24"/>
          <w:szCs w:val="24"/>
        </w:rPr>
      </w:pPr>
      <w:r>
        <w:rPr>
          <w:rFonts w:hint="eastAsia" w:hAnsi="宋体"/>
          <w:sz w:val="24"/>
          <w:szCs w:val="24"/>
        </w:rPr>
        <w:t xml:space="preserve">请按所竞标产品的实际品牌型号及其技术参数性能（配置），逐条对应竞争性谈判文件《货物需求一览表》中的要求认真填写本表（本表仅指竞争性谈判文件《货物需求一览表》中货物技术参数不明确或有误以及竞标人选用优于竞争性谈判文件提供的品牌、技术参数的其他品牌型号替代的）。 </w:t>
      </w:r>
    </w:p>
    <w:tbl>
      <w:tblPr>
        <w:tblStyle w:val="34"/>
        <w:tblW w:w="0" w:type="auto"/>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6"/>
        <w:gridCol w:w="1732"/>
        <w:gridCol w:w="1833"/>
        <w:gridCol w:w="2180"/>
        <w:gridCol w:w="2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9" w:hRule="atLeast"/>
        </w:trPr>
        <w:tc>
          <w:tcPr>
            <w:tcW w:w="856" w:type="dxa"/>
            <w:vAlign w:val="center"/>
          </w:tcPr>
          <w:p>
            <w:pPr>
              <w:pStyle w:val="16"/>
              <w:spacing w:line="400" w:lineRule="exact"/>
              <w:jc w:val="center"/>
              <w:rPr>
                <w:rFonts w:hAnsi="宋体"/>
                <w:sz w:val="24"/>
                <w:szCs w:val="24"/>
              </w:rPr>
            </w:pPr>
            <w:r>
              <w:rPr>
                <w:rFonts w:hint="eastAsia" w:hAnsi="宋体"/>
                <w:sz w:val="24"/>
                <w:szCs w:val="24"/>
              </w:rPr>
              <w:t>序号</w:t>
            </w:r>
          </w:p>
        </w:tc>
        <w:tc>
          <w:tcPr>
            <w:tcW w:w="1732" w:type="dxa"/>
            <w:vAlign w:val="center"/>
          </w:tcPr>
          <w:p>
            <w:pPr>
              <w:pStyle w:val="16"/>
              <w:spacing w:line="400" w:lineRule="exact"/>
              <w:jc w:val="center"/>
              <w:rPr>
                <w:rFonts w:hAnsi="宋体"/>
                <w:sz w:val="24"/>
                <w:szCs w:val="24"/>
              </w:rPr>
            </w:pPr>
            <w:r>
              <w:rPr>
                <w:rFonts w:hint="eastAsia" w:hAnsi="宋体"/>
                <w:sz w:val="24"/>
                <w:szCs w:val="24"/>
              </w:rPr>
              <w:t>货物名称或</w:t>
            </w:r>
          </w:p>
          <w:p>
            <w:pPr>
              <w:pStyle w:val="16"/>
              <w:spacing w:line="400" w:lineRule="exact"/>
              <w:jc w:val="center"/>
              <w:rPr>
                <w:rFonts w:hAnsi="宋体"/>
                <w:sz w:val="24"/>
                <w:szCs w:val="24"/>
              </w:rPr>
            </w:pPr>
            <w:r>
              <w:rPr>
                <w:rFonts w:hint="eastAsia" w:hAnsi="宋体"/>
                <w:sz w:val="24"/>
                <w:szCs w:val="24"/>
              </w:rPr>
              <w:t>技术条款</w:t>
            </w:r>
          </w:p>
        </w:tc>
        <w:tc>
          <w:tcPr>
            <w:tcW w:w="1833" w:type="dxa"/>
            <w:vAlign w:val="center"/>
          </w:tcPr>
          <w:p>
            <w:pPr>
              <w:pStyle w:val="16"/>
              <w:spacing w:line="400" w:lineRule="exact"/>
              <w:jc w:val="center"/>
              <w:rPr>
                <w:rFonts w:hAnsi="宋体"/>
                <w:sz w:val="24"/>
                <w:szCs w:val="24"/>
              </w:rPr>
            </w:pPr>
            <w:r>
              <w:rPr>
                <w:rFonts w:hint="eastAsia" w:hAnsi="宋体"/>
                <w:sz w:val="24"/>
                <w:szCs w:val="24"/>
              </w:rPr>
              <w:t>采购要求</w:t>
            </w:r>
          </w:p>
        </w:tc>
        <w:tc>
          <w:tcPr>
            <w:tcW w:w="2180" w:type="dxa"/>
            <w:vAlign w:val="center"/>
          </w:tcPr>
          <w:p>
            <w:pPr>
              <w:pStyle w:val="16"/>
              <w:spacing w:line="400" w:lineRule="exact"/>
              <w:jc w:val="center"/>
              <w:rPr>
                <w:rFonts w:hAnsi="宋体"/>
                <w:sz w:val="24"/>
                <w:szCs w:val="24"/>
              </w:rPr>
            </w:pPr>
            <w:r>
              <w:rPr>
                <w:rFonts w:hint="eastAsia" w:hAnsi="宋体"/>
                <w:sz w:val="24"/>
                <w:szCs w:val="24"/>
              </w:rPr>
              <w:t>竞标内容</w:t>
            </w:r>
          </w:p>
        </w:tc>
        <w:tc>
          <w:tcPr>
            <w:tcW w:w="2867" w:type="dxa"/>
            <w:vAlign w:val="center"/>
          </w:tcPr>
          <w:p>
            <w:pPr>
              <w:pStyle w:val="16"/>
              <w:spacing w:line="400" w:lineRule="exact"/>
              <w:jc w:val="center"/>
              <w:rPr>
                <w:rFonts w:hAnsi="宋体"/>
                <w:sz w:val="24"/>
                <w:szCs w:val="24"/>
              </w:rPr>
            </w:pPr>
            <w:r>
              <w:rPr>
                <w:rFonts w:hint="eastAsia" w:hAnsi="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856" w:type="dxa"/>
          </w:tcPr>
          <w:p>
            <w:pPr>
              <w:pStyle w:val="16"/>
              <w:spacing w:line="400" w:lineRule="exact"/>
              <w:jc w:val="center"/>
              <w:rPr>
                <w:rFonts w:hAnsi="宋体"/>
                <w:sz w:val="24"/>
                <w:szCs w:val="24"/>
              </w:rPr>
            </w:pPr>
          </w:p>
        </w:tc>
        <w:tc>
          <w:tcPr>
            <w:tcW w:w="1732" w:type="dxa"/>
            <w:vAlign w:val="center"/>
          </w:tcPr>
          <w:p>
            <w:pPr>
              <w:pStyle w:val="16"/>
              <w:spacing w:line="400" w:lineRule="exact"/>
              <w:jc w:val="center"/>
              <w:rPr>
                <w:rFonts w:hAnsi="宋体"/>
                <w:sz w:val="24"/>
                <w:szCs w:val="24"/>
              </w:rPr>
            </w:pPr>
          </w:p>
        </w:tc>
        <w:tc>
          <w:tcPr>
            <w:tcW w:w="1833" w:type="dxa"/>
            <w:vAlign w:val="center"/>
          </w:tcPr>
          <w:p>
            <w:pPr>
              <w:pStyle w:val="16"/>
              <w:spacing w:line="400" w:lineRule="exact"/>
              <w:jc w:val="center"/>
              <w:rPr>
                <w:rFonts w:hAnsi="宋体"/>
                <w:sz w:val="24"/>
                <w:szCs w:val="24"/>
              </w:rPr>
            </w:pPr>
          </w:p>
        </w:tc>
        <w:tc>
          <w:tcPr>
            <w:tcW w:w="2180" w:type="dxa"/>
            <w:vAlign w:val="center"/>
          </w:tcPr>
          <w:p>
            <w:pPr>
              <w:pStyle w:val="16"/>
              <w:spacing w:line="400" w:lineRule="exact"/>
              <w:jc w:val="center"/>
              <w:rPr>
                <w:rFonts w:hAnsi="宋体"/>
                <w:sz w:val="24"/>
                <w:szCs w:val="24"/>
              </w:rPr>
            </w:pPr>
          </w:p>
        </w:tc>
        <w:tc>
          <w:tcPr>
            <w:tcW w:w="2867" w:type="dxa"/>
            <w:vAlign w:val="center"/>
          </w:tcPr>
          <w:p>
            <w:pPr>
              <w:pStyle w:val="16"/>
              <w:spacing w:line="400" w:lineRule="exact"/>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856" w:type="dxa"/>
          </w:tcPr>
          <w:p>
            <w:pPr>
              <w:pStyle w:val="16"/>
              <w:spacing w:line="400" w:lineRule="exact"/>
              <w:rPr>
                <w:rFonts w:hAnsi="宋体"/>
                <w:sz w:val="24"/>
                <w:szCs w:val="24"/>
              </w:rPr>
            </w:pPr>
          </w:p>
        </w:tc>
        <w:tc>
          <w:tcPr>
            <w:tcW w:w="1732" w:type="dxa"/>
          </w:tcPr>
          <w:p>
            <w:pPr>
              <w:pStyle w:val="16"/>
              <w:spacing w:line="400" w:lineRule="exact"/>
              <w:rPr>
                <w:rFonts w:hAnsi="宋体"/>
                <w:sz w:val="24"/>
                <w:szCs w:val="24"/>
              </w:rPr>
            </w:pPr>
          </w:p>
        </w:tc>
        <w:tc>
          <w:tcPr>
            <w:tcW w:w="1833" w:type="dxa"/>
          </w:tcPr>
          <w:p>
            <w:pPr>
              <w:pStyle w:val="16"/>
              <w:spacing w:line="400" w:lineRule="exact"/>
              <w:rPr>
                <w:rFonts w:hAnsi="宋体"/>
                <w:sz w:val="24"/>
                <w:szCs w:val="24"/>
              </w:rPr>
            </w:pPr>
          </w:p>
        </w:tc>
        <w:tc>
          <w:tcPr>
            <w:tcW w:w="2180" w:type="dxa"/>
          </w:tcPr>
          <w:p>
            <w:pPr>
              <w:pStyle w:val="16"/>
              <w:spacing w:line="400" w:lineRule="exact"/>
              <w:rPr>
                <w:rFonts w:hAnsi="宋体"/>
                <w:sz w:val="24"/>
                <w:szCs w:val="24"/>
              </w:rPr>
            </w:pPr>
          </w:p>
        </w:tc>
        <w:tc>
          <w:tcPr>
            <w:tcW w:w="2867" w:type="dxa"/>
          </w:tcPr>
          <w:p>
            <w:pPr>
              <w:pStyle w:val="16"/>
              <w:spacing w:line="400" w:lineRule="exac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9" w:hRule="atLeast"/>
        </w:trPr>
        <w:tc>
          <w:tcPr>
            <w:tcW w:w="856" w:type="dxa"/>
          </w:tcPr>
          <w:p>
            <w:pPr>
              <w:pStyle w:val="16"/>
              <w:spacing w:line="400" w:lineRule="exact"/>
              <w:rPr>
                <w:rFonts w:hAnsi="宋体"/>
                <w:sz w:val="24"/>
                <w:szCs w:val="24"/>
              </w:rPr>
            </w:pPr>
          </w:p>
        </w:tc>
        <w:tc>
          <w:tcPr>
            <w:tcW w:w="1732" w:type="dxa"/>
          </w:tcPr>
          <w:p>
            <w:pPr>
              <w:pStyle w:val="16"/>
              <w:spacing w:line="400" w:lineRule="exact"/>
              <w:rPr>
                <w:rFonts w:hAnsi="宋体"/>
                <w:sz w:val="24"/>
                <w:szCs w:val="24"/>
              </w:rPr>
            </w:pPr>
          </w:p>
        </w:tc>
        <w:tc>
          <w:tcPr>
            <w:tcW w:w="1833" w:type="dxa"/>
          </w:tcPr>
          <w:p>
            <w:pPr>
              <w:pStyle w:val="16"/>
              <w:spacing w:line="400" w:lineRule="exact"/>
              <w:rPr>
                <w:rFonts w:hAnsi="宋体"/>
                <w:sz w:val="24"/>
                <w:szCs w:val="24"/>
              </w:rPr>
            </w:pPr>
          </w:p>
        </w:tc>
        <w:tc>
          <w:tcPr>
            <w:tcW w:w="2180" w:type="dxa"/>
          </w:tcPr>
          <w:p>
            <w:pPr>
              <w:pStyle w:val="16"/>
              <w:spacing w:line="400" w:lineRule="exact"/>
              <w:rPr>
                <w:rFonts w:hAnsi="宋体"/>
                <w:sz w:val="24"/>
                <w:szCs w:val="24"/>
              </w:rPr>
            </w:pPr>
          </w:p>
        </w:tc>
        <w:tc>
          <w:tcPr>
            <w:tcW w:w="2867" w:type="dxa"/>
          </w:tcPr>
          <w:p>
            <w:pPr>
              <w:pStyle w:val="16"/>
              <w:spacing w:line="400" w:lineRule="exac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856" w:type="dxa"/>
          </w:tcPr>
          <w:p>
            <w:pPr>
              <w:pStyle w:val="16"/>
              <w:spacing w:line="400" w:lineRule="exact"/>
              <w:rPr>
                <w:rFonts w:hAnsi="宋体"/>
                <w:sz w:val="24"/>
                <w:szCs w:val="24"/>
              </w:rPr>
            </w:pPr>
          </w:p>
        </w:tc>
        <w:tc>
          <w:tcPr>
            <w:tcW w:w="1732" w:type="dxa"/>
          </w:tcPr>
          <w:p>
            <w:pPr>
              <w:pStyle w:val="16"/>
              <w:spacing w:line="400" w:lineRule="exact"/>
              <w:rPr>
                <w:rFonts w:hAnsi="宋体"/>
                <w:sz w:val="24"/>
                <w:szCs w:val="24"/>
              </w:rPr>
            </w:pPr>
          </w:p>
        </w:tc>
        <w:tc>
          <w:tcPr>
            <w:tcW w:w="1833" w:type="dxa"/>
          </w:tcPr>
          <w:p>
            <w:pPr>
              <w:pStyle w:val="16"/>
              <w:spacing w:line="400" w:lineRule="exact"/>
              <w:rPr>
                <w:rFonts w:hAnsi="宋体"/>
                <w:sz w:val="24"/>
                <w:szCs w:val="24"/>
              </w:rPr>
            </w:pPr>
          </w:p>
        </w:tc>
        <w:tc>
          <w:tcPr>
            <w:tcW w:w="2180" w:type="dxa"/>
          </w:tcPr>
          <w:p>
            <w:pPr>
              <w:pStyle w:val="16"/>
              <w:spacing w:line="400" w:lineRule="exact"/>
              <w:rPr>
                <w:rFonts w:hAnsi="宋体"/>
                <w:sz w:val="24"/>
                <w:szCs w:val="24"/>
              </w:rPr>
            </w:pPr>
          </w:p>
        </w:tc>
        <w:tc>
          <w:tcPr>
            <w:tcW w:w="2867" w:type="dxa"/>
          </w:tcPr>
          <w:p>
            <w:pPr>
              <w:pStyle w:val="16"/>
              <w:spacing w:line="400" w:lineRule="exac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856" w:type="dxa"/>
          </w:tcPr>
          <w:p>
            <w:pPr>
              <w:pStyle w:val="16"/>
              <w:spacing w:line="400" w:lineRule="exact"/>
              <w:rPr>
                <w:rFonts w:hAnsi="宋体"/>
                <w:sz w:val="24"/>
                <w:szCs w:val="24"/>
              </w:rPr>
            </w:pPr>
          </w:p>
        </w:tc>
        <w:tc>
          <w:tcPr>
            <w:tcW w:w="1732" w:type="dxa"/>
          </w:tcPr>
          <w:p>
            <w:pPr>
              <w:pStyle w:val="16"/>
              <w:spacing w:line="400" w:lineRule="exact"/>
              <w:rPr>
                <w:rFonts w:hAnsi="宋体"/>
                <w:sz w:val="24"/>
                <w:szCs w:val="24"/>
              </w:rPr>
            </w:pPr>
          </w:p>
        </w:tc>
        <w:tc>
          <w:tcPr>
            <w:tcW w:w="1833" w:type="dxa"/>
          </w:tcPr>
          <w:p>
            <w:pPr>
              <w:pStyle w:val="16"/>
              <w:spacing w:line="400" w:lineRule="exact"/>
              <w:rPr>
                <w:rFonts w:hAnsi="宋体"/>
                <w:sz w:val="24"/>
                <w:szCs w:val="24"/>
              </w:rPr>
            </w:pPr>
          </w:p>
        </w:tc>
        <w:tc>
          <w:tcPr>
            <w:tcW w:w="2180" w:type="dxa"/>
          </w:tcPr>
          <w:p>
            <w:pPr>
              <w:pStyle w:val="16"/>
              <w:spacing w:line="400" w:lineRule="exact"/>
              <w:rPr>
                <w:rFonts w:hAnsi="宋体"/>
                <w:sz w:val="24"/>
                <w:szCs w:val="24"/>
              </w:rPr>
            </w:pPr>
          </w:p>
        </w:tc>
        <w:tc>
          <w:tcPr>
            <w:tcW w:w="2867" w:type="dxa"/>
          </w:tcPr>
          <w:p>
            <w:pPr>
              <w:pStyle w:val="16"/>
              <w:spacing w:line="400" w:lineRule="exac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9" w:hRule="atLeast"/>
        </w:trPr>
        <w:tc>
          <w:tcPr>
            <w:tcW w:w="856" w:type="dxa"/>
          </w:tcPr>
          <w:p>
            <w:pPr>
              <w:pStyle w:val="16"/>
              <w:spacing w:line="400" w:lineRule="exact"/>
              <w:rPr>
                <w:rFonts w:hAnsi="宋体"/>
                <w:sz w:val="24"/>
                <w:szCs w:val="24"/>
              </w:rPr>
            </w:pPr>
          </w:p>
        </w:tc>
        <w:tc>
          <w:tcPr>
            <w:tcW w:w="1732" w:type="dxa"/>
          </w:tcPr>
          <w:p>
            <w:pPr>
              <w:pStyle w:val="16"/>
              <w:spacing w:line="400" w:lineRule="exact"/>
              <w:rPr>
                <w:rFonts w:hAnsi="宋体"/>
                <w:sz w:val="24"/>
                <w:szCs w:val="24"/>
              </w:rPr>
            </w:pPr>
          </w:p>
        </w:tc>
        <w:tc>
          <w:tcPr>
            <w:tcW w:w="1833" w:type="dxa"/>
          </w:tcPr>
          <w:p>
            <w:pPr>
              <w:pStyle w:val="16"/>
              <w:spacing w:line="400" w:lineRule="exact"/>
              <w:rPr>
                <w:rFonts w:hAnsi="宋体"/>
                <w:sz w:val="24"/>
                <w:szCs w:val="24"/>
              </w:rPr>
            </w:pPr>
          </w:p>
        </w:tc>
        <w:tc>
          <w:tcPr>
            <w:tcW w:w="2180" w:type="dxa"/>
          </w:tcPr>
          <w:p>
            <w:pPr>
              <w:pStyle w:val="16"/>
              <w:spacing w:line="400" w:lineRule="exact"/>
              <w:rPr>
                <w:rFonts w:hAnsi="宋体"/>
                <w:sz w:val="24"/>
                <w:szCs w:val="24"/>
              </w:rPr>
            </w:pPr>
          </w:p>
        </w:tc>
        <w:tc>
          <w:tcPr>
            <w:tcW w:w="2867" w:type="dxa"/>
          </w:tcPr>
          <w:p>
            <w:pPr>
              <w:pStyle w:val="16"/>
              <w:spacing w:line="400" w:lineRule="exac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856" w:type="dxa"/>
          </w:tcPr>
          <w:p>
            <w:pPr>
              <w:pStyle w:val="16"/>
              <w:spacing w:line="400" w:lineRule="exact"/>
              <w:rPr>
                <w:rFonts w:hAnsi="宋体"/>
                <w:sz w:val="24"/>
                <w:szCs w:val="24"/>
              </w:rPr>
            </w:pPr>
          </w:p>
        </w:tc>
        <w:tc>
          <w:tcPr>
            <w:tcW w:w="1732" w:type="dxa"/>
          </w:tcPr>
          <w:p>
            <w:pPr>
              <w:pStyle w:val="16"/>
              <w:spacing w:line="400" w:lineRule="exact"/>
              <w:rPr>
                <w:rFonts w:hAnsi="宋体"/>
                <w:sz w:val="24"/>
                <w:szCs w:val="24"/>
              </w:rPr>
            </w:pPr>
          </w:p>
        </w:tc>
        <w:tc>
          <w:tcPr>
            <w:tcW w:w="1833" w:type="dxa"/>
          </w:tcPr>
          <w:p>
            <w:pPr>
              <w:pStyle w:val="16"/>
              <w:spacing w:line="400" w:lineRule="exact"/>
              <w:rPr>
                <w:rFonts w:hAnsi="宋体"/>
                <w:sz w:val="24"/>
                <w:szCs w:val="24"/>
              </w:rPr>
            </w:pPr>
          </w:p>
        </w:tc>
        <w:tc>
          <w:tcPr>
            <w:tcW w:w="2180" w:type="dxa"/>
          </w:tcPr>
          <w:p>
            <w:pPr>
              <w:pStyle w:val="16"/>
              <w:spacing w:line="400" w:lineRule="exact"/>
              <w:rPr>
                <w:rFonts w:hAnsi="宋体"/>
                <w:sz w:val="24"/>
                <w:szCs w:val="24"/>
              </w:rPr>
            </w:pPr>
          </w:p>
        </w:tc>
        <w:tc>
          <w:tcPr>
            <w:tcW w:w="2867" w:type="dxa"/>
          </w:tcPr>
          <w:p>
            <w:pPr>
              <w:pStyle w:val="16"/>
              <w:spacing w:line="400" w:lineRule="exac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856" w:type="dxa"/>
          </w:tcPr>
          <w:p>
            <w:pPr>
              <w:pStyle w:val="16"/>
              <w:spacing w:line="400" w:lineRule="exact"/>
              <w:rPr>
                <w:rFonts w:hAnsi="宋体"/>
                <w:sz w:val="24"/>
                <w:szCs w:val="24"/>
              </w:rPr>
            </w:pPr>
          </w:p>
        </w:tc>
        <w:tc>
          <w:tcPr>
            <w:tcW w:w="1732" w:type="dxa"/>
          </w:tcPr>
          <w:p>
            <w:pPr>
              <w:pStyle w:val="16"/>
              <w:spacing w:line="400" w:lineRule="exact"/>
              <w:rPr>
                <w:rFonts w:hAnsi="宋体"/>
                <w:sz w:val="24"/>
                <w:szCs w:val="24"/>
              </w:rPr>
            </w:pPr>
          </w:p>
        </w:tc>
        <w:tc>
          <w:tcPr>
            <w:tcW w:w="1833" w:type="dxa"/>
          </w:tcPr>
          <w:p>
            <w:pPr>
              <w:pStyle w:val="16"/>
              <w:spacing w:line="400" w:lineRule="exact"/>
              <w:rPr>
                <w:rFonts w:hAnsi="宋体"/>
                <w:sz w:val="24"/>
                <w:szCs w:val="24"/>
              </w:rPr>
            </w:pPr>
          </w:p>
        </w:tc>
        <w:tc>
          <w:tcPr>
            <w:tcW w:w="2180" w:type="dxa"/>
          </w:tcPr>
          <w:p>
            <w:pPr>
              <w:pStyle w:val="16"/>
              <w:spacing w:line="400" w:lineRule="exact"/>
              <w:rPr>
                <w:rFonts w:hAnsi="宋体"/>
                <w:sz w:val="24"/>
                <w:szCs w:val="24"/>
              </w:rPr>
            </w:pPr>
          </w:p>
        </w:tc>
        <w:tc>
          <w:tcPr>
            <w:tcW w:w="2867" w:type="dxa"/>
          </w:tcPr>
          <w:p>
            <w:pPr>
              <w:pStyle w:val="16"/>
              <w:spacing w:line="400" w:lineRule="exac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9" w:hRule="atLeast"/>
        </w:trPr>
        <w:tc>
          <w:tcPr>
            <w:tcW w:w="856" w:type="dxa"/>
          </w:tcPr>
          <w:p>
            <w:pPr>
              <w:pStyle w:val="16"/>
              <w:spacing w:line="400" w:lineRule="exact"/>
              <w:rPr>
                <w:rFonts w:hAnsi="宋体"/>
                <w:sz w:val="24"/>
                <w:szCs w:val="24"/>
              </w:rPr>
            </w:pPr>
          </w:p>
        </w:tc>
        <w:tc>
          <w:tcPr>
            <w:tcW w:w="1732" w:type="dxa"/>
          </w:tcPr>
          <w:p>
            <w:pPr>
              <w:pStyle w:val="16"/>
              <w:spacing w:line="400" w:lineRule="exact"/>
              <w:rPr>
                <w:rFonts w:hAnsi="宋体"/>
                <w:sz w:val="24"/>
                <w:szCs w:val="24"/>
              </w:rPr>
            </w:pPr>
          </w:p>
        </w:tc>
        <w:tc>
          <w:tcPr>
            <w:tcW w:w="1833" w:type="dxa"/>
          </w:tcPr>
          <w:p>
            <w:pPr>
              <w:pStyle w:val="16"/>
              <w:spacing w:line="400" w:lineRule="exact"/>
              <w:rPr>
                <w:rFonts w:hAnsi="宋体"/>
                <w:sz w:val="24"/>
                <w:szCs w:val="24"/>
              </w:rPr>
            </w:pPr>
          </w:p>
        </w:tc>
        <w:tc>
          <w:tcPr>
            <w:tcW w:w="2180" w:type="dxa"/>
          </w:tcPr>
          <w:p>
            <w:pPr>
              <w:pStyle w:val="16"/>
              <w:spacing w:line="400" w:lineRule="exact"/>
              <w:rPr>
                <w:rFonts w:hAnsi="宋体"/>
                <w:sz w:val="24"/>
                <w:szCs w:val="24"/>
              </w:rPr>
            </w:pPr>
          </w:p>
        </w:tc>
        <w:tc>
          <w:tcPr>
            <w:tcW w:w="2867" w:type="dxa"/>
          </w:tcPr>
          <w:p>
            <w:pPr>
              <w:pStyle w:val="16"/>
              <w:spacing w:line="400" w:lineRule="exact"/>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9" w:hRule="atLeast"/>
        </w:trPr>
        <w:tc>
          <w:tcPr>
            <w:tcW w:w="856" w:type="dxa"/>
          </w:tcPr>
          <w:p>
            <w:pPr>
              <w:pStyle w:val="16"/>
              <w:spacing w:line="400" w:lineRule="exact"/>
              <w:rPr>
                <w:rFonts w:hAnsi="宋体"/>
                <w:sz w:val="24"/>
                <w:szCs w:val="24"/>
              </w:rPr>
            </w:pPr>
          </w:p>
        </w:tc>
        <w:tc>
          <w:tcPr>
            <w:tcW w:w="1732" w:type="dxa"/>
          </w:tcPr>
          <w:p>
            <w:pPr>
              <w:pStyle w:val="16"/>
              <w:spacing w:line="400" w:lineRule="exact"/>
              <w:rPr>
                <w:rFonts w:hAnsi="宋体"/>
                <w:sz w:val="24"/>
                <w:szCs w:val="24"/>
              </w:rPr>
            </w:pPr>
          </w:p>
        </w:tc>
        <w:tc>
          <w:tcPr>
            <w:tcW w:w="1833" w:type="dxa"/>
          </w:tcPr>
          <w:p>
            <w:pPr>
              <w:pStyle w:val="16"/>
              <w:spacing w:line="400" w:lineRule="exact"/>
              <w:rPr>
                <w:rFonts w:hAnsi="宋体"/>
                <w:sz w:val="24"/>
                <w:szCs w:val="24"/>
              </w:rPr>
            </w:pPr>
          </w:p>
        </w:tc>
        <w:tc>
          <w:tcPr>
            <w:tcW w:w="2180" w:type="dxa"/>
          </w:tcPr>
          <w:p>
            <w:pPr>
              <w:pStyle w:val="16"/>
              <w:spacing w:line="400" w:lineRule="exact"/>
              <w:rPr>
                <w:rFonts w:hAnsi="宋体"/>
                <w:sz w:val="24"/>
                <w:szCs w:val="24"/>
              </w:rPr>
            </w:pPr>
          </w:p>
        </w:tc>
        <w:tc>
          <w:tcPr>
            <w:tcW w:w="2867" w:type="dxa"/>
          </w:tcPr>
          <w:p>
            <w:pPr>
              <w:pStyle w:val="16"/>
              <w:spacing w:line="400" w:lineRule="exact"/>
              <w:rPr>
                <w:rFonts w:hAnsi="宋体"/>
                <w:sz w:val="24"/>
                <w:szCs w:val="24"/>
              </w:rPr>
            </w:pPr>
          </w:p>
        </w:tc>
      </w:tr>
    </w:tbl>
    <w:p>
      <w:pPr>
        <w:pStyle w:val="16"/>
        <w:spacing w:line="400" w:lineRule="exact"/>
        <w:rPr>
          <w:rFonts w:hAnsi="宋体"/>
          <w:b/>
          <w:sz w:val="24"/>
          <w:szCs w:val="24"/>
        </w:rPr>
      </w:pPr>
      <w:r>
        <w:rPr>
          <w:rFonts w:hint="eastAsia" w:hAnsi="宋体"/>
          <w:b/>
          <w:sz w:val="24"/>
          <w:szCs w:val="24"/>
        </w:rPr>
        <w:t>说明：偏离说明中应对应采购要求填写“无偏离”、 “正偏离”或“负偏离”。</w:t>
      </w:r>
    </w:p>
    <w:p>
      <w:pPr>
        <w:pStyle w:val="16"/>
        <w:spacing w:line="400" w:lineRule="exact"/>
        <w:rPr>
          <w:rFonts w:hAnsi="宋体"/>
          <w:b/>
          <w:sz w:val="24"/>
          <w:szCs w:val="24"/>
        </w:rPr>
      </w:pPr>
      <w:r>
        <w:rPr>
          <w:rFonts w:hint="eastAsia" w:hAnsi="宋体"/>
          <w:b/>
          <w:sz w:val="24"/>
          <w:szCs w:val="24"/>
        </w:rPr>
        <w:t>其中与竞争性谈判文件要求一致的填“无偏离”，优于竞争性谈判文件要求的填“正偏离”，劣于竞争性谈判文件要求的填“负偏离”。</w:t>
      </w:r>
    </w:p>
    <w:p>
      <w:pPr>
        <w:pStyle w:val="16"/>
        <w:spacing w:line="400" w:lineRule="exact"/>
        <w:rPr>
          <w:rFonts w:hAnsi="宋体"/>
          <w:sz w:val="24"/>
          <w:szCs w:val="24"/>
        </w:rPr>
      </w:pPr>
    </w:p>
    <w:p>
      <w:pPr>
        <w:pStyle w:val="16"/>
        <w:spacing w:line="400" w:lineRule="exact"/>
        <w:rPr>
          <w:rFonts w:hAnsi="宋体"/>
          <w:sz w:val="24"/>
          <w:szCs w:val="24"/>
        </w:rPr>
      </w:pPr>
    </w:p>
    <w:p>
      <w:pPr>
        <w:pStyle w:val="16"/>
        <w:spacing w:line="400" w:lineRule="exact"/>
        <w:ind w:firstLine="5040" w:firstLineChars="2100"/>
        <w:rPr>
          <w:rFonts w:hAnsi="宋体"/>
          <w:sz w:val="24"/>
          <w:szCs w:val="24"/>
        </w:rPr>
      </w:pPr>
    </w:p>
    <w:p>
      <w:pPr>
        <w:pStyle w:val="16"/>
        <w:spacing w:line="400" w:lineRule="exact"/>
        <w:ind w:firstLine="5040" w:firstLineChars="2100"/>
        <w:rPr>
          <w:rFonts w:hAnsi="宋体"/>
          <w:sz w:val="24"/>
          <w:szCs w:val="24"/>
        </w:rPr>
      </w:pPr>
      <w:r>
        <w:rPr>
          <w:rFonts w:hint="eastAsia" w:hAnsi="宋体"/>
          <w:sz w:val="24"/>
          <w:szCs w:val="24"/>
        </w:rPr>
        <w:t>竞标人（盖章）</w:t>
      </w:r>
    </w:p>
    <w:p>
      <w:pPr>
        <w:pStyle w:val="16"/>
        <w:spacing w:line="400" w:lineRule="exact"/>
        <w:ind w:firstLine="5040" w:firstLineChars="2100"/>
        <w:rPr>
          <w:rFonts w:hAnsi="宋体"/>
          <w:sz w:val="24"/>
          <w:szCs w:val="24"/>
        </w:rPr>
      </w:pPr>
    </w:p>
    <w:p>
      <w:pPr>
        <w:autoSpaceDE w:val="0"/>
        <w:autoSpaceDN w:val="0"/>
        <w:adjustRightInd w:val="0"/>
        <w:ind w:firstLine="3720" w:firstLineChars="1550"/>
        <w:rPr>
          <w:rFonts w:ascii="宋体" w:hAnsi="宋体"/>
          <w:sz w:val="24"/>
          <w:szCs w:val="24"/>
          <w:u w:val="single"/>
        </w:rPr>
      </w:pPr>
      <w:r>
        <w:rPr>
          <w:rFonts w:hint="eastAsia" w:ascii="宋体" w:hAnsi="宋体"/>
          <w:sz w:val="24"/>
          <w:szCs w:val="24"/>
        </w:rPr>
        <w:t>法定代表人或授权委托代理人（签字）：</w:t>
      </w:r>
      <w:r>
        <w:rPr>
          <w:rFonts w:hint="eastAsia" w:ascii="宋体" w:hAnsi="宋体"/>
          <w:sz w:val="24"/>
          <w:szCs w:val="24"/>
          <w:u w:val="single"/>
        </w:rPr>
        <w:t xml:space="preserve"> </w:t>
      </w:r>
      <w:bookmarkStart w:id="293" w:name="_Toc219054967"/>
    </w:p>
    <w:p>
      <w:pPr>
        <w:autoSpaceDE w:val="0"/>
        <w:autoSpaceDN w:val="0"/>
        <w:adjustRightInd w:val="0"/>
        <w:ind w:firstLine="5040" w:firstLineChars="2100"/>
        <w:rPr>
          <w:rFonts w:ascii="宋体" w:hAnsi="宋体"/>
          <w:sz w:val="24"/>
          <w:szCs w:val="24"/>
          <w:u w:val="single"/>
        </w:rPr>
      </w:pPr>
    </w:p>
    <w:p>
      <w:pPr>
        <w:autoSpaceDE w:val="0"/>
        <w:autoSpaceDN w:val="0"/>
        <w:adjustRightInd w:val="0"/>
        <w:ind w:firstLine="5040" w:firstLineChars="2100"/>
        <w:rPr>
          <w:rFonts w:ascii="宋体" w:hAnsi="宋体"/>
          <w:sz w:val="24"/>
          <w:szCs w:val="24"/>
        </w:rPr>
      </w:pPr>
      <w:r>
        <w:rPr>
          <w:rFonts w:hint="eastAsia" w:ascii="宋体" w:hAnsi="宋体"/>
          <w:sz w:val="24"/>
          <w:szCs w:val="24"/>
        </w:rPr>
        <w:t>日期：   年   月   日</w:t>
      </w:r>
    </w:p>
    <w:p>
      <w:pPr>
        <w:autoSpaceDE w:val="0"/>
        <w:autoSpaceDN w:val="0"/>
        <w:adjustRightInd w:val="0"/>
        <w:ind w:firstLine="5040" w:firstLineChars="2100"/>
        <w:rPr>
          <w:rFonts w:ascii="宋体" w:hAnsi="宋体"/>
          <w:sz w:val="24"/>
          <w:szCs w:val="24"/>
          <w:u w:val="single"/>
        </w:rPr>
      </w:pPr>
    </w:p>
    <w:p>
      <w:pPr>
        <w:autoSpaceDE w:val="0"/>
        <w:autoSpaceDN w:val="0"/>
        <w:adjustRightInd w:val="0"/>
        <w:ind w:firstLine="5040" w:firstLineChars="2100"/>
        <w:rPr>
          <w:rFonts w:ascii="宋体" w:hAnsi="宋体"/>
          <w:sz w:val="24"/>
          <w:szCs w:val="24"/>
          <w:u w:val="single"/>
        </w:rPr>
      </w:pPr>
    </w:p>
    <w:p>
      <w:pPr>
        <w:autoSpaceDE w:val="0"/>
        <w:autoSpaceDN w:val="0"/>
        <w:adjustRightInd w:val="0"/>
        <w:ind w:firstLine="4410" w:firstLineChars="2100"/>
        <w:rPr>
          <w:rFonts w:ascii="宋体" w:hAnsi="宋体"/>
          <w:u w:val="single"/>
        </w:rPr>
      </w:pPr>
    </w:p>
    <w:p>
      <w:pPr>
        <w:pStyle w:val="3"/>
        <w:jc w:val="center"/>
        <w:rPr>
          <w:rFonts w:ascii="宋体" w:hAnsi="宋体" w:eastAsia="宋体"/>
          <w:sz w:val="28"/>
        </w:rPr>
      </w:pPr>
      <w:bookmarkStart w:id="294" w:name="_Toc6047141"/>
      <w:bookmarkStart w:id="295" w:name="_Toc340341958"/>
      <w:r>
        <w:rPr>
          <w:rFonts w:hint="eastAsia" w:ascii="宋体" w:hAnsi="宋体" w:eastAsia="宋体"/>
        </w:rPr>
        <w:t>五、售后服务承诺书（格式）</w:t>
      </w:r>
      <w:bookmarkEnd w:id="293"/>
      <w:bookmarkEnd w:id="294"/>
      <w:bookmarkEnd w:id="295"/>
    </w:p>
    <w:p>
      <w:pPr>
        <w:pStyle w:val="16"/>
        <w:jc w:val="center"/>
        <w:rPr>
          <w:rFonts w:hAnsi="宋体"/>
          <w:sz w:val="24"/>
          <w:szCs w:val="24"/>
        </w:rPr>
      </w:pPr>
      <w:r>
        <w:rPr>
          <w:rFonts w:hint="eastAsia" w:hAnsi="宋体"/>
          <w:sz w:val="24"/>
          <w:szCs w:val="24"/>
        </w:rPr>
        <w:t>(由竞标人根据项目要求及《货物需求一览表》的全部内容及售后服务要求自行承诺)</w:t>
      </w:r>
    </w:p>
    <w:p>
      <w:pPr>
        <w:pStyle w:val="16"/>
        <w:rPr>
          <w:rFonts w:hAnsi="宋体"/>
          <w:sz w:val="24"/>
          <w:szCs w:val="24"/>
        </w:rPr>
      </w:pPr>
    </w:p>
    <w:p>
      <w:pPr>
        <w:pStyle w:val="16"/>
        <w:rPr>
          <w:rFonts w:hAnsi="宋体"/>
          <w:sz w:val="24"/>
          <w:szCs w:val="24"/>
        </w:rPr>
      </w:pPr>
    </w:p>
    <w:p>
      <w:pPr>
        <w:pStyle w:val="16"/>
        <w:rPr>
          <w:rFonts w:hAnsi="宋体"/>
          <w:sz w:val="24"/>
          <w:szCs w:val="24"/>
        </w:rPr>
      </w:pPr>
    </w:p>
    <w:p>
      <w:pPr>
        <w:pStyle w:val="16"/>
        <w:rPr>
          <w:rFonts w:hAnsi="宋体"/>
          <w:sz w:val="24"/>
          <w:szCs w:val="24"/>
        </w:rPr>
      </w:pPr>
    </w:p>
    <w:p>
      <w:pPr>
        <w:pStyle w:val="16"/>
        <w:rPr>
          <w:rFonts w:hAnsi="宋体"/>
          <w:sz w:val="24"/>
          <w:szCs w:val="24"/>
        </w:rPr>
      </w:pPr>
    </w:p>
    <w:p>
      <w:pPr>
        <w:pStyle w:val="16"/>
        <w:rPr>
          <w:rFonts w:hAnsi="宋体"/>
          <w:sz w:val="24"/>
          <w:szCs w:val="24"/>
        </w:rPr>
      </w:pPr>
    </w:p>
    <w:p>
      <w:pPr>
        <w:pStyle w:val="16"/>
        <w:rPr>
          <w:rFonts w:hAnsi="宋体"/>
          <w:sz w:val="24"/>
          <w:szCs w:val="24"/>
        </w:rPr>
      </w:pPr>
    </w:p>
    <w:p>
      <w:pPr>
        <w:pStyle w:val="16"/>
        <w:rPr>
          <w:rFonts w:hAnsi="宋体"/>
          <w:sz w:val="24"/>
          <w:szCs w:val="24"/>
        </w:rPr>
      </w:pPr>
    </w:p>
    <w:p>
      <w:pPr>
        <w:pStyle w:val="16"/>
        <w:rPr>
          <w:rFonts w:hAnsi="宋体"/>
          <w:sz w:val="24"/>
          <w:szCs w:val="24"/>
        </w:rPr>
      </w:pPr>
    </w:p>
    <w:p>
      <w:pPr>
        <w:pStyle w:val="16"/>
        <w:rPr>
          <w:rFonts w:hAnsi="宋体"/>
          <w:sz w:val="24"/>
          <w:szCs w:val="24"/>
        </w:rPr>
      </w:pPr>
    </w:p>
    <w:p>
      <w:pPr>
        <w:pStyle w:val="16"/>
        <w:rPr>
          <w:rFonts w:hAnsi="宋体"/>
          <w:sz w:val="24"/>
          <w:szCs w:val="24"/>
        </w:rPr>
      </w:pPr>
    </w:p>
    <w:p>
      <w:pPr>
        <w:pStyle w:val="16"/>
        <w:rPr>
          <w:rFonts w:hAnsi="宋体"/>
          <w:sz w:val="24"/>
          <w:szCs w:val="24"/>
        </w:rPr>
      </w:pPr>
      <w:r>
        <w:rPr>
          <w:rFonts w:hint="eastAsia" w:hAnsi="宋体"/>
          <w:sz w:val="24"/>
          <w:szCs w:val="24"/>
        </w:rPr>
        <w:t>竞标人（单位公章）</w:t>
      </w:r>
    </w:p>
    <w:p>
      <w:pPr>
        <w:pStyle w:val="16"/>
        <w:rPr>
          <w:rFonts w:hAnsi="宋体"/>
          <w:sz w:val="24"/>
          <w:szCs w:val="24"/>
        </w:rPr>
      </w:pPr>
    </w:p>
    <w:p>
      <w:pPr>
        <w:pStyle w:val="16"/>
        <w:rPr>
          <w:rFonts w:hAnsi="宋体"/>
          <w:sz w:val="24"/>
          <w:szCs w:val="24"/>
          <w:u w:val="single"/>
        </w:rPr>
      </w:pPr>
      <w:r>
        <w:rPr>
          <w:rFonts w:hint="eastAsia" w:hAnsi="宋体"/>
          <w:sz w:val="24"/>
          <w:szCs w:val="24"/>
        </w:rPr>
        <w:t>法定代表人或委托代理人签字</w:t>
      </w:r>
      <w:r>
        <w:rPr>
          <w:rFonts w:hint="eastAsia" w:hAnsi="宋体"/>
          <w:sz w:val="24"/>
          <w:szCs w:val="24"/>
          <w:u w:val="single"/>
        </w:rPr>
        <w:t xml:space="preserve"> </w:t>
      </w:r>
    </w:p>
    <w:p>
      <w:pPr>
        <w:pStyle w:val="16"/>
        <w:rPr>
          <w:rFonts w:hAnsi="宋体"/>
          <w:sz w:val="24"/>
          <w:szCs w:val="24"/>
        </w:rPr>
      </w:pPr>
    </w:p>
    <w:p>
      <w:pPr>
        <w:pStyle w:val="16"/>
        <w:rPr>
          <w:rFonts w:hAnsi="宋体"/>
          <w:sz w:val="24"/>
          <w:szCs w:val="24"/>
        </w:rPr>
      </w:pPr>
      <w:r>
        <w:rPr>
          <w:rFonts w:hint="eastAsia" w:hAnsi="宋体"/>
          <w:sz w:val="24"/>
          <w:szCs w:val="24"/>
        </w:rPr>
        <w:t>日期：   年   月   日</w:t>
      </w: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3"/>
        <w:jc w:val="center"/>
      </w:pPr>
      <w:bookmarkStart w:id="296" w:name="_Toc219054968"/>
      <w:bookmarkStart w:id="297" w:name="_Toc340341959"/>
      <w:bookmarkStart w:id="298" w:name="_Toc6047142"/>
      <w:r>
        <w:rPr>
          <w:rFonts w:hint="eastAsia" w:ascii="宋体" w:hAnsi="宋体" w:eastAsia="宋体"/>
        </w:rPr>
        <w:t>六、资格证明文件（格式）</w:t>
      </w:r>
      <w:bookmarkEnd w:id="296"/>
      <w:bookmarkEnd w:id="297"/>
      <w:bookmarkEnd w:id="298"/>
    </w:p>
    <w:p>
      <w:pPr>
        <w:pStyle w:val="16"/>
        <w:snapToGrid w:val="0"/>
        <w:spacing w:line="440" w:lineRule="exact"/>
        <w:ind w:firstLine="482" w:firstLineChars="200"/>
        <w:rPr>
          <w:rFonts w:hAnsi="宋体"/>
          <w:b/>
          <w:color w:val="FF0000"/>
          <w:sz w:val="24"/>
          <w:szCs w:val="24"/>
        </w:rPr>
      </w:pPr>
      <w:r>
        <w:rPr>
          <w:rFonts w:hint="eastAsia" w:hAnsi="宋体"/>
          <w:b/>
          <w:color w:val="FF0000"/>
          <w:sz w:val="24"/>
          <w:szCs w:val="24"/>
        </w:rPr>
        <w:t>资格证明文件应包含以下材料[其中（1）、（2）、（3）、（5）、（6）、（7）、（8）、（9）项所要求提交的文件均必须提交，同时要加盖竞标人公章否则其竞标无效；第（5）项如为委托代理时必须提供，否则竞标无效]：</w:t>
      </w:r>
    </w:p>
    <w:p>
      <w:pPr>
        <w:pStyle w:val="16"/>
        <w:snapToGrid w:val="0"/>
        <w:spacing w:line="440" w:lineRule="exact"/>
        <w:ind w:firstLine="420"/>
        <w:rPr>
          <w:rFonts w:hAnsi="宋体"/>
          <w:b/>
          <w:color w:val="FF0000"/>
          <w:sz w:val="24"/>
          <w:szCs w:val="24"/>
        </w:rPr>
      </w:pPr>
      <w:r>
        <w:rPr>
          <w:rFonts w:hint="eastAsia" w:hAnsi="宋体"/>
          <w:b/>
          <w:color w:val="FF0000"/>
          <w:sz w:val="24"/>
          <w:szCs w:val="24"/>
        </w:rPr>
        <w:t>（1）</w:t>
      </w:r>
      <w:r>
        <w:rPr>
          <w:rFonts w:hint="eastAsia" w:hAnsi="宋体"/>
          <w:b/>
          <w:color w:val="FF0000"/>
          <w:kern w:val="0"/>
          <w:sz w:val="24"/>
          <w:szCs w:val="24"/>
        </w:rPr>
        <w:t>有效的企业法人营业执照或事业单位法人证书复印件</w:t>
      </w:r>
      <w:r>
        <w:rPr>
          <w:rFonts w:hint="eastAsia" w:hAnsi="宋体"/>
          <w:b/>
          <w:color w:val="FF0000"/>
          <w:sz w:val="24"/>
          <w:szCs w:val="24"/>
        </w:rPr>
        <w:t>；</w:t>
      </w:r>
      <w:r>
        <w:rPr>
          <w:rFonts w:hAnsi="宋体"/>
          <w:b/>
          <w:color w:val="FF0000"/>
          <w:sz w:val="24"/>
          <w:szCs w:val="24"/>
        </w:rPr>
        <w:t>(</w:t>
      </w:r>
      <w:r>
        <w:rPr>
          <w:rFonts w:hint="eastAsia" w:hAnsi="宋体"/>
          <w:b/>
          <w:color w:val="FF0000"/>
          <w:sz w:val="24"/>
          <w:szCs w:val="24"/>
        </w:rPr>
        <w:t>必须提交，加盖公章</w:t>
      </w:r>
      <w:r>
        <w:rPr>
          <w:rFonts w:hAnsi="宋体"/>
          <w:b/>
          <w:color w:val="FF0000"/>
          <w:sz w:val="24"/>
          <w:szCs w:val="24"/>
        </w:rPr>
        <w:t>)</w:t>
      </w:r>
    </w:p>
    <w:p>
      <w:pPr>
        <w:pStyle w:val="16"/>
        <w:snapToGrid w:val="0"/>
        <w:spacing w:line="440" w:lineRule="exact"/>
        <w:ind w:firstLine="420"/>
        <w:rPr>
          <w:rFonts w:hAnsi="宋体"/>
          <w:b/>
          <w:color w:val="FF0000"/>
          <w:sz w:val="24"/>
          <w:szCs w:val="24"/>
        </w:rPr>
      </w:pPr>
      <w:r>
        <w:rPr>
          <w:rFonts w:hint="eastAsia" w:hAnsi="宋体"/>
          <w:b/>
          <w:color w:val="FF0000"/>
          <w:sz w:val="24"/>
          <w:szCs w:val="24"/>
        </w:rPr>
        <w:t>（2）竞标人最近半年内任意一个月依法缴纳税收的凭证复印件（如税务机关开具的完税证、银行缴税付款凭证或缴款回单等（新成立的企业请按实际提供，无纳税记录的，应提供竞标人所在地的税务部门出具的《依法纳税或依法免税证明》复印件）；（必须提交，加盖公章，新成立的企业请按实际提供）</w:t>
      </w:r>
    </w:p>
    <w:p>
      <w:pPr>
        <w:pStyle w:val="16"/>
        <w:snapToGrid w:val="0"/>
        <w:spacing w:line="440" w:lineRule="exact"/>
        <w:ind w:firstLine="361" w:firstLineChars="150"/>
        <w:rPr>
          <w:rFonts w:hAnsi="宋体"/>
          <w:b/>
          <w:color w:val="FF0000"/>
          <w:sz w:val="24"/>
          <w:szCs w:val="24"/>
        </w:rPr>
      </w:pPr>
      <w:r>
        <w:rPr>
          <w:rFonts w:hint="eastAsia" w:hAnsi="宋体"/>
          <w:b/>
          <w:color w:val="FF0000"/>
          <w:sz w:val="24"/>
          <w:szCs w:val="24"/>
        </w:rPr>
        <w:t>（3）</w:t>
      </w:r>
      <w:r>
        <w:rPr>
          <w:rFonts w:hint="eastAsia" w:hAnsi="宋体" w:cs="宋体"/>
          <w:b/>
          <w:color w:val="FF0000"/>
          <w:sz w:val="24"/>
          <w:szCs w:val="24"/>
        </w:rPr>
        <w:t>竞标人最近半年内任意一个月依法缴纳社保费的缴费凭证复印件；无缴费记录的，应提供由供应商所在地社保部门出具的《依法缴纳或依法免缴社保费证明》复印件；（必须提交，加盖公章，新成立的企业请按实际提供）</w:t>
      </w:r>
    </w:p>
    <w:p>
      <w:pPr>
        <w:pStyle w:val="16"/>
        <w:snapToGrid w:val="0"/>
        <w:spacing w:line="440" w:lineRule="exact"/>
        <w:ind w:firstLine="361" w:firstLineChars="150"/>
        <w:rPr>
          <w:rFonts w:hAnsi="宋体"/>
          <w:b/>
          <w:color w:val="FF0000"/>
          <w:sz w:val="24"/>
          <w:szCs w:val="24"/>
        </w:rPr>
      </w:pPr>
      <w:r>
        <w:rPr>
          <w:rFonts w:hint="eastAsia" w:hAnsi="宋体"/>
          <w:b/>
          <w:color w:val="FF0000"/>
          <w:sz w:val="24"/>
          <w:szCs w:val="24"/>
        </w:rPr>
        <w:t>（4）法定代表人身份证复印件；</w:t>
      </w:r>
      <w:r>
        <w:rPr>
          <w:rFonts w:hAnsi="宋体"/>
          <w:b/>
          <w:color w:val="FF0000"/>
          <w:sz w:val="24"/>
          <w:szCs w:val="24"/>
        </w:rPr>
        <w:t>(</w:t>
      </w:r>
      <w:r>
        <w:rPr>
          <w:rFonts w:hint="eastAsia" w:hAnsi="宋体"/>
          <w:b/>
          <w:color w:val="FF0000"/>
          <w:sz w:val="24"/>
          <w:szCs w:val="24"/>
        </w:rPr>
        <w:t>必须提交，加盖公章</w:t>
      </w:r>
      <w:r>
        <w:rPr>
          <w:rFonts w:hAnsi="宋体"/>
          <w:b/>
          <w:color w:val="FF0000"/>
          <w:sz w:val="24"/>
          <w:szCs w:val="24"/>
        </w:rPr>
        <w:t>)</w:t>
      </w:r>
    </w:p>
    <w:p>
      <w:pPr>
        <w:pStyle w:val="16"/>
        <w:snapToGrid w:val="0"/>
        <w:spacing w:line="440" w:lineRule="exact"/>
        <w:ind w:firstLine="357" w:firstLineChars="148"/>
        <w:rPr>
          <w:rFonts w:hAnsi="宋体"/>
          <w:b/>
          <w:color w:val="FF0000"/>
          <w:sz w:val="24"/>
          <w:szCs w:val="24"/>
        </w:rPr>
      </w:pPr>
      <w:r>
        <w:rPr>
          <w:rFonts w:hint="eastAsia" w:hAnsi="宋体"/>
          <w:b/>
          <w:color w:val="FF0000"/>
          <w:sz w:val="24"/>
          <w:szCs w:val="24"/>
        </w:rPr>
        <w:t>（5）法定代表人授权委托书原件和授权委托代理人身份证复印件（委托代理时必须提供，且加盖单位公章）；</w:t>
      </w:r>
    </w:p>
    <w:p>
      <w:pPr>
        <w:pStyle w:val="16"/>
        <w:snapToGrid w:val="0"/>
        <w:spacing w:line="440" w:lineRule="exact"/>
        <w:ind w:firstLine="236" w:firstLineChars="98"/>
        <w:rPr>
          <w:rFonts w:hAnsi="宋体"/>
          <w:b/>
          <w:color w:val="FF0000"/>
          <w:sz w:val="24"/>
          <w:szCs w:val="24"/>
        </w:rPr>
      </w:pPr>
      <w:r>
        <w:rPr>
          <w:rFonts w:hint="eastAsia" w:hAnsi="宋体"/>
          <w:b/>
          <w:color w:val="FF0000"/>
          <w:sz w:val="24"/>
          <w:szCs w:val="24"/>
        </w:rPr>
        <w:t>（6）竞标保证金交款凭证证明材料复印件；</w:t>
      </w:r>
      <w:r>
        <w:rPr>
          <w:rFonts w:hAnsi="宋体"/>
          <w:b/>
          <w:color w:val="FF0000"/>
          <w:sz w:val="24"/>
          <w:szCs w:val="24"/>
        </w:rPr>
        <w:t>(</w:t>
      </w:r>
      <w:r>
        <w:rPr>
          <w:rFonts w:hint="eastAsia" w:hAnsi="宋体"/>
          <w:b/>
          <w:color w:val="FF0000"/>
          <w:sz w:val="24"/>
          <w:szCs w:val="24"/>
        </w:rPr>
        <w:t>加盖公章，原件备查</w:t>
      </w:r>
      <w:r>
        <w:rPr>
          <w:rFonts w:hAnsi="宋体"/>
          <w:b/>
          <w:color w:val="FF0000"/>
          <w:sz w:val="24"/>
          <w:szCs w:val="24"/>
        </w:rPr>
        <w:t>)</w:t>
      </w:r>
    </w:p>
    <w:p>
      <w:pPr>
        <w:pStyle w:val="16"/>
        <w:snapToGrid w:val="0"/>
        <w:spacing w:line="440" w:lineRule="exact"/>
        <w:ind w:firstLine="236" w:firstLineChars="98"/>
        <w:rPr>
          <w:rFonts w:hAnsi="宋体"/>
          <w:b/>
          <w:color w:val="FF0000"/>
          <w:sz w:val="24"/>
          <w:szCs w:val="24"/>
        </w:rPr>
      </w:pPr>
      <w:r>
        <w:rPr>
          <w:rFonts w:hint="eastAsia" w:hAnsi="宋体"/>
          <w:b/>
          <w:color w:val="FF0000"/>
          <w:sz w:val="24"/>
          <w:szCs w:val="24"/>
        </w:rPr>
        <w:t>（7）竞标人出具的本单位参加政府采购活动前3年内在经营活动中无重大违法记录的书面声明原件(必须提交)；</w:t>
      </w:r>
    </w:p>
    <w:p>
      <w:pPr>
        <w:pStyle w:val="16"/>
        <w:snapToGrid w:val="0"/>
        <w:spacing w:line="440" w:lineRule="exact"/>
        <w:ind w:firstLine="236" w:firstLineChars="98"/>
        <w:rPr>
          <w:rFonts w:hAnsi="宋体"/>
          <w:b/>
          <w:color w:val="FF0000"/>
          <w:sz w:val="24"/>
          <w:szCs w:val="24"/>
        </w:rPr>
      </w:pPr>
      <w:r>
        <w:rPr>
          <w:rFonts w:hint="eastAsia" w:hAnsi="宋体"/>
          <w:b/>
          <w:color w:val="FF0000"/>
          <w:sz w:val="24"/>
          <w:szCs w:val="24"/>
        </w:rPr>
        <w:t>（8）2019年度财务会计审计报告或财务会计报表复印件（加盖公章，新成立的单位请按实际提供）；</w:t>
      </w:r>
    </w:p>
    <w:p>
      <w:pPr>
        <w:pStyle w:val="16"/>
        <w:snapToGrid w:val="0"/>
        <w:spacing w:line="440" w:lineRule="exact"/>
        <w:ind w:firstLine="236" w:firstLineChars="98"/>
        <w:rPr>
          <w:rFonts w:hAnsi="宋体"/>
          <w:b/>
          <w:color w:val="FF0000"/>
          <w:sz w:val="24"/>
          <w:szCs w:val="24"/>
        </w:rPr>
      </w:pPr>
      <w:r>
        <w:rPr>
          <w:rFonts w:hint="eastAsia" w:hAnsi="宋体"/>
          <w:b/>
          <w:color w:val="FF0000"/>
          <w:sz w:val="24"/>
          <w:szCs w:val="24"/>
        </w:rPr>
        <w:t>（9）企业信用信息声明原件（必须提交，附上谈判公告发布之日起至截标时间止在“信用中国”网站(www.creditchina.gov.cn)、中国政府采购网(www.ccgp.gov.cn)等渠道查询的信用记录网页截图打印件作为附件）；</w:t>
      </w:r>
    </w:p>
    <w:p>
      <w:pPr>
        <w:pStyle w:val="16"/>
        <w:spacing w:line="440" w:lineRule="exact"/>
        <w:ind w:firstLine="420"/>
        <w:rPr>
          <w:rFonts w:hAnsi="宋体"/>
        </w:rPr>
      </w:pPr>
    </w:p>
    <w:p>
      <w:pPr>
        <w:pStyle w:val="16"/>
        <w:spacing w:line="440" w:lineRule="exact"/>
        <w:ind w:firstLine="420"/>
        <w:rPr>
          <w:rFonts w:hAnsi="宋体"/>
        </w:rPr>
      </w:pPr>
    </w:p>
    <w:p>
      <w:pPr>
        <w:pStyle w:val="16"/>
        <w:spacing w:line="440" w:lineRule="exact"/>
        <w:ind w:firstLine="420"/>
        <w:rPr>
          <w:rFonts w:hAnsi="宋体"/>
        </w:rPr>
      </w:pPr>
    </w:p>
    <w:p>
      <w:pPr>
        <w:pStyle w:val="16"/>
        <w:spacing w:line="440" w:lineRule="exact"/>
        <w:ind w:firstLine="420"/>
        <w:rPr>
          <w:rFonts w:hAnsi="宋体"/>
        </w:rPr>
      </w:pPr>
    </w:p>
    <w:p>
      <w:pPr>
        <w:pStyle w:val="16"/>
        <w:spacing w:line="440" w:lineRule="exact"/>
        <w:rPr>
          <w:rFonts w:hAnsi="宋体"/>
        </w:rPr>
      </w:pPr>
    </w:p>
    <w:p>
      <w:pPr>
        <w:pStyle w:val="16"/>
        <w:spacing w:line="440" w:lineRule="exact"/>
        <w:rPr>
          <w:rFonts w:hAnsi="宋体"/>
        </w:rPr>
      </w:pPr>
    </w:p>
    <w:p>
      <w:pPr>
        <w:pStyle w:val="16"/>
        <w:spacing w:line="440" w:lineRule="exact"/>
        <w:rPr>
          <w:rFonts w:hAnsi="宋体"/>
        </w:rPr>
      </w:pPr>
    </w:p>
    <w:p>
      <w:pPr>
        <w:pStyle w:val="16"/>
        <w:spacing w:line="440" w:lineRule="exact"/>
        <w:rPr>
          <w:rFonts w:hAnsi="宋体"/>
        </w:rPr>
      </w:pPr>
    </w:p>
    <w:p>
      <w:pPr>
        <w:pStyle w:val="16"/>
        <w:spacing w:line="440" w:lineRule="exact"/>
        <w:rPr>
          <w:rFonts w:hAnsi="宋体"/>
        </w:rPr>
      </w:pPr>
    </w:p>
    <w:p>
      <w:pPr>
        <w:jc w:val="center"/>
        <w:rPr>
          <w:rFonts w:ascii="宋体" w:hAnsi="宋体"/>
          <w:b/>
          <w:sz w:val="32"/>
          <w:szCs w:val="32"/>
        </w:rPr>
      </w:pPr>
      <w:bookmarkStart w:id="299" w:name="_Toc219054969"/>
      <w:bookmarkStart w:id="300" w:name="_Toc340341960"/>
      <w:bookmarkStart w:id="301" w:name="_Toc448329616"/>
      <w:r>
        <w:rPr>
          <w:rFonts w:hint="eastAsia" w:ascii="宋体" w:hAnsi="宋体"/>
          <w:sz w:val="44"/>
          <w:szCs w:val="44"/>
        </w:rPr>
        <w:t xml:space="preserve"> </w:t>
      </w:r>
      <w:r>
        <w:rPr>
          <w:rFonts w:hint="eastAsia" w:ascii="宋体" w:hAnsi="宋体"/>
          <w:b/>
          <w:sz w:val="32"/>
          <w:szCs w:val="32"/>
        </w:rPr>
        <w:t>法定代表人授权委托书（格式）</w:t>
      </w:r>
      <w:bookmarkEnd w:id="299"/>
      <w:bookmarkEnd w:id="300"/>
      <w:bookmarkEnd w:id="301"/>
    </w:p>
    <w:p>
      <w:pPr>
        <w:pStyle w:val="16"/>
        <w:rPr>
          <w:rFonts w:hAnsi="宋体"/>
        </w:rPr>
      </w:pPr>
    </w:p>
    <w:p>
      <w:pPr>
        <w:pStyle w:val="16"/>
        <w:spacing w:line="480" w:lineRule="exact"/>
        <w:ind w:firstLine="420"/>
        <w:rPr>
          <w:rFonts w:hAnsi="宋体"/>
          <w:kern w:val="0"/>
          <w:sz w:val="24"/>
          <w:szCs w:val="24"/>
        </w:rPr>
      </w:pPr>
      <w:r>
        <w:rPr>
          <w:rFonts w:hint="eastAsia" w:hAnsi="宋体"/>
          <w:sz w:val="24"/>
          <w:szCs w:val="24"/>
        </w:rPr>
        <w:t>本人</w:t>
      </w:r>
      <w:r>
        <w:rPr>
          <w:rFonts w:hint="eastAsia" w:hAnsi="宋体"/>
          <w:sz w:val="24"/>
          <w:szCs w:val="24"/>
          <w:u w:val="single"/>
        </w:rPr>
        <w:t xml:space="preserve">      （姓名）</w:t>
      </w:r>
      <w:r>
        <w:rPr>
          <w:rFonts w:hint="eastAsia" w:hAnsi="宋体"/>
          <w:sz w:val="24"/>
          <w:szCs w:val="24"/>
        </w:rPr>
        <w:t>系</w:t>
      </w:r>
      <w:r>
        <w:rPr>
          <w:rFonts w:hint="eastAsia" w:hAnsi="宋体"/>
          <w:sz w:val="24"/>
          <w:szCs w:val="24"/>
          <w:u w:val="single"/>
        </w:rPr>
        <w:t xml:space="preserve">              （竞标人名称）</w:t>
      </w:r>
      <w:r>
        <w:rPr>
          <w:rFonts w:hint="eastAsia" w:hAnsi="宋体"/>
          <w:sz w:val="24"/>
          <w:szCs w:val="24"/>
        </w:rPr>
        <w:t>的法定代表人，现授权</w:t>
      </w:r>
      <w:r>
        <w:rPr>
          <w:rFonts w:hint="eastAsia" w:hAnsi="宋体"/>
          <w:sz w:val="24"/>
          <w:szCs w:val="24"/>
          <w:u w:val="single"/>
        </w:rPr>
        <w:t xml:space="preserve">       </w:t>
      </w:r>
      <w:r>
        <w:rPr>
          <w:rFonts w:hint="eastAsia" w:hAnsi="宋体"/>
          <w:sz w:val="24"/>
          <w:szCs w:val="24"/>
        </w:rPr>
        <w:t>同志为我方参加广西元强建设项目管理有限公司代理的《</w:t>
      </w:r>
      <w:r>
        <w:rPr>
          <w:rFonts w:hint="eastAsia" w:hAnsi="宋体"/>
          <w:sz w:val="24"/>
          <w:szCs w:val="24"/>
          <w:u w:val="single"/>
        </w:rPr>
        <w:t>应急救援装备采购</w:t>
      </w:r>
      <w:r>
        <w:rPr>
          <w:rFonts w:hint="eastAsia" w:hAnsi="宋体"/>
          <w:sz w:val="24"/>
          <w:szCs w:val="24"/>
        </w:rPr>
        <w:t>》项目(项目编号：</w:t>
      </w:r>
      <w:r>
        <w:rPr>
          <w:rFonts w:hAnsi="宋体"/>
          <w:sz w:val="24"/>
          <w:szCs w:val="24"/>
          <w:u w:val="single"/>
        </w:rPr>
        <w:t>BSZC20</w:t>
      </w:r>
      <w:r>
        <w:rPr>
          <w:rFonts w:hint="eastAsia" w:hAnsi="宋体"/>
          <w:sz w:val="24"/>
          <w:szCs w:val="24"/>
          <w:u w:val="single"/>
        </w:rPr>
        <w:t>20</w:t>
      </w:r>
      <w:r>
        <w:rPr>
          <w:rFonts w:hAnsi="宋体"/>
          <w:sz w:val="24"/>
          <w:szCs w:val="24"/>
          <w:u w:val="single"/>
        </w:rPr>
        <w:t>-J1-</w:t>
      </w:r>
      <w:r>
        <w:rPr>
          <w:rFonts w:hint="eastAsia" w:hAnsi="宋体"/>
          <w:sz w:val="24"/>
          <w:szCs w:val="24"/>
          <w:u w:val="single"/>
        </w:rPr>
        <w:t>210366</w:t>
      </w:r>
      <w:r>
        <w:rPr>
          <w:rFonts w:hAnsi="宋体"/>
          <w:sz w:val="24"/>
          <w:szCs w:val="24"/>
          <w:u w:val="single"/>
        </w:rPr>
        <w:t>-</w:t>
      </w:r>
      <w:r>
        <w:rPr>
          <w:rFonts w:hint="eastAsia" w:hAnsi="宋体"/>
          <w:sz w:val="24"/>
          <w:szCs w:val="24"/>
          <w:u w:val="single"/>
        </w:rPr>
        <w:t>GXYQ</w:t>
      </w:r>
      <w:r>
        <w:rPr>
          <w:rFonts w:hint="eastAsia" w:hAnsi="宋体"/>
          <w:sz w:val="24"/>
          <w:szCs w:val="24"/>
        </w:rPr>
        <w:t>)</w:t>
      </w:r>
      <w:r>
        <w:rPr>
          <w:rFonts w:hint="eastAsia" w:hAnsi="宋体"/>
          <w:sz w:val="24"/>
          <w:szCs w:val="24"/>
          <w:u w:val="single"/>
        </w:rPr>
        <w:t xml:space="preserve">   </w:t>
      </w:r>
      <w:r>
        <w:rPr>
          <w:rFonts w:hint="eastAsia" w:hAnsi="宋体"/>
          <w:sz w:val="24"/>
          <w:szCs w:val="24"/>
        </w:rPr>
        <w:t>标段的竞标代理人，</w:t>
      </w:r>
      <w:r>
        <w:rPr>
          <w:rFonts w:hint="eastAsia" w:hAnsi="宋体"/>
          <w:kern w:val="0"/>
          <w:sz w:val="24"/>
          <w:szCs w:val="24"/>
        </w:rPr>
        <w:t>代理人在开标、评审、合同谈判过程中所签署的一切文件和处理与之有关的一切事务，我均予以确认。</w:t>
      </w:r>
    </w:p>
    <w:p>
      <w:pPr>
        <w:pStyle w:val="16"/>
        <w:spacing w:line="480" w:lineRule="exact"/>
        <w:ind w:firstLine="420"/>
        <w:rPr>
          <w:rFonts w:hAnsi="宋体"/>
          <w:sz w:val="24"/>
          <w:szCs w:val="24"/>
        </w:rPr>
      </w:pPr>
      <w:r>
        <w:rPr>
          <w:rFonts w:hint="eastAsia" w:hAnsi="宋体"/>
          <w:sz w:val="24"/>
          <w:szCs w:val="24"/>
        </w:rPr>
        <w:t>代理期限从</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日至</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日止。</w:t>
      </w:r>
    </w:p>
    <w:p>
      <w:pPr>
        <w:autoSpaceDE w:val="0"/>
        <w:autoSpaceDN w:val="0"/>
        <w:adjustRightInd w:val="0"/>
        <w:snapToGrid w:val="0"/>
        <w:spacing w:line="480" w:lineRule="exact"/>
        <w:jc w:val="left"/>
        <w:rPr>
          <w:rFonts w:ascii="宋体" w:hAnsi="宋体"/>
          <w:kern w:val="0"/>
          <w:sz w:val="24"/>
          <w:szCs w:val="24"/>
        </w:rPr>
      </w:pPr>
      <w:r>
        <w:rPr>
          <w:rFonts w:hint="eastAsia" w:ascii="宋体" w:hAnsi="宋体"/>
          <w:kern w:val="0"/>
          <w:sz w:val="24"/>
          <w:szCs w:val="24"/>
        </w:rPr>
        <w:t xml:space="preserve">    </w:t>
      </w:r>
      <w:bookmarkStart w:id="302" w:name="_Toc340341961"/>
      <w:r>
        <w:rPr>
          <w:rFonts w:hint="eastAsia" w:ascii="宋体" w:hAnsi="宋体"/>
          <w:kern w:val="0"/>
          <w:sz w:val="24"/>
          <w:szCs w:val="24"/>
        </w:rPr>
        <w:t>代理人无转委权。特此委托。</w:t>
      </w:r>
      <w:bookmarkEnd w:id="302"/>
    </w:p>
    <w:p>
      <w:pPr>
        <w:pStyle w:val="16"/>
        <w:spacing w:line="480" w:lineRule="exact"/>
        <w:rPr>
          <w:rFonts w:hAnsi="宋体"/>
          <w:sz w:val="24"/>
          <w:szCs w:val="24"/>
          <w:u w:val="single"/>
        </w:rPr>
      </w:pPr>
    </w:p>
    <w:p>
      <w:pPr>
        <w:pStyle w:val="16"/>
        <w:spacing w:line="480" w:lineRule="exact"/>
        <w:rPr>
          <w:rFonts w:hAnsi="宋体"/>
          <w:sz w:val="24"/>
          <w:szCs w:val="24"/>
        </w:rPr>
      </w:pPr>
    </w:p>
    <w:p>
      <w:pPr>
        <w:pStyle w:val="16"/>
        <w:spacing w:line="480" w:lineRule="exact"/>
        <w:ind w:firstLine="420"/>
        <w:rPr>
          <w:rFonts w:hAnsi="宋体"/>
          <w:sz w:val="24"/>
          <w:szCs w:val="24"/>
          <w:u w:val="single"/>
        </w:rPr>
      </w:pPr>
      <w:r>
        <w:rPr>
          <w:rFonts w:hint="eastAsia" w:hAnsi="宋体"/>
          <w:sz w:val="24"/>
          <w:szCs w:val="24"/>
        </w:rPr>
        <w:t>委托单位：（公章）</w:t>
      </w:r>
      <w:r>
        <w:rPr>
          <w:rFonts w:hint="eastAsia" w:hAnsi="宋体"/>
          <w:sz w:val="24"/>
          <w:szCs w:val="24"/>
          <w:u w:val="single"/>
        </w:rPr>
        <w:t xml:space="preserve">                     </w:t>
      </w:r>
    </w:p>
    <w:p>
      <w:pPr>
        <w:pStyle w:val="16"/>
        <w:spacing w:line="480" w:lineRule="exact"/>
        <w:ind w:firstLine="420"/>
        <w:rPr>
          <w:rFonts w:hAnsi="宋体"/>
          <w:sz w:val="24"/>
          <w:szCs w:val="24"/>
          <w:u w:val="single"/>
        </w:rPr>
      </w:pPr>
      <w:r>
        <w:rPr>
          <w:rFonts w:hint="eastAsia" w:hAnsi="宋体"/>
          <w:sz w:val="24"/>
          <w:szCs w:val="24"/>
        </w:rPr>
        <w:t>法定代表人：（签名）</w:t>
      </w:r>
      <w:r>
        <w:rPr>
          <w:rFonts w:hint="eastAsia" w:hAnsi="宋体"/>
          <w:sz w:val="24"/>
          <w:szCs w:val="24"/>
          <w:u w:val="single"/>
        </w:rPr>
        <w:t xml:space="preserve">                  </w:t>
      </w:r>
    </w:p>
    <w:p>
      <w:pPr>
        <w:pStyle w:val="16"/>
        <w:spacing w:line="480" w:lineRule="exact"/>
        <w:ind w:firstLine="420"/>
        <w:rPr>
          <w:rFonts w:hAnsi="宋体"/>
          <w:sz w:val="24"/>
          <w:szCs w:val="24"/>
        </w:rPr>
      </w:pPr>
      <w:r>
        <w:rPr>
          <w:rFonts w:hint="eastAsia" w:hAnsi="宋体"/>
          <w:sz w:val="24"/>
          <w:szCs w:val="24"/>
        </w:rPr>
        <w:t>委托代理人姓名：</w:t>
      </w:r>
      <w:r>
        <w:rPr>
          <w:rFonts w:hint="eastAsia" w:hAnsi="宋体"/>
          <w:sz w:val="24"/>
          <w:szCs w:val="24"/>
          <w:u w:val="single"/>
        </w:rPr>
        <w:t xml:space="preserve">                     </w:t>
      </w:r>
    </w:p>
    <w:p>
      <w:pPr>
        <w:pStyle w:val="16"/>
        <w:spacing w:line="480" w:lineRule="exact"/>
        <w:ind w:firstLine="420"/>
        <w:rPr>
          <w:rFonts w:hAnsi="宋体"/>
          <w:sz w:val="24"/>
          <w:szCs w:val="24"/>
        </w:rPr>
      </w:pPr>
      <w:r>
        <w:rPr>
          <w:rFonts w:hint="eastAsia" w:hAnsi="宋体"/>
          <w:sz w:val="24"/>
          <w:szCs w:val="24"/>
        </w:rPr>
        <w:t>身份证号：</w:t>
      </w:r>
      <w:r>
        <w:rPr>
          <w:rFonts w:hint="eastAsia" w:hAnsi="宋体"/>
          <w:sz w:val="24"/>
          <w:szCs w:val="24"/>
          <w:u w:val="single"/>
        </w:rPr>
        <w:t xml:space="preserve">                           </w:t>
      </w:r>
    </w:p>
    <w:p>
      <w:pPr>
        <w:pStyle w:val="16"/>
        <w:spacing w:line="480" w:lineRule="exact"/>
        <w:ind w:firstLine="420"/>
        <w:rPr>
          <w:rFonts w:hAnsi="宋体"/>
          <w:sz w:val="24"/>
          <w:szCs w:val="24"/>
        </w:rPr>
      </w:pPr>
      <w:r>
        <w:rPr>
          <w:rFonts w:hint="eastAsia" w:hAnsi="宋体"/>
          <w:sz w:val="24"/>
          <w:szCs w:val="24"/>
        </w:rPr>
        <w:t>日期：</w:t>
      </w:r>
      <w:r>
        <w:rPr>
          <w:rFonts w:hint="eastAsia" w:hAnsi="宋体"/>
          <w:sz w:val="24"/>
          <w:szCs w:val="24"/>
          <w:u w:val="single"/>
        </w:rPr>
        <w:t xml:space="preserve">                               </w:t>
      </w:r>
    </w:p>
    <w:p>
      <w:pPr>
        <w:pStyle w:val="16"/>
        <w:spacing w:line="480" w:lineRule="exact"/>
        <w:ind w:firstLine="420"/>
        <w:rPr>
          <w:rFonts w:hAnsi="宋体"/>
          <w:sz w:val="24"/>
          <w:szCs w:val="24"/>
        </w:rPr>
      </w:pPr>
      <w:r>
        <w:rPr>
          <w:rFonts w:hint="eastAsia" w:hAnsi="宋体"/>
          <w:sz w:val="24"/>
          <w:szCs w:val="24"/>
        </w:rPr>
        <w:t xml:space="preserve">             </w:t>
      </w:r>
    </w:p>
    <w:p>
      <w:pPr>
        <w:pStyle w:val="16"/>
        <w:spacing w:line="480" w:lineRule="exact"/>
        <w:rPr>
          <w:rFonts w:hAnsi="宋体"/>
          <w:sz w:val="24"/>
          <w:szCs w:val="24"/>
        </w:rPr>
      </w:pPr>
      <w:r>
        <w:rPr>
          <w:rFonts w:hint="eastAsia" w:hAnsi="宋体"/>
          <w:sz w:val="24"/>
          <w:szCs w:val="24"/>
        </w:rPr>
        <w:t xml:space="preserve">                                                                                                                                                                                        </w:t>
      </w:r>
    </w:p>
    <w:p>
      <w:pPr>
        <w:pStyle w:val="16"/>
        <w:spacing w:line="480" w:lineRule="exact"/>
        <w:ind w:firstLine="1155"/>
        <w:rPr>
          <w:rFonts w:hAnsi="宋体"/>
          <w:b/>
          <w:sz w:val="24"/>
          <w:szCs w:val="24"/>
        </w:rPr>
      </w:pPr>
      <w:r>
        <w:rPr>
          <w:rFonts w:hint="eastAsia" w:hAnsi="宋体"/>
          <w:b/>
          <w:sz w:val="24"/>
          <w:szCs w:val="24"/>
        </w:rPr>
        <w:t>附：委托代理人身份证复印件</w:t>
      </w:r>
    </w:p>
    <w:p>
      <w:pPr>
        <w:pStyle w:val="16"/>
        <w:spacing w:line="480" w:lineRule="exact"/>
        <w:ind w:firstLine="1325" w:firstLineChars="550"/>
        <w:jc w:val="center"/>
        <w:rPr>
          <w:rFonts w:hAnsi="宋体"/>
          <w:b/>
          <w:sz w:val="24"/>
          <w:szCs w:val="24"/>
        </w:rPr>
      </w:pPr>
    </w:p>
    <w:p>
      <w:pPr>
        <w:pStyle w:val="16"/>
        <w:spacing w:line="480" w:lineRule="exact"/>
        <w:ind w:firstLine="1325" w:firstLineChars="550"/>
        <w:jc w:val="center"/>
        <w:rPr>
          <w:rFonts w:hAnsi="宋体"/>
          <w:b/>
          <w:sz w:val="24"/>
          <w:szCs w:val="24"/>
        </w:rPr>
      </w:pPr>
    </w:p>
    <w:p>
      <w:pPr>
        <w:pStyle w:val="16"/>
        <w:spacing w:line="480" w:lineRule="exact"/>
        <w:rPr>
          <w:rFonts w:hAnsi="宋体"/>
          <w:b/>
          <w:sz w:val="24"/>
          <w:szCs w:val="24"/>
        </w:rPr>
      </w:pPr>
    </w:p>
    <w:p>
      <w:pPr>
        <w:pStyle w:val="16"/>
        <w:spacing w:line="480" w:lineRule="exact"/>
        <w:ind w:firstLine="420"/>
        <w:rPr>
          <w:rFonts w:hAnsi="宋体"/>
          <w:sz w:val="24"/>
          <w:szCs w:val="24"/>
        </w:rPr>
      </w:pPr>
      <w:r>
        <w:rPr>
          <w:rFonts w:hint="eastAsia" w:hAnsi="宋体"/>
          <w:sz w:val="24"/>
          <w:szCs w:val="24"/>
        </w:rPr>
        <w:t>说明：</w:t>
      </w:r>
    </w:p>
    <w:p>
      <w:pPr>
        <w:pStyle w:val="16"/>
        <w:spacing w:line="480" w:lineRule="exact"/>
        <w:ind w:firstLine="420"/>
        <w:rPr>
          <w:rFonts w:hAnsi="宋体"/>
          <w:sz w:val="24"/>
          <w:szCs w:val="24"/>
        </w:rPr>
      </w:pPr>
      <w:r>
        <w:rPr>
          <w:rFonts w:hint="eastAsia" w:hAnsi="宋体"/>
          <w:sz w:val="24"/>
          <w:szCs w:val="24"/>
        </w:rPr>
        <w:t xml:space="preserve">   1.法人授权委托书所签发的代理期限必须涵盖代理人所有签字为有效时间。</w:t>
      </w:r>
    </w:p>
    <w:p>
      <w:pPr>
        <w:pStyle w:val="16"/>
        <w:spacing w:line="480" w:lineRule="exact"/>
        <w:ind w:firstLine="735"/>
        <w:rPr>
          <w:rFonts w:hAnsi="宋体"/>
          <w:sz w:val="24"/>
          <w:szCs w:val="24"/>
        </w:rPr>
      </w:pPr>
      <w:r>
        <w:rPr>
          <w:rFonts w:hint="eastAsia" w:hAnsi="宋体"/>
          <w:sz w:val="24"/>
          <w:szCs w:val="24"/>
        </w:rPr>
        <w:t>2.委托书内容填写要明确，文字要工整清楚，涂改无效。</w:t>
      </w:r>
    </w:p>
    <w:p>
      <w:pPr>
        <w:pStyle w:val="16"/>
        <w:spacing w:line="480" w:lineRule="exact"/>
        <w:ind w:firstLine="735"/>
        <w:rPr>
          <w:rFonts w:hAnsi="宋体"/>
          <w:sz w:val="24"/>
          <w:szCs w:val="24"/>
        </w:rPr>
      </w:pPr>
      <w:r>
        <w:rPr>
          <w:rFonts w:hint="eastAsia" w:hAnsi="宋体"/>
          <w:sz w:val="24"/>
          <w:szCs w:val="24"/>
        </w:rPr>
        <w:t>3.委托书不得转借、转让，不得买卖。</w:t>
      </w:r>
    </w:p>
    <w:p>
      <w:pPr>
        <w:pStyle w:val="3"/>
        <w:jc w:val="center"/>
        <w:rPr>
          <w:rFonts w:ascii="宋体" w:hAnsi="宋体" w:eastAsia="宋体"/>
          <w:sz w:val="28"/>
        </w:rPr>
      </w:pPr>
      <w:r>
        <w:rPr>
          <w:rFonts w:hint="eastAsia" w:ascii="宋体" w:hAnsi="宋体" w:eastAsia="宋体"/>
        </w:rPr>
        <w:br w:type="page"/>
      </w:r>
      <w:bookmarkStart w:id="303" w:name="_Toc219054971"/>
      <w:bookmarkStart w:id="304" w:name="_Toc340341962"/>
      <w:bookmarkStart w:id="305" w:name="_Toc6047143"/>
      <w:r>
        <w:rPr>
          <w:rFonts w:hint="eastAsia" w:ascii="宋体" w:hAnsi="宋体" w:eastAsia="宋体"/>
        </w:rPr>
        <w:t>七、货物合格和竞争性谈判文件规定的证明文件（格式）</w:t>
      </w:r>
      <w:bookmarkEnd w:id="303"/>
      <w:bookmarkEnd w:id="304"/>
      <w:bookmarkEnd w:id="305"/>
    </w:p>
    <w:p>
      <w:pPr>
        <w:pStyle w:val="16"/>
        <w:rPr>
          <w:rFonts w:hAnsi="宋体"/>
        </w:rPr>
      </w:pPr>
    </w:p>
    <w:p>
      <w:pPr>
        <w:pStyle w:val="16"/>
        <w:spacing w:line="360" w:lineRule="auto"/>
        <w:rPr>
          <w:rFonts w:hAnsi="宋体"/>
          <w:sz w:val="24"/>
          <w:szCs w:val="24"/>
        </w:rPr>
      </w:pPr>
      <w:r>
        <w:rPr>
          <w:rFonts w:hint="eastAsia" w:hAnsi="宋体"/>
          <w:sz w:val="24"/>
          <w:szCs w:val="24"/>
        </w:rPr>
        <w:t>此文件可以是：</w:t>
      </w:r>
    </w:p>
    <w:p>
      <w:pPr>
        <w:pStyle w:val="16"/>
        <w:spacing w:line="440" w:lineRule="exact"/>
        <w:ind w:firstLine="420"/>
        <w:rPr>
          <w:rFonts w:hAnsi="宋体"/>
          <w:sz w:val="24"/>
          <w:szCs w:val="24"/>
        </w:rPr>
      </w:pPr>
      <w:r>
        <w:rPr>
          <w:rFonts w:hint="eastAsia" w:hAnsi="宋体"/>
          <w:sz w:val="24"/>
          <w:szCs w:val="24"/>
        </w:rPr>
        <w:t>⑴生产厂家的有关资格和生产许可证（实行生产许可证制度的产品必须提供，否则竞标无效）、产品强制标准认证证书（凡实行强制标准认证的产品必须提供，否则竞标无效）、产品质量检验证，以上均为复印件并加盖公章，于供货时提供；</w:t>
      </w:r>
    </w:p>
    <w:p>
      <w:pPr>
        <w:pStyle w:val="16"/>
        <w:spacing w:line="440" w:lineRule="exact"/>
        <w:ind w:firstLine="420"/>
        <w:rPr>
          <w:rFonts w:hAnsi="宋体"/>
          <w:sz w:val="24"/>
          <w:szCs w:val="24"/>
        </w:rPr>
      </w:pPr>
      <w:r>
        <w:rPr>
          <w:rFonts w:hint="eastAsia" w:hAnsi="宋体"/>
          <w:sz w:val="24"/>
          <w:szCs w:val="24"/>
        </w:rPr>
        <w:t>⑵产品样本、使用说明书等技术资料及产品近三年获得的质量获奖荣誉证书(复印件)；</w:t>
      </w:r>
    </w:p>
    <w:p>
      <w:pPr>
        <w:pStyle w:val="16"/>
        <w:spacing w:line="440" w:lineRule="exact"/>
        <w:ind w:firstLine="420"/>
        <w:rPr>
          <w:rFonts w:hAnsi="宋体"/>
          <w:sz w:val="24"/>
          <w:szCs w:val="24"/>
        </w:rPr>
      </w:pPr>
      <w:r>
        <w:rPr>
          <w:rFonts w:hint="eastAsia" w:hAnsi="宋体"/>
          <w:sz w:val="24"/>
          <w:szCs w:val="24"/>
        </w:rPr>
        <w:t>⑶货物或产品保证供货有效证明（指由竞标货物生产厂家针对本项目出具的保证按竞标文件承诺的时间、数量、价格供应货物的证明）；</w:t>
      </w:r>
    </w:p>
    <w:p>
      <w:pPr>
        <w:pStyle w:val="16"/>
        <w:spacing w:line="440" w:lineRule="exact"/>
        <w:ind w:firstLine="420"/>
        <w:rPr>
          <w:rFonts w:hAnsi="宋体"/>
          <w:sz w:val="24"/>
          <w:szCs w:val="24"/>
        </w:rPr>
      </w:pPr>
      <w:r>
        <w:rPr>
          <w:rFonts w:hint="eastAsia" w:hAnsi="宋体"/>
          <w:sz w:val="24"/>
          <w:szCs w:val="24"/>
        </w:rPr>
        <w:t>⑷产品销售授权书或代理证书｛若有，请提供原件或复印件（加盖单位公章）｝；</w:t>
      </w:r>
    </w:p>
    <w:p>
      <w:pPr>
        <w:pStyle w:val="16"/>
        <w:spacing w:line="440" w:lineRule="exact"/>
        <w:ind w:firstLine="420"/>
        <w:rPr>
          <w:rFonts w:hAnsi="宋体"/>
          <w:sz w:val="24"/>
          <w:szCs w:val="24"/>
        </w:rPr>
      </w:pPr>
      <w:r>
        <w:rPr>
          <w:rFonts w:hint="eastAsia" w:hAnsi="宋体"/>
          <w:sz w:val="24"/>
          <w:szCs w:val="24"/>
        </w:rPr>
        <w:t>⑸竞标产品生产厂家对技术性能及配置证明文件｛若《货物需求一览表》要求提供的，必须提供｝；</w:t>
      </w:r>
    </w:p>
    <w:p>
      <w:pPr>
        <w:pStyle w:val="16"/>
        <w:snapToGrid w:val="0"/>
        <w:spacing w:line="440" w:lineRule="exact"/>
        <w:ind w:firstLine="420"/>
        <w:rPr>
          <w:rFonts w:hAnsi="宋体"/>
          <w:sz w:val="24"/>
          <w:szCs w:val="24"/>
        </w:rPr>
      </w:pPr>
      <w:r>
        <w:rPr>
          <w:rFonts w:hint="eastAsia" w:hAnsi="宋体"/>
          <w:sz w:val="24"/>
          <w:szCs w:val="24"/>
        </w:rPr>
        <w:t>(6)《货物需求一览表》要求提供的其他相关资料文件，必须提供。</w:t>
      </w:r>
    </w:p>
    <w:p>
      <w:pPr>
        <w:pStyle w:val="16"/>
        <w:spacing w:line="360" w:lineRule="auto"/>
        <w:rPr>
          <w:rFonts w:hAnsi="宋体"/>
        </w:rPr>
      </w:pPr>
    </w:p>
    <w:p>
      <w:pPr>
        <w:pStyle w:val="16"/>
        <w:spacing w:line="360" w:lineRule="auto"/>
        <w:rPr>
          <w:rFonts w:hAnsi="宋体"/>
        </w:rPr>
      </w:pPr>
    </w:p>
    <w:p>
      <w:pPr>
        <w:pStyle w:val="16"/>
        <w:spacing w:line="360" w:lineRule="auto"/>
        <w:rPr>
          <w:rFonts w:hAnsi="宋体"/>
        </w:rPr>
      </w:pPr>
    </w:p>
    <w:p>
      <w:pPr>
        <w:pStyle w:val="16"/>
        <w:spacing w:line="360" w:lineRule="auto"/>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16"/>
        <w:rPr>
          <w:rFonts w:hAnsi="宋体"/>
        </w:rPr>
      </w:pPr>
    </w:p>
    <w:p>
      <w:pPr>
        <w:pStyle w:val="3"/>
        <w:jc w:val="center"/>
        <w:rPr>
          <w:rFonts w:ascii="宋体" w:hAnsi="宋体" w:eastAsia="宋体"/>
          <w:sz w:val="28"/>
        </w:rPr>
      </w:pPr>
      <w:bookmarkStart w:id="306" w:name="_Toc6047144"/>
      <w:bookmarkStart w:id="307" w:name="_Toc340341963"/>
      <w:bookmarkStart w:id="308" w:name="_Toc219054973"/>
      <w:r>
        <w:rPr>
          <w:rFonts w:hint="eastAsia" w:ascii="宋体" w:hAnsi="宋体" w:eastAsia="宋体"/>
        </w:rPr>
        <w:t>八、竞标人认为有必要提供的其它材料</w:t>
      </w:r>
      <w:bookmarkEnd w:id="306"/>
      <w:bookmarkEnd w:id="307"/>
      <w:bookmarkEnd w:id="308"/>
    </w:p>
    <w:p>
      <w:pPr>
        <w:pStyle w:val="16"/>
        <w:jc w:val="center"/>
        <w:rPr>
          <w:rFonts w:hAnsi="宋体"/>
          <w:sz w:val="24"/>
          <w:szCs w:val="24"/>
        </w:rPr>
      </w:pPr>
      <w:r>
        <w:rPr>
          <w:rFonts w:hint="eastAsia" w:hAnsi="宋体"/>
          <w:sz w:val="24"/>
          <w:szCs w:val="24"/>
        </w:rPr>
        <w:t>(由竞标人根据自已的实际情况如实提供)</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16"/>
        <w:spacing w:line="400" w:lineRule="exact"/>
        <w:rPr>
          <w:bCs/>
        </w:rPr>
      </w:pPr>
    </w:p>
    <w:p>
      <w:pPr>
        <w:rPr>
          <w:rFonts w:ascii="宋体" w:hAnsi="宋体"/>
          <w:b/>
          <w:sz w:val="28"/>
          <w:szCs w:val="28"/>
        </w:rPr>
      </w:pPr>
      <w:r>
        <w:rPr>
          <w:rFonts w:hint="eastAsia" w:ascii="宋体" w:hAnsi="宋体"/>
          <w:b/>
          <w:sz w:val="24"/>
          <w:szCs w:val="24"/>
        </w:rPr>
        <w:t>附件1</w:t>
      </w:r>
    </w:p>
    <w:p>
      <w:pPr>
        <w:jc w:val="center"/>
        <w:rPr>
          <w:rFonts w:ascii="宋体" w:hAnsi="宋体"/>
          <w:b/>
          <w:sz w:val="28"/>
          <w:szCs w:val="28"/>
        </w:rPr>
      </w:pPr>
      <w:r>
        <w:rPr>
          <w:rFonts w:hint="eastAsia" w:ascii="宋体" w:hAnsi="宋体"/>
          <w:b/>
          <w:sz w:val="28"/>
          <w:szCs w:val="28"/>
        </w:rPr>
        <w:t>政府采购项目履约保证金退付意见书</w:t>
      </w:r>
    </w:p>
    <w:tbl>
      <w:tblPr>
        <w:tblStyle w:val="3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8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5"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供</w:t>
            </w:r>
          </w:p>
          <w:p>
            <w:pPr>
              <w:jc w:val="center"/>
              <w:rPr>
                <w:rFonts w:ascii="宋体" w:hAnsi="宋体"/>
                <w:sz w:val="24"/>
              </w:rPr>
            </w:pPr>
            <w:r>
              <w:rPr>
                <w:rFonts w:hint="eastAsia" w:ascii="宋体" w:hAnsi="宋体"/>
                <w:sz w:val="24"/>
              </w:rPr>
              <w:t>应</w:t>
            </w:r>
          </w:p>
          <w:p>
            <w:pPr>
              <w:jc w:val="center"/>
              <w:rPr>
                <w:rFonts w:ascii="宋体" w:hAnsi="宋体"/>
                <w:sz w:val="24"/>
              </w:rPr>
            </w:pPr>
            <w:r>
              <w:rPr>
                <w:rFonts w:hint="eastAsia" w:ascii="宋体" w:hAnsi="宋体"/>
                <w:sz w:val="24"/>
              </w:rPr>
              <w:t>商</w:t>
            </w:r>
          </w:p>
          <w:p>
            <w:pPr>
              <w:jc w:val="center"/>
              <w:rPr>
                <w:rFonts w:ascii="宋体" w:hAnsi="宋体"/>
                <w:sz w:val="24"/>
              </w:rPr>
            </w:pPr>
            <w:r>
              <w:rPr>
                <w:rFonts w:hint="eastAsia" w:ascii="宋体" w:hAnsi="宋体"/>
                <w:sz w:val="24"/>
              </w:rPr>
              <w:t>申</w:t>
            </w:r>
          </w:p>
          <w:p>
            <w:pPr>
              <w:jc w:val="center"/>
              <w:rPr>
                <w:rFonts w:ascii="宋体" w:hAnsi="宋体"/>
                <w:sz w:val="24"/>
              </w:rPr>
            </w:pPr>
            <w:r>
              <w:rPr>
                <w:rFonts w:hint="eastAsia" w:ascii="宋体" w:hAnsi="宋体"/>
                <w:sz w:val="24"/>
              </w:rPr>
              <w:t>请</w:t>
            </w:r>
          </w:p>
        </w:tc>
        <w:tc>
          <w:tcPr>
            <w:tcW w:w="864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项目编号：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864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项目名称：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8640" w:type="dxa"/>
            <w:tcBorders>
              <w:top w:val="single" w:color="auto" w:sz="4" w:space="0"/>
              <w:left w:val="single" w:color="auto" w:sz="4" w:space="0"/>
              <w:bottom w:val="single" w:color="auto" w:sz="4" w:space="0"/>
              <w:right w:val="single" w:color="auto" w:sz="4" w:space="0"/>
            </w:tcBorders>
          </w:tcPr>
          <w:p>
            <w:pPr>
              <w:rPr>
                <w:rFonts w:ascii="宋体" w:hAnsi="宋体"/>
                <w:sz w:val="24"/>
              </w:rPr>
            </w:pPr>
          </w:p>
          <w:p>
            <w:pPr>
              <w:spacing w:line="400" w:lineRule="exact"/>
              <w:ind w:firstLine="240" w:firstLineChars="100"/>
              <w:rPr>
                <w:rFonts w:ascii="宋体" w:hAnsi="宋体"/>
                <w:sz w:val="24"/>
              </w:rPr>
            </w:pPr>
            <w:r>
              <w:rPr>
                <w:rFonts w:hint="eastAsia" w:ascii="宋体" w:hAnsi="宋体"/>
                <w:sz w:val="24"/>
              </w:rPr>
              <w:t>该项目已于</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日验收并交付使用。根据合同规定，该项目的履约保证金期限于</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日已满，请将履约保证金</w:t>
            </w:r>
          </w:p>
          <w:p>
            <w:pPr>
              <w:spacing w:line="400" w:lineRule="exact"/>
              <w:rPr>
                <w:rFonts w:ascii="宋体" w:hAnsi="宋体"/>
                <w:sz w:val="24"/>
              </w:rPr>
            </w:pPr>
            <w:r>
              <w:rPr>
                <w:rFonts w:ascii="宋体" w:hAnsi="宋体"/>
                <w:sz w:val="24"/>
                <w:u w:val="single"/>
              </w:rPr>
              <w:t xml:space="preserve">                           </w:t>
            </w:r>
            <w:r>
              <w:rPr>
                <w:rFonts w:hint="eastAsia" w:ascii="宋体" w:hAnsi="宋体"/>
                <w:sz w:val="24"/>
              </w:rPr>
              <w:t>（大写）￥</w:t>
            </w:r>
            <w:r>
              <w:rPr>
                <w:rFonts w:ascii="宋体" w:hAnsi="宋体"/>
                <w:sz w:val="24"/>
                <w:u w:val="single"/>
              </w:rPr>
              <w:t xml:space="preserve">          </w:t>
            </w:r>
            <w:r>
              <w:rPr>
                <w:rFonts w:hint="eastAsia" w:ascii="宋体" w:hAnsi="宋体"/>
                <w:sz w:val="24"/>
              </w:rPr>
              <w:t>（小写）退付到达以下帐户。</w:t>
            </w:r>
          </w:p>
          <w:p>
            <w:pPr>
              <w:spacing w:line="400" w:lineRule="exact"/>
              <w:ind w:firstLine="705"/>
              <w:rPr>
                <w:rFonts w:ascii="宋体" w:hAnsi="宋体"/>
                <w:sz w:val="24"/>
              </w:rPr>
            </w:pPr>
            <w:r>
              <w:rPr>
                <w:rFonts w:hint="eastAsia" w:ascii="宋体" w:hAnsi="宋体"/>
                <w:sz w:val="24"/>
              </w:rPr>
              <w:t>单位名称：</w:t>
            </w:r>
          </w:p>
          <w:p>
            <w:pPr>
              <w:spacing w:line="400" w:lineRule="exact"/>
              <w:ind w:firstLine="705"/>
              <w:rPr>
                <w:rFonts w:ascii="宋体" w:hAnsi="宋体"/>
                <w:sz w:val="24"/>
              </w:rPr>
            </w:pPr>
            <w:r>
              <w:rPr>
                <w:rFonts w:hint="eastAsia" w:ascii="宋体" w:hAnsi="宋体"/>
                <w:sz w:val="24"/>
              </w:rPr>
              <w:t>开户银行：</w:t>
            </w:r>
          </w:p>
          <w:p>
            <w:pPr>
              <w:spacing w:line="400" w:lineRule="exact"/>
              <w:ind w:firstLine="705"/>
              <w:rPr>
                <w:rFonts w:ascii="宋体" w:hAnsi="宋体"/>
                <w:sz w:val="24"/>
              </w:rPr>
            </w:pPr>
            <w:r>
              <w:rPr>
                <w:rFonts w:hint="eastAsia" w:ascii="宋体" w:hAnsi="宋体"/>
                <w:sz w:val="24"/>
              </w:rPr>
              <w:t>帐</w:t>
            </w:r>
            <w:r>
              <w:rPr>
                <w:rFonts w:ascii="宋体" w:hAnsi="宋体"/>
                <w:sz w:val="24"/>
              </w:rPr>
              <w:t xml:space="preserve">   </w:t>
            </w:r>
            <w:r>
              <w:rPr>
                <w:rFonts w:hint="eastAsia" w:ascii="宋体" w:hAnsi="宋体"/>
                <w:sz w:val="24"/>
              </w:rPr>
              <w:t>号：</w:t>
            </w:r>
          </w:p>
          <w:p>
            <w:pPr>
              <w:spacing w:line="400" w:lineRule="exact"/>
              <w:rPr>
                <w:rFonts w:ascii="宋体" w:hAnsi="宋体"/>
                <w:sz w:val="24"/>
              </w:rPr>
            </w:pPr>
            <w:r>
              <w:rPr>
                <w:rFonts w:hint="eastAsia" w:ascii="宋体" w:hAnsi="宋体"/>
                <w:sz w:val="24"/>
              </w:rPr>
              <w:t>联系人及电话：</w:t>
            </w:r>
          </w:p>
          <w:p>
            <w:pPr>
              <w:spacing w:line="400" w:lineRule="exact"/>
              <w:rPr>
                <w:rFonts w:ascii="宋体" w:hAnsi="宋体"/>
                <w:sz w:val="24"/>
              </w:rPr>
            </w:pPr>
          </w:p>
          <w:p>
            <w:pPr>
              <w:spacing w:line="520" w:lineRule="exact"/>
              <w:jc w:val="center"/>
              <w:rPr>
                <w:rFonts w:ascii="宋体" w:hAnsi="宋体"/>
                <w:sz w:val="24"/>
              </w:rPr>
            </w:pPr>
            <w:r>
              <w:rPr>
                <w:rFonts w:ascii="宋体" w:hAnsi="宋体"/>
                <w:sz w:val="24"/>
              </w:rPr>
              <w:t xml:space="preserve">                                     </w:t>
            </w:r>
            <w:r>
              <w:rPr>
                <w:rFonts w:hint="eastAsia" w:ascii="宋体" w:hAnsi="宋体"/>
                <w:sz w:val="24"/>
              </w:rPr>
              <w:t xml:space="preserve"> 供应商签章：</w:t>
            </w:r>
          </w:p>
          <w:p>
            <w:pPr>
              <w:spacing w:line="520" w:lineRule="exact"/>
              <w:jc w:val="center"/>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采</w:t>
            </w:r>
          </w:p>
          <w:p>
            <w:pPr>
              <w:jc w:val="center"/>
              <w:rPr>
                <w:rFonts w:ascii="宋体" w:hAnsi="宋体"/>
                <w:sz w:val="24"/>
              </w:rPr>
            </w:pPr>
            <w:r>
              <w:rPr>
                <w:rFonts w:hint="eastAsia" w:ascii="宋体" w:hAnsi="宋体"/>
                <w:sz w:val="24"/>
              </w:rPr>
              <w:t>购</w:t>
            </w:r>
          </w:p>
          <w:p>
            <w:pPr>
              <w:jc w:val="center"/>
              <w:rPr>
                <w:rFonts w:ascii="宋体" w:hAnsi="宋体"/>
                <w:sz w:val="24"/>
              </w:rPr>
            </w:pPr>
            <w:r>
              <w:rPr>
                <w:rFonts w:hint="eastAsia" w:ascii="宋体" w:hAnsi="宋体"/>
                <w:sz w:val="24"/>
              </w:rPr>
              <w:t>人</w:t>
            </w:r>
          </w:p>
          <w:p>
            <w:pPr>
              <w:jc w:val="center"/>
              <w:rPr>
                <w:rFonts w:ascii="宋体" w:hAnsi="宋体"/>
                <w:sz w:val="24"/>
              </w:rPr>
            </w:pPr>
            <w:r>
              <w:rPr>
                <w:rFonts w:hint="eastAsia" w:ascii="宋体" w:hAnsi="宋体"/>
                <w:sz w:val="24"/>
              </w:rPr>
              <w:t>意</w:t>
            </w:r>
          </w:p>
          <w:p>
            <w:pPr>
              <w:jc w:val="center"/>
              <w:rPr>
                <w:rFonts w:ascii="宋体" w:hAnsi="宋体"/>
                <w:sz w:val="24"/>
              </w:rPr>
            </w:pPr>
            <w:r>
              <w:rPr>
                <w:rFonts w:hint="eastAsia" w:ascii="宋体" w:hAnsi="宋体"/>
                <w:sz w:val="24"/>
              </w:rPr>
              <w:t>见</w:t>
            </w:r>
          </w:p>
        </w:tc>
        <w:tc>
          <w:tcPr>
            <w:tcW w:w="8640" w:type="dxa"/>
            <w:tcBorders>
              <w:top w:val="single" w:color="auto" w:sz="4" w:space="0"/>
              <w:left w:val="single" w:color="auto" w:sz="4" w:space="0"/>
              <w:bottom w:val="single" w:color="auto" w:sz="4" w:space="0"/>
              <w:right w:val="single" w:color="auto" w:sz="4" w:space="0"/>
            </w:tcBorders>
          </w:tcPr>
          <w:p>
            <w:pPr>
              <w:rPr>
                <w:rFonts w:ascii="宋体" w:hAnsi="宋体"/>
                <w:sz w:val="24"/>
              </w:rPr>
            </w:pPr>
          </w:p>
          <w:p>
            <w:pPr>
              <w:rPr>
                <w:rFonts w:ascii="宋体" w:hAnsi="宋体"/>
                <w:sz w:val="24"/>
              </w:rPr>
            </w:pPr>
            <w:r>
              <w:rPr>
                <w:rFonts w:hint="eastAsia" w:ascii="宋体" w:hAnsi="宋体"/>
                <w:sz w:val="24"/>
              </w:rPr>
              <w:t>退付意见：是否同意退付履约保证金及退付金额：</w:t>
            </w:r>
          </w:p>
          <w:p>
            <w:pPr>
              <w:rPr>
                <w:rFonts w:ascii="宋体" w:hAnsi="宋体"/>
                <w:sz w:val="24"/>
              </w:rPr>
            </w:pPr>
          </w:p>
          <w:p>
            <w:pPr>
              <w:rPr>
                <w:rFonts w:ascii="宋体" w:hAnsi="宋体"/>
                <w:sz w:val="24"/>
              </w:rPr>
            </w:pPr>
          </w:p>
          <w:p>
            <w:pPr>
              <w:spacing w:line="520" w:lineRule="exact"/>
              <w:rPr>
                <w:rFonts w:ascii="宋体" w:hAnsi="宋体"/>
                <w:sz w:val="24"/>
              </w:rPr>
            </w:pPr>
          </w:p>
          <w:p>
            <w:pPr>
              <w:spacing w:line="520" w:lineRule="exact"/>
              <w:rPr>
                <w:rFonts w:ascii="宋体" w:hAnsi="宋体"/>
                <w:sz w:val="24"/>
              </w:rPr>
            </w:pPr>
            <w:r>
              <w:rPr>
                <w:rFonts w:hint="eastAsia" w:ascii="宋体" w:hAnsi="宋体"/>
                <w:sz w:val="24"/>
              </w:rPr>
              <w:t>联系人及电话：</w:t>
            </w:r>
            <w:r>
              <w:rPr>
                <w:rFonts w:ascii="宋体" w:hAnsi="宋体"/>
                <w:sz w:val="24"/>
              </w:rPr>
              <w:t xml:space="preserve">                                 </w:t>
            </w:r>
            <w:r>
              <w:rPr>
                <w:rFonts w:hint="eastAsia" w:ascii="宋体" w:hAnsi="宋体"/>
                <w:sz w:val="24"/>
              </w:rPr>
              <w:t xml:space="preserve"> 采购人签章</w:t>
            </w:r>
          </w:p>
          <w:p>
            <w:pPr>
              <w:spacing w:line="520" w:lineRule="exact"/>
              <w:jc w:val="center"/>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财</w:t>
            </w:r>
          </w:p>
          <w:p>
            <w:pPr>
              <w:jc w:val="center"/>
              <w:rPr>
                <w:rFonts w:ascii="宋体" w:hAnsi="宋体"/>
                <w:sz w:val="24"/>
              </w:rPr>
            </w:pPr>
            <w:r>
              <w:rPr>
                <w:rFonts w:hint="eastAsia" w:ascii="宋体" w:hAnsi="宋体"/>
                <w:sz w:val="24"/>
              </w:rPr>
              <w:t>务</w:t>
            </w:r>
          </w:p>
          <w:p>
            <w:pPr>
              <w:jc w:val="center"/>
              <w:rPr>
                <w:rFonts w:ascii="宋体" w:hAnsi="宋体"/>
                <w:sz w:val="24"/>
              </w:rPr>
            </w:pPr>
            <w:r>
              <w:rPr>
                <w:rFonts w:hint="eastAsia" w:ascii="宋体" w:hAnsi="宋体"/>
                <w:sz w:val="24"/>
              </w:rPr>
              <w:t>部</w:t>
            </w:r>
          </w:p>
          <w:p>
            <w:pPr>
              <w:jc w:val="center"/>
              <w:rPr>
                <w:rFonts w:ascii="宋体" w:hAnsi="宋体"/>
                <w:sz w:val="24"/>
              </w:rPr>
            </w:pPr>
            <w:r>
              <w:rPr>
                <w:rFonts w:hint="eastAsia" w:ascii="宋体" w:hAnsi="宋体"/>
                <w:sz w:val="24"/>
              </w:rPr>
              <w:t>门</w:t>
            </w:r>
          </w:p>
          <w:p>
            <w:pPr>
              <w:jc w:val="center"/>
              <w:rPr>
                <w:rFonts w:ascii="宋体" w:hAnsi="宋体"/>
                <w:sz w:val="24"/>
              </w:rPr>
            </w:pPr>
            <w:r>
              <w:rPr>
                <w:rFonts w:hint="eastAsia" w:ascii="宋体" w:hAnsi="宋体"/>
                <w:sz w:val="24"/>
              </w:rPr>
              <w:t>意</w:t>
            </w:r>
          </w:p>
          <w:p>
            <w:pPr>
              <w:jc w:val="center"/>
              <w:rPr>
                <w:rFonts w:ascii="宋体" w:hAnsi="宋体"/>
                <w:sz w:val="24"/>
              </w:rPr>
            </w:pPr>
            <w:r>
              <w:rPr>
                <w:rFonts w:hint="eastAsia" w:ascii="宋体" w:hAnsi="宋体"/>
                <w:sz w:val="24"/>
              </w:rPr>
              <w:t>见</w:t>
            </w:r>
          </w:p>
        </w:tc>
        <w:tc>
          <w:tcPr>
            <w:tcW w:w="8640" w:type="dxa"/>
            <w:tcBorders>
              <w:top w:val="single" w:color="auto" w:sz="4" w:space="0"/>
              <w:left w:val="single" w:color="auto" w:sz="4" w:space="0"/>
              <w:bottom w:val="single" w:color="auto" w:sz="4" w:space="0"/>
              <w:right w:val="single" w:color="auto" w:sz="4" w:space="0"/>
            </w:tcBorders>
          </w:tcPr>
          <w:p>
            <w:pPr>
              <w:spacing w:line="640" w:lineRule="exact"/>
              <w:rPr>
                <w:rFonts w:ascii="宋体" w:hAnsi="宋体"/>
                <w:sz w:val="24"/>
              </w:rPr>
            </w:pPr>
            <w:r>
              <w:rPr>
                <w:rFonts w:hint="eastAsia" w:ascii="宋体" w:hAnsi="宋体"/>
                <w:sz w:val="24"/>
              </w:rPr>
              <w:t>此表于</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ascii="宋体" w:hAnsi="宋体"/>
                <w:sz w:val="24"/>
              </w:rPr>
              <w:t xml:space="preserve"> </w:t>
            </w:r>
            <w:r>
              <w:rPr>
                <w:rFonts w:hint="eastAsia" w:ascii="宋体" w:hAnsi="宋体"/>
                <w:sz w:val="24"/>
              </w:rPr>
              <w:t>月</w:t>
            </w:r>
            <w:r>
              <w:rPr>
                <w:rFonts w:ascii="宋体" w:hAnsi="宋体"/>
                <w:sz w:val="24"/>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日收到。</w:t>
            </w:r>
          </w:p>
          <w:p>
            <w:pPr>
              <w:spacing w:line="640" w:lineRule="exact"/>
              <w:rPr>
                <w:sz w:val="24"/>
              </w:rPr>
            </w:pPr>
            <w:r>
              <w:rPr>
                <w:rFonts w:hint="eastAsia"/>
                <w:sz w:val="24"/>
              </w:rPr>
              <w:t>业务负责人审核</w:t>
            </w:r>
            <w:r>
              <w:rPr>
                <w:rFonts w:hint="eastAsia" w:ascii="宋体" w:hAnsi="宋体"/>
                <w:sz w:val="24"/>
              </w:rPr>
              <w:t>：</w:t>
            </w:r>
          </w:p>
          <w:p>
            <w:pPr>
              <w:spacing w:line="640" w:lineRule="exact"/>
              <w:rPr>
                <w:rFonts w:ascii="宋体" w:hAnsi="宋体"/>
                <w:sz w:val="24"/>
              </w:rPr>
            </w:pPr>
            <w:r>
              <w:rPr>
                <w:rFonts w:hint="eastAsia" w:ascii="宋体" w:hAnsi="宋体"/>
                <w:sz w:val="24"/>
              </w:rPr>
              <w:t>财务负责人审核：</w:t>
            </w:r>
          </w:p>
          <w:p>
            <w:pPr>
              <w:spacing w:line="640" w:lineRule="exact"/>
              <w:rPr>
                <w:rFonts w:ascii="宋体" w:hAnsi="宋体"/>
                <w:sz w:val="24"/>
              </w:rPr>
            </w:pPr>
            <w:r>
              <w:rPr>
                <w:rFonts w:hint="eastAsia" w:ascii="宋体" w:hAnsi="宋体"/>
                <w:sz w:val="24"/>
              </w:rPr>
              <w:t>单位负责人签字：</w:t>
            </w:r>
          </w:p>
          <w:p>
            <w:pPr>
              <w:spacing w:line="640" w:lineRule="exact"/>
              <w:rPr>
                <w:rFonts w:ascii="宋体" w:hAnsi="宋体"/>
                <w:sz w:val="24"/>
              </w:rPr>
            </w:pPr>
            <w:r>
              <w:rPr>
                <w:rFonts w:hint="eastAsia" w:ascii="宋体" w:hAnsi="宋体"/>
                <w:sz w:val="24"/>
              </w:rPr>
              <w:t>出纳办理转帐日期：</w:t>
            </w:r>
          </w:p>
        </w:tc>
      </w:tr>
    </w:tbl>
    <w:p>
      <w:pPr>
        <w:jc w:val="center"/>
        <w:rPr>
          <w:rFonts w:ascii="宋体" w:hAnsi="宋体"/>
          <w:b/>
          <w:bCs/>
          <w:sz w:val="24"/>
          <w:szCs w:val="24"/>
        </w:rPr>
      </w:pPr>
      <w:r>
        <w:rPr>
          <w:rFonts w:ascii="宋体" w:hAnsi="宋体"/>
          <w:b/>
          <w:bCs/>
          <w:sz w:val="24"/>
          <w:szCs w:val="24"/>
        </w:rPr>
        <w:t>注：供应商凭经采购人审批的退付意见书办理履约保证金退付事宜。</w:t>
      </w: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rPr>
          <w:rFonts w:ascii="宋体" w:hAnsi="宋体"/>
          <w:b/>
          <w:bCs/>
          <w:sz w:val="24"/>
          <w:szCs w:val="24"/>
        </w:rPr>
      </w:pPr>
      <w:r>
        <w:rPr>
          <w:rFonts w:hint="eastAsia" w:ascii="宋体" w:hAnsi="宋体"/>
          <w:b/>
          <w:bCs/>
          <w:sz w:val="24"/>
          <w:szCs w:val="24"/>
        </w:rPr>
        <w:t>附件2</w:t>
      </w:r>
    </w:p>
    <w:p>
      <w:pPr>
        <w:jc w:val="center"/>
        <w:rPr>
          <w:rFonts w:ascii="宋体" w:hAnsi="宋体"/>
          <w:b/>
          <w:sz w:val="28"/>
          <w:szCs w:val="28"/>
        </w:rPr>
      </w:pPr>
      <w:r>
        <w:rPr>
          <w:rFonts w:hint="eastAsia" w:ascii="宋体" w:hAnsi="宋体"/>
          <w:b/>
          <w:sz w:val="28"/>
          <w:szCs w:val="28"/>
        </w:rPr>
        <w:t>关于退还投标保证金的函</w:t>
      </w:r>
    </w:p>
    <w:p>
      <w:pPr>
        <w:jc w:val="center"/>
        <w:rPr>
          <w:sz w:val="32"/>
          <w:szCs w:val="32"/>
        </w:rPr>
      </w:pPr>
    </w:p>
    <w:p>
      <w:pPr>
        <w:rPr>
          <w:rFonts w:ascii="宋体" w:hAnsi="宋体"/>
          <w:sz w:val="24"/>
          <w:szCs w:val="24"/>
        </w:rPr>
      </w:pPr>
      <w:r>
        <w:rPr>
          <w:rFonts w:hint="eastAsia" w:ascii="宋体" w:hAnsi="宋体"/>
          <w:sz w:val="24"/>
          <w:szCs w:val="24"/>
          <w:u w:val="single"/>
        </w:rPr>
        <w:t>广西元强建设项目管理有限公司</w:t>
      </w:r>
      <w:r>
        <w:rPr>
          <w:rFonts w:hint="eastAsia" w:ascii="宋体" w:hAnsi="宋体"/>
          <w:sz w:val="24"/>
          <w:szCs w:val="24"/>
        </w:rPr>
        <w:t>：</w:t>
      </w:r>
    </w:p>
    <w:p>
      <w:pPr>
        <w:rPr>
          <w:rFonts w:ascii="宋体" w:hAnsi="宋体"/>
          <w:sz w:val="24"/>
          <w:szCs w:val="24"/>
          <w:u w:val="single"/>
        </w:rPr>
      </w:pPr>
    </w:p>
    <w:p>
      <w:pPr>
        <w:rPr>
          <w:rFonts w:ascii="宋体" w:hAnsi="宋体"/>
          <w:sz w:val="24"/>
          <w:szCs w:val="24"/>
        </w:rPr>
      </w:pPr>
      <w:r>
        <w:rPr>
          <w:rFonts w:hint="eastAsia" w:ascii="宋体" w:hAnsi="宋体"/>
          <w:sz w:val="24"/>
          <w:szCs w:val="24"/>
        </w:rPr>
        <w:t xml:space="preserve">    我公司于</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日参加</w:t>
      </w:r>
      <w:r>
        <w:rPr>
          <w:rFonts w:hint="eastAsia" w:ascii="宋体" w:hAnsi="宋体"/>
          <w:sz w:val="24"/>
          <w:szCs w:val="24"/>
          <w:u w:val="single"/>
        </w:rPr>
        <w:t xml:space="preserve">        </w:t>
      </w:r>
      <w:r>
        <w:rPr>
          <w:rFonts w:hint="eastAsia" w:ascii="宋体" w:hAnsi="宋体"/>
          <w:sz w:val="24"/>
          <w:szCs w:val="24"/>
        </w:rPr>
        <w:t>（项目名称）的竞标，现竞标工作已结束，我公司</w:t>
      </w:r>
      <w:r>
        <w:rPr>
          <w:rFonts w:hint="eastAsia" w:ascii="宋体" w:hAnsi="宋体"/>
          <w:sz w:val="24"/>
          <w:szCs w:val="24"/>
          <w:u w:val="single"/>
        </w:rPr>
        <w:t xml:space="preserve">       </w:t>
      </w:r>
      <w:r>
        <w:rPr>
          <w:rFonts w:hint="eastAsia" w:ascii="宋体" w:hAnsi="宋体"/>
          <w:sz w:val="24"/>
          <w:szCs w:val="24"/>
        </w:rPr>
        <w:t>（中标或落标）。按照竞争性谈判文件规定，贵单位应退还我公司该项目的竞标保证金人民币（大写）</w:t>
      </w:r>
      <w:r>
        <w:rPr>
          <w:rFonts w:hint="eastAsia" w:ascii="宋体" w:hAnsi="宋体"/>
          <w:sz w:val="24"/>
          <w:szCs w:val="24"/>
          <w:u w:val="single"/>
        </w:rPr>
        <w:t xml:space="preserve">                    </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sz w:val="24"/>
          <w:szCs w:val="24"/>
        </w:rPr>
        <w:t>元）。</w:t>
      </w: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p>
    <w:p>
      <w:pPr>
        <w:ind w:firstLine="240" w:firstLineChars="100"/>
        <w:rPr>
          <w:rFonts w:ascii="宋体" w:hAnsi="宋体"/>
          <w:sz w:val="24"/>
          <w:szCs w:val="24"/>
        </w:rPr>
      </w:pPr>
    </w:p>
    <w:p>
      <w:pPr>
        <w:ind w:firstLine="240" w:firstLineChars="100"/>
        <w:rPr>
          <w:rFonts w:ascii="宋体" w:hAnsi="宋体"/>
          <w:sz w:val="24"/>
          <w:szCs w:val="24"/>
        </w:rPr>
      </w:pPr>
      <w:r>
        <w:rPr>
          <w:rFonts w:hint="eastAsia" w:ascii="宋体" w:hAnsi="宋体"/>
          <w:sz w:val="24"/>
          <w:szCs w:val="24"/>
        </w:rPr>
        <w:t>特此函。</w:t>
      </w:r>
    </w:p>
    <w:p>
      <w:pPr>
        <w:ind w:firstLine="240" w:firstLineChars="100"/>
        <w:rPr>
          <w:rFonts w:ascii="宋体" w:hAnsi="宋体"/>
          <w:sz w:val="24"/>
          <w:szCs w:val="24"/>
        </w:rPr>
      </w:pPr>
      <w:r>
        <w:rPr>
          <w:rFonts w:hint="eastAsia" w:ascii="宋体" w:hAnsi="宋体"/>
          <w:sz w:val="24"/>
          <w:szCs w:val="24"/>
        </w:rPr>
        <w:t xml:space="preserve">    附银行账号：</w:t>
      </w:r>
    </w:p>
    <w:p>
      <w:pPr>
        <w:ind w:firstLine="720" w:firstLineChars="300"/>
        <w:rPr>
          <w:rFonts w:ascii="宋体" w:hAnsi="宋体"/>
          <w:sz w:val="24"/>
          <w:szCs w:val="24"/>
          <w:u w:val="single"/>
        </w:rPr>
      </w:pPr>
      <w:r>
        <w:rPr>
          <w:rFonts w:hint="eastAsia" w:ascii="宋体" w:hAnsi="宋体"/>
          <w:sz w:val="24"/>
          <w:szCs w:val="24"/>
        </w:rPr>
        <w:t>名   称：</w:t>
      </w:r>
      <w:r>
        <w:rPr>
          <w:rFonts w:hint="eastAsia" w:ascii="宋体" w:hAnsi="宋体"/>
          <w:sz w:val="24"/>
          <w:szCs w:val="24"/>
          <w:u w:val="single"/>
        </w:rPr>
        <w:t xml:space="preserve">                              </w:t>
      </w:r>
    </w:p>
    <w:p>
      <w:pPr>
        <w:ind w:firstLine="720" w:firstLineChars="300"/>
        <w:rPr>
          <w:rFonts w:ascii="宋体" w:hAnsi="宋体"/>
          <w:sz w:val="24"/>
          <w:szCs w:val="24"/>
        </w:rPr>
      </w:pPr>
      <w:r>
        <w:rPr>
          <w:rFonts w:hint="eastAsia" w:ascii="宋体" w:hAnsi="宋体"/>
          <w:sz w:val="24"/>
          <w:szCs w:val="24"/>
        </w:rPr>
        <w:t>开户银行：</w:t>
      </w:r>
      <w:r>
        <w:rPr>
          <w:rFonts w:hint="eastAsia" w:ascii="宋体" w:hAnsi="宋体"/>
          <w:sz w:val="24"/>
          <w:szCs w:val="24"/>
          <w:u w:val="single"/>
        </w:rPr>
        <w:t xml:space="preserve">                             </w:t>
      </w:r>
    </w:p>
    <w:p>
      <w:pPr>
        <w:ind w:firstLine="720" w:firstLineChars="300"/>
        <w:rPr>
          <w:rFonts w:ascii="宋体" w:hAnsi="宋体"/>
          <w:sz w:val="24"/>
          <w:szCs w:val="24"/>
          <w:u w:val="single"/>
        </w:rPr>
      </w:pPr>
      <w:r>
        <w:rPr>
          <w:rFonts w:hint="eastAsia" w:ascii="宋体" w:hAnsi="宋体"/>
          <w:sz w:val="24"/>
          <w:szCs w:val="24"/>
        </w:rPr>
        <w:t>账    号：</w:t>
      </w:r>
      <w:r>
        <w:rPr>
          <w:rFonts w:hint="eastAsia" w:ascii="宋体" w:hAnsi="宋体"/>
          <w:sz w:val="24"/>
          <w:szCs w:val="24"/>
          <w:u w:val="single"/>
        </w:rPr>
        <w:t xml:space="preserve">                             </w:t>
      </w:r>
    </w:p>
    <w:p>
      <w:pPr>
        <w:rPr>
          <w:rFonts w:ascii="宋体" w:hAnsi="宋体"/>
          <w:sz w:val="24"/>
          <w:szCs w:val="24"/>
        </w:rPr>
      </w:pPr>
    </w:p>
    <w:p>
      <w:pPr>
        <w:rPr>
          <w:rFonts w:ascii="宋体" w:hAnsi="宋体"/>
          <w:sz w:val="24"/>
          <w:szCs w:val="24"/>
        </w:rPr>
      </w:pPr>
      <w:r>
        <w:rPr>
          <w:rFonts w:hint="eastAsia" w:ascii="宋体" w:hAnsi="宋体"/>
          <w:sz w:val="24"/>
          <w:szCs w:val="24"/>
        </w:rPr>
        <w:t>附竞标保证金底单复印件</w:t>
      </w:r>
    </w:p>
    <w:p>
      <w:pPr>
        <w:rPr>
          <w:rFonts w:ascii="宋体" w:hAnsi="宋体"/>
          <w:sz w:val="24"/>
          <w:szCs w:val="24"/>
        </w:rPr>
      </w:pPr>
    </w:p>
    <w:p>
      <w:pPr>
        <w:ind w:left="3480" w:hanging="3480" w:hangingChars="1450"/>
        <w:rPr>
          <w:rFonts w:ascii="宋体" w:hAnsi="宋体"/>
          <w:sz w:val="24"/>
          <w:szCs w:val="24"/>
        </w:rPr>
      </w:pPr>
      <w:r>
        <w:rPr>
          <w:rFonts w:hint="eastAsia" w:ascii="宋体" w:hAnsi="宋体"/>
          <w:sz w:val="24"/>
          <w:szCs w:val="24"/>
        </w:rPr>
        <w:t xml:space="preserve">                                       （竞标单位）：</w:t>
      </w:r>
    </w:p>
    <w:p>
      <w:pPr>
        <w:spacing w:line="560" w:lineRule="exact"/>
        <w:ind w:firstLine="3840" w:firstLineChars="1600"/>
        <w:rPr>
          <w:rFonts w:ascii="宋体" w:hAnsi="宋体"/>
          <w:sz w:val="24"/>
          <w:szCs w:val="24"/>
          <w:u w:val="single"/>
        </w:rPr>
      </w:pPr>
      <w:r>
        <w:rPr>
          <w:rFonts w:hint="eastAsia" w:ascii="宋体" w:hAnsi="宋体"/>
          <w:sz w:val="24"/>
          <w:szCs w:val="24"/>
        </w:rPr>
        <w:t xml:space="preserve">时间： </w:t>
      </w:r>
      <w:r>
        <w:rPr>
          <w:rFonts w:hint="eastAsia" w:ascii="宋体" w:hAnsi="宋体"/>
          <w:sz w:val="24"/>
          <w:szCs w:val="24"/>
          <w:u w:val="single"/>
        </w:rPr>
        <w:t xml:space="preserve">        年  月  日</w:t>
      </w: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jc w:val="center"/>
        <w:rPr>
          <w:rFonts w:ascii="宋体" w:hAnsi="宋体"/>
          <w:b/>
          <w:bCs/>
          <w:sz w:val="18"/>
        </w:rPr>
      </w:pPr>
    </w:p>
    <w:p>
      <w:pPr>
        <w:rPr>
          <w:rFonts w:ascii="宋体" w:hAnsi="宋体"/>
          <w:b/>
          <w:bCs/>
          <w:sz w:val="24"/>
          <w:szCs w:val="24"/>
        </w:rPr>
      </w:pPr>
      <w:r>
        <w:rPr>
          <w:rFonts w:hint="eastAsia" w:ascii="宋体" w:hAnsi="宋体"/>
          <w:b/>
          <w:bCs/>
          <w:sz w:val="24"/>
          <w:szCs w:val="24"/>
        </w:rPr>
        <w:t>附件3</w:t>
      </w:r>
    </w:p>
    <w:p>
      <w:pPr>
        <w:shd w:val="clear" w:color="auto" w:fill="FFFFFF"/>
        <w:spacing w:line="360" w:lineRule="atLeast"/>
        <w:jc w:val="center"/>
        <w:rPr>
          <w:rFonts w:ascii="宋体" w:hAnsi="宋体" w:cs="宋体"/>
          <w:b/>
          <w:spacing w:val="8"/>
          <w:kern w:val="0"/>
          <w:sz w:val="28"/>
          <w:szCs w:val="28"/>
          <w:shd w:val="clear" w:color="auto" w:fill="FFFFFF"/>
        </w:rPr>
      </w:pPr>
      <w:r>
        <w:rPr>
          <w:rFonts w:hint="eastAsia" w:ascii="宋体" w:hAnsi="宋体" w:cs="宋体"/>
          <w:b/>
          <w:spacing w:val="8"/>
          <w:kern w:val="0"/>
          <w:sz w:val="28"/>
          <w:szCs w:val="28"/>
          <w:shd w:val="clear" w:color="auto" w:fill="FFFFFF"/>
        </w:rPr>
        <w:t>中小企业声明函</w:t>
      </w:r>
    </w:p>
    <w:p>
      <w:pPr>
        <w:shd w:val="clear" w:color="auto" w:fill="FFFFFF"/>
        <w:spacing w:line="560" w:lineRule="exact"/>
        <w:ind w:firstLine="512" w:firstLineChars="200"/>
        <w:jc w:val="left"/>
        <w:rPr>
          <w:rFonts w:ascii="宋体" w:hAnsi="宋体" w:cs="宋体"/>
          <w:spacing w:val="8"/>
          <w:kern w:val="0"/>
          <w:sz w:val="24"/>
          <w:szCs w:val="24"/>
          <w:shd w:val="clear" w:color="auto" w:fill="FFFFFF"/>
        </w:rPr>
      </w:pPr>
      <w:r>
        <w:rPr>
          <w:rFonts w:hint="eastAsia" w:ascii="宋体" w:hAnsi="宋体" w:cs="宋体"/>
          <w:spacing w:val="8"/>
          <w:kern w:val="0"/>
          <w:sz w:val="24"/>
          <w:szCs w:val="24"/>
          <w:shd w:val="clear" w:color="auto" w:fill="FFFFFF"/>
        </w:rPr>
        <w:t xml:space="preserve">本公司郑重声明，根据《政府采购促进中小企业发展暂行办法》（财库〔2011〕181号）的规定，本公司为______（请填写：中型、小型、微型）企业。即，本公司同时满足以下条件： </w:t>
      </w:r>
    </w:p>
    <w:p>
      <w:pPr>
        <w:shd w:val="clear" w:color="auto" w:fill="FFFFFF"/>
        <w:spacing w:line="560" w:lineRule="exact"/>
        <w:ind w:firstLine="256" w:firstLineChars="100"/>
        <w:jc w:val="left"/>
        <w:rPr>
          <w:rFonts w:ascii="宋体" w:hAnsi="宋体" w:cs="宋体"/>
          <w:spacing w:val="8"/>
          <w:kern w:val="0"/>
          <w:sz w:val="24"/>
          <w:szCs w:val="24"/>
          <w:shd w:val="clear" w:color="auto" w:fill="FFFFFF"/>
        </w:rPr>
      </w:pPr>
      <w:r>
        <w:rPr>
          <w:rFonts w:hint="eastAsia" w:ascii="宋体" w:hAnsi="宋体" w:cs="宋体"/>
          <w:spacing w:val="8"/>
          <w:kern w:val="0"/>
          <w:sz w:val="24"/>
          <w:szCs w:val="24"/>
          <w:shd w:val="clear" w:color="auto" w:fill="FFFFFF"/>
        </w:rPr>
        <w:t xml:space="preserve">1.根据《工业和信息化部、国家统计局、国家发展和改革委员会、财政部关于印发中小企业划型标准规定的通知》（工信部联企业〔2011〕300号）规定的划分标准，本公司为______（请填写：中型、小型、微型）企业。 </w:t>
      </w:r>
    </w:p>
    <w:p>
      <w:pPr>
        <w:shd w:val="clear" w:color="auto" w:fill="FFFFFF"/>
        <w:spacing w:line="560" w:lineRule="exact"/>
        <w:ind w:firstLine="256" w:firstLineChars="100"/>
        <w:jc w:val="left"/>
        <w:rPr>
          <w:rFonts w:ascii="宋体" w:hAnsi="宋体" w:cs="宋体"/>
          <w:spacing w:val="8"/>
          <w:kern w:val="0"/>
          <w:sz w:val="24"/>
          <w:szCs w:val="24"/>
          <w:shd w:val="clear" w:color="auto" w:fill="FFFFFF"/>
        </w:rPr>
      </w:pPr>
      <w:r>
        <w:rPr>
          <w:rFonts w:hint="eastAsia" w:ascii="宋体" w:hAnsi="宋体" w:cs="宋体"/>
          <w:spacing w:val="8"/>
          <w:kern w:val="0"/>
          <w:sz w:val="24"/>
          <w:szCs w:val="24"/>
          <w:shd w:val="clear" w:color="auto" w:fill="FFFFFF"/>
        </w:rPr>
        <w:t xml:space="preserve">2.本公司参加______单位的______项目采购活动提供本企业制造的货物，由本企业承担工程、提供服务，或者提供其他______（请填写：中型、小型、微型）企业制造的货物。本条所称货物不包括使用大型企业注册商标的货物。 </w:t>
      </w:r>
    </w:p>
    <w:p>
      <w:pPr>
        <w:shd w:val="clear" w:color="auto" w:fill="FFFFFF"/>
        <w:spacing w:line="560" w:lineRule="exact"/>
        <w:ind w:firstLine="256" w:firstLineChars="100"/>
        <w:jc w:val="left"/>
        <w:rPr>
          <w:rFonts w:ascii="宋体" w:hAnsi="宋体" w:cs="宋体"/>
          <w:spacing w:val="8"/>
          <w:kern w:val="0"/>
          <w:sz w:val="24"/>
          <w:szCs w:val="24"/>
          <w:shd w:val="clear" w:color="auto" w:fill="FFFFFF"/>
        </w:rPr>
      </w:pPr>
      <w:r>
        <w:rPr>
          <w:rFonts w:hint="eastAsia" w:ascii="宋体" w:hAnsi="宋体" w:cs="宋体"/>
          <w:spacing w:val="8"/>
          <w:kern w:val="0"/>
          <w:sz w:val="24"/>
          <w:szCs w:val="24"/>
          <w:shd w:val="clear" w:color="auto" w:fill="FFFFFF"/>
        </w:rPr>
        <w:t>本公司对上述声明的真实性负责。如有虚假，将依法承担相应责任。</w:t>
      </w:r>
      <w:bookmarkStart w:id="309" w:name="ref_[1]_7369364"/>
      <w:bookmarkEnd w:id="309"/>
    </w:p>
    <w:p>
      <w:pPr>
        <w:shd w:val="clear" w:color="auto" w:fill="FFFFFF"/>
        <w:spacing w:line="560" w:lineRule="exact"/>
        <w:jc w:val="left"/>
        <w:rPr>
          <w:rFonts w:ascii="宋体" w:hAnsi="宋体" w:cs="宋体"/>
          <w:spacing w:val="8"/>
          <w:kern w:val="0"/>
          <w:sz w:val="24"/>
          <w:szCs w:val="24"/>
          <w:shd w:val="clear" w:color="auto" w:fill="FFFFFF"/>
        </w:rPr>
      </w:pPr>
    </w:p>
    <w:p>
      <w:pPr>
        <w:shd w:val="clear" w:color="auto" w:fill="FFFFFF"/>
        <w:spacing w:line="560" w:lineRule="exact"/>
        <w:ind w:firstLine="6272" w:firstLineChars="2450"/>
        <w:jc w:val="left"/>
        <w:rPr>
          <w:rFonts w:ascii="宋体" w:hAnsi="宋体" w:cs="宋体"/>
          <w:spacing w:val="8"/>
          <w:kern w:val="0"/>
          <w:sz w:val="24"/>
          <w:szCs w:val="24"/>
          <w:shd w:val="clear" w:color="auto" w:fill="FFFFFF"/>
        </w:rPr>
      </w:pPr>
      <w:r>
        <w:rPr>
          <w:rFonts w:hint="eastAsia" w:ascii="宋体" w:hAnsi="宋体" w:cs="宋体"/>
          <w:spacing w:val="8"/>
          <w:kern w:val="0"/>
          <w:sz w:val="24"/>
          <w:szCs w:val="24"/>
          <w:shd w:val="clear" w:color="auto" w:fill="FFFFFF"/>
        </w:rPr>
        <w:t xml:space="preserve">企业名称（盖章）： </w:t>
      </w:r>
    </w:p>
    <w:p>
      <w:pPr>
        <w:pStyle w:val="30"/>
        <w:widowControl w:val="0"/>
        <w:shd w:val="clear" w:color="auto" w:fill="FFFFFF"/>
        <w:spacing w:before="0" w:beforeAutospacing="0" w:after="0" w:afterAutospacing="0" w:line="560" w:lineRule="exact"/>
        <w:ind w:firstLine="452"/>
        <w:jc w:val="both"/>
        <w:rPr>
          <w:rFonts w:hint="default" w:ascii="宋体" w:hAnsi="宋体" w:eastAsia="宋体" w:cs="宋体"/>
          <w:spacing w:val="8"/>
          <w:shd w:val="clear" w:color="auto" w:fill="FFFFFF"/>
        </w:rPr>
      </w:pPr>
      <w:r>
        <w:rPr>
          <w:rFonts w:ascii="宋体" w:hAnsi="宋体" w:eastAsia="宋体" w:cs="宋体"/>
          <w:spacing w:val="8"/>
          <w:shd w:val="clear" w:color="auto" w:fill="FFFFFF"/>
        </w:rPr>
        <w:t xml:space="preserve">                                                日 期：</w:t>
      </w: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r>
        <w:rPr>
          <w:rFonts w:hint="eastAsia" w:ascii="宋体" w:hAnsi="宋体"/>
          <w:b/>
          <w:bCs/>
          <w:sz w:val="24"/>
          <w:szCs w:val="24"/>
        </w:rPr>
        <w:t>附件4</w:t>
      </w:r>
    </w:p>
    <w:p>
      <w:pPr>
        <w:spacing w:line="588" w:lineRule="exact"/>
        <w:jc w:val="center"/>
        <w:rPr>
          <w:rFonts w:ascii="宋体" w:hAnsi="宋体" w:cs="宋体"/>
          <w:b/>
          <w:spacing w:val="6"/>
          <w:sz w:val="28"/>
          <w:szCs w:val="28"/>
        </w:rPr>
      </w:pPr>
      <w:r>
        <w:rPr>
          <w:rFonts w:hint="eastAsia" w:ascii="宋体" w:hAnsi="宋体" w:cs="宋体"/>
          <w:b/>
          <w:spacing w:val="6"/>
          <w:sz w:val="28"/>
          <w:szCs w:val="28"/>
        </w:rPr>
        <w:t>残疾人福利性单位声明函</w:t>
      </w:r>
    </w:p>
    <w:p>
      <w:pPr>
        <w:spacing w:line="588" w:lineRule="exact"/>
        <w:rPr>
          <w:rFonts w:ascii="宋体" w:hAnsi="宋体" w:cs="宋体"/>
          <w:b/>
          <w:spacing w:val="6"/>
          <w:sz w:val="30"/>
          <w:szCs w:val="30"/>
        </w:rPr>
      </w:pPr>
    </w:p>
    <w:p>
      <w:pPr>
        <w:spacing w:line="588" w:lineRule="exact"/>
        <w:ind w:firstLine="504" w:firstLineChars="200"/>
        <w:rPr>
          <w:rFonts w:ascii="宋体" w:hAnsi="宋体" w:cs="宋体"/>
          <w:spacing w:val="6"/>
          <w:sz w:val="24"/>
          <w:szCs w:val="24"/>
        </w:rPr>
      </w:pPr>
      <w:r>
        <w:rPr>
          <w:rFonts w:hint="eastAsia" w:ascii="宋体" w:hAnsi="宋体" w:cs="宋体"/>
          <w:spacing w:val="6"/>
          <w:sz w:val="24"/>
          <w:szCs w:val="24"/>
        </w:rPr>
        <w:t>本单位郑重声明，根据《财政部 民政部 中国残疾人联合会关于促进残疾人就业政府采购政策的通知》（财库</w:t>
      </w:r>
      <w:r>
        <w:rPr>
          <w:rFonts w:hint="eastAsia" w:ascii="宋体" w:hAnsi="宋体" w:cs="宋体"/>
          <w:sz w:val="24"/>
          <w:szCs w:val="24"/>
        </w:rPr>
        <w:t>〔2017〕 141</w:t>
      </w:r>
      <w:r>
        <w:rPr>
          <w:rFonts w:hint="eastAsia" w:ascii="宋体" w:hAnsi="宋体" w:cs="宋体"/>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szCs w:val="24"/>
        </w:rPr>
      </w:pPr>
      <w:r>
        <w:rPr>
          <w:rFonts w:hint="eastAsia" w:ascii="宋体" w:hAnsi="宋体" w:cs="宋体"/>
          <w:spacing w:val="6"/>
          <w:sz w:val="24"/>
          <w:szCs w:val="24"/>
        </w:rPr>
        <w:t>本单位对上述声明的真实性负责。如有虚假，将依法承担相应责任。</w:t>
      </w:r>
    </w:p>
    <w:p>
      <w:pPr>
        <w:spacing w:line="588" w:lineRule="exact"/>
        <w:ind w:firstLine="504" w:firstLineChars="200"/>
        <w:rPr>
          <w:rFonts w:ascii="宋体" w:hAnsi="宋体" w:cs="宋体"/>
          <w:spacing w:val="6"/>
          <w:sz w:val="24"/>
          <w:szCs w:val="24"/>
        </w:rPr>
      </w:pPr>
    </w:p>
    <w:p>
      <w:pPr>
        <w:spacing w:line="588" w:lineRule="exact"/>
        <w:ind w:firstLine="504" w:firstLineChars="200"/>
        <w:rPr>
          <w:rFonts w:ascii="宋体" w:hAnsi="宋体" w:cs="宋体"/>
          <w:spacing w:val="6"/>
          <w:sz w:val="24"/>
          <w:szCs w:val="24"/>
        </w:rPr>
      </w:pPr>
    </w:p>
    <w:p>
      <w:pPr>
        <w:tabs>
          <w:tab w:val="left" w:pos="4860"/>
        </w:tabs>
        <w:spacing w:line="588" w:lineRule="exact"/>
        <w:ind w:right="1560" w:firstLine="504" w:firstLineChars="200"/>
        <w:jc w:val="center"/>
        <w:rPr>
          <w:rFonts w:ascii="宋体" w:hAnsi="宋体" w:cs="宋体"/>
          <w:spacing w:val="6"/>
          <w:sz w:val="24"/>
          <w:szCs w:val="24"/>
        </w:rPr>
      </w:pPr>
      <w:r>
        <w:rPr>
          <w:rFonts w:hint="eastAsia" w:ascii="宋体" w:hAnsi="宋体" w:cs="宋体"/>
          <w:spacing w:val="6"/>
          <w:sz w:val="24"/>
          <w:szCs w:val="24"/>
        </w:rPr>
        <w:t>单位名称（盖章）：</w:t>
      </w:r>
    </w:p>
    <w:p>
      <w:pPr>
        <w:tabs>
          <w:tab w:val="left" w:pos="4860"/>
        </w:tabs>
        <w:spacing w:line="588" w:lineRule="exact"/>
        <w:ind w:right="1560" w:firstLine="504" w:firstLineChars="200"/>
        <w:jc w:val="center"/>
        <w:rPr>
          <w:rFonts w:ascii="宋体" w:hAnsi="宋体" w:cs="宋体"/>
          <w:spacing w:val="6"/>
          <w:sz w:val="24"/>
          <w:szCs w:val="24"/>
        </w:rPr>
      </w:pPr>
      <w:r>
        <w:rPr>
          <w:rFonts w:hint="eastAsia" w:ascii="宋体" w:hAnsi="宋体" w:cs="宋体"/>
          <w:spacing w:val="6"/>
          <w:sz w:val="24"/>
          <w:szCs w:val="24"/>
        </w:rPr>
        <w:t>日  期：</w:t>
      </w:r>
    </w:p>
    <w:p>
      <w:pPr>
        <w:rPr>
          <w:rFonts w:ascii="宋体" w:hAnsi="宋体"/>
          <w:b/>
          <w:bCs/>
          <w:sz w:val="18"/>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r>
        <w:rPr>
          <w:rFonts w:hint="eastAsia" w:ascii="宋体" w:hAnsi="宋体"/>
          <w:sz w:val="32"/>
          <w:szCs w:val="32"/>
        </w:rPr>
        <w:t>（ 签 章 页 ）</w:t>
      </w:r>
    </w:p>
    <w:p>
      <w:pPr>
        <w:jc w:val="center"/>
        <w:rPr>
          <w:rFonts w:ascii="宋体" w:hAnsi="宋体"/>
          <w:sz w:val="32"/>
          <w:szCs w:val="32"/>
        </w:rPr>
      </w:pPr>
    </w:p>
    <w:p>
      <w:pPr>
        <w:jc w:val="center"/>
        <w:rPr>
          <w:rFonts w:ascii="宋体" w:hAnsi="宋体"/>
          <w:sz w:val="48"/>
        </w:rPr>
      </w:pPr>
    </w:p>
    <w:p>
      <w:pPr>
        <w:ind w:left="5436" w:leftChars="245" w:hanging="4922" w:hangingChars="2043"/>
        <w:jc w:val="left"/>
        <w:rPr>
          <w:rFonts w:ascii="宋体" w:hAnsi="宋体"/>
          <w:b/>
          <w:sz w:val="24"/>
        </w:rPr>
      </w:pPr>
    </w:p>
    <w:p>
      <w:pPr>
        <w:spacing w:line="500" w:lineRule="exact"/>
        <w:ind w:left="6671" w:leftChars="303" w:hanging="6035" w:hangingChars="2505"/>
        <w:jc w:val="left"/>
        <w:rPr>
          <w:rFonts w:ascii="宋体" w:hAnsi="宋体"/>
          <w:b/>
          <w:sz w:val="24"/>
        </w:rPr>
      </w:pPr>
      <w:r>
        <w:rPr>
          <w:rFonts w:hint="eastAsia" w:ascii="宋体" w:hAnsi="宋体"/>
          <w:b/>
          <w:sz w:val="24"/>
        </w:rPr>
        <w:t>采 购 人：百色市田阳区应急管理局（盖章）</w:t>
      </w:r>
    </w:p>
    <w:p>
      <w:pPr>
        <w:spacing w:line="500" w:lineRule="exact"/>
        <w:rPr>
          <w:rFonts w:ascii="宋体" w:hAnsi="宋体"/>
          <w:b/>
          <w:sz w:val="24"/>
        </w:rPr>
      </w:pPr>
    </w:p>
    <w:p>
      <w:pPr>
        <w:spacing w:line="500" w:lineRule="exact"/>
        <w:ind w:left="5356" w:leftChars="303" w:hanging="4720" w:hangingChars="1959"/>
        <w:rPr>
          <w:rFonts w:ascii="宋体" w:hAnsi="宋体"/>
          <w:b/>
          <w:sz w:val="24"/>
        </w:rPr>
      </w:pPr>
      <w:r>
        <w:rPr>
          <w:rFonts w:hint="eastAsia" w:ascii="宋体" w:hAnsi="宋体"/>
          <w:b/>
          <w:sz w:val="24"/>
        </w:rPr>
        <w:t>法定代表人或委托代理人（签字或盖章）</w:t>
      </w:r>
      <w:r>
        <w:rPr>
          <w:rFonts w:ascii="宋体" w:hAnsi="宋体"/>
          <w:b/>
          <w:sz w:val="24"/>
        </w:rPr>
        <w:t xml:space="preserve"> </w:t>
      </w:r>
    </w:p>
    <w:p>
      <w:pPr>
        <w:spacing w:line="500" w:lineRule="exact"/>
        <w:rPr>
          <w:rFonts w:ascii="宋体" w:hAnsi="宋体"/>
          <w:b/>
          <w:sz w:val="24"/>
        </w:rPr>
      </w:pPr>
    </w:p>
    <w:p>
      <w:pPr>
        <w:spacing w:line="500" w:lineRule="exact"/>
        <w:ind w:left="5356" w:leftChars="303" w:hanging="4720" w:hangingChars="1959"/>
        <w:rPr>
          <w:rFonts w:ascii="宋体" w:hAnsi="宋体"/>
          <w:b/>
          <w:sz w:val="24"/>
        </w:rPr>
      </w:pPr>
      <w:r>
        <w:rPr>
          <w:rFonts w:hint="eastAsia" w:ascii="宋体" w:hAnsi="宋体"/>
          <w:b/>
          <w:sz w:val="24"/>
        </w:rPr>
        <w:t>日</w:t>
      </w:r>
      <w:r>
        <w:rPr>
          <w:rFonts w:ascii="宋体" w:hAnsi="宋体"/>
          <w:b/>
          <w:sz w:val="24"/>
        </w:rPr>
        <w:t xml:space="preserve">  </w:t>
      </w:r>
      <w:r>
        <w:rPr>
          <w:rFonts w:hint="eastAsia" w:ascii="宋体" w:hAnsi="宋体"/>
          <w:b/>
          <w:sz w:val="24"/>
        </w:rPr>
        <w:t>期：2020年  月  日</w:t>
      </w:r>
    </w:p>
    <w:p>
      <w:pPr>
        <w:spacing w:line="500" w:lineRule="exact"/>
        <w:ind w:left="5369" w:leftChars="75" w:hanging="5211" w:hangingChars="2163"/>
        <w:rPr>
          <w:rFonts w:ascii="宋体" w:hAnsi="宋体"/>
          <w:b/>
          <w:sz w:val="24"/>
        </w:rPr>
      </w:pPr>
    </w:p>
    <w:p>
      <w:pPr>
        <w:spacing w:line="500" w:lineRule="exact"/>
        <w:ind w:left="5369" w:leftChars="75" w:hanging="5211" w:hangingChars="2163"/>
        <w:rPr>
          <w:rFonts w:ascii="宋体" w:hAnsi="宋体"/>
          <w:b/>
          <w:sz w:val="24"/>
        </w:rPr>
      </w:pPr>
    </w:p>
    <w:p>
      <w:pPr>
        <w:spacing w:line="500" w:lineRule="exact"/>
        <w:ind w:left="5369" w:leftChars="75" w:hanging="5211" w:hangingChars="2163"/>
        <w:rPr>
          <w:rFonts w:ascii="宋体" w:hAnsi="宋体"/>
          <w:b/>
          <w:sz w:val="24"/>
        </w:rPr>
      </w:pPr>
    </w:p>
    <w:p>
      <w:pPr>
        <w:spacing w:line="500" w:lineRule="exact"/>
        <w:ind w:left="5369" w:leftChars="75" w:hanging="5211" w:hangingChars="2163"/>
        <w:rPr>
          <w:rFonts w:ascii="宋体" w:hAnsi="宋体"/>
          <w:b/>
          <w:sz w:val="24"/>
        </w:rPr>
      </w:pPr>
    </w:p>
    <w:p>
      <w:pPr>
        <w:spacing w:line="500" w:lineRule="exact"/>
        <w:ind w:left="5369" w:leftChars="75" w:hanging="5211" w:hangingChars="2163"/>
        <w:rPr>
          <w:rFonts w:ascii="宋体" w:hAnsi="宋体"/>
          <w:b/>
          <w:sz w:val="24"/>
        </w:rPr>
      </w:pPr>
    </w:p>
    <w:p>
      <w:pPr>
        <w:spacing w:line="500" w:lineRule="exact"/>
        <w:ind w:left="5369" w:leftChars="75" w:hanging="5211" w:hangingChars="2163"/>
        <w:rPr>
          <w:rFonts w:ascii="宋体" w:hAnsi="宋体"/>
          <w:b/>
          <w:sz w:val="24"/>
        </w:rPr>
      </w:pPr>
    </w:p>
    <w:p>
      <w:pPr>
        <w:spacing w:line="500" w:lineRule="exact"/>
        <w:ind w:left="6671" w:leftChars="303" w:hanging="6035" w:hangingChars="2505"/>
        <w:jc w:val="left"/>
        <w:rPr>
          <w:rFonts w:ascii="宋体" w:hAnsi="宋体"/>
          <w:b/>
          <w:sz w:val="24"/>
        </w:rPr>
      </w:pPr>
      <w:r>
        <w:rPr>
          <w:rFonts w:hint="eastAsia" w:ascii="宋体" w:hAnsi="宋体"/>
          <w:b/>
          <w:sz w:val="24"/>
        </w:rPr>
        <w:t>采购代理机构：广西元强建设项目管理有限公司（盖章）</w:t>
      </w:r>
    </w:p>
    <w:p>
      <w:pPr>
        <w:spacing w:line="500" w:lineRule="exact"/>
        <w:rPr>
          <w:rFonts w:ascii="宋体" w:hAnsi="宋体"/>
          <w:b/>
          <w:sz w:val="24"/>
        </w:rPr>
      </w:pPr>
    </w:p>
    <w:p>
      <w:pPr>
        <w:spacing w:line="500" w:lineRule="exact"/>
        <w:ind w:left="5356" w:leftChars="303" w:hanging="4720" w:hangingChars="1959"/>
        <w:rPr>
          <w:rFonts w:ascii="宋体" w:hAnsi="宋体"/>
          <w:b/>
          <w:sz w:val="24"/>
        </w:rPr>
      </w:pPr>
      <w:r>
        <w:rPr>
          <w:rFonts w:hint="eastAsia" w:ascii="宋体" w:hAnsi="宋体"/>
          <w:b/>
          <w:sz w:val="24"/>
        </w:rPr>
        <w:t xml:space="preserve">法定代表人或委托代理人（签字或盖章） </w:t>
      </w:r>
    </w:p>
    <w:p>
      <w:pPr>
        <w:spacing w:line="500" w:lineRule="exact"/>
        <w:rPr>
          <w:rFonts w:ascii="宋体" w:hAnsi="宋体"/>
          <w:b/>
          <w:sz w:val="24"/>
        </w:rPr>
      </w:pPr>
    </w:p>
    <w:p>
      <w:pPr>
        <w:spacing w:line="500" w:lineRule="exact"/>
        <w:ind w:left="5356" w:leftChars="303" w:hanging="4720" w:hangingChars="1959"/>
        <w:rPr>
          <w:rFonts w:ascii="宋体" w:hAnsi="宋体"/>
          <w:b/>
          <w:sz w:val="24"/>
        </w:rPr>
      </w:pPr>
      <w:r>
        <w:rPr>
          <w:rFonts w:hint="eastAsia" w:ascii="宋体" w:hAnsi="宋体"/>
          <w:b/>
          <w:sz w:val="24"/>
        </w:rPr>
        <w:t>日</w:t>
      </w:r>
      <w:r>
        <w:rPr>
          <w:rFonts w:ascii="宋体" w:hAnsi="宋体"/>
          <w:b/>
          <w:sz w:val="24"/>
        </w:rPr>
        <w:t xml:space="preserve">  </w:t>
      </w:r>
      <w:r>
        <w:rPr>
          <w:rFonts w:hint="eastAsia" w:ascii="宋体" w:hAnsi="宋体"/>
          <w:b/>
          <w:sz w:val="24"/>
        </w:rPr>
        <w:t>期：2020年  月  日</w:t>
      </w:r>
    </w:p>
    <w:p>
      <w:pPr>
        <w:tabs>
          <w:tab w:val="left" w:pos="7560"/>
        </w:tabs>
        <w:spacing w:line="360" w:lineRule="auto"/>
        <w:rPr>
          <w:rFonts w:ascii="宋体" w:hAnsi="宋体"/>
          <w:sz w:val="32"/>
          <w:szCs w:val="32"/>
        </w:rPr>
      </w:pPr>
    </w:p>
    <w:p>
      <w:pPr>
        <w:rPr>
          <w:rFonts w:ascii="宋体" w:hAnsi="宋体"/>
        </w:rPr>
      </w:pPr>
    </w:p>
    <w:sectPr>
      <w:headerReference r:id="rId4" w:type="first"/>
      <w:headerReference r:id="rId3" w:type="default"/>
      <w:footerReference r:id="rId5" w:type="default"/>
      <w:footerReference r:id="rId6" w:type="even"/>
      <w:endnotePr>
        <w:numFmt w:val="decimal"/>
      </w:endnotePr>
      <w:pgSz w:w="11906" w:h="16838"/>
      <w:pgMar w:top="1134" w:right="1304" w:bottom="1134" w:left="1361" w:header="567" w:footer="567" w:gutter="0"/>
      <w:pgNumType w:start="0"/>
      <w:cols w:space="720" w:num="1"/>
      <w:titlePg/>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金山简黑体">
    <w:altName w:val="宋体"/>
    <w:panose1 w:val="00000000000000000000"/>
    <w:charset w:val="86"/>
    <w:family w:val="roma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金山简隶书">
    <w:altName w:val="宋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方正华隶简体">
    <w:altName w:val="黑体"/>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8"/>
      </w:rPr>
    </w:pPr>
    <w:r>
      <w:fldChar w:fldCharType="begin"/>
    </w:r>
    <w:r>
      <w:rPr>
        <w:rStyle w:val="38"/>
      </w:rPr>
      <w:instrText xml:space="preserve">PAGE  </w:instrText>
    </w:r>
    <w:r>
      <w:fldChar w:fldCharType="separate"/>
    </w:r>
    <w:r>
      <w:rPr>
        <w:rStyle w:val="38"/>
      </w:rPr>
      <w:t>49</w:t>
    </w:r>
    <w:r>
      <w:fldChar w:fldCharType="end"/>
    </w:r>
  </w:p>
  <w:p>
    <w:pPr>
      <w:pStyle w:val="21"/>
      <w:rPr>
        <w:rFonts w:ascii="宋体" w:eastAsia="宋体"/>
        <w:szCs w:val="18"/>
      </w:rPr>
    </w:pPr>
    <w:r>
      <w:rPr>
        <w:rFonts w:hint="eastAsia" w:ascii="宋体" w:eastAsia="宋体"/>
        <w:szCs w:val="18"/>
      </w:rPr>
      <w:t xml:space="preserve"> </w:t>
    </w:r>
    <w:r>
      <w:rPr>
        <w:rFonts w:hint="eastAsia" w:ascii="宋体" w:eastAsia="宋体"/>
      </w:rPr>
      <w:t xml:space="preserve">                                                              </w:t>
    </w:r>
    <w:r>
      <w:rPr>
        <w:rFonts w:hint="eastAsia" w:ascii="宋体" w:eastAsia="宋体"/>
        <w:szCs w:val="18"/>
      </w:rPr>
      <w:t>广西元强建设项目管理有限公司  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8"/>
      </w:rPr>
    </w:pPr>
    <w:r>
      <w:fldChar w:fldCharType="begin"/>
    </w:r>
    <w:r>
      <w:rPr>
        <w:rStyle w:val="38"/>
      </w:rPr>
      <w:instrText xml:space="preserve">PAGE  </w:instrText>
    </w:r>
    <w: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宋体" w:hAnsi="宋体"/>
        <w:color w:val="000000"/>
        <w:szCs w:val="21"/>
        <w:u w:val="single"/>
      </w:rPr>
    </w:pPr>
    <w:r>
      <w:rPr>
        <w:rFonts w:hint="eastAsia" w:ascii="宋体" w:hAnsi="宋体"/>
        <w:szCs w:val="21"/>
        <w:u w:val="single"/>
      </w:rPr>
      <w:t>应急救援装备采购</w:t>
    </w:r>
    <w:r>
      <w:rPr>
        <w:rFonts w:hint="eastAsia" w:ascii="宋体" w:hAnsi="宋体"/>
        <w:color w:val="000000"/>
        <w:szCs w:val="21"/>
        <w:u w:val="single"/>
      </w:rPr>
      <w:t xml:space="preserve">                                                </w:t>
    </w:r>
    <w:r>
      <w:rPr>
        <w:rFonts w:ascii="宋体" w:hAnsi="宋体"/>
        <w:color w:val="000000"/>
        <w:szCs w:val="21"/>
        <w:u w:val="single"/>
      </w:rPr>
      <w:t>BSZC20</w:t>
    </w:r>
    <w:r>
      <w:rPr>
        <w:rFonts w:hint="eastAsia" w:ascii="宋体" w:hAnsi="宋体"/>
        <w:color w:val="000000"/>
        <w:szCs w:val="21"/>
        <w:u w:val="single"/>
      </w:rPr>
      <w:t>20</w:t>
    </w:r>
    <w:r>
      <w:rPr>
        <w:rFonts w:ascii="宋体" w:hAnsi="宋体"/>
        <w:color w:val="000000"/>
        <w:szCs w:val="21"/>
        <w:u w:val="single"/>
      </w:rPr>
      <w:t>-J1-</w:t>
    </w:r>
    <w:r>
      <w:rPr>
        <w:rFonts w:hint="eastAsia" w:ascii="宋体" w:hAnsi="宋体"/>
        <w:color w:val="000000"/>
        <w:szCs w:val="21"/>
        <w:u w:val="single"/>
      </w:rPr>
      <w:t>210366</w:t>
    </w:r>
    <w:r>
      <w:rPr>
        <w:rFonts w:ascii="宋体" w:hAnsi="宋体"/>
        <w:color w:val="000000"/>
        <w:szCs w:val="21"/>
        <w:u w:val="single"/>
      </w:rPr>
      <w:t>-</w:t>
    </w:r>
    <w:r>
      <w:rPr>
        <w:rFonts w:hint="eastAsia" w:ascii="宋体" w:hAnsi="宋体"/>
        <w:color w:val="000000"/>
        <w:szCs w:val="21"/>
        <w:u w:val="single"/>
      </w:rPr>
      <w:t>GXYQ</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6" w:space="0"/>
      </w:pBdr>
      <w:ind w:right="9720"/>
      <w:jc w:val="right"/>
      <w:rPr>
        <w:rFonts w:ascii="宋体" w:hAns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11C271AB"/>
    <w:multiLevelType w:val="multilevel"/>
    <w:tmpl w:val="11C271AB"/>
    <w:lvl w:ilvl="0" w:tentative="0">
      <w:start w:val="1"/>
      <w:numFmt w:val="japaneseCounting"/>
      <w:lvlText w:val="%1、"/>
      <w:lvlJc w:val="left"/>
      <w:pPr>
        <w:tabs>
          <w:tab w:val="left" w:pos="645"/>
        </w:tabs>
        <w:ind w:left="645" w:hanging="64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EB3203F"/>
    <w:multiLevelType w:val="multilevel"/>
    <w:tmpl w:val="3EB3203F"/>
    <w:lvl w:ilvl="0" w:tentative="0">
      <w:start w:val="1"/>
      <w:numFmt w:val="decimal"/>
      <w:lvlText w:val="%1．"/>
      <w:lvlJc w:val="left"/>
      <w:pPr>
        <w:tabs>
          <w:tab w:val="left" w:pos="360"/>
        </w:tabs>
        <w:ind w:left="360" w:hanging="36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9896DB1"/>
    <w:multiLevelType w:val="multilevel"/>
    <w:tmpl w:val="69896DB1"/>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endnotePr>
    <w:numFmt w:val="decimal"/>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057E"/>
    <w:rsid w:val="00000CD6"/>
    <w:rsid w:val="00001099"/>
    <w:rsid w:val="00001138"/>
    <w:rsid w:val="00001574"/>
    <w:rsid w:val="000018C9"/>
    <w:rsid w:val="0000201E"/>
    <w:rsid w:val="0000231A"/>
    <w:rsid w:val="00002F91"/>
    <w:rsid w:val="00003BD6"/>
    <w:rsid w:val="00003E71"/>
    <w:rsid w:val="000046F5"/>
    <w:rsid w:val="00004A21"/>
    <w:rsid w:val="00004FF1"/>
    <w:rsid w:val="00005745"/>
    <w:rsid w:val="00005A42"/>
    <w:rsid w:val="00005AB3"/>
    <w:rsid w:val="00006016"/>
    <w:rsid w:val="000061D8"/>
    <w:rsid w:val="0000654A"/>
    <w:rsid w:val="00006DEE"/>
    <w:rsid w:val="00007138"/>
    <w:rsid w:val="00007307"/>
    <w:rsid w:val="00007BB5"/>
    <w:rsid w:val="00007EEC"/>
    <w:rsid w:val="00010D27"/>
    <w:rsid w:val="00012B0B"/>
    <w:rsid w:val="00012D50"/>
    <w:rsid w:val="00013165"/>
    <w:rsid w:val="00013245"/>
    <w:rsid w:val="0001398C"/>
    <w:rsid w:val="00014D1E"/>
    <w:rsid w:val="00014E97"/>
    <w:rsid w:val="000150D8"/>
    <w:rsid w:val="00015258"/>
    <w:rsid w:val="0001547D"/>
    <w:rsid w:val="000155D6"/>
    <w:rsid w:val="00015961"/>
    <w:rsid w:val="00015C60"/>
    <w:rsid w:val="00015D04"/>
    <w:rsid w:val="00016788"/>
    <w:rsid w:val="00016915"/>
    <w:rsid w:val="00020158"/>
    <w:rsid w:val="00020940"/>
    <w:rsid w:val="00021570"/>
    <w:rsid w:val="00022570"/>
    <w:rsid w:val="00023CF7"/>
    <w:rsid w:val="00023F33"/>
    <w:rsid w:val="00024082"/>
    <w:rsid w:val="0002425F"/>
    <w:rsid w:val="00024450"/>
    <w:rsid w:val="00024D5C"/>
    <w:rsid w:val="00024EC0"/>
    <w:rsid w:val="00025827"/>
    <w:rsid w:val="00025B79"/>
    <w:rsid w:val="00025CAD"/>
    <w:rsid w:val="000260B1"/>
    <w:rsid w:val="000262A0"/>
    <w:rsid w:val="00026425"/>
    <w:rsid w:val="000271CC"/>
    <w:rsid w:val="0002745C"/>
    <w:rsid w:val="00027B9C"/>
    <w:rsid w:val="00027F17"/>
    <w:rsid w:val="0003045E"/>
    <w:rsid w:val="0003054D"/>
    <w:rsid w:val="00030C62"/>
    <w:rsid w:val="00031640"/>
    <w:rsid w:val="00032402"/>
    <w:rsid w:val="00032760"/>
    <w:rsid w:val="0003294D"/>
    <w:rsid w:val="00032A2B"/>
    <w:rsid w:val="00032AF8"/>
    <w:rsid w:val="00033A16"/>
    <w:rsid w:val="00033EAD"/>
    <w:rsid w:val="00034625"/>
    <w:rsid w:val="000347B9"/>
    <w:rsid w:val="00035485"/>
    <w:rsid w:val="0003660B"/>
    <w:rsid w:val="000366A8"/>
    <w:rsid w:val="000371BB"/>
    <w:rsid w:val="00040943"/>
    <w:rsid w:val="00040A70"/>
    <w:rsid w:val="00041AC7"/>
    <w:rsid w:val="00041C14"/>
    <w:rsid w:val="00041FDD"/>
    <w:rsid w:val="0004246C"/>
    <w:rsid w:val="00042794"/>
    <w:rsid w:val="00042CA8"/>
    <w:rsid w:val="000434B9"/>
    <w:rsid w:val="000437BE"/>
    <w:rsid w:val="00043DFE"/>
    <w:rsid w:val="000441D1"/>
    <w:rsid w:val="0004431D"/>
    <w:rsid w:val="00044741"/>
    <w:rsid w:val="000448E1"/>
    <w:rsid w:val="00044A37"/>
    <w:rsid w:val="00044C8B"/>
    <w:rsid w:val="000459E4"/>
    <w:rsid w:val="00045CFA"/>
    <w:rsid w:val="000463F1"/>
    <w:rsid w:val="000472A5"/>
    <w:rsid w:val="00047F3B"/>
    <w:rsid w:val="0005056A"/>
    <w:rsid w:val="00050671"/>
    <w:rsid w:val="000506A2"/>
    <w:rsid w:val="0005090C"/>
    <w:rsid w:val="00050F01"/>
    <w:rsid w:val="00051615"/>
    <w:rsid w:val="0005259C"/>
    <w:rsid w:val="00052D1B"/>
    <w:rsid w:val="00053244"/>
    <w:rsid w:val="00053299"/>
    <w:rsid w:val="00054678"/>
    <w:rsid w:val="0005544B"/>
    <w:rsid w:val="00055848"/>
    <w:rsid w:val="00055C54"/>
    <w:rsid w:val="00055CC4"/>
    <w:rsid w:val="00055F08"/>
    <w:rsid w:val="0005624E"/>
    <w:rsid w:val="00056307"/>
    <w:rsid w:val="00056B19"/>
    <w:rsid w:val="00056BC1"/>
    <w:rsid w:val="000573D9"/>
    <w:rsid w:val="0005770C"/>
    <w:rsid w:val="0005776A"/>
    <w:rsid w:val="00057790"/>
    <w:rsid w:val="0005793C"/>
    <w:rsid w:val="00060620"/>
    <w:rsid w:val="000606C6"/>
    <w:rsid w:val="00060A59"/>
    <w:rsid w:val="00060F36"/>
    <w:rsid w:val="00060FEF"/>
    <w:rsid w:val="00061305"/>
    <w:rsid w:val="00061FCA"/>
    <w:rsid w:val="0006206C"/>
    <w:rsid w:val="000620A9"/>
    <w:rsid w:val="000623EA"/>
    <w:rsid w:val="000634C9"/>
    <w:rsid w:val="000634F7"/>
    <w:rsid w:val="00063DEE"/>
    <w:rsid w:val="000644D1"/>
    <w:rsid w:val="00064C4E"/>
    <w:rsid w:val="00064E13"/>
    <w:rsid w:val="000658C5"/>
    <w:rsid w:val="00065A50"/>
    <w:rsid w:val="00065D22"/>
    <w:rsid w:val="00065E0B"/>
    <w:rsid w:val="00066152"/>
    <w:rsid w:val="000664E0"/>
    <w:rsid w:val="00066616"/>
    <w:rsid w:val="00066993"/>
    <w:rsid w:val="00066B72"/>
    <w:rsid w:val="00070158"/>
    <w:rsid w:val="000705EB"/>
    <w:rsid w:val="00070EDF"/>
    <w:rsid w:val="00073BD3"/>
    <w:rsid w:val="00073FF9"/>
    <w:rsid w:val="00074029"/>
    <w:rsid w:val="00074647"/>
    <w:rsid w:val="00074B3A"/>
    <w:rsid w:val="00074DA7"/>
    <w:rsid w:val="0007512A"/>
    <w:rsid w:val="00075201"/>
    <w:rsid w:val="00075D69"/>
    <w:rsid w:val="00076427"/>
    <w:rsid w:val="00080694"/>
    <w:rsid w:val="000807F7"/>
    <w:rsid w:val="00080E26"/>
    <w:rsid w:val="000812A7"/>
    <w:rsid w:val="00081624"/>
    <w:rsid w:val="000820BB"/>
    <w:rsid w:val="000821A7"/>
    <w:rsid w:val="000827C3"/>
    <w:rsid w:val="00082F66"/>
    <w:rsid w:val="00083D28"/>
    <w:rsid w:val="00083D8E"/>
    <w:rsid w:val="000843B3"/>
    <w:rsid w:val="00084545"/>
    <w:rsid w:val="00084A34"/>
    <w:rsid w:val="00085B39"/>
    <w:rsid w:val="00085E55"/>
    <w:rsid w:val="00087292"/>
    <w:rsid w:val="000872EF"/>
    <w:rsid w:val="0008762C"/>
    <w:rsid w:val="00087C23"/>
    <w:rsid w:val="00087D9F"/>
    <w:rsid w:val="00090B06"/>
    <w:rsid w:val="0009120C"/>
    <w:rsid w:val="0009175D"/>
    <w:rsid w:val="00091D86"/>
    <w:rsid w:val="0009259F"/>
    <w:rsid w:val="000927CB"/>
    <w:rsid w:val="00092E78"/>
    <w:rsid w:val="00093750"/>
    <w:rsid w:val="00093BA4"/>
    <w:rsid w:val="00093C47"/>
    <w:rsid w:val="0009432F"/>
    <w:rsid w:val="00094344"/>
    <w:rsid w:val="00094DBC"/>
    <w:rsid w:val="0009500A"/>
    <w:rsid w:val="00095223"/>
    <w:rsid w:val="00095C9A"/>
    <w:rsid w:val="00095E45"/>
    <w:rsid w:val="00095F33"/>
    <w:rsid w:val="000961E2"/>
    <w:rsid w:val="0009661B"/>
    <w:rsid w:val="000966F0"/>
    <w:rsid w:val="000979BF"/>
    <w:rsid w:val="000A03E2"/>
    <w:rsid w:val="000A04EA"/>
    <w:rsid w:val="000A128D"/>
    <w:rsid w:val="000A1352"/>
    <w:rsid w:val="000A15A5"/>
    <w:rsid w:val="000A19F9"/>
    <w:rsid w:val="000A2A3C"/>
    <w:rsid w:val="000A2C0B"/>
    <w:rsid w:val="000A2D08"/>
    <w:rsid w:val="000A3AB3"/>
    <w:rsid w:val="000A402C"/>
    <w:rsid w:val="000A4946"/>
    <w:rsid w:val="000A4C5B"/>
    <w:rsid w:val="000A4E3F"/>
    <w:rsid w:val="000A524C"/>
    <w:rsid w:val="000A5942"/>
    <w:rsid w:val="000A5D80"/>
    <w:rsid w:val="000A61F7"/>
    <w:rsid w:val="000A6CFD"/>
    <w:rsid w:val="000A70FB"/>
    <w:rsid w:val="000A7B43"/>
    <w:rsid w:val="000A7FD7"/>
    <w:rsid w:val="000B0089"/>
    <w:rsid w:val="000B0303"/>
    <w:rsid w:val="000B0DB4"/>
    <w:rsid w:val="000B212F"/>
    <w:rsid w:val="000B2834"/>
    <w:rsid w:val="000B291D"/>
    <w:rsid w:val="000B3C88"/>
    <w:rsid w:val="000B3D83"/>
    <w:rsid w:val="000B4BCE"/>
    <w:rsid w:val="000B50C7"/>
    <w:rsid w:val="000B5AFD"/>
    <w:rsid w:val="000B6314"/>
    <w:rsid w:val="000B6C16"/>
    <w:rsid w:val="000B6E69"/>
    <w:rsid w:val="000B7997"/>
    <w:rsid w:val="000B7C22"/>
    <w:rsid w:val="000C00CF"/>
    <w:rsid w:val="000C024A"/>
    <w:rsid w:val="000C11EF"/>
    <w:rsid w:val="000C13CE"/>
    <w:rsid w:val="000C1424"/>
    <w:rsid w:val="000C1667"/>
    <w:rsid w:val="000C19A1"/>
    <w:rsid w:val="000C2581"/>
    <w:rsid w:val="000C2C33"/>
    <w:rsid w:val="000C2CA5"/>
    <w:rsid w:val="000C2EFA"/>
    <w:rsid w:val="000C373A"/>
    <w:rsid w:val="000C37A9"/>
    <w:rsid w:val="000C38C0"/>
    <w:rsid w:val="000C38CC"/>
    <w:rsid w:val="000C40F5"/>
    <w:rsid w:val="000C429E"/>
    <w:rsid w:val="000C47E6"/>
    <w:rsid w:val="000C491B"/>
    <w:rsid w:val="000C4AA5"/>
    <w:rsid w:val="000C4BBE"/>
    <w:rsid w:val="000C4CA5"/>
    <w:rsid w:val="000C4CD0"/>
    <w:rsid w:val="000C62FC"/>
    <w:rsid w:val="000C6977"/>
    <w:rsid w:val="000C6E53"/>
    <w:rsid w:val="000C7B13"/>
    <w:rsid w:val="000D0628"/>
    <w:rsid w:val="000D0FF1"/>
    <w:rsid w:val="000D1999"/>
    <w:rsid w:val="000D1EC9"/>
    <w:rsid w:val="000D26FC"/>
    <w:rsid w:val="000D2BA5"/>
    <w:rsid w:val="000D3063"/>
    <w:rsid w:val="000D38E4"/>
    <w:rsid w:val="000D39F6"/>
    <w:rsid w:val="000D412B"/>
    <w:rsid w:val="000D58D9"/>
    <w:rsid w:val="000D595B"/>
    <w:rsid w:val="000D641B"/>
    <w:rsid w:val="000D67D0"/>
    <w:rsid w:val="000D6983"/>
    <w:rsid w:val="000D762A"/>
    <w:rsid w:val="000E06FB"/>
    <w:rsid w:val="000E1EE6"/>
    <w:rsid w:val="000E3387"/>
    <w:rsid w:val="000E4064"/>
    <w:rsid w:val="000E4DAE"/>
    <w:rsid w:val="000E5628"/>
    <w:rsid w:val="000E61C5"/>
    <w:rsid w:val="000E6327"/>
    <w:rsid w:val="000E6E90"/>
    <w:rsid w:val="000E71BC"/>
    <w:rsid w:val="000E75AA"/>
    <w:rsid w:val="000E7D1F"/>
    <w:rsid w:val="000F08A8"/>
    <w:rsid w:val="000F0C6D"/>
    <w:rsid w:val="000F12D2"/>
    <w:rsid w:val="000F19A6"/>
    <w:rsid w:val="000F204B"/>
    <w:rsid w:val="000F251C"/>
    <w:rsid w:val="000F2668"/>
    <w:rsid w:val="000F29F6"/>
    <w:rsid w:val="000F2A4F"/>
    <w:rsid w:val="000F2E61"/>
    <w:rsid w:val="000F3D53"/>
    <w:rsid w:val="000F3E59"/>
    <w:rsid w:val="000F3F26"/>
    <w:rsid w:val="000F41E7"/>
    <w:rsid w:val="000F46C9"/>
    <w:rsid w:val="000F5BDF"/>
    <w:rsid w:val="000F5E73"/>
    <w:rsid w:val="000F61FE"/>
    <w:rsid w:val="000F6486"/>
    <w:rsid w:val="000F6929"/>
    <w:rsid w:val="000F6CDF"/>
    <w:rsid w:val="000F6D4B"/>
    <w:rsid w:val="000F6F5F"/>
    <w:rsid w:val="000F71F9"/>
    <w:rsid w:val="000F7753"/>
    <w:rsid w:val="000F7881"/>
    <w:rsid w:val="001008FB"/>
    <w:rsid w:val="001012E1"/>
    <w:rsid w:val="00101344"/>
    <w:rsid w:val="001020C0"/>
    <w:rsid w:val="001022E9"/>
    <w:rsid w:val="0010251A"/>
    <w:rsid w:val="00102AC1"/>
    <w:rsid w:val="00102DFA"/>
    <w:rsid w:val="001036EB"/>
    <w:rsid w:val="001037B7"/>
    <w:rsid w:val="00103BD4"/>
    <w:rsid w:val="00103EE4"/>
    <w:rsid w:val="00104D72"/>
    <w:rsid w:val="00104DAB"/>
    <w:rsid w:val="00105BAF"/>
    <w:rsid w:val="00106A8C"/>
    <w:rsid w:val="00106C40"/>
    <w:rsid w:val="00107323"/>
    <w:rsid w:val="00107E55"/>
    <w:rsid w:val="00110207"/>
    <w:rsid w:val="00110459"/>
    <w:rsid w:val="00110EC1"/>
    <w:rsid w:val="00111561"/>
    <w:rsid w:val="0011238A"/>
    <w:rsid w:val="001125C3"/>
    <w:rsid w:val="001126CD"/>
    <w:rsid w:val="0011283A"/>
    <w:rsid w:val="00112F74"/>
    <w:rsid w:val="001133FB"/>
    <w:rsid w:val="001134C2"/>
    <w:rsid w:val="001136E0"/>
    <w:rsid w:val="00113DAA"/>
    <w:rsid w:val="00114116"/>
    <w:rsid w:val="0011498D"/>
    <w:rsid w:val="00114CFC"/>
    <w:rsid w:val="00115368"/>
    <w:rsid w:val="00115780"/>
    <w:rsid w:val="00116084"/>
    <w:rsid w:val="001168E0"/>
    <w:rsid w:val="00116F47"/>
    <w:rsid w:val="00116FD2"/>
    <w:rsid w:val="0011739C"/>
    <w:rsid w:val="00117695"/>
    <w:rsid w:val="001179E2"/>
    <w:rsid w:val="00117B6D"/>
    <w:rsid w:val="00117DAE"/>
    <w:rsid w:val="00120295"/>
    <w:rsid w:val="001204CB"/>
    <w:rsid w:val="00120628"/>
    <w:rsid w:val="00120797"/>
    <w:rsid w:val="00120A30"/>
    <w:rsid w:val="00120A88"/>
    <w:rsid w:val="00120B2A"/>
    <w:rsid w:val="00120C00"/>
    <w:rsid w:val="00120E32"/>
    <w:rsid w:val="00121169"/>
    <w:rsid w:val="001212A7"/>
    <w:rsid w:val="0012165B"/>
    <w:rsid w:val="00121B56"/>
    <w:rsid w:val="001224CF"/>
    <w:rsid w:val="00122937"/>
    <w:rsid w:val="00122C4F"/>
    <w:rsid w:val="001239EA"/>
    <w:rsid w:val="00124985"/>
    <w:rsid w:val="00124F21"/>
    <w:rsid w:val="001250A3"/>
    <w:rsid w:val="0012523B"/>
    <w:rsid w:val="001259CE"/>
    <w:rsid w:val="00125B41"/>
    <w:rsid w:val="00125CAC"/>
    <w:rsid w:val="00125F3B"/>
    <w:rsid w:val="001261EE"/>
    <w:rsid w:val="001261F6"/>
    <w:rsid w:val="00130210"/>
    <w:rsid w:val="0013099E"/>
    <w:rsid w:val="001309E9"/>
    <w:rsid w:val="00130FF7"/>
    <w:rsid w:val="00131035"/>
    <w:rsid w:val="001312C7"/>
    <w:rsid w:val="00131471"/>
    <w:rsid w:val="00131A92"/>
    <w:rsid w:val="00131C1F"/>
    <w:rsid w:val="00131E2B"/>
    <w:rsid w:val="001330ED"/>
    <w:rsid w:val="001330F4"/>
    <w:rsid w:val="001335A9"/>
    <w:rsid w:val="001336D4"/>
    <w:rsid w:val="00133AF7"/>
    <w:rsid w:val="00133BB4"/>
    <w:rsid w:val="00134928"/>
    <w:rsid w:val="00135135"/>
    <w:rsid w:val="00135262"/>
    <w:rsid w:val="00135A3C"/>
    <w:rsid w:val="00135ED7"/>
    <w:rsid w:val="00135FBB"/>
    <w:rsid w:val="00136141"/>
    <w:rsid w:val="00136B32"/>
    <w:rsid w:val="00137002"/>
    <w:rsid w:val="00137ADD"/>
    <w:rsid w:val="001400FD"/>
    <w:rsid w:val="00140850"/>
    <w:rsid w:val="00140B98"/>
    <w:rsid w:val="0014125F"/>
    <w:rsid w:val="00141F4C"/>
    <w:rsid w:val="001426CF"/>
    <w:rsid w:val="0014291E"/>
    <w:rsid w:val="0014340D"/>
    <w:rsid w:val="0014422B"/>
    <w:rsid w:val="00144A2E"/>
    <w:rsid w:val="00144A36"/>
    <w:rsid w:val="00144ADD"/>
    <w:rsid w:val="00144E85"/>
    <w:rsid w:val="00145DCE"/>
    <w:rsid w:val="00145DD7"/>
    <w:rsid w:val="001463AA"/>
    <w:rsid w:val="001464C4"/>
    <w:rsid w:val="00146DF3"/>
    <w:rsid w:val="0014778B"/>
    <w:rsid w:val="001477C2"/>
    <w:rsid w:val="00147A49"/>
    <w:rsid w:val="00150325"/>
    <w:rsid w:val="00150A05"/>
    <w:rsid w:val="00152F72"/>
    <w:rsid w:val="0015316C"/>
    <w:rsid w:val="00153619"/>
    <w:rsid w:val="001536B5"/>
    <w:rsid w:val="001558D1"/>
    <w:rsid w:val="00155DA2"/>
    <w:rsid w:val="00157031"/>
    <w:rsid w:val="00157B01"/>
    <w:rsid w:val="001607F4"/>
    <w:rsid w:val="00160D61"/>
    <w:rsid w:val="00160E35"/>
    <w:rsid w:val="00161631"/>
    <w:rsid w:val="00161F0F"/>
    <w:rsid w:val="001622FF"/>
    <w:rsid w:val="001625C0"/>
    <w:rsid w:val="001627E9"/>
    <w:rsid w:val="00163A91"/>
    <w:rsid w:val="00163FF7"/>
    <w:rsid w:val="00164111"/>
    <w:rsid w:val="001646C0"/>
    <w:rsid w:val="001646DA"/>
    <w:rsid w:val="0016479B"/>
    <w:rsid w:val="00165480"/>
    <w:rsid w:val="00165FE8"/>
    <w:rsid w:val="00166A46"/>
    <w:rsid w:val="001678D4"/>
    <w:rsid w:val="0017028D"/>
    <w:rsid w:val="00170C99"/>
    <w:rsid w:val="00170E3F"/>
    <w:rsid w:val="00171689"/>
    <w:rsid w:val="001716DE"/>
    <w:rsid w:val="00172A27"/>
    <w:rsid w:val="0017348B"/>
    <w:rsid w:val="0017359B"/>
    <w:rsid w:val="00173A3E"/>
    <w:rsid w:val="001748BE"/>
    <w:rsid w:val="00174B54"/>
    <w:rsid w:val="00174F25"/>
    <w:rsid w:val="001753AD"/>
    <w:rsid w:val="00175A77"/>
    <w:rsid w:val="00175DB0"/>
    <w:rsid w:val="00175E13"/>
    <w:rsid w:val="001778D2"/>
    <w:rsid w:val="00180680"/>
    <w:rsid w:val="00180A53"/>
    <w:rsid w:val="001819D9"/>
    <w:rsid w:val="0018234A"/>
    <w:rsid w:val="00182576"/>
    <w:rsid w:val="001825C8"/>
    <w:rsid w:val="00182912"/>
    <w:rsid w:val="0018318A"/>
    <w:rsid w:val="00183201"/>
    <w:rsid w:val="00183F51"/>
    <w:rsid w:val="001840FF"/>
    <w:rsid w:val="0018423A"/>
    <w:rsid w:val="001847D4"/>
    <w:rsid w:val="001849BE"/>
    <w:rsid w:val="0018591D"/>
    <w:rsid w:val="0018712A"/>
    <w:rsid w:val="00187261"/>
    <w:rsid w:val="00187322"/>
    <w:rsid w:val="00187576"/>
    <w:rsid w:val="001911E2"/>
    <w:rsid w:val="00191420"/>
    <w:rsid w:val="0019142D"/>
    <w:rsid w:val="0019153F"/>
    <w:rsid w:val="001917AB"/>
    <w:rsid w:val="001919AF"/>
    <w:rsid w:val="001922E3"/>
    <w:rsid w:val="001929D0"/>
    <w:rsid w:val="00192F54"/>
    <w:rsid w:val="001934EE"/>
    <w:rsid w:val="00193853"/>
    <w:rsid w:val="00194506"/>
    <w:rsid w:val="00194894"/>
    <w:rsid w:val="00195599"/>
    <w:rsid w:val="00195F04"/>
    <w:rsid w:val="00196CE0"/>
    <w:rsid w:val="0019741C"/>
    <w:rsid w:val="0019767F"/>
    <w:rsid w:val="00197EE2"/>
    <w:rsid w:val="001A0BB6"/>
    <w:rsid w:val="001A0E93"/>
    <w:rsid w:val="001A1348"/>
    <w:rsid w:val="001A15D7"/>
    <w:rsid w:val="001A16AC"/>
    <w:rsid w:val="001A1DB8"/>
    <w:rsid w:val="001A21A3"/>
    <w:rsid w:val="001A24A2"/>
    <w:rsid w:val="001A2EAE"/>
    <w:rsid w:val="001A3167"/>
    <w:rsid w:val="001A3D65"/>
    <w:rsid w:val="001A4389"/>
    <w:rsid w:val="001A47BB"/>
    <w:rsid w:val="001A4BB8"/>
    <w:rsid w:val="001A4DC1"/>
    <w:rsid w:val="001A54E1"/>
    <w:rsid w:val="001A6BD3"/>
    <w:rsid w:val="001A6CFE"/>
    <w:rsid w:val="001A781D"/>
    <w:rsid w:val="001A7BE6"/>
    <w:rsid w:val="001B042D"/>
    <w:rsid w:val="001B0F8D"/>
    <w:rsid w:val="001B113C"/>
    <w:rsid w:val="001B1159"/>
    <w:rsid w:val="001B11C4"/>
    <w:rsid w:val="001B176B"/>
    <w:rsid w:val="001B1994"/>
    <w:rsid w:val="001B1D68"/>
    <w:rsid w:val="001B1DC0"/>
    <w:rsid w:val="001B1E15"/>
    <w:rsid w:val="001B1FF1"/>
    <w:rsid w:val="001B2423"/>
    <w:rsid w:val="001B258E"/>
    <w:rsid w:val="001B260D"/>
    <w:rsid w:val="001B2775"/>
    <w:rsid w:val="001B2FCB"/>
    <w:rsid w:val="001B3142"/>
    <w:rsid w:val="001B31D7"/>
    <w:rsid w:val="001B3963"/>
    <w:rsid w:val="001B7856"/>
    <w:rsid w:val="001B796F"/>
    <w:rsid w:val="001B7BC4"/>
    <w:rsid w:val="001B7F7E"/>
    <w:rsid w:val="001C0049"/>
    <w:rsid w:val="001C0665"/>
    <w:rsid w:val="001C07F9"/>
    <w:rsid w:val="001C09E8"/>
    <w:rsid w:val="001C0C1A"/>
    <w:rsid w:val="001C1266"/>
    <w:rsid w:val="001C12A4"/>
    <w:rsid w:val="001C152D"/>
    <w:rsid w:val="001C1E76"/>
    <w:rsid w:val="001C246D"/>
    <w:rsid w:val="001C27D1"/>
    <w:rsid w:val="001C2B84"/>
    <w:rsid w:val="001C32CA"/>
    <w:rsid w:val="001C38A0"/>
    <w:rsid w:val="001C38A9"/>
    <w:rsid w:val="001C3B0A"/>
    <w:rsid w:val="001C451B"/>
    <w:rsid w:val="001C4D22"/>
    <w:rsid w:val="001C4DA0"/>
    <w:rsid w:val="001C580D"/>
    <w:rsid w:val="001C6303"/>
    <w:rsid w:val="001C6973"/>
    <w:rsid w:val="001C6BD6"/>
    <w:rsid w:val="001C6EB1"/>
    <w:rsid w:val="001C7568"/>
    <w:rsid w:val="001C76C1"/>
    <w:rsid w:val="001C7CDF"/>
    <w:rsid w:val="001D02BE"/>
    <w:rsid w:val="001D06D6"/>
    <w:rsid w:val="001D0BC3"/>
    <w:rsid w:val="001D0E34"/>
    <w:rsid w:val="001D11F8"/>
    <w:rsid w:val="001D1EAC"/>
    <w:rsid w:val="001D1ECC"/>
    <w:rsid w:val="001D45DD"/>
    <w:rsid w:val="001D5F86"/>
    <w:rsid w:val="001D61EA"/>
    <w:rsid w:val="001D62F3"/>
    <w:rsid w:val="001D6403"/>
    <w:rsid w:val="001D677B"/>
    <w:rsid w:val="001D68C5"/>
    <w:rsid w:val="001D6A37"/>
    <w:rsid w:val="001D6A72"/>
    <w:rsid w:val="001D6EB2"/>
    <w:rsid w:val="001D739E"/>
    <w:rsid w:val="001D7D9F"/>
    <w:rsid w:val="001E0431"/>
    <w:rsid w:val="001E3614"/>
    <w:rsid w:val="001E3B26"/>
    <w:rsid w:val="001E3D17"/>
    <w:rsid w:val="001E4219"/>
    <w:rsid w:val="001E6132"/>
    <w:rsid w:val="001E728E"/>
    <w:rsid w:val="001E77DE"/>
    <w:rsid w:val="001F0767"/>
    <w:rsid w:val="001F0D9B"/>
    <w:rsid w:val="001F0F1B"/>
    <w:rsid w:val="001F1862"/>
    <w:rsid w:val="001F1E62"/>
    <w:rsid w:val="001F1E88"/>
    <w:rsid w:val="001F202D"/>
    <w:rsid w:val="001F29F3"/>
    <w:rsid w:val="001F2EB1"/>
    <w:rsid w:val="001F2F1A"/>
    <w:rsid w:val="001F3823"/>
    <w:rsid w:val="001F3911"/>
    <w:rsid w:val="001F446B"/>
    <w:rsid w:val="001F48B3"/>
    <w:rsid w:val="001F57C0"/>
    <w:rsid w:val="001F5BF4"/>
    <w:rsid w:val="001F6876"/>
    <w:rsid w:val="001F6935"/>
    <w:rsid w:val="001F7C61"/>
    <w:rsid w:val="002005AF"/>
    <w:rsid w:val="002007B6"/>
    <w:rsid w:val="00200F4C"/>
    <w:rsid w:val="00202692"/>
    <w:rsid w:val="002027EA"/>
    <w:rsid w:val="00202B4B"/>
    <w:rsid w:val="00204266"/>
    <w:rsid w:val="00204D9C"/>
    <w:rsid w:val="00205765"/>
    <w:rsid w:val="00205B15"/>
    <w:rsid w:val="002062B2"/>
    <w:rsid w:val="002063A0"/>
    <w:rsid w:val="002063B7"/>
    <w:rsid w:val="00206AFD"/>
    <w:rsid w:val="00207178"/>
    <w:rsid w:val="00207AB7"/>
    <w:rsid w:val="00207EF4"/>
    <w:rsid w:val="002103D7"/>
    <w:rsid w:val="0021063D"/>
    <w:rsid w:val="00210676"/>
    <w:rsid w:val="0021091E"/>
    <w:rsid w:val="00212E40"/>
    <w:rsid w:val="0021313B"/>
    <w:rsid w:val="00215484"/>
    <w:rsid w:val="002159E7"/>
    <w:rsid w:val="0021668E"/>
    <w:rsid w:val="00216781"/>
    <w:rsid w:val="0021697B"/>
    <w:rsid w:val="00216A57"/>
    <w:rsid w:val="00216BC5"/>
    <w:rsid w:val="00216C2D"/>
    <w:rsid w:val="00217298"/>
    <w:rsid w:val="0021752D"/>
    <w:rsid w:val="00217861"/>
    <w:rsid w:val="00217E1B"/>
    <w:rsid w:val="002203F0"/>
    <w:rsid w:val="00220D30"/>
    <w:rsid w:val="0022143F"/>
    <w:rsid w:val="00221B43"/>
    <w:rsid w:val="00222332"/>
    <w:rsid w:val="00222481"/>
    <w:rsid w:val="0022280C"/>
    <w:rsid w:val="00223E33"/>
    <w:rsid w:val="00224277"/>
    <w:rsid w:val="00224C44"/>
    <w:rsid w:val="00225EC6"/>
    <w:rsid w:val="002272E4"/>
    <w:rsid w:val="002277C2"/>
    <w:rsid w:val="00227B5E"/>
    <w:rsid w:val="002303E9"/>
    <w:rsid w:val="0023054B"/>
    <w:rsid w:val="00231D5D"/>
    <w:rsid w:val="00231E80"/>
    <w:rsid w:val="0023282B"/>
    <w:rsid w:val="00232E33"/>
    <w:rsid w:val="00233074"/>
    <w:rsid w:val="0023375A"/>
    <w:rsid w:val="00233A25"/>
    <w:rsid w:val="002341A9"/>
    <w:rsid w:val="002347ED"/>
    <w:rsid w:val="00234FA0"/>
    <w:rsid w:val="0023565F"/>
    <w:rsid w:val="00235856"/>
    <w:rsid w:val="00235B2E"/>
    <w:rsid w:val="0023628C"/>
    <w:rsid w:val="00236A81"/>
    <w:rsid w:val="0023708C"/>
    <w:rsid w:val="00240832"/>
    <w:rsid w:val="00240E45"/>
    <w:rsid w:val="00241486"/>
    <w:rsid w:val="0024257E"/>
    <w:rsid w:val="00242D4B"/>
    <w:rsid w:val="00242E25"/>
    <w:rsid w:val="00243219"/>
    <w:rsid w:val="00243325"/>
    <w:rsid w:val="00244392"/>
    <w:rsid w:val="0024454B"/>
    <w:rsid w:val="00244762"/>
    <w:rsid w:val="00246582"/>
    <w:rsid w:val="002467C0"/>
    <w:rsid w:val="00247A3C"/>
    <w:rsid w:val="0025061E"/>
    <w:rsid w:val="002509AA"/>
    <w:rsid w:val="002527D2"/>
    <w:rsid w:val="002528E4"/>
    <w:rsid w:val="00252B71"/>
    <w:rsid w:val="00252E59"/>
    <w:rsid w:val="00252EF3"/>
    <w:rsid w:val="00253C8F"/>
    <w:rsid w:val="00253F3F"/>
    <w:rsid w:val="0025411E"/>
    <w:rsid w:val="002541EE"/>
    <w:rsid w:val="00254D2D"/>
    <w:rsid w:val="00254DFF"/>
    <w:rsid w:val="00254FCE"/>
    <w:rsid w:val="002558DF"/>
    <w:rsid w:val="0025593A"/>
    <w:rsid w:val="00256445"/>
    <w:rsid w:val="00260CB9"/>
    <w:rsid w:val="002613DF"/>
    <w:rsid w:val="002614E1"/>
    <w:rsid w:val="0026274D"/>
    <w:rsid w:val="00262A6F"/>
    <w:rsid w:val="00262F4F"/>
    <w:rsid w:val="00263F44"/>
    <w:rsid w:val="00264C91"/>
    <w:rsid w:val="00264C95"/>
    <w:rsid w:val="00264D75"/>
    <w:rsid w:val="00264DA8"/>
    <w:rsid w:val="00265011"/>
    <w:rsid w:val="002658F8"/>
    <w:rsid w:val="0026664F"/>
    <w:rsid w:val="00266ADC"/>
    <w:rsid w:val="00266D20"/>
    <w:rsid w:val="0026785E"/>
    <w:rsid w:val="00267FE5"/>
    <w:rsid w:val="002713D3"/>
    <w:rsid w:val="002716FA"/>
    <w:rsid w:val="00272349"/>
    <w:rsid w:val="00272579"/>
    <w:rsid w:val="00272E42"/>
    <w:rsid w:val="00273986"/>
    <w:rsid w:val="002742BB"/>
    <w:rsid w:val="00274318"/>
    <w:rsid w:val="0027433A"/>
    <w:rsid w:val="0027490A"/>
    <w:rsid w:val="00274C0F"/>
    <w:rsid w:val="00275168"/>
    <w:rsid w:val="002753EA"/>
    <w:rsid w:val="0027565C"/>
    <w:rsid w:val="00275A9D"/>
    <w:rsid w:val="00275B30"/>
    <w:rsid w:val="00276C2B"/>
    <w:rsid w:val="0027737B"/>
    <w:rsid w:val="0028000B"/>
    <w:rsid w:val="00281059"/>
    <w:rsid w:val="00282AB3"/>
    <w:rsid w:val="00282E21"/>
    <w:rsid w:val="00282F2C"/>
    <w:rsid w:val="00284456"/>
    <w:rsid w:val="0028544F"/>
    <w:rsid w:val="002858D0"/>
    <w:rsid w:val="002859CC"/>
    <w:rsid w:val="002866B9"/>
    <w:rsid w:val="00286815"/>
    <w:rsid w:val="00286ABB"/>
    <w:rsid w:val="00286B95"/>
    <w:rsid w:val="00286F78"/>
    <w:rsid w:val="00287109"/>
    <w:rsid w:val="0028737F"/>
    <w:rsid w:val="00290B36"/>
    <w:rsid w:val="00290E30"/>
    <w:rsid w:val="00290E9E"/>
    <w:rsid w:val="002916BA"/>
    <w:rsid w:val="00291B35"/>
    <w:rsid w:val="00291CE0"/>
    <w:rsid w:val="00291F9B"/>
    <w:rsid w:val="002922E3"/>
    <w:rsid w:val="00292B12"/>
    <w:rsid w:val="00292B78"/>
    <w:rsid w:val="0029329E"/>
    <w:rsid w:val="00293699"/>
    <w:rsid w:val="00293791"/>
    <w:rsid w:val="0029394E"/>
    <w:rsid w:val="00294C66"/>
    <w:rsid w:val="002967B2"/>
    <w:rsid w:val="00297A22"/>
    <w:rsid w:val="00297C5D"/>
    <w:rsid w:val="00297D0B"/>
    <w:rsid w:val="002A0267"/>
    <w:rsid w:val="002A139E"/>
    <w:rsid w:val="002A159A"/>
    <w:rsid w:val="002A164E"/>
    <w:rsid w:val="002A1925"/>
    <w:rsid w:val="002A20BA"/>
    <w:rsid w:val="002A22AD"/>
    <w:rsid w:val="002A23FA"/>
    <w:rsid w:val="002A2A7E"/>
    <w:rsid w:val="002A3418"/>
    <w:rsid w:val="002A3791"/>
    <w:rsid w:val="002A3BF3"/>
    <w:rsid w:val="002A53D6"/>
    <w:rsid w:val="002A5C6C"/>
    <w:rsid w:val="002A63A1"/>
    <w:rsid w:val="002A6629"/>
    <w:rsid w:val="002A684B"/>
    <w:rsid w:val="002A6A8A"/>
    <w:rsid w:val="002A6CB5"/>
    <w:rsid w:val="002A7334"/>
    <w:rsid w:val="002A78EB"/>
    <w:rsid w:val="002A7EBB"/>
    <w:rsid w:val="002B0584"/>
    <w:rsid w:val="002B1137"/>
    <w:rsid w:val="002B169C"/>
    <w:rsid w:val="002B1DBE"/>
    <w:rsid w:val="002B1FC1"/>
    <w:rsid w:val="002B286E"/>
    <w:rsid w:val="002B2EFE"/>
    <w:rsid w:val="002B3BCA"/>
    <w:rsid w:val="002B4F0C"/>
    <w:rsid w:val="002B6D65"/>
    <w:rsid w:val="002B6ED8"/>
    <w:rsid w:val="002B6FD1"/>
    <w:rsid w:val="002B70F1"/>
    <w:rsid w:val="002B71B3"/>
    <w:rsid w:val="002B720C"/>
    <w:rsid w:val="002B7516"/>
    <w:rsid w:val="002B7563"/>
    <w:rsid w:val="002B7740"/>
    <w:rsid w:val="002B77CC"/>
    <w:rsid w:val="002B7C29"/>
    <w:rsid w:val="002B7DE5"/>
    <w:rsid w:val="002B7E9E"/>
    <w:rsid w:val="002C0928"/>
    <w:rsid w:val="002C0A5C"/>
    <w:rsid w:val="002C0CA4"/>
    <w:rsid w:val="002C10D5"/>
    <w:rsid w:val="002C1172"/>
    <w:rsid w:val="002C1293"/>
    <w:rsid w:val="002C1AA0"/>
    <w:rsid w:val="002C2271"/>
    <w:rsid w:val="002C359E"/>
    <w:rsid w:val="002C39B2"/>
    <w:rsid w:val="002C39DA"/>
    <w:rsid w:val="002C3C4E"/>
    <w:rsid w:val="002C3E64"/>
    <w:rsid w:val="002C3FE5"/>
    <w:rsid w:val="002C4368"/>
    <w:rsid w:val="002C45DF"/>
    <w:rsid w:val="002C47B1"/>
    <w:rsid w:val="002C4CDA"/>
    <w:rsid w:val="002C54C8"/>
    <w:rsid w:val="002C5739"/>
    <w:rsid w:val="002C5F91"/>
    <w:rsid w:val="002C6208"/>
    <w:rsid w:val="002C6E05"/>
    <w:rsid w:val="002C6F91"/>
    <w:rsid w:val="002C7EDB"/>
    <w:rsid w:val="002C7F08"/>
    <w:rsid w:val="002D047A"/>
    <w:rsid w:val="002D1331"/>
    <w:rsid w:val="002D13A4"/>
    <w:rsid w:val="002D283A"/>
    <w:rsid w:val="002D2A0D"/>
    <w:rsid w:val="002D49EC"/>
    <w:rsid w:val="002D4A8C"/>
    <w:rsid w:val="002D63A5"/>
    <w:rsid w:val="002D6EA7"/>
    <w:rsid w:val="002D767F"/>
    <w:rsid w:val="002D7827"/>
    <w:rsid w:val="002D797F"/>
    <w:rsid w:val="002D7BAF"/>
    <w:rsid w:val="002E0413"/>
    <w:rsid w:val="002E0CA3"/>
    <w:rsid w:val="002E0D77"/>
    <w:rsid w:val="002E1916"/>
    <w:rsid w:val="002E266F"/>
    <w:rsid w:val="002E2CBE"/>
    <w:rsid w:val="002E3169"/>
    <w:rsid w:val="002E3894"/>
    <w:rsid w:val="002E38DE"/>
    <w:rsid w:val="002E4130"/>
    <w:rsid w:val="002E4E6D"/>
    <w:rsid w:val="002E4F90"/>
    <w:rsid w:val="002E516D"/>
    <w:rsid w:val="002E56B2"/>
    <w:rsid w:val="002E6D71"/>
    <w:rsid w:val="002E750C"/>
    <w:rsid w:val="002E778F"/>
    <w:rsid w:val="002E781D"/>
    <w:rsid w:val="002F024D"/>
    <w:rsid w:val="002F028D"/>
    <w:rsid w:val="002F0584"/>
    <w:rsid w:val="002F07C9"/>
    <w:rsid w:val="002F10F3"/>
    <w:rsid w:val="002F1503"/>
    <w:rsid w:val="002F1F32"/>
    <w:rsid w:val="002F26E3"/>
    <w:rsid w:val="002F2F5B"/>
    <w:rsid w:val="002F30EE"/>
    <w:rsid w:val="002F3247"/>
    <w:rsid w:val="002F34DB"/>
    <w:rsid w:val="002F3686"/>
    <w:rsid w:val="002F4C15"/>
    <w:rsid w:val="002F53D3"/>
    <w:rsid w:val="002F53E0"/>
    <w:rsid w:val="002F5C55"/>
    <w:rsid w:val="002F5E92"/>
    <w:rsid w:val="002F67DA"/>
    <w:rsid w:val="002F69C7"/>
    <w:rsid w:val="002F73CB"/>
    <w:rsid w:val="002F7EA8"/>
    <w:rsid w:val="00300700"/>
    <w:rsid w:val="00300DF7"/>
    <w:rsid w:val="00301131"/>
    <w:rsid w:val="0030129C"/>
    <w:rsid w:val="0030184B"/>
    <w:rsid w:val="00301C68"/>
    <w:rsid w:val="00301DB9"/>
    <w:rsid w:val="00302557"/>
    <w:rsid w:val="003045FF"/>
    <w:rsid w:val="0030488D"/>
    <w:rsid w:val="003048ED"/>
    <w:rsid w:val="00304FCD"/>
    <w:rsid w:val="003057D5"/>
    <w:rsid w:val="00305F9C"/>
    <w:rsid w:val="00305FBE"/>
    <w:rsid w:val="00306102"/>
    <w:rsid w:val="00306148"/>
    <w:rsid w:val="003064BE"/>
    <w:rsid w:val="00306C66"/>
    <w:rsid w:val="003077BB"/>
    <w:rsid w:val="00307BAD"/>
    <w:rsid w:val="00307EAE"/>
    <w:rsid w:val="003108DA"/>
    <w:rsid w:val="00310B57"/>
    <w:rsid w:val="00311611"/>
    <w:rsid w:val="0031201F"/>
    <w:rsid w:val="00312127"/>
    <w:rsid w:val="00312501"/>
    <w:rsid w:val="00312B9F"/>
    <w:rsid w:val="00312C0D"/>
    <w:rsid w:val="00312C93"/>
    <w:rsid w:val="003148A8"/>
    <w:rsid w:val="00315208"/>
    <w:rsid w:val="003200BF"/>
    <w:rsid w:val="00320792"/>
    <w:rsid w:val="00322B8C"/>
    <w:rsid w:val="00322F8D"/>
    <w:rsid w:val="00323007"/>
    <w:rsid w:val="00323123"/>
    <w:rsid w:val="00323CAD"/>
    <w:rsid w:val="003254FF"/>
    <w:rsid w:val="00325A87"/>
    <w:rsid w:val="003260DC"/>
    <w:rsid w:val="00326854"/>
    <w:rsid w:val="00326890"/>
    <w:rsid w:val="00326CC6"/>
    <w:rsid w:val="003276CB"/>
    <w:rsid w:val="00327B91"/>
    <w:rsid w:val="003301EF"/>
    <w:rsid w:val="003302D1"/>
    <w:rsid w:val="0033053E"/>
    <w:rsid w:val="0033065C"/>
    <w:rsid w:val="00330734"/>
    <w:rsid w:val="003312EC"/>
    <w:rsid w:val="003319CB"/>
    <w:rsid w:val="00331D7C"/>
    <w:rsid w:val="003320ED"/>
    <w:rsid w:val="00332AD1"/>
    <w:rsid w:val="00332F36"/>
    <w:rsid w:val="003330C5"/>
    <w:rsid w:val="00333332"/>
    <w:rsid w:val="00334577"/>
    <w:rsid w:val="00335246"/>
    <w:rsid w:val="00335F9C"/>
    <w:rsid w:val="00336429"/>
    <w:rsid w:val="0033648D"/>
    <w:rsid w:val="003365DD"/>
    <w:rsid w:val="00336804"/>
    <w:rsid w:val="00336874"/>
    <w:rsid w:val="00336D7D"/>
    <w:rsid w:val="003373DB"/>
    <w:rsid w:val="0033782B"/>
    <w:rsid w:val="00337B89"/>
    <w:rsid w:val="00337C2C"/>
    <w:rsid w:val="00337EA2"/>
    <w:rsid w:val="00340B6F"/>
    <w:rsid w:val="003425CD"/>
    <w:rsid w:val="00342AC0"/>
    <w:rsid w:val="00342D31"/>
    <w:rsid w:val="0034307E"/>
    <w:rsid w:val="00343289"/>
    <w:rsid w:val="00343AA8"/>
    <w:rsid w:val="0034420C"/>
    <w:rsid w:val="0034433E"/>
    <w:rsid w:val="00344535"/>
    <w:rsid w:val="00344A5C"/>
    <w:rsid w:val="003457F4"/>
    <w:rsid w:val="003461C7"/>
    <w:rsid w:val="0034640F"/>
    <w:rsid w:val="00346959"/>
    <w:rsid w:val="003472C6"/>
    <w:rsid w:val="00350082"/>
    <w:rsid w:val="0035078E"/>
    <w:rsid w:val="00351511"/>
    <w:rsid w:val="0035160B"/>
    <w:rsid w:val="0035188F"/>
    <w:rsid w:val="00352257"/>
    <w:rsid w:val="003535A2"/>
    <w:rsid w:val="0035361C"/>
    <w:rsid w:val="00353C0B"/>
    <w:rsid w:val="00353CAE"/>
    <w:rsid w:val="003540AB"/>
    <w:rsid w:val="003545AD"/>
    <w:rsid w:val="00355FCC"/>
    <w:rsid w:val="003560C8"/>
    <w:rsid w:val="00356C4E"/>
    <w:rsid w:val="00357558"/>
    <w:rsid w:val="00357970"/>
    <w:rsid w:val="003603DA"/>
    <w:rsid w:val="00360647"/>
    <w:rsid w:val="00360947"/>
    <w:rsid w:val="00361D37"/>
    <w:rsid w:val="00361D84"/>
    <w:rsid w:val="00362148"/>
    <w:rsid w:val="0036241E"/>
    <w:rsid w:val="003624DD"/>
    <w:rsid w:val="003625C0"/>
    <w:rsid w:val="00362A9F"/>
    <w:rsid w:val="00362E0C"/>
    <w:rsid w:val="003641A1"/>
    <w:rsid w:val="003648A6"/>
    <w:rsid w:val="00364B7C"/>
    <w:rsid w:val="00365011"/>
    <w:rsid w:val="00365190"/>
    <w:rsid w:val="00365B84"/>
    <w:rsid w:val="0036637C"/>
    <w:rsid w:val="00367CC4"/>
    <w:rsid w:val="00367F25"/>
    <w:rsid w:val="00367FB8"/>
    <w:rsid w:val="0037179F"/>
    <w:rsid w:val="00371AC5"/>
    <w:rsid w:val="0037325A"/>
    <w:rsid w:val="00373726"/>
    <w:rsid w:val="00373F7E"/>
    <w:rsid w:val="003741B8"/>
    <w:rsid w:val="00374915"/>
    <w:rsid w:val="00374A35"/>
    <w:rsid w:val="0037510D"/>
    <w:rsid w:val="00375160"/>
    <w:rsid w:val="00375A33"/>
    <w:rsid w:val="00375AAE"/>
    <w:rsid w:val="00375AE8"/>
    <w:rsid w:val="00375BAB"/>
    <w:rsid w:val="00376837"/>
    <w:rsid w:val="0037692B"/>
    <w:rsid w:val="003771DA"/>
    <w:rsid w:val="00377428"/>
    <w:rsid w:val="003777AC"/>
    <w:rsid w:val="003804C5"/>
    <w:rsid w:val="003812C5"/>
    <w:rsid w:val="003816F5"/>
    <w:rsid w:val="00381A40"/>
    <w:rsid w:val="00381B74"/>
    <w:rsid w:val="00381CB2"/>
    <w:rsid w:val="00381FE2"/>
    <w:rsid w:val="0038271D"/>
    <w:rsid w:val="0038291D"/>
    <w:rsid w:val="00383AEF"/>
    <w:rsid w:val="00383F7E"/>
    <w:rsid w:val="00384FFB"/>
    <w:rsid w:val="00385215"/>
    <w:rsid w:val="00385411"/>
    <w:rsid w:val="00385DFF"/>
    <w:rsid w:val="00385F9C"/>
    <w:rsid w:val="00386024"/>
    <w:rsid w:val="003865A6"/>
    <w:rsid w:val="0038696F"/>
    <w:rsid w:val="003869DD"/>
    <w:rsid w:val="0038704C"/>
    <w:rsid w:val="0038734B"/>
    <w:rsid w:val="003873E9"/>
    <w:rsid w:val="003879B7"/>
    <w:rsid w:val="00387C58"/>
    <w:rsid w:val="00387F35"/>
    <w:rsid w:val="0039023C"/>
    <w:rsid w:val="003911CF"/>
    <w:rsid w:val="00391DA2"/>
    <w:rsid w:val="00392534"/>
    <w:rsid w:val="00393116"/>
    <w:rsid w:val="003936B1"/>
    <w:rsid w:val="0039430D"/>
    <w:rsid w:val="00394713"/>
    <w:rsid w:val="00395AFD"/>
    <w:rsid w:val="00395B39"/>
    <w:rsid w:val="003965CE"/>
    <w:rsid w:val="00396A9E"/>
    <w:rsid w:val="0039758D"/>
    <w:rsid w:val="003A0254"/>
    <w:rsid w:val="003A0673"/>
    <w:rsid w:val="003A0DBB"/>
    <w:rsid w:val="003A11BC"/>
    <w:rsid w:val="003A15D6"/>
    <w:rsid w:val="003A21EC"/>
    <w:rsid w:val="003A25A9"/>
    <w:rsid w:val="003A2A56"/>
    <w:rsid w:val="003A33A0"/>
    <w:rsid w:val="003A33F8"/>
    <w:rsid w:val="003A3537"/>
    <w:rsid w:val="003A358B"/>
    <w:rsid w:val="003A4895"/>
    <w:rsid w:val="003A4BB5"/>
    <w:rsid w:val="003A5E4F"/>
    <w:rsid w:val="003A6721"/>
    <w:rsid w:val="003A6DF1"/>
    <w:rsid w:val="003A7D3F"/>
    <w:rsid w:val="003B032A"/>
    <w:rsid w:val="003B0626"/>
    <w:rsid w:val="003B1370"/>
    <w:rsid w:val="003B13B6"/>
    <w:rsid w:val="003B1443"/>
    <w:rsid w:val="003B193A"/>
    <w:rsid w:val="003B1B6A"/>
    <w:rsid w:val="003B20FF"/>
    <w:rsid w:val="003B2CC9"/>
    <w:rsid w:val="003B33C6"/>
    <w:rsid w:val="003B3D82"/>
    <w:rsid w:val="003B4219"/>
    <w:rsid w:val="003B46A1"/>
    <w:rsid w:val="003B49C8"/>
    <w:rsid w:val="003B54AD"/>
    <w:rsid w:val="003B55B5"/>
    <w:rsid w:val="003B5875"/>
    <w:rsid w:val="003B59F2"/>
    <w:rsid w:val="003B5CFE"/>
    <w:rsid w:val="003B620D"/>
    <w:rsid w:val="003B62FF"/>
    <w:rsid w:val="003B656A"/>
    <w:rsid w:val="003B7AA9"/>
    <w:rsid w:val="003B7B1D"/>
    <w:rsid w:val="003C02D3"/>
    <w:rsid w:val="003C0408"/>
    <w:rsid w:val="003C0E19"/>
    <w:rsid w:val="003C0EC7"/>
    <w:rsid w:val="003C18E1"/>
    <w:rsid w:val="003C19CC"/>
    <w:rsid w:val="003C1A48"/>
    <w:rsid w:val="003C26BC"/>
    <w:rsid w:val="003C3A12"/>
    <w:rsid w:val="003C4AA4"/>
    <w:rsid w:val="003C4DE2"/>
    <w:rsid w:val="003C5121"/>
    <w:rsid w:val="003C58E2"/>
    <w:rsid w:val="003C5C8D"/>
    <w:rsid w:val="003C63E9"/>
    <w:rsid w:val="003C6A4B"/>
    <w:rsid w:val="003C6BA8"/>
    <w:rsid w:val="003C6E52"/>
    <w:rsid w:val="003C76B5"/>
    <w:rsid w:val="003C7811"/>
    <w:rsid w:val="003C7D39"/>
    <w:rsid w:val="003C7D41"/>
    <w:rsid w:val="003D0476"/>
    <w:rsid w:val="003D0642"/>
    <w:rsid w:val="003D0706"/>
    <w:rsid w:val="003D0794"/>
    <w:rsid w:val="003D0DC3"/>
    <w:rsid w:val="003D1BC6"/>
    <w:rsid w:val="003D1DD5"/>
    <w:rsid w:val="003D26F6"/>
    <w:rsid w:val="003D2F48"/>
    <w:rsid w:val="003D36F2"/>
    <w:rsid w:val="003D488E"/>
    <w:rsid w:val="003D56CF"/>
    <w:rsid w:val="003D58B2"/>
    <w:rsid w:val="003D5CB5"/>
    <w:rsid w:val="003D645E"/>
    <w:rsid w:val="003D668A"/>
    <w:rsid w:val="003D6DEB"/>
    <w:rsid w:val="003D75BF"/>
    <w:rsid w:val="003D7CD2"/>
    <w:rsid w:val="003E01A5"/>
    <w:rsid w:val="003E0E0E"/>
    <w:rsid w:val="003E2AF0"/>
    <w:rsid w:val="003E31A7"/>
    <w:rsid w:val="003E323B"/>
    <w:rsid w:val="003E35A1"/>
    <w:rsid w:val="003E369F"/>
    <w:rsid w:val="003E3A34"/>
    <w:rsid w:val="003E3FA8"/>
    <w:rsid w:val="003E4551"/>
    <w:rsid w:val="003E4D0A"/>
    <w:rsid w:val="003E54EF"/>
    <w:rsid w:val="003E5701"/>
    <w:rsid w:val="003E57FC"/>
    <w:rsid w:val="003E5EFF"/>
    <w:rsid w:val="003E67D4"/>
    <w:rsid w:val="003E67DF"/>
    <w:rsid w:val="003E7BC3"/>
    <w:rsid w:val="003F0181"/>
    <w:rsid w:val="003F101A"/>
    <w:rsid w:val="003F10EE"/>
    <w:rsid w:val="003F1D90"/>
    <w:rsid w:val="003F1DE8"/>
    <w:rsid w:val="003F2FC5"/>
    <w:rsid w:val="003F31F5"/>
    <w:rsid w:val="003F3A35"/>
    <w:rsid w:val="003F4383"/>
    <w:rsid w:val="003F48DC"/>
    <w:rsid w:val="003F4B24"/>
    <w:rsid w:val="003F665E"/>
    <w:rsid w:val="003F674D"/>
    <w:rsid w:val="003F7C74"/>
    <w:rsid w:val="003F7E09"/>
    <w:rsid w:val="00400582"/>
    <w:rsid w:val="004017B3"/>
    <w:rsid w:val="00401899"/>
    <w:rsid w:val="00401B34"/>
    <w:rsid w:val="00401C5C"/>
    <w:rsid w:val="00401CA4"/>
    <w:rsid w:val="00401E37"/>
    <w:rsid w:val="00402207"/>
    <w:rsid w:val="00402448"/>
    <w:rsid w:val="00402DB5"/>
    <w:rsid w:val="004031CC"/>
    <w:rsid w:val="00403A06"/>
    <w:rsid w:val="00403C35"/>
    <w:rsid w:val="00403FEB"/>
    <w:rsid w:val="004051FD"/>
    <w:rsid w:val="004059D4"/>
    <w:rsid w:val="00405D74"/>
    <w:rsid w:val="00406A9B"/>
    <w:rsid w:val="0040725F"/>
    <w:rsid w:val="00407782"/>
    <w:rsid w:val="00407965"/>
    <w:rsid w:val="00407A88"/>
    <w:rsid w:val="00407CE7"/>
    <w:rsid w:val="00407D53"/>
    <w:rsid w:val="00410823"/>
    <w:rsid w:val="00410CFC"/>
    <w:rsid w:val="004116EC"/>
    <w:rsid w:val="00411932"/>
    <w:rsid w:val="0041209C"/>
    <w:rsid w:val="00412E6B"/>
    <w:rsid w:val="00413772"/>
    <w:rsid w:val="00413B89"/>
    <w:rsid w:val="00414090"/>
    <w:rsid w:val="0041459B"/>
    <w:rsid w:val="00414B76"/>
    <w:rsid w:val="00415A80"/>
    <w:rsid w:val="00415EEC"/>
    <w:rsid w:val="00416068"/>
    <w:rsid w:val="004160DB"/>
    <w:rsid w:val="00416398"/>
    <w:rsid w:val="00416801"/>
    <w:rsid w:val="004170A6"/>
    <w:rsid w:val="004173A2"/>
    <w:rsid w:val="00417B67"/>
    <w:rsid w:val="0042032D"/>
    <w:rsid w:val="00421842"/>
    <w:rsid w:val="00421E90"/>
    <w:rsid w:val="004220DC"/>
    <w:rsid w:val="00423219"/>
    <w:rsid w:val="004234A1"/>
    <w:rsid w:val="004240F5"/>
    <w:rsid w:val="0042487F"/>
    <w:rsid w:val="00424A80"/>
    <w:rsid w:val="00425C2A"/>
    <w:rsid w:val="00426072"/>
    <w:rsid w:val="00426BB3"/>
    <w:rsid w:val="00426EAE"/>
    <w:rsid w:val="0042789C"/>
    <w:rsid w:val="00430339"/>
    <w:rsid w:val="0043075B"/>
    <w:rsid w:val="00430A4C"/>
    <w:rsid w:val="00430D9B"/>
    <w:rsid w:val="00431A17"/>
    <w:rsid w:val="0043275C"/>
    <w:rsid w:val="00432840"/>
    <w:rsid w:val="00432942"/>
    <w:rsid w:val="00432E70"/>
    <w:rsid w:val="0043303C"/>
    <w:rsid w:val="00433E94"/>
    <w:rsid w:val="00434009"/>
    <w:rsid w:val="00434570"/>
    <w:rsid w:val="00434722"/>
    <w:rsid w:val="00434FD1"/>
    <w:rsid w:val="00435593"/>
    <w:rsid w:val="0043569D"/>
    <w:rsid w:val="004356B2"/>
    <w:rsid w:val="00435D7E"/>
    <w:rsid w:val="0043763B"/>
    <w:rsid w:val="00437A23"/>
    <w:rsid w:val="00437C64"/>
    <w:rsid w:val="00437FD6"/>
    <w:rsid w:val="004409D4"/>
    <w:rsid w:val="00440C65"/>
    <w:rsid w:val="00440CA6"/>
    <w:rsid w:val="004415A4"/>
    <w:rsid w:val="00442210"/>
    <w:rsid w:val="00442896"/>
    <w:rsid w:val="00442E2B"/>
    <w:rsid w:val="00442E65"/>
    <w:rsid w:val="00443290"/>
    <w:rsid w:val="0044331E"/>
    <w:rsid w:val="00444DC9"/>
    <w:rsid w:val="004452F1"/>
    <w:rsid w:val="004456B0"/>
    <w:rsid w:val="00447284"/>
    <w:rsid w:val="00447374"/>
    <w:rsid w:val="00450E74"/>
    <w:rsid w:val="00450EE7"/>
    <w:rsid w:val="00452827"/>
    <w:rsid w:val="00452DA5"/>
    <w:rsid w:val="0045395D"/>
    <w:rsid w:val="004539B6"/>
    <w:rsid w:val="00453A1E"/>
    <w:rsid w:val="00453FD9"/>
    <w:rsid w:val="00454280"/>
    <w:rsid w:val="00454B31"/>
    <w:rsid w:val="00454E65"/>
    <w:rsid w:val="00455CE0"/>
    <w:rsid w:val="00456FBD"/>
    <w:rsid w:val="00457582"/>
    <w:rsid w:val="004607AD"/>
    <w:rsid w:val="00460F2B"/>
    <w:rsid w:val="00461C19"/>
    <w:rsid w:val="004627A3"/>
    <w:rsid w:val="00462BB9"/>
    <w:rsid w:val="00463390"/>
    <w:rsid w:val="00463DE0"/>
    <w:rsid w:val="004641A2"/>
    <w:rsid w:val="0046464F"/>
    <w:rsid w:val="00465906"/>
    <w:rsid w:val="00465C6A"/>
    <w:rsid w:val="00466E59"/>
    <w:rsid w:val="00466F30"/>
    <w:rsid w:val="00467775"/>
    <w:rsid w:val="00470568"/>
    <w:rsid w:val="00470EB2"/>
    <w:rsid w:val="0047117E"/>
    <w:rsid w:val="00471495"/>
    <w:rsid w:val="004715AD"/>
    <w:rsid w:val="004716C9"/>
    <w:rsid w:val="0047187E"/>
    <w:rsid w:val="00471A85"/>
    <w:rsid w:val="00471A86"/>
    <w:rsid w:val="004723FB"/>
    <w:rsid w:val="00472440"/>
    <w:rsid w:val="004724C2"/>
    <w:rsid w:val="00472963"/>
    <w:rsid w:val="00473205"/>
    <w:rsid w:val="00474034"/>
    <w:rsid w:val="004743A2"/>
    <w:rsid w:val="0047443E"/>
    <w:rsid w:val="00474FD2"/>
    <w:rsid w:val="004756C7"/>
    <w:rsid w:val="004769F2"/>
    <w:rsid w:val="00477B94"/>
    <w:rsid w:val="004802B8"/>
    <w:rsid w:val="0048055C"/>
    <w:rsid w:val="00480E96"/>
    <w:rsid w:val="00481E05"/>
    <w:rsid w:val="00481E84"/>
    <w:rsid w:val="0048212D"/>
    <w:rsid w:val="00482727"/>
    <w:rsid w:val="004829EA"/>
    <w:rsid w:val="00482A68"/>
    <w:rsid w:val="00482EE5"/>
    <w:rsid w:val="00483084"/>
    <w:rsid w:val="004835CF"/>
    <w:rsid w:val="004835E0"/>
    <w:rsid w:val="00483B7D"/>
    <w:rsid w:val="00483D46"/>
    <w:rsid w:val="00483E78"/>
    <w:rsid w:val="004844DD"/>
    <w:rsid w:val="00484837"/>
    <w:rsid w:val="00484ABC"/>
    <w:rsid w:val="0048562E"/>
    <w:rsid w:val="004862C6"/>
    <w:rsid w:val="00486356"/>
    <w:rsid w:val="00487ACB"/>
    <w:rsid w:val="00487EDD"/>
    <w:rsid w:val="00487F29"/>
    <w:rsid w:val="00487FE8"/>
    <w:rsid w:val="00490D45"/>
    <w:rsid w:val="00491066"/>
    <w:rsid w:val="00491C44"/>
    <w:rsid w:val="004925E6"/>
    <w:rsid w:val="0049535B"/>
    <w:rsid w:val="0049594C"/>
    <w:rsid w:val="00495F1B"/>
    <w:rsid w:val="004963CA"/>
    <w:rsid w:val="00497B65"/>
    <w:rsid w:val="00497BD0"/>
    <w:rsid w:val="00497DBC"/>
    <w:rsid w:val="004A0C31"/>
    <w:rsid w:val="004A0F06"/>
    <w:rsid w:val="004A12A3"/>
    <w:rsid w:val="004A15A4"/>
    <w:rsid w:val="004A1853"/>
    <w:rsid w:val="004A2290"/>
    <w:rsid w:val="004A2801"/>
    <w:rsid w:val="004A37FF"/>
    <w:rsid w:val="004A3822"/>
    <w:rsid w:val="004A3E87"/>
    <w:rsid w:val="004A3EEB"/>
    <w:rsid w:val="004A3FC4"/>
    <w:rsid w:val="004A4813"/>
    <w:rsid w:val="004A4D70"/>
    <w:rsid w:val="004A518D"/>
    <w:rsid w:val="004A5241"/>
    <w:rsid w:val="004A57D0"/>
    <w:rsid w:val="004A5FEC"/>
    <w:rsid w:val="004A65EE"/>
    <w:rsid w:val="004A6D81"/>
    <w:rsid w:val="004A6F60"/>
    <w:rsid w:val="004A7223"/>
    <w:rsid w:val="004A7D3B"/>
    <w:rsid w:val="004A7FD0"/>
    <w:rsid w:val="004B0D2A"/>
    <w:rsid w:val="004B132A"/>
    <w:rsid w:val="004B1E0D"/>
    <w:rsid w:val="004B1FF8"/>
    <w:rsid w:val="004B2792"/>
    <w:rsid w:val="004B306E"/>
    <w:rsid w:val="004B32A5"/>
    <w:rsid w:val="004B32F4"/>
    <w:rsid w:val="004B3B54"/>
    <w:rsid w:val="004B3DC9"/>
    <w:rsid w:val="004B429D"/>
    <w:rsid w:val="004B43AB"/>
    <w:rsid w:val="004B4710"/>
    <w:rsid w:val="004B4BE8"/>
    <w:rsid w:val="004B4E90"/>
    <w:rsid w:val="004B5A10"/>
    <w:rsid w:val="004B6661"/>
    <w:rsid w:val="004B7445"/>
    <w:rsid w:val="004B7C40"/>
    <w:rsid w:val="004B7C5A"/>
    <w:rsid w:val="004C04D6"/>
    <w:rsid w:val="004C0795"/>
    <w:rsid w:val="004C08CA"/>
    <w:rsid w:val="004C0D09"/>
    <w:rsid w:val="004C1354"/>
    <w:rsid w:val="004C1B2A"/>
    <w:rsid w:val="004C1E0D"/>
    <w:rsid w:val="004C269A"/>
    <w:rsid w:val="004C2892"/>
    <w:rsid w:val="004C2C8C"/>
    <w:rsid w:val="004C2DA8"/>
    <w:rsid w:val="004C351B"/>
    <w:rsid w:val="004C3717"/>
    <w:rsid w:val="004C3730"/>
    <w:rsid w:val="004C4532"/>
    <w:rsid w:val="004C4ADB"/>
    <w:rsid w:val="004C4DE2"/>
    <w:rsid w:val="004C5180"/>
    <w:rsid w:val="004C52B6"/>
    <w:rsid w:val="004C5DEA"/>
    <w:rsid w:val="004C6724"/>
    <w:rsid w:val="004C7070"/>
    <w:rsid w:val="004C72B9"/>
    <w:rsid w:val="004C770D"/>
    <w:rsid w:val="004C792E"/>
    <w:rsid w:val="004C7D7D"/>
    <w:rsid w:val="004D00CA"/>
    <w:rsid w:val="004D0385"/>
    <w:rsid w:val="004D070A"/>
    <w:rsid w:val="004D0805"/>
    <w:rsid w:val="004D0E1F"/>
    <w:rsid w:val="004D0ECD"/>
    <w:rsid w:val="004D0F6C"/>
    <w:rsid w:val="004D13C8"/>
    <w:rsid w:val="004D1C15"/>
    <w:rsid w:val="004D1C35"/>
    <w:rsid w:val="004D3340"/>
    <w:rsid w:val="004D3B76"/>
    <w:rsid w:val="004D440B"/>
    <w:rsid w:val="004D45D4"/>
    <w:rsid w:val="004D4CB8"/>
    <w:rsid w:val="004D4D00"/>
    <w:rsid w:val="004D5643"/>
    <w:rsid w:val="004D5E34"/>
    <w:rsid w:val="004D5F75"/>
    <w:rsid w:val="004D606B"/>
    <w:rsid w:val="004D61A3"/>
    <w:rsid w:val="004D683E"/>
    <w:rsid w:val="004D69D4"/>
    <w:rsid w:val="004D70D2"/>
    <w:rsid w:val="004D71D2"/>
    <w:rsid w:val="004D71E5"/>
    <w:rsid w:val="004D7654"/>
    <w:rsid w:val="004D7845"/>
    <w:rsid w:val="004D7FAB"/>
    <w:rsid w:val="004E0D7D"/>
    <w:rsid w:val="004E14E2"/>
    <w:rsid w:val="004E16D7"/>
    <w:rsid w:val="004E175D"/>
    <w:rsid w:val="004E18D6"/>
    <w:rsid w:val="004E1958"/>
    <w:rsid w:val="004E2F68"/>
    <w:rsid w:val="004E302F"/>
    <w:rsid w:val="004E3CCE"/>
    <w:rsid w:val="004E4025"/>
    <w:rsid w:val="004E4581"/>
    <w:rsid w:val="004E4712"/>
    <w:rsid w:val="004E4BF9"/>
    <w:rsid w:val="004E4FA1"/>
    <w:rsid w:val="004E59F1"/>
    <w:rsid w:val="004E62C3"/>
    <w:rsid w:val="004E65C2"/>
    <w:rsid w:val="004E6E2D"/>
    <w:rsid w:val="004E72FC"/>
    <w:rsid w:val="004F0421"/>
    <w:rsid w:val="004F1097"/>
    <w:rsid w:val="004F1E42"/>
    <w:rsid w:val="004F224F"/>
    <w:rsid w:val="004F2575"/>
    <w:rsid w:val="004F34B5"/>
    <w:rsid w:val="004F3C8F"/>
    <w:rsid w:val="004F4C68"/>
    <w:rsid w:val="004F503E"/>
    <w:rsid w:val="004F57E9"/>
    <w:rsid w:val="004F5ED0"/>
    <w:rsid w:val="004F68E9"/>
    <w:rsid w:val="004F7024"/>
    <w:rsid w:val="004F7077"/>
    <w:rsid w:val="004F7301"/>
    <w:rsid w:val="004F74DF"/>
    <w:rsid w:val="004F754D"/>
    <w:rsid w:val="004F7663"/>
    <w:rsid w:val="005002B1"/>
    <w:rsid w:val="005002EE"/>
    <w:rsid w:val="00500808"/>
    <w:rsid w:val="00500A60"/>
    <w:rsid w:val="00500A63"/>
    <w:rsid w:val="00501017"/>
    <w:rsid w:val="0050160C"/>
    <w:rsid w:val="00501BBA"/>
    <w:rsid w:val="005037F6"/>
    <w:rsid w:val="005039D8"/>
    <w:rsid w:val="00504291"/>
    <w:rsid w:val="00504AD5"/>
    <w:rsid w:val="00505754"/>
    <w:rsid w:val="00505B0C"/>
    <w:rsid w:val="00505DCB"/>
    <w:rsid w:val="005061B6"/>
    <w:rsid w:val="005062F0"/>
    <w:rsid w:val="00506754"/>
    <w:rsid w:val="00507414"/>
    <w:rsid w:val="005076A3"/>
    <w:rsid w:val="005110A5"/>
    <w:rsid w:val="00511718"/>
    <w:rsid w:val="00512096"/>
    <w:rsid w:val="005122E1"/>
    <w:rsid w:val="00512862"/>
    <w:rsid w:val="00512D04"/>
    <w:rsid w:val="005130BB"/>
    <w:rsid w:val="00513F8A"/>
    <w:rsid w:val="00514471"/>
    <w:rsid w:val="0051449C"/>
    <w:rsid w:val="0051539B"/>
    <w:rsid w:val="00515A51"/>
    <w:rsid w:val="005163B9"/>
    <w:rsid w:val="005163BD"/>
    <w:rsid w:val="00516E13"/>
    <w:rsid w:val="00516F7A"/>
    <w:rsid w:val="005170F0"/>
    <w:rsid w:val="00520C02"/>
    <w:rsid w:val="00520F0D"/>
    <w:rsid w:val="00521401"/>
    <w:rsid w:val="00522731"/>
    <w:rsid w:val="00522C2B"/>
    <w:rsid w:val="00522C34"/>
    <w:rsid w:val="0052320C"/>
    <w:rsid w:val="0052437A"/>
    <w:rsid w:val="005248C9"/>
    <w:rsid w:val="00524EF0"/>
    <w:rsid w:val="005251CB"/>
    <w:rsid w:val="00525336"/>
    <w:rsid w:val="00525648"/>
    <w:rsid w:val="0052575D"/>
    <w:rsid w:val="0052673B"/>
    <w:rsid w:val="005275E4"/>
    <w:rsid w:val="005302A5"/>
    <w:rsid w:val="005309B1"/>
    <w:rsid w:val="00530A27"/>
    <w:rsid w:val="00530BB6"/>
    <w:rsid w:val="00530F11"/>
    <w:rsid w:val="00530F63"/>
    <w:rsid w:val="005310C2"/>
    <w:rsid w:val="005317C0"/>
    <w:rsid w:val="00531921"/>
    <w:rsid w:val="00531DD3"/>
    <w:rsid w:val="00532289"/>
    <w:rsid w:val="0053287F"/>
    <w:rsid w:val="00532ACE"/>
    <w:rsid w:val="00533339"/>
    <w:rsid w:val="005338E9"/>
    <w:rsid w:val="00533AB7"/>
    <w:rsid w:val="005344B0"/>
    <w:rsid w:val="00534971"/>
    <w:rsid w:val="00535113"/>
    <w:rsid w:val="00535195"/>
    <w:rsid w:val="00535606"/>
    <w:rsid w:val="005360E5"/>
    <w:rsid w:val="00536304"/>
    <w:rsid w:val="00536403"/>
    <w:rsid w:val="00536629"/>
    <w:rsid w:val="00536A88"/>
    <w:rsid w:val="00536D48"/>
    <w:rsid w:val="005375FC"/>
    <w:rsid w:val="005379BA"/>
    <w:rsid w:val="00540B0B"/>
    <w:rsid w:val="00541612"/>
    <w:rsid w:val="00541D19"/>
    <w:rsid w:val="00542CB4"/>
    <w:rsid w:val="00542EEB"/>
    <w:rsid w:val="0054331E"/>
    <w:rsid w:val="00543421"/>
    <w:rsid w:val="005434BF"/>
    <w:rsid w:val="00543E30"/>
    <w:rsid w:val="0054470A"/>
    <w:rsid w:val="00544E6E"/>
    <w:rsid w:val="005451D0"/>
    <w:rsid w:val="00545633"/>
    <w:rsid w:val="00545EE6"/>
    <w:rsid w:val="00546210"/>
    <w:rsid w:val="0054628E"/>
    <w:rsid w:val="00546610"/>
    <w:rsid w:val="0054703C"/>
    <w:rsid w:val="0054752E"/>
    <w:rsid w:val="005507CE"/>
    <w:rsid w:val="00550A0C"/>
    <w:rsid w:val="00550F96"/>
    <w:rsid w:val="0055181C"/>
    <w:rsid w:val="005535AC"/>
    <w:rsid w:val="00553B6B"/>
    <w:rsid w:val="005545FE"/>
    <w:rsid w:val="00554B3E"/>
    <w:rsid w:val="00556339"/>
    <w:rsid w:val="00556559"/>
    <w:rsid w:val="00556979"/>
    <w:rsid w:val="005569D3"/>
    <w:rsid w:val="00556E32"/>
    <w:rsid w:val="005577F6"/>
    <w:rsid w:val="00557F69"/>
    <w:rsid w:val="00560165"/>
    <w:rsid w:val="00560AAE"/>
    <w:rsid w:val="005623C5"/>
    <w:rsid w:val="005632CE"/>
    <w:rsid w:val="005633C1"/>
    <w:rsid w:val="00563B05"/>
    <w:rsid w:val="005641EE"/>
    <w:rsid w:val="00564875"/>
    <w:rsid w:val="00564FD2"/>
    <w:rsid w:val="0056516F"/>
    <w:rsid w:val="00566053"/>
    <w:rsid w:val="005662B8"/>
    <w:rsid w:val="005673DF"/>
    <w:rsid w:val="0056749E"/>
    <w:rsid w:val="00570026"/>
    <w:rsid w:val="005715AE"/>
    <w:rsid w:val="005716E4"/>
    <w:rsid w:val="00571CE5"/>
    <w:rsid w:val="00571FB0"/>
    <w:rsid w:val="00572136"/>
    <w:rsid w:val="0057283D"/>
    <w:rsid w:val="00572EDB"/>
    <w:rsid w:val="0057378C"/>
    <w:rsid w:val="00573E53"/>
    <w:rsid w:val="00574F88"/>
    <w:rsid w:val="00575637"/>
    <w:rsid w:val="00575ADC"/>
    <w:rsid w:val="00575B79"/>
    <w:rsid w:val="005767BE"/>
    <w:rsid w:val="00576906"/>
    <w:rsid w:val="00576969"/>
    <w:rsid w:val="00576C4E"/>
    <w:rsid w:val="00576F06"/>
    <w:rsid w:val="00577233"/>
    <w:rsid w:val="00577B3B"/>
    <w:rsid w:val="00577BF1"/>
    <w:rsid w:val="00577FF8"/>
    <w:rsid w:val="0058019E"/>
    <w:rsid w:val="00580318"/>
    <w:rsid w:val="005807D7"/>
    <w:rsid w:val="00580B95"/>
    <w:rsid w:val="00581CE5"/>
    <w:rsid w:val="00581EC6"/>
    <w:rsid w:val="00582180"/>
    <w:rsid w:val="00583026"/>
    <w:rsid w:val="0058377D"/>
    <w:rsid w:val="005843EA"/>
    <w:rsid w:val="0058476B"/>
    <w:rsid w:val="00584E4F"/>
    <w:rsid w:val="0058593B"/>
    <w:rsid w:val="00585AD0"/>
    <w:rsid w:val="00586711"/>
    <w:rsid w:val="00586F53"/>
    <w:rsid w:val="005875C4"/>
    <w:rsid w:val="00587774"/>
    <w:rsid w:val="0058783A"/>
    <w:rsid w:val="00587AA8"/>
    <w:rsid w:val="00590C16"/>
    <w:rsid w:val="00591624"/>
    <w:rsid w:val="005916FF"/>
    <w:rsid w:val="00591E2F"/>
    <w:rsid w:val="00593270"/>
    <w:rsid w:val="00593347"/>
    <w:rsid w:val="0059487C"/>
    <w:rsid w:val="00594D7E"/>
    <w:rsid w:val="0059643D"/>
    <w:rsid w:val="005966C3"/>
    <w:rsid w:val="00596FDA"/>
    <w:rsid w:val="005971E6"/>
    <w:rsid w:val="005A01EA"/>
    <w:rsid w:val="005A1467"/>
    <w:rsid w:val="005A190B"/>
    <w:rsid w:val="005A2699"/>
    <w:rsid w:val="005A27D3"/>
    <w:rsid w:val="005A2863"/>
    <w:rsid w:val="005A3323"/>
    <w:rsid w:val="005A45E4"/>
    <w:rsid w:val="005A4831"/>
    <w:rsid w:val="005A4FC0"/>
    <w:rsid w:val="005A5A59"/>
    <w:rsid w:val="005A619C"/>
    <w:rsid w:val="005A7450"/>
    <w:rsid w:val="005A7697"/>
    <w:rsid w:val="005A7A69"/>
    <w:rsid w:val="005A7DCA"/>
    <w:rsid w:val="005A7F66"/>
    <w:rsid w:val="005B00C2"/>
    <w:rsid w:val="005B012B"/>
    <w:rsid w:val="005B016A"/>
    <w:rsid w:val="005B040E"/>
    <w:rsid w:val="005B0AB1"/>
    <w:rsid w:val="005B0EEF"/>
    <w:rsid w:val="005B172B"/>
    <w:rsid w:val="005B17ED"/>
    <w:rsid w:val="005B1898"/>
    <w:rsid w:val="005B192C"/>
    <w:rsid w:val="005B22EA"/>
    <w:rsid w:val="005B24FC"/>
    <w:rsid w:val="005B2760"/>
    <w:rsid w:val="005B3C23"/>
    <w:rsid w:val="005B3EF1"/>
    <w:rsid w:val="005B3F0F"/>
    <w:rsid w:val="005B461A"/>
    <w:rsid w:val="005B4987"/>
    <w:rsid w:val="005B67A7"/>
    <w:rsid w:val="005B70E7"/>
    <w:rsid w:val="005B76CA"/>
    <w:rsid w:val="005C1C5F"/>
    <w:rsid w:val="005C2F38"/>
    <w:rsid w:val="005C2FD7"/>
    <w:rsid w:val="005C3173"/>
    <w:rsid w:val="005C5C83"/>
    <w:rsid w:val="005C5D1D"/>
    <w:rsid w:val="005C5E34"/>
    <w:rsid w:val="005C61E5"/>
    <w:rsid w:val="005C6371"/>
    <w:rsid w:val="005C6491"/>
    <w:rsid w:val="005C6A86"/>
    <w:rsid w:val="005D0345"/>
    <w:rsid w:val="005D09F7"/>
    <w:rsid w:val="005D0C88"/>
    <w:rsid w:val="005D170B"/>
    <w:rsid w:val="005D1BE5"/>
    <w:rsid w:val="005D1D86"/>
    <w:rsid w:val="005D2023"/>
    <w:rsid w:val="005D2305"/>
    <w:rsid w:val="005D238D"/>
    <w:rsid w:val="005D2EE2"/>
    <w:rsid w:val="005D35DC"/>
    <w:rsid w:val="005D3657"/>
    <w:rsid w:val="005D36E1"/>
    <w:rsid w:val="005D3C78"/>
    <w:rsid w:val="005D471B"/>
    <w:rsid w:val="005D5429"/>
    <w:rsid w:val="005D57AC"/>
    <w:rsid w:val="005D5829"/>
    <w:rsid w:val="005D5DB8"/>
    <w:rsid w:val="005D71EC"/>
    <w:rsid w:val="005D7471"/>
    <w:rsid w:val="005D7A75"/>
    <w:rsid w:val="005D7A8C"/>
    <w:rsid w:val="005D7FA1"/>
    <w:rsid w:val="005E0213"/>
    <w:rsid w:val="005E0520"/>
    <w:rsid w:val="005E0831"/>
    <w:rsid w:val="005E0B71"/>
    <w:rsid w:val="005E0F83"/>
    <w:rsid w:val="005E11DA"/>
    <w:rsid w:val="005E1405"/>
    <w:rsid w:val="005E1704"/>
    <w:rsid w:val="005E2467"/>
    <w:rsid w:val="005E270D"/>
    <w:rsid w:val="005E28C3"/>
    <w:rsid w:val="005E2FB4"/>
    <w:rsid w:val="005E30EA"/>
    <w:rsid w:val="005E3230"/>
    <w:rsid w:val="005E3694"/>
    <w:rsid w:val="005E3A21"/>
    <w:rsid w:val="005E4034"/>
    <w:rsid w:val="005E4EF9"/>
    <w:rsid w:val="005E5C1F"/>
    <w:rsid w:val="005E5F52"/>
    <w:rsid w:val="005E66DF"/>
    <w:rsid w:val="005E69A0"/>
    <w:rsid w:val="005E6FE0"/>
    <w:rsid w:val="005E73C6"/>
    <w:rsid w:val="005E77D0"/>
    <w:rsid w:val="005E7830"/>
    <w:rsid w:val="005E7C4F"/>
    <w:rsid w:val="005F1547"/>
    <w:rsid w:val="005F1829"/>
    <w:rsid w:val="005F1F15"/>
    <w:rsid w:val="005F209C"/>
    <w:rsid w:val="005F2103"/>
    <w:rsid w:val="005F2940"/>
    <w:rsid w:val="005F2AB4"/>
    <w:rsid w:val="005F2B34"/>
    <w:rsid w:val="005F2BBB"/>
    <w:rsid w:val="005F329F"/>
    <w:rsid w:val="005F348F"/>
    <w:rsid w:val="005F34E3"/>
    <w:rsid w:val="005F3579"/>
    <w:rsid w:val="005F3CD6"/>
    <w:rsid w:val="005F4A23"/>
    <w:rsid w:val="005F4DCD"/>
    <w:rsid w:val="005F52D2"/>
    <w:rsid w:val="005F6910"/>
    <w:rsid w:val="005F7898"/>
    <w:rsid w:val="005F7E77"/>
    <w:rsid w:val="0060080D"/>
    <w:rsid w:val="00600F5B"/>
    <w:rsid w:val="00601DEA"/>
    <w:rsid w:val="00602330"/>
    <w:rsid w:val="00603888"/>
    <w:rsid w:val="00603A18"/>
    <w:rsid w:val="00603CCA"/>
    <w:rsid w:val="00604151"/>
    <w:rsid w:val="00604231"/>
    <w:rsid w:val="006048AC"/>
    <w:rsid w:val="006053CD"/>
    <w:rsid w:val="0060583F"/>
    <w:rsid w:val="00607053"/>
    <w:rsid w:val="006072B1"/>
    <w:rsid w:val="00607B2D"/>
    <w:rsid w:val="00607F58"/>
    <w:rsid w:val="00610918"/>
    <w:rsid w:val="006109B0"/>
    <w:rsid w:val="00610F69"/>
    <w:rsid w:val="0061126B"/>
    <w:rsid w:val="00611621"/>
    <w:rsid w:val="00611670"/>
    <w:rsid w:val="006119AB"/>
    <w:rsid w:val="006120DB"/>
    <w:rsid w:val="00612D29"/>
    <w:rsid w:val="0061333F"/>
    <w:rsid w:val="00613340"/>
    <w:rsid w:val="00613601"/>
    <w:rsid w:val="00614369"/>
    <w:rsid w:val="00614877"/>
    <w:rsid w:val="006154F1"/>
    <w:rsid w:val="00615550"/>
    <w:rsid w:val="0061570F"/>
    <w:rsid w:val="00615A7C"/>
    <w:rsid w:val="00616285"/>
    <w:rsid w:val="00616595"/>
    <w:rsid w:val="00616B16"/>
    <w:rsid w:val="006176CB"/>
    <w:rsid w:val="00617806"/>
    <w:rsid w:val="00617A31"/>
    <w:rsid w:val="00617A9D"/>
    <w:rsid w:val="00620895"/>
    <w:rsid w:val="00620CC6"/>
    <w:rsid w:val="006214E7"/>
    <w:rsid w:val="00621785"/>
    <w:rsid w:val="0062195B"/>
    <w:rsid w:val="00621968"/>
    <w:rsid w:val="00621FCA"/>
    <w:rsid w:val="00622E17"/>
    <w:rsid w:val="00623551"/>
    <w:rsid w:val="0062373C"/>
    <w:rsid w:val="006238A1"/>
    <w:rsid w:val="006239DD"/>
    <w:rsid w:val="00624829"/>
    <w:rsid w:val="00624B5C"/>
    <w:rsid w:val="00625307"/>
    <w:rsid w:val="0062533A"/>
    <w:rsid w:val="0062600F"/>
    <w:rsid w:val="0062616E"/>
    <w:rsid w:val="006262A9"/>
    <w:rsid w:val="00626AF4"/>
    <w:rsid w:val="00627072"/>
    <w:rsid w:val="006301E8"/>
    <w:rsid w:val="006303D1"/>
    <w:rsid w:val="006307CB"/>
    <w:rsid w:val="006311B0"/>
    <w:rsid w:val="00631475"/>
    <w:rsid w:val="00631D2A"/>
    <w:rsid w:val="00632071"/>
    <w:rsid w:val="00632699"/>
    <w:rsid w:val="00632913"/>
    <w:rsid w:val="00632DAB"/>
    <w:rsid w:val="00633DC6"/>
    <w:rsid w:val="006341E2"/>
    <w:rsid w:val="006344E9"/>
    <w:rsid w:val="006346A5"/>
    <w:rsid w:val="00634EF8"/>
    <w:rsid w:val="0063505C"/>
    <w:rsid w:val="006357FE"/>
    <w:rsid w:val="006360E4"/>
    <w:rsid w:val="006368EE"/>
    <w:rsid w:val="00636EA6"/>
    <w:rsid w:val="00636FD2"/>
    <w:rsid w:val="00637160"/>
    <w:rsid w:val="0063782E"/>
    <w:rsid w:val="00637E28"/>
    <w:rsid w:val="0064190F"/>
    <w:rsid w:val="006422F7"/>
    <w:rsid w:val="0064238E"/>
    <w:rsid w:val="00642649"/>
    <w:rsid w:val="00642CEB"/>
    <w:rsid w:val="00642F20"/>
    <w:rsid w:val="0064329E"/>
    <w:rsid w:val="006438D0"/>
    <w:rsid w:val="00643BE9"/>
    <w:rsid w:val="00643DE9"/>
    <w:rsid w:val="0064401A"/>
    <w:rsid w:val="00644342"/>
    <w:rsid w:val="00644D59"/>
    <w:rsid w:val="006456ED"/>
    <w:rsid w:val="006466E5"/>
    <w:rsid w:val="00646E10"/>
    <w:rsid w:val="00646FFE"/>
    <w:rsid w:val="00647215"/>
    <w:rsid w:val="00647ABE"/>
    <w:rsid w:val="0065042D"/>
    <w:rsid w:val="00650DA1"/>
    <w:rsid w:val="00652534"/>
    <w:rsid w:val="00652B1E"/>
    <w:rsid w:val="006533F0"/>
    <w:rsid w:val="0065390D"/>
    <w:rsid w:val="00653CC6"/>
    <w:rsid w:val="00653FEC"/>
    <w:rsid w:val="0065438D"/>
    <w:rsid w:val="00654C9D"/>
    <w:rsid w:val="00654E92"/>
    <w:rsid w:val="006553CE"/>
    <w:rsid w:val="006554B6"/>
    <w:rsid w:val="00655FDF"/>
    <w:rsid w:val="00656C6C"/>
    <w:rsid w:val="00656D31"/>
    <w:rsid w:val="00657333"/>
    <w:rsid w:val="006604CA"/>
    <w:rsid w:val="00660F1B"/>
    <w:rsid w:val="00661DDC"/>
    <w:rsid w:val="00661F23"/>
    <w:rsid w:val="00661F57"/>
    <w:rsid w:val="00661FF1"/>
    <w:rsid w:val="0066226C"/>
    <w:rsid w:val="0066425E"/>
    <w:rsid w:val="006642B9"/>
    <w:rsid w:val="006652C1"/>
    <w:rsid w:val="0066551A"/>
    <w:rsid w:val="00665862"/>
    <w:rsid w:val="006658B1"/>
    <w:rsid w:val="00665D5B"/>
    <w:rsid w:val="00666A8B"/>
    <w:rsid w:val="00666BA9"/>
    <w:rsid w:val="006670BD"/>
    <w:rsid w:val="006675BC"/>
    <w:rsid w:val="0066767D"/>
    <w:rsid w:val="00667A27"/>
    <w:rsid w:val="00667D17"/>
    <w:rsid w:val="00667DE9"/>
    <w:rsid w:val="00670068"/>
    <w:rsid w:val="006700D0"/>
    <w:rsid w:val="00670912"/>
    <w:rsid w:val="00670AD9"/>
    <w:rsid w:val="00670B44"/>
    <w:rsid w:val="0067160B"/>
    <w:rsid w:val="00672E1D"/>
    <w:rsid w:val="0067310E"/>
    <w:rsid w:val="00674C9B"/>
    <w:rsid w:val="00674D26"/>
    <w:rsid w:val="00674DE4"/>
    <w:rsid w:val="0067526F"/>
    <w:rsid w:val="00675453"/>
    <w:rsid w:val="006760CC"/>
    <w:rsid w:val="0067658D"/>
    <w:rsid w:val="006765CF"/>
    <w:rsid w:val="00676906"/>
    <w:rsid w:val="00676AA7"/>
    <w:rsid w:val="00676FF6"/>
    <w:rsid w:val="00677633"/>
    <w:rsid w:val="00677E80"/>
    <w:rsid w:val="00680078"/>
    <w:rsid w:val="00680B05"/>
    <w:rsid w:val="00680BC6"/>
    <w:rsid w:val="0068279B"/>
    <w:rsid w:val="006827D6"/>
    <w:rsid w:val="00682B27"/>
    <w:rsid w:val="00683A66"/>
    <w:rsid w:val="006840C1"/>
    <w:rsid w:val="00684179"/>
    <w:rsid w:val="00685E19"/>
    <w:rsid w:val="0068684E"/>
    <w:rsid w:val="006868EE"/>
    <w:rsid w:val="00687215"/>
    <w:rsid w:val="006908D3"/>
    <w:rsid w:val="00690BB2"/>
    <w:rsid w:val="00690D8B"/>
    <w:rsid w:val="006912EB"/>
    <w:rsid w:val="00691383"/>
    <w:rsid w:val="00691389"/>
    <w:rsid w:val="006913CE"/>
    <w:rsid w:val="00691577"/>
    <w:rsid w:val="0069159C"/>
    <w:rsid w:val="00691F61"/>
    <w:rsid w:val="00692962"/>
    <w:rsid w:val="00692E9A"/>
    <w:rsid w:val="00693084"/>
    <w:rsid w:val="006938D1"/>
    <w:rsid w:val="00693A97"/>
    <w:rsid w:val="00694662"/>
    <w:rsid w:val="006946B7"/>
    <w:rsid w:val="00694823"/>
    <w:rsid w:val="00694843"/>
    <w:rsid w:val="00694B8C"/>
    <w:rsid w:val="006957B2"/>
    <w:rsid w:val="00696131"/>
    <w:rsid w:val="0069647A"/>
    <w:rsid w:val="006965D8"/>
    <w:rsid w:val="00696F3F"/>
    <w:rsid w:val="006A0109"/>
    <w:rsid w:val="006A0678"/>
    <w:rsid w:val="006A06FA"/>
    <w:rsid w:val="006A1FD1"/>
    <w:rsid w:val="006A2245"/>
    <w:rsid w:val="006A25F2"/>
    <w:rsid w:val="006A263D"/>
    <w:rsid w:val="006A28CE"/>
    <w:rsid w:val="006A29D2"/>
    <w:rsid w:val="006A29FA"/>
    <w:rsid w:val="006A2DAC"/>
    <w:rsid w:val="006A375F"/>
    <w:rsid w:val="006A3BB7"/>
    <w:rsid w:val="006A403F"/>
    <w:rsid w:val="006A498B"/>
    <w:rsid w:val="006A6152"/>
    <w:rsid w:val="006A68DB"/>
    <w:rsid w:val="006A6C3F"/>
    <w:rsid w:val="006B049E"/>
    <w:rsid w:val="006B17F1"/>
    <w:rsid w:val="006B1E66"/>
    <w:rsid w:val="006B1EE3"/>
    <w:rsid w:val="006B20EE"/>
    <w:rsid w:val="006B2182"/>
    <w:rsid w:val="006B2323"/>
    <w:rsid w:val="006B26F4"/>
    <w:rsid w:val="006B3BE7"/>
    <w:rsid w:val="006B46AB"/>
    <w:rsid w:val="006B4768"/>
    <w:rsid w:val="006B4CA8"/>
    <w:rsid w:val="006B5102"/>
    <w:rsid w:val="006B57B4"/>
    <w:rsid w:val="006B64F4"/>
    <w:rsid w:val="006B6B7D"/>
    <w:rsid w:val="006B6F26"/>
    <w:rsid w:val="006B7CF3"/>
    <w:rsid w:val="006C0AB3"/>
    <w:rsid w:val="006C1205"/>
    <w:rsid w:val="006C1830"/>
    <w:rsid w:val="006C18FF"/>
    <w:rsid w:val="006C1A51"/>
    <w:rsid w:val="006C202E"/>
    <w:rsid w:val="006C207E"/>
    <w:rsid w:val="006C24A6"/>
    <w:rsid w:val="006C2CAA"/>
    <w:rsid w:val="006C2DC5"/>
    <w:rsid w:val="006C35FB"/>
    <w:rsid w:val="006C45B8"/>
    <w:rsid w:val="006C46DA"/>
    <w:rsid w:val="006C47D5"/>
    <w:rsid w:val="006C4DB3"/>
    <w:rsid w:val="006C4DD3"/>
    <w:rsid w:val="006C51C7"/>
    <w:rsid w:val="006C567E"/>
    <w:rsid w:val="006C5E1E"/>
    <w:rsid w:val="006C67A2"/>
    <w:rsid w:val="006C6A9A"/>
    <w:rsid w:val="006C6D1E"/>
    <w:rsid w:val="006C70E2"/>
    <w:rsid w:val="006C711D"/>
    <w:rsid w:val="006C7322"/>
    <w:rsid w:val="006C74AE"/>
    <w:rsid w:val="006C76DA"/>
    <w:rsid w:val="006C7D05"/>
    <w:rsid w:val="006D0779"/>
    <w:rsid w:val="006D0799"/>
    <w:rsid w:val="006D0B2D"/>
    <w:rsid w:val="006D0FCB"/>
    <w:rsid w:val="006D117D"/>
    <w:rsid w:val="006D1664"/>
    <w:rsid w:val="006D1ADE"/>
    <w:rsid w:val="006D1CA6"/>
    <w:rsid w:val="006D1CD7"/>
    <w:rsid w:val="006D232D"/>
    <w:rsid w:val="006D2798"/>
    <w:rsid w:val="006D2E14"/>
    <w:rsid w:val="006D2F29"/>
    <w:rsid w:val="006D325E"/>
    <w:rsid w:val="006D3C5E"/>
    <w:rsid w:val="006D3D34"/>
    <w:rsid w:val="006D4982"/>
    <w:rsid w:val="006D4DAD"/>
    <w:rsid w:val="006D5033"/>
    <w:rsid w:val="006D576D"/>
    <w:rsid w:val="006D6212"/>
    <w:rsid w:val="006D6307"/>
    <w:rsid w:val="006D6B31"/>
    <w:rsid w:val="006D7B88"/>
    <w:rsid w:val="006E00DC"/>
    <w:rsid w:val="006E077B"/>
    <w:rsid w:val="006E145B"/>
    <w:rsid w:val="006E183A"/>
    <w:rsid w:val="006E1B80"/>
    <w:rsid w:val="006E2001"/>
    <w:rsid w:val="006E2DA7"/>
    <w:rsid w:val="006E2F82"/>
    <w:rsid w:val="006E30D4"/>
    <w:rsid w:val="006E31A7"/>
    <w:rsid w:val="006E392A"/>
    <w:rsid w:val="006E405F"/>
    <w:rsid w:val="006E4C46"/>
    <w:rsid w:val="006E4CA6"/>
    <w:rsid w:val="006E4E2E"/>
    <w:rsid w:val="006E5616"/>
    <w:rsid w:val="006E6005"/>
    <w:rsid w:val="006E6482"/>
    <w:rsid w:val="006E65F4"/>
    <w:rsid w:val="006E6B01"/>
    <w:rsid w:val="006E6BB3"/>
    <w:rsid w:val="006E74C6"/>
    <w:rsid w:val="006E74C7"/>
    <w:rsid w:val="006E781B"/>
    <w:rsid w:val="006F066E"/>
    <w:rsid w:val="006F0C4D"/>
    <w:rsid w:val="006F1C21"/>
    <w:rsid w:val="006F1DC6"/>
    <w:rsid w:val="006F2EED"/>
    <w:rsid w:val="006F33E6"/>
    <w:rsid w:val="006F3653"/>
    <w:rsid w:val="006F3A31"/>
    <w:rsid w:val="006F4018"/>
    <w:rsid w:val="006F43C9"/>
    <w:rsid w:val="006F4AD5"/>
    <w:rsid w:val="006F4F44"/>
    <w:rsid w:val="006F5D01"/>
    <w:rsid w:val="006F5FC4"/>
    <w:rsid w:val="006F6159"/>
    <w:rsid w:val="006F6218"/>
    <w:rsid w:val="006F6265"/>
    <w:rsid w:val="006F6D03"/>
    <w:rsid w:val="006F6D11"/>
    <w:rsid w:val="006F71AC"/>
    <w:rsid w:val="006F73A3"/>
    <w:rsid w:val="006F7678"/>
    <w:rsid w:val="006F76CF"/>
    <w:rsid w:val="00700B29"/>
    <w:rsid w:val="007017CF"/>
    <w:rsid w:val="00701A07"/>
    <w:rsid w:val="00701D78"/>
    <w:rsid w:val="00701F15"/>
    <w:rsid w:val="00702875"/>
    <w:rsid w:val="0070321D"/>
    <w:rsid w:val="00703880"/>
    <w:rsid w:val="00703998"/>
    <w:rsid w:val="007046D6"/>
    <w:rsid w:val="007048B3"/>
    <w:rsid w:val="007052D3"/>
    <w:rsid w:val="00705ED9"/>
    <w:rsid w:val="007061B0"/>
    <w:rsid w:val="0070735A"/>
    <w:rsid w:val="00707868"/>
    <w:rsid w:val="00710C20"/>
    <w:rsid w:val="00710FEE"/>
    <w:rsid w:val="00711334"/>
    <w:rsid w:val="007116A8"/>
    <w:rsid w:val="00711E1D"/>
    <w:rsid w:val="00711F6F"/>
    <w:rsid w:val="00712202"/>
    <w:rsid w:val="007127AE"/>
    <w:rsid w:val="00712CCB"/>
    <w:rsid w:val="00713775"/>
    <w:rsid w:val="00713DBC"/>
    <w:rsid w:val="007151A2"/>
    <w:rsid w:val="007160FB"/>
    <w:rsid w:val="0071625E"/>
    <w:rsid w:val="00716BE4"/>
    <w:rsid w:val="00716CA9"/>
    <w:rsid w:val="00717335"/>
    <w:rsid w:val="0071768D"/>
    <w:rsid w:val="0072013C"/>
    <w:rsid w:val="00720308"/>
    <w:rsid w:val="007205D1"/>
    <w:rsid w:val="0072078A"/>
    <w:rsid w:val="00720D25"/>
    <w:rsid w:val="00720DFC"/>
    <w:rsid w:val="007211AA"/>
    <w:rsid w:val="007220E5"/>
    <w:rsid w:val="007221C6"/>
    <w:rsid w:val="00722E3F"/>
    <w:rsid w:val="0072432D"/>
    <w:rsid w:val="00724A5D"/>
    <w:rsid w:val="00725030"/>
    <w:rsid w:val="0072538C"/>
    <w:rsid w:val="00725936"/>
    <w:rsid w:val="00725B2D"/>
    <w:rsid w:val="00725FB6"/>
    <w:rsid w:val="007274BC"/>
    <w:rsid w:val="00727F83"/>
    <w:rsid w:val="007301A4"/>
    <w:rsid w:val="007307D2"/>
    <w:rsid w:val="0073083B"/>
    <w:rsid w:val="00730B66"/>
    <w:rsid w:val="00730E45"/>
    <w:rsid w:val="00731BA8"/>
    <w:rsid w:val="007322BE"/>
    <w:rsid w:val="0073236B"/>
    <w:rsid w:val="00732528"/>
    <w:rsid w:val="00732F4A"/>
    <w:rsid w:val="00733378"/>
    <w:rsid w:val="0073362F"/>
    <w:rsid w:val="00733AE8"/>
    <w:rsid w:val="00733E7B"/>
    <w:rsid w:val="007341B0"/>
    <w:rsid w:val="0073457A"/>
    <w:rsid w:val="007346DF"/>
    <w:rsid w:val="00734A6C"/>
    <w:rsid w:val="007356C5"/>
    <w:rsid w:val="00735B8C"/>
    <w:rsid w:val="007369E9"/>
    <w:rsid w:val="00736DEB"/>
    <w:rsid w:val="007371D8"/>
    <w:rsid w:val="0073722B"/>
    <w:rsid w:val="00737672"/>
    <w:rsid w:val="00740A4E"/>
    <w:rsid w:val="00740F65"/>
    <w:rsid w:val="0074155B"/>
    <w:rsid w:val="00741671"/>
    <w:rsid w:val="00741E9B"/>
    <w:rsid w:val="00742004"/>
    <w:rsid w:val="00742378"/>
    <w:rsid w:val="0074243B"/>
    <w:rsid w:val="0074278D"/>
    <w:rsid w:val="00742C42"/>
    <w:rsid w:val="00743344"/>
    <w:rsid w:val="007436AD"/>
    <w:rsid w:val="00743A6D"/>
    <w:rsid w:val="007446B4"/>
    <w:rsid w:val="007447AD"/>
    <w:rsid w:val="007447F4"/>
    <w:rsid w:val="00744C47"/>
    <w:rsid w:val="0074593F"/>
    <w:rsid w:val="00745D3F"/>
    <w:rsid w:val="00746112"/>
    <w:rsid w:val="0074660A"/>
    <w:rsid w:val="00746644"/>
    <w:rsid w:val="007466F3"/>
    <w:rsid w:val="00746741"/>
    <w:rsid w:val="00746EA9"/>
    <w:rsid w:val="00746F91"/>
    <w:rsid w:val="00747775"/>
    <w:rsid w:val="00747F0F"/>
    <w:rsid w:val="0075053B"/>
    <w:rsid w:val="0075069A"/>
    <w:rsid w:val="0075099A"/>
    <w:rsid w:val="00750A65"/>
    <w:rsid w:val="00750B5E"/>
    <w:rsid w:val="0075138D"/>
    <w:rsid w:val="00751CC0"/>
    <w:rsid w:val="00751DCD"/>
    <w:rsid w:val="00752FC5"/>
    <w:rsid w:val="007533BB"/>
    <w:rsid w:val="007536B6"/>
    <w:rsid w:val="007540D1"/>
    <w:rsid w:val="00754381"/>
    <w:rsid w:val="00755173"/>
    <w:rsid w:val="007554E9"/>
    <w:rsid w:val="007560BB"/>
    <w:rsid w:val="007564EB"/>
    <w:rsid w:val="00756984"/>
    <w:rsid w:val="00756EEB"/>
    <w:rsid w:val="007575D6"/>
    <w:rsid w:val="00757828"/>
    <w:rsid w:val="00760A92"/>
    <w:rsid w:val="0076127C"/>
    <w:rsid w:val="00761776"/>
    <w:rsid w:val="00761782"/>
    <w:rsid w:val="007618C3"/>
    <w:rsid w:val="00761B26"/>
    <w:rsid w:val="0076201C"/>
    <w:rsid w:val="0076242E"/>
    <w:rsid w:val="0076253E"/>
    <w:rsid w:val="00762590"/>
    <w:rsid w:val="00763A1E"/>
    <w:rsid w:val="00763D0F"/>
    <w:rsid w:val="00764240"/>
    <w:rsid w:val="007644D6"/>
    <w:rsid w:val="007649EA"/>
    <w:rsid w:val="00765A85"/>
    <w:rsid w:val="00765AEC"/>
    <w:rsid w:val="00766292"/>
    <w:rsid w:val="00766D17"/>
    <w:rsid w:val="007677B9"/>
    <w:rsid w:val="00767AE1"/>
    <w:rsid w:val="00767C1F"/>
    <w:rsid w:val="007708ED"/>
    <w:rsid w:val="0077135F"/>
    <w:rsid w:val="00771B7D"/>
    <w:rsid w:val="00771CE2"/>
    <w:rsid w:val="00771EFD"/>
    <w:rsid w:val="00772F4E"/>
    <w:rsid w:val="00773140"/>
    <w:rsid w:val="007733B3"/>
    <w:rsid w:val="00774578"/>
    <w:rsid w:val="0077484C"/>
    <w:rsid w:val="00775055"/>
    <w:rsid w:val="007751AD"/>
    <w:rsid w:val="00775697"/>
    <w:rsid w:val="007759B2"/>
    <w:rsid w:val="00775AD5"/>
    <w:rsid w:val="007764F3"/>
    <w:rsid w:val="00776DE6"/>
    <w:rsid w:val="00777124"/>
    <w:rsid w:val="0077770E"/>
    <w:rsid w:val="00777DC6"/>
    <w:rsid w:val="00777E6A"/>
    <w:rsid w:val="00777F9C"/>
    <w:rsid w:val="0078017A"/>
    <w:rsid w:val="0078120F"/>
    <w:rsid w:val="00781588"/>
    <w:rsid w:val="007818D9"/>
    <w:rsid w:val="007818E6"/>
    <w:rsid w:val="00781F7A"/>
    <w:rsid w:val="007823DC"/>
    <w:rsid w:val="007826F7"/>
    <w:rsid w:val="00783362"/>
    <w:rsid w:val="007833E8"/>
    <w:rsid w:val="007836E2"/>
    <w:rsid w:val="0078445C"/>
    <w:rsid w:val="007844CF"/>
    <w:rsid w:val="007849CB"/>
    <w:rsid w:val="00784B0D"/>
    <w:rsid w:val="00784B21"/>
    <w:rsid w:val="00785708"/>
    <w:rsid w:val="00785AC3"/>
    <w:rsid w:val="00785FFA"/>
    <w:rsid w:val="00786B6C"/>
    <w:rsid w:val="00787557"/>
    <w:rsid w:val="0078758C"/>
    <w:rsid w:val="00787699"/>
    <w:rsid w:val="007879C4"/>
    <w:rsid w:val="007901E5"/>
    <w:rsid w:val="00790478"/>
    <w:rsid w:val="0079049A"/>
    <w:rsid w:val="00790A09"/>
    <w:rsid w:val="00790A38"/>
    <w:rsid w:val="007920C6"/>
    <w:rsid w:val="00792DB7"/>
    <w:rsid w:val="00793151"/>
    <w:rsid w:val="00793464"/>
    <w:rsid w:val="00793682"/>
    <w:rsid w:val="007942E7"/>
    <w:rsid w:val="007945F4"/>
    <w:rsid w:val="00795070"/>
    <w:rsid w:val="007954F8"/>
    <w:rsid w:val="00795820"/>
    <w:rsid w:val="007959B1"/>
    <w:rsid w:val="00795CCF"/>
    <w:rsid w:val="00795F7D"/>
    <w:rsid w:val="0079603D"/>
    <w:rsid w:val="00796A80"/>
    <w:rsid w:val="007A04F1"/>
    <w:rsid w:val="007A0750"/>
    <w:rsid w:val="007A0DB9"/>
    <w:rsid w:val="007A13F9"/>
    <w:rsid w:val="007A1ADC"/>
    <w:rsid w:val="007A21F0"/>
    <w:rsid w:val="007A2266"/>
    <w:rsid w:val="007A23B8"/>
    <w:rsid w:val="007A246E"/>
    <w:rsid w:val="007A28AC"/>
    <w:rsid w:val="007A28F7"/>
    <w:rsid w:val="007A2EC4"/>
    <w:rsid w:val="007A2EEE"/>
    <w:rsid w:val="007A33AE"/>
    <w:rsid w:val="007A3E3E"/>
    <w:rsid w:val="007A3F24"/>
    <w:rsid w:val="007A4238"/>
    <w:rsid w:val="007A4777"/>
    <w:rsid w:val="007A4A59"/>
    <w:rsid w:val="007A5379"/>
    <w:rsid w:val="007A55AA"/>
    <w:rsid w:val="007A5E0C"/>
    <w:rsid w:val="007A666A"/>
    <w:rsid w:val="007A676C"/>
    <w:rsid w:val="007A6E6E"/>
    <w:rsid w:val="007A7135"/>
    <w:rsid w:val="007A765A"/>
    <w:rsid w:val="007A7727"/>
    <w:rsid w:val="007B18D4"/>
    <w:rsid w:val="007B196F"/>
    <w:rsid w:val="007B1E4A"/>
    <w:rsid w:val="007B293D"/>
    <w:rsid w:val="007B2F10"/>
    <w:rsid w:val="007B2F79"/>
    <w:rsid w:val="007B38EC"/>
    <w:rsid w:val="007B3B1F"/>
    <w:rsid w:val="007B43F4"/>
    <w:rsid w:val="007B4E70"/>
    <w:rsid w:val="007B50A6"/>
    <w:rsid w:val="007B51EA"/>
    <w:rsid w:val="007B5F4A"/>
    <w:rsid w:val="007B6170"/>
    <w:rsid w:val="007B7277"/>
    <w:rsid w:val="007B785A"/>
    <w:rsid w:val="007B7C54"/>
    <w:rsid w:val="007C0164"/>
    <w:rsid w:val="007C0200"/>
    <w:rsid w:val="007C0C4F"/>
    <w:rsid w:val="007C0CB4"/>
    <w:rsid w:val="007C0ED9"/>
    <w:rsid w:val="007C0F76"/>
    <w:rsid w:val="007C10A8"/>
    <w:rsid w:val="007C1D86"/>
    <w:rsid w:val="007C242F"/>
    <w:rsid w:val="007C263F"/>
    <w:rsid w:val="007C3316"/>
    <w:rsid w:val="007C3887"/>
    <w:rsid w:val="007C4266"/>
    <w:rsid w:val="007C4479"/>
    <w:rsid w:val="007C4910"/>
    <w:rsid w:val="007C5052"/>
    <w:rsid w:val="007C65F0"/>
    <w:rsid w:val="007D0B2B"/>
    <w:rsid w:val="007D194D"/>
    <w:rsid w:val="007D2CDB"/>
    <w:rsid w:val="007D2F57"/>
    <w:rsid w:val="007D35CC"/>
    <w:rsid w:val="007D379E"/>
    <w:rsid w:val="007D4FD0"/>
    <w:rsid w:val="007D5114"/>
    <w:rsid w:val="007D599D"/>
    <w:rsid w:val="007D5B85"/>
    <w:rsid w:val="007D63F0"/>
    <w:rsid w:val="007D6BDD"/>
    <w:rsid w:val="007D76C6"/>
    <w:rsid w:val="007D7E71"/>
    <w:rsid w:val="007E00B5"/>
    <w:rsid w:val="007E0E93"/>
    <w:rsid w:val="007E1155"/>
    <w:rsid w:val="007E173D"/>
    <w:rsid w:val="007E179C"/>
    <w:rsid w:val="007E2986"/>
    <w:rsid w:val="007E2B25"/>
    <w:rsid w:val="007E2EC8"/>
    <w:rsid w:val="007E3147"/>
    <w:rsid w:val="007E31B2"/>
    <w:rsid w:val="007E3EBE"/>
    <w:rsid w:val="007E4B4B"/>
    <w:rsid w:val="007E4B8B"/>
    <w:rsid w:val="007E4FA6"/>
    <w:rsid w:val="007E5B9B"/>
    <w:rsid w:val="007E5F0F"/>
    <w:rsid w:val="007E5F61"/>
    <w:rsid w:val="007E62AB"/>
    <w:rsid w:val="007E6CE0"/>
    <w:rsid w:val="007E70B5"/>
    <w:rsid w:val="007E7579"/>
    <w:rsid w:val="007F1000"/>
    <w:rsid w:val="007F1AEE"/>
    <w:rsid w:val="007F1D2A"/>
    <w:rsid w:val="007F2848"/>
    <w:rsid w:val="007F3078"/>
    <w:rsid w:val="007F37D5"/>
    <w:rsid w:val="007F44F1"/>
    <w:rsid w:val="007F4AC8"/>
    <w:rsid w:val="007F4CE8"/>
    <w:rsid w:val="007F60C0"/>
    <w:rsid w:val="007F6F30"/>
    <w:rsid w:val="007F712F"/>
    <w:rsid w:val="007F776E"/>
    <w:rsid w:val="007F799C"/>
    <w:rsid w:val="007F7A5F"/>
    <w:rsid w:val="007F7AA0"/>
    <w:rsid w:val="007F7C46"/>
    <w:rsid w:val="007F7C4B"/>
    <w:rsid w:val="007F7F77"/>
    <w:rsid w:val="00801A5D"/>
    <w:rsid w:val="00801DDD"/>
    <w:rsid w:val="0080215C"/>
    <w:rsid w:val="008026DD"/>
    <w:rsid w:val="00802889"/>
    <w:rsid w:val="008032DC"/>
    <w:rsid w:val="00803B24"/>
    <w:rsid w:val="00804087"/>
    <w:rsid w:val="00804A18"/>
    <w:rsid w:val="00804CE7"/>
    <w:rsid w:val="00805480"/>
    <w:rsid w:val="008055A6"/>
    <w:rsid w:val="00805D48"/>
    <w:rsid w:val="00806AAA"/>
    <w:rsid w:val="008070AB"/>
    <w:rsid w:val="0080719C"/>
    <w:rsid w:val="008078FF"/>
    <w:rsid w:val="00810821"/>
    <w:rsid w:val="008111E8"/>
    <w:rsid w:val="008113D5"/>
    <w:rsid w:val="00811537"/>
    <w:rsid w:val="00812214"/>
    <w:rsid w:val="0081234C"/>
    <w:rsid w:val="00812D0A"/>
    <w:rsid w:val="0081335C"/>
    <w:rsid w:val="008134FE"/>
    <w:rsid w:val="0081398E"/>
    <w:rsid w:val="00813C29"/>
    <w:rsid w:val="008142A1"/>
    <w:rsid w:val="0081459B"/>
    <w:rsid w:val="0081470B"/>
    <w:rsid w:val="008152DB"/>
    <w:rsid w:val="0081534A"/>
    <w:rsid w:val="00815981"/>
    <w:rsid w:val="008163D4"/>
    <w:rsid w:val="008166A0"/>
    <w:rsid w:val="00816C9A"/>
    <w:rsid w:val="00817549"/>
    <w:rsid w:val="008178C1"/>
    <w:rsid w:val="00817C4A"/>
    <w:rsid w:val="008203A0"/>
    <w:rsid w:val="008203D1"/>
    <w:rsid w:val="00820F87"/>
    <w:rsid w:val="0082110A"/>
    <w:rsid w:val="0082166C"/>
    <w:rsid w:val="008221A9"/>
    <w:rsid w:val="00822323"/>
    <w:rsid w:val="00822559"/>
    <w:rsid w:val="00822890"/>
    <w:rsid w:val="00822A72"/>
    <w:rsid w:val="00822FBC"/>
    <w:rsid w:val="00823BAE"/>
    <w:rsid w:val="0082404A"/>
    <w:rsid w:val="0082454F"/>
    <w:rsid w:val="00824B5C"/>
    <w:rsid w:val="00826203"/>
    <w:rsid w:val="008263E8"/>
    <w:rsid w:val="0082699D"/>
    <w:rsid w:val="0082707A"/>
    <w:rsid w:val="0083051B"/>
    <w:rsid w:val="00830868"/>
    <w:rsid w:val="00830903"/>
    <w:rsid w:val="00830C26"/>
    <w:rsid w:val="00830CD5"/>
    <w:rsid w:val="00831822"/>
    <w:rsid w:val="008318BD"/>
    <w:rsid w:val="008318F2"/>
    <w:rsid w:val="00831B3B"/>
    <w:rsid w:val="00831E3D"/>
    <w:rsid w:val="00832D0E"/>
    <w:rsid w:val="0083307E"/>
    <w:rsid w:val="00833196"/>
    <w:rsid w:val="0083338C"/>
    <w:rsid w:val="00833F23"/>
    <w:rsid w:val="0083434E"/>
    <w:rsid w:val="00834D62"/>
    <w:rsid w:val="0083568B"/>
    <w:rsid w:val="00835B76"/>
    <w:rsid w:val="00835D13"/>
    <w:rsid w:val="00836461"/>
    <w:rsid w:val="00836F00"/>
    <w:rsid w:val="008371D4"/>
    <w:rsid w:val="008376B6"/>
    <w:rsid w:val="00840154"/>
    <w:rsid w:val="00840490"/>
    <w:rsid w:val="008409A8"/>
    <w:rsid w:val="00840CEF"/>
    <w:rsid w:val="00840E2B"/>
    <w:rsid w:val="00840E45"/>
    <w:rsid w:val="00843D9A"/>
    <w:rsid w:val="00844947"/>
    <w:rsid w:val="008449A1"/>
    <w:rsid w:val="008453B0"/>
    <w:rsid w:val="00845725"/>
    <w:rsid w:val="00845E11"/>
    <w:rsid w:val="0084633D"/>
    <w:rsid w:val="00846472"/>
    <w:rsid w:val="0084683A"/>
    <w:rsid w:val="00846C8A"/>
    <w:rsid w:val="008470BB"/>
    <w:rsid w:val="00847816"/>
    <w:rsid w:val="00851DFA"/>
    <w:rsid w:val="00852138"/>
    <w:rsid w:val="00852618"/>
    <w:rsid w:val="008526C7"/>
    <w:rsid w:val="00852753"/>
    <w:rsid w:val="00852994"/>
    <w:rsid w:val="00853154"/>
    <w:rsid w:val="008533AB"/>
    <w:rsid w:val="0085363D"/>
    <w:rsid w:val="00854DEC"/>
    <w:rsid w:val="008555D8"/>
    <w:rsid w:val="00855D82"/>
    <w:rsid w:val="00855EF5"/>
    <w:rsid w:val="008560CD"/>
    <w:rsid w:val="00856306"/>
    <w:rsid w:val="00857261"/>
    <w:rsid w:val="00857522"/>
    <w:rsid w:val="0085773E"/>
    <w:rsid w:val="00857D20"/>
    <w:rsid w:val="008603B6"/>
    <w:rsid w:val="008606C8"/>
    <w:rsid w:val="008610BD"/>
    <w:rsid w:val="00861161"/>
    <w:rsid w:val="0086130D"/>
    <w:rsid w:val="00861CFE"/>
    <w:rsid w:val="00862B05"/>
    <w:rsid w:val="00862DA8"/>
    <w:rsid w:val="008637FB"/>
    <w:rsid w:val="00863ECC"/>
    <w:rsid w:val="00864878"/>
    <w:rsid w:val="008649CB"/>
    <w:rsid w:val="00864C76"/>
    <w:rsid w:val="008652FF"/>
    <w:rsid w:val="00865DCD"/>
    <w:rsid w:val="00866218"/>
    <w:rsid w:val="00866B34"/>
    <w:rsid w:val="00867044"/>
    <w:rsid w:val="008676A3"/>
    <w:rsid w:val="00867850"/>
    <w:rsid w:val="00867A22"/>
    <w:rsid w:val="00870D8A"/>
    <w:rsid w:val="00870E80"/>
    <w:rsid w:val="008720F7"/>
    <w:rsid w:val="00872FB4"/>
    <w:rsid w:val="008735B5"/>
    <w:rsid w:val="00873BC2"/>
    <w:rsid w:val="00873CA4"/>
    <w:rsid w:val="00873EEE"/>
    <w:rsid w:val="0087497A"/>
    <w:rsid w:val="00874A01"/>
    <w:rsid w:val="00875188"/>
    <w:rsid w:val="0087611A"/>
    <w:rsid w:val="00876202"/>
    <w:rsid w:val="008765C4"/>
    <w:rsid w:val="00876E3B"/>
    <w:rsid w:val="0087728E"/>
    <w:rsid w:val="00877808"/>
    <w:rsid w:val="00877811"/>
    <w:rsid w:val="008805A6"/>
    <w:rsid w:val="00880E23"/>
    <w:rsid w:val="00881D6C"/>
    <w:rsid w:val="008826C5"/>
    <w:rsid w:val="00882A1D"/>
    <w:rsid w:val="0088347A"/>
    <w:rsid w:val="00883517"/>
    <w:rsid w:val="008838CD"/>
    <w:rsid w:val="00883AE9"/>
    <w:rsid w:val="008845F1"/>
    <w:rsid w:val="00884998"/>
    <w:rsid w:val="00884CE8"/>
    <w:rsid w:val="00884E4A"/>
    <w:rsid w:val="008851E0"/>
    <w:rsid w:val="00885374"/>
    <w:rsid w:val="00885D0B"/>
    <w:rsid w:val="00885F55"/>
    <w:rsid w:val="008861B2"/>
    <w:rsid w:val="00886B3B"/>
    <w:rsid w:val="00886CB8"/>
    <w:rsid w:val="00886D9D"/>
    <w:rsid w:val="00886F06"/>
    <w:rsid w:val="0088706B"/>
    <w:rsid w:val="0088754A"/>
    <w:rsid w:val="00887A8F"/>
    <w:rsid w:val="00887BCA"/>
    <w:rsid w:val="00890097"/>
    <w:rsid w:val="008902FC"/>
    <w:rsid w:val="008904DB"/>
    <w:rsid w:val="00890ACA"/>
    <w:rsid w:val="00890C1B"/>
    <w:rsid w:val="00890D07"/>
    <w:rsid w:val="008910D7"/>
    <w:rsid w:val="0089189C"/>
    <w:rsid w:val="00891FBD"/>
    <w:rsid w:val="008920E9"/>
    <w:rsid w:val="00892187"/>
    <w:rsid w:val="00892AA2"/>
    <w:rsid w:val="00892D87"/>
    <w:rsid w:val="00892EE5"/>
    <w:rsid w:val="00893860"/>
    <w:rsid w:val="00893AF8"/>
    <w:rsid w:val="00893BFA"/>
    <w:rsid w:val="00893EB8"/>
    <w:rsid w:val="0089405E"/>
    <w:rsid w:val="0089409D"/>
    <w:rsid w:val="0089416C"/>
    <w:rsid w:val="008947FC"/>
    <w:rsid w:val="00894900"/>
    <w:rsid w:val="00894A20"/>
    <w:rsid w:val="0089509F"/>
    <w:rsid w:val="008950AE"/>
    <w:rsid w:val="00895E35"/>
    <w:rsid w:val="008968B5"/>
    <w:rsid w:val="0089759A"/>
    <w:rsid w:val="00897CF2"/>
    <w:rsid w:val="008A0EDA"/>
    <w:rsid w:val="008A1057"/>
    <w:rsid w:val="008A1439"/>
    <w:rsid w:val="008A1C8E"/>
    <w:rsid w:val="008A25BD"/>
    <w:rsid w:val="008A2E13"/>
    <w:rsid w:val="008A31ED"/>
    <w:rsid w:val="008A3856"/>
    <w:rsid w:val="008A396A"/>
    <w:rsid w:val="008A39C3"/>
    <w:rsid w:val="008A3ABE"/>
    <w:rsid w:val="008A43B2"/>
    <w:rsid w:val="008A4573"/>
    <w:rsid w:val="008A4D75"/>
    <w:rsid w:val="008A534E"/>
    <w:rsid w:val="008A590F"/>
    <w:rsid w:val="008A5CA5"/>
    <w:rsid w:val="008A5DD0"/>
    <w:rsid w:val="008A6CA9"/>
    <w:rsid w:val="008A71F2"/>
    <w:rsid w:val="008A754A"/>
    <w:rsid w:val="008B0385"/>
    <w:rsid w:val="008B080E"/>
    <w:rsid w:val="008B0B39"/>
    <w:rsid w:val="008B1062"/>
    <w:rsid w:val="008B1282"/>
    <w:rsid w:val="008B1588"/>
    <w:rsid w:val="008B1E67"/>
    <w:rsid w:val="008B2242"/>
    <w:rsid w:val="008B28F7"/>
    <w:rsid w:val="008B2B32"/>
    <w:rsid w:val="008B2E3A"/>
    <w:rsid w:val="008B30EF"/>
    <w:rsid w:val="008B3B14"/>
    <w:rsid w:val="008B4008"/>
    <w:rsid w:val="008B41D7"/>
    <w:rsid w:val="008B43CB"/>
    <w:rsid w:val="008B462D"/>
    <w:rsid w:val="008B4787"/>
    <w:rsid w:val="008B4BBD"/>
    <w:rsid w:val="008B4F28"/>
    <w:rsid w:val="008B525D"/>
    <w:rsid w:val="008B5E30"/>
    <w:rsid w:val="008C0180"/>
    <w:rsid w:val="008C020C"/>
    <w:rsid w:val="008C03EF"/>
    <w:rsid w:val="008C0B65"/>
    <w:rsid w:val="008C0D36"/>
    <w:rsid w:val="008C0EE7"/>
    <w:rsid w:val="008C0F17"/>
    <w:rsid w:val="008C125F"/>
    <w:rsid w:val="008C1659"/>
    <w:rsid w:val="008C1879"/>
    <w:rsid w:val="008C1E4A"/>
    <w:rsid w:val="008C2412"/>
    <w:rsid w:val="008C2B4A"/>
    <w:rsid w:val="008C2D42"/>
    <w:rsid w:val="008C2F01"/>
    <w:rsid w:val="008C2F26"/>
    <w:rsid w:val="008C31BE"/>
    <w:rsid w:val="008C31F8"/>
    <w:rsid w:val="008C380E"/>
    <w:rsid w:val="008C41D1"/>
    <w:rsid w:val="008C44D0"/>
    <w:rsid w:val="008C4744"/>
    <w:rsid w:val="008C4A3B"/>
    <w:rsid w:val="008C5A16"/>
    <w:rsid w:val="008C5C02"/>
    <w:rsid w:val="008C5CEA"/>
    <w:rsid w:val="008C6772"/>
    <w:rsid w:val="008C6929"/>
    <w:rsid w:val="008C6A20"/>
    <w:rsid w:val="008C6F7C"/>
    <w:rsid w:val="008C70F3"/>
    <w:rsid w:val="008C792E"/>
    <w:rsid w:val="008C79D0"/>
    <w:rsid w:val="008D0288"/>
    <w:rsid w:val="008D11F9"/>
    <w:rsid w:val="008D17B5"/>
    <w:rsid w:val="008D2BBF"/>
    <w:rsid w:val="008D4115"/>
    <w:rsid w:val="008D4858"/>
    <w:rsid w:val="008D49B0"/>
    <w:rsid w:val="008D4A0E"/>
    <w:rsid w:val="008D4BE6"/>
    <w:rsid w:val="008D4D37"/>
    <w:rsid w:val="008D4DB1"/>
    <w:rsid w:val="008D54F4"/>
    <w:rsid w:val="008D55EE"/>
    <w:rsid w:val="008D6222"/>
    <w:rsid w:val="008D66C8"/>
    <w:rsid w:val="008D6F4C"/>
    <w:rsid w:val="008D6F55"/>
    <w:rsid w:val="008E0A80"/>
    <w:rsid w:val="008E0D83"/>
    <w:rsid w:val="008E17BD"/>
    <w:rsid w:val="008E1DF9"/>
    <w:rsid w:val="008E223A"/>
    <w:rsid w:val="008E2846"/>
    <w:rsid w:val="008E2A93"/>
    <w:rsid w:val="008E2BD6"/>
    <w:rsid w:val="008E3437"/>
    <w:rsid w:val="008E3C2E"/>
    <w:rsid w:val="008E4B18"/>
    <w:rsid w:val="008E55B2"/>
    <w:rsid w:val="008E5D27"/>
    <w:rsid w:val="008E6090"/>
    <w:rsid w:val="008E667C"/>
    <w:rsid w:val="008E7253"/>
    <w:rsid w:val="008E769F"/>
    <w:rsid w:val="008E7E0D"/>
    <w:rsid w:val="008F0247"/>
    <w:rsid w:val="008F030C"/>
    <w:rsid w:val="008F076F"/>
    <w:rsid w:val="008F07EC"/>
    <w:rsid w:val="008F10CC"/>
    <w:rsid w:val="008F1176"/>
    <w:rsid w:val="008F1407"/>
    <w:rsid w:val="008F1A59"/>
    <w:rsid w:val="008F20B9"/>
    <w:rsid w:val="008F26CF"/>
    <w:rsid w:val="008F3477"/>
    <w:rsid w:val="008F384D"/>
    <w:rsid w:val="008F4C3E"/>
    <w:rsid w:val="008F4C48"/>
    <w:rsid w:val="008F53AC"/>
    <w:rsid w:val="008F53CF"/>
    <w:rsid w:val="008F5A19"/>
    <w:rsid w:val="008F5A55"/>
    <w:rsid w:val="008F5CEF"/>
    <w:rsid w:val="008F6A37"/>
    <w:rsid w:val="008F78DA"/>
    <w:rsid w:val="0090048E"/>
    <w:rsid w:val="009004CD"/>
    <w:rsid w:val="009009EB"/>
    <w:rsid w:val="00900F8E"/>
    <w:rsid w:val="00902C20"/>
    <w:rsid w:val="00903694"/>
    <w:rsid w:val="009037F1"/>
    <w:rsid w:val="00903CEE"/>
    <w:rsid w:val="009047F7"/>
    <w:rsid w:val="0090685C"/>
    <w:rsid w:val="00907393"/>
    <w:rsid w:val="00907D4A"/>
    <w:rsid w:val="009112C3"/>
    <w:rsid w:val="00911803"/>
    <w:rsid w:val="009118EF"/>
    <w:rsid w:val="0091194F"/>
    <w:rsid w:val="00911EF2"/>
    <w:rsid w:val="00911FF4"/>
    <w:rsid w:val="00912688"/>
    <w:rsid w:val="00912C36"/>
    <w:rsid w:val="00912CE0"/>
    <w:rsid w:val="0091338A"/>
    <w:rsid w:val="00913527"/>
    <w:rsid w:val="00913F8D"/>
    <w:rsid w:val="00914A46"/>
    <w:rsid w:val="00914ADD"/>
    <w:rsid w:val="00914C03"/>
    <w:rsid w:val="009153D0"/>
    <w:rsid w:val="00915F8C"/>
    <w:rsid w:val="00916267"/>
    <w:rsid w:val="00916379"/>
    <w:rsid w:val="00916FB0"/>
    <w:rsid w:val="00917369"/>
    <w:rsid w:val="00917788"/>
    <w:rsid w:val="00917E69"/>
    <w:rsid w:val="00920B2D"/>
    <w:rsid w:val="00921895"/>
    <w:rsid w:val="009226E3"/>
    <w:rsid w:val="00922E50"/>
    <w:rsid w:val="00922EDB"/>
    <w:rsid w:val="009234C5"/>
    <w:rsid w:val="00923512"/>
    <w:rsid w:val="00923691"/>
    <w:rsid w:val="00923844"/>
    <w:rsid w:val="00923877"/>
    <w:rsid w:val="009251D5"/>
    <w:rsid w:val="00925A4F"/>
    <w:rsid w:val="00925DEA"/>
    <w:rsid w:val="00925FAB"/>
    <w:rsid w:val="009264CD"/>
    <w:rsid w:val="00926A30"/>
    <w:rsid w:val="00927AAD"/>
    <w:rsid w:val="00931112"/>
    <w:rsid w:val="0093195E"/>
    <w:rsid w:val="00932D00"/>
    <w:rsid w:val="00933098"/>
    <w:rsid w:val="00933B39"/>
    <w:rsid w:val="00933F05"/>
    <w:rsid w:val="00934486"/>
    <w:rsid w:val="00934B37"/>
    <w:rsid w:val="00934CF4"/>
    <w:rsid w:val="009351A5"/>
    <w:rsid w:val="00935483"/>
    <w:rsid w:val="009354E0"/>
    <w:rsid w:val="00935DB1"/>
    <w:rsid w:val="00935FDF"/>
    <w:rsid w:val="0093661E"/>
    <w:rsid w:val="0093709B"/>
    <w:rsid w:val="009404F0"/>
    <w:rsid w:val="00940F2A"/>
    <w:rsid w:val="00941602"/>
    <w:rsid w:val="00941DF5"/>
    <w:rsid w:val="00942B05"/>
    <w:rsid w:val="00942C08"/>
    <w:rsid w:val="00942C28"/>
    <w:rsid w:val="0094302A"/>
    <w:rsid w:val="00943624"/>
    <w:rsid w:val="009439BB"/>
    <w:rsid w:val="00943B37"/>
    <w:rsid w:val="00943C0C"/>
    <w:rsid w:val="00943DA8"/>
    <w:rsid w:val="0094455B"/>
    <w:rsid w:val="00946020"/>
    <w:rsid w:val="009469A0"/>
    <w:rsid w:val="00946E85"/>
    <w:rsid w:val="00946F28"/>
    <w:rsid w:val="00947481"/>
    <w:rsid w:val="00947FEE"/>
    <w:rsid w:val="00950573"/>
    <w:rsid w:val="00950873"/>
    <w:rsid w:val="00951619"/>
    <w:rsid w:val="00951764"/>
    <w:rsid w:val="009521C9"/>
    <w:rsid w:val="0095296F"/>
    <w:rsid w:val="00952D7E"/>
    <w:rsid w:val="00952ECA"/>
    <w:rsid w:val="00953E2A"/>
    <w:rsid w:val="00954F0B"/>
    <w:rsid w:val="00955369"/>
    <w:rsid w:val="009557FA"/>
    <w:rsid w:val="00955DB5"/>
    <w:rsid w:val="00956193"/>
    <w:rsid w:val="009562EE"/>
    <w:rsid w:val="00956347"/>
    <w:rsid w:val="0095638E"/>
    <w:rsid w:val="00956630"/>
    <w:rsid w:val="0095691D"/>
    <w:rsid w:val="00960277"/>
    <w:rsid w:val="0096043B"/>
    <w:rsid w:val="00960AF9"/>
    <w:rsid w:val="00962372"/>
    <w:rsid w:val="00962994"/>
    <w:rsid w:val="00962F8B"/>
    <w:rsid w:val="009637BE"/>
    <w:rsid w:val="009638BE"/>
    <w:rsid w:val="00963B3A"/>
    <w:rsid w:val="009646D7"/>
    <w:rsid w:val="0096534E"/>
    <w:rsid w:val="009653B8"/>
    <w:rsid w:val="00965BB4"/>
    <w:rsid w:val="00965BF0"/>
    <w:rsid w:val="00966953"/>
    <w:rsid w:val="0096784D"/>
    <w:rsid w:val="00967A36"/>
    <w:rsid w:val="00967E41"/>
    <w:rsid w:val="00970448"/>
    <w:rsid w:val="00970614"/>
    <w:rsid w:val="009715A4"/>
    <w:rsid w:val="00971EB7"/>
    <w:rsid w:val="00972170"/>
    <w:rsid w:val="00972C4F"/>
    <w:rsid w:val="00973B76"/>
    <w:rsid w:val="00973C60"/>
    <w:rsid w:val="00974669"/>
    <w:rsid w:val="00974985"/>
    <w:rsid w:val="00975420"/>
    <w:rsid w:val="009755C5"/>
    <w:rsid w:val="009757A4"/>
    <w:rsid w:val="009758E9"/>
    <w:rsid w:val="00975E3A"/>
    <w:rsid w:val="009765BF"/>
    <w:rsid w:val="00976622"/>
    <w:rsid w:val="00976B8E"/>
    <w:rsid w:val="00977011"/>
    <w:rsid w:val="00977BD3"/>
    <w:rsid w:val="009801A9"/>
    <w:rsid w:val="00980FE9"/>
    <w:rsid w:val="009818D1"/>
    <w:rsid w:val="00981932"/>
    <w:rsid w:val="00982263"/>
    <w:rsid w:val="0098261F"/>
    <w:rsid w:val="00983078"/>
    <w:rsid w:val="00983814"/>
    <w:rsid w:val="00984257"/>
    <w:rsid w:val="009846C6"/>
    <w:rsid w:val="009853B9"/>
    <w:rsid w:val="009856C3"/>
    <w:rsid w:val="00985ABE"/>
    <w:rsid w:val="00985B6F"/>
    <w:rsid w:val="00985BBD"/>
    <w:rsid w:val="00985F20"/>
    <w:rsid w:val="00986F22"/>
    <w:rsid w:val="009878EA"/>
    <w:rsid w:val="0099068B"/>
    <w:rsid w:val="00990D30"/>
    <w:rsid w:val="00990DB8"/>
    <w:rsid w:val="00990F49"/>
    <w:rsid w:val="0099124B"/>
    <w:rsid w:val="00991387"/>
    <w:rsid w:val="00991422"/>
    <w:rsid w:val="00991C81"/>
    <w:rsid w:val="0099210E"/>
    <w:rsid w:val="0099227F"/>
    <w:rsid w:val="00993180"/>
    <w:rsid w:val="009931EA"/>
    <w:rsid w:val="00993306"/>
    <w:rsid w:val="0099343B"/>
    <w:rsid w:val="0099392E"/>
    <w:rsid w:val="00993B3F"/>
    <w:rsid w:val="00994301"/>
    <w:rsid w:val="009944C6"/>
    <w:rsid w:val="009945AB"/>
    <w:rsid w:val="00994BA4"/>
    <w:rsid w:val="009955C4"/>
    <w:rsid w:val="00996879"/>
    <w:rsid w:val="00996959"/>
    <w:rsid w:val="0099695D"/>
    <w:rsid w:val="009969AF"/>
    <w:rsid w:val="00996C93"/>
    <w:rsid w:val="009970BF"/>
    <w:rsid w:val="009972BF"/>
    <w:rsid w:val="00997462"/>
    <w:rsid w:val="00997B0B"/>
    <w:rsid w:val="00997DAF"/>
    <w:rsid w:val="00997F05"/>
    <w:rsid w:val="00997F77"/>
    <w:rsid w:val="009A004C"/>
    <w:rsid w:val="009A0201"/>
    <w:rsid w:val="009A0487"/>
    <w:rsid w:val="009A0E35"/>
    <w:rsid w:val="009A16EB"/>
    <w:rsid w:val="009A184C"/>
    <w:rsid w:val="009A186E"/>
    <w:rsid w:val="009A1D86"/>
    <w:rsid w:val="009A2EB2"/>
    <w:rsid w:val="009A3C0C"/>
    <w:rsid w:val="009A4BBB"/>
    <w:rsid w:val="009A4C10"/>
    <w:rsid w:val="009A510B"/>
    <w:rsid w:val="009A58EB"/>
    <w:rsid w:val="009A5A9A"/>
    <w:rsid w:val="009A5B22"/>
    <w:rsid w:val="009A620F"/>
    <w:rsid w:val="009A7BB5"/>
    <w:rsid w:val="009B0037"/>
    <w:rsid w:val="009B0146"/>
    <w:rsid w:val="009B0D86"/>
    <w:rsid w:val="009B1053"/>
    <w:rsid w:val="009B1B89"/>
    <w:rsid w:val="009B1C72"/>
    <w:rsid w:val="009B1DFF"/>
    <w:rsid w:val="009B21BF"/>
    <w:rsid w:val="009B2650"/>
    <w:rsid w:val="009B2B17"/>
    <w:rsid w:val="009B3088"/>
    <w:rsid w:val="009B369D"/>
    <w:rsid w:val="009B3EC5"/>
    <w:rsid w:val="009B4052"/>
    <w:rsid w:val="009B439E"/>
    <w:rsid w:val="009B4495"/>
    <w:rsid w:val="009B4D7F"/>
    <w:rsid w:val="009B5140"/>
    <w:rsid w:val="009B6607"/>
    <w:rsid w:val="009B6AC2"/>
    <w:rsid w:val="009B78FA"/>
    <w:rsid w:val="009B795D"/>
    <w:rsid w:val="009B7EB7"/>
    <w:rsid w:val="009C0013"/>
    <w:rsid w:val="009C06D4"/>
    <w:rsid w:val="009C088E"/>
    <w:rsid w:val="009C0BCD"/>
    <w:rsid w:val="009C1388"/>
    <w:rsid w:val="009C1918"/>
    <w:rsid w:val="009C2808"/>
    <w:rsid w:val="009C2BD5"/>
    <w:rsid w:val="009C2DE3"/>
    <w:rsid w:val="009C2EC8"/>
    <w:rsid w:val="009C2FB4"/>
    <w:rsid w:val="009C3471"/>
    <w:rsid w:val="009C38A8"/>
    <w:rsid w:val="009C3D4F"/>
    <w:rsid w:val="009C41AD"/>
    <w:rsid w:val="009C48E7"/>
    <w:rsid w:val="009C5420"/>
    <w:rsid w:val="009C5A94"/>
    <w:rsid w:val="009C5B91"/>
    <w:rsid w:val="009C5F88"/>
    <w:rsid w:val="009C61B1"/>
    <w:rsid w:val="009C6C91"/>
    <w:rsid w:val="009D0447"/>
    <w:rsid w:val="009D0863"/>
    <w:rsid w:val="009D0BC1"/>
    <w:rsid w:val="009D1937"/>
    <w:rsid w:val="009D1F02"/>
    <w:rsid w:val="009D3BD4"/>
    <w:rsid w:val="009D3FDB"/>
    <w:rsid w:val="009D4810"/>
    <w:rsid w:val="009D48D4"/>
    <w:rsid w:val="009D646F"/>
    <w:rsid w:val="009D6C18"/>
    <w:rsid w:val="009D6EA2"/>
    <w:rsid w:val="009D78DB"/>
    <w:rsid w:val="009D7BF8"/>
    <w:rsid w:val="009E0755"/>
    <w:rsid w:val="009E0AF3"/>
    <w:rsid w:val="009E1057"/>
    <w:rsid w:val="009E187F"/>
    <w:rsid w:val="009E1CE2"/>
    <w:rsid w:val="009E1E4C"/>
    <w:rsid w:val="009E2183"/>
    <w:rsid w:val="009E23AB"/>
    <w:rsid w:val="009E3151"/>
    <w:rsid w:val="009E3590"/>
    <w:rsid w:val="009E390A"/>
    <w:rsid w:val="009E3B82"/>
    <w:rsid w:val="009E4757"/>
    <w:rsid w:val="009E59F3"/>
    <w:rsid w:val="009E6AA3"/>
    <w:rsid w:val="009E7866"/>
    <w:rsid w:val="009F0525"/>
    <w:rsid w:val="009F0D2E"/>
    <w:rsid w:val="009F0E79"/>
    <w:rsid w:val="009F17A9"/>
    <w:rsid w:val="009F17C2"/>
    <w:rsid w:val="009F197B"/>
    <w:rsid w:val="009F1AB2"/>
    <w:rsid w:val="009F1B0E"/>
    <w:rsid w:val="009F29B2"/>
    <w:rsid w:val="009F2AF8"/>
    <w:rsid w:val="009F31FA"/>
    <w:rsid w:val="009F35E3"/>
    <w:rsid w:val="009F35F9"/>
    <w:rsid w:val="009F389F"/>
    <w:rsid w:val="009F48E5"/>
    <w:rsid w:val="009F4A50"/>
    <w:rsid w:val="009F5180"/>
    <w:rsid w:val="009F539A"/>
    <w:rsid w:val="009F5C0B"/>
    <w:rsid w:val="009F6189"/>
    <w:rsid w:val="009F6275"/>
    <w:rsid w:val="009F6DB7"/>
    <w:rsid w:val="009F76F4"/>
    <w:rsid w:val="009F7CF5"/>
    <w:rsid w:val="00A00190"/>
    <w:rsid w:val="00A006F4"/>
    <w:rsid w:val="00A0145E"/>
    <w:rsid w:val="00A01C07"/>
    <w:rsid w:val="00A02045"/>
    <w:rsid w:val="00A020E6"/>
    <w:rsid w:val="00A023FF"/>
    <w:rsid w:val="00A02661"/>
    <w:rsid w:val="00A02A92"/>
    <w:rsid w:val="00A033D4"/>
    <w:rsid w:val="00A0399B"/>
    <w:rsid w:val="00A03D1D"/>
    <w:rsid w:val="00A03FC9"/>
    <w:rsid w:val="00A0429B"/>
    <w:rsid w:val="00A054C0"/>
    <w:rsid w:val="00A05806"/>
    <w:rsid w:val="00A05C3D"/>
    <w:rsid w:val="00A05C97"/>
    <w:rsid w:val="00A06202"/>
    <w:rsid w:val="00A067FA"/>
    <w:rsid w:val="00A06D62"/>
    <w:rsid w:val="00A07209"/>
    <w:rsid w:val="00A07690"/>
    <w:rsid w:val="00A07EAF"/>
    <w:rsid w:val="00A1042F"/>
    <w:rsid w:val="00A106AC"/>
    <w:rsid w:val="00A10B29"/>
    <w:rsid w:val="00A10F87"/>
    <w:rsid w:val="00A11374"/>
    <w:rsid w:val="00A114C4"/>
    <w:rsid w:val="00A11C17"/>
    <w:rsid w:val="00A11D6B"/>
    <w:rsid w:val="00A11ED0"/>
    <w:rsid w:val="00A11F4B"/>
    <w:rsid w:val="00A11FAC"/>
    <w:rsid w:val="00A122E8"/>
    <w:rsid w:val="00A123F8"/>
    <w:rsid w:val="00A12BA0"/>
    <w:rsid w:val="00A12D6E"/>
    <w:rsid w:val="00A14485"/>
    <w:rsid w:val="00A14774"/>
    <w:rsid w:val="00A159F3"/>
    <w:rsid w:val="00A16407"/>
    <w:rsid w:val="00A176BD"/>
    <w:rsid w:val="00A17760"/>
    <w:rsid w:val="00A17FBC"/>
    <w:rsid w:val="00A2049B"/>
    <w:rsid w:val="00A21988"/>
    <w:rsid w:val="00A21CE8"/>
    <w:rsid w:val="00A2206D"/>
    <w:rsid w:val="00A22C60"/>
    <w:rsid w:val="00A22E20"/>
    <w:rsid w:val="00A235EE"/>
    <w:rsid w:val="00A2360D"/>
    <w:rsid w:val="00A23E37"/>
    <w:rsid w:val="00A24B34"/>
    <w:rsid w:val="00A24F64"/>
    <w:rsid w:val="00A25461"/>
    <w:rsid w:val="00A25626"/>
    <w:rsid w:val="00A26FE0"/>
    <w:rsid w:val="00A27346"/>
    <w:rsid w:val="00A30136"/>
    <w:rsid w:val="00A30E26"/>
    <w:rsid w:val="00A30FA4"/>
    <w:rsid w:val="00A31426"/>
    <w:rsid w:val="00A31534"/>
    <w:rsid w:val="00A32671"/>
    <w:rsid w:val="00A338CB"/>
    <w:rsid w:val="00A344EB"/>
    <w:rsid w:val="00A34717"/>
    <w:rsid w:val="00A34E44"/>
    <w:rsid w:val="00A34FA2"/>
    <w:rsid w:val="00A35846"/>
    <w:rsid w:val="00A36036"/>
    <w:rsid w:val="00A36AC5"/>
    <w:rsid w:val="00A376AE"/>
    <w:rsid w:val="00A37B56"/>
    <w:rsid w:val="00A37BFE"/>
    <w:rsid w:val="00A407AC"/>
    <w:rsid w:val="00A40876"/>
    <w:rsid w:val="00A40C69"/>
    <w:rsid w:val="00A412FD"/>
    <w:rsid w:val="00A4159E"/>
    <w:rsid w:val="00A41C2E"/>
    <w:rsid w:val="00A41CBD"/>
    <w:rsid w:val="00A420C9"/>
    <w:rsid w:val="00A42343"/>
    <w:rsid w:val="00A4244A"/>
    <w:rsid w:val="00A426B8"/>
    <w:rsid w:val="00A42E09"/>
    <w:rsid w:val="00A433F1"/>
    <w:rsid w:val="00A43954"/>
    <w:rsid w:val="00A439D9"/>
    <w:rsid w:val="00A44062"/>
    <w:rsid w:val="00A441FE"/>
    <w:rsid w:val="00A44378"/>
    <w:rsid w:val="00A44A96"/>
    <w:rsid w:val="00A44E74"/>
    <w:rsid w:val="00A45A9C"/>
    <w:rsid w:val="00A470DA"/>
    <w:rsid w:val="00A50021"/>
    <w:rsid w:val="00A501EE"/>
    <w:rsid w:val="00A50689"/>
    <w:rsid w:val="00A5081D"/>
    <w:rsid w:val="00A50DFC"/>
    <w:rsid w:val="00A50F3B"/>
    <w:rsid w:val="00A513D5"/>
    <w:rsid w:val="00A517D2"/>
    <w:rsid w:val="00A51FAE"/>
    <w:rsid w:val="00A529AB"/>
    <w:rsid w:val="00A53826"/>
    <w:rsid w:val="00A53888"/>
    <w:rsid w:val="00A542D3"/>
    <w:rsid w:val="00A54645"/>
    <w:rsid w:val="00A54937"/>
    <w:rsid w:val="00A54B53"/>
    <w:rsid w:val="00A54D00"/>
    <w:rsid w:val="00A57245"/>
    <w:rsid w:val="00A57389"/>
    <w:rsid w:val="00A57798"/>
    <w:rsid w:val="00A578DC"/>
    <w:rsid w:val="00A600A2"/>
    <w:rsid w:val="00A6015F"/>
    <w:rsid w:val="00A6085A"/>
    <w:rsid w:val="00A60E3E"/>
    <w:rsid w:val="00A61071"/>
    <w:rsid w:val="00A617E2"/>
    <w:rsid w:val="00A6229F"/>
    <w:rsid w:val="00A634A9"/>
    <w:rsid w:val="00A64638"/>
    <w:rsid w:val="00A6547B"/>
    <w:rsid w:val="00A65FB8"/>
    <w:rsid w:val="00A664B6"/>
    <w:rsid w:val="00A66B8B"/>
    <w:rsid w:val="00A66E61"/>
    <w:rsid w:val="00A67ADD"/>
    <w:rsid w:val="00A67B0A"/>
    <w:rsid w:val="00A707E7"/>
    <w:rsid w:val="00A7106A"/>
    <w:rsid w:val="00A72249"/>
    <w:rsid w:val="00A73B45"/>
    <w:rsid w:val="00A7442B"/>
    <w:rsid w:val="00A756A5"/>
    <w:rsid w:val="00A75834"/>
    <w:rsid w:val="00A75D43"/>
    <w:rsid w:val="00A761B5"/>
    <w:rsid w:val="00A76299"/>
    <w:rsid w:val="00A7655B"/>
    <w:rsid w:val="00A765A6"/>
    <w:rsid w:val="00A76F6A"/>
    <w:rsid w:val="00A7707B"/>
    <w:rsid w:val="00A77DE0"/>
    <w:rsid w:val="00A80785"/>
    <w:rsid w:val="00A80CFE"/>
    <w:rsid w:val="00A80D2E"/>
    <w:rsid w:val="00A80EAD"/>
    <w:rsid w:val="00A80F6D"/>
    <w:rsid w:val="00A81203"/>
    <w:rsid w:val="00A812D7"/>
    <w:rsid w:val="00A817C3"/>
    <w:rsid w:val="00A81ECC"/>
    <w:rsid w:val="00A82BE3"/>
    <w:rsid w:val="00A83237"/>
    <w:rsid w:val="00A83294"/>
    <w:rsid w:val="00A83342"/>
    <w:rsid w:val="00A835F1"/>
    <w:rsid w:val="00A83647"/>
    <w:rsid w:val="00A8399D"/>
    <w:rsid w:val="00A84B68"/>
    <w:rsid w:val="00A8505B"/>
    <w:rsid w:val="00A8509F"/>
    <w:rsid w:val="00A85AF6"/>
    <w:rsid w:val="00A86B81"/>
    <w:rsid w:val="00A86F51"/>
    <w:rsid w:val="00A909EC"/>
    <w:rsid w:val="00A90D36"/>
    <w:rsid w:val="00A91199"/>
    <w:rsid w:val="00A9128B"/>
    <w:rsid w:val="00A9269B"/>
    <w:rsid w:val="00A926A7"/>
    <w:rsid w:val="00A93193"/>
    <w:rsid w:val="00A93815"/>
    <w:rsid w:val="00A93D07"/>
    <w:rsid w:val="00A94A21"/>
    <w:rsid w:val="00A95F1A"/>
    <w:rsid w:val="00A968D0"/>
    <w:rsid w:val="00AA00EB"/>
    <w:rsid w:val="00AA01A4"/>
    <w:rsid w:val="00AA0F43"/>
    <w:rsid w:val="00AA231A"/>
    <w:rsid w:val="00AA23AD"/>
    <w:rsid w:val="00AA3A74"/>
    <w:rsid w:val="00AA3FC6"/>
    <w:rsid w:val="00AA4B75"/>
    <w:rsid w:val="00AA5586"/>
    <w:rsid w:val="00AA5B81"/>
    <w:rsid w:val="00AA5B8C"/>
    <w:rsid w:val="00AA5E03"/>
    <w:rsid w:val="00AA6E26"/>
    <w:rsid w:val="00AA7272"/>
    <w:rsid w:val="00AA7A1B"/>
    <w:rsid w:val="00AA7E3E"/>
    <w:rsid w:val="00AA7ED9"/>
    <w:rsid w:val="00AB003B"/>
    <w:rsid w:val="00AB023D"/>
    <w:rsid w:val="00AB0D44"/>
    <w:rsid w:val="00AB0F09"/>
    <w:rsid w:val="00AB0F9E"/>
    <w:rsid w:val="00AB1030"/>
    <w:rsid w:val="00AB12FF"/>
    <w:rsid w:val="00AB22FB"/>
    <w:rsid w:val="00AB2C0A"/>
    <w:rsid w:val="00AB309B"/>
    <w:rsid w:val="00AB31EA"/>
    <w:rsid w:val="00AB4572"/>
    <w:rsid w:val="00AB45F2"/>
    <w:rsid w:val="00AB4E89"/>
    <w:rsid w:val="00AB57D0"/>
    <w:rsid w:val="00AB5C6B"/>
    <w:rsid w:val="00AB5D8C"/>
    <w:rsid w:val="00AB616B"/>
    <w:rsid w:val="00AB6992"/>
    <w:rsid w:val="00AB6A81"/>
    <w:rsid w:val="00AB6B77"/>
    <w:rsid w:val="00AB6B96"/>
    <w:rsid w:val="00AC0108"/>
    <w:rsid w:val="00AC0B70"/>
    <w:rsid w:val="00AC10DB"/>
    <w:rsid w:val="00AC12EE"/>
    <w:rsid w:val="00AC1D83"/>
    <w:rsid w:val="00AC456C"/>
    <w:rsid w:val="00AC4BF3"/>
    <w:rsid w:val="00AC5C2A"/>
    <w:rsid w:val="00AC6587"/>
    <w:rsid w:val="00AC679E"/>
    <w:rsid w:val="00AC7212"/>
    <w:rsid w:val="00AC73A2"/>
    <w:rsid w:val="00AC74D1"/>
    <w:rsid w:val="00AC7630"/>
    <w:rsid w:val="00AC79E6"/>
    <w:rsid w:val="00AD0134"/>
    <w:rsid w:val="00AD0DA2"/>
    <w:rsid w:val="00AD136F"/>
    <w:rsid w:val="00AD180F"/>
    <w:rsid w:val="00AD2810"/>
    <w:rsid w:val="00AD2AC8"/>
    <w:rsid w:val="00AD3002"/>
    <w:rsid w:val="00AD32D2"/>
    <w:rsid w:val="00AD449D"/>
    <w:rsid w:val="00AD6D44"/>
    <w:rsid w:val="00AD750C"/>
    <w:rsid w:val="00AD7C2D"/>
    <w:rsid w:val="00AD7E45"/>
    <w:rsid w:val="00AE0C14"/>
    <w:rsid w:val="00AE0D9D"/>
    <w:rsid w:val="00AE1139"/>
    <w:rsid w:val="00AE1C0D"/>
    <w:rsid w:val="00AE1DDD"/>
    <w:rsid w:val="00AE21B9"/>
    <w:rsid w:val="00AE228C"/>
    <w:rsid w:val="00AE2A74"/>
    <w:rsid w:val="00AE3097"/>
    <w:rsid w:val="00AE36E9"/>
    <w:rsid w:val="00AE3B94"/>
    <w:rsid w:val="00AE3D15"/>
    <w:rsid w:val="00AE4B0E"/>
    <w:rsid w:val="00AE4E4C"/>
    <w:rsid w:val="00AE5175"/>
    <w:rsid w:val="00AE59CD"/>
    <w:rsid w:val="00AE600C"/>
    <w:rsid w:val="00AE60E4"/>
    <w:rsid w:val="00AE615D"/>
    <w:rsid w:val="00AE6D04"/>
    <w:rsid w:val="00AE7011"/>
    <w:rsid w:val="00AE747E"/>
    <w:rsid w:val="00AF0393"/>
    <w:rsid w:val="00AF0E1B"/>
    <w:rsid w:val="00AF11E0"/>
    <w:rsid w:val="00AF203C"/>
    <w:rsid w:val="00AF23E1"/>
    <w:rsid w:val="00AF2C61"/>
    <w:rsid w:val="00AF2CBF"/>
    <w:rsid w:val="00AF34FE"/>
    <w:rsid w:val="00AF3746"/>
    <w:rsid w:val="00AF38D3"/>
    <w:rsid w:val="00AF3B76"/>
    <w:rsid w:val="00AF4667"/>
    <w:rsid w:val="00AF478F"/>
    <w:rsid w:val="00AF505A"/>
    <w:rsid w:val="00AF55A2"/>
    <w:rsid w:val="00AF567E"/>
    <w:rsid w:val="00AF6087"/>
    <w:rsid w:val="00AF681D"/>
    <w:rsid w:val="00AF7279"/>
    <w:rsid w:val="00AF7DF1"/>
    <w:rsid w:val="00B004F9"/>
    <w:rsid w:val="00B0063A"/>
    <w:rsid w:val="00B00CA8"/>
    <w:rsid w:val="00B01285"/>
    <w:rsid w:val="00B017DE"/>
    <w:rsid w:val="00B01801"/>
    <w:rsid w:val="00B01E13"/>
    <w:rsid w:val="00B02E32"/>
    <w:rsid w:val="00B02EF3"/>
    <w:rsid w:val="00B031B5"/>
    <w:rsid w:val="00B03DFB"/>
    <w:rsid w:val="00B03F7C"/>
    <w:rsid w:val="00B03FBF"/>
    <w:rsid w:val="00B0485F"/>
    <w:rsid w:val="00B04884"/>
    <w:rsid w:val="00B0538B"/>
    <w:rsid w:val="00B05DC6"/>
    <w:rsid w:val="00B063C4"/>
    <w:rsid w:val="00B0782E"/>
    <w:rsid w:val="00B07F8E"/>
    <w:rsid w:val="00B07FD3"/>
    <w:rsid w:val="00B1021E"/>
    <w:rsid w:val="00B10964"/>
    <w:rsid w:val="00B110FA"/>
    <w:rsid w:val="00B11CEA"/>
    <w:rsid w:val="00B12143"/>
    <w:rsid w:val="00B1223B"/>
    <w:rsid w:val="00B12DD9"/>
    <w:rsid w:val="00B1427C"/>
    <w:rsid w:val="00B1464F"/>
    <w:rsid w:val="00B14E86"/>
    <w:rsid w:val="00B14EF0"/>
    <w:rsid w:val="00B16B01"/>
    <w:rsid w:val="00B16B0A"/>
    <w:rsid w:val="00B1766E"/>
    <w:rsid w:val="00B17792"/>
    <w:rsid w:val="00B202D8"/>
    <w:rsid w:val="00B209D2"/>
    <w:rsid w:val="00B21372"/>
    <w:rsid w:val="00B214BD"/>
    <w:rsid w:val="00B21D00"/>
    <w:rsid w:val="00B2286F"/>
    <w:rsid w:val="00B2462F"/>
    <w:rsid w:val="00B250B3"/>
    <w:rsid w:val="00B25AAD"/>
    <w:rsid w:val="00B25E24"/>
    <w:rsid w:val="00B25F84"/>
    <w:rsid w:val="00B2607C"/>
    <w:rsid w:val="00B262A9"/>
    <w:rsid w:val="00B26AC8"/>
    <w:rsid w:val="00B26CC8"/>
    <w:rsid w:val="00B270A0"/>
    <w:rsid w:val="00B27A8D"/>
    <w:rsid w:val="00B27D2A"/>
    <w:rsid w:val="00B302E1"/>
    <w:rsid w:val="00B30590"/>
    <w:rsid w:val="00B306E6"/>
    <w:rsid w:val="00B31254"/>
    <w:rsid w:val="00B31308"/>
    <w:rsid w:val="00B31E4C"/>
    <w:rsid w:val="00B3203B"/>
    <w:rsid w:val="00B321CF"/>
    <w:rsid w:val="00B32B2D"/>
    <w:rsid w:val="00B32D16"/>
    <w:rsid w:val="00B33B91"/>
    <w:rsid w:val="00B33FAA"/>
    <w:rsid w:val="00B34494"/>
    <w:rsid w:val="00B34673"/>
    <w:rsid w:val="00B34A95"/>
    <w:rsid w:val="00B34BEB"/>
    <w:rsid w:val="00B34C43"/>
    <w:rsid w:val="00B352F8"/>
    <w:rsid w:val="00B3536C"/>
    <w:rsid w:val="00B3560A"/>
    <w:rsid w:val="00B363AC"/>
    <w:rsid w:val="00B3723B"/>
    <w:rsid w:val="00B37476"/>
    <w:rsid w:val="00B3762C"/>
    <w:rsid w:val="00B37DDD"/>
    <w:rsid w:val="00B4056C"/>
    <w:rsid w:val="00B406D7"/>
    <w:rsid w:val="00B411DC"/>
    <w:rsid w:val="00B416A9"/>
    <w:rsid w:val="00B420C3"/>
    <w:rsid w:val="00B42802"/>
    <w:rsid w:val="00B42B37"/>
    <w:rsid w:val="00B42EBD"/>
    <w:rsid w:val="00B43738"/>
    <w:rsid w:val="00B43B9C"/>
    <w:rsid w:val="00B4479E"/>
    <w:rsid w:val="00B449C7"/>
    <w:rsid w:val="00B44D50"/>
    <w:rsid w:val="00B44F20"/>
    <w:rsid w:val="00B450D0"/>
    <w:rsid w:val="00B45CCD"/>
    <w:rsid w:val="00B4658F"/>
    <w:rsid w:val="00B47F31"/>
    <w:rsid w:val="00B502DB"/>
    <w:rsid w:val="00B509C9"/>
    <w:rsid w:val="00B50A93"/>
    <w:rsid w:val="00B512AD"/>
    <w:rsid w:val="00B514EB"/>
    <w:rsid w:val="00B52C00"/>
    <w:rsid w:val="00B53282"/>
    <w:rsid w:val="00B5331B"/>
    <w:rsid w:val="00B53E63"/>
    <w:rsid w:val="00B54833"/>
    <w:rsid w:val="00B54AC4"/>
    <w:rsid w:val="00B54E08"/>
    <w:rsid w:val="00B54FB1"/>
    <w:rsid w:val="00B55387"/>
    <w:rsid w:val="00B55416"/>
    <w:rsid w:val="00B55A10"/>
    <w:rsid w:val="00B5607C"/>
    <w:rsid w:val="00B560C8"/>
    <w:rsid w:val="00B56186"/>
    <w:rsid w:val="00B569D2"/>
    <w:rsid w:val="00B569F1"/>
    <w:rsid w:val="00B56BF0"/>
    <w:rsid w:val="00B57450"/>
    <w:rsid w:val="00B578CB"/>
    <w:rsid w:val="00B57E9C"/>
    <w:rsid w:val="00B6040D"/>
    <w:rsid w:val="00B60440"/>
    <w:rsid w:val="00B615B0"/>
    <w:rsid w:val="00B63129"/>
    <w:rsid w:val="00B63595"/>
    <w:rsid w:val="00B63FF7"/>
    <w:rsid w:val="00B641FE"/>
    <w:rsid w:val="00B64213"/>
    <w:rsid w:val="00B642E2"/>
    <w:rsid w:val="00B6453A"/>
    <w:rsid w:val="00B647CA"/>
    <w:rsid w:val="00B6575B"/>
    <w:rsid w:val="00B66A34"/>
    <w:rsid w:val="00B66CEB"/>
    <w:rsid w:val="00B675B3"/>
    <w:rsid w:val="00B67E21"/>
    <w:rsid w:val="00B67EC3"/>
    <w:rsid w:val="00B700C7"/>
    <w:rsid w:val="00B70169"/>
    <w:rsid w:val="00B701C7"/>
    <w:rsid w:val="00B72301"/>
    <w:rsid w:val="00B72D0C"/>
    <w:rsid w:val="00B72D78"/>
    <w:rsid w:val="00B743EA"/>
    <w:rsid w:val="00B7524A"/>
    <w:rsid w:val="00B758A6"/>
    <w:rsid w:val="00B75901"/>
    <w:rsid w:val="00B75CB1"/>
    <w:rsid w:val="00B76050"/>
    <w:rsid w:val="00B76BCA"/>
    <w:rsid w:val="00B76D39"/>
    <w:rsid w:val="00B76F30"/>
    <w:rsid w:val="00B76F63"/>
    <w:rsid w:val="00B770C4"/>
    <w:rsid w:val="00B77853"/>
    <w:rsid w:val="00B77ACD"/>
    <w:rsid w:val="00B77CE5"/>
    <w:rsid w:val="00B77D64"/>
    <w:rsid w:val="00B8007A"/>
    <w:rsid w:val="00B801FC"/>
    <w:rsid w:val="00B80D19"/>
    <w:rsid w:val="00B80F8C"/>
    <w:rsid w:val="00B81CDE"/>
    <w:rsid w:val="00B82341"/>
    <w:rsid w:val="00B82C8B"/>
    <w:rsid w:val="00B832F5"/>
    <w:rsid w:val="00B833D7"/>
    <w:rsid w:val="00B8392D"/>
    <w:rsid w:val="00B83955"/>
    <w:rsid w:val="00B841B0"/>
    <w:rsid w:val="00B8488F"/>
    <w:rsid w:val="00B848FC"/>
    <w:rsid w:val="00B8572A"/>
    <w:rsid w:val="00B85A81"/>
    <w:rsid w:val="00B86248"/>
    <w:rsid w:val="00B870CF"/>
    <w:rsid w:val="00B8743F"/>
    <w:rsid w:val="00B87483"/>
    <w:rsid w:val="00B8767E"/>
    <w:rsid w:val="00B87EA1"/>
    <w:rsid w:val="00B916C7"/>
    <w:rsid w:val="00B91813"/>
    <w:rsid w:val="00B9199A"/>
    <w:rsid w:val="00B91F4B"/>
    <w:rsid w:val="00B92154"/>
    <w:rsid w:val="00B9283C"/>
    <w:rsid w:val="00B952AB"/>
    <w:rsid w:val="00B95395"/>
    <w:rsid w:val="00B96E2D"/>
    <w:rsid w:val="00B9749C"/>
    <w:rsid w:val="00B97F6E"/>
    <w:rsid w:val="00BA08A9"/>
    <w:rsid w:val="00BA1158"/>
    <w:rsid w:val="00BA1DBE"/>
    <w:rsid w:val="00BA1F13"/>
    <w:rsid w:val="00BA202E"/>
    <w:rsid w:val="00BA2208"/>
    <w:rsid w:val="00BA2770"/>
    <w:rsid w:val="00BA28A8"/>
    <w:rsid w:val="00BA2A14"/>
    <w:rsid w:val="00BA2BD2"/>
    <w:rsid w:val="00BA2CC9"/>
    <w:rsid w:val="00BA323C"/>
    <w:rsid w:val="00BA43EA"/>
    <w:rsid w:val="00BA645E"/>
    <w:rsid w:val="00BA6FF8"/>
    <w:rsid w:val="00BA73A0"/>
    <w:rsid w:val="00BA73DD"/>
    <w:rsid w:val="00BA7788"/>
    <w:rsid w:val="00BB0335"/>
    <w:rsid w:val="00BB09AE"/>
    <w:rsid w:val="00BB134A"/>
    <w:rsid w:val="00BB177E"/>
    <w:rsid w:val="00BB1D78"/>
    <w:rsid w:val="00BB258C"/>
    <w:rsid w:val="00BB2B9B"/>
    <w:rsid w:val="00BB2E48"/>
    <w:rsid w:val="00BB3521"/>
    <w:rsid w:val="00BB36E9"/>
    <w:rsid w:val="00BB39D3"/>
    <w:rsid w:val="00BB3E60"/>
    <w:rsid w:val="00BB40A1"/>
    <w:rsid w:val="00BB4762"/>
    <w:rsid w:val="00BB4898"/>
    <w:rsid w:val="00BB4CC2"/>
    <w:rsid w:val="00BB4E66"/>
    <w:rsid w:val="00BB6058"/>
    <w:rsid w:val="00BB6313"/>
    <w:rsid w:val="00BB64A2"/>
    <w:rsid w:val="00BB651B"/>
    <w:rsid w:val="00BB65DE"/>
    <w:rsid w:val="00BB66C3"/>
    <w:rsid w:val="00BB6A08"/>
    <w:rsid w:val="00BB792B"/>
    <w:rsid w:val="00BB7A3A"/>
    <w:rsid w:val="00BC017F"/>
    <w:rsid w:val="00BC0495"/>
    <w:rsid w:val="00BC0EC7"/>
    <w:rsid w:val="00BC1510"/>
    <w:rsid w:val="00BC1B6A"/>
    <w:rsid w:val="00BC1B98"/>
    <w:rsid w:val="00BC1CB0"/>
    <w:rsid w:val="00BC243D"/>
    <w:rsid w:val="00BC2B30"/>
    <w:rsid w:val="00BC2CF6"/>
    <w:rsid w:val="00BC3106"/>
    <w:rsid w:val="00BC3D21"/>
    <w:rsid w:val="00BC4530"/>
    <w:rsid w:val="00BC46B2"/>
    <w:rsid w:val="00BC4896"/>
    <w:rsid w:val="00BC501F"/>
    <w:rsid w:val="00BC5657"/>
    <w:rsid w:val="00BC6440"/>
    <w:rsid w:val="00BC658E"/>
    <w:rsid w:val="00BC683E"/>
    <w:rsid w:val="00BC6A40"/>
    <w:rsid w:val="00BC6A65"/>
    <w:rsid w:val="00BC6D91"/>
    <w:rsid w:val="00BC705B"/>
    <w:rsid w:val="00BC75C1"/>
    <w:rsid w:val="00BD0309"/>
    <w:rsid w:val="00BD0519"/>
    <w:rsid w:val="00BD0579"/>
    <w:rsid w:val="00BD17A4"/>
    <w:rsid w:val="00BD17B4"/>
    <w:rsid w:val="00BD1911"/>
    <w:rsid w:val="00BD1923"/>
    <w:rsid w:val="00BD2B48"/>
    <w:rsid w:val="00BD2C37"/>
    <w:rsid w:val="00BD35F1"/>
    <w:rsid w:val="00BD3A87"/>
    <w:rsid w:val="00BD3D17"/>
    <w:rsid w:val="00BD430D"/>
    <w:rsid w:val="00BD4369"/>
    <w:rsid w:val="00BD4896"/>
    <w:rsid w:val="00BD4D3B"/>
    <w:rsid w:val="00BD50E6"/>
    <w:rsid w:val="00BD527D"/>
    <w:rsid w:val="00BD535E"/>
    <w:rsid w:val="00BD5398"/>
    <w:rsid w:val="00BD568E"/>
    <w:rsid w:val="00BD60FD"/>
    <w:rsid w:val="00BD6466"/>
    <w:rsid w:val="00BD6A0D"/>
    <w:rsid w:val="00BD7494"/>
    <w:rsid w:val="00BD7CA9"/>
    <w:rsid w:val="00BD7D3D"/>
    <w:rsid w:val="00BE04C3"/>
    <w:rsid w:val="00BE04E3"/>
    <w:rsid w:val="00BE0708"/>
    <w:rsid w:val="00BE0986"/>
    <w:rsid w:val="00BE0D7F"/>
    <w:rsid w:val="00BE1645"/>
    <w:rsid w:val="00BE1A24"/>
    <w:rsid w:val="00BE2390"/>
    <w:rsid w:val="00BE258C"/>
    <w:rsid w:val="00BE27FC"/>
    <w:rsid w:val="00BE3FD0"/>
    <w:rsid w:val="00BE6476"/>
    <w:rsid w:val="00BE6CB7"/>
    <w:rsid w:val="00BE6CDA"/>
    <w:rsid w:val="00BE6EAD"/>
    <w:rsid w:val="00BE71B1"/>
    <w:rsid w:val="00BE734D"/>
    <w:rsid w:val="00BE766A"/>
    <w:rsid w:val="00BF00CA"/>
    <w:rsid w:val="00BF0D3D"/>
    <w:rsid w:val="00BF112F"/>
    <w:rsid w:val="00BF199F"/>
    <w:rsid w:val="00BF2444"/>
    <w:rsid w:val="00BF3548"/>
    <w:rsid w:val="00BF356F"/>
    <w:rsid w:val="00BF3A0B"/>
    <w:rsid w:val="00BF3F1F"/>
    <w:rsid w:val="00BF4159"/>
    <w:rsid w:val="00BF42BA"/>
    <w:rsid w:val="00BF46E0"/>
    <w:rsid w:val="00BF5A5F"/>
    <w:rsid w:val="00BF5E89"/>
    <w:rsid w:val="00BF5E9E"/>
    <w:rsid w:val="00BF617B"/>
    <w:rsid w:val="00BF6464"/>
    <w:rsid w:val="00BF6CC4"/>
    <w:rsid w:val="00BF7202"/>
    <w:rsid w:val="00BF74B5"/>
    <w:rsid w:val="00BF7E26"/>
    <w:rsid w:val="00C008B8"/>
    <w:rsid w:val="00C00E0B"/>
    <w:rsid w:val="00C01617"/>
    <w:rsid w:val="00C0164A"/>
    <w:rsid w:val="00C02379"/>
    <w:rsid w:val="00C023D3"/>
    <w:rsid w:val="00C027F7"/>
    <w:rsid w:val="00C0288D"/>
    <w:rsid w:val="00C036CF"/>
    <w:rsid w:val="00C039DA"/>
    <w:rsid w:val="00C03F12"/>
    <w:rsid w:val="00C047AF"/>
    <w:rsid w:val="00C04A37"/>
    <w:rsid w:val="00C04F28"/>
    <w:rsid w:val="00C05221"/>
    <w:rsid w:val="00C05A8A"/>
    <w:rsid w:val="00C05C15"/>
    <w:rsid w:val="00C06967"/>
    <w:rsid w:val="00C06EB4"/>
    <w:rsid w:val="00C07A99"/>
    <w:rsid w:val="00C1026F"/>
    <w:rsid w:val="00C102A4"/>
    <w:rsid w:val="00C102B4"/>
    <w:rsid w:val="00C10458"/>
    <w:rsid w:val="00C104A6"/>
    <w:rsid w:val="00C106DF"/>
    <w:rsid w:val="00C10B0F"/>
    <w:rsid w:val="00C10E31"/>
    <w:rsid w:val="00C11041"/>
    <w:rsid w:val="00C1110F"/>
    <w:rsid w:val="00C121F6"/>
    <w:rsid w:val="00C13B10"/>
    <w:rsid w:val="00C1421F"/>
    <w:rsid w:val="00C16B92"/>
    <w:rsid w:val="00C17BD2"/>
    <w:rsid w:val="00C17F44"/>
    <w:rsid w:val="00C20131"/>
    <w:rsid w:val="00C21127"/>
    <w:rsid w:val="00C21515"/>
    <w:rsid w:val="00C22393"/>
    <w:rsid w:val="00C22D36"/>
    <w:rsid w:val="00C23007"/>
    <w:rsid w:val="00C231A1"/>
    <w:rsid w:val="00C235D4"/>
    <w:rsid w:val="00C23B91"/>
    <w:rsid w:val="00C23C43"/>
    <w:rsid w:val="00C23C82"/>
    <w:rsid w:val="00C23DDA"/>
    <w:rsid w:val="00C2435C"/>
    <w:rsid w:val="00C24540"/>
    <w:rsid w:val="00C248EF"/>
    <w:rsid w:val="00C24900"/>
    <w:rsid w:val="00C24A3E"/>
    <w:rsid w:val="00C24F7A"/>
    <w:rsid w:val="00C24F84"/>
    <w:rsid w:val="00C25318"/>
    <w:rsid w:val="00C2535F"/>
    <w:rsid w:val="00C25F41"/>
    <w:rsid w:val="00C27137"/>
    <w:rsid w:val="00C27405"/>
    <w:rsid w:val="00C27A62"/>
    <w:rsid w:val="00C27B25"/>
    <w:rsid w:val="00C30011"/>
    <w:rsid w:val="00C30761"/>
    <w:rsid w:val="00C30996"/>
    <w:rsid w:val="00C30EF3"/>
    <w:rsid w:val="00C310A4"/>
    <w:rsid w:val="00C31287"/>
    <w:rsid w:val="00C313CB"/>
    <w:rsid w:val="00C31786"/>
    <w:rsid w:val="00C322C1"/>
    <w:rsid w:val="00C32442"/>
    <w:rsid w:val="00C3244E"/>
    <w:rsid w:val="00C324FE"/>
    <w:rsid w:val="00C32820"/>
    <w:rsid w:val="00C3364B"/>
    <w:rsid w:val="00C339DA"/>
    <w:rsid w:val="00C33DBF"/>
    <w:rsid w:val="00C3402E"/>
    <w:rsid w:val="00C34729"/>
    <w:rsid w:val="00C34A49"/>
    <w:rsid w:val="00C34C0C"/>
    <w:rsid w:val="00C34C9F"/>
    <w:rsid w:val="00C354F8"/>
    <w:rsid w:val="00C35C54"/>
    <w:rsid w:val="00C36D86"/>
    <w:rsid w:val="00C40459"/>
    <w:rsid w:val="00C41F1B"/>
    <w:rsid w:val="00C42034"/>
    <w:rsid w:val="00C421CD"/>
    <w:rsid w:val="00C434A7"/>
    <w:rsid w:val="00C436D7"/>
    <w:rsid w:val="00C43989"/>
    <w:rsid w:val="00C44819"/>
    <w:rsid w:val="00C44CC1"/>
    <w:rsid w:val="00C459B5"/>
    <w:rsid w:val="00C46A91"/>
    <w:rsid w:val="00C46AEC"/>
    <w:rsid w:val="00C46C60"/>
    <w:rsid w:val="00C4798C"/>
    <w:rsid w:val="00C501BE"/>
    <w:rsid w:val="00C5058B"/>
    <w:rsid w:val="00C50856"/>
    <w:rsid w:val="00C50FB9"/>
    <w:rsid w:val="00C517FA"/>
    <w:rsid w:val="00C51AA0"/>
    <w:rsid w:val="00C52085"/>
    <w:rsid w:val="00C5237D"/>
    <w:rsid w:val="00C53066"/>
    <w:rsid w:val="00C53A07"/>
    <w:rsid w:val="00C53F4F"/>
    <w:rsid w:val="00C53FF1"/>
    <w:rsid w:val="00C54D58"/>
    <w:rsid w:val="00C55013"/>
    <w:rsid w:val="00C55292"/>
    <w:rsid w:val="00C55D19"/>
    <w:rsid w:val="00C56320"/>
    <w:rsid w:val="00C56C51"/>
    <w:rsid w:val="00C56D8F"/>
    <w:rsid w:val="00C5711E"/>
    <w:rsid w:val="00C57144"/>
    <w:rsid w:val="00C576E5"/>
    <w:rsid w:val="00C60338"/>
    <w:rsid w:val="00C607C5"/>
    <w:rsid w:val="00C608CB"/>
    <w:rsid w:val="00C614AC"/>
    <w:rsid w:val="00C616CA"/>
    <w:rsid w:val="00C619CC"/>
    <w:rsid w:val="00C62D55"/>
    <w:rsid w:val="00C64240"/>
    <w:rsid w:val="00C64678"/>
    <w:rsid w:val="00C64D47"/>
    <w:rsid w:val="00C64D69"/>
    <w:rsid w:val="00C66278"/>
    <w:rsid w:val="00C66CB7"/>
    <w:rsid w:val="00C67313"/>
    <w:rsid w:val="00C6778F"/>
    <w:rsid w:val="00C6779C"/>
    <w:rsid w:val="00C67D36"/>
    <w:rsid w:val="00C70469"/>
    <w:rsid w:val="00C708B5"/>
    <w:rsid w:val="00C71885"/>
    <w:rsid w:val="00C720AF"/>
    <w:rsid w:val="00C7223B"/>
    <w:rsid w:val="00C725A0"/>
    <w:rsid w:val="00C72ABF"/>
    <w:rsid w:val="00C72DC8"/>
    <w:rsid w:val="00C73920"/>
    <w:rsid w:val="00C73EAC"/>
    <w:rsid w:val="00C7483F"/>
    <w:rsid w:val="00C74D33"/>
    <w:rsid w:val="00C752AD"/>
    <w:rsid w:val="00C75428"/>
    <w:rsid w:val="00C7558F"/>
    <w:rsid w:val="00C758F9"/>
    <w:rsid w:val="00C75A15"/>
    <w:rsid w:val="00C76D86"/>
    <w:rsid w:val="00C76F0C"/>
    <w:rsid w:val="00C76FD5"/>
    <w:rsid w:val="00C7770C"/>
    <w:rsid w:val="00C77751"/>
    <w:rsid w:val="00C777BD"/>
    <w:rsid w:val="00C7786F"/>
    <w:rsid w:val="00C77D93"/>
    <w:rsid w:val="00C77FBC"/>
    <w:rsid w:val="00C81705"/>
    <w:rsid w:val="00C81BD3"/>
    <w:rsid w:val="00C81EBF"/>
    <w:rsid w:val="00C824C9"/>
    <w:rsid w:val="00C8319B"/>
    <w:rsid w:val="00C83458"/>
    <w:rsid w:val="00C8345E"/>
    <w:rsid w:val="00C84315"/>
    <w:rsid w:val="00C84EAA"/>
    <w:rsid w:val="00C8594E"/>
    <w:rsid w:val="00C85B0C"/>
    <w:rsid w:val="00C86BEC"/>
    <w:rsid w:val="00C90DF9"/>
    <w:rsid w:val="00C90EAB"/>
    <w:rsid w:val="00C90FD4"/>
    <w:rsid w:val="00C91348"/>
    <w:rsid w:val="00C91A00"/>
    <w:rsid w:val="00C91BCF"/>
    <w:rsid w:val="00C92275"/>
    <w:rsid w:val="00C92EA4"/>
    <w:rsid w:val="00C946DD"/>
    <w:rsid w:val="00C94F1D"/>
    <w:rsid w:val="00C951C3"/>
    <w:rsid w:val="00C95564"/>
    <w:rsid w:val="00C955EE"/>
    <w:rsid w:val="00C957E6"/>
    <w:rsid w:val="00C958D2"/>
    <w:rsid w:val="00C95E04"/>
    <w:rsid w:val="00C95EF6"/>
    <w:rsid w:val="00C96147"/>
    <w:rsid w:val="00C9685F"/>
    <w:rsid w:val="00C9687F"/>
    <w:rsid w:val="00C968D5"/>
    <w:rsid w:val="00C96B18"/>
    <w:rsid w:val="00C97F3F"/>
    <w:rsid w:val="00C97FEF"/>
    <w:rsid w:val="00CA0754"/>
    <w:rsid w:val="00CA0F77"/>
    <w:rsid w:val="00CA2245"/>
    <w:rsid w:val="00CA2D70"/>
    <w:rsid w:val="00CA330A"/>
    <w:rsid w:val="00CA3CC5"/>
    <w:rsid w:val="00CA4072"/>
    <w:rsid w:val="00CA41EA"/>
    <w:rsid w:val="00CA462E"/>
    <w:rsid w:val="00CA49AC"/>
    <w:rsid w:val="00CA564F"/>
    <w:rsid w:val="00CA6111"/>
    <w:rsid w:val="00CA63D1"/>
    <w:rsid w:val="00CA645F"/>
    <w:rsid w:val="00CA6711"/>
    <w:rsid w:val="00CA6A02"/>
    <w:rsid w:val="00CA7ACA"/>
    <w:rsid w:val="00CA7B22"/>
    <w:rsid w:val="00CB0395"/>
    <w:rsid w:val="00CB0ADF"/>
    <w:rsid w:val="00CB160D"/>
    <w:rsid w:val="00CB16BF"/>
    <w:rsid w:val="00CB180D"/>
    <w:rsid w:val="00CB1CD6"/>
    <w:rsid w:val="00CB2CCA"/>
    <w:rsid w:val="00CB3546"/>
    <w:rsid w:val="00CB3AC0"/>
    <w:rsid w:val="00CB3F9E"/>
    <w:rsid w:val="00CB4452"/>
    <w:rsid w:val="00CB44B5"/>
    <w:rsid w:val="00CB4642"/>
    <w:rsid w:val="00CB4C93"/>
    <w:rsid w:val="00CB4FA8"/>
    <w:rsid w:val="00CB504F"/>
    <w:rsid w:val="00CB5EA9"/>
    <w:rsid w:val="00CB6135"/>
    <w:rsid w:val="00CB6850"/>
    <w:rsid w:val="00CB6E10"/>
    <w:rsid w:val="00CC141B"/>
    <w:rsid w:val="00CC1B8A"/>
    <w:rsid w:val="00CC1CEF"/>
    <w:rsid w:val="00CC203F"/>
    <w:rsid w:val="00CC2116"/>
    <w:rsid w:val="00CC24FA"/>
    <w:rsid w:val="00CC2FF1"/>
    <w:rsid w:val="00CC327A"/>
    <w:rsid w:val="00CC3893"/>
    <w:rsid w:val="00CC38C8"/>
    <w:rsid w:val="00CC47BE"/>
    <w:rsid w:val="00CC480B"/>
    <w:rsid w:val="00CC4929"/>
    <w:rsid w:val="00CC6313"/>
    <w:rsid w:val="00CC6A09"/>
    <w:rsid w:val="00CC6FBA"/>
    <w:rsid w:val="00CC7605"/>
    <w:rsid w:val="00CC7C71"/>
    <w:rsid w:val="00CD0076"/>
    <w:rsid w:val="00CD0258"/>
    <w:rsid w:val="00CD0C8D"/>
    <w:rsid w:val="00CD159E"/>
    <w:rsid w:val="00CD2541"/>
    <w:rsid w:val="00CD2D0A"/>
    <w:rsid w:val="00CD2E6B"/>
    <w:rsid w:val="00CD35F4"/>
    <w:rsid w:val="00CD3DF9"/>
    <w:rsid w:val="00CD3E37"/>
    <w:rsid w:val="00CD4BA8"/>
    <w:rsid w:val="00CD4BEA"/>
    <w:rsid w:val="00CD4E03"/>
    <w:rsid w:val="00CD58FA"/>
    <w:rsid w:val="00CD5E2C"/>
    <w:rsid w:val="00CD5FCB"/>
    <w:rsid w:val="00CD6023"/>
    <w:rsid w:val="00CD69D0"/>
    <w:rsid w:val="00CD6A67"/>
    <w:rsid w:val="00CD7354"/>
    <w:rsid w:val="00CE02AB"/>
    <w:rsid w:val="00CE0B3D"/>
    <w:rsid w:val="00CE1130"/>
    <w:rsid w:val="00CE18D4"/>
    <w:rsid w:val="00CE2A79"/>
    <w:rsid w:val="00CE2C4F"/>
    <w:rsid w:val="00CE2C72"/>
    <w:rsid w:val="00CE2D03"/>
    <w:rsid w:val="00CE2DF9"/>
    <w:rsid w:val="00CE3469"/>
    <w:rsid w:val="00CE3594"/>
    <w:rsid w:val="00CE3DF9"/>
    <w:rsid w:val="00CE3EB7"/>
    <w:rsid w:val="00CE3FDF"/>
    <w:rsid w:val="00CE4DA7"/>
    <w:rsid w:val="00CE5675"/>
    <w:rsid w:val="00CE56D8"/>
    <w:rsid w:val="00CE580F"/>
    <w:rsid w:val="00CE5DB0"/>
    <w:rsid w:val="00CE6168"/>
    <w:rsid w:val="00CE6440"/>
    <w:rsid w:val="00CE799D"/>
    <w:rsid w:val="00CE79DB"/>
    <w:rsid w:val="00CE7E22"/>
    <w:rsid w:val="00CF034E"/>
    <w:rsid w:val="00CF091A"/>
    <w:rsid w:val="00CF15FB"/>
    <w:rsid w:val="00CF19FD"/>
    <w:rsid w:val="00CF1CC4"/>
    <w:rsid w:val="00CF1FF2"/>
    <w:rsid w:val="00CF20F6"/>
    <w:rsid w:val="00CF2A06"/>
    <w:rsid w:val="00CF2B04"/>
    <w:rsid w:val="00CF3BEF"/>
    <w:rsid w:val="00CF3D34"/>
    <w:rsid w:val="00CF4EB6"/>
    <w:rsid w:val="00CF5064"/>
    <w:rsid w:val="00CF52BE"/>
    <w:rsid w:val="00CF5610"/>
    <w:rsid w:val="00CF6879"/>
    <w:rsid w:val="00CF6B21"/>
    <w:rsid w:val="00CF6B90"/>
    <w:rsid w:val="00CF6BF9"/>
    <w:rsid w:val="00CF758A"/>
    <w:rsid w:val="00CF75EE"/>
    <w:rsid w:val="00CF77CE"/>
    <w:rsid w:val="00CF79F8"/>
    <w:rsid w:val="00D00162"/>
    <w:rsid w:val="00D0044F"/>
    <w:rsid w:val="00D008CA"/>
    <w:rsid w:val="00D009E0"/>
    <w:rsid w:val="00D00B07"/>
    <w:rsid w:val="00D013A9"/>
    <w:rsid w:val="00D01719"/>
    <w:rsid w:val="00D01E3C"/>
    <w:rsid w:val="00D01E6C"/>
    <w:rsid w:val="00D027F7"/>
    <w:rsid w:val="00D02A21"/>
    <w:rsid w:val="00D04338"/>
    <w:rsid w:val="00D04BAA"/>
    <w:rsid w:val="00D051E3"/>
    <w:rsid w:val="00D05228"/>
    <w:rsid w:val="00D0610F"/>
    <w:rsid w:val="00D06F39"/>
    <w:rsid w:val="00D06F76"/>
    <w:rsid w:val="00D07E4F"/>
    <w:rsid w:val="00D10923"/>
    <w:rsid w:val="00D113D2"/>
    <w:rsid w:val="00D11A26"/>
    <w:rsid w:val="00D11E94"/>
    <w:rsid w:val="00D12445"/>
    <w:rsid w:val="00D128ED"/>
    <w:rsid w:val="00D132E3"/>
    <w:rsid w:val="00D142C2"/>
    <w:rsid w:val="00D1439A"/>
    <w:rsid w:val="00D15382"/>
    <w:rsid w:val="00D15388"/>
    <w:rsid w:val="00D15750"/>
    <w:rsid w:val="00D15C26"/>
    <w:rsid w:val="00D15C95"/>
    <w:rsid w:val="00D16176"/>
    <w:rsid w:val="00D16463"/>
    <w:rsid w:val="00D16C87"/>
    <w:rsid w:val="00D17260"/>
    <w:rsid w:val="00D17732"/>
    <w:rsid w:val="00D17908"/>
    <w:rsid w:val="00D17BD1"/>
    <w:rsid w:val="00D2086D"/>
    <w:rsid w:val="00D20DFC"/>
    <w:rsid w:val="00D212DD"/>
    <w:rsid w:val="00D215EC"/>
    <w:rsid w:val="00D21D48"/>
    <w:rsid w:val="00D22A28"/>
    <w:rsid w:val="00D22BB7"/>
    <w:rsid w:val="00D22C7A"/>
    <w:rsid w:val="00D22F5D"/>
    <w:rsid w:val="00D231C6"/>
    <w:rsid w:val="00D231F2"/>
    <w:rsid w:val="00D237F0"/>
    <w:rsid w:val="00D23D04"/>
    <w:rsid w:val="00D23DEF"/>
    <w:rsid w:val="00D25437"/>
    <w:rsid w:val="00D255E3"/>
    <w:rsid w:val="00D25A4A"/>
    <w:rsid w:val="00D26578"/>
    <w:rsid w:val="00D275CC"/>
    <w:rsid w:val="00D279E6"/>
    <w:rsid w:val="00D304A2"/>
    <w:rsid w:val="00D30A39"/>
    <w:rsid w:val="00D30CE9"/>
    <w:rsid w:val="00D315E2"/>
    <w:rsid w:val="00D330FB"/>
    <w:rsid w:val="00D33107"/>
    <w:rsid w:val="00D33130"/>
    <w:rsid w:val="00D331D0"/>
    <w:rsid w:val="00D3365A"/>
    <w:rsid w:val="00D338B8"/>
    <w:rsid w:val="00D33C50"/>
    <w:rsid w:val="00D33D9D"/>
    <w:rsid w:val="00D3464F"/>
    <w:rsid w:val="00D34D80"/>
    <w:rsid w:val="00D34E85"/>
    <w:rsid w:val="00D35978"/>
    <w:rsid w:val="00D36261"/>
    <w:rsid w:val="00D36308"/>
    <w:rsid w:val="00D372DD"/>
    <w:rsid w:val="00D374BA"/>
    <w:rsid w:val="00D37F8B"/>
    <w:rsid w:val="00D402A6"/>
    <w:rsid w:val="00D404E6"/>
    <w:rsid w:val="00D40583"/>
    <w:rsid w:val="00D40A55"/>
    <w:rsid w:val="00D411B8"/>
    <w:rsid w:val="00D41DB8"/>
    <w:rsid w:val="00D41F85"/>
    <w:rsid w:val="00D42568"/>
    <w:rsid w:val="00D42F56"/>
    <w:rsid w:val="00D43CA8"/>
    <w:rsid w:val="00D44A57"/>
    <w:rsid w:val="00D45227"/>
    <w:rsid w:val="00D47F4E"/>
    <w:rsid w:val="00D47FEB"/>
    <w:rsid w:val="00D50491"/>
    <w:rsid w:val="00D510FF"/>
    <w:rsid w:val="00D524B9"/>
    <w:rsid w:val="00D524FF"/>
    <w:rsid w:val="00D52648"/>
    <w:rsid w:val="00D529F9"/>
    <w:rsid w:val="00D52C76"/>
    <w:rsid w:val="00D52F12"/>
    <w:rsid w:val="00D5361E"/>
    <w:rsid w:val="00D53750"/>
    <w:rsid w:val="00D53ADF"/>
    <w:rsid w:val="00D53B17"/>
    <w:rsid w:val="00D53B48"/>
    <w:rsid w:val="00D546F9"/>
    <w:rsid w:val="00D55098"/>
    <w:rsid w:val="00D5579F"/>
    <w:rsid w:val="00D56273"/>
    <w:rsid w:val="00D5634D"/>
    <w:rsid w:val="00D567C8"/>
    <w:rsid w:val="00D56E2F"/>
    <w:rsid w:val="00D57219"/>
    <w:rsid w:val="00D57530"/>
    <w:rsid w:val="00D57869"/>
    <w:rsid w:val="00D57D4E"/>
    <w:rsid w:val="00D57DDF"/>
    <w:rsid w:val="00D57FE6"/>
    <w:rsid w:val="00D603AD"/>
    <w:rsid w:val="00D60C48"/>
    <w:rsid w:val="00D60DAE"/>
    <w:rsid w:val="00D617DA"/>
    <w:rsid w:val="00D6198B"/>
    <w:rsid w:val="00D622B0"/>
    <w:rsid w:val="00D62680"/>
    <w:rsid w:val="00D6268C"/>
    <w:rsid w:val="00D62BB8"/>
    <w:rsid w:val="00D62F2E"/>
    <w:rsid w:val="00D63238"/>
    <w:rsid w:val="00D634F7"/>
    <w:rsid w:val="00D64B19"/>
    <w:rsid w:val="00D664F3"/>
    <w:rsid w:val="00D667E4"/>
    <w:rsid w:val="00D66EAD"/>
    <w:rsid w:val="00D6704B"/>
    <w:rsid w:val="00D67A02"/>
    <w:rsid w:val="00D7047C"/>
    <w:rsid w:val="00D704BA"/>
    <w:rsid w:val="00D705D6"/>
    <w:rsid w:val="00D7092D"/>
    <w:rsid w:val="00D70B9E"/>
    <w:rsid w:val="00D70D78"/>
    <w:rsid w:val="00D70F25"/>
    <w:rsid w:val="00D7222A"/>
    <w:rsid w:val="00D7243F"/>
    <w:rsid w:val="00D735DA"/>
    <w:rsid w:val="00D73F63"/>
    <w:rsid w:val="00D7414B"/>
    <w:rsid w:val="00D75BF3"/>
    <w:rsid w:val="00D75DC3"/>
    <w:rsid w:val="00D77293"/>
    <w:rsid w:val="00D77330"/>
    <w:rsid w:val="00D777F3"/>
    <w:rsid w:val="00D800BF"/>
    <w:rsid w:val="00D806D8"/>
    <w:rsid w:val="00D80C91"/>
    <w:rsid w:val="00D80F11"/>
    <w:rsid w:val="00D811CA"/>
    <w:rsid w:val="00D820D1"/>
    <w:rsid w:val="00D82AB6"/>
    <w:rsid w:val="00D82DE1"/>
    <w:rsid w:val="00D831B2"/>
    <w:rsid w:val="00D832CB"/>
    <w:rsid w:val="00D83AFE"/>
    <w:rsid w:val="00D83D88"/>
    <w:rsid w:val="00D83F16"/>
    <w:rsid w:val="00D840D5"/>
    <w:rsid w:val="00D84132"/>
    <w:rsid w:val="00D84148"/>
    <w:rsid w:val="00D85FB3"/>
    <w:rsid w:val="00D86B36"/>
    <w:rsid w:val="00D86FC5"/>
    <w:rsid w:val="00D8756E"/>
    <w:rsid w:val="00D875D7"/>
    <w:rsid w:val="00D87A01"/>
    <w:rsid w:val="00D87EDB"/>
    <w:rsid w:val="00D87F5B"/>
    <w:rsid w:val="00D903AE"/>
    <w:rsid w:val="00D91244"/>
    <w:rsid w:val="00D91494"/>
    <w:rsid w:val="00D919A6"/>
    <w:rsid w:val="00D92A3B"/>
    <w:rsid w:val="00D92CD4"/>
    <w:rsid w:val="00D93112"/>
    <w:rsid w:val="00D931EF"/>
    <w:rsid w:val="00D96998"/>
    <w:rsid w:val="00D971CB"/>
    <w:rsid w:val="00D97468"/>
    <w:rsid w:val="00D978E5"/>
    <w:rsid w:val="00D979A5"/>
    <w:rsid w:val="00D97B04"/>
    <w:rsid w:val="00D97B92"/>
    <w:rsid w:val="00DA1C66"/>
    <w:rsid w:val="00DA2133"/>
    <w:rsid w:val="00DA22AC"/>
    <w:rsid w:val="00DA24C1"/>
    <w:rsid w:val="00DA268F"/>
    <w:rsid w:val="00DA2AD4"/>
    <w:rsid w:val="00DA2E46"/>
    <w:rsid w:val="00DA2E75"/>
    <w:rsid w:val="00DA3301"/>
    <w:rsid w:val="00DA39EE"/>
    <w:rsid w:val="00DA5407"/>
    <w:rsid w:val="00DA5876"/>
    <w:rsid w:val="00DA59F7"/>
    <w:rsid w:val="00DA676B"/>
    <w:rsid w:val="00DA6D88"/>
    <w:rsid w:val="00DA7053"/>
    <w:rsid w:val="00DA7E6F"/>
    <w:rsid w:val="00DB00A9"/>
    <w:rsid w:val="00DB03D4"/>
    <w:rsid w:val="00DB164E"/>
    <w:rsid w:val="00DB1FE0"/>
    <w:rsid w:val="00DB30A1"/>
    <w:rsid w:val="00DB33C9"/>
    <w:rsid w:val="00DB3E3D"/>
    <w:rsid w:val="00DB4341"/>
    <w:rsid w:val="00DB4439"/>
    <w:rsid w:val="00DB4BEE"/>
    <w:rsid w:val="00DB4F50"/>
    <w:rsid w:val="00DB4F59"/>
    <w:rsid w:val="00DB6B90"/>
    <w:rsid w:val="00DB6CAE"/>
    <w:rsid w:val="00DB72B1"/>
    <w:rsid w:val="00DB7C60"/>
    <w:rsid w:val="00DC01DE"/>
    <w:rsid w:val="00DC0271"/>
    <w:rsid w:val="00DC0AA9"/>
    <w:rsid w:val="00DC0AC6"/>
    <w:rsid w:val="00DC0AD3"/>
    <w:rsid w:val="00DC0EE7"/>
    <w:rsid w:val="00DC2AF3"/>
    <w:rsid w:val="00DC2E37"/>
    <w:rsid w:val="00DC39BD"/>
    <w:rsid w:val="00DC3B1A"/>
    <w:rsid w:val="00DC3E73"/>
    <w:rsid w:val="00DC468D"/>
    <w:rsid w:val="00DC4D09"/>
    <w:rsid w:val="00DC56F4"/>
    <w:rsid w:val="00DC57C6"/>
    <w:rsid w:val="00DC5DDE"/>
    <w:rsid w:val="00DC625D"/>
    <w:rsid w:val="00DC63B8"/>
    <w:rsid w:val="00DC71B5"/>
    <w:rsid w:val="00DC75A4"/>
    <w:rsid w:val="00DC7931"/>
    <w:rsid w:val="00DC7B42"/>
    <w:rsid w:val="00DD0804"/>
    <w:rsid w:val="00DD084A"/>
    <w:rsid w:val="00DD092F"/>
    <w:rsid w:val="00DD0B3D"/>
    <w:rsid w:val="00DD0D32"/>
    <w:rsid w:val="00DD0D98"/>
    <w:rsid w:val="00DD129B"/>
    <w:rsid w:val="00DD12E3"/>
    <w:rsid w:val="00DD191E"/>
    <w:rsid w:val="00DD1928"/>
    <w:rsid w:val="00DD2AF4"/>
    <w:rsid w:val="00DD34B9"/>
    <w:rsid w:val="00DD37EA"/>
    <w:rsid w:val="00DD52FC"/>
    <w:rsid w:val="00DD5490"/>
    <w:rsid w:val="00DD5C76"/>
    <w:rsid w:val="00DD5D6B"/>
    <w:rsid w:val="00DD6E20"/>
    <w:rsid w:val="00DD71F2"/>
    <w:rsid w:val="00DD7DEC"/>
    <w:rsid w:val="00DE052C"/>
    <w:rsid w:val="00DE10F5"/>
    <w:rsid w:val="00DE13A1"/>
    <w:rsid w:val="00DE1A7A"/>
    <w:rsid w:val="00DE1C44"/>
    <w:rsid w:val="00DE2D15"/>
    <w:rsid w:val="00DE4FBA"/>
    <w:rsid w:val="00DE5115"/>
    <w:rsid w:val="00DE566A"/>
    <w:rsid w:val="00DE5EC2"/>
    <w:rsid w:val="00DE646D"/>
    <w:rsid w:val="00DE64ED"/>
    <w:rsid w:val="00DF037D"/>
    <w:rsid w:val="00DF0561"/>
    <w:rsid w:val="00DF0607"/>
    <w:rsid w:val="00DF0D60"/>
    <w:rsid w:val="00DF10DA"/>
    <w:rsid w:val="00DF13F5"/>
    <w:rsid w:val="00DF2800"/>
    <w:rsid w:val="00DF2E36"/>
    <w:rsid w:val="00DF31EE"/>
    <w:rsid w:val="00DF32B0"/>
    <w:rsid w:val="00DF32F9"/>
    <w:rsid w:val="00DF36A7"/>
    <w:rsid w:val="00DF3FE3"/>
    <w:rsid w:val="00DF47EB"/>
    <w:rsid w:val="00DF4CB3"/>
    <w:rsid w:val="00DF564D"/>
    <w:rsid w:val="00DF56EA"/>
    <w:rsid w:val="00DF588D"/>
    <w:rsid w:val="00DF5DA6"/>
    <w:rsid w:val="00DF656A"/>
    <w:rsid w:val="00DF68E4"/>
    <w:rsid w:val="00DF7024"/>
    <w:rsid w:val="00DF7102"/>
    <w:rsid w:val="00DF7FE4"/>
    <w:rsid w:val="00E00C48"/>
    <w:rsid w:val="00E00D2B"/>
    <w:rsid w:val="00E00FA2"/>
    <w:rsid w:val="00E01115"/>
    <w:rsid w:val="00E01151"/>
    <w:rsid w:val="00E039E3"/>
    <w:rsid w:val="00E039F2"/>
    <w:rsid w:val="00E040E8"/>
    <w:rsid w:val="00E0414B"/>
    <w:rsid w:val="00E05305"/>
    <w:rsid w:val="00E0536B"/>
    <w:rsid w:val="00E05541"/>
    <w:rsid w:val="00E05B6D"/>
    <w:rsid w:val="00E05E42"/>
    <w:rsid w:val="00E05FFB"/>
    <w:rsid w:val="00E07043"/>
    <w:rsid w:val="00E078D6"/>
    <w:rsid w:val="00E10B00"/>
    <w:rsid w:val="00E11046"/>
    <w:rsid w:val="00E11819"/>
    <w:rsid w:val="00E119A6"/>
    <w:rsid w:val="00E11BAA"/>
    <w:rsid w:val="00E11DB6"/>
    <w:rsid w:val="00E11E03"/>
    <w:rsid w:val="00E12607"/>
    <w:rsid w:val="00E1349A"/>
    <w:rsid w:val="00E14C00"/>
    <w:rsid w:val="00E14C9B"/>
    <w:rsid w:val="00E14CF9"/>
    <w:rsid w:val="00E14DDB"/>
    <w:rsid w:val="00E152B6"/>
    <w:rsid w:val="00E154F5"/>
    <w:rsid w:val="00E15804"/>
    <w:rsid w:val="00E16A2C"/>
    <w:rsid w:val="00E16DD7"/>
    <w:rsid w:val="00E170F3"/>
    <w:rsid w:val="00E1720D"/>
    <w:rsid w:val="00E208B4"/>
    <w:rsid w:val="00E216A5"/>
    <w:rsid w:val="00E21778"/>
    <w:rsid w:val="00E21918"/>
    <w:rsid w:val="00E21BFD"/>
    <w:rsid w:val="00E21CA8"/>
    <w:rsid w:val="00E225F8"/>
    <w:rsid w:val="00E22D86"/>
    <w:rsid w:val="00E22E9D"/>
    <w:rsid w:val="00E233A7"/>
    <w:rsid w:val="00E23AFF"/>
    <w:rsid w:val="00E24A40"/>
    <w:rsid w:val="00E24C35"/>
    <w:rsid w:val="00E24D55"/>
    <w:rsid w:val="00E25064"/>
    <w:rsid w:val="00E267F4"/>
    <w:rsid w:val="00E26BF4"/>
    <w:rsid w:val="00E26D47"/>
    <w:rsid w:val="00E274BA"/>
    <w:rsid w:val="00E27CA2"/>
    <w:rsid w:val="00E27F2B"/>
    <w:rsid w:val="00E30840"/>
    <w:rsid w:val="00E30E93"/>
    <w:rsid w:val="00E31132"/>
    <w:rsid w:val="00E31F2E"/>
    <w:rsid w:val="00E32AA6"/>
    <w:rsid w:val="00E333AC"/>
    <w:rsid w:val="00E338B5"/>
    <w:rsid w:val="00E33B20"/>
    <w:rsid w:val="00E33B56"/>
    <w:rsid w:val="00E34B6D"/>
    <w:rsid w:val="00E35796"/>
    <w:rsid w:val="00E35C1A"/>
    <w:rsid w:val="00E35E92"/>
    <w:rsid w:val="00E36349"/>
    <w:rsid w:val="00E36C77"/>
    <w:rsid w:val="00E4012B"/>
    <w:rsid w:val="00E40794"/>
    <w:rsid w:val="00E4093E"/>
    <w:rsid w:val="00E40CD2"/>
    <w:rsid w:val="00E41858"/>
    <w:rsid w:val="00E428E5"/>
    <w:rsid w:val="00E42C44"/>
    <w:rsid w:val="00E436DF"/>
    <w:rsid w:val="00E43F0E"/>
    <w:rsid w:val="00E45236"/>
    <w:rsid w:val="00E45298"/>
    <w:rsid w:val="00E45630"/>
    <w:rsid w:val="00E45E7B"/>
    <w:rsid w:val="00E460A0"/>
    <w:rsid w:val="00E46324"/>
    <w:rsid w:val="00E466CC"/>
    <w:rsid w:val="00E468D2"/>
    <w:rsid w:val="00E475E7"/>
    <w:rsid w:val="00E47D07"/>
    <w:rsid w:val="00E47F6E"/>
    <w:rsid w:val="00E50546"/>
    <w:rsid w:val="00E505DE"/>
    <w:rsid w:val="00E51BC5"/>
    <w:rsid w:val="00E51C5E"/>
    <w:rsid w:val="00E51EB9"/>
    <w:rsid w:val="00E51EF8"/>
    <w:rsid w:val="00E53B42"/>
    <w:rsid w:val="00E53F08"/>
    <w:rsid w:val="00E54144"/>
    <w:rsid w:val="00E54D22"/>
    <w:rsid w:val="00E54F96"/>
    <w:rsid w:val="00E55294"/>
    <w:rsid w:val="00E5541E"/>
    <w:rsid w:val="00E559E6"/>
    <w:rsid w:val="00E562F3"/>
    <w:rsid w:val="00E56374"/>
    <w:rsid w:val="00E577BD"/>
    <w:rsid w:val="00E57AA4"/>
    <w:rsid w:val="00E57F90"/>
    <w:rsid w:val="00E57FB8"/>
    <w:rsid w:val="00E601CA"/>
    <w:rsid w:val="00E60319"/>
    <w:rsid w:val="00E609BB"/>
    <w:rsid w:val="00E61183"/>
    <w:rsid w:val="00E616F7"/>
    <w:rsid w:val="00E6187D"/>
    <w:rsid w:val="00E63872"/>
    <w:rsid w:val="00E63D5C"/>
    <w:rsid w:val="00E640C7"/>
    <w:rsid w:val="00E65298"/>
    <w:rsid w:val="00E6636F"/>
    <w:rsid w:val="00E66637"/>
    <w:rsid w:val="00E66C75"/>
    <w:rsid w:val="00E67663"/>
    <w:rsid w:val="00E67B6E"/>
    <w:rsid w:val="00E702F5"/>
    <w:rsid w:val="00E7067E"/>
    <w:rsid w:val="00E7091A"/>
    <w:rsid w:val="00E70A4D"/>
    <w:rsid w:val="00E71AFA"/>
    <w:rsid w:val="00E71C87"/>
    <w:rsid w:val="00E722CF"/>
    <w:rsid w:val="00E73502"/>
    <w:rsid w:val="00E737A2"/>
    <w:rsid w:val="00E738D6"/>
    <w:rsid w:val="00E73BD7"/>
    <w:rsid w:val="00E73E30"/>
    <w:rsid w:val="00E743E3"/>
    <w:rsid w:val="00E7446C"/>
    <w:rsid w:val="00E74EA8"/>
    <w:rsid w:val="00E75E20"/>
    <w:rsid w:val="00E761F5"/>
    <w:rsid w:val="00E762F5"/>
    <w:rsid w:val="00E76ECD"/>
    <w:rsid w:val="00E77659"/>
    <w:rsid w:val="00E77F1D"/>
    <w:rsid w:val="00E80006"/>
    <w:rsid w:val="00E8056F"/>
    <w:rsid w:val="00E80B22"/>
    <w:rsid w:val="00E80C8F"/>
    <w:rsid w:val="00E8133A"/>
    <w:rsid w:val="00E814E0"/>
    <w:rsid w:val="00E817E5"/>
    <w:rsid w:val="00E81C24"/>
    <w:rsid w:val="00E828C4"/>
    <w:rsid w:val="00E82C77"/>
    <w:rsid w:val="00E8395C"/>
    <w:rsid w:val="00E83F3E"/>
    <w:rsid w:val="00E85116"/>
    <w:rsid w:val="00E8545C"/>
    <w:rsid w:val="00E854EC"/>
    <w:rsid w:val="00E85615"/>
    <w:rsid w:val="00E8589D"/>
    <w:rsid w:val="00E85C5C"/>
    <w:rsid w:val="00E85DC8"/>
    <w:rsid w:val="00E871B8"/>
    <w:rsid w:val="00E87782"/>
    <w:rsid w:val="00E90484"/>
    <w:rsid w:val="00E911F4"/>
    <w:rsid w:val="00E91209"/>
    <w:rsid w:val="00E923CD"/>
    <w:rsid w:val="00E9248B"/>
    <w:rsid w:val="00E927BF"/>
    <w:rsid w:val="00E92D07"/>
    <w:rsid w:val="00E92E90"/>
    <w:rsid w:val="00E935D8"/>
    <w:rsid w:val="00E941F4"/>
    <w:rsid w:val="00E951A1"/>
    <w:rsid w:val="00E954E2"/>
    <w:rsid w:val="00E95B04"/>
    <w:rsid w:val="00E95C41"/>
    <w:rsid w:val="00E95DF2"/>
    <w:rsid w:val="00E96946"/>
    <w:rsid w:val="00E978CE"/>
    <w:rsid w:val="00E97BBD"/>
    <w:rsid w:val="00E97DB1"/>
    <w:rsid w:val="00EA0363"/>
    <w:rsid w:val="00EA0364"/>
    <w:rsid w:val="00EA04BC"/>
    <w:rsid w:val="00EA060B"/>
    <w:rsid w:val="00EA08AF"/>
    <w:rsid w:val="00EA0C32"/>
    <w:rsid w:val="00EA1C69"/>
    <w:rsid w:val="00EA1F18"/>
    <w:rsid w:val="00EA1F73"/>
    <w:rsid w:val="00EA21B4"/>
    <w:rsid w:val="00EA25A4"/>
    <w:rsid w:val="00EA2DBA"/>
    <w:rsid w:val="00EA3554"/>
    <w:rsid w:val="00EA381B"/>
    <w:rsid w:val="00EA3B43"/>
    <w:rsid w:val="00EA5159"/>
    <w:rsid w:val="00EA645B"/>
    <w:rsid w:val="00EA68E5"/>
    <w:rsid w:val="00EA6969"/>
    <w:rsid w:val="00EA6A0B"/>
    <w:rsid w:val="00EA6F73"/>
    <w:rsid w:val="00EA75DC"/>
    <w:rsid w:val="00EA76C9"/>
    <w:rsid w:val="00EA7C09"/>
    <w:rsid w:val="00EA7CC8"/>
    <w:rsid w:val="00EA7D0D"/>
    <w:rsid w:val="00EA7D69"/>
    <w:rsid w:val="00EA7E97"/>
    <w:rsid w:val="00EA7F21"/>
    <w:rsid w:val="00EB03EA"/>
    <w:rsid w:val="00EB1041"/>
    <w:rsid w:val="00EB1A75"/>
    <w:rsid w:val="00EB1B5E"/>
    <w:rsid w:val="00EB230A"/>
    <w:rsid w:val="00EB25CB"/>
    <w:rsid w:val="00EB2EFD"/>
    <w:rsid w:val="00EB3417"/>
    <w:rsid w:val="00EB44CB"/>
    <w:rsid w:val="00EB4CCC"/>
    <w:rsid w:val="00EB551C"/>
    <w:rsid w:val="00EB5C25"/>
    <w:rsid w:val="00EB6697"/>
    <w:rsid w:val="00EB68E9"/>
    <w:rsid w:val="00EB6B88"/>
    <w:rsid w:val="00EB7065"/>
    <w:rsid w:val="00EB70C1"/>
    <w:rsid w:val="00EC05F6"/>
    <w:rsid w:val="00EC08CD"/>
    <w:rsid w:val="00EC0DA1"/>
    <w:rsid w:val="00EC1218"/>
    <w:rsid w:val="00EC16BF"/>
    <w:rsid w:val="00EC1935"/>
    <w:rsid w:val="00EC214B"/>
    <w:rsid w:val="00EC2932"/>
    <w:rsid w:val="00EC2D89"/>
    <w:rsid w:val="00EC334D"/>
    <w:rsid w:val="00EC3484"/>
    <w:rsid w:val="00EC3AE8"/>
    <w:rsid w:val="00EC3F15"/>
    <w:rsid w:val="00EC4DA2"/>
    <w:rsid w:val="00EC50FD"/>
    <w:rsid w:val="00EC599B"/>
    <w:rsid w:val="00EC612F"/>
    <w:rsid w:val="00EC663D"/>
    <w:rsid w:val="00EC6B26"/>
    <w:rsid w:val="00EC6D94"/>
    <w:rsid w:val="00EC7175"/>
    <w:rsid w:val="00EC74A0"/>
    <w:rsid w:val="00ED0BCF"/>
    <w:rsid w:val="00ED0F17"/>
    <w:rsid w:val="00ED1481"/>
    <w:rsid w:val="00ED1A90"/>
    <w:rsid w:val="00ED1F93"/>
    <w:rsid w:val="00ED2C50"/>
    <w:rsid w:val="00ED2CAF"/>
    <w:rsid w:val="00ED333A"/>
    <w:rsid w:val="00ED33EF"/>
    <w:rsid w:val="00ED34DE"/>
    <w:rsid w:val="00ED3AD9"/>
    <w:rsid w:val="00ED3E16"/>
    <w:rsid w:val="00ED4759"/>
    <w:rsid w:val="00ED4775"/>
    <w:rsid w:val="00ED4EB6"/>
    <w:rsid w:val="00ED55C4"/>
    <w:rsid w:val="00ED570F"/>
    <w:rsid w:val="00ED5808"/>
    <w:rsid w:val="00ED606E"/>
    <w:rsid w:val="00ED66AE"/>
    <w:rsid w:val="00ED6775"/>
    <w:rsid w:val="00ED6BC3"/>
    <w:rsid w:val="00ED72B1"/>
    <w:rsid w:val="00ED7D30"/>
    <w:rsid w:val="00ED7DC8"/>
    <w:rsid w:val="00EE0B53"/>
    <w:rsid w:val="00EE0F87"/>
    <w:rsid w:val="00EE1077"/>
    <w:rsid w:val="00EE1274"/>
    <w:rsid w:val="00EE1ECC"/>
    <w:rsid w:val="00EE2EB8"/>
    <w:rsid w:val="00EE45F5"/>
    <w:rsid w:val="00EE5BC2"/>
    <w:rsid w:val="00EE5DB7"/>
    <w:rsid w:val="00EE7359"/>
    <w:rsid w:val="00EE7618"/>
    <w:rsid w:val="00EF10E0"/>
    <w:rsid w:val="00EF1CC8"/>
    <w:rsid w:val="00EF299E"/>
    <w:rsid w:val="00EF29B4"/>
    <w:rsid w:val="00EF3918"/>
    <w:rsid w:val="00EF4C2F"/>
    <w:rsid w:val="00EF5855"/>
    <w:rsid w:val="00EF5918"/>
    <w:rsid w:val="00EF5CD3"/>
    <w:rsid w:val="00EF63CF"/>
    <w:rsid w:val="00EF63D6"/>
    <w:rsid w:val="00EF688C"/>
    <w:rsid w:val="00EF6D13"/>
    <w:rsid w:val="00EF7464"/>
    <w:rsid w:val="00EF7D6C"/>
    <w:rsid w:val="00F00ADC"/>
    <w:rsid w:val="00F01173"/>
    <w:rsid w:val="00F0172D"/>
    <w:rsid w:val="00F025F1"/>
    <w:rsid w:val="00F02E4B"/>
    <w:rsid w:val="00F03319"/>
    <w:rsid w:val="00F0347D"/>
    <w:rsid w:val="00F03704"/>
    <w:rsid w:val="00F03FF8"/>
    <w:rsid w:val="00F04497"/>
    <w:rsid w:val="00F048E6"/>
    <w:rsid w:val="00F05EFA"/>
    <w:rsid w:val="00F063AA"/>
    <w:rsid w:val="00F06438"/>
    <w:rsid w:val="00F068B6"/>
    <w:rsid w:val="00F06B77"/>
    <w:rsid w:val="00F07722"/>
    <w:rsid w:val="00F07979"/>
    <w:rsid w:val="00F10114"/>
    <w:rsid w:val="00F10161"/>
    <w:rsid w:val="00F104CA"/>
    <w:rsid w:val="00F1178F"/>
    <w:rsid w:val="00F11A8F"/>
    <w:rsid w:val="00F124D3"/>
    <w:rsid w:val="00F12834"/>
    <w:rsid w:val="00F12973"/>
    <w:rsid w:val="00F13DE8"/>
    <w:rsid w:val="00F1552F"/>
    <w:rsid w:val="00F16BA3"/>
    <w:rsid w:val="00F17918"/>
    <w:rsid w:val="00F17F21"/>
    <w:rsid w:val="00F20F87"/>
    <w:rsid w:val="00F222D9"/>
    <w:rsid w:val="00F2292F"/>
    <w:rsid w:val="00F22BF6"/>
    <w:rsid w:val="00F243F4"/>
    <w:rsid w:val="00F24614"/>
    <w:rsid w:val="00F24762"/>
    <w:rsid w:val="00F24F36"/>
    <w:rsid w:val="00F253F1"/>
    <w:rsid w:val="00F26227"/>
    <w:rsid w:val="00F263C6"/>
    <w:rsid w:val="00F26CB4"/>
    <w:rsid w:val="00F27531"/>
    <w:rsid w:val="00F30030"/>
    <w:rsid w:val="00F3024C"/>
    <w:rsid w:val="00F30387"/>
    <w:rsid w:val="00F30590"/>
    <w:rsid w:val="00F30622"/>
    <w:rsid w:val="00F306B7"/>
    <w:rsid w:val="00F306C8"/>
    <w:rsid w:val="00F31DAF"/>
    <w:rsid w:val="00F32062"/>
    <w:rsid w:val="00F32329"/>
    <w:rsid w:val="00F32A78"/>
    <w:rsid w:val="00F338DC"/>
    <w:rsid w:val="00F33907"/>
    <w:rsid w:val="00F34235"/>
    <w:rsid w:val="00F34282"/>
    <w:rsid w:val="00F3440E"/>
    <w:rsid w:val="00F3475E"/>
    <w:rsid w:val="00F34E67"/>
    <w:rsid w:val="00F34EA6"/>
    <w:rsid w:val="00F35008"/>
    <w:rsid w:val="00F350D2"/>
    <w:rsid w:val="00F35C0B"/>
    <w:rsid w:val="00F35E56"/>
    <w:rsid w:val="00F36679"/>
    <w:rsid w:val="00F36714"/>
    <w:rsid w:val="00F37ACF"/>
    <w:rsid w:val="00F37D24"/>
    <w:rsid w:val="00F40B43"/>
    <w:rsid w:val="00F40C23"/>
    <w:rsid w:val="00F40DCF"/>
    <w:rsid w:val="00F40E6C"/>
    <w:rsid w:val="00F41393"/>
    <w:rsid w:val="00F42A31"/>
    <w:rsid w:val="00F42A52"/>
    <w:rsid w:val="00F434CD"/>
    <w:rsid w:val="00F43A22"/>
    <w:rsid w:val="00F4400F"/>
    <w:rsid w:val="00F44AE3"/>
    <w:rsid w:val="00F45012"/>
    <w:rsid w:val="00F451E8"/>
    <w:rsid w:val="00F46302"/>
    <w:rsid w:val="00F4651E"/>
    <w:rsid w:val="00F50331"/>
    <w:rsid w:val="00F5040F"/>
    <w:rsid w:val="00F50421"/>
    <w:rsid w:val="00F5084E"/>
    <w:rsid w:val="00F50ADE"/>
    <w:rsid w:val="00F51175"/>
    <w:rsid w:val="00F51491"/>
    <w:rsid w:val="00F516B0"/>
    <w:rsid w:val="00F51704"/>
    <w:rsid w:val="00F518E8"/>
    <w:rsid w:val="00F51A70"/>
    <w:rsid w:val="00F51E2A"/>
    <w:rsid w:val="00F51E66"/>
    <w:rsid w:val="00F52FD7"/>
    <w:rsid w:val="00F535BD"/>
    <w:rsid w:val="00F538E0"/>
    <w:rsid w:val="00F53A5F"/>
    <w:rsid w:val="00F542EB"/>
    <w:rsid w:val="00F5451D"/>
    <w:rsid w:val="00F5509F"/>
    <w:rsid w:val="00F55EEB"/>
    <w:rsid w:val="00F57207"/>
    <w:rsid w:val="00F6038A"/>
    <w:rsid w:val="00F60C3D"/>
    <w:rsid w:val="00F615A1"/>
    <w:rsid w:val="00F61E5E"/>
    <w:rsid w:val="00F61F06"/>
    <w:rsid w:val="00F620A4"/>
    <w:rsid w:val="00F620C7"/>
    <w:rsid w:val="00F62AAB"/>
    <w:rsid w:val="00F63391"/>
    <w:rsid w:val="00F63C2C"/>
    <w:rsid w:val="00F644A7"/>
    <w:rsid w:val="00F654D8"/>
    <w:rsid w:val="00F658D9"/>
    <w:rsid w:val="00F66421"/>
    <w:rsid w:val="00F66A14"/>
    <w:rsid w:val="00F66A17"/>
    <w:rsid w:val="00F67EE5"/>
    <w:rsid w:val="00F70AD2"/>
    <w:rsid w:val="00F70F3E"/>
    <w:rsid w:val="00F7163B"/>
    <w:rsid w:val="00F719BD"/>
    <w:rsid w:val="00F7288F"/>
    <w:rsid w:val="00F72B39"/>
    <w:rsid w:val="00F72C0E"/>
    <w:rsid w:val="00F72EA4"/>
    <w:rsid w:val="00F72FE0"/>
    <w:rsid w:val="00F73143"/>
    <w:rsid w:val="00F73A36"/>
    <w:rsid w:val="00F73B4B"/>
    <w:rsid w:val="00F73CC8"/>
    <w:rsid w:val="00F753CD"/>
    <w:rsid w:val="00F75708"/>
    <w:rsid w:val="00F75E3F"/>
    <w:rsid w:val="00F75F91"/>
    <w:rsid w:val="00F760D2"/>
    <w:rsid w:val="00F76402"/>
    <w:rsid w:val="00F76627"/>
    <w:rsid w:val="00F80431"/>
    <w:rsid w:val="00F81224"/>
    <w:rsid w:val="00F8178A"/>
    <w:rsid w:val="00F81B63"/>
    <w:rsid w:val="00F81E7D"/>
    <w:rsid w:val="00F845AD"/>
    <w:rsid w:val="00F86555"/>
    <w:rsid w:val="00F87771"/>
    <w:rsid w:val="00F904C9"/>
    <w:rsid w:val="00F90566"/>
    <w:rsid w:val="00F908F5"/>
    <w:rsid w:val="00F9127C"/>
    <w:rsid w:val="00F91436"/>
    <w:rsid w:val="00F91B8B"/>
    <w:rsid w:val="00F928F3"/>
    <w:rsid w:val="00F92DD0"/>
    <w:rsid w:val="00F92FDA"/>
    <w:rsid w:val="00F93233"/>
    <w:rsid w:val="00F93375"/>
    <w:rsid w:val="00F93745"/>
    <w:rsid w:val="00F93E87"/>
    <w:rsid w:val="00F93FB3"/>
    <w:rsid w:val="00F95D70"/>
    <w:rsid w:val="00F960C2"/>
    <w:rsid w:val="00F96475"/>
    <w:rsid w:val="00F97E79"/>
    <w:rsid w:val="00FA00BD"/>
    <w:rsid w:val="00FA12AE"/>
    <w:rsid w:val="00FA17C7"/>
    <w:rsid w:val="00FA182C"/>
    <w:rsid w:val="00FA1C95"/>
    <w:rsid w:val="00FA2214"/>
    <w:rsid w:val="00FA2380"/>
    <w:rsid w:val="00FA23F4"/>
    <w:rsid w:val="00FA27C7"/>
    <w:rsid w:val="00FA297C"/>
    <w:rsid w:val="00FA4CDB"/>
    <w:rsid w:val="00FA4CE5"/>
    <w:rsid w:val="00FA56C3"/>
    <w:rsid w:val="00FA5A07"/>
    <w:rsid w:val="00FA5AD7"/>
    <w:rsid w:val="00FA61B3"/>
    <w:rsid w:val="00FA7FF5"/>
    <w:rsid w:val="00FB025F"/>
    <w:rsid w:val="00FB08CC"/>
    <w:rsid w:val="00FB0BD3"/>
    <w:rsid w:val="00FB0F10"/>
    <w:rsid w:val="00FB1487"/>
    <w:rsid w:val="00FB1640"/>
    <w:rsid w:val="00FB1713"/>
    <w:rsid w:val="00FB188B"/>
    <w:rsid w:val="00FB19C6"/>
    <w:rsid w:val="00FB2265"/>
    <w:rsid w:val="00FB25E2"/>
    <w:rsid w:val="00FB3250"/>
    <w:rsid w:val="00FB376E"/>
    <w:rsid w:val="00FB3849"/>
    <w:rsid w:val="00FB3D46"/>
    <w:rsid w:val="00FB403F"/>
    <w:rsid w:val="00FB4280"/>
    <w:rsid w:val="00FB4A1F"/>
    <w:rsid w:val="00FB4FB8"/>
    <w:rsid w:val="00FB5329"/>
    <w:rsid w:val="00FB548F"/>
    <w:rsid w:val="00FB5F26"/>
    <w:rsid w:val="00FB64D8"/>
    <w:rsid w:val="00FB676C"/>
    <w:rsid w:val="00FB6971"/>
    <w:rsid w:val="00FB6CED"/>
    <w:rsid w:val="00FB6D23"/>
    <w:rsid w:val="00FB6D57"/>
    <w:rsid w:val="00FB7609"/>
    <w:rsid w:val="00FB7E13"/>
    <w:rsid w:val="00FB7FF2"/>
    <w:rsid w:val="00FC03A1"/>
    <w:rsid w:val="00FC0D81"/>
    <w:rsid w:val="00FC1132"/>
    <w:rsid w:val="00FC1BAF"/>
    <w:rsid w:val="00FC1DB4"/>
    <w:rsid w:val="00FC29A4"/>
    <w:rsid w:val="00FC2E61"/>
    <w:rsid w:val="00FC364F"/>
    <w:rsid w:val="00FC38C1"/>
    <w:rsid w:val="00FC3C50"/>
    <w:rsid w:val="00FC3CD7"/>
    <w:rsid w:val="00FC4555"/>
    <w:rsid w:val="00FC7821"/>
    <w:rsid w:val="00FC795C"/>
    <w:rsid w:val="00FD0D19"/>
    <w:rsid w:val="00FD1F0C"/>
    <w:rsid w:val="00FD2207"/>
    <w:rsid w:val="00FD2790"/>
    <w:rsid w:val="00FD2CF7"/>
    <w:rsid w:val="00FD3092"/>
    <w:rsid w:val="00FD35A9"/>
    <w:rsid w:val="00FD36B2"/>
    <w:rsid w:val="00FD3A9F"/>
    <w:rsid w:val="00FD4A75"/>
    <w:rsid w:val="00FD51A6"/>
    <w:rsid w:val="00FD5556"/>
    <w:rsid w:val="00FD55E0"/>
    <w:rsid w:val="00FD619E"/>
    <w:rsid w:val="00FD7A78"/>
    <w:rsid w:val="00FD7D47"/>
    <w:rsid w:val="00FE0072"/>
    <w:rsid w:val="00FE01E8"/>
    <w:rsid w:val="00FE25CD"/>
    <w:rsid w:val="00FE2F79"/>
    <w:rsid w:val="00FE30F0"/>
    <w:rsid w:val="00FE3DB7"/>
    <w:rsid w:val="00FE4007"/>
    <w:rsid w:val="00FE4176"/>
    <w:rsid w:val="00FE49E1"/>
    <w:rsid w:val="00FE4AE3"/>
    <w:rsid w:val="00FE4DA6"/>
    <w:rsid w:val="00FE5764"/>
    <w:rsid w:val="00FE579B"/>
    <w:rsid w:val="00FE68A8"/>
    <w:rsid w:val="00FE6B8D"/>
    <w:rsid w:val="00FE773D"/>
    <w:rsid w:val="00FE7BFB"/>
    <w:rsid w:val="00FE7E6C"/>
    <w:rsid w:val="00FF1257"/>
    <w:rsid w:val="00FF13CB"/>
    <w:rsid w:val="00FF15AC"/>
    <w:rsid w:val="00FF15BC"/>
    <w:rsid w:val="00FF15E8"/>
    <w:rsid w:val="00FF221C"/>
    <w:rsid w:val="00FF25F8"/>
    <w:rsid w:val="00FF2778"/>
    <w:rsid w:val="00FF2822"/>
    <w:rsid w:val="00FF2865"/>
    <w:rsid w:val="00FF365C"/>
    <w:rsid w:val="00FF39B8"/>
    <w:rsid w:val="00FF3AD4"/>
    <w:rsid w:val="00FF44B7"/>
    <w:rsid w:val="00FF47B4"/>
    <w:rsid w:val="00FF487D"/>
    <w:rsid w:val="00FF4AAF"/>
    <w:rsid w:val="00FF4C8F"/>
    <w:rsid w:val="00FF5A02"/>
    <w:rsid w:val="00FF5AA8"/>
    <w:rsid w:val="00FF5CFC"/>
    <w:rsid w:val="00FF5D44"/>
    <w:rsid w:val="00FF676B"/>
    <w:rsid w:val="00FF6AA5"/>
    <w:rsid w:val="00FF6FDA"/>
    <w:rsid w:val="00FF7637"/>
    <w:rsid w:val="00FF78DA"/>
    <w:rsid w:val="03AA7484"/>
    <w:rsid w:val="12A7376C"/>
    <w:rsid w:val="27EF4D8F"/>
    <w:rsid w:val="35964980"/>
    <w:rsid w:val="39C04510"/>
    <w:rsid w:val="3A110A97"/>
    <w:rsid w:val="3B8D3962"/>
    <w:rsid w:val="3CC311FB"/>
    <w:rsid w:val="48AA7EEB"/>
    <w:rsid w:val="48E217E4"/>
    <w:rsid w:val="57387848"/>
    <w:rsid w:val="7D386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name="toc 4"/>
    <w:lsdException w:unhideWhenUsed="0" w:uiPriority="0" w:name="toc 5"/>
    <w:lsdException w:qFormat="1" w:unhideWhenUsed="0" w:uiPriority="0" w:name="toc 6"/>
    <w:lsdException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1"/>
    <w:qFormat/>
    <w:uiPriority w:val="0"/>
    <w:pPr>
      <w:keepNext/>
      <w:keepLines/>
      <w:adjustRightInd w:val="0"/>
      <w:snapToGrid w:val="0"/>
      <w:spacing w:before="340" w:after="330" w:line="350" w:lineRule="exact"/>
      <w:jc w:val="center"/>
      <w:outlineLvl w:val="0"/>
    </w:pPr>
    <w:rPr>
      <w:rFonts w:eastAsia="黑体"/>
      <w:kern w:val="44"/>
      <w:sz w:val="32"/>
    </w:rPr>
  </w:style>
  <w:style w:type="paragraph" w:styleId="3">
    <w:name w:val="heading 2"/>
    <w:basedOn w:val="1"/>
    <w:next w:val="1"/>
    <w:link w:val="42"/>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43"/>
    <w:qFormat/>
    <w:uiPriority w:val="0"/>
    <w:pPr>
      <w:keepNext/>
      <w:keepLines/>
      <w:spacing w:before="260" w:after="260" w:line="413" w:lineRule="auto"/>
      <w:outlineLvl w:val="2"/>
    </w:pPr>
    <w:rPr>
      <w:b/>
      <w:sz w:val="32"/>
    </w:rPr>
  </w:style>
  <w:style w:type="paragraph" w:styleId="5">
    <w:name w:val="heading 4"/>
    <w:basedOn w:val="1"/>
    <w:next w:val="1"/>
    <w:link w:val="44"/>
    <w:qFormat/>
    <w:uiPriority w:val="0"/>
    <w:pPr>
      <w:keepNext/>
      <w:spacing w:line="320" w:lineRule="exact"/>
      <w:outlineLvl w:val="3"/>
    </w:pPr>
    <w:rPr>
      <w:rFonts w:ascii="Arial" w:hAnsi="Arial" w:eastAsia="黑体"/>
      <w:b/>
      <w:sz w:val="28"/>
    </w:rPr>
  </w:style>
  <w:style w:type="paragraph" w:styleId="6">
    <w:name w:val="heading 5"/>
    <w:basedOn w:val="1"/>
    <w:next w:val="1"/>
    <w:qFormat/>
    <w:uiPriority w:val="0"/>
    <w:pPr>
      <w:keepNext/>
      <w:keepLines/>
      <w:spacing w:before="280" w:after="290" w:line="374" w:lineRule="auto"/>
      <w:outlineLvl w:val="4"/>
    </w:pPr>
    <w:rPr>
      <w:b/>
      <w:bCs/>
      <w:sz w:val="28"/>
      <w:szCs w:val="28"/>
    </w:rPr>
  </w:style>
  <w:style w:type="character" w:default="1" w:styleId="36">
    <w:name w:val="Default Paragraph Font"/>
    <w:semiHidden/>
    <w:unhideWhenUsed/>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semiHidden/>
    <w:uiPriority w:val="0"/>
    <w:pPr>
      <w:ind w:left="1260"/>
      <w:jc w:val="left"/>
    </w:pPr>
    <w:rPr>
      <w:sz w:val="18"/>
      <w:szCs w:val="18"/>
    </w:rPr>
  </w:style>
  <w:style w:type="paragraph" w:styleId="8">
    <w:name w:val="Normal Indent"/>
    <w:basedOn w:val="1"/>
    <w:uiPriority w:val="0"/>
    <w:pPr>
      <w:ind w:firstLine="420"/>
    </w:pPr>
  </w:style>
  <w:style w:type="paragraph" w:styleId="9">
    <w:name w:val="Document Map"/>
    <w:basedOn w:val="1"/>
    <w:semiHidden/>
    <w:qFormat/>
    <w:uiPriority w:val="0"/>
    <w:pPr>
      <w:shd w:val="clear" w:color="auto" w:fill="000080"/>
    </w:pPr>
  </w:style>
  <w:style w:type="paragraph" w:styleId="10">
    <w:name w:val="annotation text"/>
    <w:basedOn w:val="1"/>
    <w:qFormat/>
    <w:uiPriority w:val="0"/>
    <w:pPr>
      <w:jc w:val="left"/>
    </w:pPr>
  </w:style>
  <w:style w:type="paragraph" w:styleId="11">
    <w:name w:val="Salutation"/>
    <w:basedOn w:val="1"/>
    <w:next w:val="1"/>
    <w:qFormat/>
    <w:uiPriority w:val="0"/>
    <w:rPr>
      <w:sz w:val="24"/>
      <w:szCs w:val="24"/>
    </w:rPr>
  </w:style>
  <w:style w:type="paragraph" w:styleId="12">
    <w:name w:val="Body Text"/>
    <w:basedOn w:val="1"/>
    <w:link w:val="54"/>
    <w:uiPriority w:val="0"/>
    <w:rPr>
      <w:rFonts w:ascii="金山简黑体" w:hAnsi="Courier New" w:eastAsia="金山简黑体"/>
      <w:b/>
      <w:spacing w:val="-8"/>
      <w:kern w:val="0"/>
      <w:sz w:val="44"/>
    </w:rPr>
  </w:style>
  <w:style w:type="paragraph" w:styleId="13">
    <w:name w:val="Body Text Indent"/>
    <w:basedOn w:val="1"/>
    <w:qFormat/>
    <w:uiPriority w:val="0"/>
    <w:pPr>
      <w:spacing w:line="200" w:lineRule="exact"/>
      <w:ind w:firstLine="301"/>
    </w:pPr>
    <w:rPr>
      <w:rFonts w:ascii="宋体" w:hAnsi="Courier New"/>
      <w:spacing w:val="-4"/>
      <w:sz w:val="18"/>
    </w:rPr>
  </w:style>
  <w:style w:type="paragraph" w:styleId="14">
    <w:name w:val="toc 5"/>
    <w:basedOn w:val="1"/>
    <w:next w:val="1"/>
    <w:semiHidden/>
    <w:uiPriority w:val="0"/>
    <w:pPr>
      <w:ind w:left="840"/>
      <w:jc w:val="left"/>
    </w:pPr>
    <w:rPr>
      <w:sz w:val="18"/>
      <w:szCs w:val="18"/>
    </w:rPr>
  </w:style>
  <w:style w:type="paragraph" w:styleId="15">
    <w:name w:val="toc 3"/>
    <w:basedOn w:val="1"/>
    <w:next w:val="1"/>
    <w:qFormat/>
    <w:uiPriority w:val="0"/>
    <w:pPr>
      <w:ind w:left="420"/>
      <w:jc w:val="left"/>
    </w:pPr>
    <w:rPr>
      <w:i/>
      <w:iCs/>
      <w:sz w:val="20"/>
    </w:rPr>
  </w:style>
  <w:style w:type="paragraph" w:styleId="16">
    <w:name w:val="Plain Text"/>
    <w:basedOn w:val="1"/>
    <w:link w:val="45"/>
    <w:qFormat/>
    <w:uiPriority w:val="0"/>
    <w:rPr>
      <w:rFonts w:ascii="宋体" w:hAnsi="Courier New"/>
    </w:rPr>
  </w:style>
  <w:style w:type="paragraph" w:styleId="17">
    <w:name w:val="toc 8"/>
    <w:basedOn w:val="1"/>
    <w:next w:val="1"/>
    <w:semiHidden/>
    <w:qFormat/>
    <w:uiPriority w:val="0"/>
    <w:pPr>
      <w:ind w:left="1470"/>
      <w:jc w:val="left"/>
    </w:pPr>
    <w:rPr>
      <w:sz w:val="18"/>
      <w:szCs w:val="18"/>
    </w:rPr>
  </w:style>
  <w:style w:type="paragraph" w:styleId="18">
    <w:name w:val="Date"/>
    <w:basedOn w:val="1"/>
    <w:next w:val="1"/>
    <w:uiPriority w:val="0"/>
    <w:rPr>
      <w:rFonts w:ascii="宋体"/>
      <w:color w:val="000000"/>
      <w:kern w:val="0"/>
      <w:sz w:val="30"/>
    </w:rPr>
  </w:style>
  <w:style w:type="paragraph" w:styleId="19">
    <w:name w:val="Body Text Indent 2"/>
    <w:basedOn w:val="1"/>
    <w:uiPriority w:val="0"/>
    <w:pPr>
      <w:spacing w:line="300" w:lineRule="auto"/>
      <w:ind w:firstLine="480"/>
    </w:pPr>
    <w:rPr>
      <w:rFonts w:ascii="楷体_GB2312" w:hAnsi="楷体_GB2312" w:eastAsia="楷体" w:cs="宋体"/>
      <w:color w:val="000000"/>
      <w:kern w:val="1"/>
      <w:sz w:val="24"/>
      <w:szCs w:val="24"/>
    </w:rPr>
  </w:style>
  <w:style w:type="paragraph" w:styleId="20">
    <w:name w:val="Balloon Text"/>
    <w:basedOn w:val="1"/>
    <w:link w:val="59"/>
    <w:qFormat/>
    <w:uiPriority w:val="0"/>
    <w:rPr>
      <w:sz w:val="18"/>
      <w:szCs w:val="18"/>
    </w:rPr>
  </w:style>
  <w:style w:type="paragraph" w:styleId="21">
    <w:name w:val="footer"/>
    <w:basedOn w:val="1"/>
    <w:link w:val="47"/>
    <w:qFormat/>
    <w:uiPriority w:val="0"/>
    <w:pPr>
      <w:tabs>
        <w:tab w:val="center" w:pos="4153"/>
        <w:tab w:val="right" w:pos="8306"/>
      </w:tabs>
      <w:snapToGrid w:val="0"/>
      <w:jc w:val="left"/>
    </w:pPr>
    <w:rPr>
      <w:rFonts w:ascii="楷体_GB2312" w:hAnsi="宋体" w:eastAsia="楷体_GB2312"/>
      <w:sz w:val="18"/>
      <w:u w:val="single"/>
    </w:rPr>
  </w:style>
  <w:style w:type="paragraph" w:styleId="22">
    <w:name w:val="header"/>
    <w:basedOn w:val="1"/>
    <w:link w:val="46"/>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4"/>
    <w:next w:val="1"/>
    <w:qFormat/>
    <w:uiPriority w:val="0"/>
    <w:pPr>
      <w:keepNext w:val="0"/>
      <w:keepLines w:val="0"/>
      <w:spacing w:before="120" w:after="120" w:line="240" w:lineRule="auto"/>
      <w:jc w:val="left"/>
      <w:outlineLvl w:val="9"/>
    </w:pPr>
    <w:rPr>
      <w:bCs/>
      <w:caps/>
      <w:sz w:val="20"/>
    </w:rPr>
  </w:style>
  <w:style w:type="paragraph" w:styleId="24">
    <w:name w:val="toc 4"/>
    <w:basedOn w:val="1"/>
    <w:next w:val="1"/>
    <w:semiHidden/>
    <w:qFormat/>
    <w:uiPriority w:val="0"/>
    <w:pPr>
      <w:ind w:left="630"/>
      <w:jc w:val="left"/>
    </w:pPr>
    <w:rPr>
      <w:sz w:val="18"/>
      <w:szCs w:val="18"/>
    </w:rPr>
  </w:style>
  <w:style w:type="paragraph" w:styleId="25">
    <w:name w:val="toc 6"/>
    <w:basedOn w:val="1"/>
    <w:next w:val="1"/>
    <w:semiHidden/>
    <w:qFormat/>
    <w:uiPriority w:val="0"/>
    <w:pPr>
      <w:ind w:left="1050"/>
      <w:jc w:val="left"/>
    </w:pPr>
    <w:rPr>
      <w:sz w:val="18"/>
      <w:szCs w:val="18"/>
    </w:rPr>
  </w:style>
  <w:style w:type="paragraph" w:styleId="26">
    <w:name w:val="toc 2"/>
    <w:basedOn w:val="1"/>
    <w:next w:val="1"/>
    <w:qFormat/>
    <w:uiPriority w:val="0"/>
    <w:pPr>
      <w:ind w:left="210"/>
      <w:jc w:val="left"/>
    </w:pPr>
    <w:rPr>
      <w:smallCaps/>
      <w:sz w:val="20"/>
    </w:rPr>
  </w:style>
  <w:style w:type="paragraph" w:styleId="27">
    <w:name w:val="toc 9"/>
    <w:basedOn w:val="1"/>
    <w:next w:val="1"/>
    <w:semiHidden/>
    <w:qFormat/>
    <w:uiPriority w:val="0"/>
    <w:pPr>
      <w:ind w:left="1680"/>
      <w:jc w:val="left"/>
    </w:pPr>
    <w:rPr>
      <w:sz w:val="18"/>
      <w:szCs w:val="18"/>
    </w:rPr>
  </w:style>
  <w:style w:type="paragraph" w:styleId="28">
    <w:name w:val="Body Text 2"/>
    <w:basedOn w:val="1"/>
    <w:qFormat/>
    <w:uiPriority w:val="0"/>
    <w:pPr>
      <w:spacing w:after="120" w:line="480" w:lineRule="auto"/>
    </w:pPr>
  </w:style>
  <w:style w:type="paragraph" w:styleId="29">
    <w:name w:val="HTML Preformatted"/>
    <w:basedOn w:val="1"/>
    <w:link w:val="5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kern w:val="0"/>
      <w:sz w:val="20"/>
    </w:rPr>
  </w:style>
  <w:style w:type="paragraph" w:styleId="30">
    <w:name w:val="Normal (Web)"/>
    <w:basedOn w:val="1"/>
    <w:uiPriority w:val="0"/>
    <w:pPr>
      <w:widowControl/>
      <w:spacing w:before="100" w:beforeAutospacing="1" w:after="100" w:afterAutospacing="1"/>
      <w:jc w:val="left"/>
    </w:pPr>
    <w:rPr>
      <w:rFonts w:hint="eastAsia" w:ascii="金山简隶书" w:hAnsi="金山简隶书" w:eastAsia="金山简隶书" w:cs="金山简隶书"/>
      <w:kern w:val="0"/>
      <w:sz w:val="24"/>
      <w:szCs w:val="24"/>
    </w:rPr>
  </w:style>
  <w:style w:type="paragraph" w:styleId="31">
    <w:name w:val="index 1"/>
    <w:basedOn w:val="1"/>
    <w:next w:val="1"/>
    <w:semiHidden/>
    <w:qFormat/>
    <w:uiPriority w:val="0"/>
    <w:pPr>
      <w:spacing w:line="400" w:lineRule="exact"/>
      <w:ind w:firstLine="420" w:firstLineChars="200"/>
    </w:pPr>
    <w:rPr>
      <w:rFonts w:ascii="宋体" w:hAnsi="Courier New"/>
      <w:b/>
    </w:rPr>
  </w:style>
  <w:style w:type="paragraph" w:styleId="32">
    <w:name w:val="Title"/>
    <w:basedOn w:val="1"/>
    <w:link w:val="50"/>
    <w:qFormat/>
    <w:uiPriority w:val="0"/>
    <w:pPr>
      <w:spacing w:before="240" w:after="60"/>
      <w:jc w:val="center"/>
      <w:outlineLvl w:val="0"/>
    </w:pPr>
    <w:rPr>
      <w:rFonts w:ascii="Arial" w:hAnsi="Arial" w:cs="Arial"/>
      <w:b/>
      <w:bCs/>
      <w:sz w:val="32"/>
      <w:szCs w:val="32"/>
    </w:rPr>
  </w:style>
  <w:style w:type="paragraph" w:styleId="33">
    <w:name w:val="annotation subject"/>
    <w:basedOn w:val="10"/>
    <w:next w:val="10"/>
    <w:qFormat/>
    <w:uiPriority w:val="0"/>
    <w:rPr>
      <w:b/>
      <w:bCs/>
    </w:rPr>
  </w:style>
  <w:style w:type="table" w:styleId="35">
    <w:name w:val="Table Grid"/>
    <w:basedOn w:val="34"/>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22"/>
    <w:rPr>
      <w:b/>
      <w:bCs/>
    </w:rPr>
  </w:style>
  <w:style w:type="character" w:styleId="38">
    <w:name w:val="page number"/>
    <w:basedOn w:val="36"/>
    <w:qFormat/>
    <w:uiPriority w:val="0"/>
  </w:style>
  <w:style w:type="character" w:styleId="39">
    <w:name w:val="Hyperlink"/>
    <w:qFormat/>
    <w:uiPriority w:val="0"/>
    <w:rPr>
      <w:color w:val="0000FF"/>
      <w:u w:val="single"/>
    </w:rPr>
  </w:style>
  <w:style w:type="character" w:styleId="40">
    <w:name w:val="annotation reference"/>
    <w:qFormat/>
    <w:uiPriority w:val="0"/>
    <w:rPr>
      <w:sz w:val="21"/>
      <w:szCs w:val="21"/>
    </w:rPr>
  </w:style>
  <w:style w:type="character" w:customStyle="1" w:styleId="41">
    <w:name w:val="标题 1 Char"/>
    <w:link w:val="2"/>
    <w:qFormat/>
    <w:uiPriority w:val="0"/>
    <w:rPr>
      <w:rFonts w:eastAsia="黑体"/>
      <w:kern w:val="44"/>
      <w:sz w:val="32"/>
      <w:lang w:val="en-US" w:eastAsia="zh-CN" w:bidi="ar-SA"/>
    </w:rPr>
  </w:style>
  <w:style w:type="character" w:customStyle="1" w:styleId="42">
    <w:name w:val="标题 2 Char"/>
    <w:link w:val="3"/>
    <w:qFormat/>
    <w:uiPriority w:val="0"/>
    <w:rPr>
      <w:rFonts w:ascii="Arial" w:hAnsi="Arial" w:eastAsia="黑体"/>
      <w:b/>
      <w:kern w:val="2"/>
      <w:sz w:val="32"/>
      <w:lang w:val="en-US" w:eastAsia="zh-CN" w:bidi="ar-SA"/>
    </w:rPr>
  </w:style>
  <w:style w:type="character" w:customStyle="1" w:styleId="43">
    <w:name w:val="标题 3 Char"/>
    <w:link w:val="4"/>
    <w:qFormat/>
    <w:uiPriority w:val="0"/>
    <w:rPr>
      <w:rFonts w:eastAsia="宋体"/>
      <w:b/>
      <w:kern w:val="2"/>
      <w:sz w:val="32"/>
      <w:lang w:val="en-US" w:eastAsia="zh-CN" w:bidi="ar-SA"/>
    </w:rPr>
  </w:style>
  <w:style w:type="character" w:customStyle="1" w:styleId="44">
    <w:name w:val="标题 4 Char"/>
    <w:link w:val="5"/>
    <w:qFormat/>
    <w:uiPriority w:val="0"/>
    <w:rPr>
      <w:rFonts w:ascii="Arial" w:hAnsi="Arial" w:eastAsia="黑体"/>
      <w:b/>
      <w:kern w:val="2"/>
      <w:sz w:val="28"/>
      <w:lang w:val="en-US" w:eastAsia="zh-CN" w:bidi="ar-SA"/>
    </w:rPr>
  </w:style>
  <w:style w:type="character" w:customStyle="1" w:styleId="45">
    <w:name w:val="纯文本 Char2"/>
    <w:link w:val="16"/>
    <w:uiPriority w:val="0"/>
    <w:rPr>
      <w:rFonts w:ascii="宋体" w:hAnsi="Courier New" w:eastAsia="宋体"/>
      <w:kern w:val="2"/>
      <w:sz w:val="21"/>
      <w:lang w:val="en-US" w:eastAsia="zh-CN" w:bidi="ar-SA"/>
    </w:rPr>
  </w:style>
  <w:style w:type="character" w:customStyle="1" w:styleId="46">
    <w:name w:val="页眉 Char"/>
    <w:link w:val="22"/>
    <w:locked/>
    <w:uiPriority w:val="0"/>
    <w:rPr>
      <w:rFonts w:eastAsia="宋体"/>
      <w:kern w:val="2"/>
      <w:sz w:val="18"/>
      <w:szCs w:val="18"/>
      <w:lang w:val="en-US" w:eastAsia="zh-CN" w:bidi="ar-SA"/>
    </w:rPr>
  </w:style>
  <w:style w:type="character" w:customStyle="1" w:styleId="47">
    <w:name w:val="页脚 Char"/>
    <w:link w:val="21"/>
    <w:qFormat/>
    <w:locked/>
    <w:uiPriority w:val="0"/>
    <w:rPr>
      <w:rFonts w:ascii="楷体_GB2312" w:hAnsi="宋体" w:eastAsia="楷体_GB2312"/>
      <w:kern w:val="2"/>
      <w:sz w:val="18"/>
      <w:u w:val="single"/>
      <w:lang w:val="en-US" w:eastAsia="zh-CN" w:bidi="ar-SA"/>
    </w:rPr>
  </w:style>
  <w:style w:type="character" w:customStyle="1" w:styleId="48">
    <w:name w:val="Char Char4"/>
    <w:link w:val="49"/>
    <w:qFormat/>
    <w:uiPriority w:val="0"/>
    <w:rPr>
      <w:rFonts w:eastAsia="宋体"/>
      <w:kern w:val="2"/>
      <w:sz w:val="21"/>
      <w:lang w:val="en-US" w:eastAsia="zh-CN" w:bidi="ar-SA"/>
    </w:rPr>
  </w:style>
  <w:style w:type="paragraph" w:customStyle="1" w:styleId="49">
    <w:name w:val="Char"/>
    <w:basedOn w:val="1"/>
    <w:link w:val="48"/>
    <w:uiPriority w:val="0"/>
  </w:style>
  <w:style w:type="character" w:customStyle="1" w:styleId="50">
    <w:name w:val="标题 Char"/>
    <w:link w:val="32"/>
    <w:locked/>
    <w:uiPriority w:val="0"/>
    <w:rPr>
      <w:rFonts w:ascii="Arial" w:hAnsi="Arial" w:eastAsia="宋体" w:cs="Arial"/>
      <w:b/>
      <w:bCs/>
      <w:kern w:val="2"/>
      <w:sz w:val="32"/>
      <w:szCs w:val="32"/>
      <w:lang w:val="en-US" w:eastAsia="zh-CN" w:bidi="ar-SA"/>
    </w:rPr>
  </w:style>
  <w:style w:type="character" w:customStyle="1" w:styleId="51">
    <w:name w:val="普通文字 Char Char2"/>
    <w:uiPriority w:val="0"/>
    <w:rPr>
      <w:rFonts w:ascii="宋体" w:hAnsi="Courier New" w:eastAsia="宋体"/>
      <w:kern w:val="2"/>
      <w:sz w:val="21"/>
      <w:lang w:val="en-US" w:eastAsia="zh-CN"/>
    </w:rPr>
  </w:style>
  <w:style w:type="character" w:customStyle="1" w:styleId="52">
    <w:name w:val="HTML 预设格式 Char"/>
    <w:link w:val="29"/>
    <w:uiPriority w:val="0"/>
    <w:rPr>
      <w:rFonts w:ascii="Arial Unicode MS" w:hAnsi="Arial Unicode MS" w:eastAsia="Arial Unicode MS"/>
      <w:lang w:bidi="ar-SA"/>
    </w:rPr>
  </w:style>
  <w:style w:type="character" w:customStyle="1" w:styleId="53">
    <w:name w:val="纯文本 Char1"/>
    <w:uiPriority w:val="0"/>
    <w:rPr>
      <w:rFonts w:ascii="宋体" w:hAnsi="Courier New" w:eastAsia="宋体" w:cs="Courier New"/>
      <w:szCs w:val="21"/>
      <w:lang w:val="en-US" w:eastAsia="zh-CN" w:bidi="he-IL"/>
    </w:rPr>
  </w:style>
  <w:style w:type="character" w:customStyle="1" w:styleId="54">
    <w:name w:val="正文文本 Char"/>
    <w:link w:val="12"/>
    <w:uiPriority w:val="0"/>
    <w:rPr>
      <w:rFonts w:ascii="金山简黑体" w:hAnsi="Courier New" w:eastAsia="金山简黑体"/>
      <w:b/>
      <w:spacing w:val="-8"/>
      <w:sz w:val="44"/>
      <w:lang w:bidi="ar-SA"/>
    </w:rPr>
  </w:style>
  <w:style w:type="character" w:customStyle="1" w:styleId="55">
    <w:name w:val="font41"/>
    <w:qFormat/>
    <w:uiPriority w:val="0"/>
    <w:rPr>
      <w:rFonts w:hint="eastAsia" w:ascii="宋体" w:hAnsi="宋体" w:eastAsia="宋体" w:cs="宋体"/>
      <w:color w:val="000000"/>
      <w:sz w:val="22"/>
      <w:szCs w:val="22"/>
      <w:u w:val="none"/>
    </w:rPr>
  </w:style>
  <w:style w:type="character" w:customStyle="1" w:styleId="56">
    <w:name w:val="Char Char8"/>
    <w:qFormat/>
    <w:uiPriority w:val="0"/>
    <w:rPr>
      <w:rFonts w:eastAsia="宋体"/>
      <w:b/>
      <w:kern w:val="2"/>
      <w:sz w:val="32"/>
      <w:lang w:val="en-US" w:eastAsia="zh-CN" w:bidi="ar-SA"/>
    </w:rPr>
  </w:style>
  <w:style w:type="character" w:customStyle="1" w:styleId="57">
    <w:name w:val="列出段落 Char"/>
    <w:link w:val="58"/>
    <w:locked/>
    <w:uiPriority w:val="0"/>
    <w:rPr>
      <w:rFonts w:ascii="宋体" w:hAnsi="宋体" w:eastAsia="宋体"/>
      <w:sz w:val="24"/>
      <w:lang w:bidi="ar-SA"/>
    </w:rPr>
  </w:style>
  <w:style w:type="paragraph" w:styleId="58">
    <w:name w:val="List Paragraph"/>
    <w:basedOn w:val="1"/>
    <w:link w:val="57"/>
    <w:qFormat/>
    <w:uiPriority w:val="0"/>
    <w:pPr>
      <w:spacing w:line="360" w:lineRule="auto"/>
      <w:ind w:firstLine="420" w:firstLineChars="200"/>
    </w:pPr>
    <w:rPr>
      <w:rFonts w:ascii="宋体" w:hAnsi="宋体"/>
      <w:kern w:val="0"/>
      <w:sz w:val="24"/>
    </w:rPr>
  </w:style>
  <w:style w:type="character" w:customStyle="1" w:styleId="59">
    <w:name w:val="批注框文本 Char"/>
    <w:link w:val="20"/>
    <w:semiHidden/>
    <w:qFormat/>
    <w:locked/>
    <w:uiPriority w:val="0"/>
    <w:rPr>
      <w:rFonts w:eastAsia="宋体"/>
      <w:kern w:val="2"/>
      <w:sz w:val="18"/>
      <w:szCs w:val="18"/>
      <w:lang w:val="en-US" w:eastAsia="zh-CN" w:bidi="ar-SA"/>
    </w:rPr>
  </w:style>
  <w:style w:type="character" w:customStyle="1" w:styleId="60">
    <w:name w:val="font01"/>
    <w:qFormat/>
    <w:uiPriority w:val="0"/>
    <w:rPr>
      <w:rFonts w:hint="default" w:ascii="Times New Roman" w:hAnsi="Times New Roman" w:cs="Times New Roman"/>
      <w:color w:val="000000"/>
      <w:sz w:val="22"/>
      <w:szCs w:val="22"/>
      <w:u w:val="none"/>
    </w:rPr>
  </w:style>
  <w:style w:type="character" w:customStyle="1" w:styleId="61">
    <w:name w:val="pt121"/>
    <w:qFormat/>
    <w:uiPriority w:val="0"/>
    <w:rPr>
      <w:sz w:val="18"/>
      <w:szCs w:val="18"/>
    </w:rPr>
  </w:style>
  <w:style w:type="character" w:customStyle="1" w:styleId="62">
    <w:name w:val="font121"/>
    <w:qFormat/>
    <w:uiPriority w:val="0"/>
    <w:rPr>
      <w:rFonts w:ascii="Wingdings 2" w:hAnsi="Wingdings 2" w:eastAsia="Wingdings 2" w:cs="Wingdings 2"/>
      <w:color w:val="000000"/>
      <w:sz w:val="22"/>
      <w:szCs w:val="22"/>
      <w:u w:val="none"/>
    </w:rPr>
  </w:style>
  <w:style w:type="character" w:customStyle="1" w:styleId="63">
    <w:name w:val="纯文本 Char"/>
    <w:qFormat/>
    <w:uiPriority w:val="0"/>
    <w:rPr>
      <w:rFonts w:ascii="宋体" w:hAnsi="Courier New" w:eastAsia="宋体"/>
      <w:kern w:val="2"/>
      <w:sz w:val="21"/>
      <w:lang w:val="en-US" w:eastAsia="zh-CN" w:bidi="ar-SA"/>
    </w:rPr>
  </w:style>
  <w:style w:type="character" w:customStyle="1" w:styleId="64">
    <w:name w:val="font131"/>
    <w:qFormat/>
    <w:uiPriority w:val="0"/>
    <w:rPr>
      <w:rFonts w:hint="eastAsia" w:ascii="宋体" w:hAnsi="宋体" w:eastAsia="宋体" w:cs="宋体"/>
      <w:color w:val="000000"/>
      <w:sz w:val="22"/>
      <w:szCs w:val="22"/>
      <w:u w:val="none"/>
    </w:rPr>
  </w:style>
  <w:style w:type="paragraph" w:customStyle="1" w:styleId="65">
    <w:name w:val="Char Char Char"/>
    <w:basedOn w:val="1"/>
    <w:uiPriority w:val="0"/>
    <w:rPr>
      <w:rFonts w:ascii="Tahoma" w:hAnsi="Tahoma"/>
      <w:sz w:val="24"/>
    </w:rPr>
  </w:style>
  <w:style w:type="paragraph" w:customStyle="1" w:styleId="66">
    <w:name w:val="List Paragraph1"/>
    <w:basedOn w:val="1"/>
    <w:uiPriority w:val="0"/>
    <w:pPr>
      <w:spacing w:line="360" w:lineRule="auto"/>
      <w:ind w:firstLine="420" w:firstLineChars="200"/>
    </w:pPr>
    <w:rPr>
      <w:kern w:val="0"/>
      <w:sz w:val="20"/>
    </w:rPr>
  </w:style>
  <w:style w:type="paragraph" w:customStyle="1" w:styleId="67">
    <w:name w:val="正文1"/>
    <w:uiPriority w:val="0"/>
    <w:pPr>
      <w:jc w:val="both"/>
    </w:pPr>
    <w:rPr>
      <w:rFonts w:ascii="Times New Roman" w:hAnsi="Times New Roman" w:eastAsia="宋体" w:cs="Times New Roman"/>
      <w:lang w:val="en-US" w:eastAsia="zh-CN" w:bidi="ar-SA"/>
    </w:rPr>
  </w:style>
  <w:style w:type="paragraph" w:customStyle="1" w:styleId="68">
    <w:name w:val="列出段落2"/>
    <w:basedOn w:val="1"/>
    <w:qFormat/>
    <w:uiPriority w:val="0"/>
    <w:pPr>
      <w:ind w:firstLine="420" w:firstLineChars="200"/>
    </w:pPr>
    <w:rPr>
      <w:sz w:val="24"/>
      <w:szCs w:val="24"/>
    </w:rPr>
  </w:style>
  <w:style w:type="paragraph" w:customStyle="1" w:styleId="69">
    <w:name w:val="Char Char Char Char"/>
    <w:basedOn w:val="9"/>
    <w:uiPriority w:val="0"/>
    <w:rPr>
      <w:rFonts w:ascii="Tahoma" w:hAnsi="Tahoma"/>
      <w:sz w:val="24"/>
      <w:szCs w:val="24"/>
    </w:rPr>
  </w:style>
  <w:style w:type="paragraph" w:customStyle="1" w:styleId="70">
    <w:name w:val="正文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71">
    <w:name w:val="默认段落字体 Para Char Char Char Char Char Char Char Char Char1 Char Char Char Char Char Char Char"/>
    <w:basedOn w:val="1"/>
    <w:uiPriority w:val="0"/>
    <w:rPr>
      <w:b/>
      <w:bCs/>
      <w:sz w:val="36"/>
      <w:szCs w:val="32"/>
    </w:rPr>
  </w:style>
  <w:style w:type="paragraph" w:customStyle="1" w:styleId="72">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3">
    <w:name w:val="Char1"/>
    <w:basedOn w:val="1"/>
    <w:qFormat/>
    <w:uiPriority w:val="0"/>
    <w:pPr>
      <w:widowControl/>
      <w:spacing w:line="500" w:lineRule="exact"/>
      <w:outlineLvl w:val="2"/>
    </w:pPr>
  </w:style>
  <w:style w:type="paragraph" w:customStyle="1" w:styleId="74">
    <w:name w:val="_Style 2"/>
    <w:basedOn w:val="1"/>
    <w:qFormat/>
    <w:uiPriority w:val="0"/>
    <w:pPr>
      <w:ind w:firstLine="420" w:firstLineChars="200"/>
    </w:pPr>
  </w:style>
  <w:style w:type="paragraph" w:customStyle="1" w:styleId="75">
    <w:name w:val="Char1 Char Char Char Char Char Char Char Char Char Char Char Char Char Char Char"/>
    <w:basedOn w:val="6"/>
    <w:qFormat/>
    <w:uiPriority w:val="0"/>
    <w:pPr>
      <w:tabs>
        <w:tab w:val="left" w:pos="0"/>
      </w:tabs>
      <w:adjustRightInd w:val="0"/>
      <w:spacing w:line="372" w:lineRule="auto"/>
      <w:ind w:left="1360" w:firstLine="403"/>
      <w:textAlignment w:val="baseline"/>
    </w:pPr>
    <w:rPr>
      <w:bCs w:val="0"/>
      <w:szCs w:val="20"/>
    </w:rPr>
  </w:style>
  <w:style w:type="paragraph" w:customStyle="1" w:styleId="76">
    <w:name w:val="1"/>
    <w:basedOn w:val="1"/>
    <w:next w:val="16"/>
    <w:qFormat/>
    <w:uiPriority w:val="0"/>
    <w:rPr>
      <w:rFonts w:ascii="宋体" w:hAnsi="Courier New"/>
    </w:rPr>
  </w:style>
  <w:style w:type="paragraph" w:customStyle="1" w:styleId="77">
    <w:name w:val="retrait3"/>
    <w:basedOn w:val="1"/>
    <w:qFormat/>
    <w:uiPriority w:val="0"/>
    <w:pPr>
      <w:widowControl/>
      <w:spacing w:before="20" w:after="20"/>
      <w:ind w:left="851"/>
      <w:jc w:val="left"/>
    </w:pPr>
    <w:rPr>
      <w:rFonts w:ascii="Arial" w:hAnsi="Arial"/>
      <w:kern w:val="0"/>
      <w:sz w:val="24"/>
      <w:lang w:val="en-GB" w:eastAsia="en-US"/>
    </w:rPr>
  </w:style>
  <w:style w:type="paragraph" w:customStyle="1" w:styleId="78">
    <w:name w:val="bb"/>
    <w:basedOn w:val="1"/>
    <w:qFormat/>
    <w:uiPriority w:val="0"/>
    <w:pPr>
      <w:widowControl/>
      <w:spacing w:before="100" w:beforeAutospacing="1" w:after="100" w:afterAutospacing="1"/>
      <w:jc w:val="left"/>
    </w:pPr>
    <w:rPr>
      <w:rFonts w:hint="eastAsia" w:ascii="金山简隶书" w:hAnsi="金山简隶书" w:eastAsia="金山简隶书" w:cs="金山简隶书"/>
      <w:kern w:val="0"/>
      <w:sz w:val="24"/>
      <w:szCs w:val="24"/>
    </w:rPr>
  </w:style>
  <w:style w:type="paragraph" w:customStyle="1" w:styleId="79">
    <w:name w:val="默认段落字体 Char Char Char"/>
    <w:basedOn w:val="1"/>
    <w:qFormat/>
    <w:uiPriority w:val="0"/>
    <w:pPr>
      <w:widowControl/>
    </w:pPr>
  </w:style>
  <w:style w:type="paragraph" w:customStyle="1" w:styleId="80">
    <w:name w:val="Char Char Char Char Char Char Char"/>
    <w:basedOn w:val="1"/>
    <w:qFormat/>
    <w:uiPriority w:val="0"/>
    <w:rPr>
      <w:szCs w:val="24"/>
    </w:rPr>
  </w:style>
  <w:style w:type="paragraph" w:customStyle="1" w:styleId="81">
    <w:name w:val="列出段落1"/>
    <w:basedOn w:val="1"/>
    <w:qFormat/>
    <w:uiPriority w:val="0"/>
    <w:pPr>
      <w:ind w:firstLine="420" w:firstLineChars="200"/>
    </w:pPr>
    <w:rPr>
      <w:rFonts w:ascii="Calibri" w:hAnsi="Calibri"/>
      <w:sz w:val="24"/>
      <w:szCs w:val="24"/>
    </w:rPr>
  </w:style>
  <w:style w:type="paragraph" w:customStyle="1" w:styleId="82">
    <w:name w:val="p0"/>
    <w:basedOn w:val="1"/>
    <w:qFormat/>
    <w:uiPriority w:val="0"/>
    <w:pPr>
      <w:widowControl/>
    </w:pPr>
    <w:rPr>
      <w:kern w:val="0"/>
      <w:szCs w:val="21"/>
    </w:rPr>
  </w:style>
  <w:style w:type="paragraph" w:customStyle="1" w:styleId="83">
    <w:name w:val="列出段落11"/>
    <w:basedOn w:val="1"/>
    <w:qFormat/>
    <w:uiPriority w:val="0"/>
    <w:pPr>
      <w:ind w:firstLine="420" w:firstLineChars="200"/>
    </w:pPr>
  </w:style>
  <w:style w:type="paragraph" w:customStyle="1" w:styleId="84">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85">
    <w:name w:val="4"/>
    <w:basedOn w:val="1"/>
    <w:next w:val="16"/>
    <w:qFormat/>
    <w:uiPriority w:val="0"/>
    <w:rPr>
      <w:rFonts w:ascii="宋体" w:hAnsi="Courier New"/>
    </w:rPr>
  </w:style>
  <w:style w:type="character" w:customStyle="1" w:styleId="86">
    <w:name w:val="普通文字 Char Char1"/>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C94CFB-2718-4F16-AEF4-1010758B30D1}">
  <ds:schemaRefs/>
</ds:datastoreItem>
</file>

<file path=docProps/app.xml><?xml version="1.0" encoding="utf-8"?>
<Properties xmlns="http://schemas.openxmlformats.org/officeDocument/2006/extended-properties" xmlns:vt="http://schemas.openxmlformats.org/officeDocument/2006/docPropsVTypes">
  <Template>Normal</Template>
  <Company>xyzb</Company>
  <Pages>1</Pages>
  <Words>6588</Words>
  <Characters>37558</Characters>
  <Lines>312</Lines>
  <Paragraphs>88</Paragraphs>
  <TotalTime>0</TotalTime>
  <ScaleCrop>false</ScaleCrop>
  <LinksUpToDate>false</LinksUpToDate>
  <CharactersWithSpaces>44058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2020-09-09T11:14:00Z</dcterms:created>
  <dc:creator>Administrator</dc:creator>
  <cp:lastModifiedBy>安妮的汤圆</cp:lastModifiedBy>
  <cp:lastPrinted>2020-09-15T13:30:00Z</cp:lastPrinted>
  <dcterms:modified xsi:type="dcterms:W3CDTF">2020-10-19T08:57:31Z</dcterms:modified>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