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hAnsi="宋体" w:eastAsia="仿宋_GB2312"/>
          <w:color w:val="auto"/>
          <w:sz w:val="32"/>
          <w:szCs w:val="32"/>
          <w:highlight w:val="none"/>
        </w:rPr>
      </w:pPr>
    </w:p>
    <w:p>
      <w:pPr>
        <w:spacing w:before="120" w:beforeLines="50"/>
        <w:rPr>
          <w:rFonts w:hint="eastAsia" w:ascii="仿宋_GB2312" w:hAnsi="宋体" w:eastAsia="仿宋_GB2312"/>
          <w:b/>
          <w:color w:val="auto"/>
          <w:sz w:val="48"/>
          <w:szCs w:val="48"/>
          <w:highlight w:val="none"/>
        </w:rPr>
      </w:pPr>
    </w:p>
    <w:p>
      <w:pPr>
        <w:snapToGrid w:val="0"/>
        <w:spacing w:before="120" w:beforeLines="50" w:line="360" w:lineRule="auto"/>
        <w:jc w:val="center"/>
        <w:rPr>
          <w:rFonts w:hint="eastAsia" w:ascii="华文新魏" w:hAnsi="宋体" w:eastAsia="华文新魏"/>
          <w:color w:val="auto"/>
          <w:sz w:val="84"/>
          <w:szCs w:val="84"/>
          <w:highlight w:val="none"/>
        </w:rPr>
      </w:pPr>
      <w:r>
        <w:rPr>
          <w:rFonts w:hint="eastAsia" w:ascii="华文新魏" w:hAnsi="宋体" w:eastAsia="华文新魏"/>
          <w:color w:val="auto"/>
          <w:sz w:val="84"/>
          <w:szCs w:val="84"/>
          <w:highlight w:val="none"/>
        </w:rPr>
        <w:t>招 标 文 件</w:t>
      </w:r>
    </w:p>
    <w:p>
      <w:pPr>
        <w:snapToGrid w:val="0"/>
        <w:spacing w:before="120" w:beforeLines="50" w:line="360" w:lineRule="auto"/>
        <w:rPr>
          <w:rFonts w:hint="eastAsia" w:ascii="仿宋_GB2312" w:hAnsi="宋体" w:eastAsia="仿宋_GB2312"/>
          <w:color w:val="auto"/>
          <w:sz w:val="30"/>
          <w:szCs w:val="72"/>
          <w:highlight w:val="none"/>
        </w:rPr>
      </w:pPr>
    </w:p>
    <w:p>
      <w:pPr>
        <w:snapToGrid w:val="0"/>
        <w:spacing w:before="120" w:beforeLines="50" w:line="360" w:lineRule="auto"/>
        <w:rPr>
          <w:rFonts w:hint="eastAsia" w:ascii="仿宋_GB2312" w:hAnsi="宋体" w:eastAsia="仿宋_GB2312"/>
          <w:color w:val="auto"/>
          <w:sz w:val="30"/>
          <w:szCs w:val="72"/>
          <w:highlight w:val="none"/>
        </w:rPr>
      </w:pPr>
    </w:p>
    <w:p>
      <w:pPr>
        <w:pStyle w:val="23"/>
        <w:snapToGrid w:val="0"/>
        <w:spacing w:before="120" w:after="120" w:line="360" w:lineRule="auto"/>
        <w:ind w:firstLine="1"/>
        <w:rPr>
          <w:rFonts w:hint="eastAsia" w:ascii="仿宋_GB2312" w:hAnsi="宋体" w:eastAsia="仿宋_GB2312"/>
          <w:b/>
          <w:bCs/>
          <w:color w:val="auto"/>
          <w:sz w:val="24"/>
          <w:szCs w:val="24"/>
          <w:highlight w:val="none"/>
          <w:lang w:eastAsia="zh-CN"/>
        </w:rPr>
      </w:pPr>
      <w:r>
        <w:rPr>
          <w:rFonts w:hint="eastAsia" w:ascii="仿宋_GB2312" w:hAnsi="宋体" w:eastAsia="仿宋_GB2312" w:cs="Courier New"/>
          <w:b/>
          <w:bCs/>
          <w:color w:val="auto"/>
          <w:w w:val="95"/>
          <w:sz w:val="24"/>
          <w:szCs w:val="24"/>
          <w:highlight w:val="none"/>
        </w:rPr>
        <w:t>项目名称：</w:t>
      </w:r>
      <w:r>
        <w:rPr>
          <w:rFonts w:hint="eastAsia" w:ascii="仿宋_GB2312" w:hAnsi="宋体" w:eastAsia="仿宋_GB2312"/>
          <w:b/>
          <w:color w:val="auto"/>
          <w:sz w:val="24"/>
          <w:szCs w:val="24"/>
          <w:highlight w:val="none"/>
          <w:lang w:eastAsia="zh-CN"/>
        </w:rPr>
        <w:t>北流市人民医院应对突发公共卫生事件能力提升工程项目设备（32排CT）采购</w:t>
      </w:r>
    </w:p>
    <w:p>
      <w:pPr>
        <w:pStyle w:val="23"/>
        <w:snapToGrid w:val="0"/>
        <w:spacing w:before="120" w:after="120" w:line="360" w:lineRule="auto"/>
        <w:ind w:firstLine="1"/>
        <w:rPr>
          <w:rFonts w:hint="eastAsia" w:ascii="仿宋_GB2312" w:hAnsi="宋体" w:eastAsia="仿宋_GB2312"/>
          <w:b/>
          <w:bCs/>
          <w:color w:val="auto"/>
          <w:sz w:val="24"/>
          <w:szCs w:val="24"/>
          <w:highlight w:val="none"/>
          <w:lang w:eastAsia="zh-CN"/>
        </w:rPr>
      </w:pPr>
      <w:r>
        <w:rPr>
          <w:rFonts w:hint="eastAsia" w:ascii="仿宋_GB2312" w:hAnsi="宋体" w:eastAsia="仿宋_GB2312"/>
          <w:b/>
          <w:bCs/>
          <w:color w:val="auto"/>
          <w:sz w:val="24"/>
          <w:szCs w:val="24"/>
          <w:highlight w:val="none"/>
        </w:rPr>
        <w:t>项目编号：</w:t>
      </w:r>
      <w:r>
        <w:rPr>
          <w:rFonts w:hint="eastAsia" w:ascii="仿宋_GB2312" w:hAnsi="宋体" w:eastAsia="仿宋_GB2312"/>
          <w:b/>
          <w:bCs/>
          <w:color w:val="auto"/>
          <w:sz w:val="24"/>
          <w:szCs w:val="24"/>
          <w:highlight w:val="none"/>
          <w:lang w:eastAsia="zh-CN"/>
        </w:rPr>
        <w:t>YLZC2020-G1-810284-YLCH</w:t>
      </w:r>
    </w:p>
    <w:p>
      <w:pPr>
        <w:snapToGrid w:val="0"/>
        <w:spacing w:before="120" w:beforeLines="50" w:line="360" w:lineRule="auto"/>
        <w:rPr>
          <w:rFonts w:hint="eastAsia" w:ascii="仿宋_GB2312" w:hAnsi="宋体" w:eastAsia="仿宋_GB2312"/>
          <w:color w:val="auto"/>
          <w:sz w:val="30"/>
          <w:szCs w:val="72"/>
          <w:highlight w:val="none"/>
        </w:rPr>
      </w:pPr>
    </w:p>
    <w:p>
      <w:pPr>
        <w:snapToGrid w:val="0"/>
        <w:spacing w:before="120" w:beforeLines="50" w:line="360" w:lineRule="auto"/>
        <w:ind w:firstLine="1200" w:firstLineChars="400"/>
        <w:rPr>
          <w:rFonts w:hint="eastAsia" w:ascii="仿宋_GB2312" w:hAnsi="宋体" w:eastAsia="仿宋_GB2312"/>
          <w:color w:val="auto"/>
          <w:sz w:val="30"/>
          <w:szCs w:val="72"/>
          <w:highlight w:val="none"/>
        </w:rPr>
      </w:pPr>
    </w:p>
    <w:p>
      <w:pPr>
        <w:snapToGrid w:val="0"/>
        <w:spacing w:before="120" w:beforeLines="50" w:line="360" w:lineRule="auto"/>
        <w:ind w:firstLine="1200" w:firstLineChars="400"/>
        <w:rPr>
          <w:rFonts w:hint="eastAsia" w:ascii="仿宋_GB2312" w:hAnsi="宋体" w:eastAsia="仿宋_GB2312"/>
          <w:color w:val="auto"/>
          <w:sz w:val="30"/>
          <w:szCs w:val="72"/>
          <w:highlight w:val="none"/>
        </w:rPr>
      </w:pPr>
    </w:p>
    <w:p>
      <w:pPr>
        <w:pStyle w:val="23"/>
        <w:snapToGrid w:val="0"/>
        <w:spacing w:before="120" w:after="120" w:line="360" w:lineRule="auto"/>
        <w:ind w:firstLine="1125" w:firstLineChars="393"/>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w w:val="95"/>
          <w:sz w:val="30"/>
          <w:szCs w:val="30"/>
          <w:highlight w:val="none"/>
          <w:lang w:eastAsia="zh-CN"/>
        </w:rPr>
        <w:t>北流市人民医院</w:t>
      </w:r>
      <w:r>
        <w:rPr>
          <w:rFonts w:hint="eastAsia" w:ascii="仿宋_GB2312" w:hAnsi="宋体" w:eastAsia="仿宋_GB2312"/>
          <w:b/>
          <w:bCs/>
          <w:color w:val="auto"/>
          <w:w w:val="95"/>
          <w:sz w:val="30"/>
          <w:szCs w:val="30"/>
          <w:highlight w:val="none"/>
        </w:rPr>
        <w:t xml:space="preserve"> </w:t>
      </w:r>
    </w:p>
    <w:p>
      <w:pPr>
        <w:pStyle w:val="23"/>
        <w:snapToGrid w:val="0"/>
        <w:spacing w:before="120" w:after="120" w:line="360" w:lineRule="auto"/>
        <w:rPr>
          <w:rFonts w:hint="eastAsia" w:ascii="仿宋_GB2312" w:hAnsi="宋体" w:eastAsia="仿宋_GB2312"/>
          <w:b/>
          <w:bCs/>
          <w:color w:val="auto"/>
          <w:w w:val="95"/>
          <w:sz w:val="30"/>
          <w:szCs w:val="30"/>
          <w:highlight w:val="none"/>
          <w:lang w:eastAsia="zh-CN"/>
        </w:rPr>
      </w:pPr>
    </w:p>
    <w:p>
      <w:pPr>
        <w:pStyle w:val="23"/>
        <w:snapToGrid w:val="0"/>
        <w:spacing w:before="120" w:after="120" w:line="360" w:lineRule="auto"/>
        <w:ind w:firstLine="1125" w:firstLineChars="393"/>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采购代理机构：</w:t>
      </w:r>
      <w:r>
        <w:rPr>
          <w:rFonts w:hint="eastAsia" w:ascii="仿宋_GB2312" w:hAnsi="宋体" w:eastAsia="仿宋_GB2312"/>
          <w:b/>
          <w:bCs/>
          <w:color w:val="auto"/>
          <w:w w:val="95"/>
          <w:sz w:val="30"/>
          <w:szCs w:val="30"/>
          <w:highlight w:val="none"/>
          <w:lang w:eastAsia="zh-CN"/>
        </w:rPr>
        <w:t>玉林承浩项目管理有限公司</w:t>
      </w:r>
    </w:p>
    <w:p>
      <w:pPr>
        <w:pStyle w:val="23"/>
        <w:snapToGrid w:val="0"/>
        <w:spacing w:before="120" w:after="120" w:line="360" w:lineRule="auto"/>
        <w:ind w:firstLine="841" w:firstLineChars="294"/>
        <w:rPr>
          <w:rFonts w:hint="eastAsia" w:ascii="仿宋_GB2312" w:eastAsia="仿宋_GB2312"/>
          <w:color w:val="auto"/>
          <w:szCs w:val="20"/>
          <w:highlight w:val="none"/>
          <w:lang w:eastAsia="zh-CN"/>
        </w:rPr>
      </w:pPr>
      <w:r>
        <w:rPr>
          <w:rFonts w:hint="eastAsia" w:ascii="仿宋_GB2312" w:hAnsi="宋体" w:eastAsia="仿宋_GB2312"/>
          <w:b/>
          <w:bCs/>
          <w:color w:val="auto"/>
          <w:w w:val="95"/>
          <w:sz w:val="30"/>
          <w:szCs w:val="30"/>
          <w:highlight w:val="none"/>
        </w:rPr>
        <w:t xml:space="preserve">               </w:t>
      </w:r>
      <w:r>
        <w:rPr>
          <w:rFonts w:hint="eastAsia" w:ascii="仿宋_GB2312" w:hAnsi="宋体" w:eastAsia="仿宋_GB2312"/>
          <w:b/>
          <w:bCs/>
          <w:color w:val="auto"/>
          <w:w w:val="95"/>
          <w:sz w:val="30"/>
          <w:szCs w:val="30"/>
          <w:highlight w:val="none"/>
          <w:lang w:eastAsia="zh-CN"/>
        </w:rPr>
        <w:t>2020</w:t>
      </w:r>
      <w:r>
        <w:rPr>
          <w:rFonts w:hint="eastAsia" w:ascii="仿宋_GB2312" w:hAnsi="宋体" w:eastAsia="仿宋_GB2312"/>
          <w:b/>
          <w:bCs/>
          <w:color w:val="auto"/>
          <w:w w:val="95"/>
          <w:sz w:val="30"/>
          <w:szCs w:val="30"/>
          <w:highlight w:val="none"/>
        </w:rPr>
        <w:t>年</w:t>
      </w:r>
      <w:r>
        <w:rPr>
          <w:rFonts w:hint="eastAsia" w:ascii="仿宋_GB2312" w:hAnsi="宋体" w:eastAsia="仿宋_GB2312"/>
          <w:b/>
          <w:bCs/>
          <w:color w:val="auto"/>
          <w:w w:val="95"/>
          <w:sz w:val="30"/>
          <w:szCs w:val="30"/>
          <w:highlight w:val="none"/>
          <w:lang w:val="en-US" w:eastAsia="zh-CN"/>
        </w:rPr>
        <w:t>11</w:t>
      </w:r>
      <w:r>
        <w:rPr>
          <w:rFonts w:hint="eastAsia" w:ascii="仿宋_GB2312" w:hAnsi="宋体" w:eastAsia="仿宋_GB2312"/>
          <w:b/>
          <w:bCs/>
          <w:color w:val="auto"/>
          <w:w w:val="95"/>
          <w:sz w:val="30"/>
          <w:szCs w:val="30"/>
          <w:highlight w:val="none"/>
        </w:rPr>
        <w:t>月</w:t>
      </w:r>
      <w:r>
        <w:rPr>
          <w:rFonts w:ascii="仿宋_GB2312" w:hAnsi="宋体" w:eastAsia="仿宋_GB2312"/>
          <w:color w:val="auto"/>
          <w:highlight w:val="none"/>
        </w:rPr>
        <w:br w:type="page"/>
      </w:r>
    </w:p>
    <w:p>
      <w:pPr>
        <w:pStyle w:val="23"/>
        <w:spacing w:before="120" w:after="120" w:line="360" w:lineRule="auto"/>
        <w:jc w:val="center"/>
        <w:rPr>
          <w:rFonts w:hint="eastAsia" w:ascii="仿宋_GB2312" w:hAnsi="宋体" w:eastAsia="仿宋_GB2312"/>
          <w:b/>
          <w:color w:val="auto"/>
          <w:sz w:val="48"/>
          <w:szCs w:val="48"/>
          <w:highlight w:val="none"/>
        </w:rPr>
      </w:pPr>
      <w:r>
        <w:rPr>
          <w:rFonts w:hint="eastAsia" w:ascii="仿宋_GB2312" w:hAnsi="宋体" w:eastAsia="仿宋_GB2312"/>
          <w:b/>
          <w:color w:val="auto"/>
          <w:sz w:val="48"/>
          <w:szCs w:val="48"/>
          <w:highlight w:val="none"/>
        </w:rPr>
        <w:t>目    录</w:t>
      </w:r>
    </w:p>
    <w:p>
      <w:pPr>
        <w:pStyle w:val="37"/>
        <w:tabs>
          <w:tab w:val="right" w:leader="dot" w:pos="9402"/>
        </w:tabs>
        <w:spacing w:line="600" w:lineRule="exact"/>
        <w:rPr>
          <w:rFonts w:ascii="宋体" w:hAnsi="宋体"/>
          <w:color w:val="auto"/>
          <w:sz w:val="28"/>
          <w:szCs w:val="28"/>
          <w:highlight w:val="none"/>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TOC \o "1-2" \h \z \u</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ascii="宋体" w:hAnsi="宋体"/>
          <w:color w:val="auto"/>
          <w:sz w:val="28"/>
          <w:szCs w:val="28"/>
          <w:highlight w:val="none"/>
        </w:rPr>
        <w:fldChar w:fldCharType="begin"/>
      </w:r>
      <w:r>
        <w:rPr>
          <w:rStyle w:val="50"/>
          <w:rFonts w:ascii="宋体" w:hAnsi="宋体"/>
          <w:color w:val="auto"/>
          <w:sz w:val="28"/>
          <w:szCs w:val="28"/>
          <w:highlight w:val="none"/>
        </w:rPr>
        <w:instrText xml:space="preserve"> </w:instrText>
      </w:r>
      <w:r>
        <w:rPr>
          <w:rFonts w:ascii="宋体" w:hAnsi="宋体"/>
          <w:color w:val="auto"/>
          <w:sz w:val="28"/>
          <w:szCs w:val="28"/>
          <w:highlight w:val="none"/>
        </w:rPr>
        <w:instrText xml:space="preserve">HYPERLINK \l "_Toc54691740"</w:instrText>
      </w:r>
      <w:r>
        <w:rPr>
          <w:rStyle w:val="50"/>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Style w:val="50"/>
          <w:rFonts w:hint="eastAsia" w:ascii="宋体" w:hAnsi="宋体"/>
          <w:color w:val="auto"/>
          <w:sz w:val="28"/>
          <w:szCs w:val="28"/>
          <w:highlight w:val="none"/>
        </w:rPr>
        <w:t>第一章</w:t>
      </w:r>
      <w:r>
        <w:rPr>
          <w:rStyle w:val="50"/>
          <w:rFonts w:ascii="宋体" w:hAnsi="宋体"/>
          <w:color w:val="auto"/>
          <w:sz w:val="28"/>
          <w:szCs w:val="28"/>
          <w:highlight w:val="none"/>
        </w:rPr>
        <w:t xml:space="preserve">  </w:t>
      </w:r>
      <w:r>
        <w:rPr>
          <w:rStyle w:val="50"/>
          <w:rFonts w:hint="eastAsia" w:ascii="宋体" w:hAnsi="宋体"/>
          <w:color w:val="auto"/>
          <w:sz w:val="28"/>
          <w:szCs w:val="28"/>
          <w:highlight w:val="none"/>
        </w:rPr>
        <w:t>招标公告</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_Toc54691740 \h </w:instrText>
      </w:r>
      <w:r>
        <w:rPr>
          <w:rFonts w:ascii="宋体" w:hAnsi="宋体"/>
          <w:color w:val="auto"/>
          <w:sz w:val="28"/>
          <w:szCs w:val="28"/>
          <w:highlight w:val="none"/>
        </w:rPr>
        <w:fldChar w:fldCharType="separate"/>
      </w:r>
      <w:r>
        <w:rPr>
          <w:rFonts w:ascii="宋体" w:hAnsi="宋体"/>
          <w:color w:val="auto"/>
          <w:sz w:val="28"/>
          <w:szCs w:val="28"/>
          <w:highlight w:val="none"/>
        </w:rPr>
        <w:t>2</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37"/>
        <w:tabs>
          <w:tab w:val="right" w:leader="dot" w:pos="9402"/>
        </w:tabs>
        <w:spacing w:line="600" w:lineRule="exact"/>
        <w:rPr>
          <w:rFonts w:ascii="宋体" w:hAnsi="宋体"/>
          <w:color w:val="auto"/>
          <w:sz w:val="28"/>
          <w:szCs w:val="28"/>
          <w:highlight w:val="none"/>
        </w:rPr>
      </w:pPr>
      <w:r>
        <w:rPr>
          <w:rFonts w:ascii="宋体" w:hAnsi="宋体"/>
          <w:color w:val="auto"/>
          <w:sz w:val="28"/>
          <w:szCs w:val="28"/>
          <w:highlight w:val="none"/>
        </w:rPr>
        <w:fldChar w:fldCharType="begin"/>
      </w:r>
      <w:r>
        <w:rPr>
          <w:rStyle w:val="50"/>
          <w:rFonts w:ascii="宋体" w:hAnsi="宋体"/>
          <w:color w:val="auto"/>
          <w:sz w:val="28"/>
          <w:szCs w:val="28"/>
          <w:highlight w:val="none"/>
        </w:rPr>
        <w:instrText xml:space="preserve"> </w:instrText>
      </w:r>
      <w:r>
        <w:rPr>
          <w:rFonts w:ascii="宋体" w:hAnsi="宋体"/>
          <w:color w:val="auto"/>
          <w:sz w:val="28"/>
          <w:szCs w:val="28"/>
          <w:highlight w:val="none"/>
        </w:rPr>
        <w:instrText xml:space="preserve">HYPERLINK \l "_Toc54691748"</w:instrText>
      </w:r>
      <w:r>
        <w:rPr>
          <w:rStyle w:val="50"/>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Style w:val="50"/>
          <w:rFonts w:hint="eastAsia" w:ascii="宋体" w:hAnsi="宋体"/>
          <w:color w:val="auto"/>
          <w:sz w:val="28"/>
          <w:szCs w:val="28"/>
          <w:highlight w:val="none"/>
        </w:rPr>
        <w:t>第二章</w:t>
      </w:r>
      <w:r>
        <w:rPr>
          <w:rStyle w:val="50"/>
          <w:rFonts w:ascii="宋体" w:hAnsi="宋体"/>
          <w:color w:val="auto"/>
          <w:sz w:val="28"/>
          <w:szCs w:val="28"/>
          <w:highlight w:val="none"/>
        </w:rPr>
        <w:t xml:space="preserve">  </w:t>
      </w:r>
      <w:r>
        <w:rPr>
          <w:rStyle w:val="50"/>
          <w:rFonts w:hint="eastAsia" w:ascii="宋体" w:hAnsi="宋体"/>
          <w:color w:val="auto"/>
          <w:sz w:val="28"/>
          <w:szCs w:val="28"/>
          <w:highlight w:val="none"/>
        </w:rPr>
        <w:t>采购需求</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_Toc54691748 \h </w:instrText>
      </w:r>
      <w:r>
        <w:rPr>
          <w:rFonts w:ascii="宋体" w:hAnsi="宋体"/>
          <w:color w:val="auto"/>
          <w:sz w:val="28"/>
          <w:szCs w:val="28"/>
          <w:highlight w:val="none"/>
        </w:rPr>
        <w:fldChar w:fldCharType="separate"/>
      </w:r>
      <w:r>
        <w:rPr>
          <w:rFonts w:ascii="宋体" w:hAnsi="宋体"/>
          <w:color w:val="auto"/>
          <w:sz w:val="28"/>
          <w:szCs w:val="28"/>
          <w:highlight w:val="none"/>
        </w:rPr>
        <w:t>5</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37"/>
        <w:tabs>
          <w:tab w:val="right" w:leader="dot" w:pos="9402"/>
        </w:tabs>
        <w:spacing w:line="600" w:lineRule="exact"/>
        <w:rPr>
          <w:rFonts w:ascii="宋体" w:hAnsi="宋体"/>
          <w:color w:val="auto"/>
          <w:sz w:val="28"/>
          <w:szCs w:val="28"/>
          <w:highlight w:val="none"/>
        </w:rPr>
      </w:pPr>
      <w:r>
        <w:rPr>
          <w:rFonts w:ascii="宋体" w:hAnsi="宋体"/>
          <w:color w:val="auto"/>
          <w:sz w:val="28"/>
          <w:szCs w:val="28"/>
          <w:highlight w:val="none"/>
        </w:rPr>
        <w:fldChar w:fldCharType="begin"/>
      </w:r>
      <w:r>
        <w:rPr>
          <w:rStyle w:val="50"/>
          <w:rFonts w:ascii="宋体" w:hAnsi="宋体"/>
          <w:color w:val="auto"/>
          <w:sz w:val="28"/>
          <w:szCs w:val="28"/>
          <w:highlight w:val="none"/>
        </w:rPr>
        <w:instrText xml:space="preserve"> </w:instrText>
      </w:r>
      <w:r>
        <w:rPr>
          <w:rFonts w:ascii="宋体" w:hAnsi="宋体"/>
          <w:color w:val="auto"/>
          <w:sz w:val="28"/>
          <w:szCs w:val="28"/>
          <w:highlight w:val="none"/>
        </w:rPr>
        <w:instrText xml:space="preserve">HYPERLINK \l "_Toc54691749"</w:instrText>
      </w:r>
      <w:r>
        <w:rPr>
          <w:rStyle w:val="50"/>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Style w:val="50"/>
          <w:rFonts w:hint="eastAsia" w:ascii="宋体" w:hAnsi="宋体"/>
          <w:color w:val="auto"/>
          <w:sz w:val="28"/>
          <w:szCs w:val="28"/>
          <w:highlight w:val="none"/>
        </w:rPr>
        <w:t>第三章</w:t>
      </w:r>
      <w:r>
        <w:rPr>
          <w:rStyle w:val="50"/>
          <w:rFonts w:ascii="宋体" w:hAnsi="宋体"/>
          <w:color w:val="auto"/>
          <w:sz w:val="28"/>
          <w:szCs w:val="28"/>
          <w:highlight w:val="none"/>
        </w:rPr>
        <w:t xml:space="preserve">  </w:t>
      </w:r>
      <w:r>
        <w:rPr>
          <w:rStyle w:val="50"/>
          <w:rFonts w:hint="eastAsia" w:ascii="宋体" w:hAnsi="宋体"/>
          <w:color w:val="auto"/>
          <w:sz w:val="28"/>
          <w:szCs w:val="28"/>
          <w:highlight w:val="none"/>
        </w:rPr>
        <w:t>投标人须知</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_Toc54691749 \h </w:instrText>
      </w:r>
      <w:r>
        <w:rPr>
          <w:rFonts w:ascii="宋体" w:hAnsi="宋体"/>
          <w:color w:val="auto"/>
          <w:sz w:val="28"/>
          <w:szCs w:val="28"/>
          <w:highlight w:val="none"/>
        </w:rPr>
        <w:fldChar w:fldCharType="separate"/>
      </w:r>
      <w:r>
        <w:rPr>
          <w:rFonts w:ascii="宋体" w:hAnsi="宋体"/>
          <w:color w:val="auto"/>
          <w:sz w:val="28"/>
          <w:szCs w:val="28"/>
          <w:highlight w:val="none"/>
        </w:rPr>
        <w:t>5</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37"/>
        <w:tabs>
          <w:tab w:val="right" w:leader="dot" w:pos="9402"/>
        </w:tabs>
        <w:spacing w:line="600" w:lineRule="exact"/>
        <w:rPr>
          <w:rFonts w:ascii="宋体" w:hAnsi="宋体"/>
          <w:color w:val="auto"/>
          <w:sz w:val="28"/>
          <w:szCs w:val="28"/>
          <w:highlight w:val="none"/>
        </w:rPr>
      </w:pPr>
      <w:r>
        <w:rPr>
          <w:rFonts w:ascii="宋体" w:hAnsi="宋体"/>
          <w:color w:val="auto"/>
          <w:sz w:val="28"/>
          <w:szCs w:val="28"/>
          <w:highlight w:val="none"/>
        </w:rPr>
        <w:fldChar w:fldCharType="begin"/>
      </w:r>
      <w:r>
        <w:rPr>
          <w:rStyle w:val="50"/>
          <w:rFonts w:ascii="宋体" w:hAnsi="宋体"/>
          <w:color w:val="auto"/>
          <w:sz w:val="28"/>
          <w:szCs w:val="28"/>
          <w:highlight w:val="none"/>
        </w:rPr>
        <w:instrText xml:space="preserve"> </w:instrText>
      </w:r>
      <w:r>
        <w:rPr>
          <w:rFonts w:ascii="宋体" w:hAnsi="宋体"/>
          <w:color w:val="auto"/>
          <w:sz w:val="28"/>
          <w:szCs w:val="28"/>
          <w:highlight w:val="none"/>
        </w:rPr>
        <w:instrText xml:space="preserve">HYPERLINK \l "_Toc54691750"</w:instrText>
      </w:r>
      <w:r>
        <w:rPr>
          <w:rStyle w:val="50"/>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Style w:val="50"/>
          <w:rFonts w:hint="eastAsia" w:ascii="宋体" w:hAnsi="宋体"/>
          <w:color w:val="auto"/>
          <w:sz w:val="28"/>
          <w:szCs w:val="28"/>
          <w:highlight w:val="none"/>
        </w:rPr>
        <w:t>第四章</w:t>
      </w:r>
      <w:r>
        <w:rPr>
          <w:rStyle w:val="50"/>
          <w:rFonts w:ascii="宋体" w:hAnsi="宋体"/>
          <w:color w:val="auto"/>
          <w:sz w:val="28"/>
          <w:szCs w:val="28"/>
          <w:highlight w:val="none"/>
        </w:rPr>
        <w:t xml:space="preserve">  </w:t>
      </w:r>
      <w:r>
        <w:rPr>
          <w:rStyle w:val="50"/>
          <w:rFonts w:hint="eastAsia" w:ascii="宋体" w:hAnsi="宋体"/>
          <w:color w:val="auto"/>
          <w:sz w:val="28"/>
          <w:szCs w:val="28"/>
          <w:highlight w:val="none"/>
        </w:rPr>
        <w:t>评标方法及评标标准</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_Toc54691750 \h </w:instrText>
      </w:r>
      <w:r>
        <w:rPr>
          <w:rFonts w:ascii="宋体" w:hAnsi="宋体"/>
          <w:color w:val="auto"/>
          <w:sz w:val="28"/>
          <w:szCs w:val="28"/>
          <w:highlight w:val="none"/>
        </w:rPr>
        <w:fldChar w:fldCharType="separate"/>
      </w:r>
      <w:r>
        <w:rPr>
          <w:rFonts w:ascii="宋体" w:hAnsi="宋体"/>
          <w:color w:val="auto"/>
          <w:sz w:val="28"/>
          <w:szCs w:val="28"/>
          <w:highlight w:val="none"/>
        </w:rPr>
        <w:t>16</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37"/>
        <w:tabs>
          <w:tab w:val="right" w:leader="dot" w:pos="9402"/>
        </w:tabs>
        <w:spacing w:line="600" w:lineRule="exact"/>
        <w:rPr>
          <w:rFonts w:ascii="宋体" w:hAnsi="宋体"/>
          <w:color w:val="auto"/>
          <w:sz w:val="28"/>
          <w:szCs w:val="28"/>
          <w:highlight w:val="none"/>
        </w:rPr>
      </w:pPr>
      <w:r>
        <w:rPr>
          <w:rFonts w:ascii="宋体" w:hAnsi="宋体"/>
          <w:color w:val="auto"/>
          <w:sz w:val="28"/>
          <w:szCs w:val="28"/>
          <w:highlight w:val="none"/>
        </w:rPr>
        <w:fldChar w:fldCharType="begin"/>
      </w:r>
      <w:r>
        <w:rPr>
          <w:rStyle w:val="50"/>
          <w:rFonts w:ascii="宋体" w:hAnsi="宋体"/>
          <w:color w:val="auto"/>
          <w:sz w:val="28"/>
          <w:szCs w:val="28"/>
          <w:highlight w:val="none"/>
        </w:rPr>
        <w:instrText xml:space="preserve"> </w:instrText>
      </w:r>
      <w:r>
        <w:rPr>
          <w:rFonts w:ascii="宋体" w:hAnsi="宋体"/>
          <w:color w:val="auto"/>
          <w:sz w:val="28"/>
          <w:szCs w:val="28"/>
          <w:highlight w:val="none"/>
        </w:rPr>
        <w:instrText xml:space="preserve">HYPERLINK \l "_Toc54691751"</w:instrText>
      </w:r>
      <w:r>
        <w:rPr>
          <w:rStyle w:val="50"/>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Style w:val="50"/>
          <w:rFonts w:hint="eastAsia" w:ascii="宋体" w:hAnsi="宋体"/>
          <w:color w:val="auto"/>
          <w:sz w:val="28"/>
          <w:szCs w:val="28"/>
          <w:highlight w:val="none"/>
        </w:rPr>
        <w:t>第五章</w:t>
      </w:r>
      <w:r>
        <w:rPr>
          <w:rStyle w:val="50"/>
          <w:rFonts w:ascii="宋体" w:hAnsi="宋体"/>
          <w:color w:val="auto"/>
          <w:sz w:val="28"/>
          <w:szCs w:val="28"/>
          <w:highlight w:val="none"/>
        </w:rPr>
        <w:t xml:space="preserve">  </w:t>
      </w:r>
      <w:r>
        <w:rPr>
          <w:rStyle w:val="50"/>
          <w:rFonts w:hint="eastAsia" w:ascii="宋体" w:hAnsi="宋体"/>
          <w:color w:val="auto"/>
          <w:sz w:val="28"/>
          <w:szCs w:val="28"/>
          <w:highlight w:val="none"/>
        </w:rPr>
        <w:t>拟签订的合同文本</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_Toc54691751 \h </w:instrText>
      </w:r>
      <w:r>
        <w:rPr>
          <w:rFonts w:ascii="宋体" w:hAnsi="宋体"/>
          <w:color w:val="auto"/>
          <w:sz w:val="28"/>
          <w:szCs w:val="28"/>
          <w:highlight w:val="none"/>
        </w:rPr>
        <w:fldChar w:fldCharType="separate"/>
      </w:r>
      <w:r>
        <w:rPr>
          <w:rFonts w:ascii="宋体" w:hAnsi="宋体"/>
          <w:color w:val="auto"/>
          <w:sz w:val="28"/>
          <w:szCs w:val="28"/>
          <w:highlight w:val="none"/>
        </w:rPr>
        <w:t>16</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37"/>
        <w:tabs>
          <w:tab w:val="right" w:leader="dot" w:pos="9402"/>
        </w:tabs>
        <w:spacing w:line="600" w:lineRule="exact"/>
        <w:rPr>
          <w:rFonts w:ascii="宋体" w:hAnsi="宋体"/>
          <w:color w:val="auto"/>
          <w:sz w:val="28"/>
          <w:szCs w:val="28"/>
          <w:highlight w:val="none"/>
        </w:rPr>
      </w:pPr>
      <w:r>
        <w:rPr>
          <w:rFonts w:ascii="宋体" w:hAnsi="宋体"/>
          <w:color w:val="auto"/>
          <w:sz w:val="28"/>
          <w:szCs w:val="28"/>
          <w:highlight w:val="none"/>
        </w:rPr>
        <w:fldChar w:fldCharType="begin"/>
      </w:r>
      <w:r>
        <w:rPr>
          <w:rStyle w:val="50"/>
          <w:rFonts w:ascii="宋体" w:hAnsi="宋体"/>
          <w:color w:val="auto"/>
          <w:sz w:val="28"/>
          <w:szCs w:val="28"/>
          <w:highlight w:val="none"/>
        </w:rPr>
        <w:instrText xml:space="preserve"> </w:instrText>
      </w:r>
      <w:r>
        <w:rPr>
          <w:rFonts w:ascii="宋体" w:hAnsi="宋体"/>
          <w:color w:val="auto"/>
          <w:sz w:val="28"/>
          <w:szCs w:val="28"/>
          <w:highlight w:val="none"/>
        </w:rPr>
        <w:instrText xml:space="preserve">HYPERLINK \l "_Toc54691752"</w:instrText>
      </w:r>
      <w:r>
        <w:rPr>
          <w:rStyle w:val="50"/>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Style w:val="50"/>
          <w:rFonts w:hint="eastAsia" w:ascii="宋体" w:hAnsi="宋体"/>
          <w:color w:val="auto"/>
          <w:sz w:val="28"/>
          <w:szCs w:val="28"/>
          <w:highlight w:val="none"/>
        </w:rPr>
        <w:t>第六章　投标文件格式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_Toc54691752 \h </w:instrText>
      </w:r>
      <w:r>
        <w:rPr>
          <w:rFonts w:ascii="宋体" w:hAnsi="宋体"/>
          <w:color w:val="auto"/>
          <w:sz w:val="28"/>
          <w:szCs w:val="28"/>
          <w:highlight w:val="none"/>
        </w:rPr>
        <w:fldChar w:fldCharType="separate"/>
      </w:r>
      <w:r>
        <w:rPr>
          <w:rFonts w:ascii="宋体" w:hAnsi="宋体"/>
          <w:color w:val="auto"/>
          <w:sz w:val="28"/>
          <w:szCs w:val="28"/>
          <w:highlight w:val="none"/>
        </w:rPr>
        <w:t>16</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37"/>
        <w:tabs>
          <w:tab w:val="right" w:leader="dot" w:pos="9402"/>
        </w:tabs>
        <w:spacing w:line="600" w:lineRule="exact"/>
        <w:rPr>
          <w:rFonts w:ascii="宋体" w:hAnsi="宋体"/>
          <w:color w:val="auto"/>
          <w:sz w:val="28"/>
          <w:szCs w:val="28"/>
          <w:highlight w:val="none"/>
        </w:rPr>
      </w:pPr>
      <w:r>
        <w:rPr>
          <w:rFonts w:ascii="宋体" w:hAnsi="宋体"/>
          <w:color w:val="auto"/>
          <w:sz w:val="28"/>
          <w:szCs w:val="28"/>
          <w:highlight w:val="none"/>
        </w:rPr>
        <w:fldChar w:fldCharType="begin"/>
      </w:r>
      <w:r>
        <w:rPr>
          <w:rStyle w:val="50"/>
          <w:rFonts w:ascii="宋体" w:hAnsi="宋体"/>
          <w:color w:val="auto"/>
          <w:sz w:val="28"/>
          <w:szCs w:val="28"/>
          <w:highlight w:val="none"/>
        </w:rPr>
        <w:instrText xml:space="preserve"> </w:instrText>
      </w:r>
      <w:r>
        <w:rPr>
          <w:rFonts w:ascii="宋体" w:hAnsi="宋体"/>
          <w:color w:val="auto"/>
          <w:sz w:val="28"/>
          <w:szCs w:val="28"/>
          <w:highlight w:val="none"/>
        </w:rPr>
        <w:instrText xml:space="preserve">HYPERLINK \l "_Toc54691753"</w:instrText>
      </w:r>
      <w:r>
        <w:rPr>
          <w:rStyle w:val="50"/>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Style w:val="50"/>
          <w:rFonts w:hint="eastAsia" w:ascii="宋体" w:hAnsi="宋体"/>
          <w:bCs/>
          <w:color w:val="auto"/>
          <w:sz w:val="28"/>
          <w:szCs w:val="28"/>
          <w:highlight w:val="none"/>
        </w:rPr>
        <w:t>一、投标文件外层包装封面格式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_Toc54691753 \h </w:instrText>
      </w:r>
      <w:r>
        <w:rPr>
          <w:rFonts w:ascii="宋体" w:hAnsi="宋体"/>
          <w:color w:val="auto"/>
          <w:sz w:val="28"/>
          <w:szCs w:val="28"/>
          <w:highlight w:val="none"/>
        </w:rPr>
        <w:fldChar w:fldCharType="separate"/>
      </w:r>
      <w:r>
        <w:rPr>
          <w:rFonts w:ascii="宋体" w:hAnsi="宋体"/>
          <w:color w:val="auto"/>
          <w:sz w:val="28"/>
          <w:szCs w:val="28"/>
          <w:highlight w:val="none"/>
        </w:rPr>
        <w:t>16</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37"/>
        <w:tabs>
          <w:tab w:val="right" w:leader="dot" w:pos="9402"/>
        </w:tabs>
        <w:spacing w:line="600" w:lineRule="exact"/>
        <w:rPr>
          <w:rFonts w:ascii="宋体" w:hAnsi="宋体"/>
          <w:color w:val="auto"/>
          <w:sz w:val="28"/>
          <w:szCs w:val="28"/>
          <w:highlight w:val="none"/>
        </w:rPr>
      </w:pPr>
      <w:r>
        <w:rPr>
          <w:rFonts w:ascii="宋体" w:hAnsi="宋体"/>
          <w:color w:val="auto"/>
          <w:sz w:val="28"/>
          <w:szCs w:val="28"/>
          <w:highlight w:val="none"/>
        </w:rPr>
        <w:fldChar w:fldCharType="begin"/>
      </w:r>
      <w:r>
        <w:rPr>
          <w:rStyle w:val="50"/>
          <w:rFonts w:ascii="宋体" w:hAnsi="宋体"/>
          <w:color w:val="auto"/>
          <w:sz w:val="28"/>
          <w:szCs w:val="28"/>
          <w:highlight w:val="none"/>
        </w:rPr>
        <w:instrText xml:space="preserve"> </w:instrText>
      </w:r>
      <w:r>
        <w:rPr>
          <w:rFonts w:ascii="宋体" w:hAnsi="宋体"/>
          <w:color w:val="auto"/>
          <w:sz w:val="28"/>
          <w:szCs w:val="28"/>
          <w:highlight w:val="none"/>
        </w:rPr>
        <w:instrText xml:space="preserve">HYPERLINK \l "_Toc54691755"</w:instrText>
      </w:r>
      <w:r>
        <w:rPr>
          <w:rStyle w:val="50"/>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Style w:val="50"/>
          <w:rFonts w:hint="eastAsia" w:ascii="宋体" w:hAnsi="宋体"/>
          <w:bCs/>
          <w:color w:val="auto"/>
          <w:sz w:val="28"/>
          <w:szCs w:val="28"/>
          <w:highlight w:val="none"/>
        </w:rPr>
        <w:t>二、报价文件格式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_Toc54691755 \h </w:instrText>
      </w:r>
      <w:r>
        <w:rPr>
          <w:rFonts w:ascii="宋体" w:hAnsi="宋体"/>
          <w:color w:val="auto"/>
          <w:sz w:val="28"/>
          <w:szCs w:val="28"/>
          <w:highlight w:val="none"/>
        </w:rPr>
        <w:fldChar w:fldCharType="separate"/>
      </w:r>
      <w:r>
        <w:rPr>
          <w:rFonts w:ascii="宋体" w:hAnsi="宋体"/>
          <w:color w:val="auto"/>
          <w:sz w:val="28"/>
          <w:szCs w:val="28"/>
          <w:highlight w:val="none"/>
        </w:rPr>
        <w:t>16</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37"/>
        <w:tabs>
          <w:tab w:val="right" w:leader="dot" w:pos="9402"/>
        </w:tabs>
        <w:spacing w:line="600" w:lineRule="exact"/>
        <w:rPr>
          <w:rFonts w:ascii="宋体" w:hAnsi="宋体"/>
          <w:color w:val="auto"/>
          <w:sz w:val="28"/>
          <w:szCs w:val="28"/>
          <w:highlight w:val="none"/>
        </w:rPr>
      </w:pPr>
      <w:r>
        <w:rPr>
          <w:rFonts w:ascii="宋体" w:hAnsi="宋体"/>
          <w:color w:val="auto"/>
          <w:sz w:val="28"/>
          <w:szCs w:val="28"/>
          <w:highlight w:val="none"/>
        </w:rPr>
        <w:fldChar w:fldCharType="begin"/>
      </w:r>
      <w:r>
        <w:rPr>
          <w:rStyle w:val="50"/>
          <w:rFonts w:ascii="宋体" w:hAnsi="宋体"/>
          <w:color w:val="auto"/>
          <w:sz w:val="28"/>
          <w:szCs w:val="28"/>
          <w:highlight w:val="none"/>
        </w:rPr>
        <w:instrText xml:space="preserve"> </w:instrText>
      </w:r>
      <w:r>
        <w:rPr>
          <w:rFonts w:ascii="宋体" w:hAnsi="宋体"/>
          <w:color w:val="auto"/>
          <w:sz w:val="28"/>
          <w:szCs w:val="28"/>
          <w:highlight w:val="none"/>
        </w:rPr>
        <w:instrText xml:space="preserve">HYPERLINK \l "_Toc54691756"</w:instrText>
      </w:r>
      <w:r>
        <w:rPr>
          <w:rStyle w:val="50"/>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Style w:val="50"/>
          <w:rFonts w:hint="eastAsia" w:ascii="宋体" w:hAnsi="宋体"/>
          <w:bCs/>
          <w:color w:val="auto"/>
          <w:sz w:val="28"/>
          <w:szCs w:val="28"/>
          <w:highlight w:val="none"/>
        </w:rPr>
        <w:t>三、资格证明文件格式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_Toc54691756 \h </w:instrText>
      </w:r>
      <w:r>
        <w:rPr>
          <w:rFonts w:ascii="宋体" w:hAnsi="宋体"/>
          <w:color w:val="auto"/>
          <w:sz w:val="28"/>
          <w:szCs w:val="28"/>
          <w:highlight w:val="none"/>
        </w:rPr>
        <w:fldChar w:fldCharType="separate"/>
      </w:r>
      <w:r>
        <w:rPr>
          <w:rFonts w:ascii="宋体" w:hAnsi="宋体"/>
          <w:color w:val="auto"/>
          <w:sz w:val="28"/>
          <w:szCs w:val="28"/>
          <w:highlight w:val="none"/>
        </w:rPr>
        <w:t>16</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37"/>
        <w:tabs>
          <w:tab w:val="right" w:leader="dot" w:pos="9402"/>
        </w:tabs>
        <w:spacing w:line="600" w:lineRule="exact"/>
        <w:rPr>
          <w:rFonts w:ascii="宋体" w:hAnsi="宋体"/>
          <w:color w:val="auto"/>
          <w:sz w:val="28"/>
          <w:szCs w:val="28"/>
          <w:highlight w:val="none"/>
        </w:rPr>
      </w:pPr>
      <w:r>
        <w:rPr>
          <w:rFonts w:ascii="宋体" w:hAnsi="宋体"/>
          <w:color w:val="auto"/>
          <w:sz w:val="28"/>
          <w:szCs w:val="28"/>
          <w:highlight w:val="none"/>
        </w:rPr>
        <w:fldChar w:fldCharType="begin"/>
      </w:r>
      <w:r>
        <w:rPr>
          <w:rStyle w:val="50"/>
          <w:rFonts w:ascii="宋体" w:hAnsi="宋体"/>
          <w:color w:val="auto"/>
          <w:sz w:val="28"/>
          <w:szCs w:val="28"/>
          <w:highlight w:val="none"/>
        </w:rPr>
        <w:instrText xml:space="preserve"> </w:instrText>
      </w:r>
      <w:r>
        <w:rPr>
          <w:rFonts w:ascii="宋体" w:hAnsi="宋体"/>
          <w:color w:val="auto"/>
          <w:sz w:val="28"/>
          <w:szCs w:val="28"/>
          <w:highlight w:val="none"/>
        </w:rPr>
        <w:instrText xml:space="preserve">HYPERLINK \l "_Toc54691757"</w:instrText>
      </w:r>
      <w:r>
        <w:rPr>
          <w:rStyle w:val="50"/>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Style w:val="50"/>
          <w:rFonts w:hint="eastAsia" w:ascii="宋体" w:hAnsi="宋体"/>
          <w:bCs/>
          <w:color w:val="auto"/>
          <w:sz w:val="28"/>
          <w:szCs w:val="28"/>
          <w:highlight w:val="none"/>
        </w:rPr>
        <w:t>四、商务文件格式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_Toc54691757 \h </w:instrText>
      </w:r>
      <w:r>
        <w:rPr>
          <w:rFonts w:ascii="宋体" w:hAnsi="宋体"/>
          <w:color w:val="auto"/>
          <w:sz w:val="28"/>
          <w:szCs w:val="28"/>
          <w:highlight w:val="none"/>
        </w:rPr>
        <w:fldChar w:fldCharType="separate"/>
      </w:r>
      <w:r>
        <w:rPr>
          <w:rFonts w:ascii="宋体" w:hAnsi="宋体"/>
          <w:color w:val="auto"/>
          <w:sz w:val="28"/>
          <w:szCs w:val="28"/>
          <w:highlight w:val="none"/>
        </w:rPr>
        <w:t>16</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37"/>
        <w:tabs>
          <w:tab w:val="right" w:leader="dot" w:pos="9402"/>
        </w:tabs>
        <w:spacing w:line="600" w:lineRule="exact"/>
        <w:rPr>
          <w:rFonts w:ascii="宋体" w:hAnsi="宋体"/>
          <w:color w:val="auto"/>
          <w:sz w:val="28"/>
          <w:szCs w:val="28"/>
          <w:highlight w:val="none"/>
        </w:rPr>
      </w:pPr>
      <w:r>
        <w:rPr>
          <w:rFonts w:ascii="宋体" w:hAnsi="宋体"/>
          <w:color w:val="auto"/>
          <w:sz w:val="28"/>
          <w:szCs w:val="28"/>
          <w:highlight w:val="none"/>
        </w:rPr>
        <w:fldChar w:fldCharType="begin"/>
      </w:r>
      <w:r>
        <w:rPr>
          <w:rStyle w:val="50"/>
          <w:rFonts w:ascii="宋体" w:hAnsi="宋体"/>
          <w:color w:val="auto"/>
          <w:sz w:val="28"/>
          <w:szCs w:val="28"/>
          <w:highlight w:val="none"/>
        </w:rPr>
        <w:instrText xml:space="preserve"> </w:instrText>
      </w:r>
      <w:r>
        <w:rPr>
          <w:rFonts w:ascii="宋体" w:hAnsi="宋体"/>
          <w:color w:val="auto"/>
          <w:sz w:val="28"/>
          <w:szCs w:val="28"/>
          <w:highlight w:val="none"/>
        </w:rPr>
        <w:instrText xml:space="preserve">HYPERLINK \l "_Toc54691760"</w:instrText>
      </w:r>
      <w:r>
        <w:rPr>
          <w:rStyle w:val="50"/>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Style w:val="50"/>
          <w:rFonts w:hint="eastAsia" w:ascii="宋体" w:hAnsi="宋体"/>
          <w:color w:val="auto"/>
          <w:sz w:val="28"/>
          <w:szCs w:val="28"/>
          <w:highlight w:val="none"/>
        </w:rPr>
        <w:t>五、技术文件格式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_Toc54691760 \h </w:instrText>
      </w:r>
      <w:r>
        <w:rPr>
          <w:rFonts w:ascii="宋体" w:hAnsi="宋体"/>
          <w:color w:val="auto"/>
          <w:sz w:val="28"/>
          <w:szCs w:val="28"/>
          <w:highlight w:val="none"/>
        </w:rPr>
        <w:fldChar w:fldCharType="separate"/>
      </w:r>
      <w:r>
        <w:rPr>
          <w:rFonts w:ascii="宋体" w:hAnsi="宋体"/>
          <w:color w:val="auto"/>
          <w:sz w:val="28"/>
          <w:szCs w:val="28"/>
          <w:highlight w:val="none"/>
        </w:rPr>
        <w:t>16</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37"/>
        <w:tabs>
          <w:tab w:val="right" w:leader="dot" w:pos="9402"/>
        </w:tabs>
        <w:spacing w:line="600" w:lineRule="exact"/>
        <w:rPr>
          <w:rFonts w:ascii="宋体" w:hAnsi="宋体"/>
          <w:color w:val="auto"/>
          <w:szCs w:val="22"/>
          <w:highlight w:val="none"/>
        </w:rPr>
      </w:pPr>
      <w:r>
        <w:rPr>
          <w:rFonts w:ascii="宋体" w:hAnsi="宋体"/>
          <w:color w:val="auto"/>
          <w:sz w:val="28"/>
          <w:szCs w:val="28"/>
          <w:highlight w:val="none"/>
        </w:rPr>
        <w:fldChar w:fldCharType="begin"/>
      </w:r>
      <w:r>
        <w:rPr>
          <w:rStyle w:val="50"/>
          <w:rFonts w:ascii="宋体" w:hAnsi="宋体"/>
          <w:color w:val="auto"/>
          <w:sz w:val="28"/>
          <w:szCs w:val="28"/>
          <w:highlight w:val="none"/>
        </w:rPr>
        <w:instrText xml:space="preserve"> </w:instrText>
      </w:r>
      <w:r>
        <w:rPr>
          <w:rFonts w:ascii="宋体" w:hAnsi="宋体"/>
          <w:color w:val="auto"/>
          <w:sz w:val="28"/>
          <w:szCs w:val="28"/>
          <w:highlight w:val="none"/>
        </w:rPr>
        <w:instrText xml:space="preserve">HYPERLINK \l "_Toc54691763"</w:instrText>
      </w:r>
      <w:r>
        <w:rPr>
          <w:rStyle w:val="50"/>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Style w:val="50"/>
          <w:rFonts w:hint="eastAsia" w:ascii="宋体" w:hAnsi="宋体"/>
          <w:bCs/>
          <w:color w:val="auto"/>
          <w:sz w:val="28"/>
          <w:szCs w:val="28"/>
          <w:highlight w:val="none"/>
        </w:rPr>
        <w:t>六、其他文书、文件格式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_Toc54691763 \h </w:instrText>
      </w:r>
      <w:r>
        <w:rPr>
          <w:rFonts w:ascii="宋体" w:hAnsi="宋体"/>
          <w:color w:val="auto"/>
          <w:sz w:val="28"/>
          <w:szCs w:val="28"/>
          <w:highlight w:val="none"/>
        </w:rPr>
        <w:fldChar w:fldCharType="separate"/>
      </w:r>
      <w:r>
        <w:rPr>
          <w:rFonts w:ascii="宋体" w:hAnsi="宋体"/>
          <w:color w:val="auto"/>
          <w:sz w:val="28"/>
          <w:szCs w:val="28"/>
          <w:highlight w:val="none"/>
        </w:rPr>
        <w:t>16</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spacing w:before="120" w:beforeLines="50" w:line="480" w:lineRule="exact"/>
        <w:rPr>
          <w:rFonts w:hint="eastAsia" w:ascii="仿宋_GB2312" w:hAnsi="宋体" w:eastAsia="仿宋_GB2312"/>
          <w:color w:val="auto"/>
          <w:sz w:val="24"/>
          <w:highlight w:val="none"/>
        </w:rPr>
      </w:pPr>
      <w:r>
        <w:rPr>
          <w:rFonts w:ascii="宋体" w:hAnsi="宋体"/>
          <w:color w:val="auto"/>
          <w:sz w:val="24"/>
          <w:highlight w:val="none"/>
        </w:rPr>
        <w:fldChar w:fldCharType="end"/>
      </w:r>
    </w:p>
    <w:p>
      <w:pPr>
        <w:spacing w:before="120" w:beforeLines="50" w:line="480" w:lineRule="exact"/>
        <w:rPr>
          <w:rFonts w:hint="eastAsia" w:ascii="仿宋_GB2312" w:hAnsi="宋体" w:eastAsia="仿宋_GB2312"/>
          <w:color w:val="auto"/>
          <w:sz w:val="30"/>
          <w:highlight w:val="none"/>
        </w:rPr>
      </w:pPr>
    </w:p>
    <w:p>
      <w:pPr>
        <w:rPr>
          <w:rFonts w:hint="eastAsia"/>
          <w:color w:val="auto"/>
          <w:highlight w:val="none"/>
        </w:rPr>
      </w:pPr>
    </w:p>
    <w:p>
      <w:pPr>
        <w:spacing w:before="120" w:beforeLines="50" w:line="480" w:lineRule="exact"/>
        <w:rPr>
          <w:rFonts w:hint="eastAsia" w:ascii="仿宋_GB2312" w:hAnsi="宋体" w:eastAsia="仿宋_GB2312"/>
          <w:color w:val="auto"/>
          <w:sz w:val="30"/>
          <w:highlight w:val="none"/>
        </w:rPr>
      </w:pPr>
    </w:p>
    <w:p>
      <w:pPr>
        <w:spacing w:before="120" w:beforeLines="50" w:line="480" w:lineRule="exact"/>
        <w:rPr>
          <w:rFonts w:hint="eastAsia" w:ascii="仿宋_GB2312" w:hAnsi="宋体" w:eastAsia="仿宋_GB2312"/>
          <w:color w:val="auto"/>
          <w:sz w:val="30"/>
          <w:highlight w:val="none"/>
        </w:rPr>
      </w:pPr>
    </w:p>
    <w:p>
      <w:pPr>
        <w:spacing w:before="120" w:beforeLines="50" w:line="480" w:lineRule="exact"/>
        <w:rPr>
          <w:rFonts w:hint="eastAsia" w:ascii="仿宋_GB2312" w:hAnsi="宋体" w:eastAsia="仿宋_GB2312"/>
          <w:color w:val="auto"/>
          <w:sz w:val="30"/>
          <w:highlight w:val="none"/>
        </w:rPr>
      </w:pPr>
    </w:p>
    <w:p>
      <w:pPr>
        <w:pStyle w:val="15"/>
        <w:rPr>
          <w:rFonts w:hint="eastAsia" w:ascii="宋体" w:hAnsi="宋体" w:cs="宋体"/>
          <w:b/>
          <w:bCs/>
          <w:color w:val="auto"/>
          <w:highlight w:val="none"/>
          <w:lang w:eastAsia="zh-CN"/>
        </w:rPr>
      </w:pPr>
      <w:bookmarkStart w:id="0" w:name="_Toc254970489"/>
      <w:bookmarkStart w:id="1" w:name="_Toc254970630"/>
    </w:p>
    <w:p>
      <w:pPr>
        <w:pStyle w:val="4"/>
        <w:spacing w:before="0" w:after="0" w:line="480" w:lineRule="exact"/>
        <w:jc w:val="center"/>
        <w:rPr>
          <w:rFonts w:hint="eastAsia"/>
          <w:color w:val="auto"/>
          <w:highlight w:val="none"/>
          <w:lang w:eastAsia="zh-CN"/>
        </w:rPr>
      </w:pPr>
      <w:r>
        <w:rPr>
          <w:rFonts w:ascii="宋体" w:hAnsi="宋体" w:cs="宋体"/>
          <w:b w:val="0"/>
          <w:bCs w:val="0"/>
          <w:color w:val="auto"/>
          <w:highlight w:val="none"/>
        </w:rPr>
        <w:br w:type="page"/>
      </w:r>
      <w:bookmarkStart w:id="2" w:name="_Toc54691740"/>
      <w:r>
        <w:rPr>
          <w:rFonts w:hint="eastAsia"/>
          <w:color w:val="auto"/>
          <w:highlight w:val="none"/>
        </w:rPr>
        <w:t xml:space="preserve">第一章  </w:t>
      </w:r>
      <w:bookmarkEnd w:id="0"/>
      <w:bookmarkEnd w:id="1"/>
      <w:r>
        <w:rPr>
          <w:rFonts w:hint="eastAsia"/>
          <w:color w:val="auto"/>
          <w:highlight w:val="none"/>
        </w:rPr>
        <w:t>招标公告</w:t>
      </w:r>
      <w:bookmarkEnd w:id="2"/>
    </w:p>
    <w:p>
      <w:pPr>
        <w:snapToGrid w:val="0"/>
        <w:spacing w:line="480" w:lineRule="exact"/>
        <w:jc w:val="center"/>
        <w:rPr>
          <w:rFonts w:hint="eastAsia" w:ascii="宋体" w:hAnsi="宋体" w:eastAsia="宋体" w:cs="Arial"/>
          <w:b/>
          <w:bCs/>
          <w:color w:val="auto"/>
          <w:kern w:val="0"/>
          <w:sz w:val="28"/>
          <w:szCs w:val="28"/>
          <w:highlight w:val="none"/>
          <w:lang w:eastAsia="zh-CN"/>
        </w:rPr>
      </w:pPr>
      <w:r>
        <w:rPr>
          <w:rFonts w:hint="eastAsia" w:ascii="宋体" w:hAnsi="宋体" w:cs="Arial"/>
          <w:b/>
          <w:bCs/>
          <w:color w:val="auto"/>
          <w:kern w:val="0"/>
          <w:sz w:val="28"/>
          <w:szCs w:val="28"/>
          <w:highlight w:val="none"/>
          <w:lang w:eastAsia="zh-CN"/>
        </w:rPr>
        <w:t>玉林承浩项目管理有限公司</w:t>
      </w:r>
    </w:p>
    <w:p>
      <w:pPr>
        <w:snapToGrid w:val="0"/>
        <w:spacing w:line="480" w:lineRule="exact"/>
        <w:jc w:val="center"/>
        <w:rPr>
          <w:rFonts w:hint="eastAsia" w:ascii="宋体" w:hAnsi="宋体" w:cs="Arial"/>
          <w:b/>
          <w:color w:val="auto"/>
          <w:kern w:val="0"/>
          <w:sz w:val="28"/>
          <w:szCs w:val="28"/>
          <w:highlight w:val="none"/>
        </w:rPr>
      </w:pPr>
      <w:r>
        <w:rPr>
          <w:rFonts w:hint="eastAsia" w:ascii="宋体" w:hAnsi="宋体" w:cs="Arial"/>
          <w:b/>
          <w:bCs/>
          <w:color w:val="auto"/>
          <w:kern w:val="0"/>
          <w:sz w:val="28"/>
          <w:szCs w:val="28"/>
          <w:highlight w:val="none"/>
          <w:lang w:eastAsia="zh-CN"/>
        </w:rPr>
        <w:t>北流市人民医院应对突发公共卫生事件能力提升工程项目设备（32排CT）采购（YLZC2020-G1-810284-YLCH）</w:t>
      </w:r>
      <w:r>
        <w:rPr>
          <w:rFonts w:hint="eastAsia" w:ascii="宋体" w:hAnsi="宋体" w:cs="Arial"/>
          <w:b/>
          <w:color w:val="auto"/>
          <w:kern w:val="0"/>
          <w:sz w:val="28"/>
          <w:szCs w:val="28"/>
          <w:highlight w:val="none"/>
        </w:rPr>
        <w:t>招标公告</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olor w:val="auto"/>
          <w:szCs w:val="21"/>
          <w:highlight w:val="none"/>
        </w:rPr>
      </w:pPr>
      <w:bookmarkStart w:id="3" w:name="_Hlk37430271"/>
      <w:r>
        <w:rPr>
          <w:rFonts w:hint="eastAsia"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北流市人民医院应对突发公共卫生事件能力提升工程项目设备（32排CT）采购</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招标项目的潜在投标人应</w:t>
      </w:r>
      <w:r>
        <w:rPr>
          <w:rFonts w:hint="eastAsia" w:ascii="宋体" w:hAnsi="宋体"/>
          <w:color w:val="auto"/>
          <w:szCs w:val="21"/>
          <w:highlight w:val="none"/>
          <w:u w:val="single"/>
        </w:rPr>
        <w:t>登录政采云平台（https://www.zcygov.cn/）在线办理报名并自行下载</w:t>
      </w:r>
      <w:r>
        <w:rPr>
          <w:rFonts w:hint="eastAsia" w:ascii="宋体" w:hAnsi="宋体"/>
          <w:color w:val="auto"/>
          <w:szCs w:val="21"/>
          <w:highlight w:val="none"/>
        </w:rPr>
        <w:t>获取招标文件，并于</w:t>
      </w:r>
      <w:r>
        <w:rPr>
          <w:rFonts w:ascii="宋体" w:hAnsi="宋体"/>
          <w:color w:val="auto"/>
          <w:szCs w:val="21"/>
          <w:highlight w:val="none"/>
          <w:u w:val="single"/>
        </w:rPr>
        <w:t xml:space="preserve"> </w:t>
      </w:r>
      <w:r>
        <w:rPr>
          <w:rFonts w:hint="eastAsia" w:ascii="宋体" w:hAnsi="宋体"/>
          <w:color w:val="auto"/>
          <w:szCs w:val="21"/>
          <w:highlight w:val="none"/>
          <w:u w:val="single"/>
        </w:rPr>
        <w:t>2020</w:t>
      </w:r>
      <w:r>
        <w:rPr>
          <w:rFonts w:ascii="宋体" w:hAnsi="宋体"/>
          <w:color w:val="auto"/>
          <w:szCs w:val="21"/>
          <w:highlight w:val="none"/>
          <w:u w:val="single"/>
        </w:rPr>
        <w:t xml:space="preserve"> </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12</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16</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15</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（北京时间）前递交投标</w:t>
      </w:r>
      <w:r>
        <w:rPr>
          <w:rFonts w:ascii="宋体" w:hAnsi="宋体"/>
          <w:bCs/>
          <w:color w:val="auto"/>
          <w:szCs w:val="21"/>
          <w:highlight w:val="none"/>
        </w:rPr>
        <w:t>文件</w:t>
      </w:r>
      <w:r>
        <w:rPr>
          <w:rFonts w:hint="eastAsia" w:ascii="宋体" w:hAnsi="宋体"/>
          <w:color w:val="auto"/>
          <w:szCs w:val="21"/>
          <w:highlight w:val="none"/>
        </w:rPr>
        <w:t>。</w:t>
      </w:r>
    </w:p>
    <w:p>
      <w:pPr>
        <w:pStyle w:val="4"/>
        <w:spacing w:before="0" w:after="0" w:line="400" w:lineRule="exact"/>
        <w:ind w:firstLine="211" w:firstLineChars="100"/>
        <w:rPr>
          <w:rFonts w:ascii="宋体" w:hAnsi="宋体" w:cs="宋体"/>
          <w:bCs w:val="0"/>
          <w:color w:val="auto"/>
          <w:sz w:val="21"/>
          <w:szCs w:val="21"/>
          <w:highlight w:val="none"/>
        </w:rPr>
      </w:pPr>
      <w:bookmarkStart w:id="4" w:name="_Toc28359089"/>
      <w:bookmarkStart w:id="5" w:name="_Toc35393798"/>
      <w:bookmarkStart w:id="6" w:name="_Toc28359012"/>
      <w:bookmarkStart w:id="7" w:name="_Toc35393629"/>
      <w:bookmarkStart w:id="8" w:name="_Toc54691741"/>
      <w:r>
        <w:rPr>
          <w:rFonts w:hint="eastAsia" w:ascii="宋体" w:hAnsi="宋体" w:cs="宋体"/>
          <w:bCs w:val="0"/>
          <w:color w:val="auto"/>
          <w:sz w:val="21"/>
          <w:szCs w:val="21"/>
          <w:highlight w:val="none"/>
        </w:rPr>
        <w:t>一、项目基本情况</w:t>
      </w:r>
      <w:bookmarkEnd w:id="4"/>
      <w:bookmarkEnd w:id="5"/>
      <w:bookmarkEnd w:id="6"/>
      <w:bookmarkEnd w:id="7"/>
      <w:bookmarkEnd w:id="8"/>
    </w:p>
    <w:p>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YLZC2020-G1-810284-YLCH</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采购计划文号：YLZC2020-G1-83220-001</w:t>
      </w:r>
    </w:p>
    <w:p>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bookmarkStart w:id="9" w:name="_Toc28359090"/>
      <w:bookmarkStart w:id="10" w:name="_Toc35393799"/>
      <w:bookmarkStart w:id="11" w:name="_Toc35393630"/>
      <w:bookmarkStart w:id="12" w:name="_Toc28359013"/>
      <w:r>
        <w:rPr>
          <w:rFonts w:hint="eastAsia" w:ascii="宋体" w:hAnsi="宋体"/>
          <w:color w:val="auto"/>
          <w:szCs w:val="21"/>
          <w:highlight w:val="none"/>
          <w:lang w:eastAsia="zh-CN"/>
        </w:rPr>
        <w:t>北流市人民医院应对突发公共卫生事件能力提升工程项目设备（32排CT）采购</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预算金额：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690</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rPr>
        <w:t xml:space="preserve">000 </w:t>
      </w:r>
      <w:r>
        <w:rPr>
          <w:rFonts w:hint="eastAsia" w:ascii="宋体" w:hAnsi="宋体"/>
          <w:color w:val="auto"/>
          <w:szCs w:val="21"/>
          <w:highlight w:val="none"/>
        </w:rPr>
        <w:t>万元</w:t>
      </w:r>
    </w:p>
    <w:p>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最高限价：/</w:t>
      </w:r>
    </w:p>
    <w:p>
      <w:pPr>
        <w:spacing w:line="400" w:lineRule="exact"/>
        <w:ind w:firstLine="420" w:firstLineChars="200"/>
        <w:rPr>
          <w:rFonts w:hint="eastAsia" w:ascii="宋体" w:hAnsi="宋体"/>
          <w:color w:val="auto"/>
          <w:szCs w:val="21"/>
          <w:highlight w:val="none"/>
        </w:rPr>
      </w:pPr>
      <w:bookmarkStart w:id="13" w:name="_Toc54691742"/>
      <w:r>
        <w:rPr>
          <w:rFonts w:hint="eastAsia" w:ascii="宋体" w:hAnsi="宋体"/>
          <w:color w:val="auto"/>
          <w:szCs w:val="21"/>
          <w:highlight w:val="none"/>
        </w:rPr>
        <w:t>采购需求：</w:t>
      </w:r>
      <w:bookmarkEnd w:id="13"/>
    </w:p>
    <w:tbl>
      <w:tblPr>
        <w:tblStyle w:val="44"/>
        <w:tblW w:w="97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2"/>
        <w:gridCol w:w="2981"/>
        <w:gridCol w:w="1845"/>
        <w:gridCol w:w="36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98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标的的名称</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数量及单位</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01</w:t>
            </w:r>
          </w:p>
        </w:tc>
        <w:tc>
          <w:tcPr>
            <w:tcW w:w="29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多层螺旋CT</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套</w:t>
            </w:r>
          </w:p>
        </w:tc>
        <w:tc>
          <w:tcPr>
            <w:tcW w:w="3690" w:type="dxa"/>
            <w:tcBorders>
              <w:top w:val="single" w:color="auto" w:sz="4" w:space="0"/>
              <w:left w:val="single" w:color="auto" w:sz="4" w:space="0"/>
              <w:right w:val="single" w:color="auto" w:sz="4" w:space="0"/>
            </w:tcBorders>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成像图像层数：≥64层图像/360º</w:t>
            </w:r>
          </w:p>
        </w:tc>
      </w:tr>
    </w:tbl>
    <w:p>
      <w:pPr>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 xml:space="preserve">合同履行期限：合同签定后2个月交货安装调试并正常运行。 </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本项目</w:t>
      </w:r>
      <w:r>
        <w:rPr>
          <w:rFonts w:hint="eastAsia" w:ascii="宋体" w:hAnsi="宋体"/>
          <w:iCs/>
          <w:color w:val="auto"/>
          <w:szCs w:val="21"/>
          <w:highlight w:val="none"/>
        </w:rPr>
        <w:t>不</w:t>
      </w:r>
      <w:r>
        <w:rPr>
          <w:rFonts w:hint="eastAsia" w:ascii="宋体" w:hAnsi="宋体"/>
          <w:color w:val="auto"/>
          <w:szCs w:val="21"/>
          <w:highlight w:val="none"/>
        </w:rPr>
        <w:t>接受联合体投标。</w:t>
      </w:r>
    </w:p>
    <w:p>
      <w:pPr>
        <w:pStyle w:val="4"/>
        <w:spacing w:before="0" w:after="0" w:line="380" w:lineRule="exact"/>
        <w:ind w:firstLine="422" w:firstLineChars="200"/>
        <w:rPr>
          <w:rFonts w:ascii="宋体" w:hAnsi="宋体" w:eastAsia="宋体" w:cs="宋体"/>
          <w:bCs w:val="0"/>
          <w:color w:val="auto"/>
          <w:sz w:val="21"/>
          <w:szCs w:val="21"/>
          <w:highlight w:val="none"/>
          <w:lang w:eastAsia="zh-CN"/>
        </w:rPr>
      </w:pPr>
      <w:bookmarkStart w:id="14" w:name="_Toc54691743"/>
      <w:r>
        <w:rPr>
          <w:rFonts w:hint="eastAsia" w:ascii="宋体" w:hAnsi="宋体" w:eastAsia="宋体" w:cs="宋体"/>
          <w:bCs w:val="0"/>
          <w:color w:val="auto"/>
          <w:sz w:val="21"/>
          <w:szCs w:val="21"/>
          <w:highlight w:val="none"/>
        </w:rPr>
        <w:t>二、</w:t>
      </w:r>
      <w:r>
        <w:rPr>
          <w:rFonts w:hint="eastAsia" w:ascii="宋体" w:hAnsi="宋体" w:eastAsia="宋体" w:cs="宋体"/>
          <w:bCs w:val="0"/>
          <w:color w:val="auto"/>
          <w:sz w:val="21"/>
          <w:szCs w:val="21"/>
          <w:highlight w:val="none"/>
          <w:lang w:eastAsia="zh-CN"/>
        </w:rPr>
        <w:t>投标</w:t>
      </w:r>
      <w:r>
        <w:rPr>
          <w:rFonts w:hint="eastAsia" w:ascii="宋体" w:hAnsi="宋体" w:eastAsia="宋体" w:cs="宋体"/>
          <w:bCs w:val="0"/>
          <w:color w:val="auto"/>
          <w:sz w:val="21"/>
          <w:szCs w:val="21"/>
          <w:highlight w:val="none"/>
        </w:rPr>
        <w:t>人的资格要求</w:t>
      </w:r>
      <w:bookmarkEnd w:id="9"/>
      <w:bookmarkEnd w:id="10"/>
      <w:bookmarkEnd w:id="11"/>
      <w:bookmarkEnd w:id="12"/>
      <w:bookmarkEnd w:id="14"/>
    </w:p>
    <w:p>
      <w:pPr>
        <w:spacing w:line="38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1.满足《中华人民共和国政府采购法》第二十二条规定</w:t>
      </w:r>
      <w:r>
        <w:rPr>
          <w:rFonts w:hint="eastAsia" w:ascii="宋体" w:hAnsi="宋体"/>
          <w:color w:val="auto"/>
          <w:szCs w:val="21"/>
          <w:highlight w:val="none"/>
          <w:lang w:eastAsia="zh-CN"/>
        </w:rPr>
        <w:t>。</w:t>
      </w:r>
    </w:p>
    <w:p>
      <w:pPr>
        <w:spacing w:line="380" w:lineRule="exact"/>
        <w:ind w:firstLine="420" w:firstLineChars="200"/>
        <w:rPr>
          <w:rFonts w:hint="eastAsia" w:ascii="宋体" w:hAnsi="宋体"/>
          <w:color w:val="auto"/>
          <w:szCs w:val="21"/>
          <w:highlight w:val="none"/>
        </w:rPr>
      </w:pPr>
      <w:bookmarkStart w:id="15" w:name="_Toc28359091"/>
      <w:bookmarkStart w:id="16" w:name="_Toc28359014"/>
      <w:r>
        <w:rPr>
          <w:rFonts w:ascii="宋体" w:hAnsi="宋体"/>
          <w:color w:val="auto"/>
          <w:szCs w:val="21"/>
          <w:highlight w:val="none"/>
        </w:rPr>
        <w:t>2</w:t>
      </w:r>
      <w:r>
        <w:rPr>
          <w:rFonts w:hint="eastAsia" w:ascii="宋体" w:hAnsi="宋体"/>
          <w:color w:val="auto"/>
          <w:szCs w:val="21"/>
          <w:highlight w:val="none"/>
        </w:rPr>
        <w:t>.落实政府采购政策需满足的资格要求：《政府采购促进中小企业发展暂行办法》、《财政部、司法部关于政府采购支持监狱企业发展有关问题的通知》、《财政部民政部中国残疾人联合会关于促进残疾人就业政府采购政策的通知》、《政府采购扶持不发达地区和少数民族地区发展政策》、《强制采购、优先采购环境标志产品、节能产品》。</w:t>
      </w:r>
    </w:p>
    <w:p>
      <w:pPr>
        <w:spacing w:line="38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3.本项目的特定资格要求：国内注册（指按国家有关规定要求注册的），符合本次采购经营范围的合法供应商</w:t>
      </w:r>
      <w:r>
        <w:rPr>
          <w:rFonts w:hint="eastAsia" w:ascii="宋体" w:hAnsi="宋体"/>
          <w:color w:val="auto"/>
          <w:szCs w:val="21"/>
          <w:highlight w:val="none"/>
          <w:lang w:eastAsia="zh-CN"/>
        </w:rPr>
        <w:t>。</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s="宋体"/>
          <w:color w:val="auto"/>
          <w:kern w:val="0"/>
          <w:szCs w:val="21"/>
          <w:highlight w:val="none"/>
        </w:rPr>
        <w:t>投标人具有国家主管部门颁发的有效的医疗器械生产许可证，或按《医疗器械经营监督管理办法》（国家食品药品监督管理总局第8号令）医疗器械分类管理要求具有有效的医疗器械经营备案凭证或许可证</w:t>
      </w:r>
      <w:r>
        <w:rPr>
          <w:rFonts w:hint="eastAsia" w:ascii="宋体" w:hAnsi="宋体"/>
          <w:color w:val="auto"/>
          <w:szCs w:val="21"/>
          <w:highlight w:val="none"/>
        </w:rPr>
        <w:t>。</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firstLine="420" w:firstLineChars="200"/>
        <w:rPr>
          <w:rFonts w:ascii="宋体" w:hAnsi="宋体"/>
          <w:color w:val="auto"/>
          <w:szCs w:val="21"/>
          <w:highlight w:val="none"/>
          <w:u w:val="single"/>
        </w:rPr>
      </w:pPr>
      <w:r>
        <w:rPr>
          <w:rFonts w:hint="eastAsia" w:ascii="宋体" w:hAnsi="宋体" w:cs="宋体"/>
          <w:color w:val="auto"/>
          <w:kern w:val="0"/>
          <w:szCs w:val="21"/>
          <w:highlight w:val="none"/>
        </w:rPr>
        <w:t>6.</w:t>
      </w:r>
      <w:r>
        <w:rPr>
          <w:rFonts w:hint="eastAsia" w:ascii="宋体" w:hAnsi="宋体" w:cs="Arial"/>
          <w:color w:val="auto"/>
          <w:szCs w:val="21"/>
          <w:highlight w:val="none"/>
        </w:rPr>
        <w:t>本项目不接受未按招标文件规定的方式获取本招标文件的投标人参与投标。</w:t>
      </w:r>
    </w:p>
    <w:p>
      <w:pPr>
        <w:pStyle w:val="4"/>
        <w:spacing w:before="0" w:after="0" w:line="380" w:lineRule="exact"/>
        <w:ind w:firstLine="422" w:firstLineChars="200"/>
        <w:rPr>
          <w:rFonts w:ascii="宋体" w:hAnsi="宋体" w:eastAsia="宋体" w:cs="宋体"/>
          <w:bCs w:val="0"/>
          <w:color w:val="auto"/>
          <w:sz w:val="21"/>
          <w:szCs w:val="21"/>
          <w:highlight w:val="none"/>
          <w:lang w:eastAsia="zh-CN"/>
        </w:rPr>
      </w:pPr>
      <w:bookmarkStart w:id="17" w:name="_Toc35393631"/>
      <w:bookmarkStart w:id="18" w:name="_Toc35393800"/>
      <w:bookmarkStart w:id="19" w:name="_Toc54691744"/>
      <w:r>
        <w:rPr>
          <w:rFonts w:hint="eastAsia" w:ascii="宋体" w:hAnsi="宋体" w:eastAsia="宋体" w:cs="宋体"/>
          <w:bCs w:val="0"/>
          <w:color w:val="auto"/>
          <w:sz w:val="21"/>
          <w:szCs w:val="21"/>
          <w:highlight w:val="none"/>
        </w:rPr>
        <w:t>三、获取</w:t>
      </w:r>
      <w:bookmarkEnd w:id="15"/>
      <w:bookmarkEnd w:id="16"/>
      <w:bookmarkEnd w:id="17"/>
      <w:bookmarkEnd w:id="18"/>
      <w:r>
        <w:rPr>
          <w:rFonts w:hint="eastAsia" w:ascii="宋体" w:hAnsi="宋体" w:eastAsia="宋体" w:cs="宋体"/>
          <w:bCs w:val="0"/>
          <w:color w:val="auto"/>
          <w:sz w:val="21"/>
          <w:szCs w:val="21"/>
          <w:highlight w:val="none"/>
          <w:lang w:eastAsia="zh-CN"/>
        </w:rPr>
        <w:t>招标文件</w:t>
      </w:r>
      <w:bookmarkEnd w:id="19"/>
    </w:p>
    <w:p>
      <w:pPr>
        <w:snapToGrid w:val="0"/>
        <w:spacing w:line="38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1.获取时间：自招标公告发布之时起至</w:t>
      </w:r>
      <w:r>
        <w:rPr>
          <w:rFonts w:hint="eastAsia" w:ascii="宋体" w:hAnsi="宋体" w:cs="Arial"/>
          <w:color w:val="auto"/>
          <w:szCs w:val="21"/>
          <w:highlight w:val="none"/>
          <w:u w:val="single"/>
        </w:rPr>
        <w:t xml:space="preserve"> 2020 </w:t>
      </w:r>
      <w:r>
        <w:rPr>
          <w:rFonts w:hint="eastAsia" w:ascii="宋体" w:hAnsi="宋体" w:cs="Arial"/>
          <w:color w:val="auto"/>
          <w:szCs w:val="21"/>
          <w:highlight w:val="none"/>
        </w:rPr>
        <w:t>年</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11</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月</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30</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日止。</w:t>
      </w:r>
    </w:p>
    <w:p>
      <w:pPr>
        <w:spacing w:line="38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2.获取方式：</w:t>
      </w:r>
      <w:bookmarkStart w:id="20" w:name="_Toc35393801"/>
      <w:bookmarkStart w:id="21" w:name="_Toc35393632"/>
      <w:bookmarkStart w:id="22" w:name="_Toc28359015"/>
      <w:bookmarkStart w:id="23" w:name="_Toc28359092"/>
      <w:r>
        <w:rPr>
          <w:rFonts w:hint="eastAsia" w:ascii="宋体" w:hAnsi="宋体" w:cs="Arial"/>
          <w:color w:val="auto"/>
          <w:szCs w:val="21"/>
          <w:highlight w:val="none"/>
        </w:rPr>
        <w:t>供应商须登录政采云平台（https://www.zcygov.cn/）在线办理报名并自行下载招标文件；未注册的供应商可在政采云平台完成注册后再进行报名再下载。如在操作过程中遇到问题或需技术支持，请致电政采云客服热线：400-881-7190。</w:t>
      </w:r>
    </w:p>
    <w:p>
      <w:pPr>
        <w:spacing w:line="3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w:t>
      </w:r>
      <w:bookmarkEnd w:id="20"/>
      <w:bookmarkEnd w:id="21"/>
      <w:bookmarkEnd w:id="22"/>
      <w:bookmarkEnd w:id="23"/>
      <w:r>
        <w:rPr>
          <w:rFonts w:hint="eastAsia" w:ascii="宋体" w:hAnsi="宋体"/>
          <w:b/>
          <w:bCs/>
          <w:color w:val="auto"/>
          <w:szCs w:val="21"/>
          <w:highlight w:val="none"/>
        </w:rPr>
        <w:t>提交投标文件截止时间、开标时间和地点</w:t>
      </w:r>
    </w:p>
    <w:p>
      <w:pPr>
        <w:spacing w:line="38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提交投标文件截止时间和开标时间：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2020 </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12</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16</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15</w:t>
      </w:r>
      <w:r>
        <w:rPr>
          <w:rFonts w:hint="eastAsia" w:ascii="宋体" w:hAnsi="宋体"/>
          <w:bCs/>
          <w:color w:val="auto"/>
          <w:szCs w:val="21"/>
          <w:highlight w:val="none"/>
          <w:u w:val="single"/>
        </w:rPr>
        <w:t xml:space="preserve"> 时</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pPr>
        <w:spacing w:line="380" w:lineRule="exact"/>
        <w:ind w:firstLine="420" w:firstLineChars="200"/>
        <w:rPr>
          <w:rFonts w:hint="eastAsia" w:ascii="宋体" w:hAnsi="宋体"/>
          <w:color w:val="auto"/>
          <w:szCs w:val="21"/>
          <w:highlight w:val="none"/>
        </w:rPr>
      </w:pPr>
      <w:r>
        <w:rPr>
          <w:rFonts w:hint="eastAsia" w:ascii="宋体" w:hAnsi="宋体"/>
          <w:bCs/>
          <w:color w:val="auto"/>
          <w:szCs w:val="21"/>
          <w:highlight w:val="none"/>
        </w:rPr>
        <w:t>投标文件提交起止时间：</w:t>
      </w:r>
      <w:r>
        <w:rPr>
          <w:rFonts w:hint="eastAsia" w:ascii="宋体" w:hAnsi="宋体"/>
          <w:bCs/>
          <w:color w:val="auto"/>
          <w:szCs w:val="21"/>
          <w:highlight w:val="none"/>
          <w:u w:val="single"/>
        </w:rPr>
        <w:t xml:space="preserve"> 2020 年 </w:t>
      </w:r>
      <w:r>
        <w:rPr>
          <w:rFonts w:hint="eastAsia" w:ascii="宋体" w:hAnsi="宋体"/>
          <w:bCs/>
          <w:color w:val="auto"/>
          <w:szCs w:val="21"/>
          <w:highlight w:val="none"/>
          <w:u w:val="single"/>
          <w:lang w:val="en-US" w:eastAsia="zh-CN"/>
        </w:rPr>
        <w:t>12</w:t>
      </w:r>
      <w:r>
        <w:rPr>
          <w:rFonts w:hint="eastAsia" w:ascii="宋体" w:hAnsi="宋体"/>
          <w:bCs/>
          <w:color w:val="auto"/>
          <w:szCs w:val="21"/>
          <w:highlight w:val="none"/>
          <w:u w:val="single"/>
        </w:rPr>
        <w:t xml:space="preserve"> 月</w:t>
      </w:r>
      <w:r>
        <w:rPr>
          <w:rFonts w:hint="eastAsia" w:ascii="宋体" w:hAnsi="宋体"/>
          <w:bCs/>
          <w:color w:val="auto"/>
          <w:szCs w:val="21"/>
          <w:highlight w:val="none"/>
          <w:u w:val="single"/>
          <w:lang w:val="en-US" w:eastAsia="zh-CN"/>
        </w:rPr>
        <w:t>16</w:t>
      </w:r>
      <w:r>
        <w:rPr>
          <w:rFonts w:hint="eastAsia" w:ascii="宋体" w:hAnsi="宋体"/>
          <w:bCs/>
          <w:color w:val="auto"/>
          <w:szCs w:val="21"/>
          <w:highlight w:val="none"/>
          <w:u w:val="single"/>
        </w:rPr>
        <w:t xml:space="preserve"> 日 </w:t>
      </w:r>
      <w:r>
        <w:rPr>
          <w:rFonts w:hint="eastAsia" w:ascii="宋体" w:hAnsi="宋体"/>
          <w:bCs/>
          <w:color w:val="auto"/>
          <w:szCs w:val="21"/>
          <w:highlight w:val="none"/>
          <w:u w:val="single"/>
          <w:lang w:val="en-US" w:eastAsia="zh-CN"/>
        </w:rPr>
        <w:t>14</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分至</w:t>
      </w:r>
      <w:r>
        <w:rPr>
          <w:rFonts w:hint="eastAsia" w:ascii="宋体" w:hAnsi="宋体"/>
          <w:bCs/>
          <w:color w:val="auto"/>
          <w:szCs w:val="21"/>
          <w:highlight w:val="none"/>
          <w:u w:val="single"/>
          <w:lang w:val="en-US" w:eastAsia="zh-CN"/>
        </w:rPr>
        <w:t>15</w:t>
      </w:r>
      <w:r>
        <w:rPr>
          <w:rFonts w:hint="eastAsia" w:ascii="宋体" w:hAnsi="宋体"/>
          <w:bCs/>
          <w:color w:val="auto"/>
          <w:szCs w:val="21"/>
          <w:highlight w:val="none"/>
          <w:u w:val="single"/>
        </w:rPr>
        <w:t xml:space="preserve"> 时</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投标和开标地点：</w:t>
      </w:r>
      <w:r>
        <w:rPr>
          <w:rFonts w:hint="eastAsia" w:ascii="宋体" w:hAnsi="宋体"/>
          <w:color w:val="auto"/>
          <w:szCs w:val="21"/>
          <w:highlight w:val="none"/>
          <w:lang w:eastAsia="zh-CN"/>
        </w:rPr>
        <w:t>北流市公共资源交易中心（北流市城南客运站三楼）</w:t>
      </w:r>
      <w:r>
        <w:rPr>
          <w:rFonts w:hint="eastAsia" w:ascii="宋体" w:hAnsi="宋体"/>
          <w:color w:val="auto"/>
          <w:szCs w:val="21"/>
          <w:highlight w:val="none"/>
        </w:rPr>
        <w:t>（具体开标室根据电子屏幕显示的安排）</w:t>
      </w:r>
    </w:p>
    <w:p>
      <w:pPr>
        <w:spacing w:line="38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u w:val="single"/>
        </w:rPr>
        <w:t>注：投标人应在投标文件提交起止时间内，将投标文件密封送达投标地点，未在规定时间内送达或者未按照招标文件要求密封的投标文件，将予以拒收。</w:t>
      </w:r>
    </w:p>
    <w:p>
      <w:pPr>
        <w:pStyle w:val="4"/>
        <w:spacing w:before="0" w:after="0" w:line="380" w:lineRule="exact"/>
        <w:ind w:firstLine="422" w:firstLineChars="200"/>
        <w:rPr>
          <w:rFonts w:ascii="宋体" w:hAnsi="宋体" w:eastAsia="宋体" w:cs="宋体"/>
          <w:bCs w:val="0"/>
          <w:color w:val="auto"/>
          <w:sz w:val="21"/>
          <w:szCs w:val="21"/>
          <w:highlight w:val="none"/>
        </w:rPr>
      </w:pPr>
      <w:bookmarkStart w:id="24" w:name="_Toc35393634"/>
      <w:bookmarkStart w:id="25" w:name="_Toc54691745"/>
      <w:bookmarkStart w:id="26" w:name="_Toc35393803"/>
      <w:bookmarkStart w:id="27" w:name="_Toc28359094"/>
      <w:bookmarkStart w:id="28" w:name="_Toc28359017"/>
      <w:r>
        <w:rPr>
          <w:rFonts w:hint="eastAsia" w:ascii="宋体" w:hAnsi="宋体" w:eastAsia="宋体" w:cs="宋体"/>
          <w:bCs w:val="0"/>
          <w:color w:val="auto"/>
          <w:sz w:val="21"/>
          <w:szCs w:val="21"/>
          <w:highlight w:val="none"/>
          <w:lang w:eastAsia="zh-CN"/>
        </w:rPr>
        <w:t>五</w:t>
      </w:r>
      <w:r>
        <w:rPr>
          <w:rFonts w:hint="eastAsia" w:ascii="宋体" w:hAnsi="宋体" w:eastAsia="宋体" w:cs="宋体"/>
          <w:bCs w:val="0"/>
          <w:color w:val="auto"/>
          <w:sz w:val="21"/>
          <w:szCs w:val="21"/>
          <w:highlight w:val="none"/>
        </w:rPr>
        <w:t>、公告期限</w:t>
      </w:r>
      <w:bookmarkEnd w:id="24"/>
      <w:bookmarkEnd w:id="25"/>
      <w:bookmarkEnd w:id="26"/>
      <w:bookmarkEnd w:id="27"/>
      <w:bookmarkEnd w:id="28"/>
    </w:p>
    <w:p>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自本公告发布之日起5个工作日。中国政府采购网（www.ccgp.gov.cn）、广西壮族自治区政府采购网（zfcg.gxzf.gov.cn）。</w:t>
      </w:r>
    </w:p>
    <w:p>
      <w:pPr>
        <w:pStyle w:val="4"/>
        <w:spacing w:before="0" w:after="0" w:line="400" w:lineRule="exact"/>
        <w:ind w:firstLine="422" w:firstLineChars="200"/>
        <w:rPr>
          <w:rFonts w:ascii="宋体" w:hAnsi="宋体" w:eastAsia="宋体" w:cs="宋体"/>
          <w:bCs w:val="0"/>
          <w:color w:val="auto"/>
          <w:sz w:val="21"/>
          <w:szCs w:val="21"/>
          <w:highlight w:val="none"/>
          <w:lang w:eastAsia="zh-CN"/>
        </w:rPr>
      </w:pPr>
      <w:bookmarkStart w:id="29" w:name="_Toc35393804"/>
      <w:bookmarkStart w:id="30" w:name="_Toc35393635"/>
      <w:bookmarkStart w:id="31" w:name="_Toc54691746"/>
      <w:r>
        <w:rPr>
          <w:rFonts w:hint="eastAsia" w:ascii="宋体" w:hAnsi="宋体" w:eastAsia="宋体" w:cs="宋体"/>
          <w:bCs w:val="0"/>
          <w:color w:val="auto"/>
          <w:sz w:val="21"/>
          <w:szCs w:val="21"/>
          <w:highlight w:val="none"/>
          <w:lang w:eastAsia="zh-CN"/>
        </w:rPr>
        <w:t>六</w:t>
      </w:r>
      <w:r>
        <w:rPr>
          <w:rFonts w:hint="eastAsia" w:ascii="宋体" w:hAnsi="宋体" w:eastAsia="宋体" w:cs="宋体"/>
          <w:bCs w:val="0"/>
          <w:color w:val="auto"/>
          <w:sz w:val="21"/>
          <w:szCs w:val="21"/>
          <w:highlight w:val="none"/>
        </w:rPr>
        <w:t>、</w:t>
      </w:r>
      <w:bookmarkEnd w:id="29"/>
      <w:bookmarkEnd w:id="30"/>
      <w:bookmarkEnd w:id="31"/>
      <w:bookmarkStart w:id="32" w:name="_Toc28359018"/>
      <w:bookmarkStart w:id="33" w:name="_Toc54691747"/>
      <w:bookmarkStart w:id="34" w:name="_Toc28359095"/>
      <w:bookmarkStart w:id="35" w:name="_Toc35393636"/>
      <w:bookmarkStart w:id="36" w:name="_Toc35393805"/>
      <w:r>
        <w:rPr>
          <w:rFonts w:hint="eastAsia" w:ascii="宋体" w:hAnsi="宋体" w:eastAsia="宋体" w:cs="宋体"/>
          <w:bCs w:val="0"/>
          <w:color w:val="auto"/>
          <w:sz w:val="21"/>
          <w:szCs w:val="21"/>
          <w:highlight w:val="none"/>
        </w:rPr>
        <w:t>凡对本次采购提出询问，请按</w:t>
      </w:r>
      <w:r>
        <w:rPr>
          <w:rFonts w:ascii="宋体" w:hAnsi="宋体" w:eastAsia="宋体" w:cs="宋体"/>
          <w:bCs w:val="0"/>
          <w:color w:val="auto"/>
          <w:sz w:val="21"/>
          <w:szCs w:val="21"/>
          <w:highlight w:val="none"/>
        </w:rPr>
        <w:t>以下方式</w:t>
      </w:r>
      <w:r>
        <w:rPr>
          <w:rFonts w:hint="eastAsia" w:ascii="宋体" w:hAnsi="宋体" w:eastAsia="宋体" w:cs="宋体"/>
          <w:bCs w:val="0"/>
          <w:color w:val="auto"/>
          <w:sz w:val="21"/>
          <w:szCs w:val="21"/>
          <w:highlight w:val="none"/>
        </w:rPr>
        <w:t>联系</w:t>
      </w:r>
      <w:bookmarkEnd w:id="32"/>
      <w:bookmarkEnd w:id="33"/>
      <w:bookmarkEnd w:id="34"/>
      <w:bookmarkEnd w:id="35"/>
      <w:bookmarkEnd w:id="36"/>
    </w:p>
    <w:p>
      <w:pPr>
        <w:spacing w:line="400" w:lineRule="exact"/>
        <w:ind w:firstLine="420" w:firstLineChars="200"/>
        <w:rPr>
          <w:rFonts w:hint="eastAsia" w:ascii="宋体" w:hAnsi="宋体" w:cs="宋体"/>
          <w:color w:val="auto"/>
          <w:kern w:val="0"/>
          <w:szCs w:val="21"/>
          <w:highlight w:val="none"/>
        </w:rPr>
      </w:pPr>
      <w:bookmarkStart w:id="37" w:name="_Toc35393806"/>
      <w:bookmarkStart w:id="38" w:name="_Toc28359096"/>
      <w:bookmarkStart w:id="39" w:name="_Toc28359019"/>
      <w:bookmarkStart w:id="40" w:name="_Toc35393637"/>
      <w:r>
        <w:rPr>
          <w:rFonts w:hint="eastAsia" w:ascii="宋体" w:hAnsi="宋体" w:cs="宋体"/>
          <w:color w:val="auto"/>
          <w:kern w:val="0"/>
          <w:szCs w:val="21"/>
          <w:highlight w:val="none"/>
        </w:rPr>
        <w:t>1.采购人信息</w:t>
      </w:r>
      <w:bookmarkEnd w:id="37"/>
      <w:bookmarkEnd w:id="38"/>
      <w:bookmarkEnd w:id="39"/>
      <w:bookmarkEnd w:id="40"/>
    </w:p>
    <w:p>
      <w:pPr>
        <w:widowControl/>
        <w:shd w:val="clear" w:color="auto" w:fill="FFFFFF"/>
        <w:spacing w:line="400" w:lineRule="exact"/>
        <w:ind w:firstLine="424" w:firstLineChars="202"/>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采购人名称：</w:t>
      </w:r>
      <w:r>
        <w:rPr>
          <w:rFonts w:hint="eastAsia" w:ascii="宋体" w:hAnsi="宋体" w:cs="宋体"/>
          <w:color w:val="auto"/>
          <w:kern w:val="0"/>
          <w:szCs w:val="21"/>
          <w:highlight w:val="none"/>
          <w:lang w:eastAsia="zh-CN"/>
        </w:rPr>
        <w:t>北流市人民医院</w:t>
      </w:r>
    </w:p>
    <w:p>
      <w:pPr>
        <w:widowControl/>
        <w:shd w:val="clear" w:color="auto" w:fill="FFFFFF"/>
        <w:spacing w:line="400" w:lineRule="exact"/>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lang w:eastAsia="zh-CN"/>
        </w:rPr>
        <w:t>北流市清湖路0005号</w:t>
      </w:r>
      <w:r>
        <w:rPr>
          <w:rFonts w:hint="eastAsia" w:ascii="宋体" w:hAnsi="宋体" w:cs="宋体"/>
          <w:color w:val="auto"/>
          <w:kern w:val="0"/>
          <w:szCs w:val="21"/>
          <w:highlight w:val="none"/>
        </w:rPr>
        <w:t xml:space="preserve">  </w:t>
      </w:r>
    </w:p>
    <w:p>
      <w:pPr>
        <w:spacing w:line="400" w:lineRule="exact"/>
        <w:ind w:firstLine="424" w:firstLineChars="202"/>
        <w:jc w:val="left"/>
        <w:rPr>
          <w:rFonts w:hint="eastAsia" w:ascii="宋体" w:hAnsi="宋体"/>
          <w:color w:val="auto"/>
          <w:szCs w:val="21"/>
          <w:highlight w:val="none"/>
        </w:rPr>
      </w:pPr>
      <w:r>
        <w:rPr>
          <w:rFonts w:hint="eastAsia" w:ascii="宋体" w:hAnsi="宋体" w:cs="宋体"/>
          <w:color w:val="auto"/>
          <w:kern w:val="0"/>
          <w:szCs w:val="21"/>
          <w:highlight w:val="none"/>
        </w:rPr>
        <w:t>联系人电话:</w:t>
      </w:r>
      <w:r>
        <w:rPr>
          <w:rFonts w:ascii="宋体" w:hAnsi="宋体"/>
          <w:color w:val="auto"/>
          <w:szCs w:val="21"/>
          <w:highlight w:val="none"/>
        </w:rPr>
        <w:t xml:space="preserve"> </w:t>
      </w:r>
      <w:r>
        <w:rPr>
          <w:rFonts w:hint="eastAsia" w:ascii="宋体" w:hAnsi="宋体"/>
          <w:color w:val="auto"/>
          <w:szCs w:val="21"/>
          <w:highlight w:val="none"/>
        </w:rPr>
        <w:t>0775</w:t>
      </w:r>
      <w:r>
        <w:rPr>
          <w:rFonts w:hint="eastAsia" w:ascii="宋体" w:hAnsi="宋体"/>
          <w:color w:val="auto"/>
          <w:szCs w:val="21"/>
          <w:highlight w:val="none"/>
          <w:lang w:val="en-US" w:eastAsia="zh-CN"/>
        </w:rPr>
        <w:t>-</w:t>
      </w:r>
      <w:r>
        <w:rPr>
          <w:rFonts w:hint="eastAsia" w:ascii="宋体" w:hAnsi="宋体"/>
          <w:color w:val="auto"/>
          <w:szCs w:val="21"/>
          <w:highlight w:val="none"/>
        </w:rPr>
        <w:t>6206313 </w:t>
      </w:r>
    </w:p>
    <w:p>
      <w:pPr>
        <w:spacing w:line="400" w:lineRule="exact"/>
        <w:ind w:firstLine="424" w:firstLineChars="202"/>
        <w:rPr>
          <w:rFonts w:hint="eastAsia" w:ascii="宋体" w:hAnsi="宋体" w:cs="宋体"/>
          <w:color w:val="auto"/>
          <w:kern w:val="0"/>
          <w:szCs w:val="21"/>
          <w:highlight w:val="none"/>
        </w:rPr>
      </w:pPr>
      <w:bookmarkStart w:id="41" w:name="_Toc35393638"/>
      <w:bookmarkStart w:id="42" w:name="_Toc28359020"/>
      <w:bookmarkStart w:id="43" w:name="_Toc28359097"/>
      <w:bookmarkStart w:id="44" w:name="_Toc35393807"/>
      <w:r>
        <w:rPr>
          <w:rFonts w:hint="eastAsia" w:ascii="宋体" w:hAnsi="宋体" w:cs="宋体"/>
          <w:color w:val="auto"/>
          <w:kern w:val="0"/>
          <w:szCs w:val="21"/>
          <w:highlight w:val="none"/>
        </w:rPr>
        <w:t>2.采购代理机构信息</w:t>
      </w:r>
      <w:bookmarkEnd w:id="41"/>
      <w:bookmarkEnd w:id="42"/>
      <w:bookmarkEnd w:id="43"/>
      <w:bookmarkEnd w:id="44"/>
    </w:p>
    <w:p>
      <w:pPr>
        <w:spacing w:line="400" w:lineRule="exact"/>
        <w:ind w:firstLine="424" w:firstLineChars="202"/>
        <w:rPr>
          <w:rFonts w:hint="eastAsia" w:ascii="宋体" w:hAnsi="宋体" w:eastAsia="宋体"/>
          <w:color w:val="auto"/>
          <w:szCs w:val="21"/>
          <w:highlight w:val="none"/>
          <w:lang w:eastAsia="zh-CN"/>
        </w:rPr>
      </w:pPr>
      <w:r>
        <w:rPr>
          <w:rFonts w:hint="eastAsia" w:ascii="宋体" w:hAnsi="宋体"/>
          <w:color w:val="auto"/>
          <w:szCs w:val="21"/>
          <w:highlight w:val="none"/>
        </w:rPr>
        <w:t>名    称：</w:t>
      </w:r>
      <w:r>
        <w:rPr>
          <w:rFonts w:hint="eastAsia" w:ascii="宋体" w:hAnsi="宋体"/>
          <w:color w:val="auto"/>
          <w:szCs w:val="21"/>
          <w:highlight w:val="none"/>
          <w:lang w:eastAsia="zh-CN"/>
        </w:rPr>
        <w:t>玉林承浩项目管理有限公司</w:t>
      </w:r>
    </w:p>
    <w:p>
      <w:pPr>
        <w:spacing w:line="400" w:lineRule="exact"/>
        <w:ind w:firstLine="424" w:firstLineChars="202"/>
        <w:rPr>
          <w:rFonts w:hint="eastAsia" w:ascii="宋体" w:hAnsi="宋体" w:eastAsia="宋体"/>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lang w:eastAsia="zh-CN"/>
        </w:rPr>
        <w:t>北流市永顺大道8号</w:t>
      </w:r>
    </w:p>
    <w:p>
      <w:pPr>
        <w:spacing w:line="400" w:lineRule="exact"/>
        <w:ind w:firstLine="424" w:firstLineChars="202"/>
        <w:rPr>
          <w:rFonts w:hint="eastAsia" w:ascii="宋体" w:hAnsi="宋体" w:eastAsia="宋体"/>
          <w:color w:val="auto"/>
          <w:szCs w:val="21"/>
          <w:highlight w:val="none"/>
          <w:u w:val="single"/>
          <w:lang w:eastAsia="zh-CN"/>
        </w:rPr>
      </w:pPr>
      <w:r>
        <w:rPr>
          <w:rFonts w:hint="eastAsia" w:ascii="宋体" w:hAnsi="宋体"/>
          <w:color w:val="auto"/>
          <w:szCs w:val="21"/>
          <w:highlight w:val="none"/>
        </w:rPr>
        <w:t xml:space="preserve">联系方式： </w:t>
      </w:r>
      <w:r>
        <w:rPr>
          <w:rFonts w:hint="eastAsia" w:ascii="宋体" w:hAnsi="宋体"/>
          <w:color w:val="auto"/>
          <w:szCs w:val="21"/>
          <w:highlight w:val="none"/>
          <w:lang w:eastAsia="zh-CN"/>
        </w:rPr>
        <w:t>0775-6231602</w:t>
      </w:r>
    </w:p>
    <w:p>
      <w:pPr>
        <w:spacing w:line="400" w:lineRule="exact"/>
        <w:ind w:firstLine="424" w:firstLineChars="202"/>
        <w:rPr>
          <w:rFonts w:hint="eastAsia" w:ascii="宋体" w:hAnsi="宋体" w:cs="宋体"/>
          <w:color w:val="auto"/>
          <w:kern w:val="0"/>
          <w:szCs w:val="21"/>
          <w:highlight w:val="none"/>
        </w:rPr>
      </w:pPr>
      <w:bookmarkStart w:id="45" w:name="_Toc28359098"/>
      <w:bookmarkStart w:id="46" w:name="_Toc35393639"/>
      <w:bookmarkStart w:id="47" w:name="_Toc35393808"/>
      <w:bookmarkStart w:id="48" w:name="_Toc28359021"/>
      <w:r>
        <w:rPr>
          <w:rFonts w:hint="eastAsia" w:ascii="宋体" w:hAnsi="宋体" w:cs="宋体"/>
          <w:color w:val="auto"/>
          <w:kern w:val="0"/>
          <w:szCs w:val="21"/>
          <w:highlight w:val="none"/>
        </w:rPr>
        <w:t>3.项目联系方式</w:t>
      </w:r>
      <w:bookmarkEnd w:id="45"/>
      <w:bookmarkEnd w:id="46"/>
      <w:bookmarkEnd w:id="47"/>
      <w:bookmarkEnd w:id="48"/>
    </w:p>
    <w:p>
      <w:pPr>
        <w:spacing w:line="400" w:lineRule="exact"/>
        <w:ind w:firstLine="424" w:firstLineChars="202"/>
        <w:rPr>
          <w:rFonts w:hint="eastAsia" w:ascii="宋体" w:hAnsi="宋体" w:eastAsia="宋体" w:cs="Courier New"/>
          <w:color w:val="auto"/>
          <w:kern w:val="0"/>
          <w:szCs w:val="21"/>
          <w:highlight w:val="none"/>
          <w:lang w:eastAsia="zh-CN"/>
        </w:rPr>
      </w:pPr>
      <w:r>
        <w:rPr>
          <w:rFonts w:hint="eastAsia" w:ascii="宋体" w:hAnsi="宋体" w:cs="Courier New"/>
          <w:color w:val="auto"/>
          <w:kern w:val="0"/>
          <w:szCs w:val="21"/>
          <w:highlight w:val="none"/>
        </w:rPr>
        <w:t>项目联系人：</w:t>
      </w:r>
      <w:r>
        <w:rPr>
          <w:rFonts w:hint="eastAsia" w:ascii="宋体" w:hAnsi="宋体"/>
          <w:color w:val="auto"/>
          <w:szCs w:val="21"/>
          <w:highlight w:val="none"/>
          <w:lang w:eastAsia="zh-CN"/>
        </w:rPr>
        <w:t>李秋杏</w:t>
      </w:r>
    </w:p>
    <w:p>
      <w:pPr>
        <w:spacing w:line="400" w:lineRule="exact"/>
        <w:ind w:firstLine="424" w:firstLineChars="202"/>
        <w:rPr>
          <w:rFonts w:hint="eastAsia" w:ascii="宋体" w:hAnsi="宋体" w:eastAsia="宋体"/>
          <w:color w:val="auto"/>
          <w:szCs w:val="21"/>
          <w:highlight w:val="none"/>
          <w:u w:val="single"/>
          <w:lang w:eastAsia="zh-CN"/>
        </w:rPr>
      </w:pPr>
      <w:r>
        <w:rPr>
          <w:rFonts w:hint="eastAsia" w:ascii="宋体" w:hAnsi="宋体"/>
          <w:color w:val="auto"/>
          <w:szCs w:val="21"/>
          <w:highlight w:val="none"/>
        </w:rPr>
        <w:t>电　　话：</w:t>
      </w:r>
      <w:r>
        <w:rPr>
          <w:rFonts w:hint="eastAsia" w:ascii="宋体" w:hAnsi="宋体"/>
          <w:color w:val="auto"/>
          <w:szCs w:val="21"/>
          <w:highlight w:val="none"/>
          <w:lang w:eastAsia="zh-CN"/>
        </w:rPr>
        <w:t>0775-6231602</w:t>
      </w:r>
    </w:p>
    <w:p>
      <w:pPr>
        <w:spacing w:line="400" w:lineRule="exact"/>
        <w:ind w:firstLine="424" w:firstLineChars="202"/>
        <w:rPr>
          <w:rFonts w:hint="eastAsia" w:ascii="宋体" w:hAnsi="宋体"/>
          <w:color w:val="auto"/>
          <w:szCs w:val="21"/>
          <w:highlight w:val="none"/>
        </w:rPr>
      </w:pPr>
      <w:r>
        <w:rPr>
          <w:rFonts w:hint="eastAsia" w:ascii="宋体" w:hAnsi="宋体"/>
          <w:color w:val="auto"/>
          <w:szCs w:val="21"/>
          <w:highlight w:val="none"/>
        </w:rPr>
        <w:t>4.监督部门</w:t>
      </w:r>
    </w:p>
    <w:p>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名    称：</w:t>
      </w:r>
      <w:r>
        <w:rPr>
          <w:rFonts w:hint="eastAsia" w:ascii="宋体" w:hAnsi="宋体"/>
          <w:color w:val="auto"/>
          <w:szCs w:val="21"/>
          <w:highlight w:val="none"/>
          <w:lang w:eastAsia="zh-CN"/>
        </w:rPr>
        <w:t>北流市财政局</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lang w:eastAsia="zh-CN"/>
        </w:rPr>
        <w:t>0775-6235685</w:t>
      </w:r>
      <w:r>
        <w:rPr>
          <w:rFonts w:ascii="宋体" w:hAnsi="宋体"/>
          <w:color w:val="auto"/>
          <w:szCs w:val="21"/>
          <w:highlight w:val="none"/>
        </w:rPr>
        <w:t xml:space="preserve">    </w:t>
      </w:r>
    </w:p>
    <w:p>
      <w:pPr>
        <w:spacing w:line="320" w:lineRule="exact"/>
        <w:ind w:right="420" w:firstLine="630" w:firstLineChars="300"/>
        <w:jc w:val="righ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玉林承浩项目管理有限公司</w:t>
      </w:r>
    </w:p>
    <w:p>
      <w:pPr>
        <w:spacing w:line="320" w:lineRule="exact"/>
        <w:ind w:right="420" w:firstLine="6720" w:firstLineChars="3200"/>
        <w:rPr>
          <w:rFonts w:hint="eastAsia" w:ascii="宋体" w:hAnsi="宋体"/>
          <w:b/>
          <w:color w:val="auto"/>
          <w:szCs w:val="21"/>
          <w:highlight w:val="none"/>
        </w:rPr>
      </w:pPr>
      <w:r>
        <w:rPr>
          <w:rFonts w:hint="eastAsia" w:ascii="宋体" w:hAnsi="宋体"/>
          <w:color w:val="auto"/>
          <w:szCs w:val="21"/>
          <w:highlight w:val="none"/>
        </w:rPr>
        <w:t xml:space="preserve">     2020年</w:t>
      </w:r>
      <w:r>
        <w:rPr>
          <w:rFonts w:hint="eastAsia" w:ascii="宋体" w:hAnsi="宋体"/>
          <w:color w:val="auto"/>
          <w:szCs w:val="21"/>
          <w:highlight w:val="none"/>
          <w:lang w:val="en-US" w:eastAsia="zh-CN"/>
        </w:rPr>
        <w:t>11</w:t>
      </w:r>
      <w:r>
        <w:rPr>
          <w:rFonts w:hint="eastAsia" w:ascii="宋体" w:hAnsi="宋体"/>
          <w:color w:val="auto"/>
          <w:szCs w:val="21"/>
          <w:highlight w:val="none"/>
        </w:rPr>
        <w:t>月</w:t>
      </w:r>
      <w:r>
        <w:rPr>
          <w:rFonts w:hint="eastAsia" w:ascii="宋体" w:hAnsi="宋体"/>
          <w:color w:val="auto"/>
          <w:szCs w:val="21"/>
          <w:highlight w:val="none"/>
          <w:lang w:val="en-US" w:eastAsia="zh-CN"/>
        </w:rPr>
        <w:t>23</w:t>
      </w:r>
      <w:r>
        <w:rPr>
          <w:rFonts w:hint="eastAsia" w:ascii="宋体" w:hAnsi="宋体"/>
          <w:color w:val="auto"/>
          <w:szCs w:val="21"/>
          <w:highlight w:val="none"/>
        </w:rPr>
        <w:t xml:space="preserve"> 日</w:t>
      </w:r>
      <w:bookmarkEnd w:id="3"/>
      <w:bookmarkStart w:id="49" w:name="_Toc54691748"/>
    </w:p>
    <w:p>
      <w:pPr>
        <w:rPr>
          <w:rFonts w:hint="eastAsia"/>
          <w:color w:val="auto"/>
          <w:highlight w:val="none"/>
        </w:rPr>
      </w:pPr>
    </w:p>
    <w:p>
      <w:pPr>
        <w:pStyle w:val="4"/>
        <w:jc w:val="center"/>
        <w:rPr>
          <w:rFonts w:hint="eastAsia"/>
          <w:color w:val="auto"/>
          <w:highlight w:val="none"/>
          <w:lang w:eastAsia="zh-CN"/>
        </w:rPr>
      </w:pPr>
      <w:r>
        <w:rPr>
          <w:rFonts w:hint="eastAsia"/>
          <w:color w:val="auto"/>
          <w:highlight w:val="none"/>
        </w:rPr>
        <w:t xml:space="preserve">第二章  </w:t>
      </w:r>
      <w:bookmarkEnd w:id="49"/>
      <w:r>
        <w:rPr>
          <w:rFonts w:hint="eastAsia"/>
          <w:color w:val="auto"/>
          <w:highlight w:val="none"/>
          <w:lang w:eastAsia="zh-CN"/>
        </w:rPr>
        <w:t>项目采购需求</w:t>
      </w:r>
    </w:p>
    <w:p>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说明：</w:t>
      </w:r>
    </w:p>
    <w:p>
      <w:pPr>
        <w:spacing w:line="400" w:lineRule="exact"/>
        <w:ind w:firstLine="424" w:firstLineChars="202"/>
        <w:jc w:val="left"/>
        <w:rPr>
          <w:rFonts w:hint="eastAsia" w:ascii="宋体" w:hAnsi="宋体"/>
          <w:color w:val="auto"/>
          <w:highlight w:val="none"/>
        </w:rPr>
      </w:pPr>
      <w:r>
        <w:rPr>
          <w:rFonts w:hint="eastAsia" w:ascii="宋体" w:hAnsi="宋体"/>
          <w:color w:val="auto"/>
          <w:highlight w:val="none"/>
        </w:rPr>
        <w:t>1. 本招标文件所称中小企业必须符合《政府采购促进中小企业发展暂行办法》第二条规定。</w:t>
      </w:r>
    </w:p>
    <w:p>
      <w:pPr>
        <w:spacing w:line="400" w:lineRule="exact"/>
        <w:ind w:firstLine="424" w:firstLineChars="202"/>
        <w:jc w:val="left"/>
        <w:rPr>
          <w:rFonts w:hint="eastAsia" w:ascii="宋体" w:hAnsi="宋体"/>
          <w:color w:val="auto"/>
          <w:highlight w:val="none"/>
        </w:rPr>
      </w:pPr>
      <w:r>
        <w:rPr>
          <w:rFonts w:hint="eastAsia" w:ascii="宋体" w:hAnsi="宋体"/>
          <w:color w:val="auto"/>
          <w:highlight w:val="none"/>
        </w:rPr>
        <w:t>2. 小型和微型企业产品的价格给予10%的扣除，用扣除后的价格参与评审，具体扣除比例以第四章《评标办法及评标标准》的规定为准。</w:t>
      </w:r>
    </w:p>
    <w:p>
      <w:pPr>
        <w:spacing w:line="400" w:lineRule="exact"/>
        <w:ind w:firstLine="424" w:firstLineChars="202"/>
        <w:jc w:val="left"/>
        <w:rPr>
          <w:rFonts w:hint="eastAsia" w:ascii="宋体" w:hAnsi="宋体"/>
          <w:color w:val="auto"/>
          <w:highlight w:val="none"/>
        </w:rPr>
      </w:pPr>
      <w:r>
        <w:rPr>
          <w:rFonts w:hint="eastAsia" w:ascii="宋体" w:hAnsi="宋体"/>
          <w:color w:val="auto"/>
          <w:highlight w:val="none"/>
        </w:rPr>
        <w:t>3. 小型、微型企业提供中型企业制造的货物的，视同为中型企业。</w:t>
      </w:r>
    </w:p>
    <w:p>
      <w:pPr>
        <w:spacing w:line="400" w:lineRule="exact"/>
        <w:ind w:firstLine="424" w:firstLineChars="202"/>
        <w:jc w:val="left"/>
        <w:rPr>
          <w:rFonts w:hint="eastAsia" w:ascii="宋体" w:hAnsi="宋体"/>
          <w:color w:val="auto"/>
          <w:highlight w:val="none"/>
        </w:rPr>
      </w:pPr>
      <w:r>
        <w:rPr>
          <w:rFonts w:hint="eastAsia" w:ascii="宋体" w:hAnsi="宋体"/>
          <w:color w:val="auto"/>
          <w:highlight w:val="none"/>
        </w:rPr>
        <w:t>4. 小型、微型企业提供大型企业制造的货物的，视同为大型企业。</w:t>
      </w:r>
    </w:p>
    <w:p>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5. 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货物属于品目清单内标注“★”的产品时，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评标方法和评标标准”。</w:t>
      </w:r>
    </w:p>
    <w:p>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6. 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line="400" w:lineRule="exact"/>
        <w:ind w:firstLine="424" w:firstLineChars="202"/>
        <w:jc w:val="left"/>
        <w:rPr>
          <w:rFonts w:hint="eastAsia" w:ascii="宋体" w:hAnsi="宋体" w:cs="宋体"/>
          <w:color w:val="auto"/>
          <w:szCs w:val="21"/>
          <w:highlight w:val="none"/>
        </w:rPr>
      </w:pPr>
    </w:p>
    <w:tbl>
      <w:tblPr>
        <w:tblStyle w:val="44"/>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1560"/>
        <w:gridCol w:w="143"/>
        <w:gridCol w:w="992"/>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960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b/>
                <w:color w:val="auto"/>
                <w:szCs w:val="21"/>
                <w:highlight w:val="none"/>
              </w:rPr>
            </w:pPr>
            <w:bookmarkStart w:id="50" w:name="_Toc54691749"/>
            <w:r>
              <w:rPr>
                <w:rFonts w:hint="eastAsia" w:ascii="宋体" w:hAnsi="宋体"/>
                <w:b/>
                <w:color w:val="auto"/>
                <w:szCs w:val="21"/>
                <w:highlight w:val="none"/>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color w:val="auto"/>
                <w:szCs w:val="21"/>
                <w:highlight w:val="none"/>
              </w:rPr>
            </w:pPr>
            <w:r>
              <w:rPr>
                <w:rFonts w:ascii="宋体" w:hAnsi="宋体"/>
                <w:b/>
                <w:color w:val="auto"/>
                <w:szCs w:val="21"/>
                <w:highlight w:val="none"/>
              </w:rPr>
              <w:t>项号</w:t>
            </w:r>
          </w:p>
        </w:tc>
        <w:tc>
          <w:tcPr>
            <w:tcW w:w="1703"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color w:val="auto"/>
                <w:szCs w:val="21"/>
                <w:highlight w:val="none"/>
              </w:rPr>
            </w:pPr>
            <w:r>
              <w:rPr>
                <w:rFonts w:hint="eastAsia" w:ascii="宋体" w:hAnsi="宋体"/>
                <w:b/>
                <w:color w:val="auto"/>
                <w:szCs w:val="21"/>
                <w:highlight w:val="none"/>
              </w:rPr>
              <w:t>采购内容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bCs/>
                <w:color w:val="auto"/>
                <w:szCs w:val="21"/>
                <w:highlight w:val="none"/>
              </w:rPr>
            </w:pPr>
            <w:r>
              <w:rPr>
                <w:rFonts w:hint="eastAsia" w:ascii="宋体" w:hAnsi="宋体"/>
                <w:b/>
                <w:bCs/>
                <w:color w:val="auto"/>
                <w:szCs w:val="21"/>
                <w:highlight w:val="none"/>
              </w:rPr>
              <w:t>数量</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bCs/>
                <w:color w:val="auto"/>
                <w:szCs w:val="21"/>
                <w:highlight w:val="none"/>
              </w:rPr>
            </w:pPr>
            <w:r>
              <w:rPr>
                <w:rFonts w:hint="eastAsia" w:ascii="宋体" w:hAnsi="宋体"/>
                <w:b/>
                <w:color w:val="auto"/>
                <w:szCs w:val="21"/>
                <w:highlight w:val="none"/>
              </w:rPr>
              <w:t>项目需要</w:t>
            </w:r>
            <w:r>
              <w:rPr>
                <w:rFonts w:ascii="宋体" w:hAnsi="宋体"/>
                <w:b/>
                <w:color w:val="auto"/>
                <w:szCs w:val="21"/>
                <w:highlight w:val="none"/>
              </w:rPr>
              <w:t>及</w:t>
            </w:r>
            <w:r>
              <w:rPr>
                <w:rFonts w:hint="eastAsia" w:ascii="宋体" w:hAnsi="宋体"/>
                <w:b/>
                <w:color w:val="auto"/>
                <w:szCs w:val="21"/>
                <w:highlight w:val="none"/>
              </w:rPr>
              <w:t>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1703"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多层螺旋CT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1套</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340" w:lineRule="exact"/>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主要技术参数</w:t>
            </w:r>
          </w:p>
          <w:p>
            <w:pPr>
              <w:numPr>
                <w:ilvl w:val="0"/>
                <w:numId w:val="0"/>
              </w:num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1、</w:t>
            </w:r>
            <w:r>
              <w:rPr>
                <w:rFonts w:hint="eastAsia" w:ascii="宋体" w:hAnsi="宋体"/>
                <w:bCs/>
                <w:color w:val="auto"/>
                <w:szCs w:val="21"/>
                <w:highlight w:val="none"/>
              </w:rPr>
              <w:t>机架系统</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1</w:t>
            </w:r>
            <w:r>
              <w:rPr>
                <w:rFonts w:hint="eastAsia" w:ascii="宋体" w:hAnsi="宋体"/>
                <w:bCs/>
                <w:color w:val="auto"/>
                <w:szCs w:val="21"/>
                <w:highlight w:val="none"/>
              </w:rPr>
              <w:t>.1机架孔径≥70cm</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1</w:t>
            </w:r>
            <w:r>
              <w:rPr>
                <w:rFonts w:hint="eastAsia" w:ascii="宋体" w:hAnsi="宋体"/>
                <w:bCs/>
                <w:color w:val="auto"/>
                <w:szCs w:val="21"/>
                <w:highlight w:val="none"/>
              </w:rPr>
              <w:t>.2</w:t>
            </w:r>
            <w:r>
              <w:rPr>
                <w:rFonts w:hint="eastAsia" w:ascii="宋体" w:hAnsi="宋体" w:cs="Courier New"/>
                <w:bCs/>
                <w:color w:val="auto"/>
                <w:szCs w:val="21"/>
                <w:highlight w:val="none"/>
              </w:rPr>
              <w:t>▲</w:t>
            </w:r>
            <w:r>
              <w:rPr>
                <w:rFonts w:hint="eastAsia" w:ascii="宋体" w:hAnsi="宋体"/>
                <w:bCs/>
                <w:color w:val="auto"/>
                <w:szCs w:val="21"/>
                <w:highlight w:val="none"/>
              </w:rPr>
              <w:t>双套扫描操作系统</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提供双套扫描操作系统。可采用传统主机操作，也可选用无线平板电脑和无线远程遥控器进行扫描。</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1</w:t>
            </w:r>
            <w:r>
              <w:rPr>
                <w:rFonts w:hint="eastAsia" w:ascii="宋体" w:hAnsi="宋体"/>
                <w:bCs/>
                <w:color w:val="auto"/>
                <w:szCs w:val="21"/>
                <w:highlight w:val="none"/>
              </w:rPr>
              <w:t>.3</w:t>
            </w:r>
            <w:r>
              <w:rPr>
                <w:rFonts w:hint="eastAsia" w:ascii="宋体" w:hAnsi="宋体" w:cs="Courier New"/>
                <w:bCs/>
                <w:color w:val="auto"/>
                <w:szCs w:val="21"/>
                <w:highlight w:val="none"/>
              </w:rPr>
              <w:t>▲</w:t>
            </w:r>
            <w:r>
              <w:rPr>
                <w:rFonts w:hint="eastAsia" w:ascii="宋体" w:hAnsi="宋体"/>
                <w:bCs/>
                <w:color w:val="auto"/>
                <w:szCs w:val="21"/>
                <w:highlight w:val="none"/>
              </w:rPr>
              <w:t>内置一体化摄像头</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机架上具备内置一体化摄像头，扫描全程监控患者有否移动、对造影剂有无过敏反应等情况。监控图像可在主机显示。</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1</w:t>
            </w:r>
            <w:r>
              <w:rPr>
                <w:rFonts w:hint="eastAsia" w:ascii="宋体" w:hAnsi="宋体"/>
                <w:bCs/>
                <w:color w:val="auto"/>
                <w:szCs w:val="21"/>
                <w:highlight w:val="none"/>
              </w:rPr>
              <w:t>.4</w:t>
            </w:r>
            <w:r>
              <w:rPr>
                <w:rFonts w:hint="eastAsia" w:ascii="宋体" w:hAnsi="宋体" w:cs="Courier New"/>
                <w:bCs/>
                <w:color w:val="auto"/>
                <w:szCs w:val="21"/>
                <w:highlight w:val="none"/>
              </w:rPr>
              <w:t>▲</w:t>
            </w:r>
            <w:r>
              <w:rPr>
                <w:rFonts w:hint="eastAsia" w:ascii="宋体" w:hAnsi="宋体"/>
                <w:bCs/>
                <w:color w:val="auto"/>
                <w:szCs w:val="21"/>
                <w:highlight w:val="none"/>
              </w:rPr>
              <w:t>双套患者摆位系统</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双套摆位系统。具备无线遥控器和机架上固定的有线的摆位系统。</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1</w:t>
            </w:r>
            <w:r>
              <w:rPr>
                <w:rFonts w:hint="eastAsia" w:ascii="宋体" w:hAnsi="宋体"/>
                <w:bCs/>
                <w:color w:val="auto"/>
                <w:szCs w:val="21"/>
                <w:highlight w:val="none"/>
              </w:rPr>
              <w:t>.5三维激光定位系统</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具备激光定位系统精确度：≤1mm</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1</w:t>
            </w:r>
            <w:r>
              <w:rPr>
                <w:rFonts w:hint="eastAsia" w:ascii="宋体" w:hAnsi="宋体"/>
                <w:bCs/>
                <w:color w:val="auto"/>
                <w:szCs w:val="21"/>
                <w:highlight w:val="none"/>
              </w:rPr>
              <w:t xml:space="preserve">.6焦点至扫描野等中心距离≤53.5cm            </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1</w:t>
            </w:r>
            <w:r>
              <w:rPr>
                <w:rFonts w:hint="eastAsia" w:ascii="宋体" w:hAnsi="宋体"/>
                <w:bCs/>
                <w:color w:val="auto"/>
                <w:szCs w:val="21"/>
                <w:highlight w:val="none"/>
              </w:rPr>
              <w:t xml:space="preserve">.7焦点至探测器距离≤98.3cm      </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2、</w:t>
            </w:r>
            <w:r>
              <w:rPr>
                <w:rFonts w:hint="eastAsia" w:ascii="宋体" w:hAnsi="宋体"/>
                <w:bCs/>
                <w:color w:val="auto"/>
                <w:szCs w:val="21"/>
                <w:highlight w:val="none"/>
              </w:rPr>
              <w:t>X线系统</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2</w:t>
            </w:r>
            <w:r>
              <w:rPr>
                <w:rFonts w:hint="eastAsia" w:ascii="宋体" w:hAnsi="宋体"/>
                <w:bCs/>
                <w:color w:val="auto"/>
                <w:szCs w:val="21"/>
                <w:highlight w:val="none"/>
              </w:rPr>
              <w:t>.1球管有效热容量≥8.75MHU</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2</w:t>
            </w:r>
            <w:r>
              <w:rPr>
                <w:rFonts w:hint="eastAsia" w:ascii="宋体" w:hAnsi="宋体"/>
                <w:bCs/>
                <w:color w:val="auto"/>
                <w:szCs w:val="21"/>
                <w:highlight w:val="none"/>
              </w:rPr>
              <w:t>.2球管物理最大输出电流≥240mA</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2</w:t>
            </w:r>
            <w:r>
              <w:rPr>
                <w:rFonts w:hint="eastAsia" w:ascii="宋体" w:hAnsi="宋体"/>
                <w:bCs/>
                <w:color w:val="auto"/>
                <w:szCs w:val="21"/>
                <w:highlight w:val="none"/>
              </w:rPr>
              <w:t>.3球管有效最大输出电流≥600mA</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2</w:t>
            </w:r>
            <w:r>
              <w:rPr>
                <w:rFonts w:hint="eastAsia" w:ascii="宋体" w:hAnsi="宋体"/>
                <w:bCs/>
                <w:color w:val="auto"/>
                <w:szCs w:val="21"/>
                <w:highlight w:val="none"/>
              </w:rPr>
              <w:t>.4球管最大电压≥130KV</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2</w:t>
            </w:r>
            <w:r>
              <w:rPr>
                <w:rFonts w:hint="eastAsia" w:ascii="宋体" w:hAnsi="宋体"/>
                <w:bCs/>
                <w:color w:val="auto"/>
                <w:szCs w:val="21"/>
                <w:highlight w:val="none"/>
              </w:rPr>
              <w:t>.5球管最小电压≤80KV</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2</w:t>
            </w:r>
            <w:r>
              <w:rPr>
                <w:rFonts w:hint="eastAsia" w:ascii="宋体" w:hAnsi="宋体"/>
                <w:bCs/>
                <w:color w:val="auto"/>
                <w:szCs w:val="21"/>
                <w:highlight w:val="none"/>
              </w:rPr>
              <w:t>.6</w:t>
            </w:r>
            <w:r>
              <w:rPr>
                <w:rFonts w:hint="eastAsia" w:ascii="宋体" w:hAnsi="宋体" w:cs="Courier New"/>
                <w:bCs/>
                <w:color w:val="auto"/>
                <w:szCs w:val="21"/>
                <w:highlight w:val="none"/>
              </w:rPr>
              <w:t>▲</w:t>
            </w:r>
            <w:r>
              <w:rPr>
                <w:rFonts w:hint="eastAsia" w:ascii="宋体" w:hAnsi="宋体"/>
                <w:bCs/>
                <w:color w:val="auto"/>
                <w:szCs w:val="21"/>
                <w:highlight w:val="none"/>
              </w:rPr>
              <w:t>球管提供能谱纯化Sn技术</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提供以球管的能谱纯化技术，滤过低能级射线，以大幅度降低剂量，提高图像质量。提供Sn110KV, Sn130KV管电压。</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2</w:t>
            </w:r>
            <w:r>
              <w:rPr>
                <w:rFonts w:hint="eastAsia" w:ascii="宋体" w:hAnsi="宋体"/>
                <w:bCs/>
                <w:color w:val="auto"/>
                <w:szCs w:val="21"/>
                <w:highlight w:val="none"/>
              </w:rPr>
              <w:t>.7</w:t>
            </w:r>
            <w:r>
              <w:rPr>
                <w:rFonts w:hint="eastAsia" w:ascii="宋体" w:hAnsi="宋体" w:cs="Courier New"/>
                <w:bCs/>
                <w:color w:val="auto"/>
                <w:szCs w:val="21"/>
                <w:highlight w:val="none"/>
              </w:rPr>
              <w:t>▲</w:t>
            </w:r>
            <w:r>
              <w:rPr>
                <w:rFonts w:hint="eastAsia" w:ascii="宋体" w:hAnsi="宋体"/>
                <w:bCs/>
                <w:color w:val="auto"/>
                <w:szCs w:val="21"/>
                <w:highlight w:val="none"/>
              </w:rPr>
              <w:t>电压值</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5档球管电压自动调节选择：80kv, 110kv, 130kv, Sn110kv, Sn130kv.</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2</w:t>
            </w:r>
            <w:r>
              <w:rPr>
                <w:rFonts w:hint="eastAsia" w:ascii="宋体" w:hAnsi="宋体"/>
                <w:bCs/>
                <w:color w:val="auto"/>
                <w:szCs w:val="21"/>
                <w:highlight w:val="none"/>
              </w:rPr>
              <w:t>.8球管敏感器官关爱技术</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提供球管X线对敏感器官的保护，对敏感器官停止放线，在其他角度进行补偿投照，避免X线对眼睛、甲状腺和乳腺的直接照射和辐射伤害。</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2</w:t>
            </w:r>
            <w:r>
              <w:rPr>
                <w:rFonts w:hint="eastAsia" w:ascii="宋体" w:hAnsi="宋体"/>
                <w:bCs/>
                <w:color w:val="auto"/>
                <w:szCs w:val="21"/>
                <w:highlight w:val="none"/>
              </w:rPr>
              <w:t>.9球管阳极散热率≥500KHU/min</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2</w:t>
            </w:r>
            <w:r>
              <w:rPr>
                <w:rFonts w:hint="eastAsia" w:ascii="宋体" w:hAnsi="宋体"/>
                <w:bCs/>
                <w:color w:val="auto"/>
                <w:szCs w:val="21"/>
                <w:highlight w:val="none"/>
              </w:rPr>
              <w:t xml:space="preserve">.10球管大焦点尺寸≤0.8mm×0.7mm    </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2</w:t>
            </w:r>
            <w:r>
              <w:rPr>
                <w:rFonts w:hint="eastAsia" w:ascii="宋体" w:hAnsi="宋体"/>
                <w:bCs/>
                <w:color w:val="auto"/>
                <w:szCs w:val="21"/>
                <w:highlight w:val="none"/>
              </w:rPr>
              <w:t xml:space="preserve">.11球管小焦点尺寸≤0.8mm×0.4 mm </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2</w:t>
            </w:r>
            <w:r>
              <w:rPr>
                <w:rFonts w:hint="eastAsia" w:ascii="宋体" w:hAnsi="宋体"/>
                <w:bCs/>
                <w:color w:val="auto"/>
                <w:szCs w:val="21"/>
                <w:highlight w:val="none"/>
              </w:rPr>
              <w:t>.12高压发生器物理功率≥32kW</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2</w:t>
            </w:r>
            <w:r>
              <w:rPr>
                <w:rFonts w:hint="eastAsia" w:ascii="宋体" w:hAnsi="宋体"/>
                <w:bCs/>
                <w:color w:val="auto"/>
                <w:szCs w:val="21"/>
                <w:highlight w:val="none"/>
              </w:rPr>
              <w:t>.13高压发生器有效功率≥80kW</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2</w:t>
            </w:r>
            <w:r>
              <w:rPr>
                <w:rFonts w:hint="eastAsia" w:ascii="宋体" w:hAnsi="宋体"/>
                <w:bCs/>
                <w:color w:val="auto"/>
                <w:szCs w:val="21"/>
                <w:highlight w:val="none"/>
              </w:rPr>
              <w:t>.14</w:t>
            </w:r>
            <w:r>
              <w:rPr>
                <w:rFonts w:hint="eastAsia" w:ascii="宋体" w:hAnsi="宋体" w:cs="Courier New"/>
                <w:bCs/>
                <w:color w:val="auto"/>
                <w:szCs w:val="21"/>
                <w:highlight w:val="none"/>
              </w:rPr>
              <w:t>▲</w:t>
            </w:r>
            <w:r>
              <w:rPr>
                <w:rFonts w:hint="eastAsia" w:ascii="宋体" w:hAnsi="宋体"/>
                <w:bCs/>
                <w:color w:val="auto"/>
                <w:szCs w:val="21"/>
                <w:highlight w:val="none"/>
              </w:rPr>
              <w:t>具备球管为原厂研发生产制造</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探测器</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.1探测器排列≥32排</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.2成像图像层数≥64层图像/360º</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.3探测器类型</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最新型探测器，西门子Stellar光子探测器</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GE 提供宝石探测器，佳能提供pure VISION微量子探测器，PHILIPS提供微平板探测器等</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.4</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3D防散射线滤线栅</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探测器上具备3D防散射线滤线栅硬件</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.5探测器通道数≥768个/排</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.6探测器投照数≥1536 /s/360º</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.7探测器采集最薄层厚≤0.7mm</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.8滑环类型：低压滑环 </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.9机架驱动方式：皮带驱动</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.10机架冷却方式：风冷</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.11具备机架上呼吸控制专用指示灯(非X线暴光指示灯)</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扫描床系统</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.1床垂直升降最低/最高位置：最低≤46cm，最高≥88cm      </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.2床水平移动最大速度≥200mm/s</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.3床垂直移动最大速度≥28.3mm/s</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床面可扫描范围≥160 cm（加延长板）</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4.5</w:t>
            </w:r>
            <w:r>
              <w:rPr>
                <w:rFonts w:hint="eastAsia" w:ascii="宋体" w:hAnsi="宋体"/>
                <w:bCs/>
                <w:color w:val="auto"/>
                <w:szCs w:val="21"/>
                <w:highlight w:val="none"/>
              </w:rPr>
              <w:t>床水平移动精度≤±0.25mm（最大载重条件）</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4.6</w:t>
            </w:r>
            <w:r>
              <w:rPr>
                <w:rFonts w:hint="eastAsia" w:ascii="宋体" w:hAnsi="宋体"/>
                <w:bCs/>
                <w:color w:val="auto"/>
                <w:szCs w:val="21"/>
                <w:highlight w:val="none"/>
              </w:rPr>
              <w:t>扫描床最大载重量≥220kg（±0.25mm移床精度）</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5、</w:t>
            </w:r>
            <w:r>
              <w:rPr>
                <w:rFonts w:hint="eastAsia" w:ascii="宋体" w:hAnsi="宋体"/>
                <w:bCs/>
                <w:color w:val="auto"/>
                <w:szCs w:val="21"/>
                <w:highlight w:val="none"/>
              </w:rPr>
              <w:t>计算机部分（主控制台）</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5</w:t>
            </w:r>
            <w:r>
              <w:rPr>
                <w:rFonts w:hint="eastAsia" w:ascii="宋体" w:hAnsi="宋体"/>
                <w:bCs/>
                <w:color w:val="auto"/>
                <w:szCs w:val="21"/>
                <w:highlight w:val="none"/>
              </w:rPr>
              <w:t>.1提供型号</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5</w:t>
            </w:r>
            <w:r>
              <w:rPr>
                <w:rFonts w:hint="eastAsia" w:ascii="宋体" w:hAnsi="宋体"/>
                <w:bCs/>
                <w:color w:val="auto"/>
                <w:szCs w:val="21"/>
                <w:highlight w:val="none"/>
              </w:rPr>
              <w:t>.2提供一体化计算机</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提供计算机整合在机架中的内置设计，节省扫描间建筑成本。</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5</w:t>
            </w:r>
            <w:r>
              <w:rPr>
                <w:rFonts w:hint="eastAsia" w:ascii="宋体" w:hAnsi="宋体"/>
                <w:bCs/>
                <w:color w:val="auto"/>
                <w:szCs w:val="21"/>
                <w:highlight w:val="none"/>
              </w:rPr>
              <w:t>.3CPU</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提供Intel Xeon处理器，≥3.3GHz</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5</w:t>
            </w:r>
            <w:r>
              <w:rPr>
                <w:rFonts w:hint="eastAsia" w:ascii="宋体" w:hAnsi="宋体"/>
                <w:bCs/>
                <w:color w:val="auto"/>
                <w:szCs w:val="21"/>
                <w:highlight w:val="none"/>
              </w:rPr>
              <w:t>.4内存≥16 GB</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5</w:t>
            </w:r>
            <w:r>
              <w:rPr>
                <w:rFonts w:hint="eastAsia" w:ascii="宋体" w:hAnsi="宋体"/>
                <w:bCs/>
                <w:color w:val="auto"/>
                <w:szCs w:val="21"/>
                <w:highlight w:val="none"/>
              </w:rPr>
              <w:t>.5硬盘容量≥480GB SSD</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5</w:t>
            </w:r>
            <w:r>
              <w:rPr>
                <w:rFonts w:hint="eastAsia" w:ascii="宋体" w:hAnsi="宋体"/>
                <w:bCs/>
                <w:color w:val="auto"/>
                <w:szCs w:val="21"/>
                <w:highlight w:val="none"/>
              </w:rPr>
              <w:t>.6重建矩阵≥512×512</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5</w:t>
            </w:r>
            <w:r>
              <w:rPr>
                <w:rFonts w:hint="eastAsia" w:ascii="宋体" w:hAnsi="宋体"/>
                <w:bCs/>
                <w:color w:val="auto"/>
                <w:szCs w:val="21"/>
                <w:highlight w:val="none"/>
              </w:rPr>
              <w:t>.7显示矩阵≥1024×1024</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5</w:t>
            </w:r>
            <w:r>
              <w:rPr>
                <w:rFonts w:hint="eastAsia" w:ascii="宋体" w:hAnsi="宋体"/>
                <w:bCs/>
                <w:color w:val="auto"/>
                <w:szCs w:val="21"/>
                <w:highlight w:val="none"/>
              </w:rPr>
              <w:t>.8显示像素尺寸≤0.29mm</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5</w:t>
            </w:r>
            <w:r>
              <w:rPr>
                <w:rFonts w:hint="eastAsia" w:ascii="宋体" w:hAnsi="宋体"/>
                <w:bCs/>
                <w:color w:val="auto"/>
                <w:szCs w:val="21"/>
                <w:highlight w:val="none"/>
              </w:rPr>
              <w:t>.9处理功能</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具备扫描、重建、显示、查询、存储、打印等操作</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5</w:t>
            </w:r>
            <w:r>
              <w:rPr>
                <w:rFonts w:hint="eastAsia" w:ascii="宋体" w:hAnsi="宋体"/>
                <w:bCs/>
                <w:color w:val="auto"/>
                <w:szCs w:val="21"/>
                <w:highlight w:val="none"/>
              </w:rPr>
              <w:t>.10高分辨率逐行扫描显示器≥1024×1280 LCD，≥21寸</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5</w:t>
            </w:r>
            <w:r>
              <w:rPr>
                <w:rFonts w:hint="eastAsia" w:ascii="宋体" w:hAnsi="宋体"/>
                <w:bCs/>
                <w:color w:val="auto"/>
                <w:szCs w:val="21"/>
                <w:highlight w:val="none"/>
              </w:rPr>
              <w:t>.11提供DICOM3.0图像格式，符合DICOM标准的工作列表、存储、传输、查询、打印、工作单（worklist）等功能</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5</w:t>
            </w:r>
            <w:r>
              <w:rPr>
                <w:rFonts w:hint="eastAsia" w:ascii="宋体" w:hAnsi="宋体"/>
                <w:bCs/>
                <w:color w:val="auto"/>
                <w:szCs w:val="21"/>
                <w:highlight w:val="none"/>
              </w:rPr>
              <w:t>.12激光相机接口</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 xml:space="preserve">DICOM3.0接口 </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5</w:t>
            </w:r>
            <w:r>
              <w:rPr>
                <w:rFonts w:hint="eastAsia" w:ascii="宋体" w:hAnsi="宋体"/>
                <w:bCs/>
                <w:color w:val="auto"/>
                <w:szCs w:val="21"/>
                <w:highlight w:val="none"/>
              </w:rPr>
              <w:t>.13自动照相技术</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5</w:t>
            </w:r>
            <w:r>
              <w:rPr>
                <w:rFonts w:hint="eastAsia" w:ascii="宋体" w:hAnsi="宋体"/>
                <w:bCs/>
                <w:color w:val="auto"/>
                <w:szCs w:val="21"/>
                <w:highlight w:val="none"/>
              </w:rPr>
              <w:t>.14自动语音系统及双向语音传输</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扫描参数</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.1扫描时间≤0.8s/360度</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.2成像图像层数≥64层图像/360度</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 xml:space="preserve">.3最薄探测器物理厚度≤0.7mm      </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 xml:space="preserve">.4图像重建时间≥9幅/秒 </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.5扫描视野≥50cm</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.6显示视野范围≥5cm~50cm</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.7定位像方向</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后前、前后、左右侧位</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.8定位扫描长度≥120cm</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.9最长连续螺旋扫描时间≥300秒</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.10最大连续扫描范围≥120cm</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.11螺距连续可调</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.12最大螺距≥1.5</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.13提供迭代技术</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 xml:space="preserve">具备GE提供ASiR；西门子提供SAFIRE；飞利浦提供IDose4；佳能提供AIDR等  </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.14提供根据生理解剖角度的自由重建</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对脊柱、后颅窝等器官，在扫描后自动进行小角度和自由角度重建，符合人体生理解剖，不需要医生手动进行角度重建。</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.15在重建环节自动完成后处理步骤</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在重建环节自动完成血管分析功能</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图像质量</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.1可视空间分辨率10%MTF≥14.5 LP/CM（X-Y轴）</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.2可视空间分辨率50%MTF≥11.8 LP/CM（X-Y轴）</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.3密度分辨率≤3mm@3%（≤14 mGy,16 cm CATPHAN Phantom）</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临床应用功能</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.1自动检测扫描范围</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在扫描完成后系统自动检测扫描范围是否完整</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.2自动检测造影剂浓度</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在扫描完成后系统自动检测造影剂浓度是否达到诊断水平。</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.3多平面重建和曲面重建</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.4最大密度投影</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.5最小密度投影</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.6高级容积漫游VRT</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.7实时自动造影剂跟踪(一次注射扫描)</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在血管内造影剂浓度达到设定值后控制台自动触发增强扫描。</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.8实时剂量调节软件</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.9各种伪影消除软件（包括运动伪影、容积伪影校正软件）</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.10低剂量肺扫描</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 xml:space="preserve">.11组织结节测量软件 </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 xml:space="preserve">.12智能呼吸控制语音提示 </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.13虚拟摄片和不对称不规则摄片编排</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 xml:space="preserve">.14儿童低剂量成像软件和扫描序列(具备能谱纯化技术)  </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.15不同病人的扫描图像可以在同一屏上分屏对比观察</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.16CT值扩展</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 xml:space="preserve">可将CT值扩展至-8192到+57343，便于高密度物体观察  </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.17多感兴趣区时间密度曲线自动分析软件</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.18并行重建功能</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并行处理多种模式的图像的重建，可以在一个扫描方案中预置多达8种不同算法的重建任务。</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.19提供直接三维高级重建功能</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扫描后直接从原始数据重建诊断需要的MPR/MIP图像。不需先人工重建二维薄层图像，再重建MPR/MIP</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9、</w:t>
            </w:r>
            <w:r>
              <w:rPr>
                <w:rFonts w:hint="eastAsia" w:ascii="宋体" w:hAnsi="宋体"/>
                <w:bCs/>
                <w:color w:val="auto"/>
                <w:szCs w:val="21"/>
                <w:highlight w:val="none"/>
              </w:rPr>
              <w:t>其它</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9</w:t>
            </w:r>
            <w:r>
              <w:rPr>
                <w:rFonts w:hint="eastAsia" w:ascii="宋体" w:hAnsi="宋体"/>
                <w:bCs/>
                <w:color w:val="auto"/>
                <w:szCs w:val="21"/>
                <w:highlight w:val="none"/>
              </w:rPr>
              <w:t>.1提供扫描附件床垫</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val="en-US" w:eastAsia="zh-CN"/>
              </w:rPr>
              <w:t>9</w:t>
            </w:r>
            <w:r>
              <w:rPr>
                <w:rFonts w:hint="eastAsia" w:ascii="宋体" w:hAnsi="宋体"/>
                <w:bCs/>
                <w:color w:val="auto"/>
                <w:szCs w:val="21"/>
                <w:highlight w:val="none"/>
              </w:rPr>
              <w:t>.2提供质控水模</w:t>
            </w:r>
          </w:p>
          <w:p>
            <w:pPr>
              <w:spacing w:line="340" w:lineRule="exact"/>
              <w:rPr>
                <w:rFonts w:hint="eastAsia" w:ascii="宋体" w:hAnsi="宋体"/>
                <w:bCs/>
                <w:color w:val="auto"/>
                <w:szCs w:val="21"/>
                <w:highlight w:val="none"/>
              </w:rPr>
            </w:pPr>
            <w:r>
              <w:rPr>
                <w:rFonts w:hint="eastAsia" w:ascii="宋体" w:hAnsi="宋体"/>
                <w:bCs/>
                <w:color w:val="auto"/>
                <w:szCs w:val="21"/>
                <w:highlight w:val="none"/>
                <w:lang w:eastAsia="zh-CN"/>
              </w:rPr>
              <w:t>二、</w:t>
            </w:r>
            <w:r>
              <w:rPr>
                <w:rFonts w:hint="eastAsia" w:ascii="宋体" w:hAnsi="宋体"/>
                <w:bCs/>
                <w:color w:val="auto"/>
                <w:szCs w:val="21"/>
                <w:highlight w:val="none"/>
              </w:rPr>
              <w:t>其它要求</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1投标设备符合射线防护标准</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2投标方有剂量检测及显示系统</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3售后服务</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3.1维修点：省内有固定的CT维修点</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3.2网络一键通报修</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网络自动诊断和识别报错信息，判断提供远程指导或上门更换备件服务。</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3.3保修期内的开机率：投标方保证开机率≥93％</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3.4设备停产后的备件供应≥八年</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3.5质保期</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整机（除球管外）质保一年；球管保修一年或十万秒次，以先到为准。</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4提供后处理工作站一套</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4.1多平面重组MPR</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4.2表面重建SSD</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4.3体重建VR</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4.4曲面重建CPR</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4.5最大、最小密度投影</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4.6组织提取分析</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4.7拉直狭窄分析</w:t>
            </w:r>
          </w:p>
          <w:p>
            <w:pPr>
              <w:spacing w:line="340" w:lineRule="exact"/>
              <w:rPr>
                <w:rFonts w:hint="eastAsia" w:ascii="宋体" w:hAnsi="宋体"/>
                <w:bCs/>
                <w:color w:val="auto"/>
                <w:szCs w:val="21"/>
                <w:highlight w:val="none"/>
              </w:rPr>
            </w:pPr>
            <w:r>
              <w:rPr>
                <w:rFonts w:hint="eastAsia" w:ascii="宋体" w:hAnsi="宋体"/>
                <w:bCs/>
                <w:color w:val="auto"/>
                <w:szCs w:val="21"/>
                <w:highlight w:val="none"/>
              </w:rPr>
              <w:t>4.8仿真内窥镜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606" w:type="dxa"/>
            <w:gridSpan w:val="5"/>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b/>
                <w:color w:val="auto"/>
                <w:szCs w:val="21"/>
                <w:highlight w:val="none"/>
              </w:rPr>
            </w:pPr>
            <w:r>
              <w:rPr>
                <w:rFonts w:hint="eastAsia" w:ascii="宋体" w:hAnsi="宋体"/>
                <w:b/>
                <w:color w:val="auto"/>
                <w:szCs w:val="21"/>
                <w:highlight w:val="none"/>
              </w:rPr>
              <w:t>二、涉及项目的其他要求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为落实政府采购政策需满足的要求</w:t>
            </w:r>
          </w:p>
        </w:tc>
        <w:tc>
          <w:tcPr>
            <w:tcW w:w="7230"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olor w:val="auto"/>
                <w:szCs w:val="21"/>
                <w:highlight w:val="none"/>
              </w:rPr>
            </w:pPr>
            <w:r>
              <w:rPr>
                <w:rFonts w:hint="eastAsia" w:ascii="宋体" w:hAnsi="宋体"/>
                <w:color w:val="auto"/>
                <w:szCs w:val="21"/>
                <w:highlight w:val="none"/>
              </w:rPr>
              <w:t>具体见本招标文件第三章“投标人须知”及第四章“评标办法及评分标准”。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规范标准</w:t>
            </w:r>
          </w:p>
        </w:tc>
        <w:tc>
          <w:tcPr>
            <w:tcW w:w="7230"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olor w:val="auto"/>
                <w:szCs w:val="21"/>
                <w:highlight w:val="none"/>
              </w:rPr>
            </w:pPr>
            <w:r>
              <w:rPr>
                <w:rFonts w:hint="eastAsia" w:ascii="宋体" w:hAnsi="宋体"/>
                <w:color w:val="auto"/>
                <w:szCs w:val="21"/>
                <w:highlight w:val="none"/>
              </w:rPr>
              <w:t>1、采购标的需执行的国家标准、行业标准、地方标准或者其他标准、规范。</w:t>
            </w:r>
          </w:p>
          <w:p>
            <w:pPr>
              <w:spacing w:line="340" w:lineRule="exact"/>
              <w:rPr>
                <w:rFonts w:hint="eastAsia" w:ascii="宋体" w:hAnsi="宋体"/>
                <w:color w:val="auto"/>
                <w:szCs w:val="21"/>
                <w:highlight w:val="none"/>
              </w:rPr>
            </w:pPr>
            <w:r>
              <w:rPr>
                <w:rFonts w:hint="eastAsia" w:ascii="宋体" w:hAnsi="宋体"/>
                <w:color w:val="auto"/>
                <w:szCs w:val="21"/>
                <w:highlight w:val="none"/>
              </w:rPr>
              <w:t>2、采购标的如所参考的执行标准及规范如有新标准及要求，则按最新的标准及要求执行。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采购标的需满足的质量、安全、技术规格、物理特性等</w:t>
            </w:r>
          </w:p>
        </w:tc>
        <w:tc>
          <w:tcPr>
            <w:tcW w:w="7230"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olor w:val="auto"/>
                <w:szCs w:val="21"/>
                <w:highlight w:val="none"/>
              </w:rPr>
            </w:pPr>
            <w:r>
              <w:rPr>
                <w:rFonts w:hint="eastAsia" w:ascii="宋体" w:hAnsi="宋体"/>
                <w:color w:val="auto"/>
                <w:szCs w:val="21"/>
                <w:highlight w:val="none"/>
              </w:rPr>
              <w:t>见本表“项目要求及技术要求”。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采购标的需满足的服务标准、期限、效率等</w:t>
            </w:r>
          </w:p>
        </w:tc>
        <w:tc>
          <w:tcPr>
            <w:tcW w:w="7230"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olor w:val="auto"/>
                <w:szCs w:val="21"/>
                <w:highlight w:val="none"/>
              </w:rPr>
            </w:pPr>
            <w:r>
              <w:rPr>
                <w:rFonts w:hint="eastAsia" w:ascii="宋体" w:hAnsi="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olor w:val="auto"/>
                <w:szCs w:val="21"/>
                <w:highlight w:val="none"/>
              </w:rPr>
            </w:pPr>
            <w:r>
              <w:rPr>
                <w:rFonts w:hint="eastAsia" w:ascii="宋体" w:hAnsi="宋体"/>
                <w:b/>
                <w:color w:val="auto"/>
                <w:szCs w:val="21"/>
                <w:highlight w:val="none"/>
              </w:rPr>
              <w:t>验收标准、验收方法及方案</w:t>
            </w:r>
          </w:p>
        </w:tc>
        <w:tc>
          <w:tcPr>
            <w:tcW w:w="7230"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宋体" w:hAnsi="宋体"/>
                <w:color w:val="auto"/>
                <w:szCs w:val="21"/>
                <w:highlight w:val="none"/>
              </w:rPr>
            </w:pPr>
            <w:r>
              <w:rPr>
                <w:rFonts w:hint="eastAsia" w:ascii="宋体" w:hAnsi="宋体"/>
                <w:color w:val="auto"/>
                <w:szCs w:val="21"/>
                <w:highlight w:val="none"/>
              </w:rPr>
              <w:t>1、验收过程中所产生的一切费用均由中标人承担。报价时应考虑相关费用；</w:t>
            </w:r>
          </w:p>
          <w:p>
            <w:pPr>
              <w:spacing w:line="340" w:lineRule="exact"/>
              <w:rPr>
                <w:rFonts w:hint="eastAsia" w:ascii="宋体" w:hAnsi="宋体"/>
                <w:color w:val="auto"/>
                <w:szCs w:val="21"/>
                <w:highlight w:val="none"/>
              </w:rPr>
            </w:pPr>
            <w:r>
              <w:rPr>
                <w:rFonts w:hint="eastAsia" w:ascii="宋体" w:hAnsi="宋体"/>
                <w:color w:val="auto"/>
                <w:szCs w:val="21"/>
                <w:highlight w:val="none"/>
              </w:rPr>
              <w:t>2、中标人在服务验收时由采购人对照招标文件的采购需求全面核对检验，对所有要求出具的证明文件的原件进行核查，如不符合招标文件的技术需求及要求以及提供虚假承诺的，按相关规定做不予接受服务处理及违约处理，中标人承担所有责任和费用，采购人保留进一步追究责任的权利；</w:t>
            </w:r>
          </w:p>
          <w:p>
            <w:pPr>
              <w:spacing w:line="340" w:lineRule="exact"/>
              <w:rPr>
                <w:rFonts w:hint="eastAsia" w:ascii="宋体" w:hAnsi="宋体"/>
                <w:color w:val="auto"/>
                <w:szCs w:val="21"/>
                <w:highlight w:val="none"/>
              </w:rPr>
            </w:pPr>
            <w:r>
              <w:rPr>
                <w:rFonts w:hint="eastAsia" w:ascii="宋体" w:hAnsi="宋体"/>
                <w:color w:val="auto"/>
                <w:szCs w:val="21"/>
                <w:highlight w:val="none"/>
              </w:rPr>
              <w:t>3、招标项目有其他要求的按其要求；</w:t>
            </w:r>
          </w:p>
          <w:p>
            <w:pPr>
              <w:spacing w:line="340" w:lineRule="exact"/>
              <w:rPr>
                <w:rFonts w:ascii="宋体" w:hAnsi="宋体"/>
                <w:color w:val="auto"/>
                <w:szCs w:val="21"/>
                <w:highlight w:val="none"/>
              </w:rPr>
            </w:pPr>
            <w:r>
              <w:rPr>
                <w:rFonts w:hint="eastAsia" w:ascii="宋体" w:hAnsi="宋体"/>
                <w:color w:val="auto"/>
                <w:szCs w:val="21"/>
                <w:highlight w:val="none"/>
              </w:rPr>
              <w:t>4、其它详见招标文件《广西壮族自治区政府采购合同》。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606" w:type="dxa"/>
            <w:gridSpan w:val="5"/>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olor w:val="auto"/>
                <w:szCs w:val="21"/>
                <w:highlight w:val="none"/>
              </w:rPr>
            </w:pPr>
            <w:r>
              <w:rPr>
                <w:rFonts w:hint="eastAsia" w:ascii="宋体" w:hAnsi="宋体"/>
                <w:color w:val="auto"/>
                <w:szCs w:val="21"/>
                <w:highlight w:val="none"/>
              </w:rPr>
              <w:t>▲三、</w:t>
            </w:r>
            <w:r>
              <w:rPr>
                <w:rFonts w:hint="eastAsia" w:ascii="宋体" w:hAnsi="宋体"/>
                <w:b/>
                <w:color w:val="auto"/>
                <w:szCs w:val="21"/>
                <w:highlight w:val="none"/>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b/>
                <w:color w:val="auto"/>
                <w:szCs w:val="21"/>
                <w:highlight w:val="none"/>
              </w:rPr>
            </w:pPr>
            <w:r>
              <w:rPr>
                <w:rFonts w:hint="eastAsia" w:ascii="宋体" w:hAnsi="宋体"/>
                <w:b/>
                <w:color w:val="auto"/>
                <w:szCs w:val="21"/>
                <w:highlight w:val="none"/>
              </w:rPr>
              <w:t>质保期</w:t>
            </w:r>
          </w:p>
        </w:tc>
        <w:tc>
          <w:tcPr>
            <w:tcW w:w="7230" w:type="dxa"/>
            <w:gridSpan w:val="3"/>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auto"/>
                <w:szCs w:val="21"/>
                <w:highlight w:val="none"/>
              </w:rPr>
            </w:pPr>
            <w:r>
              <w:rPr>
                <w:rFonts w:hint="eastAsia" w:ascii="宋体" w:hAnsi="宋体"/>
                <w:color w:val="auto"/>
                <w:szCs w:val="21"/>
                <w:highlight w:val="none"/>
              </w:rPr>
              <w:t>按国家有关产品“三包”规定执行“三包”，质保期除特别注明外，最短不得少于1年。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b/>
                <w:color w:val="auto"/>
                <w:szCs w:val="21"/>
                <w:highlight w:val="none"/>
              </w:rPr>
            </w:pPr>
            <w:r>
              <w:rPr>
                <w:rFonts w:hint="eastAsia" w:ascii="宋体" w:hAnsi="宋体"/>
                <w:b/>
                <w:color w:val="auto"/>
                <w:szCs w:val="21"/>
                <w:highlight w:val="none"/>
              </w:rPr>
              <w:t>售后服务及质量要求</w:t>
            </w:r>
          </w:p>
        </w:tc>
        <w:tc>
          <w:tcPr>
            <w:tcW w:w="7230"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olor w:val="auto"/>
                <w:szCs w:val="21"/>
                <w:highlight w:val="none"/>
              </w:rPr>
            </w:pPr>
            <w:r>
              <w:rPr>
                <w:rFonts w:hint="eastAsia" w:ascii="宋体" w:hAnsi="宋体"/>
                <w:color w:val="auto"/>
                <w:szCs w:val="21"/>
                <w:highlight w:val="none"/>
              </w:rPr>
              <w:t>1、按国家有关产品“三包”规定执行，中标供应商负责送货并安装调试完毕，中标供应商负责采购人维修、操作、技术人员的培训服务，并无偿提供培训资料，使用户相关维修、操作人员具备了解设备结构、工作原理，熟练操作设备，并能排除一般故障的能力；交货及采购人安装调试过程中，中标供应商应派专业技术人员到交货安装现场进行技术指导及相关技术服务，向采购人交接相关试验数据、报告及采购人要求提供的相关技术文件，直至达到验收合格要求；</w:t>
            </w:r>
          </w:p>
          <w:p>
            <w:pPr>
              <w:spacing w:line="340" w:lineRule="exact"/>
              <w:rPr>
                <w:rFonts w:hint="eastAsia" w:ascii="宋体" w:hAnsi="宋体"/>
                <w:color w:val="auto"/>
                <w:szCs w:val="21"/>
                <w:highlight w:val="none"/>
              </w:rPr>
            </w:pPr>
            <w:r>
              <w:rPr>
                <w:rFonts w:hint="eastAsia" w:ascii="宋体" w:hAnsi="宋体"/>
                <w:color w:val="auto"/>
                <w:szCs w:val="21"/>
                <w:highlight w:val="none"/>
              </w:rPr>
              <w:t>2、质保期结束后，中标供应商仍然对设备提供维修服务，但只能收取配件成本费；</w:t>
            </w:r>
          </w:p>
          <w:p>
            <w:pPr>
              <w:spacing w:line="340" w:lineRule="exact"/>
              <w:rPr>
                <w:rFonts w:hint="eastAsia" w:ascii="宋体" w:hAnsi="宋体"/>
                <w:color w:val="auto"/>
                <w:szCs w:val="21"/>
                <w:highlight w:val="none"/>
              </w:rPr>
            </w:pPr>
            <w:r>
              <w:rPr>
                <w:rFonts w:hint="eastAsia" w:ascii="宋体" w:hAnsi="宋体"/>
                <w:color w:val="auto"/>
                <w:szCs w:val="21"/>
                <w:highlight w:val="none"/>
              </w:rPr>
              <w:t>3、售后服务承诺：2小时响应，如需现场维修，专业工程师可在48小时内到达现场，72小时内完成修复；</w:t>
            </w:r>
          </w:p>
          <w:p>
            <w:pPr>
              <w:spacing w:line="340" w:lineRule="exact"/>
              <w:rPr>
                <w:rFonts w:hint="eastAsia" w:ascii="宋体" w:hAnsi="宋体"/>
                <w:color w:val="auto"/>
                <w:szCs w:val="21"/>
                <w:highlight w:val="none"/>
              </w:rPr>
            </w:pPr>
            <w:r>
              <w:rPr>
                <w:rFonts w:hint="eastAsia" w:ascii="宋体" w:hAnsi="宋体"/>
                <w:color w:val="auto"/>
                <w:szCs w:val="21"/>
                <w:highlight w:val="none"/>
              </w:rPr>
              <w:t>4、定期对操作人员进行系统的操作、维护、保养级一班故障排除技能的培训；</w:t>
            </w:r>
          </w:p>
          <w:p>
            <w:pPr>
              <w:spacing w:line="340" w:lineRule="exact"/>
              <w:rPr>
                <w:rFonts w:ascii="宋体" w:hAnsi="宋体"/>
                <w:color w:val="auto"/>
                <w:szCs w:val="21"/>
                <w:highlight w:val="none"/>
              </w:rPr>
            </w:pPr>
            <w:r>
              <w:rPr>
                <w:rFonts w:hint="eastAsia" w:ascii="宋体" w:hAnsi="宋体"/>
                <w:color w:val="auto"/>
                <w:szCs w:val="21"/>
                <w:highlight w:val="none"/>
              </w:rPr>
              <w:t>5、中标产品的质量必须符合国家颁布的标准，遵循国家行业执行标准，属于质量问题在质保期内由中标人负责。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合同签订时间</w:t>
            </w:r>
          </w:p>
        </w:tc>
        <w:tc>
          <w:tcPr>
            <w:tcW w:w="7230"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olor w:val="auto"/>
                <w:szCs w:val="21"/>
                <w:highlight w:val="none"/>
              </w:rPr>
            </w:pPr>
            <w:r>
              <w:rPr>
                <w:rFonts w:hint="eastAsia" w:ascii="宋体" w:hAnsi="宋体"/>
                <w:color w:val="auto"/>
                <w:szCs w:val="21"/>
                <w:highlight w:val="none"/>
              </w:rPr>
              <w:t>自中标通知书发出之日起2</w:t>
            </w:r>
            <w:r>
              <w:rPr>
                <w:rFonts w:ascii="宋体" w:hAnsi="宋体"/>
                <w:color w:val="auto"/>
                <w:szCs w:val="21"/>
                <w:highlight w:val="none"/>
              </w:rPr>
              <w:t>5</w:t>
            </w:r>
            <w:r>
              <w:rPr>
                <w:rFonts w:hint="eastAsia" w:ascii="宋体" w:hAnsi="宋体"/>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b/>
                <w:color w:val="auto"/>
                <w:szCs w:val="21"/>
                <w:highlight w:val="none"/>
              </w:rPr>
            </w:pPr>
            <w:r>
              <w:rPr>
                <w:rFonts w:hint="eastAsia" w:ascii="宋体" w:hAnsi="宋体"/>
                <w:b/>
                <w:color w:val="auto"/>
                <w:szCs w:val="21"/>
                <w:highlight w:val="none"/>
              </w:rPr>
              <w:t>交货时间及地点</w:t>
            </w:r>
          </w:p>
        </w:tc>
        <w:tc>
          <w:tcPr>
            <w:tcW w:w="7230"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宋体" w:hAnsi="宋体"/>
                <w:color w:val="auto"/>
                <w:szCs w:val="21"/>
                <w:highlight w:val="none"/>
              </w:rPr>
            </w:pPr>
            <w:r>
              <w:rPr>
                <w:rFonts w:hint="eastAsia" w:ascii="宋体" w:hAnsi="宋体"/>
                <w:color w:val="auto"/>
                <w:szCs w:val="21"/>
                <w:highlight w:val="none"/>
              </w:rPr>
              <w:t>1、交货时间：合同签定后2个月交货安装调试并正常运行。</w:t>
            </w:r>
          </w:p>
          <w:p>
            <w:pPr>
              <w:spacing w:line="340" w:lineRule="exact"/>
              <w:rPr>
                <w:rFonts w:ascii="宋体" w:hAnsi="宋体"/>
                <w:color w:val="auto"/>
                <w:szCs w:val="21"/>
                <w:highlight w:val="none"/>
              </w:rPr>
            </w:pPr>
            <w:r>
              <w:rPr>
                <w:rFonts w:hint="eastAsia" w:ascii="宋体" w:hAnsi="宋体"/>
                <w:color w:val="auto"/>
                <w:szCs w:val="21"/>
                <w:highlight w:val="none"/>
              </w:rPr>
              <w:t>2、交货地点：广西</w:t>
            </w:r>
            <w:r>
              <w:rPr>
                <w:rFonts w:hint="eastAsia" w:ascii="宋体" w:hAnsi="宋体"/>
                <w:color w:val="auto"/>
                <w:szCs w:val="21"/>
                <w:highlight w:val="none"/>
                <w:lang w:eastAsia="zh-CN"/>
              </w:rPr>
              <w:t>北流市</w:t>
            </w:r>
            <w:r>
              <w:rPr>
                <w:rFonts w:hint="eastAsia" w:ascii="宋体" w:hAnsi="宋体"/>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报价要求</w:t>
            </w:r>
          </w:p>
        </w:tc>
        <w:tc>
          <w:tcPr>
            <w:tcW w:w="7230"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olor w:val="auto"/>
                <w:szCs w:val="21"/>
                <w:highlight w:val="none"/>
              </w:rPr>
            </w:pPr>
            <w:r>
              <w:rPr>
                <w:rFonts w:hint="eastAsia" w:ascii="宋体" w:hAnsi="宋体" w:cs="Courier New"/>
                <w:color w:val="auto"/>
                <w:szCs w:val="21"/>
                <w:highlight w:val="none"/>
              </w:rPr>
              <w:t>投标报价是履行合同的最终价格，应包括货款、标准附件、备品备件、专用工具、包装、运输、装卸、保险、税金、货到就位以及安装、调试、培训、保修等履行本项目所需的一切税金和费用。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5" w:hRule="atLeast"/>
        </w:trPr>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付款方式</w:t>
            </w:r>
          </w:p>
        </w:tc>
        <w:tc>
          <w:tcPr>
            <w:tcW w:w="723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rPr>
                <w:rFonts w:hint="eastAsia" w:ascii="宋体" w:hAnsi="宋体"/>
                <w:color w:val="auto"/>
                <w:szCs w:val="21"/>
                <w:highlight w:val="none"/>
              </w:rPr>
            </w:pPr>
            <w:r>
              <w:rPr>
                <w:rFonts w:hint="eastAsia" w:ascii="宋体" w:hAnsi="宋体"/>
                <w:color w:val="auto"/>
                <w:szCs w:val="21"/>
                <w:highlight w:val="none"/>
              </w:rPr>
              <w:t>1、签订合同生效以及具备实施条件后5日内，采购人内向中标人支付合同总额</w:t>
            </w:r>
            <w:r>
              <w:rPr>
                <w:rFonts w:hint="eastAsia" w:ascii="宋体" w:hAnsi="宋体"/>
                <w:color w:val="auto"/>
                <w:szCs w:val="21"/>
                <w:highlight w:val="none"/>
                <w:lang w:val="en-US" w:eastAsia="zh-CN"/>
              </w:rPr>
              <w:t>70</w:t>
            </w:r>
            <w:r>
              <w:rPr>
                <w:rFonts w:hint="eastAsia" w:ascii="宋体" w:hAnsi="宋体"/>
                <w:color w:val="auto"/>
                <w:szCs w:val="21"/>
                <w:highlight w:val="none"/>
              </w:rPr>
              <w:t>%的款项作为预付款；</w:t>
            </w:r>
          </w:p>
          <w:p>
            <w:pPr>
              <w:pStyle w:val="29"/>
              <w:spacing w:line="340" w:lineRule="exact"/>
              <w:rPr>
                <w:rFonts w:hint="eastAsia" w:ascii="宋体" w:hAnsi="宋体"/>
                <w:color w:val="auto"/>
                <w:sz w:val="21"/>
                <w:szCs w:val="21"/>
                <w:highlight w:val="none"/>
                <w:lang w:val="en-US" w:eastAsia="zh-CN"/>
              </w:rPr>
            </w:pPr>
            <w:r>
              <w:rPr>
                <w:rFonts w:hint="eastAsia" w:ascii="宋体" w:hAnsi="宋体"/>
                <w:color w:val="auto"/>
                <w:sz w:val="21"/>
                <w:szCs w:val="21"/>
                <w:highlight w:val="none"/>
              </w:rPr>
              <w:t>2、中标人安装调试完毕并经采购人验收合格</w:t>
            </w:r>
            <w:r>
              <w:rPr>
                <w:rFonts w:hint="eastAsia" w:ascii="宋体" w:hAnsi="宋体"/>
                <w:color w:val="auto"/>
                <w:sz w:val="21"/>
                <w:szCs w:val="21"/>
                <w:highlight w:val="none"/>
                <w:lang w:eastAsia="zh-CN"/>
              </w:rPr>
              <w:t>后，</w:t>
            </w:r>
            <w:r>
              <w:rPr>
                <w:rFonts w:hint="eastAsia" w:ascii="宋体" w:hAnsi="宋体"/>
                <w:color w:val="auto"/>
                <w:sz w:val="21"/>
                <w:szCs w:val="21"/>
                <w:highlight w:val="none"/>
              </w:rPr>
              <w:t>1个月</w:t>
            </w:r>
            <w:r>
              <w:rPr>
                <w:rFonts w:hint="eastAsia" w:ascii="宋体" w:hAnsi="宋体"/>
                <w:color w:val="auto"/>
                <w:sz w:val="21"/>
                <w:szCs w:val="21"/>
                <w:highlight w:val="none"/>
                <w:lang w:eastAsia="zh-CN"/>
              </w:rPr>
              <w:t>内</w:t>
            </w:r>
            <w:r>
              <w:rPr>
                <w:rFonts w:hint="eastAsia" w:ascii="宋体" w:hAnsi="宋体"/>
                <w:color w:val="auto"/>
                <w:sz w:val="21"/>
                <w:szCs w:val="21"/>
                <w:highlight w:val="none"/>
              </w:rPr>
              <w:t>中标人向采购人开出合同总额的合法发票，采购人收到发票后15个工作日内向中标人支付合同总额</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w:t>
            </w:r>
            <w:r>
              <w:rPr>
                <w:rFonts w:hint="eastAsia" w:ascii="宋体" w:hAnsi="宋体"/>
                <w:color w:val="auto"/>
                <w:sz w:val="21"/>
                <w:szCs w:val="21"/>
                <w:highlight w:val="none"/>
                <w:lang w:eastAsia="zh-CN"/>
              </w:rPr>
              <w:t>剩余</w:t>
            </w:r>
            <w:r>
              <w:rPr>
                <w:rFonts w:hint="eastAsia" w:ascii="宋体" w:hAnsi="宋体"/>
                <w:color w:val="auto"/>
                <w:sz w:val="21"/>
                <w:szCs w:val="21"/>
                <w:highlight w:val="none"/>
              </w:rPr>
              <w:t>款项；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606" w:type="dxa"/>
            <w:gridSpan w:val="5"/>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b/>
                <w:color w:val="auto"/>
                <w:szCs w:val="21"/>
                <w:highlight w:val="none"/>
              </w:rPr>
            </w:pPr>
            <w:r>
              <w:rPr>
                <w:rFonts w:hint="eastAsia" w:ascii="宋体" w:hAnsi="宋体"/>
                <w:color w:val="auto"/>
                <w:szCs w:val="21"/>
                <w:highlight w:val="none"/>
              </w:rPr>
              <w:t>▲三、</w:t>
            </w:r>
            <w:r>
              <w:rPr>
                <w:rFonts w:hint="eastAsia" w:ascii="宋体" w:hAnsi="宋体"/>
                <w:b/>
                <w:color w:val="auto"/>
                <w:szCs w:val="21"/>
                <w:highlight w:val="none"/>
              </w:rPr>
              <w:t>核心产品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核心产品</w:t>
            </w:r>
          </w:p>
        </w:tc>
        <w:tc>
          <w:tcPr>
            <w:tcW w:w="7230"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宋体" w:hAnsi="宋体"/>
                <w:color w:val="auto"/>
                <w:szCs w:val="21"/>
                <w:highlight w:val="none"/>
              </w:rPr>
            </w:pPr>
            <w:r>
              <w:rPr>
                <w:rFonts w:hint="eastAsia" w:ascii="宋体" w:hAnsi="宋体"/>
                <w:color w:val="auto"/>
                <w:szCs w:val="21"/>
                <w:highlight w:val="none"/>
              </w:rPr>
              <w:t>项号1货物：多层螺旋CT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606" w:type="dxa"/>
            <w:gridSpan w:val="5"/>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b/>
                <w:color w:val="auto"/>
                <w:szCs w:val="21"/>
                <w:highlight w:val="none"/>
              </w:rPr>
            </w:pPr>
            <w:r>
              <w:rPr>
                <w:rFonts w:hint="eastAsia" w:ascii="宋体" w:hAnsi="宋体"/>
                <w:b/>
                <w:color w:val="auto"/>
                <w:szCs w:val="21"/>
                <w:highlight w:val="none"/>
              </w:rPr>
              <w:t>四、其他要求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其他</w:t>
            </w:r>
            <w:r>
              <w:rPr>
                <w:rFonts w:hint="eastAsia" w:ascii="宋体" w:hAnsi="宋体"/>
                <w:b/>
                <w:color w:val="auto"/>
                <w:szCs w:val="21"/>
                <w:highlight w:val="none"/>
              </w:rPr>
              <w:t>要求</w:t>
            </w:r>
          </w:p>
        </w:tc>
        <w:tc>
          <w:tcPr>
            <w:tcW w:w="7230"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宋体" w:hAnsi="宋体"/>
                <w:color w:val="auto"/>
                <w:szCs w:val="21"/>
                <w:highlight w:val="none"/>
              </w:rPr>
            </w:pPr>
            <w:r>
              <w:rPr>
                <w:rFonts w:hint="eastAsia" w:ascii="宋体" w:hAnsi="宋体"/>
                <w:color w:val="auto"/>
                <w:szCs w:val="21"/>
                <w:highlight w:val="none"/>
              </w:rPr>
              <w:t>投标人于投标文件中必须提供所投本分标产品完整且有效的《医疗器械产品注册证》复印件（必须包括产品相应的许可事项和登记事项，否则，应附注册登记表或认可表资料，要求清晰反映相关内容），否则，投标文件按分标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采购人的特殊要求及说明</w:t>
            </w:r>
          </w:p>
        </w:tc>
        <w:tc>
          <w:tcPr>
            <w:tcW w:w="7230"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宋体" w:hAnsi="宋体"/>
                <w:color w:val="auto"/>
                <w:szCs w:val="21"/>
                <w:highlight w:val="none"/>
              </w:rPr>
            </w:pPr>
            <w:r>
              <w:rPr>
                <w:rFonts w:hint="eastAsia" w:ascii="宋体" w:hAnsi="宋体"/>
                <w:color w:val="auto"/>
                <w:szCs w:val="21"/>
                <w:highlight w:val="none"/>
              </w:rPr>
              <w:t>本项目货物不接受进口产品（即通过中国海关报关验放进入中国境内且产自关境外的产品）参与投标。</w:t>
            </w:r>
          </w:p>
        </w:tc>
      </w:tr>
    </w:tbl>
    <w:p>
      <w:pPr>
        <w:pStyle w:val="7"/>
        <w:ind w:firstLine="0"/>
        <w:rPr>
          <w:rFonts w:hint="eastAsia" w:ascii="宋体" w:hAnsi="宋体"/>
          <w:b/>
          <w:color w:val="auto"/>
          <w:szCs w:val="21"/>
          <w:highlight w:val="none"/>
          <w:lang w:val="en-US" w:eastAsia="zh-CN"/>
        </w:rPr>
      </w:pPr>
    </w:p>
    <w:p>
      <w:pPr>
        <w:pStyle w:val="4"/>
        <w:jc w:val="center"/>
        <w:rPr>
          <w:rFonts w:hint="eastAsia"/>
          <w:color w:val="auto"/>
          <w:highlight w:val="none"/>
        </w:rPr>
      </w:pPr>
    </w:p>
    <w:p>
      <w:pPr>
        <w:rPr>
          <w:rFonts w:hint="eastAsia"/>
          <w:color w:val="auto"/>
          <w:highlight w:val="none"/>
        </w:rPr>
      </w:pPr>
    </w:p>
    <w:p>
      <w:pPr>
        <w:pStyle w:val="4"/>
        <w:jc w:val="center"/>
        <w:rPr>
          <w:rFonts w:hint="eastAsia"/>
          <w:color w:val="auto"/>
          <w:highlight w:val="none"/>
        </w:rPr>
      </w:pPr>
    </w:p>
    <w:p>
      <w:pPr>
        <w:pStyle w:val="4"/>
        <w:jc w:val="center"/>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4"/>
        <w:jc w:val="center"/>
        <w:rPr>
          <w:rFonts w:hint="eastAsia"/>
          <w:color w:val="auto"/>
          <w:highlight w:val="none"/>
        </w:rPr>
      </w:pPr>
      <w:r>
        <w:rPr>
          <w:rFonts w:hint="eastAsia"/>
          <w:color w:val="auto"/>
          <w:highlight w:val="none"/>
        </w:rPr>
        <w:t>第三章  投标人须知</w:t>
      </w:r>
      <w:bookmarkEnd w:id="50"/>
    </w:p>
    <w:p>
      <w:pPr>
        <w:jc w:val="center"/>
        <w:rPr>
          <w:rFonts w:hint="eastAsia"/>
          <w:color w:val="auto"/>
          <w:sz w:val="36"/>
          <w:szCs w:val="36"/>
          <w:highlight w:val="none"/>
        </w:rPr>
      </w:pPr>
      <w:bookmarkStart w:id="51" w:name="_Toc254970667"/>
      <w:bookmarkStart w:id="52" w:name="_Toc254970526"/>
      <w:r>
        <w:rPr>
          <w:rFonts w:hint="eastAsia"/>
          <w:color w:val="auto"/>
          <w:sz w:val="36"/>
          <w:szCs w:val="36"/>
          <w:highlight w:val="none"/>
        </w:rPr>
        <w:t>投标人须知前附表</w:t>
      </w:r>
      <w:bookmarkEnd w:id="51"/>
      <w:bookmarkEnd w:id="52"/>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
        <w:gridCol w:w="86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rPr>
            </w:pPr>
            <w:r>
              <w:rPr>
                <w:rFonts w:hint="eastAsia" w:ascii="宋体" w:hAnsi="宋体"/>
                <w:color w:val="auto"/>
                <w:spacing w:val="-6"/>
                <w:szCs w:val="21"/>
                <w:highlight w:val="none"/>
              </w:rPr>
              <w:t>条款号</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auto"/>
                <w:spacing w:val="-6"/>
                <w:szCs w:val="21"/>
                <w:highlight w:val="none"/>
                <w:lang w:val="en-US" w:eastAsia="zh-CN"/>
              </w:rPr>
            </w:pPr>
            <w:r>
              <w:rPr>
                <w:rFonts w:hint="eastAsia" w:ascii="宋体" w:hAnsi="宋体"/>
                <w:color w:val="auto"/>
                <w:spacing w:val="-6"/>
                <w:szCs w:val="21"/>
                <w:highlight w:val="none"/>
                <w:lang w:val="en-US" w:eastAsia="zh-CN"/>
              </w:rPr>
              <w:t>1</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项目说明</w:t>
            </w:r>
          </w:p>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项目名称：北流市人民医院应对突发公共卫生事件能力提升工程项目设备（32排CT）采购</w:t>
            </w:r>
          </w:p>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项目编号：YLZC2020-G1-810284-YLCH</w:t>
            </w:r>
          </w:p>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招标方式：公开招标</w:t>
            </w:r>
          </w:p>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交货时间：合同签定后2个月交货安装调试并正常运行。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auto"/>
                <w:spacing w:val="-6"/>
                <w:szCs w:val="21"/>
                <w:highlight w:val="none"/>
                <w:lang w:val="en-US" w:eastAsia="zh-CN"/>
              </w:rPr>
            </w:pPr>
            <w:r>
              <w:rPr>
                <w:rFonts w:hint="eastAsia" w:ascii="宋体" w:hAnsi="宋体"/>
                <w:color w:val="auto"/>
                <w:spacing w:val="-6"/>
                <w:szCs w:val="21"/>
                <w:highlight w:val="none"/>
                <w:lang w:val="en-US" w:eastAsia="zh-CN"/>
              </w:rPr>
              <w:t>2</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eastAsia" w:ascii="宋体" w:hAnsi="宋体"/>
                <w:color w:val="auto"/>
                <w:szCs w:val="21"/>
                <w:highlight w:val="none"/>
              </w:rPr>
            </w:pPr>
            <w:r>
              <w:rPr>
                <w:rFonts w:hint="eastAsia" w:ascii="宋体" w:hAnsi="宋体"/>
                <w:color w:val="auto"/>
                <w:szCs w:val="21"/>
                <w:highlight w:val="none"/>
              </w:rPr>
              <w:t>合同名称：北流市人民医院应对突发公共卫生事件能力提升工程项目设备（32排CT）采购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auto"/>
                <w:spacing w:val="-6"/>
                <w:szCs w:val="21"/>
                <w:highlight w:val="none"/>
                <w:lang w:val="en-US" w:eastAsia="zh-CN"/>
              </w:rPr>
            </w:pPr>
            <w:r>
              <w:rPr>
                <w:rFonts w:hint="eastAsia" w:ascii="宋体" w:hAnsi="宋体"/>
                <w:color w:val="auto"/>
                <w:spacing w:val="-6"/>
                <w:szCs w:val="21"/>
                <w:highlight w:val="none"/>
                <w:lang w:val="en-US" w:eastAsia="zh-CN"/>
              </w:rPr>
              <w:t>3</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eastAsia" w:ascii="宋体" w:hAnsi="宋体"/>
                <w:color w:val="auto"/>
                <w:szCs w:val="21"/>
                <w:highlight w:val="none"/>
              </w:rPr>
            </w:pPr>
            <w:r>
              <w:rPr>
                <w:rFonts w:hint="eastAsia" w:ascii="宋体" w:hAnsi="宋体"/>
                <w:color w:val="auto"/>
                <w:szCs w:val="21"/>
                <w:highlight w:val="none"/>
              </w:rPr>
              <w:t>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auto"/>
                <w:spacing w:val="-6"/>
                <w:szCs w:val="21"/>
                <w:highlight w:val="none"/>
                <w:lang w:val="en-US" w:eastAsia="zh-CN"/>
              </w:rPr>
            </w:pPr>
            <w:r>
              <w:rPr>
                <w:rFonts w:hint="eastAsia" w:ascii="宋体" w:hAnsi="宋体"/>
                <w:color w:val="auto"/>
                <w:spacing w:val="-6"/>
                <w:szCs w:val="21"/>
                <w:highlight w:val="none"/>
                <w:lang w:val="en-US" w:eastAsia="zh-CN"/>
              </w:rPr>
              <w:t>4</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投标人资格： </w:t>
            </w:r>
          </w:p>
          <w:p>
            <w:pPr>
              <w:snapToGrid w:val="0"/>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国内注册（指按国家有关规定要求注册的），符合本次采购经营范围的合法供应商。</w:t>
            </w:r>
          </w:p>
          <w:p>
            <w:pPr>
              <w:snapToGrid w:val="0"/>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.投标人具有国家主管部门颁发的有效的医疗器械生产许可证，或按《医疗器械经营监督管理办法》（国家食品药品监督管理总局第8号令）医疗器械分类管理要求具有有效的医疗器械经营备案凭证或许可证。</w:t>
            </w:r>
          </w:p>
          <w:p>
            <w:pPr>
              <w:snapToGrid w:val="0"/>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.本项目不接受未按招标文件规定的方式获取本招标文件的投标人参与投标。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bookmarkStart w:id="53" w:name="_5"/>
            <w:bookmarkEnd w:id="53"/>
            <w:r>
              <w:rPr>
                <w:rFonts w:hint="eastAsia" w:ascii="宋体" w:hAnsi="宋体"/>
                <w:color w:val="auto"/>
                <w:szCs w:val="21"/>
                <w:highlight w:val="none"/>
              </w:rPr>
              <w:t>5</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投标费用：投标人投标期间与投标有关的全部费用（招标文件有相关规定的除外），不论投标结果如何， 均应自行承担。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bookmarkStart w:id="54" w:name="_8.1"/>
            <w:bookmarkEnd w:id="54"/>
            <w:bookmarkStart w:id="55" w:name="_9.2"/>
            <w:bookmarkEnd w:id="55"/>
            <w:r>
              <w:rPr>
                <w:rFonts w:hint="eastAsia" w:ascii="宋体" w:hAnsi="宋体"/>
                <w:color w:val="auto"/>
                <w:szCs w:val="21"/>
                <w:highlight w:val="none"/>
              </w:rPr>
              <w:t>6.1</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pStyle w:val="15"/>
              <w:spacing w:line="4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7.2</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pStyle w:val="15"/>
              <w:spacing w:line="4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9.2</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递交质疑函方式：以书面形式</w:t>
            </w:r>
          </w:p>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lang w:eastAsia="zh-CN"/>
              </w:rPr>
              <w:t>玉林承浩项目管理有限公司北流分公司</w:t>
            </w:r>
          </w:p>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联系电话：0775-</w:t>
            </w:r>
            <w:r>
              <w:rPr>
                <w:rFonts w:hint="eastAsia" w:ascii="宋体" w:hAnsi="宋体"/>
                <w:color w:val="auto"/>
                <w:szCs w:val="21"/>
                <w:highlight w:val="none"/>
                <w:lang w:val="en-US" w:eastAsia="zh-CN"/>
              </w:rPr>
              <w:t>6231602</w:t>
            </w:r>
            <w:r>
              <w:rPr>
                <w:rFonts w:hint="eastAsia" w:ascii="宋体" w:hAnsi="宋体"/>
                <w:color w:val="auto"/>
                <w:szCs w:val="21"/>
                <w:highlight w:val="none"/>
              </w:rPr>
              <w:t xml:space="preserve"> ，通讯地址：</w:t>
            </w:r>
            <w:r>
              <w:rPr>
                <w:rFonts w:hint="eastAsia" w:ascii="宋体" w:hAnsi="宋体"/>
                <w:color w:val="auto"/>
                <w:szCs w:val="21"/>
                <w:highlight w:val="none"/>
                <w:lang w:eastAsia="zh-CN"/>
              </w:rPr>
              <w:t>北流市永顺大道8号</w:t>
            </w:r>
          </w:p>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业务时间：每天8时到12时，15时到18时，双休日和法定节假日不办理业务。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1"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bookmarkStart w:id="56" w:name="_13.1"/>
            <w:bookmarkEnd w:id="56"/>
            <w:r>
              <w:rPr>
                <w:rFonts w:hint="eastAsia" w:ascii="宋体" w:hAnsi="宋体"/>
                <w:color w:val="auto"/>
                <w:szCs w:val="21"/>
                <w:highlight w:val="none"/>
              </w:rPr>
              <w:t>13.</w:t>
            </w:r>
            <w:bookmarkStart w:id="57" w:name="_Hlt19632543"/>
            <w:r>
              <w:rPr>
                <w:rFonts w:hint="eastAsia" w:ascii="宋体" w:hAnsi="宋体"/>
                <w:color w:val="auto"/>
                <w:szCs w:val="21"/>
                <w:highlight w:val="none"/>
              </w:rPr>
              <w:t>1</w:t>
            </w:r>
            <w:bookmarkEnd w:id="57"/>
          </w:p>
        </w:tc>
        <w:tc>
          <w:tcPr>
            <w:tcW w:w="869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宋体" w:hAnsi="宋体" w:cs="Courier New"/>
                <w:b/>
                <w:color w:val="auto"/>
                <w:szCs w:val="21"/>
                <w:highlight w:val="none"/>
              </w:rPr>
            </w:pPr>
            <w:r>
              <w:rPr>
                <w:rFonts w:hint="eastAsia" w:ascii="宋体" w:hAnsi="宋体" w:cs="Courier New"/>
                <w:b/>
                <w:color w:val="auto"/>
                <w:szCs w:val="21"/>
                <w:highlight w:val="none"/>
              </w:rPr>
              <w:t>报价文件：</w:t>
            </w:r>
          </w:p>
          <w:p>
            <w:pPr>
              <w:tabs>
                <w:tab w:val="left" w:pos="459"/>
              </w:tabs>
              <w:snapToGrid w:val="0"/>
              <w:spacing w:line="400" w:lineRule="exact"/>
              <w:ind w:left="459"/>
              <w:jc w:val="left"/>
              <w:rPr>
                <w:rFonts w:hint="eastAsia" w:ascii="宋体" w:hAnsi="宋体"/>
                <w:color w:val="auto"/>
                <w:szCs w:val="21"/>
                <w:highlight w:val="none"/>
              </w:rPr>
            </w:pPr>
            <w:r>
              <w:rPr>
                <w:rFonts w:hint="eastAsia" w:ascii="宋体" w:hAnsi="宋体"/>
                <w:color w:val="auto"/>
                <w:szCs w:val="21"/>
                <w:highlight w:val="none"/>
              </w:rPr>
              <w:t>1.投标函（格式后附）；</w:t>
            </w:r>
            <w:r>
              <w:rPr>
                <w:rFonts w:hint="eastAsia" w:ascii="宋体" w:hAnsi="宋体"/>
                <w:b/>
                <w:color w:val="auto"/>
                <w:szCs w:val="21"/>
                <w:highlight w:val="none"/>
              </w:rPr>
              <w:t>（必须提供，否则作无效投标处理）</w:t>
            </w:r>
          </w:p>
          <w:p>
            <w:pPr>
              <w:tabs>
                <w:tab w:val="left" w:pos="459"/>
              </w:tabs>
              <w:snapToGrid w:val="0"/>
              <w:spacing w:line="400" w:lineRule="exact"/>
              <w:ind w:left="459"/>
              <w:jc w:val="left"/>
              <w:rPr>
                <w:rFonts w:hint="eastAsia" w:ascii="宋体" w:hAnsi="宋体"/>
                <w:color w:val="auto"/>
                <w:szCs w:val="21"/>
                <w:highlight w:val="none"/>
              </w:rPr>
            </w:pPr>
            <w:r>
              <w:rPr>
                <w:rFonts w:hint="eastAsia" w:ascii="宋体" w:hAnsi="宋体"/>
                <w:color w:val="auto"/>
                <w:szCs w:val="21"/>
                <w:highlight w:val="none"/>
              </w:rPr>
              <w:t>2.开标一览表（格式后附）； （</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tabs>
                <w:tab w:val="left" w:pos="459"/>
              </w:tabs>
              <w:snapToGrid w:val="0"/>
              <w:spacing w:line="400" w:lineRule="exact"/>
              <w:ind w:left="459"/>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snapToGrid w:val="0"/>
              <w:spacing w:line="400" w:lineRule="exact"/>
              <w:ind w:firstLine="420"/>
              <w:jc w:val="left"/>
              <w:rPr>
                <w:rFonts w:hint="eastAsia" w:ascii="宋体" w:hAnsi="宋体"/>
                <w:color w:val="auto"/>
                <w:szCs w:val="21"/>
                <w:highlight w:val="none"/>
              </w:rPr>
            </w:pPr>
            <w:r>
              <w:rPr>
                <w:rFonts w:hint="eastAsia" w:ascii="宋体" w:hAnsi="宋体"/>
                <w:b/>
                <w:bCs/>
                <w:color w:val="auto"/>
                <w:szCs w:val="21"/>
                <w:highlight w:val="none"/>
              </w:rPr>
              <w:t>注：投标函、开标一览表必须由法定代表人（负责人或自然人）或委托代理人在规定签章处逐一签字并加盖投标人公章，否则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szCs w:val="21"/>
                <w:highlight w:val="none"/>
              </w:rPr>
            </w:pPr>
            <w:bookmarkStart w:id="58" w:name="_13.2"/>
            <w:bookmarkEnd w:id="58"/>
            <w:r>
              <w:rPr>
                <w:rFonts w:hint="eastAsia" w:ascii="宋体" w:hAnsi="宋体"/>
                <w:color w:val="auto"/>
                <w:szCs w:val="21"/>
                <w:highlight w:val="none"/>
              </w:rPr>
              <w:t>13</w:t>
            </w:r>
            <w:bookmarkStart w:id="59" w:name="_Hlt19632533"/>
            <w:bookmarkStart w:id="60" w:name="_Hlt19632532"/>
            <w:r>
              <w:rPr>
                <w:rFonts w:hint="eastAsia" w:ascii="宋体" w:hAnsi="宋体"/>
                <w:color w:val="auto"/>
                <w:szCs w:val="21"/>
                <w:highlight w:val="none"/>
              </w:rPr>
              <w:t>.</w:t>
            </w:r>
            <w:bookmarkEnd w:id="59"/>
            <w:bookmarkEnd w:id="60"/>
            <w:r>
              <w:rPr>
                <w:rFonts w:hint="eastAsia" w:ascii="宋体" w:hAnsi="宋体"/>
                <w:color w:val="auto"/>
                <w:szCs w:val="21"/>
                <w:highlight w:val="none"/>
              </w:rPr>
              <w:t>2</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宋体" w:hAnsi="宋体" w:cs="Courier New"/>
                <w:b/>
                <w:color w:val="auto"/>
                <w:szCs w:val="21"/>
                <w:highlight w:val="none"/>
              </w:rPr>
            </w:pPr>
            <w:r>
              <w:rPr>
                <w:rFonts w:hint="eastAsia" w:ascii="宋体" w:hAnsi="宋体" w:cs="Courier New"/>
                <w:b/>
                <w:color w:val="auto"/>
                <w:szCs w:val="21"/>
                <w:highlight w:val="none"/>
              </w:rPr>
              <w:t>资格证明文件</w:t>
            </w:r>
          </w:p>
          <w:p>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 投标人为法人或者其他组织的，提供营业执照等证明文件</w:t>
            </w:r>
            <w:r>
              <w:rPr>
                <w:rFonts w:hint="eastAsia" w:ascii="宋体" w:hAnsi="宋体" w:cs="宋体"/>
                <w:color w:val="auto"/>
                <w:szCs w:val="21"/>
                <w:highlight w:val="none"/>
              </w:rPr>
              <w:t>（如营业执照或者事业单位法人证书或者</w:t>
            </w:r>
            <w:r>
              <w:rPr>
                <w:rStyle w:val="98"/>
                <w:color w:val="auto"/>
                <w:sz w:val="21"/>
                <w:szCs w:val="21"/>
                <w:highlight w:val="none"/>
              </w:rPr>
              <w:t>执业许可证</w:t>
            </w:r>
            <w:r>
              <w:rPr>
                <w:rFonts w:hint="eastAsia" w:ascii="宋体" w:hAnsi="宋体" w:cs="宋体"/>
                <w:color w:val="auto"/>
                <w:szCs w:val="21"/>
                <w:highlight w:val="none"/>
              </w:rPr>
              <w:t>等）</w:t>
            </w:r>
            <w:r>
              <w:rPr>
                <w:rFonts w:hint="eastAsia" w:ascii="宋体" w:hAnsi="宋体"/>
                <w:color w:val="auto"/>
                <w:szCs w:val="21"/>
                <w:highlight w:val="none"/>
              </w:rPr>
              <w:t>，投标人为自然人的，提供身份证</w:t>
            </w:r>
            <w:r>
              <w:rPr>
                <w:rFonts w:hint="eastAsia" w:ascii="宋体" w:hAnsi="宋体" w:cs="宋体"/>
                <w:color w:val="auto"/>
                <w:szCs w:val="21"/>
                <w:highlight w:val="none"/>
              </w:rPr>
              <w:t>复印件</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投标人具有国家主管部门颁发的有效的医疗器械生产许可证，或按《医疗器械经营监督管理办法》（国家食品药品监督管理总局第8号令）医疗器械分类管理要求具有有效的医疗器械经营备案凭证或许可证</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投标人依法缴纳税收的相关材料（</w:t>
            </w:r>
            <w:r>
              <w:rPr>
                <w:rFonts w:hint="eastAsia" w:ascii="宋体" w:hAnsi="宋体" w:cs="宋体"/>
                <w:color w:val="auto"/>
                <w:szCs w:val="21"/>
                <w:highlight w:val="none"/>
                <w:u w:val="single"/>
              </w:rPr>
              <w:t xml:space="preserve"> 2020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2020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10 </w:t>
            </w:r>
            <w:r>
              <w:rPr>
                <w:rFonts w:hint="eastAsia" w:ascii="宋体" w:hAnsi="宋体" w:cs="宋体"/>
                <w:color w:val="auto"/>
                <w:szCs w:val="21"/>
                <w:highlight w:val="none"/>
              </w:rPr>
              <w:t>月内连续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w:t>
            </w:r>
            <w:r>
              <w:rPr>
                <w:rFonts w:hint="eastAsia" w:ascii="宋体" w:hAnsi="宋体"/>
                <w:color w:val="auto"/>
                <w:szCs w:val="21"/>
                <w:highlight w:val="none"/>
              </w:rPr>
              <w:t>依法免税的供应商，必须提供相应文件证明其依法免税。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s="宋体"/>
                <w:color w:val="auto"/>
                <w:szCs w:val="21"/>
                <w:highlight w:val="none"/>
              </w:rPr>
              <w:t>投标人依法缴纳社会保障资金的相关材料[</w:t>
            </w:r>
            <w:r>
              <w:rPr>
                <w:rFonts w:hint="eastAsia" w:ascii="宋体" w:hAnsi="宋体" w:cs="宋体"/>
                <w:color w:val="auto"/>
                <w:szCs w:val="21"/>
                <w:highlight w:val="none"/>
                <w:u w:val="single"/>
              </w:rPr>
              <w:t xml:space="preserve"> 2020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2020</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10</w:t>
            </w:r>
            <w:r>
              <w:rPr>
                <w:rFonts w:hint="eastAsia" w:ascii="宋体" w:hAnsi="宋体" w:cs="宋体"/>
                <w:color w:val="auto"/>
                <w:szCs w:val="21"/>
                <w:highlight w:val="none"/>
              </w:rPr>
              <w:t>月内连续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从取得营业执照时间起到投标文件提交截止时间为止不足要求月数的只需提供从取得营业执照起的依法缴纳社会保障资金的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投标人2019的年度财务报表复印件（可以是财务报表或银行出具的资信证明或第三方审计报告等证明材料；对于从取得营业执照时间起到响应文件递交截止时间为止不足要求年数的企业，只需提交企业成立日之后次月起至响应文件递交截止前一个月的财务报表复印件）；</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6.投标声明（格式后附）；（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7.投标人直接控股、管理关系信息表（格式后附）；（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8.中小企业声明函； </w:t>
            </w:r>
          </w:p>
          <w:p>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9.除招标文件规定必须提供以外，投标人认为需要提供的其他证明材料。</w:t>
            </w:r>
          </w:p>
          <w:p>
            <w:pPr>
              <w:snapToGrid w:val="0"/>
              <w:spacing w:line="400" w:lineRule="exact"/>
              <w:jc w:val="left"/>
              <w:rPr>
                <w:rFonts w:hint="eastAsia" w:ascii="宋体" w:hAnsi="宋体" w:cs="Courier New"/>
                <w:b/>
                <w:color w:val="auto"/>
                <w:szCs w:val="21"/>
                <w:highlight w:val="none"/>
              </w:rPr>
            </w:pPr>
            <w:r>
              <w:rPr>
                <w:rFonts w:hint="eastAsia" w:ascii="宋体" w:hAnsi="宋体"/>
                <w:b/>
                <w:bCs/>
                <w:color w:val="auto"/>
                <w:szCs w:val="21"/>
                <w:highlight w:val="none"/>
              </w:rPr>
              <w:t>注：1.</w:t>
            </w:r>
            <w:r>
              <w:rPr>
                <w:rFonts w:hint="eastAsia"/>
                <w:color w:val="auto"/>
                <w:szCs w:val="21"/>
                <w:highlight w:val="none"/>
              </w:rPr>
              <w:t xml:space="preserve"> </w:t>
            </w:r>
            <w:r>
              <w:rPr>
                <w:rFonts w:hint="eastAsia" w:ascii="宋体" w:hAnsi="宋体"/>
                <w:b/>
                <w:bCs/>
                <w:color w:val="auto"/>
                <w:szCs w:val="21"/>
                <w:highlight w:val="none"/>
              </w:rPr>
              <w:t>以上标明“必须提供”的材料属于复印件的，必须加盖投标人公章，否则作无效投标处理。</w:t>
            </w:r>
          </w:p>
          <w:p>
            <w:pPr>
              <w:snapToGrid w:val="0"/>
              <w:spacing w:line="400" w:lineRule="exact"/>
              <w:ind w:firstLine="422" w:firstLineChars="200"/>
              <w:jc w:val="left"/>
              <w:rPr>
                <w:rFonts w:hint="eastAsia" w:ascii="宋体" w:hAnsi="宋体"/>
                <w:b/>
                <w:bCs/>
                <w:color w:val="auto"/>
                <w:szCs w:val="21"/>
                <w:highlight w:val="none"/>
              </w:rPr>
            </w:pPr>
            <w:r>
              <w:rPr>
                <w:rFonts w:hint="eastAsia" w:ascii="宋体" w:hAnsi="宋体" w:cs="Courier New"/>
                <w:b/>
                <w:color w:val="auto"/>
                <w:szCs w:val="21"/>
                <w:highlight w:val="none"/>
              </w:rPr>
              <w:t>2.</w:t>
            </w:r>
            <w:r>
              <w:rPr>
                <w:rFonts w:hint="eastAsia" w:ascii="宋体" w:hAnsi="宋体"/>
                <w:b/>
                <w:bCs/>
                <w:color w:val="auto"/>
                <w:szCs w:val="21"/>
                <w:highlight w:val="none"/>
              </w:rPr>
              <w:t>投标声明必须由法定代表人（负责人或自然人）在规定签章处逐一签字并加盖投标人公章，否则作无效投标处理。</w:t>
            </w:r>
          </w:p>
          <w:p>
            <w:pPr>
              <w:snapToGrid w:val="0"/>
              <w:spacing w:line="400" w:lineRule="exact"/>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3.</w:t>
            </w:r>
            <w:r>
              <w:rPr>
                <w:rFonts w:hint="eastAsia" w:ascii="宋体" w:hAnsi="宋体"/>
                <w:color w:val="auto"/>
                <w:szCs w:val="21"/>
                <w:highlight w:val="none"/>
              </w:rPr>
              <w:t xml:space="preserve"> </w:t>
            </w:r>
            <w:r>
              <w:rPr>
                <w:rFonts w:hint="eastAsia" w:ascii="宋体" w:hAnsi="宋体"/>
                <w:b/>
                <w:bCs/>
                <w:color w:val="auto"/>
                <w:szCs w:val="21"/>
                <w:highlight w:val="none"/>
              </w:rPr>
              <w:t>投标人直接控股、管理关系信息表必须由法定代表人（负责人或自然人）或委托代理人在规定签章处逐一签字并加盖投标人公章，否则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p>
            <w:pPr>
              <w:snapToGrid w:val="0"/>
              <w:spacing w:line="400" w:lineRule="exact"/>
              <w:ind w:firstLine="422" w:firstLineChars="200"/>
              <w:jc w:val="left"/>
              <w:rPr>
                <w:rFonts w:hint="eastAsia" w:ascii="宋体" w:hAnsi="宋体"/>
                <w:bCs/>
                <w:color w:val="auto"/>
                <w:szCs w:val="21"/>
                <w:highlight w:val="none"/>
              </w:rPr>
            </w:pPr>
            <w:r>
              <w:rPr>
                <w:rFonts w:hint="eastAsia" w:ascii="宋体" w:hAnsi="宋体"/>
                <w:b/>
                <w:bCs/>
                <w:color w:val="auto"/>
                <w:szCs w:val="21"/>
                <w:highlight w:val="none"/>
              </w:rPr>
              <w:t>4.</w:t>
            </w:r>
            <w:r>
              <w:rPr>
                <w:rFonts w:hint="eastAsia" w:ascii="宋体" w:hAnsi="宋体"/>
                <w:color w:val="auto"/>
                <w:szCs w:val="21"/>
                <w:highlight w:val="none"/>
              </w:rPr>
              <w:t xml:space="preserve"> </w:t>
            </w:r>
            <w:r>
              <w:rPr>
                <w:rFonts w:hint="eastAsia" w:ascii="宋体" w:hAnsi="宋体"/>
                <w:b/>
                <w:bCs/>
                <w:color w:val="auto"/>
                <w:szCs w:val="21"/>
                <w:highlight w:val="none"/>
              </w:rPr>
              <w:t>联合体投标时，联合体各方均必须分别提供资格证明文件，否则作无效投标处理。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bookmarkStart w:id="61" w:name="_13.3"/>
            <w:bookmarkEnd w:id="61"/>
            <w:r>
              <w:rPr>
                <w:rFonts w:hint="eastAsia" w:ascii="宋体" w:hAnsi="宋体"/>
                <w:color w:val="auto"/>
                <w:szCs w:val="21"/>
                <w:highlight w:val="none"/>
              </w:rPr>
              <w:t>13.3</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cs="Courier New"/>
                <w:b/>
                <w:color w:val="auto"/>
                <w:szCs w:val="21"/>
                <w:highlight w:val="none"/>
              </w:rPr>
            </w:pPr>
            <w:r>
              <w:rPr>
                <w:rFonts w:hint="eastAsia" w:ascii="宋体" w:hAnsi="宋体" w:cs="Courier New"/>
                <w:b/>
                <w:color w:val="auto"/>
                <w:szCs w:val="21"/>
                <w:highlight w:val="none"/>
              </w:rPr>
              <w:t>商务文件：</w:t>
            </w:r>
          </w:p>
          <w:p>
            <w:pPr>
              <w:snapToGrid w:val="0"/>
              <w:spacing w:line="380" w:lineRule="exact"/>
              <w:ind w:left="413"/>
              <w:jc w:val="left"/>
              <w:rPr>
                <w:rFonts w:hint="eastAsia" w:ascii="宋体" w:hAnsi="宋体"/>
                <w:color w:val="auto"/>
                <w:szCs w:val="21"/>
                <w:highlight w:val="none"/>
              </w:rPr>
            </w:pPr>
            <w:r>
              <w:rPr>
                <w:rFonts w:hint="eastAsia" w:ascii="宋体" w:hAnsi="宋体"/>
                <w:color w:val="auto"/>
                <w:szCs w:val="21"/>
                <w:highlight w:val="none"/>
              </w:rPr>
              <w:t>1.商务条款偏离表（格式后附）；（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 xml:space="preserve">） </w:t>
            </w:r>
          </w:p>
          <w:p>
            <w:pPr>
              <w:snapToGrid w:val="0"/>
              <w:spacing w:line="380" w:lineRule="exact"/>
              <w:ind w:left="413"/>
              <w:jc w:val="left"/>
              <w:rPr>
                <w:rFonts w:hint="eastAsia" w:ascii="宋体" w:hAnsi="宋体"/>
                <w:color w:val="auto"/>
                <w:szCs w:val="21"/>
                <w:highlight w:val="none"/>
              </w:rPr>
            </w:pPr>
            <w:r>
              <w:rPr>
                <w:rFonts w:hint="eastAsia" w:ascii="宋体" w:hAnsi="宋体"/>
                <w:color w:val="auto"/>
                <w:szCs w:val="21"/>
                <w:highlight w:val="none"/>
              </w:rPr>
              <w:t>2.投标人参加本项目无围标串标行为的承诺函（格式后附）；（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snapToGrid w:val="0"/>
              <w:spacing w:line="380" w:lineRule="exact"/>
              <w:ind w:left="413"/>
              <w:jc w:val="left"/>
              <w:rPr>
                <w:rFonts w:ascii="宋体" w:hAnsi="宋体"/>
                <w:color w:val="auto"/>
                <w:szCs w:val="21"/>
                <w:highlight w:val="none"/>
              </w:rPr>
            </w:pPr>
            <w:r>
              <w:rPr>
                <w:rFonts w:hint="eastAsia" w:ascii="宋体" w:hAnsi="宋体"/>
                <w:color w:val="auto"/>
                <w:szCs w:val="21"/>
                <w:highlight w:val="none"/>
              </w:rPr>
              <w:t>3.法定代表人(负责人或自然人)身份证明及法定代表人(负责人或自然人)有效身份证正反面复印件（格式后附）；（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snapToGrid w:val="0"/>
              <w:spacing w:line="380" w:lineRule="exact"/>
              <w:ind w:left="413"/>
              <w:jc w:val="left"/>
              <w:rPr>
                <w:rFonts w:hint="eastAsia" w:ascii="宋体" w:hAnsi="宋体"/>
                <w:color w:val="auto"/>
                <w:szCs w:val="21"/>
                <w:highlight w:val="none"/>
              </w:rPr>
            </w:pPr>
            <w:r>
              <w:rPr>
                <w:rFonts w:hint="eastAsia" w:ascii="宋体" w:hAnsi="宋体"/>
                <w:color w:val="auto"/>
                <w:szCs w:val="21"/>
                <w:highlight w:val="none"/>
              </w:rPr>
              <w:t>4.法定代表人(负责人或自然人)授权委托书及委托代理人有效身份证正反面复印件（格式后附）；（</w:t>
            </w:r>
            <w:r>
              <w:rPr>
                <w:rFonts w:hint="eastAsia" w:ascii="宋体" w:hAnsi="宋体"/>
                <w:b/>
                <w:color w:val="auto"/>
                <w:szCs w:val="21"/>
                <w:highlight w:val="none"/>
              </w:rPr>
              <w:t>委托时必须提供，否则作无效投标处理</w:t>
            </w:r>
            <w:r>
              <w:rPr>
                <w:rFonts w:hint="eastAsia" w:ascii="宋体" w:hAnsi="宋体"/>
                <w:color w:val="auto"/>
                <w:szCs w:val="21"/>
                <w:highlight w:val="none"/>
              </w:rPr>
              <w:t>）</w:t>
            </w:r>
          </w:p>
          <w:p>
            <w:pPr>
              <w:snapToGrid w:val="0"/>
              <w:spacing w:line="380" w:lineRule="exact"/>
              <w:ind w:left="413"/>
              <w:jc w:val="left"/>
              <w:rPr>
                <w:rFonts w:hint="eastAsia" w:ascii="宋体" w:hAnsi="宋体"/>
                <w:color w:val="auto"/>
                <w:szCs w:val="21"/>
                <w:highlight w:val="none"/>
              </w:rPr>
            </w:pPr>
            <w:r>
              <w:rPr>
                <w:rFonts w:hint="eastAsia" w:ascii="宋体" w:hAnsi="宋体"/>
                <w:color w:val="auto"/>
                <w:szCs w:val="21"/>
                <w:highlight w:val="none"/>
              </w:rPr>
              <w:t>5.投标人情况介绍（格式自拟）；</w:t>
            </w:r>
          </w:p>
          <w:p>
            <w:pPr>
              <w:snapToGrid w:val="0"/>
              <w:spacing w:line="380" w:lineRule="exact"/>
              <w:ind w:left="413"/>
              <w:jc w:val="left"/>
              <w:rPr>
                <w:rFonts w:hint="eastAsia" w:ascii="宋体" w:hAnsi="宋体"/>
                <w:color w:val="auto"/>
                <w:szCs w:val="21"/>
                <w:highlight w:val="none"/>
              </w:rPr>
            </w:pPr>
            <w:r>
              <w:rPr>
                <w:rFonts w:hint="eastAsia" w:ascii="宋体" w:hAnsi="宋体"/>
                <w:color w:val="auto"/>
                <w:szCs w:val="21"/>
                <w:highlight w:val="none"/>
              </w:rPr>
              <w:t>6.除招标文件规定必须提供以外，投标人认为需要提供的其他证明材料（格式自拟）。（投标人根据本招标文件第二章采购需求及第四章评标办法及评分标准提供有关证明材料）；</w:t>
            </w:r>
          </w:p>
          <w:p>
            <w:pPr>
              <w:snapToGrid w:val="0"/>
              <w:spacing w:line="380" w:lineRule="exact"/>
              <w:jc w:val="left"/>
              <w:rPr>
                <w:rFonts w:hint="eastAsia" w:ascii="宋体" w:hAnsi="宋体"/>
                <w:b/>
                <w:bCs/>
                <w:color w:val="auto"/>
                <w:szCs w:val="21"/>
                <w:highlight w:val="none"/>
              </w:rPr>
            </w:pPr>
            <w:r>
              <w:rPr>
                <w:rFonts w:hint="eastAsia" w:ascii="宋体" w:hAnsi="宋体"/>
                <w:b/>
                <w:bCs/>
                <w:color w:val="auto"/>
                <w:szCs w:val="21"/>
                <w:highlight w:val="none"/>
              </w:rPr>
              <w:t>注： 1.法定代表人（负责人或自然人）授权委托书必须由法定代表人（负责人或自然人）及委托代理人签字，并加盖投标人公章，否则作无效投标处理。</w:t>
            </w:r>
          </w:p>
          <w:p>
            <w:pPr>
              <w:snapToGrid w:val="0"/>
              <w:spacing w:line="380" w:lineRule="exact"/>
              <w:ind w:firstLine="422" w:firstLineChars="200"/>
              <w:jc w:val="left"/>
              <w:rPr>
                <w:rFonts w:hint="eastAsia" w:ascii="宋体" w:hAnsi="宋体" w:cs="Courier New"/>
                <w:b/>
                <w:color w:val="auto"/>
                <w:szCs w:val="21"/>
                <w:highlight w:val="none"/>
              </w:rPr>
            </w:pPr>
            <w:r>
              <w:rPr>
                <w:rFonts w:hint="eastAsia" w:ascii="宋体" w:hAnsi="宋体"/>
                <w:b/>
                <w:bCs/>
                <w:color w:val="auto"/>
                <w:szCs w:val="21"/>
                <w:highlight w:val="none"/>
              </w:rPr>
              <w:t>2.</w:t>
            </w:r>
            <w:r>
              <w:rPr>
                <w:rFonts w:hint="eastAsia"/>
                <w:color w:val="auto"/>
                <w:szCs w:val="21"/>
                <w:highlight w:val="none"/>
              </w:rPr>
              <w:t xml:space="preserve"> </w:t>
            </w:r>
            <w:r>
              <w:rPr>
                <w:rFonts w:hint="eastAsia" w:ascii="宋体" w:hAnsi="宋体"/>
                <w:b/>
                <w:bCs/>
                <w:color w:val="auto"/>
                <w:szCs w:val="21"/>
                <w:highlight w:val="none"/>
              </w:rPr>
              <w:t>以上标明“必须提供”的材料属于复印件的，必须加盖投标人公章，否则作无效投标处理。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bookmarkStart w:id="62" w:name="_13.4"/>
            <w:bookmarkEnd w:id="62"/>
            <w:r>
              <w:rPr>
                <w:rFonts w:hint="eastAsia" w:ascii="宋体" w:hAnsi="宋体"/>
                <w:color w:val="auto"/>
                <w:szCs w:val="21"/>
                <w:highlight w:val="none"/>
              </w:rPr>
              <w:t>13.4</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Courier New"/>
                <w:b/>
                <w:color w:val="auto"/>
                <w:szCs w:val="21"/>
                <w:highlight w:val="none"/>
              </w:rPr>
            </w:pPr>
            <w:r>
              <w:rPr>
                <w:rFonts w:hint="eastAsia" w:ascii="宋体" w:hAnsi="宋体" w:cs="Courier New"/>
                <w:b/>
                <w:color w:val="auto"/>
                <w:szCs w:val="21"/>
                <w:highlight w:val="none"/>
              </w:rPr>
              <w:t>技术文件：</w:t>
            </w:r>
          </w:p>
          <w:p>
            <w:pPr>
              <w:snapToGrid w:val="0"/>
              <w:spacing w:line="360" w:lineRule="exact"/>
              <w:ind w:left="420"/>
              <w:jc w:val="left"/>
              <w:rPr>
                <w:rFonts w:hint="eastAsia" w:ascii="宋体" w:hAnsi="宋体"/>
                <w:b/>
                <w:color w:val="auto"/>
                <w:szCs w:val="21"/>
                <w:highlight w:val="none"/>
              </w:rPr>
            </w:pPr>
            <w:r>
              <w:rPr>
                <w:rFonts w:hint="eastAsia" w:ascii="宋体" w:hAnsi="宋体"/>
                <w:color w:val="auto"/>
                <w:szCs w:val="21"/>
                <w:highlight w:val="none"/>
              </w:rPr>
              <w:t>1.设备配置清单（格式后附）；</w:t>
            </w:r>
            <w:r>
              <w:rPr>
                <w:rFonts w:hint="eastAsia" w:ascii="宋体" w:hAnsi="宋体"/>
                <w:b/>
                <w:color w:val="auto"/>
                <w:szCs w:val="21"/>
                <w:highlight w:val="none"/>
              </w:rPr>
              <w:t>（必须提供，否则作无效投标处理）</w:t>
            </w:r>
          </w:p>
          <w:p>
            <w:pPr>
              <w:snapToGrid w:val="0"/>
              <w:spacing w:line="360" w:lineRule="exact"/>
              <w:ind w:left="420"/>
              <w:jc w:val="left"/>
              <w:rPr>
                <w:rFonts w:hint="eastAsia" w:ascii="宋体" w:hAnsi="宋体"/>
                <w:b/>
                <w:color w:val="auto"/>
                <w:szCs w:val="21"/>
                <w:highlight w:val="none"/>
              </w:rPr>
            </w:pPr>
            <w:r>
              <w:rPr>
                <w:rFonts w:hint="eastAsia" w:ascii="宋体" w:hAnsi="宋体"/>
                <w:color w:val="auto"/>
                <w:szCs w:val="21"/>
                <w:highlight w:val="none"/>
              </w:rPr>
              <w:t>2.技术偏离表（格式后附）；</w:t>
            </w:r>
            <w:r>
              <w:rPr>
                <w:rFonts w:hint="eastAsia" w:ascii="宋体" w:hAnsi="宋体"/>
                <w:b/>
                <w:color w:val="auto"/>
                <w:szCs w:val="21"/>
                <w:highlight w:val="none"/>
              </w:rPr>
              <w:t>（必须提供，否则作无效投标处理）</w:t>
            </w:r>
          </w:p>
          <w:p>
            <w:pPr>
              <w:snapToGrid w:val="0"/>
              <w:spacing w:line="360" w:lineRule="exact"/>
              <w:ind w:left="420"/>
              <w:jc w:val="left"/>
              <w:rPr>
                <w:rFonts w:hint="eastAsia" w:ascii="宋体" w:hAnsi="宋体"/>
                <w:color w:val="auto"/>
                <w:szCs w:val="21"/>
                <w:highlight w:val="none"/>
              </w:rPr>
            </w:pPr>
            <w:r>
              <w:rPr>
                <w:rFonts w:hint="eastAsia" w:ascii="宋体" w:hAnsi="宋体"/>
                <w:color w:val="auto"/>
                <w:szCs w:val="21"/>
                <w:highlight w:val="none"/>
              </w:rPr>
              <w:t>3.售后服务方案；</w:t>
            </w:r>
            <w:r>
              <w:rPr>
                <w:rFonts w:hint="eastAsia" w:ascii="宋体" w:hAnsi="宋体"/>
                <w:b/>
                <w:color w:val="auto"/>
                <w:szCs w:val="21"/>
                <w:highlight w:val="none"/>
              </w:rPr>
              <w:t>（必须提供，否则作无效投标处理）</w:t>
            </w:r>
          </w:p>
          <w:p>
            <w:pPr>
              <w:snapToGrid w:val="0"/>
              <w:spacing w:line="360" w:lineRule="exact"/>
              <w:ind w:left="420"/>
              <w:jc w:val="left"/>
              <w:rPr>
                <w:rFonts w:hint="eastAsia" w:ascii="宋体" w:hAnsi="宋体"/>
                <w:b/>
                <w:color w:val="auto"/>
                <w:szCs w:val="21"/>
                <w:highlight w:val="none"/>
              </w:rPr>
            </w:pPr>
            <w:r>
              <w:rPr>
                <w:rFonts w:hint="eastAsia" w:ascii="宋体" w:hAnsi="宋体"/>
                <w:color w:val="auto"/>
                <w:szCs w:val="21"/>
                <w:highlight w:val="none"/>
              </w:rPr>
              <w:t>4.项目实施人员一览表（格式后附）；</w:t>
            </w:r>
            <w:r>
              <w:rPr>
                <w:rFonts w:hint="eastAsia" w:ascii="宋体" w:hAnsi="宋体"/>
                <w:b/>
                <w:color w:val="auto"/>
                <w:szCs w:val="21"/>
                <w:highlight w:val="none"/>
              </w:rPr>
              <w:t xml:space="preserve"> </w:t>
            </w:r>
          </w:p>
          <w:p>
            <w:pPr>
              <w:snapToGrid w:val="0"/>
              <w:spacing w:line="360" w:lineRule="exact"/>
              <w:ind w:left="420"/>
              <w:jc w:val="left"/>
              <w:rPr>
                <w:rFonts w:hint="eastAsia" w:ascii="宋体" w:hAnsi="宋体"/>
                <w:color w:val="auto"/>
                <w:szCs w:val="21"/>
                <w:highlight w:val="none"/>
              </w:rPr>
            </w:pPr>
            <w:r>
              <w:rPr>
                <w:rFonts w:hint="eastAsia" w:ascii="宋体" w:hAnsi="宋体"/>
                <w:color w:val="auto"/>
                <w:szCs w:val="21"/>
                <w:highlight w:val="none"/>
              </w:rPr>
              <w:t>5.对本项目系统总体要求的理解。包括：功能说明、性能指标及设备选型说明（质量、性能、价格、外观、体积等方面进行比较和选择的理由及过程，格式自拟）；</w:t>
            </w:r>
          </w:p>
          <w:p>
            <w:pPr>
              <w:snapToGrid w:val="0"/>
              <w:spacing w:line="360" w:lineRule="exact"/>
              <w:ind w:left="420"/>
              <w:jc w:val="left"/>
              <w:rPr>
                <w:rFonts w:hint="eastAsia" w:ascii="宋体" w:hAnsi="宋体"/>
                <w:color w:val="auto"/>
                <w:szCs w:val="21"/>
                <w:highlight w:val="none"/>
              </w:rPr>
            </w:pPr>
            <w:r>
              <w:rPr>
                <w:rFonts w:hint="eastAsia" w:ascii="宋体" w:hAnsi="宋体"/>
                <w:color w:val="auto"/>
                <w:szCs w:val="21"/>
                <w:highlight w:val="none"/>
              </w:rPr>
              <w:t>6.优惠条件：投标人承诺给予招标人的各种优惠条件，包括售后服务、备品备件、专用耗材等方面的优惠；投标人不得给予赠品或者与采购无关的其他商品、服务；</w:t>
            </w:r>
          </w:p>
          <w:p>
            <w:pPr>
              <w:snapToGrid w:val="0"/>
              <w:spacing w:line="360" w:lineRule="exact"/>
              <w:ind w:left="420"/>
              <w:jc w:val="left"/>
              <w:rPr>
                <w:rFonts w:hint="eastAsia" w:ascii="宋体" w:hAnsi="宋体"/>
                <w:color w:val="auto"/>
                <w:szCs w:val="21"/>
                <w:highlight w:val="none"/>
              </w:rPr>
            </w:pPr>
            <w:r>
              <w:rPr>
                <w:rFonts w:hint="eastAsia" w:ascii="宋体" w:hAnsi="宋体"/>
                <w:color w:val="auto"/>
                <w:szCs w:val="21"/>
                <w:highlight w:val="none"/>
              </w:rPr>
              <w:t>7.投标人对本项目的合理化建议和改进措施（格式自拟）；</w:t>
            </w:r>
          </w:p>
          <w:p>
            <w:pPr>
              <w:snapToGrid w:val="0"/>
              <w:spacing w:line="360" w:lineRule="exact"/>
              <w:ind w:left="420"/>
              <w:jc w:val="left"/>
              <w:rPr>
                <w:rFonts w:hint="eastAsia" w:ascii="宋体" w:hAnsi="宋体"/>
                <w:bCs/>
                <w:color w:val="auto"/>
                <w:szCs w:val="21"/>
                <w:highlight w:val="none"/>
              </w:rPr>
            </w:pPr>
            <w:r>
              <w:rPr>
                <w:rFonts w:hint="eastAsia" w:ascii="宋体" w:hAnsi="宋体"/>
                <w:color w:val="auto"/>
                <w:szCs w:val="21"/>
                <w:highlight w:val="none"/>
              </w:rPr>
              <w:t>8.除招标文件规定必须提供以外，投标人需要说明的其他文件和说明（格式自拟）。</w:t>
            </w:r>
          </w:p>
          <w:p>
            <w:pPr>
              <w:snapToGrid w:val="0"/>
              <w:spacing w:line="360" w:lineRule="exact"/>
              <w:jc w:val="left"/>
              <w:rPr>
                <w:rFonts w:hint="eastAsia" w:ascii="宋体" w:hAnsi="宋体"/>
                <w:b/>
                <w:bCs/>
                <w:color w:val="auto"/>
                <w:szCs w:val="21"/>
                <w:highlight w:val="none"/>
              </w:rPr>
            </w:pPr>
            <w:r>
              <w:rPr>
                <w:rFonts w:hint="eastAsia" w:ascii="宋体" w:hAnsi="宋体"/>
                <w:b/>
                <w:bCs/>
                <w:color w:val="auto"/>
                <w:szCs w:val="21"/>
                <w:highlight w:val="none"/>
              </w:rPr>
              <w:t>注：以上标明“必须提供”的材料属于复印件的，必须加盖投标人公章，否则作无效投标处理。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bookmarkStart w:id="63" w:name="_13.5"/>
            <w:bookmarkEnd w:id="63"/>
            <w:r>
              <w:rPr>
                <w:rFonts w:hint="eastAsia" w:ascii="宋体" w:hAnsi="宋体"/>
                <w:color w:val="auto"/>
                <w:szCs w:val="21"/>
                <w:highlight w:val="none"/>
              </w:rPr>
              <w:t>13.5</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投标文件电子版。投标人在递交投标文件时，同时递交投标文件电子版。</w:t>
            </w:r>
          </w:p>
          <w:p>
            <w:pPr>
              <w:snapToGrid w:val="0"/>
              <w:spacing w:line="360" w:lineRule="exact"/>
              <w:ind w:left="459"/>
              <w:jc w:val="left"/>
              <w:rPr>
                <w:rFonts w:hint="eastAsia" w:ascii="宋体" w:hAnsi="宋体" w:cs="Courier New"/>
                <w:color w:val="auto"/>
                <w:szCs w:val="21"/>
                <w:highlight w:val="none"/>
              </w:rPr>
            </w:pPr>
            <w:r>
              <w:rPr>
                <w:rFonts w:hint="eastAsia" w:ascii="宋体" w:hAnsi="宋体" w:cs="Courier New"/>
                <w:color w:val="auto"/>
                <w:szCs w:val="21"/>
                <w:highlight w:val="none"/>
              </w:rPr>
              <w:t>1.投标文件电子版内容：与纸质投标文件全部内容一致。</w:t>
            </w:r>
          </w:p>
          <w:p>
            <w:pPr>
              <w:snapToGrid w:val="0"/>
              <w:spacing w:line="360" w:lineRule="exact"/>
              <w:ind w:left="459"/>
              <w:jc w:val="left"/>
              <w:rPr>
                <w:rFonts w:hint="eastAsia" w:ascii="宋体" w:hAnsi="宋体" w:cs="Courier New"/>
                <w:color w:val="auto"/>
                <w:szCs w:val="21"/>
                <w:highlight w:val="none"/>
              </w:rPr>
            </w:pPr>
            <w:r>
              <w:rPr>
                <w:rFonts w:hint="eastAsia" w:ascii="宋体" w:hAnsi="宋体" w:cs="Courier New"/>
                <w:color w:val="auto"/>
                <w:szCs w:val="21"/>
                <w:highlight w:val="none"/>
              </w:rPr>
              <w:t>2.投标文件电子版形式：可编辑的word文档格式1份</w:t>
            </w:r>
            <w:r>
              <w:rPr>
                <w:rFonts w:hint="eastAsia" w:ascii="宋体" w:hAnsi="宋体"/>
                <w:color w:val="auto"/>
                <w:szCs w:val="21"/>
                <w:highlight w:val="none"/>
              </w:rPr>
              <w:t>和已签字盖章的投标文件正本的扫描件（PDF格式）</w:t>
            </w:r>
            <w:r>
              <w:rPr>
                <w:rFonts w:hint="eastAsia" w:ascii="宋体" w:hAnsi="宋体" w:cs="Courier New"/>
                <w:color w:val="auto"/>
                <w:szCs w:val="21"/>
                <w:highlight w:val="none"/>
              </w:rPr>
              <w:t>1份。</w:t>
            </w:r>
          </w:p>
          <w:p>
            <w:pPr>
              <w:snapToGrid w:val="0"/>
              <w:spacing w:line="360" w:lineRule="exact"/>
              <w:ind w:left="459"/>
              <w:jc w:val="left"/>
              <w:rPr>
                <w:rFonts w:hint="eastAsia" w:ascii="宋体" w:hAnsi="宋体" w:cs="Courier New"/>
                <w:color w:val="auto"/>
                <w:szCs w:val="21"/>
                <w:highlight w:val="none"/>
              </w:rPr>
            </w:pPr>
            <w:r>
              <w:rPr>
                <w:rFonts w:hint="eastAsia" w:ascii="宋体" w:hAnsi="宋体" w:cs="Courier New"/>
                <w:color w:val="auto"/>
                <w:szCs w:val="21"/>
                <w:highlight w:val="none"/>
              </w:rPr>
              <w:t>3.投标文件电子版密封方式：投标文件电子版光盘（或U盘）与纸质版投标文件一并装入投标文件袋中。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bookmarkStart w:id="64" w:name="_16.2"/>
            <w:bookmarkEnd w:id="64"/>
            <w:r>
              <w:rPr>
                <w:rFonts w:hint="eastAsia" w:ascii="宋体" w:hAnsi="宋体"/>
                <w:color w:val="auto"/>
                <w:szCs w:val="21"/>
                <w:highlight w:val="none"/>
              </w:rPr>
              <w:t>16</w:t>
            </w:r>
            <w:bookmarkStart w:id="65" w:name="_Hlt19693758"/>
            <w:bookmarkStart w:id="66" w:name="_Hlt19194066"/>
            <w:bookmarkStart w:id="67" w:name="_Hlt19693759"/>
            <w:bookmarkStart w:id="68" w:name="_Hlt19194067"/>
            <w:r>
              <w:rPr>
                <w:rFonts w:hint="eastAsia" w:ascii="宋体" w:hAnsi="宋体"/>
                <w:color w:val="auto"/>
                <w:szCs w:val="21"/>
                <w:highlight w:val="none"/>
              </w:rPr>
              <w:t>.</w:t>
            </w:r>
            <w:bookmarkEnd w:id="65"/>
            <w:bookmarkEnd w:id="66"/>
            <w:bookmarkEnd w:id="67"/>
            <w:bookmarkEnd w:id="68"/>
            <w:r>
              <w:rPr>
                <w:rFonts w:hint="eastAsia" w:ascii="宋体" w:hAnsi="宋体"/>
                <w:color w:val="auto"/>
                <w:szCs w:val="21"/>
                <w:highlight w:val="none"/>
              </w:rPr>
              <w:t>2</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420" w:firstLineChars="200"/>
              <w:rPr>
                <w:rFonts w:hint="eastAsia" w:ascii="宋体" w:hAnsi="宋体"/>
                <w:color w:val="auto"/>
                <w:szCs w:val="21"/>
                <w:highlight w:val="none"/>
              </w:rPr>
            </w:pPr>
            <w:r>
              <w:rPr>
                <w:rFonts w:hint="eastAsia" w:cs="Courier New"/>
                <w:color w:val="auto"/>
                <w:szCs w:val="21"/>
                <w:highlight w:val="none"/>
              </w:rPr>
              <w:t>投标报价是履行合同的最终价格，应包括货款、标准附件、备品备件、专用工具、包装、运输、装卸、保险、税金、货到就位以及安装、调试、培训、保修等履行本项目所需的一切税金和费用。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bookmarkStart w:id="69" w:name="_17.1"/>
            <w:bookmarkEnd w:id="69"/>
            <w:r>
              <w:rPr>
                <w:rFonts w:hint="eastAsia" w:ascii="宋体" w:hAnsi="宋体"/>
                <w:color w:val="auto"/>
                <w:szCs w:val="21"/>
                <w:highlight w:val="none"/>
              </w:rPr>
              <w:t>17.1</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投标有效期： 自投标文件提交截止之日起自投标文件提交截止之日起120日。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bookmarkStart w:id="70" w:name="_18"/>
            <w:bookmarkEnd w:id="70"/>
            <w:r>
              <w:rPr>
                <w:rFonts w:hint="eastAsia" w:ascii="宋体" w:hAnsi="宋体"/>
                <w:color w:val="auto"/>
                <w:szCs w:val="21"/>
                <w:highlight w:val="none"/>
              </w:rPr>
              <w:t>18</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b/>
                <w:color w:val="auto"/>
                <w:szCs w:val="21"/>
                <w:highlight w:val="none"/>
              </w:rPr>
            </w:pPr>
            <w:r>
              <w:rPr>
                <w:rFonts w:hint="eastAsia" w:ascii="宋体" w:hAnsi="宋体"/>
                <w:color w:val="auto"/>
                <w:szCs w:val="21"/>
                <w:highlight w:val="none"/>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bookmarkStart w:id="71" w:name="_19.2"/>
            <w:bookmarkEnd w:id="71"/>
            <w:r>
              <w:rPr>
                <w:rFonts w:hint="eastAsia" w:ascii="宋体" w:hAnsi="宋体"/>
                <w:color w:val="auto"/>
                <w:szCs w:val="21"/>
                <w:highlight w:val="none"/>
              </w:rPr>
              <w:t>19.2</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hint="eastAsia" w:ascii="宋体" w:hAnsi="宋体"/>
                <w:color w:val="auto"/>
                <w:szCs w:val="21"/>
                <w:highlight w:val="none"/>
              </w:rPr>
            </w:pPr>
            <w:r>
              <w:rPr>
                <w:rFonts w:hint="eastAsia" w:ascii="宋体" w:hAnsi="宋体"/>
                <w:color w:val="auto"/>
                <w:szCs w:val="21"/>
                <w:highlight w:val="none"/>
              </w:rPr>
              <w:t>投标文件正副本份数：</w:t>
            </w:r>
            <w:r>
              <w:rPr>
                <w:rFonts w:hint="eastAsia" w:ascii="宋体" w:hAnsi="宋体" w:cs="Arial"/>
                <w:color w:val="auto"/>
                <w:szCs w:val="21"/>
                <w:highlight w:val="none"/>
              </w:rPr>
              <w:t>报价文件</w:t>
            </w:r>
            <w:r>
              <w:rPr>
                <w:rFonts w:hint="eastAsia" w:ascii="宋体" w:hAnsi="宋体"/>
                <w:color w:val="auto"/>
                <w:szCs w:val="21"/>
                <w:highlight w:val="none"/>
              </w:rPr>
              <w:t>正本</w:t>
            </w:r>
            <w:r>
              <w:rPr>
                <w:rFonts w:hint="eastAsia" w:ascii="宋体" w:hAnsi="宋体" w:cs="Arial"/>
                <w:color w:val="auto"/>
                <w:szCs w:val="21"/>
                <w:highlight w:val="none"/>
                <w:u w:val="single"/>
              </w:rPr>
              <w:t xml:space="preserve"> 一</w:t>
            </w:r>
            <w:r>
              <w:rPr>
                <w:rFonts w:hint="eastAsia" w:ascii="宋体" w:hAnsi="宋体"/>
                <w:color w:val="auto"/>
                <w:szCs w:val="21"/>
                <w:highlight w:val="none"/>
              </w:rPr>
              <w:t>份、副本</w:t>
            </w:r>
            <w:r>
              <w:rPr>
                <w:rFonts w:hint="eastAsia" w:ascii="宋体" w:hAnsi="宋体" w:cs="Arial"/>
                <w:color w:val="auto"/>
                <w:szCs w:val="21"/>
                <w:highlight w:val="none"/>
                <w:u w:val="single"/>
              </w:rPr>
              <w:t xml:space="preserve">  四  </w:t>
            </w:r>
            <w:r>
              <w:rPr>
                <w:rFonts w:hint="eastAsia" w:ascii="宋体" w:hAnsi="宋体"/>
                <w:color w:val="auto"/>
                <w:szCs w:val="21"/>
                <w:highlight w:val="none"/>
              </w:rPr>
              <w:t>份；</w:t>
            </w:r>
          </w:p>
          <w:p>
            <w:pPr>
              <w:autoSpaceDE w:val="0"/>
              <w:autoSpaceDN w:val="0"/>
              <w:snapToGrid w:val="0"/>
              <w:spacing w:line="360" w:lineRule="exact"/>
              <w:ind w:firstLine="1470" w:firstLineChars="700"/>
              <w:textAlignment w:val="bottom"/>
              <w:rPr>
                <w:rFonts w:hint="eastAsia" w:ascii="宋体" w:hAnsi="宋体"/>
                <w:color w:val="auto"/>
                <w:szCs w:val="21"/>
                <w:highlight w:val="none"/>
              </w:rPr>
            </w:pPr>
            <w:r>
              <w:rPr>
                <w:rFonts w:hint="eastAsia" w:ascii="宋体" w:hAnsi="宋体"/>
                <w:color w:val="auto"/>
                <w:szCs w:val="21"/>
                <w:highlight w:val="none"/>
              </w:rPr>
              <w:t xml:space="preserve">      资格证明文件正本</w:t>
            </w:r>
            <w:r>
              <w:rPr>
                <w:rFonts w:hint="eastAsia" w:ascii="宋体" w:hAnsi="宋体" w:cs="Arial"/>
                <w:color w:val="auto"/>
                <w:szCs w:val="21"/>
                <w:highlight w:val="none"/>
                <w:u w:val="single"/>
              </w:rPr>
              <w:t>一</w:t>
            </w:r>
            <w:r>
              <w:rPr>
                <w:rFonts w:hint="eastAsia" w:ascii="宋体" w:hAnsi="宋体"/>
                <w:color w:val="auto"/>
                <w:szCs w:val="21"/>
                <w:highlight w:val="none"/>
              </w:rPr>
              <w:t>份、副本</w:t>
            </w:r>
            <w:r>
              <w:rPr>
                <w:rFonts w:hint="eastAsia" w:ascii="宋体" w:hAnsi="宋体" w:cs="Arial"/>
                <w:color w:val="auto"/>
                <w:szCs w:val="21"/>
                <w:highlight w:val="none"/>
                <w:u w:val="single"/>
              </w:rPr>
              <w:t xml:space="preserve"> 四 </w:t>
            </w:r>
            <w:r>
              <w:rPr>
                <w:rFonts w:hint="eastAsia" w:ascii="宋体" w:hAnsi="宋体"/>
                <w:color w:val="auto"/>
                <w:szCs w:val="21"/>
                <w:highlight w:val="none"/>
              </w:rPr>
              <w:t>份；</w:t>
            </w:r>
          </w:p>
          <w:p>
            <w:pPr>
              <w:autoSpaceDE w:val="0"/>
              <w:autoSpaceDN w:val="0"/>
              <w:snapToGrid w:val="0"/>
              <w:spacing w:line="360" w:lineRule="exact"/>
              <w:ind w:firstLine="1470" w:firstLineChars="700"/>
              <w:textAlignment w:val="bottom"/>
              <w:rPr>
                <w:rFonts w:hint="eastAsia" w:ascii="宋体" w:hAnsi="宋体"/>
                <w:color w:val="auto"/>
                <w:szCs w:val="21"/>
                <w:highlight w:val="none"/>
              </w:rPr>
            </w:pPr>
            <w:r>
              <w:rPr>
                <w:rFonts w:hint="eastAsia" w:ascii="宋体" w:hAnsi="宋体"/>
                <w:color w:val="auto"/>
                <w:szCs w:val="21"/>
                <w:highlight w:val="none"/>
              </w:rPr>
              <w:t xml:space="preserve">      商务文件和技术文件合并装订成册，正本</w:t>
            </w:r>
            <w:r>
              <w:rPr>
                <w:rFonts w:hint="eastAsia" w:ascii="宋体" w:hAnsi="宋体"/>
                <w:color w:val="auto"/>
                <w:szCs w:val="21"/>
                <w:highlight w:val="none"/>
                <w:u w:val="single"/>
              </w:rPr>
              <w:t>一</w:t>
            </w:r>
            <w:r>
              <w:rPr>
                <w:rFonts w:hint="eastAsia" w:ascii="宋体" w:hAnsi="宋体"/>
                <w:color w:val="auto"/>
                <w:szCs w:val="21"/>
                <w:highlight w:val="none"/>
              </w:rPr>
              <w:t>份、副本</w:t>
            </w:r>
            <w:r>
              <w:rPr>
                <w:rFonts w:hint="eastAsia" w:ascii="宋体" w:hAnsi="宋体" w:cs="Arial"/>
                <w:color w:val="auto"/>
                <w:szCs w:val="21"/>
                <w:highlight w:val="none"/>
                <w:u w:val="single"/>
              </w:rPr>
              <w:t xml:space="preserve"> 四 </w:t>
            </w:r>
            <w:r>
              <w:rPr>
                <w:rFonts w:hint="eastAsia" w:ascii="宋体" w:hAnsi="宋体"/>
                <w:color w:val="auto"/>
                <w:szCs w:val="21"/>
                <w:highlight w:val="none"/>
              </w:rPr>
              <w:t>份</w:t>
            </w:r>
            <w:r>
              <w:rPr>
                <w:rFonts w:hint="eastAsia" w:ascii="宋体" w:hAnsi="宋体" w:cs="Arial"/>
                <w:color w:val="auto"/>
                <w:szCs w:val="21"/>
                <w:highlight w:val="none"/>
              </w:rPr>
              <w:t>；</w:t>
            </w:r>
            <w:r>
              <w:rPr>
                <w:rFonts w:hint="eastAsia" w:ascii="宋体" w:hAnsi="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6"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bookmarkStart w:id="72" w:name="_21.1"/>
            <w:bookmarkEnd w:id="72"/>
            <w:r>
              <w:rPr>
                <w:rFonts w:hint="eastAsia" w:ascii="宋体" w:hAnsi="宋体"/>
                <w:color w:val="auto"/>
                <w:szCs w:val="21"/>
                <w:highlight w:val="none"/>
              </w:rPr>
              <w:t>21.1</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u w:val="single"/>
              </w:rPr>
            </w:pPr>
            <w:r>
              <w:rPr>
                <w:rFonts w:hint="eastAsia" w:ascii="宋体" w:hAnsi="宋体"/>
                <w:color w:val="auto"/>
                <w:szCs w:val="21"/>
                <w:highlight w:val="none"/>
              </w:rPr>
              <w:t>1.投标截止时间：</w:t>
            </w:r>
            <w:r>
              <w:rPr>
                <w:rFonts w:hint="eastAsia" w:ascii="宋体" w:hAnsi="宋体" w:cs="Arial"/>
                <w:color w:val="auto"/>
                <w:szCs w:val="21"/>
                <w:highlight w:val="none"/>
                <w:u w:val="single"/>
              </w:rPr>
              <w:t xml:space="preserve"> 2020 </w:t>
            </w:r>
            <w:r>
              <w:rPr>
                <w:rFonts w:hint="eastAsia" w:ascii="宋体" w:hAnsi="宋体"/>
                <w:color w:val="auto"/>
                <w:szCs w:val="21"/>
                <w:highlight w:val="none"/>
              </w:rPr>
              <w:t>年</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12</w:t>
            </w:r>
            <w:r>
              <w:rPr>
                <w:rFonts w:hint="eastAsia" w:ascii="宋体" w:hAnsi="宋体" w:cs="Arial"/>
                <w:color w:val="auto"/>
                <w:szCs w:val="21"/>
                <w:highlight w:val="none"/>
                <w:u w:val="single"/>
              </w:rPr>
              <w:t xml:space="preserve">  </w:t>
            </w:r>
            <w:r>
              <w:rPr>
                <w:rFonts w:hint="eastAsia" w:ascii="宋体" w:hAnsi="宋体"/>
                <w:color w:val="auto"/>
                <w:szCs w:val="21"/>
                <w:highlight w:val="none"/>
              </w:rPr>
              <w:t>月</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16</w:t>
            </w:r>
            <w:r>
              <w:rPr>
                <w:rFonts w:hint="eastAsia" w:ascii="宋体" w:hAnsi="宋体" w:cs="Arial"/>
                <w:color w:val="auto"/>
                <w:szCs w:val="21"/>
                <w:highlight w:val="none"/>
                <w:u w:val="single"/>
              </w:rPr>
              <w:t xml:space="preserve"> </w:t>
            </w:r>
            <w:r>
              <w:rPr>
                <w:rFonts w:hint="eastAsia" w:ascii="宋体" w:hAnsi="宋体"/>
                <w:color w:val="auto"/>
                <w:szCs w:val="21"/>
                <w:highlight w:val="none"/>
              </w:rPr>
              <w:t>日</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15</w:t>
            </w:r>
            <w:r>
              <w:rPr>
                <w:rFonts w:hint="eastAsia" w:ascii="宋体" w:hAnsi="宋体" w:cs="Arial"/>
                <w:color w:val="auto"/>
                <w:szCs w:val="21"/>
                <w:highlight w:val="none"/>
                <w:u w:val="single"/>
              </w:rPr>
              <w:t xml:space="preserve">   </w:t>
            </w:r>
            <w:r>
              <w:rPr>
                <w:rFonts w:hint="eastAsia" w:ascii="宋体" w:hAnsi="宋体"/>
                <w:color w:val="auto"/>
                <w:szCs w:val="21"/>
                <w:highlight w:val="none"/>
              </w:rPr>
              <w:t>时</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00</w:t>
            </w:r>
            <w:r>
              <w:rPr>
                <w:rFonts w:hint="eastAsia" w:ascii="宋体" w:hAnsi="宋体" w:cs="Arial"/>
                <w:color w:val="auto"/>
                <w:szCs w:val="21"/>
                <w:highlight w:val="none"/>
                <w:u w:val="single"/>
              </w:rPr>
              <w:t xml:space="preserve">  </w:t>
            </w:r>
            <w:r>
              <w:rPr>
                <w:rFonts w:hint="eastAsia" w:ascii="宋体" w:hAnsi="宋体"/>
                <w:color w:val="auto"/>
                <w:szCs w:val="21"/>
                <w:highlight w:val="none"/>
              </w:rPr>
              <w:t>分</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2.投标文件提交起止时间：</w:t>
            </w:r>
            <w:r>
              <w:rPr>
                <w:rFonts w:hint="eastAsia" w:ascii="宋体" w:hAnsi="宋体" w:cs="Arial"/>
                <w:color w:val="auto"/>
                <w:szCs w:val="21"/>
                <w:highlight w:val="none"/>
                <w:u w:val="single"/>
              </w:rPr>
              <w:t xml:space="preserve"> 2020 </w:t>
            </w:r>
            <w:r>
              <w:rPr>
                <w:rFonts w:hint="eastAsia" w:ascii="宋体" w:hAnsi="宋体"/>
                <w:color w:val="auto"/>
                <w:szCs w:val="21"/>
                <w:highlight w:val="none"/>
              </w:rPr>
              <w:t>年</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12</w:t>
            </w:r>
            <w:r>
              <w:rPr>
                <w:rFonts w:hint="eastAsia" w:ascii="宋体" w:hAnsi="宋体" w:cs="Arial"/>
                <w:color w:val="auto"/>
                <w:szCs w:val="21"/>
                <w:highlight w:val="none"/>
                <w:u w:val="single"/>
              </w:rPr>
              <w:t xml:space="preserve">  </w:t>
            </w:r>
            <w:r>
              <w:rPr>
                <w:rFonts w:hint="eastAsia" w:ascii="宋体" w:hAnsi="宋体"/>
                <w:color w:val="auto"/>
                <w:szCs w:val="21"/>
                <w:highlight w:val="none"/>
              </w:rPr>
              <w:t>月</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16</w:t>
            </w:r>
            <w:r>
              <w:rPr>
                <w:rFonts w:hint="eastAsia" w:ascii="宋体" w:hAnsi="宋体" w:cs="Arial"/>
                <w:color w:val="auto"/>
                <w:szCs w:val="21"/>
                <w:highlight w:val="none"/>
                <w:u w:val="single"/>
              </w:rPr>
              <w:t xml:space="preserve"> </w:t>
            </w:r>
            <w:r>
              <w:rPr>
                <w:rFonts w:hint="eastAsia" w:ascii="宋体" w:hAnsi="宋体"/>
                <w:color w:val="auto"/>
                <w:szCs w:val="21"/>
                <w:highlight w:val="none"/>
              </w:rPr>
              <w:t>日</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14</w:t>
            </w:r>
            <w:r>
              <w:rPr>
                <w:rFonts w:hint="eastAsia" w:ascii="宋体" w:hAnsi="宋体" w:cs="Arial"/>
                <w:color w:val="auto"/>
                <w:szCs w:val="21"/>
                <w:highlight w:val="none"/>
                <w:u w:val="single"/>
              </w:rPr>
              <w:t xml:space="preserve">  </w:t>
            </w:r>
            <w:r>
              <w:rPr>
                <w:rFonts w:hint="eastAsia" w:ascii="宋体" w:hAnsi="宋体"/>
                <w:color w:val="auto"/>
                <w:szCs w:val="21"/>
                <w:highlight w:val="none"/>
              </w:rPr>
              <w:t>时</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30</w:t>
            </w:r>
            <w:r>
              <w:rPr>
                <w:rFonts w:hint="eastAsia" w:ascii="宋体" w:hAnsi="宋体" w:cs="Arial"/>
                <w:color w:val="auto"/>
                <w:szCs w:val="21"/>
                <w:highlight w:val="none"/>
                <w:u w:val="single"/>
              </w:rPr>
              <w:t xml:space="preserve"> </w:t>
            </w:r>
            <w:r>
              <w:rPr>
                <w:rFonts w:hint="eastAsia" w:ascii="宋体" w:hAnsi="宋体"/>
                <w:color w:val="auto"/>
                <w:szCs w:val="21"/>
                <w:highlight w:val="none"/>
              </w:rPr>
              <w:t>分</w:t>
            </w:r>
            <w:bookmarkStart w:id="161" w:name="_GoBack"/>
            <w:bookmarkEnd w:id="161"/>
            <w:r>
              <w:rPr>
                <w:rFonts w:hint="eastAsia" w:ascii="宋体" w:hAnsi="宋体"/>
                <w:color w:val="auto"/>
                <w:szCs w:val="21"/>
                <w:highlight w:val="none"/>
              </w:rPr>
              <w:t>至投标截止时间止</w:t>
            </w:r>
          </w:p>
          <w:p>
            <w:pPr>
              <w:snapToGrid w:val="0"/>
              <w:spacing w:line="360" w:lineRule="exact"/>
              <w:rPr>
                <w:rFonts w:hint="eastAsia" w:ascii="宋体" w:hAnsi="宋体" w:eastAsia="宋体"/>
                <w:color w:val="auto"/>
                <w:szCs w:val="21"/>
                <w:highlight w:val="none"/>
                <w:u w:val="single"/>
                <w:lang w:eastAsia="zh-CN"/>
              </w:rPr>
            </w:pPr>
            <w:r>
              <w:rPr>
                <w:rFonts w:hint="eastAsia" w:ascii="宋体" w:hAnsi="宋体"/>
                <w:color w:val="auto"/>
                <w:szCs w:val="21"/>
                <w:highlight w:val="none"/>
              </w:rPr>
              <w:t>3.投标地点：</w:t>
            </w:r>
            <w:r>
              <w:rPr>
                <w:rFonts w:hint="eastAsia" w:ascii="宋体" w:hAnsi="宋体"/>
                <w:color w:val="auto"/>
                <w:szCs w:val="21"/>
                <w:highlight w:val="none"/>
                <w:u w:val="single"/>
                <w:lang w:eastAsia="zh-CN"/>
              </w:rPr>
              <w:t>北流市公共资源交易中心（北流市城南客运站三楼）</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4.提交投标文件时须提供的材料：</w:t>
            </w:r>
          </w:p>
          <w:p>
            <w:pPr>
              <w:snapToGrid w:val="0"/>
              <w:spacing w:line="36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投标人法定代表人（负责人或自然人）提交投标文件的，须提供</w:t>
            </w:r>
            <w:r>
              <w:rPr>
                <w:rFonts w:ascii="宋体" w:hAnsi="宋体"/>
                <w:color w:val="auto"/>
                <w:szCs w:val="21"/>
                <w:highlight w:val="none"/>
              </w:rPr>
              <w:t>身份证原件与法定代表人（负责人或自然人）身份证明原件</w:t>
            </w:r>
            <w:r>
              <w:rPr>
                <w:rFonts w:hint="eastAsia" w:ascii="宋体" w:hAnsi="宋体"/>
                <w:color w:val="auto"/>
                <w:szCs w:val="21"/>
                <w:highlight w:val="none"/>
              </w:rPr>
              <w:t>（格式后附）；投标人委托代理人提交投标文件的，须提供身份证原件和法定代表人（负责人或自然人）授权委托书原件。</w:t>
            </w:r>
            <w:r>
              <w:rPr>
                <w:rFonts w:hint="eastAsia" w:ascii="宋体" w:hAnsi="宋体"/>
                <w:b/>
                <w:color w:val="auto"/>
                <w:szCs w:val="21"/>
                <w:highlight w:val="none"/>
              </w:rPr>
              <w:t>对于材料不全或无效的，采购代理机构应当拒收。</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注：身份证原件可用机动车驾驶证原件、社会保障卡原件、护照原件等代替。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bookmarkStart w:id="73" w:name="_23"/>
            <w:bookmarkEnd w:id="73"/>
            <w:r>
              <w:rPr>
                <w:rFonts w:hint="eastAsia" w:ascii="宋体" w:hAnsi="宋体"/>
                <w:color w:val="auto"/>
                <w:szCs w:val="21"/>
                <w:highlight w:val="none"/>
              </w:rPr>
              <w:t>23</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1.开标时间：同投标文件递交截止时间</w:t>
            </w:r>
          </w:p>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2.开标地点：</w:t>
            </w:r>
            <w:r>
              <w:rPr>
                <w:rFonts w:hint="eastAsia" w:ascii="宋体" w:hAnsi="宋体" w:cs="Arial"/>
                <w:color w:val="auto"/>
                <w:szCs w:val="21"/>
                <w:highlight w:val="none"/>
              </w:rPr>
              <w:t>同</w:t>
            </w:r>
            <w:r>
              <w:rPr>
                <w:rFonts w:hint="eastAsia" w:ascii="宋体" w:hAnsi="宋体"/>
                <w:color w:val="auto"/>
                <w:szCs w:val="21"/>
                <w:highlight w:val="none"/>
              </w:rPr>
              <w:t>投标地点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7"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bookmarkStart w:id="74" w:name="_25.3"/>
            <w:bookmarkEnd w:id="74"/>
            <w:r>
              <w:rPr>
                <w:rFonts w:hint="eastAsia" w:ascii="宋体" w:hAnsi="宋体"/>
                <w:color w:val="auto"/>
                <w:szCs w:val="21"/>
                <w:highlight w:val="none"/>
              </w:rPr>
              <w:t>25.3</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采购人或采购代理机构对投标人进行信用查询：</w:t>
            </w:r>
          </w:p>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查询渠道：“</w:t>
            </w:r>
            <w:r>
              <w:rPr>
                <w:rFonts w:ascii="宋体" w:hAnsi="宋体"/>
                <w:color w:val="auto"/>
                <w:szCs w:val="21"/>
                <w:highlight w:val="none"/>
              </w:rPr>
              <w:t>信用中国</w:t>
            </w:r>
            <w:r>
              <w:rPr>
                <w:rFonts w:hint="eastAsia" w:ascii="宋体" w:hAnsi="宋体"/>
                <w:color w:val="auto"/>
                <w:szCs w:val="21"/>
                <w:highlight w:val="none"/>
              </w:rPr>
              <w:t>”</w:t>
            </w:r>
            <w:r>
              <w:rPr>
                <w:rFonts w:ascii="宋体" w:hAnsi="宋体"/>
                <w:color w:val="auto"/>
                <w:szCs w:val="21"/>
                <w:highlight w:val="none"/>
              </w:rPr>
              <w:t>网站(www.creditchina.gov.cn)</w:t>
            </w:r>
            <w:r>
              <w:rPr>
                <w:rFonts w:hint="eastAsia" w:ascii="宋体" w:hAnsi="宋体"/>
                <w:color w:val="auto"/>
                <w:szCs w:val="21"/>
                <w:highlight w:val="none"/>
              </w:rPr>
              <w:t xml:space="preserve"> 、中国政府采购网(www.ccgp.gov.cn)</w:t>
            </w:r>
          </w:p>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信用查询时间：资格审查时。</w:t>
            </w:r>
          </w:p>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查询记录和证据留存方式：在查询网站中直接打印查询记录，打印材料作为评审资料保存。</w:t>
            </w:r>
          </w:p>
          <w:p>
            <w:pPr>
              <w:snapToGrid w:val="0"/>
              <w:spacing w:line="400" w:lineRule="exact"/>
              <w:rPr>
                <w:rFonts w:hint="eastAsia" w:ascii="宋体" w:hAnsi="宋体"/>
                <w:b/>
                <w:color w:val="auto"/>
                <w:szCs w:val="21"/>
                <w:highlight w:val="none"/>
              </w:rPr>
            </w:pPr>
            <w:r>
              <w:rPr>
                <w:rFonts w:hint="eastAsia" w:ascii="宋体" w:hAnsi="宋体"/>
                <w:color w:val="auto"/>
                <w:szCs w:val="21"/>
                <w:highlight w:val="none"/>
              </w:rPr>
              <w:t>信用信息使用规则：对在“</w:t>
            </w:r>
            <w:r>
              <w:rPr>
                <w:rFonts w:ascii="宋体" w:hAnsi="宋体"/>
                <w:color w:val="auto"/>
                <w:szCs w:val="21"/>
                <w:highlight w:val="none"/>
              </w:rPr>
              <w:t>信用中国</w:t>
            </w:r>
            <w:r>
              <w:rPr>
                <w:rFonts w:hint="eastAsia" w:ascii="宋体" w:hAnsi="宋体"/>
                <w:color w:val="auto"/>
                <w:szCs w:val="21"/>
                <w:highlight w:val="none"/>
              </w:rPr>
              <w:t>”</w:t>
            </w:r>
            <w:r>
              <w:rPr>
                <w:rFonts w:ascii="宋体" w:hAnsi="宋体"/>
                <w:color w:val="auto"/>
                <w:szCs w:val="21"/>
                <w:highlight w:val="none"/>
              </w:rPr>
              <w:t>网站(www.creditchina.gov.cn)</w:t>
            </w:r>
            <w:r>
              <w:rPr>
                <w:rFonts w:hint="eastAsia" w:ascii="宋体" w:hAnsi="宋体"/>
                <w:color w:val="auto"/>
                <w:szCs w:val="21"/>
                <w:highlight w:val="none"/>
              </w:rPr>
              <w:t xml:space="preserve">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r>
              <w:rPr>
                <w:rFonts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bookmarkStart w:id="75" w:name="_26"/>
            <w:bookmarkEnd w:id="75"/>
            <w:r>
              <w:rPr>
                <w:rFonts w:hint="eastAsia" w:ascii="宋体" w:hAnsi="宋体"/>
                <w:color w:val="auto"/>
                <w:szCs w:val="21"/>
                <w:highlight w:val="none"/>
              </w:rPr>
              <w:t>26</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评标委员会的人数：</w:t>
            </w:r>
            <w:r>
              <w:rPr>
                <w:rFonts w:hint="eastAsia" w:ascii="宋体" w:hAnsi="宋体"/>
                <w:color w:val="auto"/>
                <w:szCs w:val="21"/>
                <w:highlight w:val="none"/>
                <w:u w:val="single"/>
              </w:rPr>
              <w:t xml:space="preserve">  5  </w:t>
            </w:r>
            <w:r>
              <w:rPr>
                <w:rFonts w:hint="eastAsia" w:ascii="宋体" w:hAnsi="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bookmarkStart w:id="76" w:name="_28.3"/>
            <w:bookmarkEnd w:id="76"/>
            <w:r>
              <w:rPr>
                <w:rFonts w:hint="eastAsia" w:ascii="宋体" w:hAnsi="宋体"/>
                <w:color w:val="auto"/>
                <w:szCs w:val="21"/>
                <w:highlight w:val="none"/>
              </w:rPr>
              <w:t>28.3</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评标方法：综合评分法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bookmarkStart w:id="77" w:name="_29.2.2（2）"/>
            <w:bookmarkEnd w:id="77"/>
            <w:r>
              <w:rPr>
                <w:rFonts w:hint="eastAsia" w:ascii="宋体" w:hAnsi="宋体"/>
                <w:color w:val="auto"/>
                <w:szCs w:val="21"/>
                <w:highlight w:val="none"/>
              </w:rPr>
              <w:t>29.2.2</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配套（售后）服务其他要求评审中允许负偏离的项目数为</w:t>
            </w:r>
            <w:r>
              <w:rPr>
                <w:rFonts w:hint="eastAsia" w:ascii="宋体" w:hAnsi="宋体"/>
                <w:color w:val="auto"/>
                <w:szCs w:val="21"/>
                <w:highlight w:val="none"/>
                <w:u w:val="single"/>
              </w:rPr>
              <w:t xml:space="preserve">  0 </w:t>
            </w: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29.2.4</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技术评审中允许负偏离的项目数为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 xml:space="preserve"> </w:t>
            </w: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30</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ind w:firstLine="315" w:firstLineChars="150"/>
              <w:textAlignment w:val="bottom"/>
              <w:rPr>
                <w:rFonts w:hint="eastAsia" w:ascii="宋体" w:hAnsi="宋体"/>
                <w:color w:val="auto"/>
                <w:szCs w:val="21"/>
                <w:highlight w:val="none"/>
              </w:rPr>
            </w:pPr>
            <w:r>
              <w:rPr>
                <w:rFonts w:hint="eastAsia" w:ascii="宋体" w:hAnsi="宋体"/>
                <w:color w:val="auto"/>
                <w:szCs w:val="21"/>
                <w:highlight w:val="none"/>
              </w:rPr>
              <w:t>采购人确定中标人时，出现中标候选人并列的情形，采购人按以下的方式确定中标人：</w:t>
            </w:r>
          </w:p>
          <w:p>
            <w:pPr>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 xml:space="preserve">政策分得分高的优先、技术评分高的优先、商务评分高的优先、项目质保期长优先、交货期短优先、故障响应时间短优先的顺序。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1"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bookmarkStart w:id="78" w:name="_40.1"/>
            <w:bookmarkEnd w:id="78"/>
            <w:bookmarkStart w:id="79" w:name="_39.1"/>
            <w:bookmarkEnd w:id="79"/>
            <w:r>
              <w:rPr>
                <w:rFonts w:hint="eastAsia" w:ascii="宋体" w:hAnsi="宋体"/>
                <w:color w:val="auto"/>
                <w:szCs w:val="21"/>
                <w:highlight w:val="none"/>
              </w:rPr>
              <w:t>36.1</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签订合同携带的资格证件： </w:t>
            </w:r>
          </w:p>
          <w:p>
            <w:pPr>
              <w:autoSpaceDE w:val="0"/>
              <w:autoSpaceDN w:val="0"/>
              <w:snapToGrid w:val="0"/>
              <w:spacing w:line="340" w:lineRule="exact"/>
              <w:ind w:firstLine="420" w:firstLineChars="200"/>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委托代理人负责签订合同的，须携带授权委托书及委托代理人身份证原件等其它资格证件。法定代表人（负责人或自然人）负责签订合同的，须携带法定代表人（负责人或自然人）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等其它资格证件。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4"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bookmarkStart w:id="80" w:name="_41"/>
            <w:bookmarkEnd w:id="80"/>
            <w:r>
              <w:rPr>
                <w:rFonts w:hint="eastAsia" w:ascii="宋体" w:hAnsi="宋体"/>
                <w:color w:val="auto"/>
                <w:szCs w:val="21"/>
                <w:highlight w:val="none"/>
              </w:rPr>
              <w:t>37</w:t>
            </w:r>
          </w:p>
        </w:tc>
        <w:tc>
          <w:tcPr>
            <w:tcW w:w="8692"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line="400" w:lineRule="exact"/>
              <w:ind w:firstLine="420" w:firstLineChars="200"/>
              <w:rPr>
                <w:rFonts w:hint="eastAsia" w:hAnsi="宋体" w:cs="Courier New"/>
                <w:color w:val="auto"/>
                <w:kern w:val="2"/>
                <w:sz w:val="21"/>
                <w:highlight w:val="none"/>
                <w:lang w:val="en-US" w:eastAsia="zh-CN"/>
              </w:rPr>
            </w:pPr>
            <w:r>
              <w:rPr>
                <w:rFonts w:hint="eastAsia" w:hAnsi="宋体" w:cs="Courier New"/>
                <w:color w:val="auto"/>
                <w:kern w:val="2"/>
                <w:sz w:val="21"/>
                <w:highlight w:val="none"/>
                <w:lang w:val="en-US" w:eastAsia="zh-CN"/>
              </w:rPr>
              <w:t>政府采购合同公告：根据</w:t>
            </w:r>
            <w:r>
              <w:rPr>
                <w:rFonts w:hAnsi="宋体" w:cs="Courier New"/>
                <w:color w:val="auto"/>
                <w:kern w:val="2"/>
                <w:sz w:val="21"/>
                <w:highlight w:val="none"/>
                <w:lang w:val="en-US" w:eastAsia="zh-CN"/>
              </w:rPr>
              <w:t>《中华人民共和国政府采购法实施条例》第五十条</w:t>
            </w:r>
            <w:r>
              <w:rPr>
                <w:rFonts w:hint="eastAsia" w:hAnsi="宋体" w:cs="Courier New"/>
                <w:color w:val="auto"/>
                <w:kern w:val="2"/>
                <w:sz w:val="21"/>
                <w:highlight w:val="none"/>
                <w:lang w:val="en-US" w:eastAsia="zh-CN"/>
              </w:rPr>
              <w:t>规定，采购人应当自政府采购合同签订之日起2个工作日内，将政府采购合同在省级以上人民政府财政部门指定的媒体上公告，</w:t>
            </w:r>
            <w:r>
              <w:rPr>
                <w:rFonts w:hAnsi="宋体" w:cs="Courier New"/>
                <w:color w:val="auto"/>
                <w:kern w:val="2"/>
                <w:sz w:val="21"/>
                <w:highlight w:val="none"/>
                <w:lang w:val="en-US" w:eastAsia="zh-CN"/>
              </w:rPr>
              <w:t>但政府采购合同中涉及国家秘密、商业秘密的内容除外。因此请各投标人应在投标文件中注明投标内容中涉及商业秘密的部分，未注明的视为投标文件中不涉及商业秘密。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bookmarkStart w:id="81" w:name="_42"/>
            <w:bookmarkEnd w:id="81"/>
            <w:bookmarkStart w:id="82" w:name="_Hlt17709148"/>
            <w:r>
              <w:rPr>
                <w:rFonts w:hint="eastAsia" w:ascii="宋体" w:hAnsi="宋体"/>
                <w:color w:val="auto"/>
                <w:szCs w:val="21"/>
                <w:highlight w:val="none"/>
              </w:rPr>
              <w:t>38</w:t>
            </w:r>
            <w:bookmarkEnd w:id="82"/>
          </w:p>
        </w:tc>
        <w:tc>
          <w:tcPr>
            <w:tcW w:w="8692"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line="400" w:lineRule="exact"/>
              <w:rPr>
                <w:rFonts w:hint="eastAsia" w:hAnsi="宋体" w:cs="Courier New"/>
                <w:color w:val="auto"/>
                <w:kern w:val="2"/>
                <w:sz w:val="21"/>
                <w:highlight w:val="none"/>
                <w:lang w:val="en-US" w:eastAsia="zh-CN"/>
              </w:rPr>
            </w:pPr>
            <w:r>
              <w:rPr>
                <w:rFonts w:hint="eastAsia" w:hAnsi="宋体" w:cs="Courier New"/>
                <w:color w:val="auto"/>
                <w:kern w:val="2"/>
                <w:sz w:val="21"/>
                <w:highlight w:val="none"/>
                <w:lang w:val="en-US" w:eastAsia="zh-CN"/>
              </w:rPr>
              <w:t>代理服务费</w:t>
            </w:r>
          </w:p>
          <w:p>
            <w:pPr>
              <w:pStyle w:val="23"/>
              <w:snapToGrid w:val="0"/>
              <w:spacing w:line="400" w:lineRule="exact"/>
              <w:ind w:firstLine="420" w:firstLineChars="200"/>
              <w:rPr>
                <w:rFonts w:hint="eastAsia" w:hAnsi="宋体" w:cs="Courier New"/>
                <w:color w:val="auto"/>
                <w:kern w:val="2"/>
                <w:sz w:val="21"/>
                <w:highlight w:val="none"/>
                <w:lang w:val="en-US" w:eastAsia="zh-CN"/>
              </w:rPr>
            </w:pPr>
            <w:r>
              <w:rPr>
                <w:rFonts w:hint="eastAsia" w:hAnsi="宋体" w:cs="Courier New"/>
                <w:color w:val="auto"/>
                <w:kern w:val="2"/>
                <w:sz w:val="21"/>
                <w:highlight w:val="none"/>
                <w:lang w:val="en-US" w:eastAsia="zh-CN"/>
              </w:rPr>
              <w:t>本项目的代理服务费按差额累进法收取。</w:t>
            </w:r>
          </w:p>
          <w:p>
            <w:pPr>
              <w:pStyle w:val="23"/>
              <w:snapToGrid w:val="0"/>
              <w:spacing w:line="400" w:lineRule="exact"/>
              <w:ind w:firstLine="420" w:firstLineChars="200"/>
              <w:rPr>
                <w:rFonts w:hint="eastAsia" w:hAnsi="宋体" w:cs="Courier New"/>
                <w:color w:val="auto"/>
                <w:kern w:val="2"/>
                <w:sz w:val="21"/>
                <w:highlight w:val="none"/>
                <w:lang w:val="en-US" w:eastAsia="zh-CN"/>
              </w:rPr>
            </w:pPr>
            <w:r>
              <w:rPr>
                <w:rFonts w:hint="eastAsia" w:hAnsi="宋体" w:cs="Courier New"/>
                <w:color w:val="auto"/>
                <w:kern w:val="2"/>
                <w:sz w:val="21"/>
                <w:highlight w:val="none"/>
                <w:lang w:val="en-US" w:eastAsia="zh-CN"/>
              </w:rPr>
              <w:t>由中标人支付，中标人应当在领取中标通知书前，向采购代理机构一次付清服务费。投标人在投标时应考虑此费用。</w:t>
            </w:r>
          </w:p>
          <w:p>
            <w:pPr>
              <w:pStyle w:val="23"/>
              <w:wordWrap w:val="0"/>
              <w:snapToGrid w:val="0"/>
              <w:spacing w:line="360" w:lineRule="exact"/>
              <w:ind w:firstLine="422" w:firstLineChars="200"/>
              <w:rPr>
                <w:rFonts w:hint="eastAsia" w:hAnsi="宋体"/>
                <w:b/>
                <w:color w:val="auto"/>
                <w:sz w:val="21"/>
                <w:highlight w:val="none"/>
                <w:lang w:val="en-US" w:eastAsia="zh-CN"/>
              </w:rPr>
            </w:pPr>
            <w:r>
              <w:rPr>
                <w:rFonts w:hint="eastAsia" w:hAnsi="宋体"/>
                <w:b/>
                <w:color w:val="auto"/>
                <w:sz w:val="21"/>
                <w:highlight w:val="none"/>
                <w:lang w:val="en-US" w:eastAsia="zh-CN"/>
              </w:rPr>
              <w:t>代理服务费收取账号</w:t>
            </w:r>
          </w:p>
          <w:p>
            <w:pPr>
              <w:pStyle w:val="23"/>
              <w:snapToGrid w:val="0"/>
              <w:spacing w:line="400" w:lineRule="exact"/>
              <w:ind w:firstLine="420" w:firstLineChars="200"/>
              <w:rPr>
                <w:rFonts w:hint="eastAsia" w:hAnsi="宋体" w:cs="Courier New"/>
                <w:color w:val="auto"/>
                <w:kern w:val="2"/>
                <w:sz w:val="21"/>
                <w:highlight w:val="none"/>
                <w:lang w:val="en-US" w:eastAsia="zh-CN"/>
              </w:rPr>
            </w:pPr>
            <w:r>
              <w:rPr>
                <w:rFonts w:hint="eastAsia" w:hAnsi="宋体" w:cs="Courier New"/>
                <w:color w:val="auto"/>
                <w:kern w:val="2"/>
                <w:sz w:val="21"/>
                <w:highlight w:val="none"/>
                <w:lang w:val="en-US" w:eastAsia="zh-CN"/>
              </w:rPr>
              <w:t xml:space="preserve">开户名称：玉林承浩项目管理有限公司北流分公司 </w:t>
            </w:r>
          </w:p>
          <w:p>
            <w:pPr>
              <w:pStyle w:val="23"/>
              <w:snapToGrid w:val="0"/>
              <w:spacing w:line="400" w:lineRule="exact"/>
              <w:ind w:firstLine="420" w:firstLineChars="200"/>
              <w:rPr>
                <w:rFonts w:hint="eastAsia" w:hAnsi="宋体" w:cs="Courier New"/>
                <w:color w:val="auto"/>
                <w:kern w:val="2"/>
                <w:sz w:val="21"/>
                <w:highlight w:val="none"/>
                <w:lang w:val="en-US" w:eastAsia="zh-CN"/>
              </w:rPr>
            </w:pPr>
            <w:r>
              <w:rPr>
                <w:rFonts w:hint="eastAsia" w:hAnsi="宋体" w:cs="Courier New"/>
                <w:color w:val="auto"/>
                <w:kern w:val="2"/>
                <w:sz w:val="21"/>
                <w:highlight w:val="none"/>
                <w:lang w:val="en-US" w:eastAsia="zh-CN"/>
              </w:rPr>
              <w:t>开户银行：中国工商银行股份有限公司北流市永丰支行</w:t>
            </w:r>
          </w:p>
          <w:p>
            <w:pPr>
              <w:pStyle w:val="23"/>
              <w:snapToGrid w:val="0"/>
              <w:spacing w:line="400" w:lineRule="exact"/>
              <w:ind w:firstLine="420" w:firstLineChars="200"/>
              <w:rPr>
                <w:rFonts w:hint="eastAsia" w:hAnsi="宋体" w:cs="Courier New"/>
                <w:color w:val="auto"/>
                <w:kern w:val="2"/>
                <w:sz w:val="21"/>
                <w:highlight w:val="none"/>
                <w:lang w:val="en-US" w:eastAsia="zh-CN"/>
              </w:rPr>
            </w:pPr>
            <w:r>
              <w:rPr>
                <w:rFonts w:hint="eastAsia" w:hAnsi="宋体" w:cs="Courier New"/>
                <w:color w:val="auto"/>
                <w:kern w:val="2"/>
                <w:sz w:val="21"/>
                <w:highlight w:val="none"/>
                <w:lang w:val="en-US" w:eastAsia="zh-CN"/>
              </w:rPr>
              <w:t>开户账号: 2111706109300044416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rPr>
            </w:pPr>
          </w:p>
        </w:tc>
        <w:tc>
          <w:tcPr>
            <w:tcW w:w="869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解释：本招标文件的解释权属于采购代理机构。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9"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color w:val="auto"/>
                <w:szCs w:val="21"/>
                <w:highlight w:val="none"/>
              </w:rPr>
            </w:pPr>
          </w:p>
        </w:tc>
        <w:tc>
          <w:tcPr>
            <w:tcW w:w="869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本招标文件中描述投标</w:t>
            </w:r>
            <w:r>
              <w:rPr>
                <w:rFonts w:hint="eastAsia" w:ascii="宋体" w:hAnsi="宋体" w:cs="宋体"/>
                <w:color w:val="auto"/>
                <w:szCs w:val="21"/>
                <w:highlight w:val="none"/>
              </w:rPr>
              <w:t>人</w:t>
            </w:r>
            <w:r>
              <w:rPr>
                <w:rFonts w:ascii="宋体" w:hAnsi="宋体" w:cs="宋体"/>
                <w:color w:val="auto"/>
                <w:szCs w:val="21"/>
                <w:highlight w:val="none"/>
              </w:rPr>
              <w:t>的“公章”是指根据我国对公章的管理规定，用投标</w:t>
            </w:r>
            <w:r>
              <w:rPr>
                <w:rFonts w:hint="eastAsia" w:ascii="宋体" w:hAnsi="宋体" w:cs="宋体"/>
                <w:color w:val="auto"/>
                <w:szCs w:val="21"/>
                <w:highlight w:val="none"/>
              </w:rPr>
              <w:t>人</w:t>
            </w:r>
            <w:r>
              <w:rPr>
                <w:rFonts w:ascii="宋体" w:hAnsi="宋体" w:cs="宋体"/>
                <w:color w:val="auto"/>
                <w:szCs w:val="21"/>
                <w:highlight w:val="none"/>
              </w:rPr>
              <w:t>法定主体行为名称制作的印章，除本招标文件有特殊规定外，投标</w:t>
            </w:r>
            <w:r>
              <w:rPr>
                <w:rFonts w:hint="eastAsia" w:ascii="宋体" w:hAnsi="宋体" w:cs="宋体"/>
                <w:color w:val="auto"/>
                <w:szCs w:val="21"/>
                <w:highlight w:val="none"/>
              </w:rPr>
              <w:t>人</w:t>
            </w:r>
            <w:r>
              <w:rPr>
                <w:rFonts w:ascii="宋体" w:hAnsi="宋体" w:cs="宋体"/>
                <w:color w:val="auto"/>
                <w:szCs w:val="21"/>
                <w:highlight w:val="none"/>
              </w:rPr>
              <w:t>的财务章、部门章、分公司章、工会章、合同章、投标专用章、业务专用章等其它形式印章均不能代替公章。</w:t>
            </w:r>
          </w:p>
          <w:p>
            <w:pPr>
              <w:widowControl/>
              <w:spacing w:line="440" w:lineRule="exact"/>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2.</w:t>
            </w:r>
            <w:r>
              <w:rPr>
                <w:rFonts w:ascii="宋体" w:hAnsi="宋体" w:cs="宋体"/>
                <w:color w:val="auto"/>
                <w:szCs w:val="21"/>
                <w:highlight w:val="none"/>
              </w:rPr>
              <w:t>本招标文件中描述投标</w:t>
            </w:r>
            <w:r>
              <w:rPr>
                <w:rFonts w:hint="eastAsia" w:ascii="宋体" w:hAnsi="宋体" w:cs="宋体"/>
                <w:color w:val="auto"/>
                <w:szCs w:val="21"/>
                <w:highlight w:val="none"/>
              </w:rPr>
              <w:t>人</w:t>
            </w:r>
            <w:r>
              <w:rPr>
                <w:rFonts w:ascii="宋体" w:hAnsi="宋体" w:cs="宋体"/>
                <w:color w:val="auto"/>
                <w:szCs w:val="21"/>
                <w:highlight w:val="none"/>
              </w:rPr>
              <w:t>的“</w:t>
            </w:r>
            <w:r>
              <w:rPr>
                <w:rFonts w:hint="eastAsia" w:ascii="宋体" w:hAnsi="宋体" w:cs="宋体"/>
                <w:color w:val="auto"/>
                <w:szCs w:val="21"/>
                <w:highlight w:val="none"/>
              </w:rPr>
              <w:t>签字</w:t>
            </w:r>
            <w:r>
              <w:rPr>
                <w:rFonts w:ascii="宋体" w:hAnsi="宋体" w:cs="宋体"/>
                <w:color w:val="auto"/>
                <w:szCs w:val="21"/>
                <w:highlight w:val="none"/>
              </w:rPr>
              <w:t>”是指</w:t>
            </w:r>
            <w:r>
              <w:rPr>
                <w:rFonts w:hint="eastAsia" w:ascii="宋体" w:hAnsi="宋体" w:cs="宋体"/>
                <w:color w:val="auto"/>
                <w:szCs w:val="21"/>
                <w:highlight w:val="none"/>
              </w:rPr>
              <w:t>投标人的法定代表人（负责人或自然人）或委托代理人亲自在招标文件规定签字处亲笔写上个人名字的行为，私章、签字章、印鉴、影印等其它形式</w:t>
            </w:r>
            <w:r>
              <w:rPr>
                <w:rFonts w:ascii="宋体" w:hAnsi="宋体" w:cs="宋体"/>
                <w:color w:val="auto"/>
                <w:szCs w:val="21"/>
                <w:highlight w:val="none"/>
              </w:rPr>
              <w:t>均不能代替</w:t>
            </w:r>
            <w:r>
              <w:rPr>
                <w:rFonts w:hint="eastAsia" w:ascii="宋体" w:hAnsi="宋体" w:cs="宋体"/>
                <w:color w:val="auto"/>
                <w:szCs w:val="21"/>
                <w:highlight w:val="none"/>
              </w:rPr>
              <w:t>亲笔签字</w:t>
            </w:r>
            <w:r>
              <w:rPr>
                <w:rFonts w:ascii="宋体" w:hAnsi="宋体" w:cs="宋体"/>
                <w:color w:val="auto"/>
                <w:szCs w:val="21"/>
                <w:highlight w:val="none"/>
              </w:rPr>
              <w:t>。</w:t>
            </w:r>
            <w:r>
              <w:rPr>
                <w:rFonts w:hint="eastAsia" w:ascii="宋体" w:hAnsi="宋体" w:cs="宋体"/>
                <w:color w:val="auto"/>
                <w:szCs w:val="21"/>
                <w:highlight w:val="none"/>
              </w:rPr>
              <w:t>如招标文件规定签字处不得</w:t>
            </w:r>
            <w:r>
              <w:rPr>
                <w:rFonts w:hint="eastAsia" w:ascii="宋体" w:hAnsi="宋体"/>
                <w:color w:val="auto"/>
                <w:szCs w:val="21"/>
                <w:highlight w:val="none"/>
              </w:rPr>
              <w:t>以法人私章代替。</w:t>
            </w:r>
          </w:p>
          <w:p>
            <w:pPr>
              <w:widowControl/>
              <w:spacing w:line="440" w:lineRule="exact"/>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3.自然人投标的，招标文件规定盖章的地方自然人可以</w:t>
            </w:r>
            <w:r>
              <w:rPr>
                <w:rFonts w:hint="eastAsia" w:ascii="宋体" w:hAnsi="宋体"/>
                <w:color w:val="auto"/>
                <w:szCs w:val="21"/>
                <w:highlight w:val="none"/>
              </w:rPr>
              <w:t>加盖手指指印。</w:t>
            </w:r>
          </w:p>
        </w:tc>
      </w:tr>
    </w:tbl>
    <w:p>
      <w:pPr>
        <w:rPr>
          <w:rFonts w:hint="eastAsia" w:ascii="宋体" w:hAnsi="宋体"/>
          <w:color w:val="auto"/>
          <w:sz w:val="24"/>
          <w:szCs w:val="20"/>
          <w:highlight w:val="none"/>
        </w:rPr>
      </w:pPr>
    </w:p>
    <w:p>
      <w:pPr>
        <w:rPr>
          <w:rFonts w:hint="eastAsia" w:ascii="宋体" w:hAnsi="宋体"/>
          <w:color w:val="auto"/>
          <w:sz w:val="24"/>
          <w:szCs w:val="20"/>
          <w:highlight w:val="none"/>
        </w:rPr>
      </w:pPr>
    </w:p>
    <w:p>
      <w:pPr>
        <w:rPr>
          <w:rFonts w:hint="eastAsia" w:ascii="宋体" w:hAnsi="宋体"/>
          <w:color w:val="auto"/>
          <w:sz w:val="24"/>
          <w:szCs w:val="20"/>
          <w:highlight w:val="none"/>
        </w:rPr>
      </w:pPr>
    </w:p>
    <w:p>
      <w:pPr>
        <w:rPr>
          <w:rFonts w:hint="eastAsia" w:ascii="宋体" w:hAnsi="宋体"/>
          <w:color w:val="auto"/>
          <w:sz w:val="24"/>
          <w:szCs w:val="20"/>
          <w:highlight w:val="none"/>
        </w:rPr>
      </w:pPr>
    </w:p>
    <w:p>
      <w:pPr>
        <w:rPr>
          <w:rFonts w:hint="eastAsia" w:ascii="宋体" w:hAnsi="宋体"/>
          <w:color w:val="auto"/>
          <w:sz w:val="24"/>
          <w:szCs w:val="20"/>
          <w:highlight w:val="none"/>
        </w:rPr>
      </w:pPr>
    </w:p>
    <w:p>
      <w:pPr>
        <w:rPr>
          <w:rFonts w:hint="eastAsia" w:ascii="宋体" w:hAnsi="宋体"/>
          <w:color w:val="auto"/>
          <w:sz w:val="24"/>
          <w:szCs w:val="20"/>
          <w:highlight w:val="none"/>
        </w:rPr>
      </w:pPr>
    </w:p>
    <w:p>
      <w:pPr>
        <w:rPr>
          <w:rFonts w:hint="eastAsia" w:ascii="宋体" w:hAnsi="宋体"/>
          <w:color w:val="auto"/>
          <w:sz w:val="24"/>
          <w:szCs w:val="20"/>
          <w:highlight w:val="none"/>
        </w:rPr>
      </w:pPr>
    </w:p>
    <w:p>
      <w:pPr>
        <w:rPr>
          <w:rFonts w:hint="eastAsia" w:ascii="宋体" w:hAnsi="宋体"/>
          <w:color w:val="auto"/>
          <w:sz w:val="24"/>
          <w:szCs w:val="20"/>
          <w:highlight w:val="none"/>
        </w:rPr>
      </w:pPr>
    </w:p>
    <w:p>
      <w:pPr>
        <w:rPr>
          <w:rFonts w:hint="eastAsia" w:ascii="宋体" w:hAnsi="宋体"/>
          <w:color w:val="auto"/>
          <w:sz w:val="24"/>
          <w:szCs w:val="20"/>
          <w:highlight w:val="none"/>
        </w:rPr>
      </w:pPr>
    </w:p>
    <w:p>
      <w:pPr>
        <w:rPr>
          <w:rFonts w:hint="eastAsia" w:ascii="宋体" w:hAnsi="宋体"/>
          <w:color w:val="auto"/>
          <w:sz w:val="24"/>
          <w:szCs w:val="20"/>
          <w:highlight w:val="none"/>
        </w:rPr>
      </w:pPr>
    </w:p>
    <w:p>
      <w:pPr>
        <w:pStyle w:val="2"/>
        <w:rPr>
          <w:rFonts w:hint="eastAsia" w:ascii="宋体" w:hAnsi="宋体"/>
          <w:color w:val="auto"/>
          <w:sz w:val="24"/>
          <w:szCs w:val="20"/>
          <w:highlight w:val="none"/>
        </w:rPr>
      </w:pPr>
    </w:p>
    <w:p>
      <w:pPr>
        <w:rPr>
          <w:rFonts w:hint="eastAsia" w:ascii="宋体" w:hAnsi="宋体"/>
          <w:color w:val="auto"/>
          <w:sz w:val="24"/>
          <w:szCs w:val="20"/>
          <w:highlight w:val="none"/>
        </w:rPr>
      </w:pPr>
    </w:p>
    <w:p>
      <w:pPr>
        <w:pStyle w:val="2"/>
        <w:rPr>
          <w:rFonts w:hint="eastAsia" w:ascii="宋体" w:hAnsi="宋体"/>
          <w:color w:val="auto"/>
          <w:sz w:val="24"/>
          <w:szCs w:val="20"/>
          <w:highlight w:val="none"/>
        </w:rPr>
      </w:pPr>
    </w:p>
    <w:p>
      <w:pPr>
        <w:rPr>
          <w:rFonts w:hint="eastAsia" w:ascii="宋体" w:hAnsi="宋体"/>
          <w:color w:val="auto"/>
          <w:sz w:val="24"/>
          <w:szCs w:val="20"/>
          <w:highlight w:val="none"/>
        </w:rPr>
      </w:pPr>
    </w:p>
    <w:p>
      <w:pPr>
        <w:pStyle w:val="2"/>
        <w:rPr>
          <w:rFonts w:hint="eastAsia" w:ascii="宋体" w:hAnsi="宋体"/>
          <w:color w:val="auto"/>
          <w:sz w:val="24"/>
          <w:szCs w:val="20"/>
          <w:highlight w:val="none"/>
        </w:rPr>
      </w:pPr>
    </w:p>
    <w:p>
      <w:pPr>
        <w:rPr>
          <w:rFonts w:hint="eastAsia"/>
          <w:color w:val="auto"/>
          <w:highlight w:val="none"/>
        </w:rPr>
      </w:pPr>
    </w:p>
    <w:p>
      <w:pPr>
        <w:rPr>
          <w:rFonts w:hint="eastAsia" w:ascii="宋体" w:hAnsi="宋体"/>
          <w:color w:val="auto"/>
          <w:sz w:val="24"/>
          <w:szCs w:val="20"/>
          <w:highlight w:val="none"/>
        </w:rPr>
      </w:pPr>
    </w:p>
    <w:p>
      <w:pPr>
        <w:rPr>
          <w:rFonts w:hint="eastAsia" w:ascii="宋体" w:hAnsi="宋体"/>
          <w:color w:val="auto"/>
          <w:sz w:val="24"/>
          <w:szCs w:val="20"/>
          <w:highlight w:val="none"/>
        </w:rPr>
      </w:pPr>
    </w:p>
    <w:p>
      <w:pPr>
        <w:rPr>
          <w:rFonts w:hint="eastAsia" w:ascii="宋体" w:hAnsi="宋体"/>
          <w:color w:val="auto"/>
          <w:sz w:val="24"/>
          <w:szCs w:val="20"/>
          <w:highlight w:val="none"/>
        </w:rPr>
      </w:pPr>
    </w:p>
    <w:p>
      <w:pPr>
        <w:pStyle w:val="5"/>
        <w:jc w:val="center"/>
        <w:rPr>
          <w:rFonts w:hint="eastAsia"/>
          <w:color w:val="auto"/>
          <w:highlight w:val="none"/>
          <w:lang w:eastAsia="zh-CN"/>
        </w:rPr>
      </w:pPr>
      <w:r>
        <w:rPr>
          <w:rFonts w:hint="eastAsia"/>
          <w:color w:val="auto"/>
          <w:highlight w:val="none"/>
          <w:lang w:eastAsia="zh-CN"/>
        </w:rPr>
        <w:t>投标人须知正文</w:t>
      </w:r>
    </w:p>
    <w:p>
      <w:pPr>
        <w:pStyle w:val="5"/>
        <w:jc w:val="center"/>
        <w:rPr>
          <w:rFonts w:hint="eastAsia"/>
          <w:color w:val="auto"/>
          <w:highlight w:val="none"/>
        </w:rPr>
      </w:pPr>
      <w:r>
        <w:rPr>
          <w:rFonts w:hint="eastAsia"/>
          <w:color w:val="auto"/>
          <w:highlight w:val="none"/>
        </w:rPr>
        <w:t>一、总  则</w:t>
      </w:r>
    </w:p>
    <w:p>
      <w:pPr>
        <w:pStyle w:val="6"/>
        <w:spacing w:before="0" w:after="0" w:line="400" w:lineRule="exact"/>
        <w:ind w:left="420" w:leftChars="200"/>
        <w:rPr>
          <w:rFonts w:hint="eastAsia" w:ascii="宋体" w:hAnsi="宋体"/>
          <w:color w:val="auto"/>
          <w:sz w:val="21"/>
          <w:szCs w:val="21"/>
          <w:highlight w:val="none"/>
          <w:lang w:eastAsia="zh-CN"/>
        </w:rPr>
      </w:pPr>
      <w:bookmarkStart w:id="83" w:name="_Toc254970527"/>
      <w:bookmarkStart w:id="84" w:name="_Toc254970668"/>
      <w:r>
        <w:rPr>
          <w:rFonts w:hint="eastAsia" w:ascii="宋体" w:hAnsi="宋体"/>
          <w:color w:val="auto"/>
          <w:sz w:val="21"/>
          <w:szCs w:val="21"/>
          <w:highlight w:val="none"/>
          <w:lang w:eastAsia="zh-CN"/>
        </w:rPr>
        <w:t>1.适用范围</w:t>
      </w:r>
      <w:bookmarkEnd w:id="83"/>
      <w:bookmarkEnd w:id="84"/>
    </w:p>
    <w:p>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1.2本招标文件适用于</w:t>
      </w:r>
      <w:r>
        <w:rPr>
          <w:rFonts w:hint="eastAsia" w:ascii="宋体" w:hAnsi="宋体" w:cs="Arial"/>
          <w:color w:val="auto"/>
          <w:szCs w:val="21"/>
          <w:highlight w:val="none"/>
        </w:rPr>
        <w:t>本</w:t>
      </w:r>
      <w:r>
        <w:rPr>
          <w:rFonts w:hint="eastAsia" w:ascii="宋体" w:hAnsi="宋体"/>
          <w:color w:val="auto"/>
          <w:szCs w:val="21"/>
          <w:highlight w:val="none"/>
        </w:rPr>
        <w:t>项目的招标、投标、开标、评标、定标、合同签订等行为（法律、法规另有规定的，从其规定）。</w:t>
      </w:r>
    </w:p>
    <w:p>
      <w:pPr>
        <w:pStyle w:val="6"/>
        <w:spacing w:before="0" w:after="0" w:line="400" w:lineRule="exact"/>
        <w:ind w:left="420" w:leftChars="200"/>
        <w:rPr>
          <w:rFonts w:hint="eastAsia" w:ascii="宋体" w:hAnsi="宋体"/>
          <w:color w:val="auto"/>
          <w:sz w:val="21"/>
          <w:szCs w:val="21"/>
          <w:highlight w:val="none"/>
          <w:lang w:eastAsia="zh-CN"/>
        </w:rPr>
      </w:pPr>
      <w:bookmarkStart w:id="85" w:name="_Toc254970669"/>
      <w:bookmarkStart w:id="86" w:name="_Toc254970528"/>
      <w:r>
        <w:rPr>
          <w:rFonts w:hint="eastAsia" w:ascii="宋体" w:hAnsi="宋体"/>
          <w:color w:val="auto"/>
          <w:sz w:val="21"/>
          <w:szCs w:val="21"/>
          <w:highlight w:val="none"/>
          <w:lang w:eastAsia="zh-CN"/>
        </w:rPr>
        <w:t>2.定义</w:t>
      </w:r>
      <w:bookmarkEnd w:id="85"/>
      <w:bookmarkEnd w:id="86"/>
    </w:p>
    <w:p>
      <w:pPr>
        <w:pStyle w:val="6"/>
        <w:spacing w:before="0" w:after="0" w:line="400" w:lineRule="exact"/>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lang w:eastAsia="zh-CN"/>
        </w:rPr>
        <w:t>2.1“</w:t>
      </w:r>
      <w:r>
        <w:rPr>
          <w:rFonts w:hint="eastAsia" w:ascii="宋体" w:hAnsi="宋体"/>
          <w:b w:val="0"/>
          <w:color w:val="auto"/>
          <w:sz w:val="21"/>
          <w:szCs w:val="21"/>
          <w:highlight w:val="none"/>
        </w:rPr>
        <w:t>采购人</w:t>
      </w:r>
      <w:r>
        <w:rPr>
          <w:rFonts w:hint="eastAsia" w:ascii="宋体" w:hAnsi="宋体"/>
          <w:b w:val="0"/>
          <w:color w:val="auto"/>
          <w:sz w:val="21"/>
          <w:szCs w:val="21"/>
          <w:highlight w:val="none"/>
          <w:lang w:eastAsia="zh-CN"/>
        </w:rPr>
        <w:t>”</w:t>
      </w:r>
      <w:r>
        <w:rPr>
          <w:rFonts w:hint="eastAsia" w:ascii="宋体" w:hAnsi="宋体"/>
          <w:b w:val="0"/>
          <w:color w:val="auto"/>
          <w:sz w:val="21"/>
          <w:szCs w:val="21"/>
          <w:highlight w:val="none"/>
        </w:rPr>
        <w:t>是指依法进行政府采购的国家机关、事业单位、团体组织。</w:t>
      </w:r>
    </w:p>
    <w:p>
      <w:pPr>
        <w:pStyle w:val="6"/>
        <w:spacing w:before="0" w:after="0" w:line="400" w:lineRule="exact"/>
        <w:ind w:left="420" w:left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2.2“采购代理机构”系指玉林承浩项目管理有限公司。</w:t>
      </w:r>
    </w:p>
    <w:p>
      <w:pPr>
        <w:pStyle w:val="6"/>
        <w:spacing w:before="0" w:after="0" w:line="400" w:lineRule="exact"/>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lang w:eastAsia="zh-CN"/>
        </w:rPr>
        <w:t>2.3</w:t>
      </w:r>
      <w:r>
        <w:rPr>
          <w:rFonts w:hint="eastAsia" w:ascii="宋体" w:hAnsi="宋体"/>
          <w:b w:val="0"/>
          <w:color w:val="auto"/>
          <w:sz w:val="21"/>
          <w:szCs w:val="21"/>
          <w:highlight w:val="none"/>
        </w:rPr>
        <w:t>“供应商”是指向采购人提供货物、工程或者服务的法人、其他组织或者自然人。</w:t>
      </w:r>
    </w:p>
    <w:p>
      <w:pPr>
        <w:pStyle w:val="7"/>
        <w:spacing w:line="400" w:lineRule="exact"/>
        <w:rPr>
          <w:rFonts w:hint="eastAsia" w:ascii="宋体" w:hAnsi="宋体"/>
          <w:color w:val="auto"/>
          <w:szCs w:val="21"/>
          <w:highlight w:val="none"/>
        </w:rPr>
      </w:pPr>
      <w:r>
        <w:rPr>
          <w:rFonts w:hint="eastAsia" w:ascii="宋体" w:hAnsi="宋体"/>
          <w:color w:val="auto"/>
          <w:szCs w:val="21"/>
          <w:highlight w:val="none"/>
        </w:rPr>
        <w:t>2.4“投标人”是指响应招标、参加投标竞争的法人、非法人组织或者自然人。</w:t>
      </w:r>
    </w:p>
    <w:p>
      <w:pPr>
        <w:pStyle w:val="6"/>
        <w:spacing w:before="0" w:after="0" w:line="400" w:lineRule="exact"/>
        <w:ind w:firstLine="420" w:firstLine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2.5“货物”是指各种形态和种类的物品，包括原材料、燃料、设备、产品等。</w:t>
      </w:r>
    </w:p>
    <w:p>
      <w:pPr>
        <w:pStyle w:val="6"/>
        <w:spacing w:before="0" w:after="0" w:line="400" w:lineRule="exact"/>
        <w:ind w:firstLine="420" w:firstLine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2.6“配套（售后）服务” 是指包含但不限于投标人须承担的备品备件、包装、运输、装卸、保险、货到就位以及安装、调试、培训、保修以及其他类似的义务。</w:t>
      </w:r>
    </w:p>
    <w:p>
      <w:pPr>
        <w:pStyle w:val="6"/>
        <w:spacing w:before="0" w:after="0" w:line="400" w:lineRule="exact"/>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 xml:space="preserve">    2.7“书面形式”是指合同书、信件和数据电文（包括电报、电传、传真、电子数据交换和电子邮件）等可以有形地表现所载内容的形式。</w:t>
      </w:r>
    </w:p>
    <w:p>
      <w:pPr>
        <w:pStyle w:val="6"/>
        <w:spacing w:before="0" w:after="0" w:line="400" w:lineRule="exact"/>
        <w:ind w:firstLine="420" w:firstLine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2.8“▲”是指“采购需求”中实质性要求。</w:t>
      </w:r>
    </w:p>
    <w:p>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2.9 “正偏离”，是指投标文件对招标文件“采购需求”中有关条款作出优于条款要求并有利于采购人的响应情形；“负偏离”，是指投标文件对招标文件“采购需求”中有关条款作出的响应不满足条款要求导致采购人要求不能得到满足的情形。“满足”是指投标文件对招标文件“采购需求”中有关条款作出无“负偏离”或“正偏离”的情形。</w:t>
      </w:r>
    </w:p>
    <w:p>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2.10 “允许负偏离的项目” 是指“采购需求”中不带“▲”的项目条款。</w:t>
      </w:r>
    </w:p>
    <w:p>
      <w:pPr>
        <w:snapToGrid w:val="0"/>
        <w:spacing w:line="400" w:lineRule="exact"/>
        <w:ind w:firstLine="396" w:firstLineChars="200"/>
        <w:jc w:val="left"/>
        <w:rPr>
          <w:rFonts w:hint="eastAsia" w:ascii="宋体" w:hAnsi="宋体"/>
          <w:color w:val="auto"/>
          <w:spacing w:val="-6"/>
          <w:szCs w:val="21"/>
          <w:highlight w:val="none"/>
        </w:rPr>
      </w:pPr>
      <w:r>
        <w:rPr>
          <w:rFonts w:hint="eastAsia" w:ascii="宋体" w:hAnsi="宋体"/>
          <w:color w:val="auto"/>
          <w:spacing w:val="-6"/>
          <w:szCs w:val="21"/>
          <w:highlight w:val="none"/>
        </w:rPr>
        <w:t>2.11投标文件对招标文件中的实质性条款应当作出无偏离或正偏离响应，实质性条款不允许负偏离。</w:t>
      </w:r>
    </w:p>
    <w:p>
      <w:pPr>
        <w:snapToGrid w:val="0"/>
        <w:spacing w:line="400" w:lineRule="exact"/>
        <w:ind w:firstLine="420" w:firstLineChars="200"/>
        <w:jc w:val="left"/>
        <w:rPr>
          <w:rFonts w:hint="eastAsia" w:ascii="宋体" w:hAnsi="宋体"/>
          <w:color w:val="auto"/>
          <w:szCs w:val="21"/>
          <w:highlight w:val="none"/>
        </w:rPr>
      </w:pPr>
      <w:bookmarkStart w:id="87" w:name="_Toc254970529"/>
      <w:bookmarkStart w:id="88" w:name="_Toc254970670"/>
      <w:r>
        <w:rPr>
          <w:rFonts w:hint="eastAsia" w:ascii="宋体" w:hAnsi="宋体"/>
          <w:color w:val="auto"/>
          <w:szCs w:val="21"/>
          <w:highlight w:val="none"/>
        </w:rPr>
        <w:t>2.12技术参数或配置缺项漏项的，或商务条款未承诺的视同为该项负偏离。</w:t>
      </w:r>
    </w:p>
    <w:p>
      <w:pPr>
        <w:pStyle w:val="6"/>
        <w:spacing w:before="0" w:after="0" w:line="400" w:lineRule="exact"/>
        <w:ind w:left="420" w:left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3.招标方式</w:t>
      </w:r>
      <w:bookmarkEnd w:id="87"/>
      <w:bookmarkEnd w:id="88"/>
    </w:p>
    <w:p>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公开招标方式。</w:t>
      </w:r>
    </w:p>
    <w:p>
      <w:pPr>
        <w:pStyle w:val="6"/>
        <w:spacing w:before="0" w:after="0" w:line="400" w:lineRule="exact"/>
        <w:ind w:left="420" w:leftChars="200"/>
        <w:rPr>
          <w:rFonts w:hint="eastAsia" w:ascii="宋体" w:hAnsi="宋体"/>
          <w:color w:val="auto"/>
          <w:sz w:val="21"/>
          <w:szCs w:val="21"/>
          <w:highlight w:val="none"/>
          <w:lang w:eastAsia="zh-CN"/>
        </w:rPr>
      </w:pPr>
      <w:bookmarkStart w:id="89" w:name="_Toc254970530"/>
      <w:bookmarkStart w:id="90" w:name="_Toc254970671"/>
      <w:r>
        <w:rPr>
          <w:rFonts w:hint="eastAsia" w:ascii="宋体" w:hAnsi="宋体"/>
          <w:color w:val="auto"/>
          <w:sz w:val="21"/>
          <w:szCs w:val="21"/>
          <w:highlight w:val="none"/>
          <w:lang w:eastAsia="zh-CN"/>
        </w:rPr>
        <w:t>4.投标委托</w:t>
      </w:r>
      <w:bookmarkEnd w:id="89"/>
      <w:bookmarkEnd w:id="90"/>
    </w:p>
    <w:p>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代表须携带个人有效身份证件。如投标人代表不是法定代表人（负责人或自然人本人），须有法定代表人（负责人或自然人本人）出具的授权委托书（正本用原件，副本用复印件，按第六章要求格式填写）。</w:t>
      </w:r>
    </w:p>
    <w:p>
      <w:pPr>
        <w:pStyle w:val="6"/>
        <w:spacing w:before="0" w:after="0" w:line="400" w:lineRule="exact"/>
        <w:ind w:left="420" w:leftChars="200"/>
        <w:rPr>
          <w:rFonts w:hint="eastAsia" w:ascii="宋体" w:hAnsi="宋体"/>
          <w:color w:val="auto"/>
          <w:sz w:val="21"/>
          <w:szCs w:val="21"/>
          <w:highlight w:val="none"/>
          <w:lang w:eastAsia="zh-CN"/>
        </w:rPr>
      </w:pPr>
      <w:bookmarkStart w:id="91" w:name="_5.投标费用"/>
      <w:bookmarkEnd w:id="91"/>
      <w:bookmarkStart w:id="92" w:name="_Toc254970531"/>
      <w:bookmarkStart w:id="93" w:name="_Toc254970672"/>
      <w:r>
        <w:rPr>
          <w:rFonts w:hint="eastAsia" w:ascii="宋体" w:hAnsi="宋体"/>
          <w:color w:val="auto"/>
          <w:sz w:val="21"/>
          <w:szCs w:val="21"/>
          <w:highlight w:val="none"/>
          <w:lang w:eastAsia="zh-CN"/>
        </w:rPr>
        <w:t>5.投标费用</w:t>
      </w:r>
      <w:bookmarkEnd w:id="92"/>
      <w:bookmarkEnd w:id="93"/>
    </w:p>
    <w:p>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投标费用具体定义见“投标人须知前附表”。</w:t>
      </w:r>
    </w:p>
    <w:p>
      <w:pPr>
        <w:pStyle w:val="6"/>
        <w:spacing w:before="0" w:after="0" w:line="400" w:lineRule="exact"/>
        <w:ind w:left="420" w:left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6.联合体投标</w:t>
      </w:r>
    </w:p>
    <w:p>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6.1本项目是否接受联合体投标，详见“投标人须知前附表”。</w:t>
      </w:r>
    </w:p>
    <w:p>
      <w:pPr>
        <w:pStyle w:val="6"/>
        <w:spacing w:before="0" w:after="0" w:line="400" w:lineRule="exact"/>
        <w:ind w:left="420" w:left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6.2联合体投标要求:</w:t>
      </w:r>
    </w:p>
    <w:p>
      <w:pPr>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（1）两个以上的自然人、法人或者其他组织可以组成一个联合体，以一个投标人的身份共同参加投标。</w:t>
      </w:r>
    </w:p>
    <w:p>
      <w:pPr>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2）以联合体形式参加投标的，联合体各方均应当具备《中华人民共和国政府采购法》第二十二条规定的条件。本项目有特殊要求规定投标人特定条件的，联合体各方中至少应当有一方符合招标文件规定的特定条件。</w:t>
      </w:r>
    </w:p>
    <w:p>
      <w:pPr>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3）联合体各方之间应当签订联合投标协议，协议书应当明确主体方（或牵头方）并明确约定联合体各方承担的工作和相应的责任（各方承担责任与义务的分工应当符合采购需求，涉及行政许可范围的内容应由具有相应资质的成员承担；</w:t>
      </w:r>
      <w:r>
        <w:rPr>
          <w:rFonts w:hint="eastAsia" w:ascii="微软雅黑" w:hAnsi="微软雅黑" w:eastAsia="微软雅黑"/>
          <w:b/>
          <w:color w:val="auto"/>
          <w:sz w:val="24"/>
          <w:highlight w:val="none"/>
        </w:rPr>
        <w:t>否则，联合体投标无效</w:t>
      </w:r>
      <w:r>
        <w:rPr>
          <w:rFonts w:hint="eastAsia" w:ascii="宋体" w:hAnsi="宋体"/>
          <w:color w:val="auto"/>
          <w:szCs w:val="21"/>
          <w:highlight w:val="none"/>
        </w:rPr>
        <w:t>），并将联合投标协议连同投标文件一并提交采购代理机构。联合体各方应当共同与采购人签订采购合同，就采购合同约定的事项对采购人承担连带责任。</w:t>
      </w:r>
    </w:p>
    <w:p>
      <w:pPr>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（4）以联合体形式参加政府采购活动的，联合体各方不得再单独参加或者与其他供应商另外组成联合体参加同一合同项下的政府采购活动。</w:t>
      </w:r>
    </w:p>
    <w:p>
      <w:pPr>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（5）联合体中有同类资质的供应商按照联合体分工承担相同工作的，应当按照资质等级较低的供应商确定资质等级。</w:t>
      </w:r>
    </w:p>
    <w:p>
      <w:pPr>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（6）联合体投标业绩、履约能力计算，按照联合体其中较高的一方认定并计算。</w:t>
      </w:r>
    </w:p>
    <w:p>
      <w:pPr>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（7）联合体投标的，须提供《联合体投标协议》（格式后附）。</w:t>
      </w:r>
    </w:p>
    <w:p>
      <w:pPr>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（8）供应商为联合体的，可以由联合体中的一方或者多方共同按规定交纳保证金，其交纳的保证金对联合体各方均具有约束力。</w:t>
      </w:r>
    </w:p>
    <w:p>
      <w:pPr>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（9）联合体各方均应按照招标文件的规定分别提交资格证明文件。</w:t>
      </w:r>
    </w:p>
    <w:p>
      <w:pPr>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6.3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pPr>
        <w:pStyle w:val="6"/>
        <w:spacing w:before="0" w:after="0" w:line="400" w:lineRule="exact"/>
        <w:ind w:left="420" w:left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 xml:space="preserve">7.转包与分包             </w:t>
      </w:r>
    </w:p>
    <w:p>
      <w:pPr>
        <w:pStyle w:val="6"/>
        <w:spacing w:before="0" w:after="0" w:line="400" w:lineRule="exact"/>
        <w:ind w:left="420" w:left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7.1本项目不允许转包。</w:t>
      </w:r>
    </w:p>
    <w:p>
      <w:pPr>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7.2本项目是否允许分包详见“投标人须知前附表”。</w:t>
      </w:r>
    </w:p>
    <w:p>
      <w:pPr>
        <w:pStyle w:val="6"/>
        <w:numPr>
          <w:ilvl w:val="0"/>
          <w:numId w:val="0"/>
        </w:numPr>
        <w:spacing w:before="0" w:after="0" w:line="400" w:lineRule="exact"/>
        <w:ind w:left="420"/>
        <w:rPr>
          <w:rFonts w:hint="eastAsia" w:ascii="微软雅黑" w:hAnsi="微软雅黑" w:eastAsia="微软雅黑"/>
          <w:color w:val="auto"/>
          <w:sz w:val="24"/>
          <w:highlight w:val="none"/>
          <w:lang w:val="en-US" w:eastAsia="zh-CN"/>
        </w:rPr>
      </w:pPr>
      <w:bookmarkStart w:id="94" w:name="_Toc254970532"/>
      <w:bookmarkStart w:id="95" w:name="_Toc254970673"/>
      <w:r>
        <w:rPr>
          <w:rFonts w:hint="eastAsia" w:ascii="微软雅黑" w:hAnsi="微软雅黑" w:eastAsia="微软雅黑"/>
          <w:color w:val="auto"/>
          <w:sz w:val="24"/>
          <w:highlight w:val="none"/>
          <w:lang w:val="en-US" w:eastAsia="zh-CN"/>
        </w:rPr>
        <w:t>8.特别说明：</w:t>
      </w:r>
      <w:bookmarkEnd w:id="94"/>
      <w:bookmarkEnd w:id="95"/>
    </w:p>
    <w:p>
      <w:pPr>
        <w:pStyle w:val="6"/>
        <w:spacing w:before="0" w:after="0" w:line="400" w:lineRule="exact"/>
        <w:ind w:firstLine="480" w:firstLineChars="200"/>
        <w:rPr>
          <w:rFonts w:hint="eastAsia" w:ascii="微软雅黑" w:hAnsi="微软雅黑" w:eastAsia="微软雅黑"/>
          <w:color w:val="auto"/>
          <w:sz w:val="24"/>
          <w:highlight w:val="none"/>
          <w:lang w:val="en-US" w:eastAsia="zh-CN"/>
        </w:rPr>
      </w:pPr>
      <w:bookmarkStart w:id="96" w:name="_8.1提供相同品牌产品且通过资格审查、符合性审查的不同投标人参加同一合"/>
      <w:bookmarkEnd w:id="96"/>
      <w:r>
        <w:rPr>
          <w:rFonts w:ascii="微软雅黑" w:hAnsi="微软雅黑" w:eastAsia="微软雅黑"/>
          <w:color w:val="auto"/>
          <w:sz w:val="24"/>
          <w:highlight w:val="none"/>
          <w:lang w:val="en-US" w:eastAsia="zh-CN"/>
        </w:rPr>
        <w:fldChar w:fldCharType="begin"/>
      </w:r>
      <w:r>
        <w:rPr>
          <w:rFonts w:ascii="微软雅黑" w:hAnsi="微软雅黑" w:eastAsia="微软雅黑"/>
          <w:color w:val="auto"/>
          <w:sz w:val="24"/>
          <w:highlight w:val="none"/>
          <w:lang w:val="en-US" w:eastAsia="zh-CN"/>
        </w:rPr>
        <w:instrText xml:space="preserve"> HYPERLINK  \l "_8.1" </w:instrText>
      </w:r>
      <w:r>
        <w:rPr>
          <w:rFonts w:ascii="微软雅黑" w:hAnsi="微软雅黑" w:eastAsia="微软雅黑"/>
          <w:color w:val="auto"/>
          <w:sz w:val="24"/>
          <w:highlight w:val="none"/>
          <w:lang w:val="en-US" w:eastAsia="zh-CN"/>
        </w:rPr>
        <w:fldChar w:fldCharType="separate"/>
      </w:r>
      <w:r>
        <w:rPr>
          <w:rFonts w:hint="eastAsia" w:ascii="微软雅黑" w:hAnsi="微软雅黑" w:eastAsia="微软雅黑"/>
          <w:color w:val="auto"/>
          <w:sz w:val="24"/>
          <w:highlight w:val="none"/>
          <w:lang w:val="en-US"/>
        </w:rPr>
        <w:t>8.1</w:t>
      </w:r>
      <w:r>
        <w:rPr>
          <w:rFonts w:ascii="微软雅黑" w:hAnsi="微软雅黑" w:eastAsia="微软雅黑"/>
          <w:color w:val="auto"/>
          <w:sz w:val="24"/>
          <w:highlight w:val="none"/>
          <w:lang w:val="en-US" w:eastAsia="zh-CN"/>
        </w:rPr>
        <w:fldChar w:fldCharType="end"/>
      </w:r>
      <w:r>
        <w:rPr>
          <w:rFonts w:hint="eastAsia" w:ascii="微软雅黑" w:hAnsi="微软雅黑" w:eastAsia="微软雅黑"/>
          <w:color w:val="auto"/>
          <w:sz w:val="24"/>
          <w:highlight w:val="none"/>
          <w:lang w:val="en-US" w:eastAsia="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pPr>
        <w:pStyle w:val="23"/>
        <w:snapToGrid w:val="0"/>
        <w:spacing w:line="400" w:lineRule="exact"/>
        <w:ind w:left="2" w:leftChars="1" w:firstLine="480" w:firstLineChars="200"/>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非单一产品采购项目，多家投标人提供的核心产品品牌相同的，按前款规定处理。</w:t>
      </w:r>
    </w:p>
    <w:p>
      <w:pPr>
        <w:pStyle w:val="6"/>
        <w:spacing w:before="0" w:after="0" w:line="400" w:lineRule="exact"/>
        <w:ind w:firstLine="420" w:firstLineChars="175"/>
        <w:rPr>
          <w:rFonts w:hint="eastAsia" w:ascii="微软雅黑" w:hAnsi="微软雅黑" w:eastAsia="微软雅黑"/>
          <w:color w:val="auto"/>
          <w:sz w:val="24"/>
          <w:highlight w:val="none"/>
          <w:lang w:val="en-US" w:eastAsia="zh-CN"/>
        </w:rPr>
      </w:pPr>
      <w:r>
        <w:rPr>
          <w:rFonts w:hint="eastAsia" w:ascii="微软雅黑" w:hAnsi="微软雅黑" w:eastAsia="微软雅黑"/>
          <w:color w:val="auto"/>
          <w:sz w:val="24"/>
          <w:highlight w:val="none"/>
          <w:lang w:val="en-US" w:eastAsia="zh-CN"/>
        </w:rPr>
        <w:t>8.2投标人投标所使用的资格、信誉、荣誉、业绩与企业认证必须为投标人所拥有。</w:t>
      </w:r>
    </w:p>
    <w:p>
      <w:pPr>
        <w:pStyle w:val="6"/>
        <w:spacing w:before="0" w:after="0" w:line="400" w:lineRule="exact"/>
        <w:ind w:firstLine="420" w:firstLineChars="175"/>
        <w:rPr>
          <w:rFonts w:hint="eastAsia" w:ascii="微软雅黑" w:hAnsi="微软雅黑" w:eastAsia="微软雅黑"/>
          <w:color w:val="auto"/>
          <w:sz w:val="24"/>
          <w:highlight w:val="none"/>
          <w:lang w:val="en-US" w:eastAsia="zh-CN"/>
        </w:rPr>
      </w:pPr>
      <w:r>
        <w:rPr>
          <w:rFonts w:hint="eastAsia" w:ascii="微软雅黑" w:hAnsi="微软雅黑" w:eastAsia="微软雅黑"/>
          <w:color w:val="auto"/>
          <w:sz w:val="24"/>
          <w:highlight w:val="none"/>
          <w:lang w:val="en-US" w:eastAsia="zh-CN"/>
        </w:rPr>
        <w:t>8.3投标人应仔细阅读招标文件的所有内容，按照招标文件的要求提交投标文件，并对所提供的全部资料的真实性承担法律责任。</w:t>
      </w:r>
    </w:p>
    <w:p>
      <w:pPr>
        <w:pStyle w:val="6"/>
        <w:spacing w:before="0" w:after="0" w:line="400" w:lineRule="exact"/>
        <w:ind w:firstLine="420" w:firstLineChars="175"/>
        <w:rPr>
          <w:rFonts w:hint="eastAsia" w:ascii="微软雅黑" w:hAnsi="微软雅黑" w:eastAsia="微软雅黑"/>
          <w:color w:val="auto"/>
          <w:sz w:val="24"/>
          <w:highlight w:val="none"/>
          <w:lang w:val="en-US" w:eastAsia="zh-CN"/>
        </w:rPr>
      </w:pPr>
      <w:r>
        <w:rPr>
          <w:rFonts w:hint="eastAsia" w:ascii="微软雅黑" w:hAnsi="微软雅黑" w:eastAsia="微软雅黑"/>
          <w:color w:val="auto"/>
          <w:sz w:val="24"/>
          <w:highlight w:val="none"/>
          <w:lang w:val="en-US" w:eastAsia="zh-CN"/>
        </w:rPr>
        <w:t>8.4投标人在投标活动中提供任何虚假材料,其投标无效，并报监管部门查处；中标后发现的,中标人须依照《中华人民共和国消费者权益保护法》规定赔偿采购人，且民事赔偿并不免除违法投标人的行政与刑事责任。</w:t>
      </w:r>
    </w:p>
    <w:p>
      <w:pPr>
        <w:pStyle w:val="6"/>
        <w:spacing w:before="0" w:after="0" w:line="400" w:lineRule="exact"/>
        <w:ind w:firstLine="420" w:firstLineChars="175"/>
        <w:rPr>
          <w:rFonts w:ascii="微软雅黑" w:hAnsi="微软雅黑" w:eastAsia="微软雅黑"/>
          <w:color w:val="auto"/>
          <w:sz w:val="24"/>
          <w:highlight w:val="none"/>
          <w:lang w:val="en-US" w:eastAsia="zh-CN"/>
        </w:rPr>
      </w:pPr>
      <w:r>
        <w:rPr>
          <w:rFonts w:hint="eastAsia" w:ascii="微软雅黑" w:hAnsi="微软雅黑" w:eastAsia="微软雅黑"/>
          <w:color w:val="auto"/>
          <w:sz w:val="24"/>
          <w:highlight w:val="none"/>
          <w:lang w:val="en-US" w:eastAsia="zh-CN"/>
        </w:rPr>
        <w:t>8.5</w:t>
      </w:r>
      <w:r>
        <w:rPr>
          <w:rFonts w:ascii="微软雅黑" w:hAnsi="微软雅黑" w:eastAsia="微软雅黑"/>
          <w:color w:val="auto"/>
          <w:sz w:val="24"/>
          <w:highlight w:val="none"/>
          <w:lang w:val="en-US" w:eastAsia="zh-CN"/>
        </w:rPr>
        <w:t>在政府采购活动中，采购人员及相关人员与</w:t>
      </w:r>
      <w:r>
        <w:rPr>
          <w:rFonts w:hint="eastAsia" w:ascii="微软雅黑" w:hAnsi="微软雅黑" w:eastAsia="微软雅黑"/>
          <w:color w:val="auto"/>
          <w:sz w:val="24"/>
          <w:highlight w:val="none"/>
          <w:lang w:val="en-US" w:eastAsia="zh-CN"/>
        </w:rPr>
        <w:t>投标人</w:t>
      </w:r>
      <w:r>
        <w:rPr>
          <w:rFonts w:ascii="微软雅黑" w:hAnsi="微软雅黑" w:eastAsia="微软雅黑"/>
          <w:color w:val="auto"/>
          <w:sz w:val="24"/>
          <w:highlight w:val="none"/>
          <w:lang w:val="en-US" w:eastAsia="zh-CN"/>
        </w:rPr>
        <w:t>有下列利害关系之一的，应当回避：</w:t>
      </w:r>
    </w:p>
    <w:p>
      <w:pPr>
        <w:pStyle w:val="23"/>
        <w:snapToGrid w:val="0"/>
        <w:spacing w:line="400" w:lineRule="exact"/>
        <w:ind w:left="2" w:leftChars="1" w:firstLine="480" w:firstLineChars="200"/>
        <w:rPr>
          <w:rFonts w:ascii="微软雅黑" w:hAnsi="微软雅黑" w:eastAsia="微软雅黑"/>
          <w:b/>
          <w:color w:val="auto"/>
          <w:kern w:val="2"/>
          <w:sz w:val="24"/>
          <w:szCs w:val="24"/>
          <w:highlight w:val="none"/>
          <w:lang w:val="en-US" w:eastAsia="zh-CN"/>
        </w:rPr>
      </w:pPr>
      <w:r>
        <w:rPr>
          <w:rFonts w:ascii="微软雅黑" w:hAnsi="微软雅黑" w:eastAsia="微软雅黑"/>
          <w:b/>
          <w:color w:val="auto"/>
          <w:kern w:val="2"/>
          <w:sz w:val="24"/>
          <w:szCs w:val="24"/>
          <w:highlight w:val="none"/>
          <w:lang w:val="en-US" w:eastAsia="zh-CN"/>
        </w:rPr>
        <w:t>（</w:t>
      </w:r>
      <w:r>
        <w:rPr>
          <w:rFonts w:hint="eastAsia" w:ascii="微软雅黑" w:hAnsi="微软雅黑" w:eastAsia="微软雅黑"/>
          <w:b/>
          <w:color w:val="auto"/>
          <w:kern w:val="2"/>
          <w:sz w:val="24"/>
          <w:szCs w:val="24"/>
          <w:highlight w:val="none"/>
          <w:lang w:val="en-US" w:eastAsia="zh-CN"/>
        </w:rPr>
        <w:t>1</w:t>
      </w:r>
      <w:r>
        <w:rPr>
          <w:rFonts w:ascii="微软雅黑" w:hAnsi="微软雅黑" w:eastAsia="微软雅黑"/>
          <w:b/>
          <w:color w:val="auto"/>
          <w:kern w:val="2"/>
          <w:sz w:val="24"/>
          <w:szCs w:val="24"/>
          <w:highlight w:val="none"/>
          <w:lang w:val="en-US" w:eastAsia="zh-CN"/>
        </w:rPr>
        <w:t>）参加采购活动前3年内与</w:t>
      </w:r>
      <w:r>
        <w:rPr>
          <w:rFonts w:hint="eastAsia" w:ascii="微软雅黑" w:hAnsi="微软雅黑" w:eastAsia="微软雅黑"/>
          <w:b/>
          <w:color w:val="auto"/>
          <w:kern w:val="2"/>
          <w:sz w:val="24"/>
          <w:szCs w:val="24"/>
          <w:highlight w:val="none"/>
          <w:lang w:val="en-US" w:eastAsia="zh-CN"/>
        </w:rPr>
        <w:t>投标人</w:t>
      </w:r>
      <w:r>
        <w:rPr>
          <w:rFonts w:ascii="微软雅黑" w:hAnsi="微软雅黑" w:eastAsia="微软雅黑"/>
          <w:b/>
          <w:color w:val="auto"/>
          <w:kern w:val="2"/>
          <w:sz w:val="24"/>
          <w:szCs w:val="24"/>
          <w:highlight w:val="none"/>
          <w:lang w:val="en-US" w:eastAsia="zh-CN"/>
        </w:rPr>
        <w:t>存在劳动关系；</w:t>
      </w:r>
    </w:p>
    <w:p>
      <w:pPr>
        <w:pStyle w:val="23"/>
        <w:snapToGrid w:val="0"/>
        <w:spacing w:line="400" w:lineRule="exact"/>
        <w:ind w:left="2" w:leftChars="1" w:firstLine="480" w:firstLineChars="200"/>
        <w:rPr>
          <w:rFonts w:ascii="微软雅黑" w:hAnsi="微软雅黑" w:eastAsia="微软雅黑"/>
          <w:b/>
          <w:color w:val="auto"/>
          <w:kern w:val="2"/>
          <w:sz w:val="24"/>
          <w:szCs w:val="24"/>
          <w:highlight w:val="none"/>
          <w:lang w:val="en-US" w:eastAsia="zh-CN"/>
        </w:rPr>
      </w:pPr>
      <w:r>
        <w:rPr>
          <w:rFonts w:ascii="微软雅黑" w:hAnsi="微软雅黑" w:eastAsia="微软雅黑"/>
          <w:b/>
          <w:color w:val="auto"/>
          <w:kern w:val="2"/>
          <w:sz w:val="24"/>
          <w:szCs w:val="24"/>
          <w:highlight w:val="none"/>
          <w:lang w:val="en-US" w:eastAsia="zh-CN"/>
        </w:rPr>
        <w:t>（</w:t>
      </w:r>
      <w:r>
        <w:rPr>
          <w:rFonts w:hint="eastAsia" w:ascii="微软雅黑" w:hAnsi="微软雅黑" w:eastAsia="微软雅黑"/>
          <w:b/>
          <w:color w:val="auto"/>
          <w:kern w:val="2"/>
          <w:sz w:val="24"/>
          <w:szCs w:val="24"/>
          <w:highlight w:val="none"/>
          <w:lang w:val="en-US" w:eastAsia="zh-CN"/>
        </w:rPr>
        <w:t>2</w:t>
      </w:r>
      <w:r>
        <w:rPr>
          <w:rFonts w:ascii="微软雅黑" w:hAnsi="微软雅黑" w:eastAsia="微软雅黑"/>
          <w:b/>
          <w:color w:val="auto"/>
          <w:kern w:val="2"/>
          <w:sz w:val="24"/>
          <w:szCs w:val="24"/>
          <w:highlight w:val="none"/>
          <w:lang w:val="en-US" w:eastAsia="zh-CN"/>
        </w:rPr>
        <w:t>）参加采购活动前3年内担任</w:t>
      </w:r>
      <w:r>
        <w:rPr>
          <w:rFonts w:hint="eastAsia" w:ascii="微软雅黑" w:hAnsi="微软雅黑" w:eastAsia="微软雅黑"/>
          <w:b/>
          <w:color w:val="auto"/>
          <w:kern w:val="2"/>
          <w:sz w:val="24"/>
          <w:szCs w:val="24"/>
          <w:highlight w:val="none"/>
          <w:lang w:val="en-US" w:eastAsia="zh-CN"/>
        </w:rPr>
        <w:t>投标人</w:t>
      </w:r>
      <w:r>
        <w:rPr>
          <w:rFonts w:ascii="微软雅黑" w:hAnsi="微软雅黑" w:eastAsia="微软雅黑"/>
          <w:b/>
          <w:color w:val="auto"/>
          <w:kern w:val="2"/>
          <w:sz w:val="24"/>
          <w:szCs w:val="24"/>
          <w:highlight w:val="none"/>
          <w:lang w:val="en-US" w:eastAsia="zh-CN"/>
        </w:rPr>
        <w:t>的董事、监事；</w:t>
      </w:r>
    </w:p>
    <w:p>
      <w:pPr>
        <w:pStyle w:val="23"/>
        <w:snapToGrid w:val="0"/>
        <w:spacing w:line="400" w:lineRule="exact"/>
        <w:ind w:left="2" w:leftChars="1" w:firstLine="480" w:firstLineChars="200"/>
        <w:rPr>
          <w:rFonts w:ascii="微软雅黑" w:hAnsi="微软雅黑" w:eastAsia="微软雅黑"/>
          <w:b/>
          <w:color w:val="auto"/>
          <w:kern w:val="2"/>
          <w:sz w:val="24"/>
          <w:szCs w:val="24"/>
          <w:highlight w:val="none"/>
          <w:lang w:val="en-US" w:eastAsia="zh-CN"/>
        </w:rPr>
      </w:pPr>
      <w:r>
        <w:rPr>
          <w:rFonts w:ascii="微软雅黑" w:hAnsi="微软雅黑" w:eastAsia="微软雅黑"/>
          <w:b/>
          <w:color w:val="auto"/>
          <w:kern w:val="2"/>
          <w:sz w:val="24"/>
          <w:szCs w:val="24"/>
          <w:highlight w:val="none"/>
          <w:lang w:val="en-US" w:eastAsia="zh-CN"/>
        </w:rPr>
        <w:t>（</w:t>
      </w:r>
      <w:r>
        <w:rPr>
          <w:rFonts w:hint="eastAsia" w:ascii="微软雅黑" w:hAnsi="微软雅黑" w:eastAsia="微软雅黑"/>
          <w:b/>
          <w:color w:val="auto"/>
          <w:kern w:val="2"/>
          <w:sz w:val="24"/>
          <w:szCs w:val="24"/>
          <w:highlight w:val="none"/>
          <w:lang w:val="en-US" w:eastAsia="zh-CN"/>
        </w:rPr>
        <w:t>3</w:t>
      </w:r>
      <w:r>
        <w:rPr>
          <w:rFonts w:ascii="微软雅黑" w:hAnsi="微软雅黑" w:eastAsia="微软雅黑"/>
          <w:b/>
          <w:color w:val="auto"/>
          <w:kern w:val="2"/>
          <w:sz w:val="24"/>
          <w:szCs w:val="24"/>
          <w:highlight w:val="none"/>
          <w:lang w:val="en-US" w:eastAsia="zh-CN"/>
        </w:rPr>
        <w:t>）参加采购活动前3年内是</w:t>
      </w:r>
      <w:r>
        <w:rPr>
          <w:rFonts w:hint="eastAsia" w:ascii="微软雅黑" w:hAnsi="微软雅黑" w:eastAsia="微软雅黑"/>
          <w:b/>
          <w:color w:val="auto"/>
          <w:kern w:val="2"/>
          <w:sz w:val="24"/>
          <w:szCs w:val="24"/>
          <w:highlight w:val="none"/>
          <w:lang w:val="en-US" w:eastAsia="zh-CN"/>
        </w:rPr>
        <w:t>投标人</w:t>
      </w:r>
      <w:r>
        <w:rPr>
          <w:rFonts w:ascii="微软雅黑" w:hAnsi="微软雅黑" w:eastAsia="微软雅黑"/>
          <w:b/>
          <w:color w:val="auto"/>
          <w:kern w:val="2"/>
          <w:sz w:val="24"/>
          <w:szCs w:val="24"/>
          <w:highlight w:val="none"/>
          <w:lang w:val="en-US" w:eastAsia="zh-CN"/>
        </w:rPr>
        <w:t>的控股股东或者实际控制人；</w:t>
      </w:r>
    </w:p>
    <w:p>
      <w:pPr>
        <w:pStyle w:val="23"/>
        <w:snapToGrid w:val="0"/>
        <w:spacing w:line="400" w:lineRule="exact"/>
        <w:ind w:left="2" w:leftChars="1" w:firstLine="480" w:firstLineChars="200"/>
        <w:rPr>
          <w:rFonts w:ascii="微软雅黑" w:hAnsi="微软雅黑" w:eastAsia="微软雅黑"/>
          <w:b/>
          <w:color w:val="auto"/>
          <w:kern w:val="2"/>
          <w:sz w:val="24"/>
          <w:szCs w:val="24"/>
          <w:highlight w:val="none"/>
          <w:lang w:val="en-US" w:eastAsia="zh-CN"/>
        </w:rPr>
      </w:pPr>
      <w:r>
        <w:rPr>
          <w:rFonts w:ascii="微软雅黑" w:hAnsi="微软雅黑" w:eastAsia="微软雅黑"/>
          <w:b/>
          <w:color w:val="auto"/>
          <w:kern w:val="2"/>
          <w:sz w:val="24"/>
          <w:szCs w:val="24"/>
          <w:highlight w:val="none"/>
          <w:lang w:val="en-US" w:eastAsia="zh-CN"/>
        </w:rPr>
        <w:t>（</w:t>
      </w:r>
      <w:r>
        <w:rPr>
          <w:rFonts w:hint="eastAsia" w:ascii="微软雅黑" w:hAnsi="微软雅黑" w:eastAsia="微软雅黑"/>
          <w:b/>
          <w:color w:val="auto"/>
          <w:kern w:val="2"/>
          <w:sz w:val="24"/>
          <w:szCs w:val="24"/>
          <w:highlight w:val="none"/>
          <w:lang w:val="en-US" w:eastAsia="zh-CN"/>
        </w:rPr>
        <w:t>4</w:t>
      </w:r>
      <w:r>
        <w:rPr>
          <w:rFonts w:ascii="微软雅黑" w:hAnsi="微软雅黑" w:eastAsia="微软雅黑"/>
          <w:b/>
          <w:color w:val="auto"/>
          <w:kern w:val="2"/>
          <w:sz w:val="24"/>
          <w:szCs w:val="24"/>
          <w:highlight w:val="none"/>
          <w:lang w:val="en-US" w:eastAsia="zh-CN"/>
        </w:rPr>
        <w:t>）与</w:t>
      </w:r>
      <w:r>
        <w:rPr>
          <w:rFonts w:hint="eastAsia" w:ascii="微软雅黑" w:hAnsi="微软雅黑" w:eastAsia="微软雅黑"/>
          <w:b/>
          <w:color w:val="auto"/>
          <w:kern w:val="2"/>
          <w:sz w:val="24"/>
          <w:szCs w:val="24"/>
          <w:highlight w:val="none"/>
          <w:lang w:val="en-US" w:eastAsia="zh-CN"/>
        </w:rPr>
        <w:t>投标人</w:t>
      </w:r>
      <w:r>
        <w:rPr>
          <w:rFonts w:ascii="微软雅黑" w:hAnsi="微软雅黑" w:eastAsia="微软雅黑"/>
          <w:b/>
          <w:color w:val="auto"/>
          <w:kern w:val="2"/>
          <w:sz w:val="24"/>
          <w:szCs w:val="24"/>
          <w:highlight w:val="none"/>
          <w:lang w:val="en-US" w:eastAsia="zh-CN"/>
        </w:rPr>
        <w:t>的法定代表人（负责人或自然人）或者负责人有夫妻、直系血亲、三代以内旁系血亲或者近姻亲关系；</w:t>
      </w:r>
    </w:p>
    <w:p>
      <w:pPr>
        <w:pStyle w:val="23"/>
        <w:snapToGrid w:val="0"/>
        <w:spacing w:line="400" w:lineRule="exact"/>
        <w:ind w:left="2" w:leftChars="1" w:firstLine="480" w:firstLineChars="200"/>
        <w:rPr>
          <w:rFonts w:ascii="微软雅黑" w:hAnsi="微软雅黑" w:eastAsia="微软雅黑"/>
          <w:b/>
          <w:color w:val="auto"/>
          <w:kern w:val="2"/>
          <w:sz w:val="24"/>
          <w:szCs w:val="24"/>
          <w:highlight w:val="none"/>
          <w:lang w:val="en-US" w:eastAsia="zh-CN"/>
        </w:rPr>
      </w:pPr>
      <w:r>
        <w:rPr>
          <w:rFonts w:ascii="微软雅黑" w:hAnsi="微软雅黑" w:eastAsia="微软雅黑"/>
          <w:b/>
          <w:color w:val="auto"/>
          <w:kern w:val="2"/>
          <w:sz w:val="24"/>
          <w:szCs w:val="24"/>
          <w:highlight w:val="none"/>
          <w:lang w:val="en-US" w:eastAsia="zh-CN"/>
        </w:rPr>
        <w:t>（</w:t>
      </w:r>
      <w:r>
        <w:rPr>
          <w:rFonts w:hint="eastAsia" w:ascii="微软雅黑" w:hAnsi="微软雅黑" w:eastAsia="微软雅黑"/>
          <w:b/>
          <w:color w:val="auto"/>
          <w:kern w:val="2"/>
          <w:sz w:val="24"/>
          <w:szCs w:val="24"/>
          <w:highlight w:val="none"/>
          <w:lang w:val="en-US" w:eastAsia="zh-CN"/>
        </w:rPr>
        <w:t>5</w:t>
      </w:r>
      <w:r>
        <w:rPr>
          <w:rFonts w:ascii="微软雅黑" w:hAnsi="微软雅黑" w:eastAsia="微软雅黑"/>
          <w:b/>
          <w:color w:val="auto"/>
          <w:kern w:val="2"/>
          <w:sz w:val="24"/>
          <w:szCs w:val="24"/>
          <w:highlight w:val="none"/>
          <w:lang w:val="en-US" w:eastAsia="zh-CN"/>
        </w:rPr>
        <w:t>）与</w:t>
      </w:r>
      <w:r>
        <w:rPr>
          <w:rFonts w:hint="eastAsia" w:ascii="微软雅黑" w:hAnsi="微软雅黑" w:eastAsia="微软雅黑"/>
          <w:b/>
          <w:color w:val="auto"/>
          <w:kern w:val="2"/>
          <w:sz w:val="24"/>
          <w:szCs w:val="24"/>
          <w:highlight w:val="none"/>
          <w:lang w:val="en-US" w:eastAsia="zh-CN"/>
        </w:rPr>
        <w:t>投标人</w:t>
      </w:r>
      <w:r>
        <w:rPr>
          <w:rFonts w:ascii="微软雅黑" w:hAnsi="微软雅黑" w:eastAsia="微软雅黑"/>
          <w:b/>
          <w:color w:val="auto"/>
          <w:kern w:val="2"/>
          <w:sz w:val="24"/>
          <w:szCs w:val="24"/>
          <w:highlight w:val="none"/>
          <w:lang w:val="en-US" w:eastAsia="zh-CN"/>
        </w:rPr>
        <w:t>有其他可能影响政府采购活动公平、公正进行的关系。</w:t>
      </w:r>
    </w:p>
    <w:p>
      <w:pPr>
        <w:pStyle w:val="23"/>
        <w:snapToGrid w:val="0"/>
        <w:spacing w:line="400" w:lineRule="exact"/>
        <w:ind w:left="2" w:leftChars="1" w:firstLine="480" w:firstLineChars="200"/>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投标人</w:t>
      </w:r>
      <w:r>
        <w:rPr>
          <w:rFonts w:ascii="微软雅黑" w:hAnsi="微软雅黑" w:eastAsia="微软雅黑"/>
          <w:b/>
          <w:color w:val="auto"/>
          <w:kern w:val="2"/>
          <w:sz w:val="24"/>
          <w:szCs w:val="24"/>
          <w:highlight w:val="none"/>
          <w:lang w:val="en-US" w:eastAsia="zh-CN"/>
        </w:rPr>
        <w:t>认为采购人员及相关人员与其他</w:t>
      </w:r>
      <w:r>
        <w:rPr>
          <w:rFonts w:hint="eastAsia" w:ascii="微软雅黑" w:hAnsi="微软雅黑" w:eastAsia="微软雅黑"/>
          <w:b/>
          <w:color w:val="auto"/>
          <w:kern w:val="2"/>
          <w:sz w:val="24"/>
          <w:szCs w:val="24"/>
          <w:highlight w:val="none"/>
          <w:lang w:val="en-US" w:eastAsia="zh-CN"/>
        </w:rPr>
        <w:t>投标人</w:t>
      </w:r>
      <w:r>
        <w:rPr>
          <w:rFonts w:ascii="微软雅黑" w:hAnsi="微软雅黑" w:eastAsia="微软雅黑"/>
          <w:b/>
          <w:color w:val="auto"/>
          <w:kern w:val="2"/>
          <w:sz w:val="24"/>
          <w:szCs w:val="24"/>
          <w:highlight w:val="none"/>
          <w:lang w:val="en-US" w:eastAsia="zh-CN"/>
        </w:rPr>
        <w:t>有利害关系的，可以向采购人或者采购代理机构书面提出回避申请，并说明理由。采购人或者采购代理机构应当及时询问被申请回避人员，有利害关系的被申请回避人员应当回避。</w:t>
      </w:r>
    </w:p>
    <w:p>
      <w:pPr>
        <w:pStyle w:val="6"/>
        <w:spacing w:before="0" w:after="0" w:line="400" w:lineRule="exact"/>
        <w:ind w:left="420" w:leftChars="200"/>
        <w:rPr>
          <w:rFonts w:hint="eastAsia" w:ascii="微软雅黑" w:hAnsi="微软雅黑" w:eastAsia="微软雅黑"/>
          <w:color w:val="auto"/>
          <w:sz w:val="24"/>
          <w:highlight w:val="none"/>
          <w:lang w:val="en-US" w:eastAsia="zh-CN"/>
        </w:rPr>
      </w:pPr>
      <w:r>
        <w:rPr>
          <w:rFonts w:hint="eastAsia" w:ascii="微软雅黑" w:hAnsi="微软雅黑" w:eastAsia="微软雅黑"/>
          <w:color w:val="auto"/>
          <w:sz w:val="24"/>
          <w:highlight w:val="none"/>
          <w:lang w:val="en-US" w:eastAsia="zh-CN"/>
        </w:rPr>
        <w:t>8.6有下列情形之一的视为投标人相互串通投标，投标文件将被视为无效：</w:t>
      </w:r>
    </w:p>
    <w:p>
      <w:pPr>
        <w:pStyle w:val="23"/>
        <w:snapToGrid w:val="0"/>
        <w:spacing w:line="400" w:lineRule="exact"/>
        <w:ind w:left="2" w:leftChars="1" w:firstLine="480" w:firstLineChars="200"/>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（1）不同投标人的投标文件由同一单位或者个人编制；或不同投标人报名的IP地址一致的；</w:t>
      </w:r>
    </w:p>
    <w:p>
      <w:pPr>
        <w:pStyle w:val="23"/>
        <w:snapToGrid w:val="0"/>
        <w:spacing w:line="400" w:lineRule="exact"/>
        <w:ind w:left="2" w:leftChars="1" w:firstLine="480" w:firstLineChars="200"/>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（2）不同投标人委托同一单位或者个人办理投标事宜；</w:t>
      </w:r>
    </w:p>
    <w:p>
      <w:pPr>
        <w:pStyle w:val="23"/>
        <w:snapToGrid w:val="0"/>
        <w:spacing w:line="400" w:lineRule="exact"/>
        <w:ind w:left="2" w:leftChars="1" w:firstLine="480" w:firstLineChars="200"/>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（3）不同的投标人的投标文件载明的项目管理员为同一个人；</w:t>
      </w:r>
    </w:p>
    <w:p>
      <w:pPr>
        <w:pStyle w:val="23"/>
        <w:snapToGrid w:val="0"/>
        <w:spacing w:line="400" w:lineRule="exact"/>
        <w:ind w:left="2" w:leftChars="1" w:firstLine="480" w:firstLineChars="200"/>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（4）不同投标人的投标文件异常一致或投标报价呈规律性差异；</w:t>
      </w:r>
    </w:p>
    <w:p>
      <w:pPr>
        <w:pStyle w:val="23"/>
        <w:snapToGrid w:val="0"/>
        <w:spacing w:line="400" w:lineRule="exact"/>
        <w:ind w:left="2" w:leftChars="1" w:firstLine="480" w:firstLineChars="200"/>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（5）不同投标人的投标文件相互混装；</w:t>
      </w:r>
    </w:p>
    <w:p>
      <w:pPr>
        <w:pStyle w:val="6"/>
        <w:spacing w:before="0" w:after="0" w:line="400" w:lineRule="exact"/>
        <w:ind w:left="420" w:leftChars="200"/>
        <w:rPr>
          <w:rFonts w:hint="eastAsia" w:ascii="微软雅黑" w:hAnsi="微软雅黑" w:eastAsia="微软雅黑"/>
          <w:color w:val="auto"/>
          <w:sz w:val="24"/>
          <w:highlight w:val="none"/>
          <w:lang w:val="en-US" w:eastAsia="zh-CN"/>
        </w:rPr>
      </w:pPr>
      <w:r>
        <w:rPr>
          <w:rFonts w:hint="eastAsia" w:ascii="微软雅黑" w:hAnsi="微软雅黑" w:eastAsia="微软雅黑"/>
          <w:color w:val="auto"/>
          <w:sz w:val="24"/>
          <w:highlight w:val="none"/>
          <w:lang w:val="en-US" w:eastAsia="zh-CN"/>
        </w:rPr>
        <w:t>8.7供应商有下列情形之一的，属于恶意串通行为：</w:t>
      </w:r>
    </w:p>
    <w:p>
      <w:pPr>
        <w:pStyle w:val="23"/>
        <w:snapToGrid w:val="0"/>
        <w:spacing w:line="400" w:lineRule="exact"/>
        <w:ind w:left="2" w:leftChars="1" w:firstLine="480" w:firstLineChars="200"/>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（1）供应商直接或者间接从采购人或者采购代理机构处获得其他供应商的相关信息并修改其投标文件或者响应文件：</w:t>
      </w:r>
    </w:p>
    <w:p>
      <w:pPr>
        <w:pStyle w:val="23"/>
        <w:snapToGrid w:val="0"/>
        <w:spacing w:line="400" w:lineRule="exact"/>
        <w:ind w:left="2" w:leftChars="1" w:firstLine="480" w:firstLineChars="200"/>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（2）供应商按照采购人或者采购代理机构的授意撤换、修改投标文件或者响应文件；</w:t>
      </w:r>
    </w:p>
    <w:p>
      <w:pPr>
        <w:pStyle w:val="23"/>
        <w:snapToGrid w:val="0"/>
        <w:spacing w:line="400" w:lineRule="exact"/>
        <w:ind w:left="2" w:leftChars="1" w:firstLine="480" w:firstLineChars="200"/>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（3）供应商之间协商报价、技术方案等投标文件或者响应文件的实质性内容；</w:t>
      </w:r>
    </w:p>
    <w:p>
      <w:pPr>
        <w:pStyle w:val="23"/>
        <w:snapToGrid w:val="0"/>
        <w:spacing w:line="400" w:lineRule="exact"/>
        <w:ind w:left="2" w:leftChars="1" w:firstLine="480" w:firstLineChars="200"/>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（4）属于同一集团、协会、商会等组织成员的供应商按照该组织要求协同参加政府采购活动；</w:t>
      </w:r>
    </w:p>
    <w:p>
      <w:pPr>
        <w:pStyle w:val="23"/>
        <w:snapToGrid w:val="0"/>
        <w:spacing w:line="400" w:lineRule="exact"/>
        <w:ind w:left="2" w:leftChars="1" w:firstLine="480" w:firstLineChars="200"/>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（5）供应商之间事先约定一致抬高或者压低投标报价,或者在招标项目中事先约定轮流以高价位或者低价位中标,或者事先约定由某一特定供应商中标,然后再参加投标；</w:t>
      </w:r>
    </w:p>
    <w:p>
      <w:pPr>
        <w:pStyle w:val="23"/>
        <w:snapToGrid w:val="0"/>
        <w:spacing w:line="400" w:lineRule="exact"/>
        <w:ind w:left="2" w:leftChars="1" w:firstLine="480" w:firstLineChars="200"/>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（6）供应商之间商定部分供应商放弃参加政府采购活动或者放弃中标；</w:t>
      </w:r>
    </w:p>
    <w:p>
      <w:pPr>
        <w:pStyle w:val="23"/>
        <w:snapToGrid w:val="0"/>
        <w:spacing w:line="400" w:lineRule="exact"/>
        <w:ind w:left="2" w:leftChars="1" w:firstLine="480" w:firstLineChars="200"/>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（7）供应商与采购人或者采购代理机构之间、供应商相互之间，为谋求特定供应商中标或者排斥其他供应商的其他串通行为。</w:t>
      </w:r>
    </w:p>
    <w:p>
      <w:pPr>
        <w:pStyle w:val="6"/>
        <w:spacing w:before="0" w:after="0" w:line="400" w:lineRule="exact"/>
        <w:ind w:left="420" w:leftChars="200"/>
        <w:rPr>
          <w:rFonts w:hint="eastAsia" w:ascii="微软雅黑" w:hAnsi="微软雅黑" w:eastAsia="微软雅黑"/>
          <w:color w:val="auto"/>
          <w:sz w:val="24"/>
          <w:highlight w:val="none"/>
          <w:lang w:val="en-US" w:eastAsia="zh-CN"/>
        </w:rPr>
      </w:pPr>
      <w:r>
        <w:rPr>
          <w:rFonts w:hint="eastAsia" w:ascii="微软雅黑" w:hAnsi="微软雅黑" w:eastAsia="微软雅黑"/>
          <w:color w:val="auto"/>
          <w:sz w:val="24"/>
          <w:highlight w:val="none"/>
          <w:lang w:val="en-US" w:eastAsia="zh-CN"/>
        </w:rPr>
        <w:t>8.8关联供应商不得参加同一合同项下政府采购活动，否则投标文件将被视为无效：</w:t>
      </w:r>
    </w:p>
    <w:p>
      <w:pPr>
        <w:pStyle w:val="23"/>
        <w:snapToGrid w:val="0"/>
        <w:spacing w:line="400" w:lineRule="exact"/>
        <w:ind w:left="2" w:leftChars="1" w:firstLine="480" w:firstLineChars="200"/>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（1）单位负责人为同一人或者存在直接控股、管理关系的不同的供应商，不得参加同一合同项下的政府采购活动；</w:t>
      </w:r>
    </w:p>
    <w:p>
      <w:pPr>
        <w:pStyle w:val="23"/>
        <w:snapToGrid w:val="0"/>
        <w:spacing w:line="400" w:lineRule="exact"/>
        <w:ind w:left="2" w:leftChars="1" w:firstLine="480" w:firstLineChars="200"/>
        <w:rPr>
          <w:rFonts w:hint="eastAsia" w:hAnsi="宋体"/>
          <w:color w:val="auto"/>
          <w:sz w:val="21"/>
          <w:highlight w:val="none"/>
          <w:lang w:eastAsia="zh-CN"/>
        </w:rPr>
      </w:pPr>
      <w:r>
        <w:rPr>
          <w:rFonts w:hint="eastAsia" w:ascii="微软雅黑" w:hAnsi="微软雅黑" w:eastAsia="微软雅黑"/>
          <w:b/>
          <w:color w:val="auto"/>
          <w:kern w:val="2"/>
          <w:sz w:val="24"/>
          <w:szCs w:val="24"/>
          <w:highlight w:val="none"/>
          <w:lang w:val="en-US" w:eastAsia="zh-CN"/>
        </w:rPr>
        <w:t>（2）生产厂商授权给供应商后自己不得参加同一合同项下的政府采购活动；生产厂商对同一品牌同一型号的货物，仅能委托一个代理商参加投标。</w:t>
      </w:r>
    </w:p>
    <w:p>
      <w:pPr>
        <w:pStyle w:val="6"/>
        <w:spacing w:before="0" w:after="0" w:line="400" w:lineRule="exact"/>
        <w:ind w:left="420" w:leftChars="200"/>
        <w:rPr>
          <w:rFonts w:hint="eastAsia" w:ascii="宋体" w:hAnsi="宋体"/>
          <w:color w:val="auto"/>
          <w:sz w:val="21"/>
          <w:szCs w:val="21"/>
          <w:highlight w:val="none"/>
          <w:lang w:eastAsia="zh-CN"/>
        </w:rPr>
      </w:pPr>
      <w:bookmarkStart w:id="97" w:name="_Toc254970533"/>
      <w:bookmarkStart w:id="98" w:name="_Toc254970674"/>
      <w:r>
        <w:rPr>
          <w:rFonts w:hint="eastAsia" w:ascii="宋体" w:hAnsi="宋体"/>
          <w:color w:val="auto"/>
          <w:sz w:val="21"/>
          <w:szCs w:val="21"/>
          <w:highlight w:val="none"/>
          <w:lang w:eastAsia="zh-CN"/>
        </w:rPr>
        <w:t>9.质疑和投诉</w:t>
      </w:r>
      <w:bookmarkEnd w:id="97"/>
      <w:bookmarkEnd w:id="98"/>
    </w:p>
    <w:p>
      <w:pPr>
        <w:pStyle w:val="6"/>
        <w:spacing w:before="0" w:after="0" w:line="400" w:lineRule="exact"/>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lang w:eastAsia="zh-CN"/>
        </w:rPr>
        <w:t xml:space="preserve"> 9.1投标人认为招标文件、采购过程或中标结果使自己的合法权益受到损害的，应当在知道或者应知其权益受到损害之日起七个工作日内，以书面形式向采购人、采购代理机构提出质疑。权益受到损害之日是指：</w:t>
      </w:r>
      <w:r>
        <w:rPr>
          <w:rFonts w:hint="eastAsia" w:ascii="宋体" w:hAnsi="宋体"/>
          <w:b w:val="0"/>
          <w:color w:val="auto"/>
          <w:sz w:val="21"/>
          <w:szCs w:val="21"/>
          <w:highlight w:val="none"/>
        </w:rPr>
        <w:t xml:space="preserve"> </w:t>
      </w:r>
    </w:p>
    <w:p>
      <w:pPr>
        <w:pStyle w:val="23"/>
        <w:snapToGrid w:val="0"/>
        <w:spacing w:line="400" w:lineRule="exact"/>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pPr>
        <w:pStyle w:val="23"/>
        <w:snapToGrid w:val="0"/>
        <w:spacing w:line="400" w:lineRule="exact"/>
        <w:ind w:firstLine="420" w:firstLineChars="200"/>
        <w:rPr>
          <w:rFonts w:hint="eastAsia"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pPr>
        <w:pStyle w:val="23"/>
        <w:snapToGrid w:val="0"/>
        <w:spacing w:line="400" w:lineRule="exact"/>
        <w:ind w:firstLine="420" w:firstLineChars="200"/>
        <w:rPr>
          <w:rFonts w:hint="eastAsia"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pPr>
        <w:pStyle w:val="23"/>
        <w:snapToGrid w:val="0"/>
        <w:spacing w:line="400" w:lineRule="exact"/>
        <w:ind w:firstLine="420" w:firstLineChars="200"/>
        <w:rPr>
          <w:rFonts w:hint="eastAsia" w:hAnsi="宋体"/>
          <w:bCs/>
          <w:color w:val="auto"/>
          <w:sz w:val="21"/>
          <w:highlight w:val="none"/>
        </w:rPr>
      </w:pPr>
      <w:r>
        <w:rPr>
          <w:rFonts w:hint="eastAsia" w:hAnsi="宋体"/>
          <w:color w:val="auto"/>
          <w:sz w:val="21"/>
          <w:highlight w:val="none"/>
        </w:rPr>
        <w:t>投标人对采购人、采购代理机构的质疑答复不满意，或者采购人、采购代理机构未在规定时间内作出答复的，可以在答复期满后十五个工作日内向同级政府采购监管部门投诉。</w:t>
      </w:r>
    </w:p>
    <w:p>
      <w:pPr>
        <w:pStyle w:val="6"/>
        <w:spacing w:before="0" w:after="0" w:line="400" w:lineRule="exact"/>
        <w:ind w:firstLine="315" w:firstLineChars="150"/>
        <w:rPr>
          <w:rFonts w:hint="eastAsia" w:ascii="宋体" w:hAnsi="宋体"/>
          <w:b w:val="0"/>
          <w:color w:val="auto"/>
          <w:sz w:val="21"/>
          <w:szCs w:val="21"/>
          <w:highlight w:val="none"/>
          <w:lang w:eastAsia="zh-CN"/>
        </w:rPr>
      </w:pPr>
      <w:bookmarkStart w:id="99" w:name="_9.2质疑、投诉应当采用书面形式，质疑函、投诉书均应明确阐述招标文件、"/>
      <w:bookmarkEnd w:id="99"/>
      <w:r>
        <w:rPr>
          <w:rFonts w:hint="eastAsia" w:ascii="宋体" w:hAnsi="宋体"/>
          <w:b w:val="0"/>
          <w:color w:val="auto"/>
          <w:sz w:val="21"/>
          <w:szCs w:val="21"/>
          <w:highlight w:val="none"/>
          <w:lang w:eastAsia="zh-CN"/>
        </w:rPr>
        <w:t xml:space="preserve"> 9.2质疑、投诉应当采用书面形式，质疑函、投诉书均应明确阐述招标文件、采购过程或中标结果中使自己合法权益受到损害的实质性内容，提供相关事实、法律依据和证据及其来源或线索，便于有关单位调查、答复和处理。</w:t>
      </w:r>
    </w:p>
    <w:p>
      <w:pPr>
        <w:pStyle w:val="23"/>
        <w:snapToGrid w:val="0"/>
        <w:spacing w:line="400" w:lineRule="exact"/>
        <w:ind w:firstLine="420" w:firstLineChars="200"/>
        <w:rPr>
          <w:rFonts w:hAnsi="宋体"/>
          <w:bCs/>
          <w:color w:val="auto"/>
          <w:sz w:val="21"/>
          <w:highlight w:val="none"/>
        </w:rPr>
      </w:pPr>
      <w:r>
        <w:rPr>
          <w:rFonts w:hAnsi="宋体"/>
          <w:bCs/>
          <w:color w:val="auto"/>
          <w:sz w:val="21"/>
          <w:highlight w:val="none"/>
        </w:rPr>
        <w:t>供应商提出质疑应当提交质疑函和必要的证明材料</w:t>
      </w:r>
      <w:r>
        <w:rPr>
          <w:rFonts w:hint="eastAsia" w:hAnsi="宋体"/>
          <w:bCs/>
          <w:color w:val="auto"/>
          <w:sz w:val="21"/>
          <w:highlight w:val="none"/>
        </w:rPr>
        <w:t>，</w:t>
      </w:r>
      <w:r>
        <w:rPr>
          <w:rFonts w:hAnsi="宋体"/>
          <w:bCs/>
          <w:color w:val="auto"/>
          <w:sz w:val="21"/>
          <w:highlight w:val="none"/>
        </w:rPr>
        <w:t>针对同一采购程序环节的质疑</w:t>
      </w:r>
      <w:r>
        <w:rPr>
          <w:rFonts w:hint="eastAsia" w:hAnsi="宋体"/>
          <w:bCs/>
          <w:color w:val="auto"/>
          <w:sz w:val="21"/>
          <w:highlight w:val="none"/>
        </w:rPr>
        <w:t>必须</w:t>
      </w:r>
      <w:r>
        <w:rPr>
          <w:rFonts w:hAnsi="宋体"/>
          <w:bCs/>
          <w:color w:val="auto"/>
          <w:sz w:val="21"/>
          <w:highlight w:val="none"/>
        </w:rPr>
        <w:t>在法定质疑期内一次性提出。质疑函应当包括下列内容：</w:t>
      </w:r>
    </w:p>
    <w:p>
      <w:pPr>
        <w:pStyle w:val="23"/>
        <w:snapToGrid w:val="0"/>
        <w:spacing w:line="400" w:lineRule="exact"/>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pPr>
        <w:pStyle w:val="23"/>
        <w:snapToGrid w:val="0"/>
        <w:spacing w:line="400" w:lineRule="exact"/>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pPr>
        <w:pStyle w:val="23"/>
        <w:snapToGrid w:val="0"/>
        <w:spacing w:line="400" w:lineRule="exact"/>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pPr>
        <w:pStyle w:val="23"/>
        <w:snapToGrid w:val="0"/>
        <w:spacing w:line="400" w:lineRule="exact"/>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pPr>
        <w:pStyle w:val="23"/>
        <w:snapToGrid w:val="0"/>
        <w:spacing w:line="400" w:lineRule="exact"/>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pPr>
        <w:pStyle w:val="23"/>
        <w:snapToGrid w:val="0"/>
        <w:spacing w:line="400" w:lineRule="exact"/>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pPr>
        <w:pStyle w:val="23"/>
        <w:snapToGrid w:val="0"/>
        <w:spacing w:line="400" w:lineRule="exact"/>
        <w:ind w:firstLine="420" w:firstLineChars="200"/>
        <w:rPr>
          <w:rFonts w:hint="eastAsia" w:hAnsi="宋体"/>
          <w:bCs/>
          <w:color w:val="auto"/>
          <w:sz w:val="21"/>
          <w:highlight w:val="none"/>
          <w:lang w:eastAsia="zh-CN"/>
        </w:rPr>
      </w:pPr>
      <w:r>
        <w:rPr>
          <w:rFonts w:hAnsi="宋体"/>
          <w:bCs/>
          <w:color w:val="auto"/>
          <w:sz w:val="21"/>
          <w:highlight w:val="none"/>
        </w:rPr>
        <w:t>供应商为自然人的，应当由本人签字；供应商为法人或者其他组织的，应当由法定代表人（负责人或自然人）、主要负责人，或者其委托代理人签字或者盖章，并加盖公章</w:t>
      </w:r>
    </w:p>
    <w:p>
      <w:pPr>
        <w:pStyle w:val="6"/>
        <w:spacing w:before="0" w:after="0" w:line="400" w:lineRule="exact"/>
        <w:ind w:firstLine="315" w:firstLineChars="150"/>
        <w:rPr>
          <w:rFonts w:hint="eastAsia" w:hAnsi="宋体"/>
          <w:bCs/>
          <w:color w:val="auto"/>
          <w:sz w:val="21"/>
          <w:highlight w:val="none"/>
          <w:lang w:eastAsia="zh-CN"/>
        </w:rPr>
      </w:pPr>
      <w:r>
        <w:rPr>
          <w:rFonts w:hint="eastAsia" w:ascii="宋体" w:hAnsi="宋体"/>
          <w:b w:val="0"/>
          <w:color w:val="auto"/>
          <w:sz w:val="21"/>
          <w:szCs w:val="21"/>
          <w:highlight w:val="none"/>
          <w:lang w:eastAsia="zh-CN"/>
        </w:rPr>
        <w:t xml:space="preserve"> 9.3投诉的权利。质疑供应商对采购人、采购代理机构的答复不满意，或者采购人、采购代理机构未在规定时间内作出答复的，可以在答复期满后15个工作日内向本办法第六条规定的财政部门提起投诉。</w:t>
      </w:r>
    </w:p>
    <w:p>
      <w:pPr>
        <w:pStyle w:val="23"/>
        <w:snapToGrid w:val="0"/>
        <w:rPr>
          <w:rFonts w:hint="eastAsia" w:hAnsi="宋体"/>
          <w:bCs/>
          <w:color w:val="auto"/>
          <w:sz w:val="21"/>
          <w:highlight w:val="none"/>
          <w:lang w:eastAsia="zh-CN"/>
        </w:rPr>
      </w:pPr>
    </w:p>
    <w:p>
      <w:pPr>
        <w:pStyle w:val="5"/>
        <w:jc w:val="center"/>
        <w:rPr>
          <w:rFonts w:hint="eastAsia" w:ascii="宋体" w:hAnsi="宋体"/>
          <w:b w:val="0"/>
          <w:color w:val="auto"/>
          <w:sz w:val="21"/>
          <w:szCs w:val="21"/>
          <w:highlight w:val="none"/>
        </w:rPr>
      </w:pPr>
      <w:bookmarkStart w:id="100" w:name="_Toc254970534"/>
      <w:bookmarkStart w:id="101" w:name="_Toc254970675"/>
      <w:r>
        <w:rPr>
          <w:rFonts w:hint="eastAsia"/>
          <w:color w:val="auto"/>
          <w:highlight w:val="none"/>
        </w:rPr>
        <w:t>二、招标文件</w:t>
      </w:r>
      <w:bookmarkEnd w:id="100"/>
      <w:bookmarkEnd w:id="101"/>
    </w:p>
    <w:p>
      <w:pPr>
        <w:pStyle w:val="6"/>
        <w:spacing w:before="0" w:after="0" w:line="400" w:lineRule="exact"/>
        <w:ind w:left="420" w:left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10.招标文件的构成</w:t>
      </w:r>
    </w:p>
    <w:p>
      <w:pPr>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（1）招标公告；</w:t>
      </w:r>
    </w:p>
    <w:p>
      <w:pPr>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（2）采购需求； </w:t>
      </w:r>
    </w:p>
    <w:p>
      <w:pPr>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（3）投标人须知；</w:t>
      </w:r>
    </w:p>
    <w:p>
      <w:pPr>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（4）评标方法及评标标准；</w:t>
      </w:r>
    </w:p>
    <w:p>
      <w:pPr>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（5）拟签订的合同文本；</w:t>
      </w:r>
    </w:p>
    <w:p>
      <w:pPr>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（6）投标文件格式。</w:t>
      </w:r>
    </w:p>
    <w:p>
      <w:pPr>
        <w:pStyle w:val="6"/>
        <w:spacing w:before="0" w:after="0" w:line="400" w:lineRule="exact"/>
        <w:ind w:left="420" w:left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 xml:space="preserve">11.招标文件的澄清与修改 </w:t>
      </w:r>
    </w:p>
    <w:p>
      <w:pPr>
        <w:pStyle w:val="6"/>
        <w:spacing w:before="0" w:after="0" w:line="400" w:lineRule="exact"/>
        <w:ind w:firstLine="315" w:firstLineChars="15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23"/>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Ansi="宋体"/>
          <w:color w:val="auto"/>
          <w:sz w:val="21"/>
          <w:highlight w:val="none"/>
        </w:rPr>
        <w:t>投标人必须按照桂财采【2007】65号文件第二十九条规定，在澄清或修改通知发出后</w:t>
      </w:r>
      <w:r>
        <w:rPr>
          <w:rFonts w:hint="eastAsia" w:hAnsi="宋体"/>
          <w:color w:val="auto"/>
          <w:sz w:val="21"/>
          <w:highlight w:val="none"/>
          <w:lang w:eastAsia="zh-CN"/>
        </w:rPr>
        <w:t>24</w:t>
      </w:r>
      <w:r>
        <w:rPr>
          <w:rFonts w:hAnsi="宋体"/>
          <w:color w:val="auto"/>
          <w:sz w:val="21"/>
          <w:highlight w:val="none"/>
        </w:rPr>
        <w:t>小时内以书面形式进行确认，否则视为已经收到。</w:t>
      </w:r>
    </w:p>
    <w:p>
      <w:pPr>
        <w:pStyle w:val="6"/>
        <w:spacing w:before="0" w:after="0" w:line="400" w:lineRule="exact"/>
        <w:ind w:firstLine="316" w:firstLineChars="15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 xml:space="preserve"> 11.2</w:t>
      </w:r>
      <w:r>
        <w:rPr>
          <w:rFonts w:hint="eastAsia" w:ascii="宋体" w:hAnsi="宋体"/>
          <w:color w:val="auto"/>
          <w:sz w:val="21"/>
          <w:szCs w:val="21"/>
          <w:highlight w:val="none"/>
        </w:rPr>
        <w:t>招标文件中有不一致的，有澄清的部分以最终的澄清更正内容为准；未澄清的，以投标须知前附表为准；投标须知前附表不涉及的内容，以编排在后的最后描述为准。</w:t>
      </w:r>
    </w:p>
    <w:p>
      <w:pPr>
        <w:pStyle w:val="6"/>
        <w:spacing w:before="0" w:after="0" w:line="400" w:lineRule="exact"/>
        <w:ind w:left="420" w:left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11.3招标文件的澄清或者修改都应当通过采购人或者采购代理机构以法定形式发布。</w:t>
      </w:r>
    </w:p>
    <w:p>
      <w:pPr>
        <w:pStyle w:val="23"/>
        <w:snapToGrid w:val="0"/>
        <w:ind w:firstLine="420" w:firstLineChars="200"/>
        <w:rPr>
          <w:rFonts w:hint="eastAsia" w:hAnsi="宋体"/>
          <w:color w:val="auto"/>
          <w:sz w:val="21"/>
          <w:highlight w:val="none"/>
          <w:lang w:eastAsia="zh-CN"/>
        </w:rPr>
      </w:pPr>
    </w:p>
    <w:p>
      <w:pPr>
        <w:pStyle w:val="23"/>
        <w:snapToGrid w:val="0"/>
        <w:ind w:firstLine="420" w:firstLineChars="200"/>
        <w:rPr>
          <w:rFonts w:hint="eastAsia" w:hAnsi="宋体"/>
          <w:color w:val="auto"/>
          <w:sz w:val="21"/>
          <w:highlight w:val="none"/>
          <w:lang w:eastAsia="zh-CN"/>
        </w:rPr>
      </w:pPr>
    </w:p>
    <w:p>
      <w:pPr>
        <w:pStyle w:val="5"/>
        <w:jc w:val="center"/>
        <w:rPr>
          <w:rFonts w:hint="eastAsia" w:ascii="宋体" w:hAnsi="宋体"/>
          <w:b w:val="0"/>
          <w:color w:val="auto"/>
          <w:sz w:val="21"/>
          <w:szCs w:val="21"/>
          <w:highlight w:val="none"/>
        </w:rPr>
      </w:pPr>
      <w:bookmarkStart w:id="102" w:name="_Toc254970535"/>
      <w:bookmarkStart w:id="103" w:name="_Toc254970676"/>
      <w:r>
        <w:rPr>
          <w:rFonts w:hint="eastAsia"/>
          <w:color w:val="auto"/>
          <w:highlight w:val="none"/>
        </w:rPr>
        <w:t>三、投标文件的编制</w:t>
      </w:r>
      <w:bookmarkEnd w:id="102"/>
      <w:bookmarkEnd w:id="103"/>
    </w:p>
    <w:p>
      <w:pPr>
        <w:pStyle w:val="6"/>
        <w:spacing w:before="0" w:after="0" w:line="400" w:lineRule="exact"/>
        <w:ind w:left="420" w:leftChars="200"/>
        <w:rPr>
          <w:rFonts w:hint="eastAsia" w:ascii="宋体" w:hAnsi="宋体"/>
          <w:color w:val="auto"/>
          <w:sz w:val="21"/>
          <w:szCs w:val="21"/>
          <w:highlight w:val="none"/>
          <w:lang w:eastAsia="zh-CN"/>
        </w:rPr>
      </w:pPr>
      <w:bookmarkStart w:id="104" w:name="_Toc254970536"/>
      <w:bookmarkStart w:id="105" w:name="_Toc254970677"/>
      <w:r>
        <w:rPr>
          <w:rFonts w:hint="eastAsia" w:ascii="宋体" w:hAnsi="宋体"/>
          <w:color w:val="auto"/>
          <w:sz w:val="21"/>
          <w:szCs w:val="21"/>
          <w:highlight w:val="none"/>
          <w:lang w:eastAsia="zh-CN"/>
        </w:rPr>
        <w:t>12.投标文件的编制原则</w:t>
      </w:r>
    </w:p>
    <w:p>
      <w:pPr>
        <w:snapToGrid w:val="0"/>
        <w:spacing w:line="400" w:lineRule="exact"/>
        <w:ind w:firstLine="420"/>
        <w:jc w:val="left"/>
        <w:rPr>
          <w:rFonts w:hint="eastAsia" w:ascii="宋体" w:hAnsi="宋体" w:cs="Courier New"/>
          <w:color w:val="auto"/>
          <w:szCs w:val="21"/>
          <w:highlight w:val="none"/>
        </w:rPr>
      </w:pPr>
      <w:r>
        <w:rPr>
          <w:rFonts w:ascii="宋体" w:hAnsi="宋体"/>
          <w:color w:val="auto"/>
          <w:szCs w:val="21"/>
          <w:highlight w:val="none"/>
        </w:rPr>
        <w:t>投标人应当按照招标文件的要求编制投标文件。投标文件应当对招标文件提出的要求和条件作出明确响应。</w:t>
      </w:r>
    </w:p>
    <w:p>
      <w:pPr>
        <w:pStyle w:val="6"/>
        <w:spacing w:before="0" w:after="0" w:line="400" w:lineRule="exact"/>
        <w:ind w:left="420" w:left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13.投标文件的组成</w:t>
      </w:r>
      <w:bookmarkEnd w:id="104"/>
      <w:bookmarkEnd w:id="105"/>
    </w:p>
    <w:p>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投标文件由报价文件、资格证明文件、商务文件、技术文件四部分组成。</w:t>
      </w:r>
    </w:p>
    <w:p>
      <w:pPr>
        <w:pStyle w:val="6"/>
        <w:spacing w:before="0" w:after="0" w:line="400" w:lineRule="exact"/>
        <w:ind w:left="420" w:leftChars="200"/>
        <w:rPr>
          <w:rFonts w:hint="eastAsia" w:ascii="宋体" w:hAnsi="宋体"/>
          <w:b w:val="0"/>
          <w:color w:val="auto"/>
          <w:sz w:val="21"/>
          <w:szCs w:val="21"/>
          <w:highlight w:val="none"/>
          <w:lang w:eastAsia="zh-CN"/>
        </w:rPr>
      </w:pPr>
      <w:bookmarkStart w:id="106" w:name="_13.1报价文件:_具体材料见“投标人须知前附表”。"/>
      <w:bookmarkEnd w:id="106"/>
      <w:r>
        <w:rPr>
          <w:rFonts w:hint="eastAsia" w:ascii="宋体" w:hAnsi="宋体"/>
          <w:b w:val="0"/>
          <w:color w:val="auto"/>
          <w:sz w:val="21"/>
          <w:szCs w:val="21"/>
          <w:highlight w:val="none"/>
          <w:lang w:eastAsia="zh-CN"/>
        </w:rPr>
        <w:t>13</w:t>
      </w:r>
      <w:bookmarkStart w:id="107" w:name="_Hlt19632545"/>
      <w:r>
        <w:rPr>
          <w:rFonts w:hint="eastAsia" w:ascii="宋体" w:hAnsi="宋体"/>
          <w:b w:val="0"/>
          <w:color w:val="auto"/>
          <w:sz w:val="21"/>
          <w:szCs w:val="21"/>
          <w:highlight w:val="none"/>
          <w:lang w:eastAsia="zh-CN"/>
        </w:rPr>
        <w:t>.</w:t>
      </w:r>
      <w:bookmarkEnd w:id="107"/>
      <w:r>
        <w:rPr>
          <w:rFonts w:hint="eastAsia" w:ascii="宋体" w:hAnsi="宋体"/>
          <w:b w:val="0"/>
          <w:color w:val="auto"/>
          <w:sz w:val="21"/>
          <w:szCs w:val="21"/>
          <w:highlight w:val="none"/>
          <w:lang w:eastAsia="zh-CN"/>
        </w:rPr>
        <w:t>1报价文件：</w:t>
      </w:r>
      <w:r>
        <w:rPr>
          <w:rFonts w:ascii="宋体" w:hAnsi="宋体"/>
          <w:b w:val="0"/>
          <w:color w:val="auto"/>
          <w:sz w:val="21"/>
          <w:szCs w:val="21"/>
          <w:highlight w:val="none"/>
          <w:lang w:eastAsia="zh-CN"/>
        </w:rPr>
        <w:t xml:space="preserve"> 具体材料见“投标人须知前附表”</w:t>
      </w:r>
      <w:r>
        <w:rPr>
          <w:rFonts w:hint="eastAsia" w:ascii="宋体" w:hAnsi="宋体"/>
          <w:b w:val="0"/>
          <w:color w:val="auto"/>
          <w:sz w:val="21"/>
          <w:szCs w:val="21"/>
          <w:highlight w:val="none"/>
          <w:lang w:eastAsia="zh-CN"/>
        </w:rPr>
        <w:t>。</w:t>
      </w:r>
    </w:p>
    <w:p>
      <w:pPr>
        <w:pStyle w:val="6"/>
        <w:spacing w:before="0" w:after="0" w:line="400" w:lineRule="exact"/>
        <w:ind w:left="420" w:leftChars="200"/>
        <w:rPr>
          <w:rFonts w:hint="eastAsia" w:ascii="宋体" w:hAnsi="宋体"/>
          <w:b w:val="0"/>
          <w:color w:val="auto"/>
          <w:sz w:val="21"/>
          <w:szCs w:val="21"/>
          <w:highlight w:val="none"/>
          <w:lang w:eastAsia="zh-CN"/>
        </w:rPr>
      </w:pPr>
      <w:bookmarkStart w:id="108" w:name="_13.2资格证明文件：具体材料见“投标人须知前附表”。"/>
      <w:bookmarkEnd w:id="108"/>
      <w:r>
        <w:rPr>
          <w:rFonts w:hint="eastAsia" w:ascii="宋体" w:hAnsi="宋体"/>
          <w:b w:val="0"/>
          <w:color w:val="auto"/>
          <w:sz w:val="21"/>
          <w:szCs w:val="21"/>
          <w:highlight w:val="none"/>
          <w:lang w:eastAsia="zh-CN"/>
        </w:rPr>
        <w:t>13.2资格证明文件：</w:t>
      </w:r>
      <w:r>
        <w:rPr>
          <w:rFonts w:ascii="宋体" w:hAnsi="宋体"/>
          <w:b w:val="0"/>
          <w:color w:val="auto"/>
          <w:sz w:val="21"/>
          <w:szCs w:val="21"/>
          <w:highlight w:val="none"/>
          <w:lang w:eastAsia="zh-CN"/>
        </w:rPr>
        <w:t>具体材料见“投标人须知前附表”</w:t>
      </w:r>
      <w:r>
        <w:rPr>
          <w:rFonts w:hint="eastAsia" w:ascii="宋体" w:hAnsi="宋体"/>
          <w:b w:val="0"/>
          <w:color w:val="auto"/>
          <w:sz w:val="21"/>
          <w:szCs w:val="21"/>
          <w:highlight w:val="none"/>
          <w:lang w:eastAsia="zh-CN"/>
        </w:rPr>
        <w:t>。</w:t>
      </w:r>
    </w:p>
    <w:p>
      <w:pPr>
        <w:pStyle w:val="6"/>
        <w:spacing w:before="0" w:after="0" w:line="400" w:lineRule="exact"/>
        <w:ind w:left="420" w:leftChars="200"/>
        <w:rPr>
          <w:rFonts w:hint="eastAsia" w:ascii="宋体" w:hAnsi="宋体"/>
          <w:b w:val="0"/>
          <w:color w:val="auto"/>
          <w:sz w:val="21"/>
          <w:szCs w:val="21"/>
          <w:highlight w:val="none"/>
          <w:lang w:eastAsia="zh-CN"/>
        </w:rPr>
      </w:pPr>
      <w:bookmarkStart w:id="109" w:name="_13.3商务文件:_具体材料见“投标人须知前附表”。"/>
      <w:bookmarkEnd w:id="109"/>
      <w:r>
        <w:rPr>
          <w:rFonts w:hint="eastAsia" w:ascii="宋体" w:hAnsi="宋体"/>
          <w:b w:val="0"/>
          <w:color w:val="auto"/>
          <w:sz w:val="21"/>
          <w:szCs w:val="21"/>
          <w:highlight w:val="none"/>
          <w:lang w:eastAsia="zh-CN"/>
        </w:rPr>
        <w:t>13.3商务文件：</w:t>
      </w:r>
      <w:r>
        <w:rPr>
          <w:rFonts w:ascii="宋体" w:hAnsi="宋体"/>
          <w:b w:val="0"/>
          <w:color w:val="auto"/>
          <w:sz w:val="21"/>
          <w:szCs w:val="21"/>
          <w:highlight w:val="none"/>
          <w:lang w:eastAsia="zh-CN"/>
        </w:rPr>
        <w:t>具体材料见“投标人须知前附表”</w:t>
      </w:r>
      <w:r>
        <w:rPr>
          <w:rFonts w:hint="eastAsia" w:ascii="宋体" w:hAnsi="宋体"/>
          <w:b w:val="0"/>
          <w:color w:val="auto"/>
          <w:sz w:val="21"/>
          <w:szCs w:val="21"/>
          <w:highlight w:val="none"/>
          <w:lang w:eastAsia="zh-CN"/>
        </w:rPr>
        <w:t>。</w:t>
      </w:r>
    </w:p>
    <w:p>
      <w:pPr>
        <w:pStyle w:val="6"/>
        <w:spacing w:before="0" w:after="0" w:line="400" w:lineRule="exact"/>
        <w:ind w:left="420" w:leftChars="200"/>
        <w:rPr>
          <w:rFonts w:hint="eastAsia" w:ascii="宋体" w:hAnsi="宋体"/>
          <w:b w:val="0"/>
          <w:color w:val="auto"/>
          <w:sz w:val="21"/>
          <w:szCs w:val="21"/>
          <w:highlight w:val="none"/>
          <w:lang w:eastAsia="zh-CN"/>
        </w:rPr>
      </w:pPr>
      <w:bookmarkStart w:id="110" w:name="_13.4技术文件：具体材料见“投标人须知前附表”。"/>
      <w:bookmarkEnd w:id="110"/>
      <w:r>
        <w:rPr>
          <w:rFonts w:hint="eastAsia" w:ascii="宋体" w:hAnsi="宋体"/>
          <w:b w:val="0"/>
          <w:color w:val="auto"/>
          <w:sz w:val="21"/>
          <w:szCs w:val="21"/>
          <w:highlight w:val="none"/>
          <w:lang w:eastAsia="zh-CN"/>
        </w:rPr>
        <w:t>13.4技术文件：</w:t>
      </w:r>
      <w:r>
        <w:rPr>
          <w:rFonts w:ascii="宋体" w:hAnsi="宋体"/>
          <w:b w:val="0"/>
          <w:color w:val="auto"/>
          <w:sz w:val="21"/>
          <w:szCs w:val="21"/>
          <w:highlight w:val="none"/>
          <w:lang w:eastAsia="zh-CN"/>
        </w:rPr>
        <w:t>具体材料见“投标人须知前附表”</w:t>
      </w:r>
      <w:r>
        <w:rPr>
          <w:rFonts w:hint="eastAsia" w:ascii="宋体" w:hAnsi="宋体"/>
          <w:b w:val="0"/>
          <w:color w:val="auto"/>
          <w:sz w:val="21"/>
          <w:szCs w:val="21"/>
          <w:highlight w:val="none"/>
          <w:lang w:eastAsia="zh-CN"/>
        </w:rPr>
        <w:t>。</w:t>
      </w:r>
    </w:p>
    <w:p>
      <w:pPr>
        <w:pStyle w:val="6"/>
        <w:spacing w:before="0" w:after="0" w:line="400" w:lineRule="exact"/>
        <w:ind w:left="420" w:leftChars="200"/>
        <w:rPr>
          <w:rFonts w:hint="eastAsia" w:ascii="宋体" w:hAnsi="宋体"/>
          <w:b w:val="0"/>
          <w:color w:val="auto"/>
          <w:sz w:val="21"/>
          <w:szCs w:val="21"/>
          <w:highlight w:val="none"/>
          <w:lang w:eastAsia="zh-CN"/>
        </w:rPr>
      </w:pPr>
      <w:bookmarkStart w:id="111" w:name="_13.5投标文件电子版：具体材料见“投标人须知前附表”。"/>
      <w:bookmarkEnd w:id="111"/>
      <w:r>
        <w:rPr>
          <w:rFonts w:hint="eastAsia" w:ascii="宋体" w:hAnsi="宋体"/>
          <w:b w:val="0"/>
          <w:color w:val="auto"/>
          <w:sz w:val="21"/>
          <w:szCs w:val="21"/>
          <w:highlight w:val="none"/>
          <w:lang w:eastAsia="zh-CN"/>
        </w:rPr>
        <w:t>13.5投标文件电子版：</w:t>
      </w:r>
      <w:r>
        <w:rPr>
          <w:rFonts w:ascii="宋体" w:hAnsi="宋体"/>
          <w:b w:val="0"/>
          <w:color w:val="auto"/>
          <w:sz w:val="21"/>
          <w:szCs w:val="21"/>
          <w:highlight w:val="none"/>
          <w:lang w:eastAsia="zh-CN"/>
        </w:rPr>
        <w:t>具体材料见“投标人须知前附表”</w:t>
      </w:r>
      <w:r>
        <w:rPr>
          <w:rFonts w:hint="eastAsia" w:ascii="宋体" w:hAnsi="宋体"/>
          <w:b w:val="0"/>
          <w:color w:val="auto"/>
          <w:sz w:val="21"/>
          <w:szCs w:val="21"/>
          <w:highlight w:val="none"/>
          <w:lang w:eastAsia="zh-CN"/>
        </w:rPr>
        <w:t>。</w:t>
      </w:r>
    </w:p>
    <w:p>
      <w:pPr>
        <w:pStyle w:val="6"/>
        <w:spacing w:before="0" w:after="0" w:line="400" w:lineRule="exact"/>
        <w:ind w:left="420" w:leftChars="200"/>
        <w:rPr>
          <w:rFonts w:hint="eastAsia" w:ascii="宋体" w:hAnsi="宋体"/>
          <w:color w:val="auto"/>
          <w:sz w:val="21"/>
          <w:szCs w:val="21"/>
          <w:highlight w:val="none"/>
          <w:lang w:eastAsia="zh-CN"/>
        </w:rPr>
      </w:pPr>
      <w:bookmarkStart w:id="112" w:name="_Toc254970678"/>
      <w:bookmarkStart w:id="113" w:name="_Toc254970537"/>
      <w:r>
        <w:rPr>
          <w:rFonts w:hint="eastAsia" w:ascii="宋体" w:hAnsi="宋体"/>
          <w:color w:val="auto"/>
          <w:sz w:val="21"/>
          <w:szCs w:val="21"/>
          <w:highlight w:val="none"/>
          <w:lang w:eastAsia="zh-CN"/>
        </w:rPr>
        <w:t>14.投标文件的语言及计量</w:t>
      </w:r>
      <w:bookmarkEnd w:id="112"/>
      <w:bookmarkEnd w:id="113"/>
    </w:p>
    <w:p>
      <w:pPr>
        <w:pStyle w:val="6"/>
        <w:spacing w:before="0" w:after="0" w:line="400" w:lineRule="exact"/>
        <w:ind w:left="420" w:left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14.1</w:t>
      </w:r>
      <w:r>
        <w:rPr>
          <w:rFonts w:hint="eastAsia" w:ascii="宋体" w:hAnsi="宋体"/>
          <w:b w:val="0"/>
          <w:color w:val="auto"/>
          <w:sz w:val="21"/>
          <w:szCs w:val="21"/>
          <w:highlight w:val="none"/>
        </w:rPr>
        <w:t>语言文字</w:t>
      </w:r>
      <w:r>
        <w:rPr>
          <w:rFonts w:hint="eastAsia" w:ascii="宋体" w:hAnsi="宋体"/>
          <w:b w:val="0"/>
          <w:color w:val="auto"/>
          <w:sz w:val="21"/>
          <w:szCs w:val="21"/>
          <w:highlight w:val="none"/>
          <w:lang w:eastAsia="zh-CN"/>
        </w:rPr>
        <w:t>：</w:t>
      </w:r>
    </w:p>
    <w:p>
      <w:pPr>
        <w:pStyle w:val="6"/>
        <w:spacing w:before="0" w:after="0" w:line="400" w:lineRule="exact"/>
        <w:ind w:firstLine="420" w:firstLine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投标文件以及投标人与采购人就有关投标事宜的所有来往函电，均应以中文汉语书写</w:t>
      </w:r>
      <w:r>
        <w:rPr>
          <w:rFonts w:hint="eastAsia" w:ascii="宋体" w:hAnsi="宋体"/>
          <w:b w:val="0"/>
          <w:color w:val="auto"/>
          <w:sz w:val="21"/>
          <w:szCs w:val="21"/>
          <w:highlight w:val="none"/>
        </w:rPr>
        <w:t>（除专用术语外，与招标投标有关的语言均使用中文。必要时专用术语应附有中文注释）。</w:t>
      </w:r>
      <w:r>
        <w:rPr>
          <w:rFonts w:hint="eastAsia" w:ascii="宋体" w:hAnsi="宋体"/>
          <w:b w:val="0"/>
          <w:color w:val="auto"/>
          <w:sz w:val="21"/>
          <w:szCs w:val="21"/>
          <w:highlight w:val="none"/>
          <w:lang w:eastAsia="zh-CN"/>
        </w:rPr>
        <w:t>投标人提交的支持文件和印刷的文献可以使用别的语言，但其相应内容应同时附中文翻译文本，在解释投标文件时以中文翻译文本为主。对不同文字文本投标文件的解释发生异议的，以中文文本为准。</w:t>
      </w:r>
    </w:p>
    <w:p>
      <w:pPr>
        <w:pStyle w:val="6"/>
        <w:spacing w:before="0" w:after="0" w:line="400" w:lineRule="exact"/>
        <w:ind w:firstLine="420" w:firstLine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14.2投标计量单位，招标文件已有明确规定的，使用招标文件规定的计量单位；招标文件没有规定的，应采用中华人民共和国法定计量单位，货币种类为人民币，否则视同未响应。</w:t>
      </w:r>
    </w:p>
    <w:p>
      <w:pPr>
        <w:pStyle w:val="6"/>
        <w:spacing w:before="0" w:after="0" w:line="400" w:lineRule="exact"/>
        <w:ind w:left="420" w:left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15.投标的风险</w:t>
      </w:r>
    </w:p>
    <w:p>
      <w:pPr>
        <w:pStyle w:val="23"/>
        <w:snapToGrid w:val="0"/>
        <w:spacing w:line="400" w:lineRule="exact"/>
        <w:ind w:firstLine="420" w:firstLineChars="200"/>
        <w:jc w:val="left"/>
        <w:rPr>
          <w:rFonts w:hint="eastAsia" w:hAnsi="宋体"/>
          <w:color w:val="auto"/>
          <w:sz w:val="21"/>
          <w:highlight w:val="none"/>
          <w:lang w:eastAsia="zh-CN"/>
        </w:rPr>
      </w:pPr>
      <w:r>
        <w:rPr>
          <w:rFonts w:hint="eastAsia" w:hAnsi="宋体"/>
          <w:color w:val="auto"/>
          <w:sz w:val="21"/>
          <w:highlight w:val="none"/>
        </w:rPr>
        <w:t>投标人没有按照招标文件要求提供全部资料，或者投标人没有对招标文件在各方面作出实质性响应是投标人的风险，并可能导致其投标被拒绝。</w:t>
      </w:r>
    </w:p>
    <w:p>
      <w:pPr>
        <w:pStyle w:val="6"/>
        <w:spacing w:before="0" w:after="0" w:line="400" w:lineRule="exact"/>
        <w:ind w:left="420" w:leftChars="200"/>
        <w:rPr>
          <w:rFonts w:hint="eastAsia" w:ascii="宋体" w:hAnsi="宋体"/>
          <w:color w:val="auto"/>
          <w:sz w:val="21"/>
          <w:szCs w:val="21"/>
          <w:highlight w:val="none"/>
          <w:lang w:eastAsia="zh-CN"/>
        </w:rPr>
      </w:pPr>
      <w:bookmarkStart w:id="114" w:name="_Toc254970679"/>
      <w:bookmarkStart w:id="115" w:name="_Toc254970538"/>
      <w:r>
        <w:rPr>
          <w:rFonts w:hint="eastAsia" w:ascii="宋体" w:hAnsi="宋体"/>
          <w:color w:val="auto"/>
          <w:sz w:val="21"/>
          <w:szCs w:val="21"/>
          <w:highlight w:val="none"/>
          <w:lang w:eastAsia="zh-CN"/>
        </w:rPr>
        <w:t>16.投标报价</w:t>
      </w:r>
      <w:bookmarkEnd w:id="114"/>
      <w:bookmarkEnd w:id="115"/>
    </w:p>
    <w:p>
      <w:pPr>
        <w:pStyle w:val="6"/>
        <w:spacing w:before="0" w:after="0" w:line="400" w:lineRule="exact"/>
        <w:ind w:left="420" w:left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16.1投标报价应按招标文件中“开标一览表”格式填写。</w:t>
      </w:r>
    </w:p>
    <w:p>
      <w:pPr>
        <w:pStyle w:val="6"/>
        <w:spacing w:before="0" w:after="0" w:line="400" w:lineRule="exact"/>
        <w:ind w:left="420" w:leftChars="200"/>
        <w:rPr>
          <w:rFonts w:hint="eastAsia" w:ascii="宋体" w:hAnsi="宋体"/>
          <w:b w:val="0"/>
          <w:color w:val="auto"/>
          <w:sz w:val="21"/>
          <w:szCs w:val="21"/>
          <w:highlight w:val="none"/>
          <w:lang w:eastAsia="zh-CN"/>
        </w:rPr>
      </w:pPr>
      <w:bookmarkStart w:id="116" w:name="_16.2投标报价具体定义见投标人须知前附表。"/>
      <w:bookmarkEnd w:id="116"/>
      <w:r>
        <w:rPr>
          <w:rFonts w:hint="eastAsia" w:ascii="宋体" w:hAnsi="宋体"/>
          <w:b w:val="0"/>
          <w:color w:val="auto"/>
          <w:sz w:val="21"/>
          <w:szCs w:val="21"/>
          <w:highlight w:val="none"/>
          <w:lang w:eastAsia="zh-CN"/>
        </w:rPr>
        <w:t>16.2投标报价具体包括内容见“投标人须知前附表”。</w:t>
      </w:r>
    </w:p>
    <w:p>
      <w:pPr>
        <w:pStyle w:val="6"/>
        <w:spacing w:before="0" w:after="0" w:line="400" w:lineRule="exact"/>
        <w:ind w:firstLine="420" w:firstLine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16.3投标人应当就所投每个分标的全部内容分别作完整唯一总价报价，投标人应当就所投分标进行报价，不得存在漏项报价；投标人应当就所投分标的单项内容作唯一报价。</w:t>
      </w:r>
    </w:p>
    <w:p>
      <w:pPr>
        <w:pStyle w:val="6"/>
        <w:spacing w:before="0" w:after="0" w:line="400" w:lineRule="exact"/>
        <w:ind w:left="420" w:left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17.投标有效期</w:t>
      </w:r>
    </w:p>
    <w:p>
      <w:pPr>
        <w:pStyle w:val="6"/>
        <w:spacing w:before="0" w:after="0" w:line="400" w:lineRule="exact"/>
        <w:ind w:left="420" w:left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17.1投标有效期应按“投标人须知前附表”规定的期限。</w:t>
      </w:r>
    </w:p>
    <w:p>
      <w:pPr>
        <w:pStyle w:val="23"/>
        <w:snapToGrid w:val="0"/>
        <w:spacing w:line="400" w:lineRule="exact"/>
        <w:ind w:firstLine="420" w:firstLineChars="200"/>
        <w:jc w:val="left"/>
        <w:rPr>
          <w:rFonts w:hint="eastAsia" w:hAnsi="宋体"/>
          <w:color w:val="auto"/>
          <w:sz w:val="21"/>
          <w:highlight w:val="none"/>
          <w:lang w:eastAsia="zh-CN"/>
        </w:rPr>
      </w:pPr>
      <w:r>
        <w:rPr>
          <w:rFonts w:hint="eastAsia" w:hAnsi="宋体"/>
          <w:color w:val="auto"/>
          <w:sz w:val="21"/>
          <w:highlight w:val="none"/>
          <w:lang w:eastAsia="zh-CN"/>
        </w:rPr>
        <w:t>17.2投标有效期是指为保证采购人有足够的时间在开标后完成评标、定标、合同签订等工作而要求投标人提交的投标文件在一定时间内保持有效的期限。</w:t>
      </w:r>
    </w:p>
    <w:p>
      <w:pPr>
        <w:pStyle w:val="6"/>
        <w:spacing w:before="0" w:after="0" w:line="400" w:lineRule="exact"/>
        <w:ind w:left="420" w:leftChars="200"/>
        <w:rPr>
          <w:rFonts w:hint="eastAsia" w:ascii="宋体" w:hAnsi="宋体"/>
          <w:b w:val="0"/>
          <w:color w:val="auto"/>
          <w:sz w:val="21"/>
          <w:szCs w:val="21"/>
          <w:highlight w:val="none"/>
          <w:lang w:eastAsia="zh-CN"/>
        </w:rPr>
      </w:pPr>
      <w:bookmarkStart w:id="117" w:name="_Toc254970540"/>
      <w:bookmarkStart w:id="118" w:name="_Toc254970681"/>
      <w:r>
        <w:rPr>
          <w:rFonts w:hint="eastAsia" w:ascii="宋体" w:hAnsi="宋体"/>
          <w:b w:val="0"/>
          <w:color w:val="auto"/>
          <w:sz w:val="21"/>
          <w:szCs w:val="21"/>
          <w:highlight w:val="none"/>
          <w:lang w:eastAsia="zh-CN"/>
        </w:rPr>
        <w:t>17.3投标人的投标文件在投标有效期内均保持有效。</w:t>
      </w:r>
      <w:bookmarkEnd w:id="117"/>
      <w:bookmarkEnd w:id="118"/>
    </w:p>
    <w:p>
      <w:pPr>
        <w:pStyle w:val="6"/>
        <w:spacing w:before="0" w:after="0" w:line="400" w:lineRule="exact"/>
        <w:ind w:left="420" w:leftChars="200"/>
        <w:rPr>
          <w:rFonts w:hint="eastAsia" w:ascii="宋体" w:hAnsi="宋体"/>
          <w:color w:val="auto"/>
          <w:sz w:val="21"/>
          <w:szCs w:val="21"/>
          <w:highlight w:val="none"/>
          <w:lang w:eastAsia="zh-CN"/>
        </w:rPr>
      </w:pPr>
      <w:bookmarkStart w:id="119" w:name="_18.投标保证金"/>
      <w:bookmarkEnd w:id="119"/>
      <w:bookmarkStart w:id="120" w:name="_Toc254970682"/>
      <w:bookmarkStart w:id="121" w:name="_Toc254970541"/>
      <w:r>
        <w:rPr>
          <w:rFonts w:hint="eastAsia" w:ascii="宋体" w:hAnsi="宋体"/>
          <w:color w:val="auto"/>
          <w:sz w:val="21"/>
          <w:szCs w:val="21"/>
          <w:highlight w:val="none"/>
          <w:lang w:eastAsia="zh-CN"/>
        </w:rPr>
        <w:t>18.投标保证金</w:t>
      </w:r>
      <w:bookmarkEnd w:id="120"/>
      <w:bookmarkEnd w:id="121"/>
    </w:p>
    <w:p>
      <w:pPr>
        <w:pStyle w:val="6"/>
        <w:spacing w:before="0" w:after="0" w:line="400" w:lineRule="exact"/>
        <w:ind w:left="420" w:leftChars="200"/>
        <w:rPr>
          <w:rFonts w:ascii="宋体" w:hAnsi="宋体"/>
          <w:b w:val="0"/>
          <w:color w:val="auto"/>
          <w:sz w:val="21"/>
          <w:szCs w:val="21"/>
          <w:highlight w:val="none"/>
          <w:lang w:eastAsia="zh-CN"/>
        </w:rPr>
      </w:pPr>
      <w:r>
        <w:rPr>
          <w:rFonts w:hint="eastAsia" w:ascii="宋体" w:hAnsi="宋体"/>
          <w:b w:val="0"/>
          <w:color w:val="auto"/>
          <w:sz w:val="21"/>
          <w:szCs w:val="21"/>
          <w:highlight w:val="none"/>
          <w:lang w:eastAsia="zh-CN"/>
        </w:rPr>
        <w:t>18.1投标人须按</w:t>
      </w:r>
      <w:r>
        <w:rPr>
          <w:rFonts w:ascii="宋体" w:hAnsi="宋体"/>
          <w:b w:val="0"/>
          <w:color w:val="auto"/>
          <w:sz w:val="21"/>
          <w:szCs w:val="21"/>
          <w:highlight w:val="none"/>
          <w:lang w:eastAsia="zh-CN"/>
        </w:rPr>
        <w:t>“投标人须知前附表”</w:t>
      </w:r>
      <w:r>
        <w:rPr>
          <w:rFonts w:hint="eastAsia" w:ascii="宋体" w:hAnsi="宋体"/>
          <w:b w:val="0"/>
          <w:color w:val="auto"/>
          <w:sz w:val="21"/>
          <w:szCs w:val="21"/>
          <w:highlight w:val="none"/>
          <w:lang w:eastAsia="zh-CN"/>
        </w:rPr>
        <w:t>的规定。</w:t>
      </w:r>
    </w:p>
    <w:p>
      <w:pPr>
        <w:pStyle w:val="6"/>
        <w:spacing w:before="0" w:after="0" w:line="400" w:lineRule="exact"/>
        <w:ind w:left="420" w:left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18.2投标保证金的退还</w:t>
      </w:r>
    </w:p>
    <w:p>
      <w:pPr>
        <w:pStyle w:val="6"/>
        <w:spacing w:before="0" w:after="0" w:line="400" w:lineRule="exact"/>
        <w:ind w:left="420" w:left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18.2.1未中标人的投标保证金自中标通知书发出之日起5个工作日内退还，退还方式如下：</w:t>
      </w:r>
    </w:p>
    <w:p>
      <w:pPr>
        <w:pStyle w:val="6"/>
        <w:spacing w:before="0" w:after="0" w:line="400" w:lineRule="exact"/>
        <w:ind w:firstLine="315" w:firstLineChars="15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（1）采用银行转账方式的，以转账方式退回到投标人银行账户。</w:t>
      </w:r>
    </w:p>
    <w:p>
      <w:pPr>
        <w:pStyle w:val="7"/>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 xml:space="preserve">（2）采用支票、汇票或本票方式的，以转账方式退回到投标人银行账户或由投标人代表持相关授权证明材料至采购人或采购代理机构办理支票、汇票或本票原件退还手续。 </w:t>
      </w:r>
    </w:p>
    <w:p>
      <w:pPr>
        <w:pStyle w:val="6"/>
        <w:spacing w:before="0" w:after="0" w:line="400" w:lineRule="exact"/>
        <w:ind w:firstLine="315" w:firstLineChars="15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 xml:space="preserve">（3）采用银行、保险机构出具的保函方式的，由投标人代表持相关授权证明材料至采购人或采购代理机构办理保函原件退还手续。 </w:t>
      </w:r>
    </w:p>
    <w:p>
      <w:pPr>
        <w:pStyle w:val="6"/>
        <w:numPr>
          <w:ilvl w:val="0"/>
          <w:numId w:val="0"/>
        </w:numPr>
        <w:spacing w:before="0" w:after="0" w:line="400" w:lineRule="exact"/>
        <w:ind w:firstLine="420" w:firstLine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 xml:space="preserve">18.2.2中标人的投标保证金自签订合同之日起5个工作日内退还，退还方式同未中标人的投标保证金的退还方式。 </w:t>
      </w:r>
    </w:p>
    <w:p>
      <w:pPr>
        <w:pStyle w:val="6"/>
        <w:spacing w:before="0" w:after="0" w:line="400" w:lineRule="exact"/>
        <w:ind w:left="420" w:left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18.3投标保证金不计息。</w:t>
      </w:r>
    </w:p>
    <w:p>
      <w:pPr>
        <w:pStyle w:val="6"/>
        <w:spacing w:before="0" w:after="0" w:line="400" w:lineRule="exact"/>
        <w:ind w:left="420" w:left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 xml:space="preserve">18.4投标人有下列情形之一的，投标保证金将不予退还： </w:t>
      </w:r>
    </w:p>
    <w:p>
      <w:pPr>
        <w:snapToGrid w:val="0"/>
        <w:spacing w:line="40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（1）投标人在投标有效期内撤销投标文件的；</w:t>
      </w:r>
    </w:p>
    <w:p>
      <w:pPr>
        <w:snapToGrid w:val="0"/>
        <w:spacing w:line="40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（2）未按规定提交履约保证金的；</w:t>
      </w:r>
    </w:p>
    <w:p>
      <w:pPr>
        <w:snapToGrid w:val="0"/>
        <w:spacing w:line="40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（3）投标人在投标过程中弄虚作假，提供虚假材料的；</w:t>
      </w:r>
    </w:p>
    <w:p>
      <w:pPr>
        <w:snapToGrid w:val="0"/>
        <w:spacing w:line="4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（4）中标人无正当理由不与采购人签订合同的；</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（5）其他严重扰乱招投标程序的。</w:t>
      </w:r>
      <w:bookmarkStart w:id="122" w:name="_Toc254970683"/>
      <w:bookmarkStart w:id="123" w:name="_Toc254970542"/>
    </w:p>
    <w:p>
      <w:pPr>
        <w:pStyle w:val="6"/>
        <w:spacing w:before="0" w:after="0" w:line="400" w:lineRule="exact"/>
        <w:ind w:left="420" w:leftChars="200"/>
        <w:rPr>
          <w:rFonts w:hint="eastAsia" w:ascii="宋体" w:hAnsi="宋体"/>
          <w:b/>
          <w:color w:val="auto"/>
          <w:sz w:val="21"/>
          <w:szCs w:val="21"/>
          <w:highlight w:val="none"/>
          <w:lang w:eastAsia="zh-CN"/>
        </w:rPr>
      </w:pPr>
      <w:r>
        <w:rPr>
          <w:rFonts w:hint="eastAsia" w:ascii="宋体" w:hAnsi="宋体"/>
          <w:b/>
          <w:color w:val="auto"/>
          <w:sz w:val="21"/>
          <w:szCs w:val="21"/>
          <w:highlight w:val="none"/>
          <w:lang w:eastAsia="zh-CN"/>
        </w:rPr>
        <w:t>19.投标文件的</w:t>
      </w:r>
      <w:bookmarkEnd w:id="122"/>
      <w:bookmarkEnd w:id="123"/>
      <w:r>
        <w:rPr>
          <w:rFonts w:hint="eastAsia" w:ascii="宋体" w:hAnsi="宋体"/>
          <w:b/>
          <w:color w:val="auto"/>
          <w:sz w:val="21"/>
          <w:szCs w:val="21"/>
          <w:highlight w:val="none"/>
          <w:lang w:eastAsia="zh-CN"/>
        </w:rPr>
        <w:t>编制</w:t>
      </w:r>
    </w:p>
    <w:p>
      <w:pPr>
        <w:pStyle w:val="6"/>
        <w:spacing w:before="0" w:after="0" w:line="400" w:lineRule="exact"/>
        <w:ind w:firstLine="315" w:firstLineChars="15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 xml:space="preserve"> 19.1投标人应按本招标文件规定的格式和顺序编制、装订投标文件并标注页码，投标文件内容不完整、编排混乱导致投标文件被误读、漏读或者查找不到相关内容的，是投标人的责任。</w:t>
      </w:r>
    </w:p>
    <w:p>
      <w:pPr>
        <w:pStyle w:val="6"/>
        <w:spacing w:before="0" w:after="0" w:line="400" w:lineRule="exact"/>
        <w:ind w:firstLine="315" w:firstLineChars="150"/>
        <w:rPr>
          <w:rFonts w:hint="eastAsia" w:ascii="宋体" w:hAnsi="宋体"/>
          <w:b w:val="0"/>
          <w:color w:val="auto"/>
          <w:sz w:val="21"/>
          <w:szCs w:val="21"/>
          <w:highlight w:val="none"/>
          <w:lang w:eastAsia="zh-CN"/>
        </w:rPr>
      </w:pPr>
      <w:bookmarkStart w:id="124" w:name="_19.2投标文件应按报价文件、资格证明文件、商务文件、技术文件分别编制"/>
      <w:bookmarkEnd w:id="124"/>
      <w:r>
        <w:rPr>
          <w:rFonts w:hint="eastAsia" w:ascii="宋体" w:hAnsi="宋体"/>
          <w:b w:val="0"/>
          <w:color w:val="auto"/>
          <w:sz w:val="21"/>
          <w:szCs w:val="21"/>
          <w:highlight w:val="none"/>
          <w:lang w:eastAsia="zh-CN"/>
        </w:rPr>
        <w:t xml:space="preserve"> 19.2投标文件应按报价文件、资格证明文件、商务文件、技术文件分别编制，报价文件、资格证明文件分别装订成册，商务文件和技术文件按顺序装订成册。投标文件正本一份，副本份数详见“投标人须知前附表”，投标文件的封面应注明“正本”、“副本”字样。由于投标文件装订松散而造成的丢失或其他后果由投标人自行承担。</w:t>
      </w:r>
    </w:p>
    <w:p>
      <w:pPr>
        <w:pStyle w:val="6"/>
        <w:spacing w:before="0" w:after="0" w:line="400" w:lineRule="exact"/>
        <w:ind w:firstLine="315" w:firstLineChars="15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 xml:space="preserve"> 19.3投标文件的正本应打印或用不褪色的墨水填写，投标文件正本除本“投标人须知”中规定的可提供复印件外均须提供原件，副本可为正本签字、盖章后的复印件，当副本和正本不一致时，以正本为准。</w:t>
      </w:r>
    </w:p>
    <w:p>
      <w:pPr>
        <w:snapToGrid w:val="0"/>
        <w:spacing w:line="40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 xml:space="preserve"> 19.4投标文件须由投标人在规定位置盖公章并由法定代表人（负责人或自然人）或委托代理人签字，</w:t>
      </w:r>
      <w:r>
        <w:rPr>
          <w:rFonts w:hint="eastAsia" w:ascii="微软雅黑" w:hAnsi="微软雅黑" w:eastAsia="微软雅黑"/>
          <w:color w:val="auto"/>
          <w:sz w:val="24"/>
          <w:highlight w:val="none"/>
        </w:rPr>
        <w:t>否则作无效投标处理。</w:t>
      </w:r>
    </w:p>
    <w:p>
      <w:pPr>
        <w:pStyle w:val="6"/>
        <w:spacing w:before="0" w:after="0" w:line="400" w:lineRule="exact"/>
        <w:ind w:firstLine="315" w:firstLineChars="15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 xml:space="preserve"> 19.5投标文件中标注的投标人名称应与主体资格证明（如营业执照、事业单位法人证书、执业许可证、个体工商户营业执照、自然人身份证等）和公章一致，</w:t>
      </w:r>
      <w:r>
        <w:rPr>
          <w:rFonts w:hint="eastAsia" w:ascii="微软雅黑" w:hAnsi="微软雅黑" w:eastAsia="微软雅黑"/>
          <w:color w:val="auto"/>
          <w:sz w:val="24"/>
          <w:highlight w:val="none"/>
          <w:lang w:val="en-US" w:eastAsia="zh-CN"/>
        </w:rPr>
        <w:t>否则作无效投标处理</w:t>
      </w:r>
      <w:r>
        <w:rPr>
          <w:rFonts w:hint="eastAsia" w:ascii="宋体" w:hAnsi="宋体"/>
          <w:b w:val="0"/>
          <w:color w:val="auto"/>
          <w:sz w:val="21"/>
          <w:szCs w:val="21"/>
          <w:highlight w:val="none"/>
          <w:lang w:eastAsia="zh-CN"/>
        </w:rPr>
        <w:t>。</w:t>
      </w:r>
    </w:p>
    <w:p>
      <w:p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19.6投标文件应尽量避免涂改、行间插字或删除。如果出现上述情况，改动之处应由投标人的法定代表人（负责人或自然人）或其委托代理人签字或盖章。投标文件因字迹潦草或表达不清所引起的后果由投标人承担。</w:t>
      </w:r>
    </w:p>
    <w:p>
      <w:pPr>
        <w:pStyle w:val="6"/>
        <w:numPr>
          <w:ilvl w:val="0"/>
          <w:numId w:val="0"/>
        </w:numPr>
        <w:spacing w:before="0" w:after="0" w:line="400" w:lineRule="exact"/>
        <w:ind w:firstLine="422" w:firstLine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20.投标文件的密封</w:t>
      </w:r>
    </w:p>
    <w:p>
      <w:pPr>
        <w:pStyle w:val="6"/>
        <w:spacing w:before="0" w:after="0" w:line="400" w:lineRule="exact"/>
        <w:ind w:firstLine="315" w:firstLineChars="15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 xml:space="preserve"> 20.1投标文件正、副本全部装入包封袋/箱（投标文件的补充、修改可另行单独递交）中并加以密封，封口处必须加盖投标人公章或委托代理人签字，以示密封。</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20.2投标文件外层包装封面上应写明投标人名称、投标人地址、项目名称、项目编号、所投分标及“开标时启封”字样。</w:t>
      </w:r>
    </w:p>
    <w:p>
      <w:pPr>
        <w:snapToGrid w:val="0"/>
        <w:spacing w:line="40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20.3未按上述规定密封的投标文件将被拒收。</w:t>
      </w:r>
    </w:p>
    <w:p>
      <w:pPr>
        <w:pStyle w:val="6"/>
        <w:spacing w:before="0" w:after="0" w:line="400" w:lineRule="exact"/>
        <w:ind w:left="420" w:left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21.投标文件的提交</w:t>
      </w:r>
    </w:p>
    <w:p>
      <w:pPr>
        <w:pStyle w:val="6"/>
        <w:spacing w:before="0" w:after="0" w:line="400" w:lineRule="exact"/>
        <w:ind w:left="420" w:leftChars="200"/>
        <w:rPr>
          <w:rFonts w:hint="eastAsia" w:ascii="宋体" w:hAnsi="宋体"/>
          <w:b w:val="0"/>
          <w:color w:val="auto"/>
          <w:sz w:val="21"/>
          <w:szCs w:val="21"/>
          <w:highlight w:val="none"/>
          <w:lang w:eastAsia="zh-CN"/>
        </w:rPr>
      </w:pPr>
      <w:bookmarkStart w:id="125" w:name="_21.1投标人必须在“投标人须知中的前附表”规定的投标文件接收时间和投"/>
      <w:bookmarkEnd w:id="125"/>
      <w:r>
        <w:rPr>
          <w:rFonts w:hint="eastAsia" w:ascii="宋体" w:hAnsi="宋体"/>
          <w:b w:val="0"/>
          <w:color w:val="auto"/>
          <w:sz w:val="21"/>
          <w:szCs w:val="21"/>
          <w:highlight w:val="none"/>
          <w:lang w:eastAsia="zh-CN"/>
        </w:rPr>
        <w:t>21.1投标人必须在“投标人须知前附表”规定的投标文件接收时间和投标地点提交投标文件。</w:t>
      </w:r>
    </w:p>
    <w:p>
      <w:pPr>
        <w:pStyle w:val="6"/>
        <w:spacing w:before="0" w:after="0" w:line="400" w:lineRule="exact"/>
        <w:ind w:firstLine="420" w:firstLine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21.2采购代理机构工作人员收到投标文件后，应当如实记载投标文件的送达时间和密封情况，签收保存，并向投标人出具签收回执。</w:t>
      </w:r>
    </w:p>
    <w:p>
      <w:pPr>
        <w:pStyle w:val="6"/>
        <w:spacing w:before="0" w:after="0" w:line="400" w:lineRule="exact"/>
        <w:ind w:left="420" w:left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21.3未在规定时间内送达或者未按照招标文件要求密封或标记的投标文件，采购代理机构必须拒</w:t>
      </w:r>
    </w:p>
    <w:p>
      <w:pPr>
        <w:pStyle w:val="6"/>
        <w:numPr>
          <w:ilvl w:val="0"/>
          <w:numId w:val="0"/>
        </w:numPr>
        <w:spacing w:before="0" w:after="0" w:line="400" w:lineRule="exact"/>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收。</w:t>
      </w:r>
    </w:p>
    <w:p>
      <w:pPr>
        <w:pStyle w:val="6"/>
        <w:spacing w:before="0" w:after="0" w:line="400" w:lineRule="exact"/>
        <w:ind w:left="420" w:left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22. 投标文件的补充、修改与撤回</w:t>
      </w:r>
    </w:p>
    <w:p>
      <w:pPr>
        <w:snapToGrid w:val="0"/>
        <w:spacing w:line="400" w:lineRule="exact"/>
        <w:ind w:firstLine="420"/>
        <w:jc w:val="left"/>
        <w:rPr>
          <w:rFonts w:hint="eastAsia" w:ascii="宋体" w:hAnsi="宋体"/>
          <w:color w:val="auto"/>
          <w:szCs w:val="21"/>
          <w:highlight w:val="none"/>
        </w:rPr>
      </w:pPr>
      <w:bookmarkStart w:id="126" w:name="_Toc254970543"/>
      <w:bookmarkStart w:id="127" w:name="_Toc254970684"/>
      <w:r>
        <w:rPr>
          <w:rFonts w:hint="eastAsia" w:ascii="宋体" w:hAnsi="宋体"/>
          <w:color w:val="auto"/>
          <w:szCs w:val="21"/>
          <w:highlight w:val="none"/>
        </w:rPr>
        <w:t>投标人在投标截止时间之前，可以对已提交的投标文件进行补充、修改或者撤回，并书面通知采购人或者采购代理机构。补充、修改的内容必须按照招标文件要求签署、盖章、密封和标记后，作为投标文件的组成部分。</w:t>
      </w:r>
      <w:bookmarkEnd w:id="126"/>
      <w:bookmarkEnd w:id="127"/>
    </w:p>
    <w:p>
      <w:pPr>
        <w:snapToGrid w:val="0"/>
        <w:spacing w:line="400" w:lineRule="exact"/>
        <w:ind w:firstLine="420"/>
        <w:jc w:val="left"/>
        <w:rPr>
          <w:rFonts w:hint="eastAsia" w:ascii="宋体" w:hAnsi="宋体"/>
          <w:color w:val="auto"/>
          <w:szCs w:val="21"/>
          <w:highlight w:val="none"/>
        </w:rPr>
      </w:pPr>
    </w:p>
    <w:p>
      <w:pPr>
        <w:pStyle w:val="5"/>
        <w:jc w:val="center"/>
        <w:rPr>
          <w:rFonts w:hint="eastAsia" w:ascii="宋体" w:hAnsi="宋体"/>
          <w:b w:val="0"/>
          <w:color w:val="auto"/>
          <w:sz w:val="21"/>
          <w:szCs w:val="21"/>
          <w:highlight w:val="none"/>
        </w:rPr>
      </w:pPr>
      <w:bookmarkStart w:id="128" w:name="_Toc254970544"/>
      <w:bookmarkStart w:id="129" w:name="_Toc254970685"/>
      <w:r>
        <w:rPr>
          <w:rFonts w:hint="eastAsia"/>
          <w:color w:val="auto"/>
          <w:highlight w:val="none"/>
        </w:rPr>
        <w:t>四、开    标</w:t>
      </w:r>
      <w:bookmarkEnd w:id="128"/>
      <w:bookmarkEnd w:id="129"/>
    </w:p>
    <w:p>
      <w:pPr>
        <w:pStyle w:val="6"/>
        <w:spacing w:before="0" w:after="0" w:line="400" w:lineRule="exact"/>
        <w:ind w:left="420" w:leftChars="200"/>
        <w:rPr>
          <w:rFonts w:hint="eastAsia" w:ascii="宋体" w:hAnsi="宋体"/>
          <w:color w:val="auto"/>
          <w:sz w:val="21"/>
          <w:szCs w:val="21"/>
          <w:highlight w:val="none"/>
          <w:lang w:eastAsia="zh-CN"/>
        </w:rPr>
      </w:pPr>
      <w:bookmarkStart w:id="130" w:name="_23.开标时间和地点"/>
      <w:bookmarkEnd w:id="130"/>
      <w:r>
        <w:rPr>
          <w:rFonts w:hint="eastAsia" w:ascii="宋体" w:hAnsi="宋体"/>
          <w:color w:val="auto"/>
          <w:sz w:val="21"/>
          <w:szCs w:val="21"/>
          <w:highlight w:val="none"/>
          <w:lang w:eastAsia="zh-CN"/>
        </w:rPr>
        <w:t>23.开标时间和地点</w:t>
      </w:r>
    </w:p>
    <w:p>
      <w:pPr>
        <w:pStyle w:val="23"/>
        <w:snapToGrid w:val="0"/>
        <w:spacing w:line="400" w:lineRule="exact"/>
        <w:ind w:firstLine="420" w:firstLineChars="200"/>
        <w:rPr>
          <w:rFonts w:hint="eastAsia" w:hAnsi="宋体"/>
          <w:bCs/>
          <w:color w:val="auto"/>
          <w:sz w:val="21"/>
          <w:highlight w:val="none"/>
          <w:lang w:eastAsia="zh-CN"/>
        </w:rPr>
      </w:pPr>
      <w:r>
        <w:rPr>
          <w:rFonts w:hint="eastAsia" w:hAnsi="宋体"/>
          <w:bCs/>
          <w:color w:val="auto"/>
          <w:sz w:val="21"/>
          <w:highlight w:val="none"/>
        </w:rPr>
        <w:t>采购代理机构将在</w:t>
      </w:r>
      <w:r>
        <w:rPr>
          <w:rFonts w:hint="eastAsia" w:hAnsi="宋体"/>
          <w:bCs/>
          <w:color w:val="auto"/>
          <w:sz w:val="21"/>
          <w:highlight w:val="none"/>
          <w:lang w:eastAsia="zh-CN"/>
        </w:rPr>
        <w:t>“投标人</w:t>
      </w:r>
      <w:r>
        <w:rPr>
          <w:rFonts w:hint="eastAsia" w:hAnsi="宋体"/>
          <w:bCs/>
          <w:color w:val="auto"/>
          <w:sz w:val="21"/>
          <w:highlight w:val="none"/>
        </w:rPr>
        <w:t>须知前附表</w:t>
      </w:r>
      <w:r>
        <w:rPr>
          <w:rFonts w:hint="eastAsia" w:hAnsi="宋体"/>
          <w:bCs/>
          <w:color w:val="auto"/>
          <w:sz w:val="21"/>
          <w:highlight w:val="none"/>
          <w:lang w:eastAsia="zh-CN"/>
        </w:rPr>
        <w:t>”</w:t>
      </w:r>
      <w:r>
        <w:rPr>
          <w:rFonts w:hint="eastAsia" w:hAnsi="宋体"/>
          <w:bCs/>
          <w:color w:val="auto"/>
          <w:sz w:val="21"/>
          <w:highlight w:val="none"/>
        </w:rPr>
        <w:t>规定的时间和地点进行开标，投标人未参加开标的，视同认可开标</w:t>
      </w:r>
      <w:r>
        <w:rPr>
          <w:rFonts w:hint="eastAsia" w:hAnsi="宋体"/>
          <w:bCs/>
          <w:color w:val="auto"/>
          <w:sz w:val="21"/>
          <w:highlight w:val="none"/>
          <w:lang w:eastAsia="zh-CN"/>
        </w:rPr>
        <w:t>过程和</w:t>
      </w:r>
      <w:r>
        <w:rPr>
          <w:rFonts w:hint="eastAsia" w:hAnsi="宋体"/>
          <w:bCs/>
          <w:color w:val="auto"/>
          <w:sz w:val="21"/>
          <w:highlight w:val="none"/>
        </w:rPr>
        <w:t>结果。本项目</w:t>
      </w:r>
      <w:r>
        <w:rPr>
          <w:rFonts w:hint="eastAsia" w:hAnsi="宋体"/>
          <w:bCs/>
          <w:color w:val="auto"/>
          <w:sz w:val="21"/>
          <w:highlight w:val="none"/>
          <w:lang w:eastAsia="zh-CN"/>
        </w:rPr>
        <w:t>开</w:t>
      </w:r>
      <w:r>
        <w:rPr>
          <w:rFonts w:hint="eastAsia" w:hAnsi="宋体"/>
          <w:bCs/>
          <w:color w:val="auto"/>
          <w:sz w:val="21"/>
          <w:highlight w:val="none"/>
        </w:rPr>
        <w:t>标过程实行全程录音、录像监控</w:t>
      </w:r>
      <w:r>
        <w:rPr>
          <w:rFonts w:hint="eastAsia" w:hAnsi="宋体"/>
          <w:bCs/>
          <w:color w:val="auto"/>
          <w:sz w:val="21"/>
          <w:highlight w:val="none"/>
          <w:lang w:eastAsia="zh-CN"/>
        </w:rPr>
        <w:t>。</w:t>
      </w:r>
    </w:p>
    <w:p>
      <w:pPr>
        <w:pStyle w:val="6"/>
        <w:spacing w:before="0" w:after="0" w:line="400" w:lineRule="exact"/>
        <w:ind w:left="420" w:left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24.开标程序：</w:t>
      </w:r>
    </w:p>
    <w:p>
      <w:pPr>
        <w:pStyle w:val="23"/>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（1）宣布开标：开标会由采购代理机构主持，主持人宣布开标开始；</w:t>
      </w:r>
    </w:p>
    <w:p>
      <w:pPr>
        <w:pStyle w:val="23"/>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 xml:space="preserve">（2）主持人介绍参加开标会的人员名单； </w:t>
      </w:r>
    </w:p>
    <w:p>
      <w:pPr>
        <w:pStyle w:val="23"/>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（3）主持人宣布开标纪律；</w:t>
      </w:r>
    </w:p>
    <w:p>
      <w:pPr>
        <w:pStyle w:val="23"/>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（4）检查文件：由各投标人检查各自的投标文件密封情况并签字确认。</w:t>
      </w:r>
    </w:p>
    <w:p>
      <w:pPr>
        <w:pStyle w:val="23"/>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（5）唱标：经投标人确认</w:t>
      </w:r>
      <w:r>
        <w:rPr>
          <w:rFonts w:hint="eastAsia" w:hAnsi="宋体"/>
          <w:color w:val="auto"/>
          <w:sz w:val="21"/>
          <w:highlight w:val="none"/>
          <w:lang w:eastAsia="zh-CN"/>
        </w:rPr>
        <w:t>各自</w:t>
      </w:r>
      <w:r>
        <w:rPr>
          <w:rFonts w:hint="eastAsia" w:hAnsi="宋体"/>
          <w:color w:val="auto"/>
          <w:sz w:val="21"/>
          <w:highlight w:val="none"/>
        </w:rPr>
        <w:t>投标文件密封无误后，由采购代理机构工作当众拆封，宣布投标人名称、投标价格和其他需要宣布的内容。</w:t>
      </w:r>
    </w:p>
    <w:p>
      <w:pPr>
        <w:pStyle w:val="23"/>
        <w:snapToGrid w:val="0"/>
        <w:spacing w:line="400" w:lineRule="exact"/>
        <w:ind w:firstLine="420" w:firstLineChars="200"/>
        <w:rPr>
          <w:rFonts w:hint="eastAsia" w:hAnsi="宋体"/>
          <w:color w:val="auto"/>
          <w:sz w:val="21"/>
          <w:highlight w:val="none"/>
          <w:lang w:eastAsia="zh-CN"/>
        </w:rPr>
      </w:pPr>
      <w:r>
        <w:rPr>
          <w:rFonts w:hint="eastAsia" w:hAnsi="宋体"/>
          <w:color w:val="auto"/>
          <w:sz w:val="21"/>
          <w:highlight w:val="none"/>
        </w:rPr>
        <w:t>（6）开标过程由采购代理机构如实记录</w:t>
      </w:r>
      <w:r>
        <w:rPr>
          <w:rFonts w:hint="eastAsia" w:hAnsi="宋体"/>
          <w:color w:val="auto"/>
          <w:sz w:val="21"/>
          <w:highlight w:val="none"/>
          <w:lang w:eastAsia="zh-CN"/>
        </w:rPr>
        <w:t>，</w:t>
      </w:r>
      <w:r>
        <w:rPr>
          <w:rFonts w:hint="eastAsia" w:hAnsi="宋体"/>
          <w:color w:val="auto"/>
          <w:sz w:val="21"/>
          <w:highlight w:val="none"/>
        </w:rPr>
        <w:t>由参加开标的各投标人代表对开标记录进行当场校核及勘误，并签字确认。投标人代表未到场签字确认或者拒绝签字确认的，视同认可开标结果；</w:t>
      </w:r>
    </w:p>
    <w:p>
      <w:pPr>
        <w:pStyle w:val="23"/>
        <w:snapToGrid w:val="0"/>
        <w:spacing w:line="400" w:lineRule="exact"/>
        <w:ind w:firstLine="420" w:firstLineChars="200"/>
        <w:rPr>
          <w:rFonts w:hint="eastAsia" w:hAnsi="宋体"/>
          <w:color w:val="auto"/>
          <w:sz w:val="21"/>
          <w:highlight w:val="none"/>
          <w:lang w:eastAsia="zh-CN"/>
        </w:rPr>
      </w:pPr>
      <w:r>
        <w:rPr>
          <w:rFonts w:hint="eastAsia" w:hAnsi="宋体"/>
          <w:color w:val="auto"/>
          <w:sz w:val="21"/>
          <w:highlight w:val="none"/>
          <w:lang w:eastAsia="zh-CN"/>
        </w:rPr>
        <w:t>（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3"/>
        <w:snapToGrid w:val="0"/>
        <w:spacing w:line="400" w:lineRule="exact"/>
        <w:ind w:firstLine="420" w:firstLineChars="200"/>
        <w:rPr>
          <w:rFonts w:hint="eastAsia" w:hAnsi="宋体"/>
          <w:color w:val="auto"/>
          <w:sz w:val="21"/>
          <w:highlight w:val="none"/>
          <w:lang w:eastAsia="zh-CN"/>
        </w:rPr>
      </w:pPr>
      <w:r>
        <w:rPr>
          <w:rFonts w:hint="eastAsia" w:hAnsi="宋体"/>
          <w:color w:val="auto"/>
          <w:sz w:val="21"/>
          <w:highlight w:val="none"/>
        </w:rPr>
        <w:t>（</w:t>
      </w:r>
      <w:r>
        <w:rPr>
          <w:rFonts w:hint="eastAsia" w:hAnsi="宋体"/>
          <w:color w:val="auto"/>
          <w:sz w:val="21"/>
          <w:highlight w:val="none"/>
          <w:lang w:eastAsia="zh-CN"/>
        </w:rPr>
        <w:t>8</w:t>
      </w:r>
      <w:r>
        <w:rPr>
          <w:rFonts w:hint="eastAsia" w:hAnsi="宋体"/>
          <w:color w:val="auto"/>
          <w:sz w:val="21"/>
          <w:highlight w:val="none"/>
        </w:rPr>
        <w:t>）开标结束。</w:t>
      </w:r>
    </w:p>
    <w:p>
      <w:pPr>
        <w:pStyle w:val="23"/>
        <w:snapToGrid w:val="0"/>
        <w:rPr>
          <w:rFonts w:hint="eastAsia" w:hAnsi="宋体"/>
          <w:color w:val="auto"/>
          <w:sz w:val="21"/>
          <w:highlight w:val="none"/>
          <w:lang w:eastAsia="zh-CN"/>
        </w:rPr>
      </w:pPr>
    </w:p>
    <w:p>
      <w:pPr>
        <w:pStyle w:val="5"/>
        <w:jc w:val="center"/>
        <w:rPr>
          <w:rFonts w:hint="eastAsia" w:ascii="宋体" w:hAnsi="宋体"/>
          <w:b w:val="0"/>
          <w:color w:val="auto"/>
          <w:sz w:val="21"/>
          <w:szCs w:val="21"/>
          <w:highlight w:val="none"/>
        </w:rPr>
      </w:pPr>
      <w:r>
        <w:rPr>
          <w:rFonts w:hint="eastAsia"/>
          <w:color w:val="auto"/>
          <w:highlight w:val="none"/>
        </w:rPr>
        <w:t>五、资格审查</w:t>
      </w:r>
    </w:p>
    <w:p>
      <w:pPr>
        <w:pStyle w:val="6"/>
        <w:numPr>
          <w:ilvl w:val="0"/>
          <w:numId w:val="0"/>
        </w:numPr>
        <w:spacing w:before="0" w:after="0" w:line="400" w:lineRule="exact"/>
        <w:ind w:firstLine="422" w:firstLine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25.资格审查</w:t>
      </w:r>
    </w:p>
    <w:p>
      <w:pPr>
        <w:pStyle w:val="6"/>
        <w:spacing w:before="0" w:after="0" w:line="400" w:lineRule="exact"/>
        <w:ind w:firstLine="315" w:firstLineChars="15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 xml:space="preserve"> 25.1</w:t>
      </w:r>
      <w:r>
        <w:rPr>
          <w:rFonts w:ascii="宋体" w:hAnsi="宋体"/>
          <w:b w:val="0"/>
          <w:color w:val="auto"/>
          <w:sz w:val="21"/>
          <w:szCs w:val="21"/>
          <w:highlight w:val="none"/>
          <w:lang w:eastAsia="zh-CN"/>
        </w:rPr>
        <w:t>开标结束后，</w:t>
      </w:r>
      <w:r>
        <w:rPr>
          <w:rFonts w:hint="eastAsia" w:ascii="宋体" w:hAnsi="宋体"/>
          <w:b w:val="0"/>
          <w:color w:val="auto"/>
          <w:sz w:val="21"/>
          <w:szCs w:val="21"/>
          <w:highlight w:val="none"/>
          <w:lang w:eastAsia="zh-CN"/>
        </w:rPr>
        <w:t>采购人或采购代理机构</w:t>
      </w:r>
      <w:r>
        <w:rPr>
          <w:rFonts w:ascii="宋体" w:hAnsi="宋体"/>
          <w:b w:val="0"/>
          <w:color w:val="auto"/>
          <w:sz w:val="21"/>
          <w:szCs w:val="21"/>
          <w:highlight w:val="none"/>
          <w:lang w:eastAsia="zh-CN"/>
        </w:rPr>
        <w:t>依法对投标人的资格进行审查。</w:t>
      </w:r>
    </w:p>
    <w:p>
      <w:pPr>
        <w:pStyle w:val="6"/>
        <w:spacing w:before="0" w:after="0" w:line="400" w:lineRule="exact"/>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lang w:eastAsia="zh-CN"/>
        </w:rPr>
        <w:t xml:space="preserve"> 25.2资格审查标准为本招标文件中载明对投标人资格要求的条件。本项目资格审查采用合格制，凡符合招标文件规定的投标人资格要求的投标人均通过资格审查。</w:t>
      </w:r>
    </w:p>
    <w:p>
      <w:pPr>
        <w:pStyle w:val="6"/>
        <w:numPr>
          <w:ilvl w:val="0"/>
          <w:numId w:val="0"/>
        </w:numPr>
        <w:spacing w:before="0" w:after="0" w:line="400" w:lineRule="exact"/>
        <w:ind w:firstLine="422" w:firstLineChars="200"/>
        <w:rPr>
          <w:rFonts w:hint="eastAsia" w:ascii="宋体" w:hAnsi="宋体"/>
          <w:color w:val="auto"/>
          <w:sz w:val="21"/>
          <w:szCs w:val="21"/>
          <w:highlight w:val="none"/>
          <w:lang w:eastAsia="zh-CN"/>
        </w:rPr>
      </w:pPr>
      <w:bookmarkStart w:id="131" w:name="_25.3_投标人有下列情形之一的，资格审查不通过而导致其投标无效："/>
      <w:bookmarkEnd w:id="131"/>
      <w:r>
        <w:rPr>
          <w:rFonts w:hint="eastAsia" w:ascii="宋体" w:hAnsi="宋体"/>
          <w:color w:val="auto"/>
          <w:sz w:val="21"/>
          <w:szCs w:val="21"/>
          <w:highlight w:val="none"/>
          <w:lang w:eastAsia="zh-CN"/>
        </w:rPr>
        <w:t>25.3 投标人有下列情形之一的，资格审查不通过而导致其投标无效：</w:t>
      </w:r>
    </w:p>
    <w:p>
      <w:pPr>
        <w:pStyle w:val="23"/>
        <w:snapToGrid w:val="0"/>
        <w:spacing w:line="400" w:lineRule="exact"/>
        <w:ind w:firstLine="413" w:firstLineChars="196"/>
        <w:rPr>
          <w:rFonts w:hint="eastAsia" w:hAnsi="宋体"/>
          <w:b/>
          <w:color w:val="auto"/>
          <w:sz w:val="21"/>
          <w:highlight w:val="none"/>
          <w:lang w:eastAsia="zh-CN"/>
        </w:rPr>
      </w:pPr>
      <w:r>
        <w:rPr>
          <w:rFonts w:hint="eastAsia" w:hAnsi="宋体"/>
          <w:b/>
          <w:color w:val="auto"/>
          <w:sz w:val="21"/>
          <w:highlight w:val="none"/>
        </w:rPr>
        <w:t>（1）</w:t>
      </w:r>
      <w:r>
        <w:rPr>
          <w:rFonts w:hint="eastAsia" w:hAnsi="宋体"/>
          <w:b/>
          <w:color w:val="auto"/>
          <w:sz w:val="21"/>
          <w:highlight w:val="none"/>
          <w:lang w:val="en-US" w:eastAsia="zh-CN"/>
        </w:rPr>
        <w:t>不具备招标文件中规定的资格要求的</w:t>
      </w:r>
      <w:r>
        <w:rPr>
          <w:rFonts w:hint="eastAsia" w:hAnsi="宋体"/>
          <w:b/>
          <w:color w:val="auto"/>
          <w:sz w:val="21"/>
          <w:highlight w:val="none"/>
          <w:lang w:eastAsia="zh-CN"/>
        </w:rPr>
        <w:t>；（</w:t>
      </w:r>
      <w:r>
        <w:rPr>
          <w:rFonts w:hint="eastAsia" w:hAnsi="宋体"/>
          <w:b/>
          <w:color w:val="auto"/>
          <w:sz w:val="21"/>
          <w:highlight w:val="none"/>
        </w:rPr>
        <w:t>注：其中信用查询由</w:t>
      </w:r>
      <w:r>
        <w:rPr>
          <w:rFonts w:hint="eastAsia" w:hAnsi="宋体"/>
          <w:b/>
          <w:color w:val="auto"/>
          <w:sz w:val="21"/>
          <w:highlight w:val="none"/>
          <w:lang w:eastAsia="zh-CN"/>
        </w:rPr>
        <w:t>采购人或采购代理机构在“信用中国”网站(www.creditchina.gov.cn) 、中国政府采购网(www.ccgp.gov.cn)对投标人资格审查时进行</w:t>
      </w:r>
      <w:r>
        <w:rPr>
          <w:rFonts w:hint="eastAsia" w:hAnsi="宋体"/>
          <w:b/>
          <w:color w:val="auto"/>
          <w:sz w:val="21"/>
          <w:highlight w:val="none"/>
        </w:rPr>
        <w:t>，查询规则见“投标人须知前附表”</w:t>
      </w:r>
      <w:r>
        <w:rPr>
          <w:rFonts w:hint="eastAsia" w:hAnsi="宋体"/>
          <w:b/>
          <w:color w:val="auto"/>
          <w:sz w:val="21"/>
          <w:highlight w:val="none"/>
          <w:lang w:eastAsia="zh-CN"/>
        </w:rPr>
        <w:t>）</w:t>
      </w:r>
    </w:p>
    <w:p>
      <w:pPr>
        <w:pStyle w:val="23"/>
        <w:snapToGrid w:val="0"/>
        <w:spacing w:line="400" w:lineRule="exact"/>
        <w:ind w:firstLine="422" w:firstLineChars="200"/>
        <w:rPr>
          <w:rFonts w:hint="eastAsia" w:hAnsi="宋体"/>
          <w:b/>
          <w:color w:val="auto"/>
          <w:sz w:val="21"/>
          <w:highlight w:val="none"/>
          <w:lang w:eastAsia="zh-CN"/>
        </w:rPr>
      </w:pPr>
      <w:r>
        <w:rPr>
          <w:rFonts w:hint="eastAsia" w:hAnsi="宋体"/>
          <w:b/>
          <w:color w:val="auto"/>
          <w:sz w:val="21"/>
          <w:highlight w:val="none"/>
        </w:rPr>
        <w:t>（2）未</w:t>
      </w:r>
      <w:r>
        <w:rPr>
          <w:rFonts w:hint="eastAsia" w:hAnsi="宋体"/>
          <w:b/>
          <w:color w:val="auto"/>
          <w:sz w:val="21"/>
          <w:highlight w:val="none"/>
          <w:lang w:eastAsia="zh-CN"/>
        </w:rPr>
        <w:t>按招标文件规定的方式获取</w:t>
      </w:r>
      <w:r>
        <w:rPr>
          <w:rFonts w:hint="eastAsia" w:hAnsi="宋体"/>
          <w:b/>
          <w:color w:val="auto"/>
          <w:sz w:val="21"/>
          <w:highlight w:val="none"/>
        </w:rPr>
        <w:t>本招标文件的投标人</w:t>
      </w:r>
      <w:r>
        <w:rPr>
          <w:rFonts w:hint="eastAsia" w:hAnsi="宋体"/>
          <w:b/>
          <w:color w:val="auto"/>
          <w:sz w:val="21"/>
          <w:highlight w:val="none"/>
          <w:lang w:eastAsia="zh-CN"/>
        </w:rPr>
        <w:t>；</w:t>
      </w:r>
    </w:p>
    <w:p>
      <w:pPr>
        <w:pStyle w:val="23"/>
        <w:snapToGrid w:val="0"/>
        <w:spacing w:line="400" w:lineRule="exact"/>
        <w:ind w:firstLine="422" w:firstLineChars="200"/>
        <w:rPr>
          <w:rFonts w:hint="eastAsia" w:hAnsi="宋体"/>
          <w:b/>
          <w:color w:val="auto"/>
          <w:sz w:val="21"/>
          <w:highlight w:val="none"/>
          <w:lang w:val="en-US" w:eastAsia="zh-CN"/>
        </w:rPr>
      </w:pPr>
      <w:r>
        <w:rPr>
          <w:rFonts w:hint="eastAsia" w:hAnsi="宋体"/>
          <w:b/>
          <w:color w:val="auto"/>
          <w:sz w:val="21"/>
          <w:highlight w:val="none"/>
        </w:rPr>
        <w:t>（</w:t>
      </w:r>
      <w:r>
        <w:rPr>
          <w:rFonts w:hint="eastAsia" w:hAnsi="宋体"/>
          <w:b/>
          <w:color w:val="auto"/>
          <w:sz w:val="21"/>
          <w:highlight w:val="none"/>
          <w:lang w:eastAsia="zh-CN"/>
        </w:rPr>
        <w:t>3</w:t>
      </w:r>
      <w:r>
        <w:rPr>
          <w:rFonts w:hint="eastAsia" w:hAnsi="宋体"/>
          <w:b/>
          <w:color w:val="auto"/>
          <w:sz w:val="21"/>
          <w:highlight w:val="none"/>
        </w:rPr>
        <w:t>）投标文件未提供</w:t>
      </w:r>
      <w:r>
        <w:rPr>
          <w:rFonts w:hint="eastAsia" w:hAnsi="宋体"/>
          <w:b/>
          <w:color w:val="auto"/>
          <w:sz w:val="21"/>
          <w:highlight w:val="none"/>
          <w:lang w:eastAsia="zh-CN"/>
        </w:rPr>
        <w:t>“投标人须知前附表”第</w:t>
      </w:r>
      <w:r>
        <w:rPr>
          <w:rFonts w:hint="eastAsia" w:hAnsi="宋体"/>
          <w:b/>
          <w:color w:val="auto"/>
          <w:sz w:val="21"/>
          <w:highlight w:val="none"/>
        </w:rPr>
        <w:t>13.2</w:t>
      </w:r>
      <w:r>
        <w:rPr>
          <w:rFonts w:hint="eastAsia" w:hAnsi="宋体"/>
          <w:b/>
          <w:color w:val="auto"/>
          <w:sz w:val="21"/>
          <w:highlight w:val="none"/>
          <w:lang w:eastAsia="zh-CN"/>
        </w:rPr>
        <w:t>条</w:t>
      </w:r>
      <w:r>
        <w:rPr>
          <w:rFonts w:hint="eastAsia" w:hAnsi="宋体"/>
          <w:b/>
          <w:color w:val="auto"/>
          <w:sz w:val="21"/>
          <w:highlight w:val="none"/>
        </w:rPr>
        <w:t>规定“必须提供”的文件资料的或提供的文件资料不合格的</w:t>
      </w:r>
      <w:r>
        <w:rPr>
          <w:rFonts w:hint="eastAsia" w:hAnsi="宋体"/>
          <w:b/>
          <w:color w:val="auto"/>
          <w:sz w:val="21"/>
          <w:highlight w:val="none"/>
          <w:lang w:eastAsia="zh-CN"/>
        </w:rPr>
        <w:t>；</w:t>
      </w:r>
    </w:p>
    <w:p>
      <w:pPr>
        <w:pStyle w:val="23"/>
        <w:snapToGrid w:val="0"/>
        <w:spacing w:line="400" w:lineRule="exact"/>
        <w:ind w:firstLine="422" w:firstLineChars="200"/>
        <w:rPr>
          <w:rFonts w:hint="eastAsia" w:hAnsi="宋体"/>
          <w:b/>
          <w:color w:val="auto"/>
          <w:sz w:val="21"/>
          <w:highlight w:val="none"/>
        </w:rPr>
      </w:pPr>
      <w:r>
        <w:rPr>
          <w:rFonts w:hint="eastAsia" w:hAnsi="宋体"/>
          <w:b/>
          <w:color w:val="auto"/>
          <w:sz w:val="21"/>
          <w:highlight w:val="none"/>
          <w:lang w:val="en-US" w:eastAsia="zh-CN"/>
        </w:rPr>
        <w:t>（4）</w:t>
      </w:r>
      <w:r>
        <w:rPr>
          <w:rFonts w:hint="eastAsia" w:hAnsi="宋体"/>
          <w:b/>
          <w:color w:val="auto"/>
          <w:sz w:val="21"/>
          <w:highlight w:val="none"/>
        </w:rPr>
        <w:t>违反国家法律法规规定的其他资格内容的。</w:t>
      </w:r>
    </w:p>
    <w:p>
      <w:pPr>
        <w:pStyle w:val="6"/>
        <w:spacing w:before="0" w:after="0" w:line="400" w:lineRule="exact"/>
        <w:ind w:left="420" w:leftChars="200"/>
        <w:rPr>
          <w:rFonts w:hint="eastAsia" w:ascii="宋体" w:hAnsi="宋体"/>
          <w:b w:val="0"/>
          <w:color w:val="auto"/>
          <w:sz w:val="21"/>
          <w:szCs w:val="21"/>
          <w:highlight w:val="none"/>
          <w:lang w:eastAsia="zh-CN"/>
        </w:rPr>
      </w:pPr>
      <w:r>
        <w:rPr>
          <w:rFonts w:hint="eastAsia" w:ascii="宋体" w:hAnsi="宋体"/>
          <w:color w:val="auto"/>
          <w:sz w:val="21"/>
          <w:szCs w:val="21"/>
          <w:highlight w:val="none"/>
          <w:lang w:eastAsia="zh-CN"/>
        </w:rPr>
        <w:t>25.4资格审查的</w:t>
      </w:r>
      <w:r>
        <w:rPr>
          <w:rFonts w:ascii="宋体" w:hAnsi="宋体"/>
          <w:color w:val="auto"/>
          <w:sz w:val="21"/>
          <w:szCs w:val="21"/>
          <w:highlight w:val="none"/>
          <w:lang w:eastAsia="zh-CN"/>
        </w:rPr>
        <w:t>合格投标人不足3家的，不得评标。</w:t>
      </w:r>
    </w:p>
    <w:p>
      <w:pPr>
        <w:pStyle w:val="23"/>
        <w:snapToGrid w:val="0"/>
        <w:ind w:left="689" w:leftChars="228" w:hanging="210" w:hangingChars="100"/>
        <w:rPr>
          <w:rFonts w:hint="eastAsia" w:hAnsi="宋体"/>
          <w:color w:val="auto"/>
          <w:sz w:val="21"/>
          <w:highlight w:val="none"/>
          <w:lang w:eastAsia="zh-CN"/>
        </w:rPr>
      </w:pPr>
    </w:p>
    <w:p>
      <w:pPr>
        <w:pStyle w:val="23"/>
        <w:snapToGrid w:val="0"/>
        <w:ind w:left="689" w:leftChars="228" w:hanging="210" w:hangingChars="100"/>
        <w:rPr>
          <w:rFonts w:hint="eastAsia" w:hAnsi="宋体"/>
          <w:color w:val="auto"/>
          <w:sz w:val="21"/>
          <w:highlight w:val="none"/>
          <w:lang w:eastAsia="zh-CN"/>
        </w:rPr>
      </w:pPr>
    </w:p>
    <w:p>
      <w:pPr>
        <w:pStyle w:val="5"/>
        <w:jc w:val="center"/>
        <w:rPr>
          <w:rFonts w:hint="eastAsia" w:ascii="宋体" w:hAnsi="宋体"/>
          <w:b w:val="0"/>
          <w:color w:val="auto"/>
          <w:sz w:val="21"/>
          <w:szCs w:val="21"/>
          <w:highlight w:val="none"/>
        </w:rPr>
      </w:pPr>
      <w:r>
        <w:rPr>
          <w:rFonts w:hint="eastAsia"/>
          <w:color w:val="auto"/>
          <w:highlight w:val="none"/>
        </w:rPr>
        <w:t>六、评   标</w:t>
      </w:r>
    </w:p>
    <w:p>
      <w:pPr>
        <w:pStyle w:val="6"/>
        <w:spacing w:before="0" w:after="0" w:line="400" w:lineRule="exact"/>
        <w:ind w:left="420" w:leftChars="200"/>
        <w:rPr>
          <w:rFonts w:hint="eastAsia" w:ascii="宋体" w:hAnsi="宋体"/>
          <w:color w:val="auto"/>
          <w:sz w:val="21"/>
          <w:szCs w:val="21"/>
          <w:highlight w:val="none"/>
          <w:lang w:eastAsia="zh-CN"/>
        </w:rPr>
      </w:pPr>
      <w:bookmarkStart w:id="132" w:name="_26.组建评标委员会"/>
      <w:bookmarkEnd w:id="132"/>
      <w:r>
        <w:rPr>
          <w:rFonts w:hint="eastAsia" w:ascii="宋体" w:hAnsi="宋体"/>
          <w:color w:val="auto"/>
          <w:sz w:val="21"/>
          <w:szCs w:val="21"/>
          <w:highlight w:val="none"/>
          <w:lang w:eastAsia="zh-CN"/>
        </w:rPr>
        <w:t>26.组建评标委员会</w:t>
      </w:r>
    </w:p>
    <w:p>
      <w:pPr>
        <w:pStyle w:val="23"/>
        <w:snapToGrid w:val="0"/>
        <w:spacing w:line="400" w:lineRule="exact"/>
        <w:ind w:firstLine="420" w:firstLineChars="200"/>
        <w:rPr>
          <w:rFonts w:hint="eastAsia" w:hAnsi="宋体"/>
          <w:color w:val="auto"/>
          <w:sz w:val="21"/>
          <w:highlight w:val="none"/>
          <w:lang w:eastAsia="zh-CN"/>
        </w:rPr>
      </w:pPr>
      <w:r>
        <w:rPr>
          <w:rFonts w:hint="eastAsia" w:hAnsi="宋体"/>
          <w:color w:val="auto"/>
          <w:sz w:val="21"/>
          <w:highlight w:val="none"/>
        </w:rPr>
        <w:t>评标委员会由采购人代表和评审专家组成，人数</w:t>
      </w:r>
      <w:r>
        <w:rPr>
          <w:rFonts w:hint="eastAsia" w:hAnsi="宋体"/>
          <w:color w:val="auto"/>
          <w:sz w:val="21"/>
          <w:highlight w:val="none"/>
          <w:lang w:eastAsia="zh-CN"/>
        </w:rPr>
        <w:t>见“投标人须知前附表”</w:t>
      </w:r>
      <w:r>
        <w:rPr>
          <w:rFonts w:hint="eastAsia" w:hAnsi="宋体"/>
          <w:color w:val="auto"/>
          <w:sz w:val="21"/>
          <w:highlight w:val="none"/>
        </w:rPr>
        <w:t>，其中评审专家不得少于成员总数的三分之二</w:t>
      </w:r>
      <w:r>
        <w:rPr>
          <w:rFonts w:hint="eastAsia" w:hAnsi="宋体"/>
          <w:color w:val="auto"/>
          <w:sz w:val="21"/>
          <w:highlight w:val="none"/>
          <w:lang w:eastAsia="zh-CN"/>
        </w:rPr>
        <w:t>。</w:t>
      </w:r>
    </w:p>
    <w:p>
      <w:pPr>
        <w:pStyle w:val="23"/>
        <w:snapToGrid w:val="0"/>
        <w:spacing w:line="400" w:lineRule="exact"/>
        <w:ind w:left="2" w:leftChars="1" w:firstLine="420" w:firstLineChars="200"/>
        <w:rPr>
          <w:rFonts w:hint="eastAsia" w:hAnsi="宋体"/>
          <w:color w:val="auto"/>
          <w:sz w:val="21"/>
          <w:highlight w:val="none"/>
          <w:lang w:eastAsia="zh-CN"/>
        </w:rPr>
      </w:pPr>
      <w:r>
        <w:rPr>
          <w:rFonts w:hint="eastAsia" w:hAnsi="宋体"/>
          <w:color w:val="auto"/>
          <w:sz w:val="21"/>
          <w:highlight w:val="none"/>
          <w:lang w:eastAsia="zh-CN"/>
        </w:rPr>
        <w:t>参加过采购项目前期咨询论证的专家，不得参加该采购项目的评审活动。</w:t>
      </w:r>
    </w:p>
    <w:p>
      <w:pPr>
        <w:pStyle w:val="6"/>
        <w:spacing w:before="0" w:after="0" w:line="400" w:lineRule="exact"/>
        <w:ind w:left="420" w:left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27.评标的依据</w:t>
      </w:r>
    </w:p>
    <w:p>
      <w:pPr>
        <w:pStyle w:val="23"/>
        <w:snapToGrid w:val="0"/>
        <w:spacing w:line="400" w:lineRule="exact"/>
        <w:ind w:firstLine="420" w:firstLineChars="200"/>
        <w:rPr>
          <w:rFonts w:hint="eastAsia" w:hAnsi="宋体"/>
          <w:color w:val="auto"/>
          <w:sz w:val="21"/>
          <w:highlight w:val="none"/>
          <w:lang w:eastAsia="zh-CN"/>
        </w:rPr>
      </w:pPr>
      <w:r>
        <w:rPr>
          <w:rFonts w:hint="eastAsia" w:hAnsi="宋体"/>
          <w:color w:val="auto"/>
          <w:sz w:val="21"/>
          <w:highlight w:val="none"/>
        </w:rPr>
        <w:t>评标</w:t>
      </w:r>
      <w:r>
        <w:rPr>
          <w:rFonts w:hint="eastAsia" w:hAnsi="宋体"/>
          <w:color w:val="auto"/>
          <w:sz w:val="21"/>
          <w:highlight w:val="none"/>
          <w:lang w:eastAsia="zh-CN"/>
        </w:rPr>
        <w:t>委员会以招标文件为依据对投标文件进行评审,</w:t>
      </w:r>
      <w:r>
        <w:rPr>
          <w:rFonts w:hint="eastAsia" w:hAnsi="宋体"/>
          <w:color w:val="auto"/>
          <w:sz w:val="21"/>
          <w:highlight w:val="none"/>
        </w:rPr>
        <w:t xml:space="preserve"> </w:t>
      </w:r>
      <w:r>
        <w:rPr>
          <w:rFonts w:hint="eastAsia" w:hAnsi="宋体"/>
          <w:color w:val="auto"/>
          <w:sz w:val="21"/>
          <w:highlight w:val="none"/>
          <w:lang w:eastAsia="zh-CN"/>
        </w:rPr>
        <w:t>招标文件中没有规定的评标标准不得作为评审的依据</w:t>
      </w:r>
      <w:r>
        <w:rPr>
          <w:rFonts w:hint="eastAsia" w:hAnsi="宋体"/>
          <w:color w:val="auto"/>
          <w:sz w:val="21"/>
          <w:highlight w:val="none"/>
        </w:rPr>
        <w:t>。</w:t>
      </w:r>
    </w:p>
    <w:p>
      <w:pPr>
        <w:pStyle w:val="23"/>
        <w:snapToGrid w:val="0"/>
        <w:spacing w:line="400" w:lineRule="exact"/>
        <w:ind w:firstLine="422" w:firstLineChars="200"/>
        <w:rPr>
          <w:rFonts w:hint="eastAsia" w:hAnsi="宋体"/>
          <w:b/>
          <w:color w:val="auto"/>
          <w:sz w:val="21"/>
          <w:highlight w:val="none"/>
          <w:lang w:eastAsia="zh-CN"/>
        </w:rPr>
      </w:pPr>
      <w:r>
        <w:rPr>
          <w:rFonts w:hint="eastAsia" w:hAnsi="宋体"/>
          <w:b/>
          <w:color w:val="auto"/>
          <w:sz w:val="21"/>
          <w:highlight w:val="none"/>
          <w:lang w:eastAsia="zh-CN"/>
        </w:rPr>
        <w:t>28.评标原则和评标办法</w:t>
      </w:r>
    </w:p>
    <w:p>
      <w:pPr>
        <w:pStyle w:val="23"/>
        <w:snapToGrid w:val="0"/>
        <w:spacing w:line="400" w:lineRule="exact"/>
        <w:ind w:firstLine="420" w:firstLineChars="200"/>
        <w:rPr>
          <w:rFonts w:hint="eastAsia" w:hAnsi="宋体"/>
          <w:color w:val="auto"/>
          <w:sz w:val="21"/>
          <w:highlight w:val="none"/>
          <w:lang w:eastAsia="zh-CN"/>
        </w:rPr>
      </w:pPr>
      <w:r>
        <w:rPr>
          <w:rFonts w:hint="eastAsia" w:hAnsi="宋体"/>
          <w:color w:val="auto"/>
          <w:sz w:val="21"/>
          <w:highlight w:val="none"/>
          <w:lang w:eastAsia="zh-CN"/>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收受利害关系人的财物或其他好处。</w:t>
      </w:r>
    </w:p>
    <w:p>
      <w:pPr>
        <w:pStyle w:val="23"/>
        <w:snapToGrid w:val="0"/>
        <w:spacing w:line="400" w:lineRule="exact"/>
        <w:ind w:firstLine="420" w:firstLineChars="200"/>
        <w:rPr>
          <w:rFonts w:hint="eastAsia" w:hAnsi="宋体"/>
          <w:color w:val="auto"/>
          <w:sz w:val="21"/>
          <w:highlight w:val="none"/>
          <w:lang w:eastAsia="zh-CN"/>
        </w:rPr>
      </w:pPr>
      <w:r>
        <w:rPr>
          <w:rFonts w:hint="eastAsia" w:hAnsi="宋体"/>
          <w:color w:val="auto"/>
          <w:sz w:val="21"/>
          <w:highlight w:val="none"/>
          <w:lang w:eastAsia="zh-CN"/>
        </w:rPr>
        <w:t>28.2评委表决。在评标过程中出现法律法规和招标文件均没有明确规定的情形时，由评标委员会现场协商解决，协商不一致的，由全体评委投票表决，以得票率二分之一以上专家的意见为准。</w:t>
      </w:r>
      <w:bookmarkStart w:id="133" w:name="_28.3评标方法。本项目将按须知前附表规定的评标办法进行评标，具体评标"/>
      <w:bookmarkEnd w:id="133"/>
    </w:p>
    <w:p>
      <w:pPr>
        <w:pStyle w:val="23"/>
        <w:snapToGrid w:val="0"/>
        <w:spacing w:line="400" w:lineRule="exact"/>
        <w:ind w:firstLine="420" w:firstLineChars="200"/>
        <w:rPr>
          <w:rFonts w:hint="eastAsia" w:hAnsi="宋体"/>
          <w:color w:val="auto"/>
          <w:sz w:val="21"/>
          <w:highlight w:val="none"/>
          <w:lang w:eastAsia="zh-CN"/>
        </w:rPr>
      </w:pPr>
      <w:r>
        <w:rPr>
          <w:rFonts w:hint="eastAsia" w:hAnsi="宋体"/>
          <w:color w:val="auto"/>
          <w:sz w:val="21"/>
          <w:highlight w:val="none"/>
          <w:lang w:eastAsia="zh-CN"/>
        </w:rPr>
        <w:t>28.3评标方法。本项目将按“投标人须知前附表”规定的评标方法进行评标，具体评标内容及评分标准等详见第四章：评标方法及评标标准。</w:t>
      </w:r>
    </w:p>
    <w:p>
      <w:pPr>
        <w:pStyle w:val="23"/>
        <w:snapToGrid w:val="0"/>
        <w:spacing w:line="400" w:lineRule="exact"/>
        <w:ind w:firstLine="420" w:firstLineChars="200"/>
        <w:rPr>
          <w:rFonts w:hint="eastAsia" w:hAnsi="宋体"/>
          <w:color w:val="auto"/>
          <w:sz w:val="21"/>
          <w:highlight w:val="none"/>
          <w:lang w:eastAsia="zh-CN"/>
        </w:rPr>
      </w:pPr>
      <w:r>
        <w:rPr>
          <w:rFonts w:hint="eastAsia" w:hAnsi="宋体"/>
          <w:color w:val="auto"/>
          <w:sz w:val="21"/>
          <w:highlight w:val="none"/>
          <w:lang w:eastAsia="zh-CN"/>
        </w:rPr>
        <w:t>28.4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23"/>
        <w:snapToGrid w:val="0"/>
        <w:spacing w:line="400" w:lineRule="exact"/>
        <w:ind w:firstLine="422" w:firstLineChars="200"/>
        <w:rPr>
          <w:rFonts w:hint="eastAsia" w:hAnsi="宋体"/>
          <w:b/>
          <w:color w:val="auto"/>
          <w:sz w:val="21"/>
          <w:highlight w:val="none"/>
          <w:lang w:eastAsia="zh-CN"/>
        </w:rPr>
      </w:pPr>
      <w:r>
        <w:rPr>
          <w:rFonts w:hint="eastAsia" w:hAnsi="宋体"/>
          <w:b/>
          <w:color w:val="auto"/>
          <w:sz w:val="21"/>
          <w:highlight w:val="none"/>
          <w:lang w:eastAsia="zh-CN"/>
        </w:rPr>
        <w:t>29.评标程序</w:t>
      </w:r>
    </w:p>
    <w:p>
      <w:pPr>
        <w:pStyle w:val="6"/>
        <w:spacing w:before="0" w:after="0" w:line="400" w:lineRule="exact"/>
        <w:ind w:left="420" w:leftChars="200"/>
        <w:rPr>
          <w:rFonts w:hint="eastAsia" w:ascii="微软雅黑" w:hAnsi="微软雅黑" w:eastAsia="微软雅黑"/>
          <w:color w:val="auto"/>
          <w:sz w:val="24"/>
          <w:highlight w:val="none"/>
          <w:lang w:val="en-US" w:eastAsia="zh-CN"/>
        </w:rPr>
      </w:pPr>
      <w:r>
        <w:rPr>
          <w:rFonts w:hint="eastAsia" w:ascii="微软雅黑" w:hAnsi="微软雅黑" w:eastAsia="微软雅黑"/>
          <w:color w:val="auto"/>
          <w:sz w:val="24"/>
          <w:highlight w:val="none"/>
          <w:lang w:val="en-US" w:eastAsia="zh-CN"/>
        </w:rPr>
        <w:t>29.1符合性审查</w:t>
      </w:r>
    </w:p>
    <w:p>
      <w:pPr>
        <w:pStyle w:val="23"/>
        <w:snapToGrid w:val="0"/>
        <w:spacing w:line="400" w:lineRule="exact"/>
        <w:ind w:left="1" w:firstLine="420"/>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评标委员会应当对符合资格的投标人的投标文件进行投标报价、商务、技术等实质性要求符合性审查，以确定其是否满足招标文件的实质性要求。</w:t>
      </w:r>
    </w:p>
    <w:p>
      <w:pPr>
        <w:pStyle w:val="6"/>
        <w:spacing w:before="0" w:after="0" w:line="400" w:lineRule="exact"/>
        <w:ind w:left="420" w:leftChars="200"/>
        <w:rPr>
          <w:rFonts w:hint="eastAsia" w:ascii="微软雅黑" w:hAnsi="微软雅黑" w:eastAsia="微软雅黑"/>
          <w:color w:val="auto"/>
          <w:sz w:val="24"/>
          <w:highlight w:val="none"/>
          <w:lang w:val="en-US" w:eastAsia="zh-CN"/>
        </w:rPr>
      </w:pPr>
      <w:r>
        <w:rPr>
          <w:rFonts w:hint="eastAsia" w:ascii="微软雅黑" w:hAnsi="微软雅黑" w:eastAsia="微软雅黑"/>
          <w:color w:val="auto"/>
          <w:sz w:val="24"/>
          <w:highlight w:val="none"/>
          <w:lang w:val="en-US" w:eastAsia="zh-CN"/>
        </w:rPr>
        <w:t>29.2符合性审查不通过而导致投标无效的情形</w:t>
      </w:r>
    </w:p>
    <w:p>
      <w:pPr>
        <w:snapToGrid w:val="0"/>
        <w:spacing w:line="400" w:lineRule="exact"/>
        <w:ind w:firstLine="480" w:firstLineChars="200"/>
        <w:rPr>
          <w:rFonts w:hint="eastAsia" w:ascii="微软雅黑" w:hAnsi="微软雅黑" w:eastAsia="微软雅黑"/>
          <w:b/>
          <w:color w:val="auto"/>
          <w:sz w:val="24"/>
          <w:highlight w:val="none"/>
        </w:rPr>
      </w:pPr>
      <w:r>
        <w:rPr>
          <w:rFonts w:hint="eastAsia" w:ascii="微软雅黑" w:hAnsi="微软雅黑" w:eastAsia="微软雅黑"/>
          <w:b/>
          <w:color w:val="auto"/>
          <w:sz w:val="24"/>
          <w:highlight w:val="none"/>
        </w:rPr>
        <w:t>投标人的投标文件中存在对招标文件的任何实质性要求和条件的负偏离，其投标将被视为投标无效。</w:t>
      </w:r>
    </w:p>
    <w:p>
      <w:pPr>
        <w:pStyle w:val="6"/>
        <w:spacing w:before="0" w:after="0" w:line="400" w:lineRule="exact"/>
        <w:ind w:left="420" w:leftChars="200"/>
        <w:rPr>
          <w:rFonts w:hint="eastAsia" w:ascii="微软雅黑" w:hAnsi="微软雅黑" w:eastAsia="微软雅黑"/>
          <w:color w:val="auto"/>
          <w:sz w:val="24"/>
          <w:highlight w:val="none"/>
          <w:lang w:val="en-US" w:eastAsia="zh-CN"/>
        </w:rPr>
      </w:pPr>
      <w:r>
        <w:rPr>
          <w:rFonts w:hint="eastAsia" w:ascii="微软雅黑" w:hAnsi="微软雅黑" w:eastAsia="微软雅黑"/>
          <w:color w:val="auto"/>
          <w:sz w:val="24"/>
          <w:highlight w:val="none"/>
          <w:lang w:val="en-US" w:eastAsia="zh-CN"/>
        </w:rPr>
        <w:t>29.2.1在报价评审时，如发现下列情形之一的，将被视为投标无效：</w:t>
      </w:r>
    </w:p>
    <w:p>
      <w:pPr>
        <w:pStyle w:val="7"/>
        <w:numPr>
          <w:ilvl w:val="0"/>
          <w:numId w:val="4"/>
        </w:numPr>
        <w:spacing w:line="400" w:lineRule="exact"/>
        <w:rPr>
          <w:rFonts w:hint="eastAsia" w:ascii="微软雅黑" w:hAnsi="微软雅黑" w:eastAsia="微软雅黑"/>
          <w:b/>
          <w:color w:val="auto"/>
          <w:sz w:val="24"/>
          <w:szCs w:val="24"/>
          <w:highlight w:val="none"/>
        </w:rPr>
      </w:pPr>
      <w:r>
        <w:rPr>
          <w:rFonts w:hint="eastAsia" w:ascii="微软雅黑" w:hAnsi="微软雅黑" w:eastAsia="微软雅黑"/>
          <w:b/>
          <w:color w:val="auto"/>
          <w:sz w:val="24"/>
          <w:szCs w:val="24"/>
          <w:highlight w:val="none"/>
        </w:rPr>
        <w:t>投标文件未提供“投标人须知前附表”第13.1条规定中“必须提供”的文件资料的;</w:t>
      </w:r>
    </w:p>
    <w:p>
      <w:pPr>
        <w:pStyle w:val="7"/>
        <w:numPr>
          <w:ilvl w:val="0"/>
          <w:numId w:val="4"/>
        </w:numPr>
        <w:spacing w:line="400" w:lineRule="exact"/>
        <w:rPr>
          <w:rFonts w:hint="eastAsia" w:ascii="微软雅黑" w:hAnsi="微软雅黑" w:eastAsia="微软雅黑"/>
          <w:b/>
          <w:color w:val="auto"/>
          <w:sz w:val="24"/>
          <w:szCs w:val="24"/>
          <w:highlight w:val="none"/>
        </w:rPr>
      </w:pPr>
      <w:r>
        <w:rPr>
          <w:rFonts w:hint="eastAsia" w:ascii="微软雅黑" w:hAnsi="微软雅黑" w:eastAsia="微软雅黑"/>
          <w:b/>
          <w:color w:val="auto"/>
          <w:sz w:val="24"/>
          <w:szCs w:val="24"/>
          <w:highlight w:val="none"/>
        </w:rPr>
        <w:t>未采用人民币报价或者未按照招标文件标明的币种报价的；</w:t>
      </w:r>
    </w:p>
    <w:p>
      <w:pPr>
        <w:pStyle w:val="7"/>
        <w:numPr>
          <w:ilvl w:val="0"/>
          <w:numId w:val="4"/>
        </w:numPr>
        <w:spacing w:line="400" w:lineRule="exact"/>
        <w:rPr>
          <w:rFonts w:hint="eastAsia" w:ascii="微软雅黑" w:hAnsi="微软雅黑" w:eastAsia="微软雅黑"/>
          <w:b/>
          <w:color w:val="auto"/>
          <w:sz w:val="24"/>
          <w:szCs w:val="24"/>
          <w:highlight w:val="none"/>
        </w:rPr>
      </w:pPr>
      <w:r>
        <w:rPr>
          <w:rFonts w:hint="eastAsia" w:ascii="微软雅黑" w:hAnsi="微软雅黑" w:eastAsia="微软雅黑"/>
          <w:b/>
          <w:color w:val="auto"/>
          <w:sz w:val="24"/>
          <w:szCs w:val="24"/>
          <w:highlight w:val="none"/>
        </w:rPr>
        <w:t>报价超出招标文件规定最高限价，或者超出采购预算金额的；</w:t>
      </w:r>
    </w:p>
    <w:p>
      <w:pPr>
        <w:pStyle w:val="7"/>
        <w:numPr>
          <w:ilvl w:val="0"/>
          <w:numId w:val="4"/>
        </w:numPr>
        <w:spacing w:line="400" w:lineRule="exact"/>
        <w:rPr>
          <w:rFonts w:hint="eastAsia" w:ascii="微软雅黑" w:hAnsi="微软雅黑" w:eastAsia="微软雅黑"/>
          <w:b/>
          <w:color w:val="auto"/>
          <w:sz w:val="24"/>
          <w:szCs w:val="24"/>
          <w:highlight w:val="none"/>
        </w:rPr>
      </w:pPr>
      <w:r>
        <w:rPr>
          <w:rFonts w:hint="eastAsia" w:ascii="微软雅黑" w:hAnsi="微软雅黑" w:eastAsia="微软雅黑"/>
          <w:b/>
          <w:color w:val="auto"/>
          <w:sz w:val="24"/>
          <w:szCs w:val="24"/>
          <w:highlight w:val="none"/>
        </w:rPr>
        <w:t>投标人未就所投分标进行报价或存在漏项报价；投标人未就所投分标的单项内容作唯一报价；投标人未就所投分标的全部内容作唯一总价报价；存在有选择、有条件报价的（招标文件允许有备选方案或其他约定的除外）；</w:t>
      </w:r>
    </w:p>
    <w:p>
      <w:pPr>
        <w:pStyle w:val="7"/>
        <w:numPr>
          <w:ilvl w:val="0"/>
          <w:numId w:val="4"/>
        </w:numPr>
        <w:spacing w:line="400" w:lineRule="exact"/>
        <w:rPr>
          <w:rFonts w:hint="eastAsia" w:ascii="微软雅黑" w:hAnsi="微软雅黑" w:eastAsia="微软雅黑"/>
          <w:b/>
          <w:color w:val="auto"/>
          <w:sz w:val="24"/>
          <w:highlight w:val="none"/>
        </w:rPr>
      </w:pPr>
      <w:r>
        <w:rPr>
          <w:rFonts w:hint="eastAsia" w:ascii="微软雅黑" w:hAnsi="微软雅黑" w:eastAsia="微软雅黑"/>
          <w:b/>
          <w:color w:val="auto"/>
          <w:sz w:val="24"/>
          <w:szCs w:val="24"/>
          <w:highlight w:val="none"/>
        </w:rPr>
        <w:t>修正后的报价，投标人不确认的；</w:t>
      </w:r>
    </w:p>
    <w:p>
      <w:pPr>
        <w:pStyle w:val="7"/>
        <w:numPr>
          <w:ilvl w:val="0"/>
          <w:numId w:val="4"/>
        </w:numPr>
        <w:spacing w:line="400" w:lineRule="exact"/>
        <w:rPr>
          <w:rFonts w:hint="eastAsia" w:ascii="微软雅黑" w:hAnsi="微软雅黑" w:eastAsia="微软雅黑"/>
          <w:b/>
          <w:color w:val="auto"/>
          <w:sz w:val="24"/>
          <w:highlight w:val="none"/>
        </w:rPr>
      </w:pPr>
      <w:r>
        <w:rPr>
          <w:rFonts w:hint="eastAsia" w:ascii="微软雅黑" w:hAnsi="微软雅黑" w:eastAsia="微软雅黑"/>
          <w:b/>
          <w:color w:val="auto"/>
          <w:sz w:val="24"/>
          <w:highlight w:val="none"/>
        </w:rPr>
        <w:t>投标人属于本须知第29.4条第（2）项情形的；</w:t>
      </w:r>
    </w:p>
    <w:p>
      <w:pPr>
        <w:pStyle w:val="6"/>
        <w:spacing w:before="0" w:after="0" w:line="400" w:lineRule="exact"/>
        <w:ind w:left="420" w:leftChars="200"/>
        <w:rPr>
          <w:rFonts w:hint="eastAsia" w:ascii="微软雅黑" w:hAnsi="微软雅黑" w:eastAsia="微软雅黑"/>
          <w:b w:val="0"/>
          <w:color w:val="auto"/>
          <w:sz w:val="24"/>
          <w:highlight w:val="none"/>
        </w:rPr>
      </w:pPr>
      <w:r>
        <w:rPr>
          <w:rFonts w:hint="eastAsia" w:ascii="微软雅黑" w:hAnsi="微软雅黑" w:eastAsia="微软雅黑"/>
          <w:color w:val="auto"/>
          <w:sz w:val="24"/>
          <w:highlight w:val="none"/>
          <w:lang w:val="en-US" w:eastAsia="zh-CN"/>
        </w:rPr>
        <w:t>29.2.2在商务评审时，如发现下列情形之一的，将被视为投标无效：</w:t>
      </w:r>
    </w:p>
    <w:p>
      <w:pPr>
        <w:pStyle w:val="7"/>
        <w:numPr>
          <w:ilvl w:val="0"/>
          <w:numId w:val="5"/>
        </w:numPr>
        <w:spacing w:line="400" w:lineRule="exact"/>
        <w:ind w:firstLine="480" w:firstLineChars="200"/>
        <w:rPr>
          <w:rFonts w:hint="eastAsia" w:ascii="微软雅黑" w:hAnsi="微软雅黑" w:eastAsia="微软雅黑"/>
          <w:b/>
          <w:color w:val="auto"/>
          <w:sz w:val="24"/>
          <w:highlight w:val="none"/>
          <w:shd w:val="clear" w:color="auto" w:fill="FFFFFF"/>
        </w:rPr>
      </w:pPr>
      <w:r>
        <w:rPr>
          <w:rFonts w:hint="eastAsia" w:ascii="微软雅黑" w:hAnsi="微软雅黑" w:eastAsia="微软雅黑"/>
          <w:b/>
          <w:color w:val="auto"/>
          <w:sz w:val="24"/>
          <w:highlight w:val="none"/>
          <w:shd w:val="clear" w:color="auto" w:fill="FFFFFF"/>
        </w:rPr>
        <w:t>投标文件未按招标文件要求签署、盖章的；</w:t>
      </w:r>
    </w:p>
    <w:p>
      <w:pPr>
        <w:pStyle w:val="7"/>
        <w:numPr>
          <w:ilvl w:val="0"/>
          <w:numId w:val="5"/>
        </w:numPr>
        <w:spacing w:line="400" w:lineRule="exact"/>
        <w:ind w:firstLine="480" w:firstLineChars="200"/>
        <w:rPr>
          <w:rFonts w:hint="eastAsia" w:ascii="微软雅黑" w:hAnsi="微软雅黑" w:eastAsia="微软雅黑"/>
          <w:b/>
          <w:color w:val="auto"/>
          <w:sz w:val="24"/>
          <w:szCs w:val="24"/>
          <w:highlight w:val="none"/>
          <w:shd w:val="clear" w:color="auto" w:fill="FFFFFF"/>
        </w:rPr>
      </w:pPr>
      <w:r>
        <w:rPr>
          <w:rFonts w:hint="eastAsia" w:ascii="微软雅黑" w:hAnsi="微软雅黑" w:eastAsia="微软雅黑"/>
          <w:b/>
          <w:color w:val="auto"/>
          <w:sz w:val="24"/>
          <w:highlight w:val="none"/>
          <w:shd w:val="clear" w:color="auto" w:fill="FFFFFF"/>
        </w:rPr>
        <w:t xml:space="preserve">委托代理人未能出具有效身份证明或出具的身份证明与授权委托书中的信息不符的； </w:t>
      </w:r>
    </w:p>
    <w:p>
      <w:pPr>
        <w:pStyle w:val="18"/>
        <w:snapToGrid w:val="0"/>
        <w:spacing w:line="400" w:lineRule="exact"/>
        <w:ind w:firstLine="471" w:firstLineChars="196"/>
        <w:rPr>
          <w:rFonts w:hint="eastAsia" w:ascii="微软雅黑" w:hAnsi="微软雅黑" w:eastAsia="微软雅黑"/>
          <w:b/>
          <w:color w:val="auto"/>
          <w:kern w:val="2"/>
          <w:sz w:val="24"/>
          <w:szCs w:val="24"/>
          <w:highlight w:val="none"/>
          <w:shd w:val="clear" w:color="auto" w:fill="FFFFFF"/>
          <w:lang w:val="en-US" w:eastAsia="zh-CN"/>
        </w:rPr>
      </w:pPr>
      <w:r>
        <w:rPr>
          <w:rFonts w:hint="eastAsia" w:ascii="微软雅黑" w:hAnsi="微软雅黑" w:eastAsia="微软雅黑"/>
          <w:b/>
          <w:color w:val="auto"/>
          <w:kern w:val="2"/>
          <w:sz w:val="24"/>
          <w:szCs w:val="24"/>
          <w:highlight w:val="none"/>
          <w:shd w:val="clear" w:color="auto" w:fill="FFFFFF"/>
          <w:lang w:val="en-US" w:eastAsia="zh-CN"/>
        </w:rPr>
        <w:t>（4）投标文件未提供“投标人须知前附表”第13.3条规定中“必须提供”或者“委托时必须提供”的文件资料的;</w:t>
      </w:r>
    </w:p>
    <w:p>
      <w:pPr>
        <w:pStyle w:val="18"/>
        <w:snapToGrid w:val="0"/>
        <w:spacing w:line="400" w:lineRule="exact"/>
        <w:ind w:firstLine="471" w:firstLineChars="196"/>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（5）投标有效期、项目完成时间（交货时间、服务完成时间或服务期等）、质保期、售后服务等招标文件中标“▲”的商务条款发生负偏离的；</w:t>
      </w:r>
    </w:p>
    <w:p>
      <w:pPr>
        <w:pStyle w:val="18"/>
        <w:snapToGrid w:val="0"/>
        <w:spacing w:line="400" w:lineRule="exact"/>
        <w:ind w:firstLine="471" w:firstLineChars="196"/>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（6）商务评审允许负偏离的项目数超过“投标人须知前附表”规定项数的。</w:t>
      </w:r>
    </w:p>
    <w:p>
      <w:pPr>
        <w:pStyle w:val="18"/>
        <w:snapToGrid w:val="0"/>
        <w:spacing w:line="400" w:lineRule="exact"/>
        <w:ind w:firstLine="471" w:firstLineChars="196"/>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（7）投标文件的实质性内容未使用中文表述、使用计量单位不符合招标文件要求的；</w:t>
      </w:r>
    </w:p>
    <w:p>
      <w:pPr>
        <w:pStyle w:val="18"/>
        <w:snapToGrid w:val="0"/>
        <w:spacing w:line="400" w:lineRule="exact"/>
        <w:ind w:firstLine="471" w:firstLineChars="196"/>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（8）投标文件中的文件资料因填写不齐全或者内容虚假或者出现其他情形而导致被评标委员会认定无效的；</w:t>
      </w:r>
    </w:p>
    <w:p>
      <w:pPr>
        <w:pStyle w:val="18"/>
        <w:snapToGrid w:val="0"/>
        <w:spacing w:line="400" w:lineRule="exact"/>
        <w:ind w:firstLine="471" w:firstLineChars="196"/>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（9）投标文件含有采购人不能接受的附加条件的；</w:t>
      </w:r>
    </w:p>
    <w:p>
      <w:pPr>
        <w:pStyle w:val="18"/>
        <w:snapToGrid w:val="0"/>
        <w:spacing w:line="400" w:lineRule="exact"/>
        <w:ind w:firstLine="471" w:firstLineChars="196"/>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（10）未响应招标文件实质性要求的；</w:t>
      </w:r>
    </w:p>
    <w:p>
      <w:pPr>
        <w:pStyle w:val="18"/>
        <w:snapToGrid w:val="0"/>
        <w:spacing w:line="400" w:lineRule="exact"/>
        <w:ind w:firstLine="471" w:firstLineChars="196"/>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（11）属于投标人须知第8.6条和第8.8条（2）的情形的；</w:t>
      </w:r>
    </w:p>
    <w:p>
      <w:pPr>
        <w:pStyle w:val="18"/>
        <w:snapToGrid w:val="0"/>
        <w:spacing w:line="400" w:lineRule="exact"/>
        <w:ind w:firstLine="471" w:firstLineChars="196"/>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（12）法律、法规和招标文件规定的其他无效情形。</w:t>
      </w:r>
    </w:p>
    <w:p>
      <w:pPr>
        <w:pStyle w:val="6"/>
        <w:spacing w:before="0" w:after="0" w:line="400" w:lineRule="exact"/>
        <w:ind w:left="420" w:leftChars="200"/>
        <w:rPr>
          <w:rFonts w:hint="eastAsia" w:ascii="微软雅黑" w:hAnsi="微软雅黑" w:eastAsia="微软雅黑"/>
          <w:color w:val="auto"/>
          <w:sz w:val="24"/>
          <w:highlight w:val="none"/>
          <w:lang w:val="en-US" w:eastAsia="zh-CN"/>
        </w:rPr>
      </w:pPr>
      <w:bookmarkStart w:id="134" w:name="_29.2.2在技术评审时，如发现下列情形之一的，将被视为投标无效："/>
      <w:bookmarkEnd w:id="134"/>
      <w:r>
        <w:rPr>
          <w:rFonts w:hint="eastAsia" w:ascii="微软雅黑" w:hAnsi="微软雅黑" w:eastAsia="微软雅黑"/>
          <w:color w:val="auto"/>
          <w:sz w:val="24"/>
          <w:highlight w:val="none"/>
          <w:lang w:val="en-US" w:eastAsia="zh-CN"/>
        </w:rPr>
        <w:t>29.2.3在技术评审时，如发现下列情形之一的，将被视为投标无效：</w:t>
      </w:r>
    </w:p>
    <w:p>
      <w:pPr>
        <w:pStyle w:val="18"/>
        <w:snapToGrid w:val="0"/>
        <w:spacing w:line="400" w:lineRule="exact"/>
        <w:ind w:firstLine="471" w:firstLineChars="196"/>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（1）明显不满足招标文件要求的技术规格、安全、质量标准，或者与招标文件中标“▲”的技术指标、主要功能发生负偏离的；</w:t>
      </w:r>
    </w:p>
    <w:p>
      <w:pPr>
        <w:pStyle w:val="18"/>
        <w:snapToGrid w:val="0"/>
        <w:spacing w:line="400" w:lineRule="exact"/>
        <w:ind w:firstLine="471" w:firstLineChars="196"/>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（2）技术评审允许负偏离的项目数超过“投标人须知前附表”规定项数的；</w:t>
      </w:r>
    </w:p>
    <w:p>
      <w:pPr>
        <w:pStyle w:val="18"/>
        <w:snapToGrid w:val="0"/>
        <w:spacing w:line="400" w:lineRule="exact"/>
        <w:ind w:firstLine="471" w:firstLineChars="196"/>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（3）投标文件未提供“投标人须知前附表”第13.4条规定中“必须提供”的文件资料的;</w:t>
      </w:r>
    </w:p>
    <w:p>
      <w:pPr>
        <w:pStyle w:val="18"/>
        <w:snapToGrid w:val="0"/>
        <w:spacing w:line="400" w:lineRule="exact"/>
        <w:ind w:firstLine="471" w:firstLineChars="196"/>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（4）虚假投标，或者出现其他情形而导致被评标委员会认定无效的；</w:t>
      </w:r>
    </w:p>
    <w:p>
      <w:pPr>
        <w:pStyle w:val="18"/>
        <w:snapToGrid w:val="0"/>
        <w:spacing w:line="400" w:lineRule="exact"/>
        <w:ind w:firstLine="471" w:firstLineChars="196"/>
        <w:rPr>
          <w:rFonts w:hint="eastAsia" w:ascii="宋体" w:hAnsi="宋体" w:eastAsia="宋体"/>
          <w:color w:val="auto"/>
          <w:sz w:val="21"/>
          <w:szCs w:val="21"/>
          <w:highlight w:val="none"/>
          <w:lang w:eastAsia="zh-CN"/>
        </w:rPr>
      </w:pPr>
      <w:r>
        <w:rPr>
          <w:rFonts w:hint="eastAsia" w:ascii="微软雅黑" w:hAnsi="微软雅黑" w:eastAsia="微软雅黑"/>
          <w:b/>
          <w:color w:val="auto"/>
          <w:kern w:val="2"/>
          <w:sz w:val="24"/>
          <w:szCs w:val="24"/>
          <w:highlight w:val="none"/>
          <w:lang w:val="en-US" w:eastAsia="zh-CN"/>
        </w:rPr>
        <w:t>（5）投标技术方案不明确，招标文件未允许但存在一个或一个以上备选（替代）投标方案的。</w:t>
      </w:r>
    </w:p>
    <w:p>
      <w:pPr>
        <w:pStyle w:val="6"/>
        <w:spacing w:before="0" w:after="0" w:line="400" w:lineRule="exact"/>
        <w:ind w:left="420" w:left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29.3澄清补正</w:t>
      </w:r>
    </w:p>
    <w:p>
      <w:pPr>
        <w:snapToGrid w:val="0"/>
        <w:spacing w:line="400" w:lineRule="exact"/>
        <w:ind w:firstLine="420" w:firstLineChars="200"/>
        <w:rPr>
          <w:rFonts w:hint="eastAsia" w:ascii="宋体" w:hAnsi="宋体"/>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当以书面形式要求投标人在规定时间内作出必要的澄清、说明或者纠正。投标人的澄清、说明或者补正应当采用书面形式，并加盖公章，或者由法定代表人（负责人或自然人）或其授权的代表签字。投标人的澄清、说明或者补正不得超出投标文件的范围或者改变投标文件的实质性内容。</w:t>
      </w:r>
    </w:p>
    <w:p>
      <w:pPr>
        <w:pStyle w:val="6"/>
        <w:spacing w:before="0" w:after="0" w:line="400" w:lineRule="exact"/>
        <w:ind w:left="420" w:left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29.4比较与评价</w:t>
      </w:r>
    </w:p>
    <w:p>
      <w:pPr>
        <w:pStyle w:val="23"/>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（1）评标委员会按照招标文件中规定的评标方法和评标标准，对符合性审查合格的投标文件进行商务和技术评估，综合比较与评价。</w:t>
      </w:r>
    </w:p>
    <w:p>
      <w:pPr>
        <w:pStyle w:val="23"/>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（2）评标委员会应当独立对每个投标人的投标文件进行评价，并汇总每个投标人的得分。</w:t>
      </w:r>
    </w:p>
    <w:p>
      <w:pPr>
        <w:pStyle w:val="23"/>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微软雅黑" w:hAnsi="微软雅黑" w:eastAsia="微软雅黑"/>
          <w:b/>
          <w:color w:val="auto"/>
          <w:kern w:val="2"/>
          <w:sz w:val="24"/>
          <w:szCs w:val="24"/>
          <w:highlight w:val="none"/>
          <w:lang w:val="en-US" w:eastAsia="zh-CN"/>
        </w:rPr>
        <w:t>评标委员会应当将其作为无效投标处理</w:t>
      </w:r>
      <w:r>
        <w:rPr>
          <w:rFonts w:hint="eastAsia" w:hAnsi="宋体"/>
          <w:color w:val="auto"/>
          <w:sz w:val="21"/>
          <w:highlight w:val="none"/>
        </w:rPr>
        <w:t>。</w:t>
      </w:r>
    </w:p>
    <w:p>
      <w:pPr>
        <w:pStyle w:val="23"/>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（3）评标委员会按照招标文件中规定的评标方法和标准计算各投标人的报价得分。在计算过程中，不得去掉最高报价或最低报价。</w:t>
      </w:r>
    </w:p>
    <w:p>
      <w:pPr>
        <w:pStyle w:val="23"/>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（4）各投标人的得分为所有评委的有效评分的算术平均数。</w:t>
      </w:r>
    </w:p>
    <w:p>
      <w:pPr>
        <w:pStyle w:val="23"/>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（5）评标委员会按照招标文件中</w:t>
      </w:r>
      <w:r>
        <w:rPr>
          <w:rFonts w:hint="eastAsia" w:hAnsi="宋体"/>
          <w:color w:val="auto"/>
          <w:sz w:val="21"/>
          <w:highlight w:val="none"/>
          <w:lang w:eastAsia="zh-CN"/>
        </w:rPr>
        <w:t>的</w:t>
      </w:r>
      <w:r>
        <w:rPr>
          <w:rFonts w:hint="eastAsia" w:hAnsi="宋体"/>
          <w:color w:val="auto"/>
          <w:sz w:val="21"/>
          <w:highlight w:val="none"/>
        </w:rPr>
        <w:t>规定推荐中标候选人。</w:t>
      </w:r>
    </w:p>
    <w:p>
      <w:pPr>
        <w:pStyle w:val="23"/>
        <w:snapToGrid w:val="0"/>
        <w:spacing w:line="400" w:lineRule="exact"/>
        <w:ind w:firstLine="420" w:firstLineChars="200"/>
        <w:rPr>
          <w:rFonts w:hint="eastAsia" w:hAnsi="宋体"/>
          <w:color w:val="auto"/>
          <w:sz w:val="21"/>
          <w:highlight w:val="none"/>
          <w:lang w:eastAsia="zh-CN"/>
        </w:rPr>
      </w:pPr>
      <w:r>
        <w:rPr>
          <w:rFonts w:hint="eastAsia" w:hAnsi="宋体"/>
          <w:color w:val="auto"/>
          <w:sz w:val="21"/>
          <w:highlight w:val="none"/>
        </w:rPr>
        <w:t>（6）起草并签署评标报告。评标委员会根据</w:t>
      </w:r>
      <w:r>
        <w:rPr>
          <w:rFonts w:hint="eastAsia" w:hAnsi="宋体"/>
          <w:color w:val="auto"/>
          <w:sz w:val="21"/>
          <w:highlight w:val="none"/>
          <w:lang w:eastAsia="zh-CN"/>
        </w:rPr>
        <w:t>评标委员会</w:t>
      </w:r>
      <w:r>
        <w:rPr>
          <w:rFonts w:hint="eastAsia" w:hAnsi="宋体"/>
          <w:color w:val="auto"/>
          <w:sz w:val="21"/>
          <w:highlight w:val="none"/>
        </w:rPr>
        <w:t>成员签字的原始评标记录和评标结果编写评标报告。评标委员会</w:t>
      </w:r>
      <w:r>
        <w:rPr>
          <w:rFonts w:hint="eastAsia" w:hAnsi="宋体"/>
          <w:color w:val="auto"/>
          <w:sz w:val="21"/>
          <w:highlight w:val="none"/>
          <w:lang w:eastAsia="zh-CN"/>
        </w:rPr>
        <w:t>成员均</w:t>
      </w:r>
      <w:r>
        <w:rPr>
          <w:rFonts w:hint="eastAsia" w:hAnsi="宋体"/>
          <w:color w:val="auto"/>
          <w:sz w:val="21"/>
          <w:highlight w:val="none"/>
        </w:rPr>
        <w:t>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pStyle w:val="6"/>
        <w:spacing w:before="0" w:after="0" w:line="400" w:lineRule="exact"/>
        <w:ind w:left="420" w:left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29.5投标文件修正</w:t>
      </w:r>
    </w:p>
    <w:p>
      <w:pPr>
        <w:pStyle w:val="6"/>
        <w:spacing w:before="0" w:after="0" w:line="400" w:lineRule="exact"/>
        <w:ind w:left="420" w:left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 xml:space="preserve">29.5.1投标文件报价出现前后不一致的，按照下列规定修正： </w:t>
      </w:r>
    </w:p>
    <w:p>
      <w:pPr>
        <w:pStyle w:val="23"/>
        <w:snapToGrid w:val="0"/>
        <w:spacing w:line="400" w:lineRule="exact"/>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pPr>
        <w:pStyle w:val="23"/>
        <w:snapToGrid w:val="0"/>
        <w:spacing w:line="400" w:lineRule="exact"/>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pPr>
        <w:pStyle w:val="23"/>
        <w:snapToGrid w:val="0"/>
        <w:spacing w:line="400" w:lineRule="exact"/>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pPr>
        <w:pStyle w:val="23"/>
        <w:snapToGrid w:val="0"/>
        <w:spacing w:line="400" w:lineRule="exact"/>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pPr>
        <w:pStyle w:val="23"/>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同时出现两种以上不一致的，按照</w:t>
      </w:r>
      <w:r>
        <w:rPr>
          <w:rFonts w:hint="eastAsia" w:hAnsi="宋体"/>
          <w:color w:val="auto"/>
          <w:sz w:val="21"/>
          <w:highlight w:val="none"/>
          <w:lang w:eastAsia="zh-CN"/>
        </w:rPr>
        <w:t>以上（1）-（4）</w:t>
      </w:r>
      <w:r>
        <w:rPr>
          <w:rFonts w:hint="eastAsia" w:hAnsi="宋体"/>
          <w:color w:val="auto"/>
          <w:sz w:val="21"/>
          <w:highlight w:val="none"/>
        </w:rPr>
        <w:t>规定的顺序修正。修正后的报价经投标人确认后产生约束力，投标人不确认的，</w:t>
      </w:r>
      <w:r>
        <w:rPr>
          <w:rFonts w:hint="eastAsia" w:ascii="微软雅黑" w:hAnsi="微软雅黑" w:eastAsia="微软雅黑"/>
          <w:b/>
          <w:color w:val="auto"/>
          <w:kern w:val="2"/>
          <w:sz w:val="24"/>
          <w:szCs w:val="24"/>
          <w:highlight w:val="none"/>
          <w:lang w:val="en-US" w:eastAsia="zh-CN"/>
        </w:rPr>
        <w:t>其投标无效</w:t>
      </w:r>
      <w:r>
        <w:rPr>
          <w:rFonts w:hint="eastAsia" w:hAnsi="宋体"/>
          <w:color w:val="auto"/>
          <w:sz w:val="21"/>
          <w:highlight w:val="none"/>
        </w:rPr>
        <w:t>。</w:t>
      </w:r>
    </w:p>
    <w:p>
      <w:pPr>
        <w:pStyle w:val="6"/>
        <w:spacing w:before="0" w:after="0" w:line="400" w:lineRule="exact"/>
        <w:ind w:left="420" w:left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29.5.2经投标人确认修正后的报价若超过采购预算金额，</w:t>
      </w:r>
      <w:r>
        <w:rPr>
          <w:rFonts w:hint="eastAsia" w:ascii="微软雅黑" w:hAnsi="微软雅黑" w:eastAsia="微软雅黑"/>
          <w:color w:val="auto"/>
          <w:sz w:val="24"/>
          <w:highlight w:val="none"/>
          <w:lang w:val="en-US" w:eastAsia="zh-CN"/>
        </w:rPr>
        <w:t>投标人的投标文件作无效投标处理</w:t>
      </w:r>
      <w:r>
        <w:rPr>
          <w:rFonts w:hint="eastAsia" w:ascii="宋体" w:hAnsi="宋体"/>
          <w:b w:val="0"/>
          <w:color w:val="auto"/>
          <w:sz w:val="21"/>
          <w:szCs w:val="21"/>
          <w:highlight w:val="none"/>
          <w:lang w:eastAsia="zh-CN"/>
        </w:rPr>
        <w:t>。</w:t>
      </w:r>
    </w:p>
    <w:p>
      <w:pPr>
        <w:pStyle w:val="6"/>
        <w:spacing w:before="0" w:after="0" w:line="400" w:lineRule="exact"/>
        <w:ind w:left="420" w:left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29.5.3经投标人确认修正后的报价作为签订合同的一个依据，并以此报价计算价格分。</w:t>
      </w:r>
    </w:p>
    <w:p>
      <w:pPr>
        <w:pStyle w:val="6"/>
        <w:spacing w:before="0" w:after="0" w:line="400" w:lineRule="exact"/>
        <w:ind w:left="420" w:leftChars="200"/>
        <w:rPr>
          <w:rFonts w:hint="eastAsia" w:ascii="宋体" w:hAnsi="宋体"/>
          <w:b w:val="0"/>
          <w:color w:val="auto"/>
          <w:sz w:val="21"/>
          <w:szCs w:val="21"/>
          <w:highlight w:val="none"/>
          <w:lang w:eastAsia="zh-CN"/>
        </w:rPr>
      </w:pPr>
      <w:r>
        <w:rPr>
          <w:rFonts w:hint="eastAsia" w:ascii="微软雅黑" w:hAnsi="微软雅黑" w:eastAsia="微软雅黑"/>
          <w:color w:val="auto"/>
          <w:sz w:val="24"/>
          <w:highlight w:val="none"/>
          <w:lang w:val="en-US" w:eastAsia="zh-CN"/>
        </w:rPr>
        <w:t>29.6.评标过程的监控</w:t>
      </w:r>
    </w:p>
    <w:p>
      <w:pPr>
        <w:pStyle w:val="23"/>
        <w:snapToGrid w:val="0"/>
        <w:spacing w:line="400" w:lineRule="exact"/>
        <w:ind w:firstLine="480" w:firstLineChars="200"/>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本项目评标过程实行全程录音、录像监控，投标人在评标过程中所进行的试图影响评标结果的不公正活动，可能导致其投标按无效处理。</w:t>
      </w:r>
    </w:p>
    <w:p>
      <w:pPr>
        <w:pStyle w:val="5"/>
        <w:spacing w:line="360" w:lineRule="exact"/>
        <w:jc w:val="center"/>
        <w:rPr>
          <w:rFonts w:hint="eastAsia" w:ascii="宋体" w:hAnsi="宋体"/>
          <w:b w:val="0"/>
          <w:color w:val="auto"/>
          <w:sz w:val="21"/>
          <w:szCs w:val="21"/>
          <w:highlight w:val="none"/>
        </w:rPr>
      </w:pPr>
      <w:bookmarkStart w:id="135" w:name="_Toc254970687"/>
      <w:bookmarkStart w:id="136" w:name="_Toc254970546"/>
      <w:r>
        <w:rPr>
          <w:rFonts w:hint="eastAsia"/>
          <w:color w:val="auto"/>
          <w:highlight w:val="none"/>
        </w:rPr>
        <w:t>七、</w:t>
      </w:r>
      <w:bookmarkEnd w:id="135"/>
      <w:bookmarkEnd w:id="136"/>
      <w:r>
        <w:rPr>
          <w:rFonts w:hint="eastAsia"/>
          <w:color w:val="auto"/>
          <w:highlight w:val="none"/>
        </w:rPr>
        <w:t>中标和合同</w:t>
      </w:r>
    </w:p>
    <w:p>
      <w:pPr>
        <w:pStyle w:val="6"/>
        <w:spacing w:before="0" w:after="0" w:line="400" w:lineRule="exact"/>
        <w:ind w:firstLine="420" w:firstLine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30.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w:t>
      </w:r>
    </w:p>
    <w:p>
      <w:pPr>
        <w:pStyle w:val="23"/>
        <w:snapToGrid w:val="0"/>
        <w:spacing w:line="400" w:lineRule="exact"/>
        <w:ind w:firstLine="400" w:firstLineChars="200"/>
        <w:rPr>
          <w:rFonts w:hint="eastAsia" w:hAnsi="宋体"/>
          <w:color w:val="auto"/>
          <w:sz w:val="21"/>
          <w:highlight w:val="none"/>
          <w:lang w:eastAsia="zh-CN"/>
        </w:rPr>
      </w:pPr>
      <w:r>
        <w:rPr>
          <w:rFonts w:hint="eastAsia" w:hAnsi="宋体" w:cs="Courier New"/>
          <w:color w:val="auto"/>
          <w:highlight w:val="none"/>
        </w:rPr>
        <w:t>采购人也可以事先授权评标委员会直接确定中标人。</w:t>
      </w:r>
    </w:p>
    <w:p>
      <w:pPr>
        <w:snapToGrid w:val="0"/>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pPr>
        <w:pStyle w:val="6"/>
        <w:spacing w:before="0" w:after="0" w:line="400" w:lineRule="exact"/>
        <w:ind w:firstLine="420" w:firstLine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31.中标人确定后，于中标人确定之日起2个工作日内，中标结果将在招标公告发布媒体上公告。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pPr>
        <w:snapToGrid w:val="0"/>
        <w:spacing w:line="400" w:lineRule="exact"/>
        <w:ind w:firstLine="420" w:firstLineChars="200"/>
        <w:rPr>
          <w:rFonts w:hint="eastAsia" w:ascii="宋体" w:hAnsi="宋体" w:cs="Courier New"/>
          <w:color w:val="auto"/>
          <w:szCs w:val="21"/>
          <w:highlight w:val="none"/>
        </w:rPr>
      </w:pPr>
      <w:r>
        <w:rPr>
          <w:rFonts w:hint="eastAsia" w:ascii="宋体" w:hAnsi="宋体"/>
          <w:color w:val="auto"/>
          <w:szCs w:val="21"/>
          <w:highlight w:val="none"/>
        </w:rPr>
        <w:t>排名第二的中标候选人因前款规定的同样原因被取消中标资格的，采购人可以确定排名第三的中标候选人为中标人，以此类推。</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以上信息查询记录及相关证据与采购文件一并保存。</w:t>
      </w:r>
    </w:p>
    <w:p>
      <w:pPr>
        <w:snapToGrid w:val="0"/>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中小企业在政府采购活动过程中，请根据自己的真实情况出具《中小企业声明函》。依法享受中小企业优惠政策的，采购人或采购代理机构在公告中标结果时，同时公告其《中小企业声明函》，接受社会监督。</w:t>
      </w:r>
    </w:p>
    <w:p>
      <w:pPr>
        <w:pStyle w:val="6"/>
        <w:spacing w:before="0" w:after="0" w:line="400" w:lineRule="exact"/>
        <w:ind w:firstLine="420" w:firstLine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32.在发布中标公告的同时，采购代理机构向中标人发出中标通知书。对未通过资格审查的投标人，应当告知其未通过的原因；采用综合评分办法评审的，还应当告知未中标人本人的评审得分与排序。</w:t>
      </w:r>
    </w:p>
    <w:p>
      <w:pPr>
        <w:pStyle w:val="6"/>
        <w:spacing w:before="0" w:after="0" w:line="400" w:lineRule="exact"/>
        <w:ind w:left="420" w:left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33.采购代理机构无义务向未中标的</w:t>
      </w:r>
      <w:r>
        <w:rPr>
          <w:rFonts w:hint="eastAsia" w:ascii="宋体" w:hAnsi="宋体"/>
          <w:b w:val="0"/>
          <w:color w:val="auto"/>
          <w:sz w:val="21"/>
          <w:szCs w:val="21"/>
          <w:highlight w:val="none"/>
        </w:rPr>
        <w:t>投标人</w:t>
      </w:r>
      <w:r>
        <w:rPr>
          <w:rFonts w:hint="eastAsia" w:ascii="宋体" w:hAnsi="宋体"/>
          <w:b w:val="0"/>
          <w:color w:val="auto"/>
          <w:sz w:val="21"/>
          <w:szCs w:val="21"/>
          <w:highlight w:val="none"/>
          <w:lang w:eastAsia="zh-CN"/>
        </w:rPr>
        <w:t>解释未中标原因和退还投标文件。</w:t>
      </w:r>
    </w:p>
    <w:p>
      <w:pPr>
        <w:pStyle w:val="6"/>
        <w:spacing w:before="0" w:after="0" w:line="400" w:lineRule="exact"/>
        <w:ind w:left="420" w:left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34.合同授予标准</w:t>
      </w:r>
    </w:p>
    <w:p>
      <w:pPr>
        <w:snapToGrid w:val="0"/>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合同将授予被确定实质上响应招标文件要求，具备履行合同能力，综合评分排名第一的投标人（招标文件另有约定多名中标人的除外）。</w:t>
      </w:r>
    </w:p>
    <w:p>
      <w:pPr>
        <w:pStyle w:val="6"/>
        <w:spacing w:before="0" w:after="0" w:line="400" w:lineRule="exact"/>
        <w:ind w:left="420" w:left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35.履约保证金</w:t>
      </w:r>
    </w:p>
    <w:p>
      <w:pPr>
        <w:pStyle w:val="6"/>
        <w:spacing w:before="0" w:after="0" w:line="400" w:lineRule="exact"/>
        <w:ind w:firstLine="420" w:firstLine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35.1中标人须于签订合同前按投标人须知前附表规定方式提交，否则采购人不与其签订合同。</w:t>
      </w:r>
    </w:p>
    <w:p>
      <w:pPr>
        <w:pStyle w:val="6"/>
        <w:spacing w:before="0" w:after="0" w:line="400" w:lineRule="exact"/>
        <w:ind w:firstLine="315" w:firstLineChars="15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 xml:space="preserve"> 35.2签订合同后，如中标人不按双方签订的合同规定履约，依法追究其违约责任，没收其全部履约保证金，履约保证金不足以赔偿损失的，按实际损失赔偿。</w:t>
      </w:r>
    </w:p>
    <w:p>
      <w:pPr>
        <w:pStyle w:val="6"/>
        <w:numPr>
          <w:ilvl w:val="0"/>
          <w:numId w:val="0"/>
        </w:numPr>
        <w:spacing w:before="0" w:after="0" w:line="400" w:lineRule="exact"/>
        <w:ind w:firstLine="420" w:firstLine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35.3履约保证金按投标人须知前附表规定的时间和条件退付。</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35.4在履约保证金退还日期前，若中标人的开户名称、开户银行、帐号有变动的，请以书面形式通知履约保证金收取单位，否则由此产生的后果由中标人自负。</w:t>
      </w:r>
    </w:p>
    <w:p>
      <w:pPr>
        <w:pStyle w:val="6"/>
        <w:spacing w:before="0" w:after="0" w:line="400" w:lineRule="exact"/>
        <w:ind w:left="420" w:left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36.签订合同</w:t>
      </w:r>
    </w:p>
    <w:p>
      <w:pPr>
        <w:pStyle w:val="6"/>
        <w:spacing w:before="0" w:after="0" w:line="400" w:lineRule="exact"/>
        <w:ind w:firstLine="315" w:firstLineChars="150"/>
        <w:rPr>
          <w:rFonts w:hint="eastAsia" w:ascii="宋体" w:hAnsi="宋体"/>
          <w:b w:val="0"/>
          <w:color w:val="auto"/>
          <w:sz w:val="21"/>
          <w:szCs w:val="21"/>
          <w:highlight w:val="none"/>
          <w:lang w:eastAsia="zh-CN"/>
        </w:rPr>
      </w:pPr>
      <w:bookmarkStart w:id="137" w:name="_40.1投标人接到中标通知书后，按须知前附表规定向采购人出示相关资格证"/>
      <w:bookmarkEnd w:id="137"/>
      <w:r>
        <w:rPr>
          <w:rFonts w:hint="eastAsia" w:ascii="宋体" w:hAnsi="宋体"/>
          <w:b w:val="0"/>
          <w:color w:val="auto"/>
          <w:sz w:val="21"/>
          <w:szCs w:val="21"/>
          <w:highlight w:val="none"/>
          <w:lang w:eastAsia="zh-CN"/>
        </w:rPr>
        <w:t xml:space="preserve"> 36.1投标人接到中标通知书后，按投标人须知前附表规定向采购人出示相关资格证件，经采购人核验合格后方可签订合同。</w:t>
      </w:r>
    </w:p>
    <w:p>
      <w:pPr>
        <w:pStyle w:val="6"/>
        <w:numPr>
          <w:ilvl w:val="0"/>
          <w:numId w:val="0"/>
        </w:numPr>
        <w:spacing w:before="0" w:after="0" w:line="400" w:lineRule="exact"/>
        <w:ind w:firstLine="420" w:firstLine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36.2签订合同时间：按中标通知书规定的时间与采购人签订合同。</w:t>
      </w:r>
    </w:p>
    <w:p>
      <w:pPr>
        <w:pStyle w:val="6"/>
        <w:spacing w:before="0" w:after="0" w:line="400" w:lineRule="exact"/>
        <w:ind w:firstLine="315" w:firstLineChars="15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 xml:space="preserve"> 36.3如中标人不按中标通知书的规定签订合同，</w:t>
      </w:r>
      <w:r>
        <w:rPr>
          <w:rFonts w:hint="eastAsia" w:ascii="宋体" w:hAnsi="宋体"/>
          <w:b w:val="0"/>
          <w:color w:val="auto"/>
          <w:sz w:val="21"/>
          <w:szCs w:val="21"/>
          <w:highlight w:val="none"/>
        </w:rPr>
        <w:t>将</w:t>
      </w:r>
      <w:r>
        <w:rPr>
          <w:rFonts w:hint="eastAsia" w:ascii="宋体" w:hAnsi="宋体"/>
          <w:b w:val="0"/>
          <w:color w:val="auto"/>
          <w:sz w:val="21"/>
          <w:szCs w:val="21"/>
          <w:highlight w:val="none"/>
          <w:lang w:eastAsia="zh-CN"/>
        </w:rPr>
        <w:t>报由同级政府采购监督管理部门处理。</w:t>
      </w:r>
    </w:p>
    <w:p>
      <w:pPr>
        <w:pStyle w:val="6"/>
        <w:spacing w:before="0" w:after="0" w:line="400" w:lineRule="exact"/>
        <w:ind w:firstLine="315" w:firstLineChars="15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 xml:space="preserve"> 36.4中标</w:t>
      </w:r>
      <w:r>
        <w:rPr>
          <w:rFonts w:hint="eastAsia" w:ascii="宋体" w:hAnsi="宋体"/>
          <w:b w:val="0"/>
          <w:color w:val="auto"/>
          <w:sz w:val="21"/>
          <w:szCs w:val="21"/>
          <w:highlight w:val="none"/>
        </w:rPr>
        <w:t>人</w:t>
      </w:r>
      <w:r>
        <w:rPr>
          <w:rFonts w:hint="eastAsia" w:ascii="宋体" w:hAnsi="宋体"/>
          <w:b w:val="0"/>
          <w:color w:val="auto"/>
          <w:sz w:val="21"/>
          <w:szCs w:val="21"/>
          <w:highlight w:val="none"/>
          <w:lang w:eastAsia="zh-CN"/>
        </w:rPr>
        <w:t>拒绝与采购人签订合同的，采购人可以按照评审报告推荐的中标候选人名单排序，确定下一候选人为中标</w:t>
      </w:r>
      <w:r>
        <w:rPr>
          <w:rFonts w:hint="eastAsia" w:ascii="宋体" w:hAnsi="宋体"/>
          <w:b w:val="0"/>
          <w:color w:val="auto"/>
          <w:sz w:val="21"/>
          <w:szCs w:val="21"/>
          <w:highlight w:val="none"/>
        </w:rPr>
        <w:t>人</w:t>
      </w:r>
      <w:r>
        <w:rPr>
          <w:rFonts w:hint="eastAsia" w:ascii="宋体" w:hAnsi="宋体"/>
          <w:b w:val="0"/>
          <w:color w:val="auto"/>
          <w:sz w:val="21"/>
          <w:szCs w:val="21"/>
          <w:highlight w:val="none"/>
          <w:lang w:eastAsia="zh-CN"/>
        </w:rPr>
        <w:t>，也可以重新开展政府采购活动。</w:t>
      </w:r>
    </w:p>
    <w:p>
      <w:pPr>
        <w:pStyle w:val="6"/>
        <w:spacing w:before="0" w:after="0" w:line="400" w:lineRule="exact"/>
        <w:ind w:left="420" w:leftChars="200"/>
        <w:rPr>
          <w:rFonts w:hint="eastAsia" w:ascii="宋体" w:hAnsi="宋体"/>
          <w:color w:val="auto"/>
          <w:sz w:val="21"/>
          <w:szCs w:val="21"/>
          <w:highlight w:val="none"/>
          <w:lang w:eastAsia="zh-CN"/>
        </w:rPr>
      </w:pPr>
      <w:bookmarkStart w:id="138" w:name="_41.政府采购合同公告"/>
      <w:bookmarkEnd w:id="138"/>
      <w:r>
        <w:rPr>
          <w:rFonts w:hint="eastAsia" w:ascii="宋体" w:hAnsi="宋体"/>
          <w:color w:val="auto"/>
          <w:sz w:val="21"/>
          <w:szCs w:val="21"/>
          <w:highlight w:val="none"/>
          <w:lang w:eastAsia="zh-CN"/>
        </w:rPr>
        <w:t>37.政府采购合同公告</w:t>
      </w:r>
    </w:p>
    <w:p>
      <w:pPr>
        <w:pStyle w:val="23"/>
        <w:snapToGrid w:val="0"/>
        <w:spacing w:line="400" w:lineRule="exact"/>
        <w:ind w:firstLine="420" w:firstLineChars="200"/>
        <w:rPr>
          <w:rFonts w:hint="eastAsia" w:hAnsi="宋体"/>
          <w:color w:val="auto"/>
          <w:sz w:val="21"/>
          <w:highlight w:val="none"/>
          <w:lang w:eastAsia="zh-CN"/>
        </w:rPr>
      </w:pPr>
      <w:r>
        <w:rPr>
          <w:rFonts w:hint="eastAsia" w:hAnsi="宋体"/>
          <w:color w:val="auto"/>
          <w:sz w:val="21"/>
          <w:highlight w:val="none"/>
        </w:rPr>
        <w:t>根据</w:t>
      </w:r>
      <w:r>
        <w:rPr>
          <w:rFonts w:hAnsi="宋体"/>
          <w:color w:val="auto"/>
          <w:sz w:val="21"/>
          <w:highlight w:val="none"/>
        </w:rPr>
        <w:t>《中华人民共和国政府采购法实施条例》第五十条</w:t>
      </w:r>
      <w:r>
        <w:rPr>
          <w:rFonts w:hint="eastAsia" w:hAnsi="宋体"/>
          <w:color w:val="auto"/>
          <w:sz w:val="21"/>
          <w:highlight w:val="none"/>
          <w:lang w:eastAsia="zh-CN"/>
        </w:rPr>
        <w:t>及《关于进一步做好政府采购信息公开有关工作的通知》（桂财采〔2016〕7号）</w:t>
      </w:r>
      <w:r>
        <w:rPr>
          <w:rFonts w:hint="eastAsia" w:hAnsi="宋体"/>
          <w:color w:val="auto"/>
          <w:sz w:val="21"/>
          <w:highlight w:val="none"/>
        </w:rPr>
        <w:t>规定，采购人或受托采购代理机构应当自政府采购合同签订之日起2个工作日内，将政府采购合同在省级以上人民政府财政部门指定的媒体上公告，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pPr>
        <w:pStyle w:val="5"/>
        <w:jc w:val="center"/>
        <w:rPr>
          <w:rFonts w:hint="eastAsia" w:ascii="宋体" w:hAnsi="宋体"/>
          <w:b w:val="0"/>
          <w:color w:val="auto"/>
          <w:sz w:val="21"/>
          <w:szCs w:val="21"/>
          <w:highlight w:val="none"/>
        </w:rPr>
      </w:pPr>
      <w:bookmarkStart w:id="139" w:name="_八、其他事项"/>
      <w:bookmarkEnd w:id="139"/>
      <w:r>
        <w:rPr>
          <w:rFonts w:hint="eastAsia"/>
          <w:color w:val="auto"/>
          <w:highlight w:val="none"/>
        </w:rPr>
        <w:t>八、其他事项</w:t>
      </w:r>
    </w:p>
    <w:p>
      <w:pPr>
        <w:pStyle w:val="6"/>
        <w:numPr>
          <w:ilvl w:val="0"/>
          <w:numId w:val="0"/>
        </w:numPr>
        <w:spacing w:before="0" w:after="0" w:line="400" w:lineRule="exact"/>
        <w:ind w:firstLine="422" w:firstLineChars="200"/>
        <w:rPr>
          <w:rFonts w:hint="eastAsia" w:ascii="宋体" w:hAnsi="宋体"/>
          <w:color w:val="auto"/>
          <w:sz w:val="21"/>
          <w:szCs w:val="21"/>
          <w:highlight w:val="none"/>
          <w:lang w:eastAsia="zh-CN"/>
        </w:rPr>
      </w:pPr>
      <w:bookmarkStart w:id="140" w:name="_42.代理服务费"/>
      <w:bookmarkEnd w:id="140"/>
      <w:r>
        <w:rPr>
          <w:rFonts w:hint="eastAsia" w:ascii="宋体" w:hAnsi="宋体"/>
          <w:color w:val="auto"/>
          <w:sz w:val="21"/>
          <w:szCs w:val="21"/>
          <w:highlight w:val="none"/>
          <w:lang w:eastAsia="zh-CN"/>
        </w:rPr>
        <w:t>38.代理服务费</w:t>
      </w:r>
    </w:p>
    <w:p>
      <w:pPr>
        <w:pStyle w:val="6"/>
        <w:spacing w:before="0" w:after="0" w:line="400" w:lineRule="exact"/>
        <w:ind w:left="420" w:left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38.1代理服务费的收费标准、支付方、支付时限详见投标人须知前附表。</w:t>
      </w:r>
    </w:p>
    <w:p>
      <w:pPr>
        <w:pStyle w:val="6"/>
        <w:spacing w:before="0" w:after="0" w:line="400" w:lineRule="exact"/>
        <w:ind w:left="420" w:left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38.2采购代理机构的银行账户：</w:t>
      </w:r>
    </w:p>
    <w:p>
      <w:pPr>
        <w:pStyle w:val="23"/>
        <w:snapToGrid w:val="0"/>
        <w:spacing w:line="400" w:lineRule="exact"/>
        <w:ind w:firstLine="400" w:firstLineChars="200"/>
        <w:rPr>
          <w:rFonts w:hint="eastAsia" w:hAnsi="宋体"/>
          <w:color w:val="auto"/>
          <w:highlight w:val="none"/>
          <w:lang w:eastAsia="zh-CN"/>
        </w:rPr>
      </w:pPr>
      <w:r>
        <w:rPr>
          <w:rFonts w:hint="eastAsia" w:hAnsi="宋体"/>
          <w:color w:val="auto"/>
          <w:highlight w:val="none"/>
          <w:lang w:eastAsia="zh-CN"/>
        </w:rPr>
        <w:t xml:space="preserve">开户名称：玉林承浩项目管理有限公司北流分公司 </w:t>
      </w:r>
    </w:p>
    <w:p>
      <w:pPr>
        <w:pStyle w:val="23"/>
        <w:snapToGrid w:val="0"/>
        <w:spacing w:line="400" w:lineRule="exact"/>
        <w:ind w:firstLine="400" w:firstLineChars="200"/>
        <w:rPr>
          <w:rFonts w:hint="eastAsia" w:hAnsi="宋体"/>
          <w:color w:val="auto"/>
          <w:highlight w:val="none"/>
          <w:lang w:eastAsia="zh-CN"/>
        </w:rPr>
      </w:pPr>
      <w:r>
        <w:rPr>
          <w:rFonts w:hint="eastAsia" w:hAnsi="宋体"/>
          <w:color w:val="auto"/>
          <w:highlight w:val="none"/>
          <w:lang w:eastAsia="zh-CN"/>
        </w:rPr>
        <w:t>开户银行：中国工商银行股份有限公司北流市永丰支行</w:t>
      </w:r>
    </w:p>
    <w:p>
      <w:pPr>
        <w:pStyle w:val="23"/>
        <w:snapToGrid w:val="0"/>
        <w:spacing w:line="400" w:lineRule="exact"/>
        <w:ind w:firstLine="400" w:firstLineChars="200"/>
        <w:rPr>
          <w:rFonts w:hint="eastAsia" w:hAnsi="宋体"/>
          <w:color w:val="auto"/>
          <w:highlight w:val="none"/>
          <w:lang w:eastAsia="zh-CN"/>
        </w:rPr>
      </w:pPr>
      <w:r>
        <w:rPr>
          <w:rFonts w:hint="eastAsia" w:hAnsi="宋体"/>
          <w:color w:val="auto"/>
          <w:highlight w:val="none"/>
          <w:lang w:eastAsia="zh-CN"/>
        </w:rPr>
        <w:t>开户账号: 2111706109300044416</w:t>
      </w:r>
    </w:p>
    <w:p>
      <w:pPr>
        <w:pStyle w:val="23"/>
        <w:snapToGrid w:val="0"/>
        <w:ind w:firstLine="400" w:firstLineChars="200"/>
        <w:rPr>
          <w:rFonts w:hint="eastAsia" w:hAnsi="宋体"/>
          <w:color w:val="auto"/>
          <w:highlight w:val="none"/>
        </w:rPr>
      </w:pPr>
      <w:r>
        <w:rPr>
          <w:rFonts w:hint="eastAsia" w:hAnsi="宋体"/>
          <w:color w:val="auto"/>
          <w:highlight w:val="none"/>
        </w:rPr>
        <w:t>附件1：</w:t>
      </w:r>
    </w:p>
    <w:p>
      <w:pPr>
        <w:widowControl/>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黑体" w:hAnsi="黑体" w:eastAsia="黑体" w:cs="黑体"/>
          <w:color w:val="auto"/>
          <w:kern w:val="0"/>
          <w:sz w:val="32"/>
          <w:szCs w:val="32"/>
          <w:highlight w:val="none"/>
        </w:rPr>
        <w:t>广西壮族自治区政府采购项目合同验收书</w:t>
      </w:r>
      <w:r>
        <w:rPr>
          <w:rFonts w:hint="eastAsia" w:ascii="仿宋" w:hAnsi="仿宋" w:eastAsia="仿宋" w:cs="宋体"/>
          <w:color w:val="auto"/>
          <w:kern w:val="0"/>
          <w:sz w:val="32"/>
          <w:szCs w:val="32"/>
          <w:highlight w:val="none"/>
        </w:rPr>
        <w:t>（格式）</w:t>
      </w:r>
    </w:p>
    <w:p>
      <w:pPr>
        <w:widowControl/>
        <w:shd w:val="clear" w:color="auto" w:fill="FFFFFF"/>
        <w:spacing w:line="480" w:lineRule="atLeast"/>
        <w:jc w:val="center"/>
        <w:rPr>
          <w:rFonts w:hint="eastAsia" w:ascii="仿宋" w:hAnsi="仿宋" w:eastAsia="仿宋" w:cs="宋体"/>
          <w:color w:val="auto"/>
          <w:kern w:val="0"/>
          <w:sz w:val="32"/>
          <w:szCs w:val="32"/>
          <w:highlight w:val="none"/>
        </w:rPr>
      </w:pPr>
    </w:p>
    <w:p>
      <w:pPr>
        <w:widowControl/>
        <w:shd w:val="clear" w:color="auto" w:fill="FFFFFF"/>
        <w:snapToGrid w:val="0"/>
        <w:spacing w:line="320" w:lineRule="atLeast"/>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提供的货物（或工程、服务）进行了验收，验收情况如下：</w:t>
      </w:r>
    </w:p>
    <w:tbl>
      <w:tblPr>
        <w:tblStyle w:val="44"/>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480"/>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货物型号规格、标准及配置等（或服务内容、标准）</w:t>
            </w:r>
          </w:p>
        </w:tc>
        <w:tc>
          <w:tcPr>
            <w:tcW w:w="863"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亿 </w:t>
            </w:r>
            <w:r>
              <w:rPr>
                <w:rFonts w:ascii="Verdana" w:hAnsi="Verdana" w:cs="宋体"/>
                <w:color w:val="auto"/>
                <w:kern w:val="0"/>
                <w:szCs w:val="21"/>
                <w:highlight w:val="none"/>
              </w:rPr>
              <w:t>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Verdana" w:hAnsi="Verdana"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96"/>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监督人员或其他相关人员签字：</w:t>
            </w:r>
          </w:p>
          <w:p>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noWrap w:val="0"/>
            <w:tcMar>
              <w:top w:w="0" w:type="dxa"/>
              <w:left w:w="108" w:type="dxa"/>
              <w:bottom w:w="0" w:type="dxa"/>
              <w:right w:w="108" w:type="dxa"/>
            </w:tcMar>
            <w:vAlign w:val="center"/>
          </w:tcPr>
          <w:p>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中标或者成交供应商负责人签字或盖章：</w:t>
            </w:r>
          </w:p>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 年 月 日</w:t>
            </w:r>
          </w:p>
        </w:tc>
        <w:tc>
          <w:tcPr>
            <w:tcW w:w="5219" w:type="dxa"/>
            <w:gridSpan w:val="4"/>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采购人或受托机构的意见（盖章）：</w:t>
            </w:r>
          </w:p>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 年 月 日</w:t>
            </w:r>
          </w:p>
        </w:tc>
      </w:tr>
    </w:tbl>
    <w:p>
      <w:pPr>
        <w:jc w:val="left"/>
        <w:rPr>
          <w:rFonts w:hint="eastAsia" w:hAnsi="宋体"/>
          <w:color w:val="auto"/>
          <w:highlight w:val="none"/>
        </w:rPr>
      </w:pPr>
      <w:r>
        <w:rPr>
          <w:rFonts w:hAnsi="宋体"/>
          <w:color w:val="auto"/>
          <w:highlight w:val="none"/>
        </w:rPr>
        <w:br w:type="page"/>
      </w:r>
      <w:r>
        <w:rPr>
          <w:rFonts w:hint="eastAsia" w:hAnsi="宋体"/>
          <w:color w:val="auto"/>
          <w:highlight w:val="none"/>
        </w:rPr>
        <w:t>附件2：</w:t>
      </w:r>
    </w:p>
    <w:p>
      <w:pPr>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政府采购项目履约保证金退付意见书（参考）</w:t>
      </w:r>
    </w:p>
    <w:p>
      <w:pPr>
        <w:jc w:val="center"/>
        <w:rPr>
          <w:rFonts w:hint="eastAsia" w:ascii="黑体" w:hAnsi="黑体" w:eastAsia="黑体"/>
          <w:color w:val="auto"/>
          <w:sz w:val="36"/>
          <w:szCs w:val="36"/>
          <w:highlight w:val="none"/>
        </w:rPr>
      </w:pP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0"/>
            <w:vAlign w:val="center"/>
          </w:tcPr>
          <w:p>
            <w:pPr>
              <w:jc w:val="center"/>
              <w:rPr>
                <w:rFonts w:hint="eastAsia"/>
                <w:color w:val="auto"/>
                <w:sz w:val="24"/>
                <w:highlight w:val="none"/>
              </w:rPr>
            </w:pPr>
            <w:r>
              <w:rPr>
                <w:rFonts w:hint="eastAsia"/>
                <w:color w:val="auto"/>
                <w:sz w:val="24"/>
                <w:highlight w:val="none"/>
              </w:rPr>
              <w:t>供</w:t>
            </w:r>
          </w:p>
          <w:p>
            <w:pPr>
              <w:jc w:val="center"/>
              <w:rPr>
                <w:rFonts w:hint="eastAsia"/>
                <w:color w:val="auto"/>
                <w:sz w:val="24"/>
                <w:highlight w:val="none"/>
              </w:rPr>
            </w:pPr>
            <w:r>
              <w:rPr>
                <w:rFonts w:hint="eastAsia"/>
                <w:color w:val="auto"/>
                <w:sz w:val="24"/>
                <w:highlight w:val="none"/>
              </w:rPr>
              <w:t>应</w:t>
            </w:r>
          </w:p>
          <w:p>
            <w:pPr>
              <w:jc w:val="center"/>
              <w:rPr>
                <w:rFonts w:hint="eastAsia"/>
                <w:color w:val="auto"/>
                <w:sz w:val="24"/>
                <w:highlight w:val="none"/>
              </w:rPr>
            </w:pPr>
            <w:r>
              <w:rPr>
                <w:rFonts w:hint="eastAsia"/>
                <w:color w:val="auto"/>
                <w:sz w:val="24"/>
                <w:highlight w:val="none"/>
              </w:rPr>
              <w:t>商</w:t>
            </w:r>
          </w:p>
          <w:p>
            <w:pPr>
              <w:jc w:val="center"/>
              <w:rPr>
                <w:rFonts w:hint="eastAsia"/>
                <w:color w:val="auto"/>
                <w:sz w:val="24"/>
                <w:highlight w:val="none"/>
              </w:rPr>
            </w:pPr>
            <w:r>
              <w:rPr>
                <w:rFonts w:hint="eastAsia"/>
                <w:color w:val="auto"/>
                <w:sz w:val="24"/>
                <w:highlight w:val="none"/>
              </w:rPr>
              <w:t>申</w:t>
            </w:r>
          </w:p>
          <w:p>
            <w:pPr>
              <w:jc w:val="center"/>
              <w:rPr>
                <w:rFonts w:hint="eastAsia"/>
                <w:color w:val="auto"/>
                <w:sz w:val="24"/>
                <w:highlight w:val="none"/>
              </w:rPr>
            </w:pPr>
            <w:r>
              <w:rPr>
                <w:rFonts w:hint="eastAsia"/>
                <w:color w:val="auto"/>
                <w:sz w:val="24"/>
                <w:highlight w:val="none"/>
              </w:rPr>
              <w:t>请</w:t>
            </w:r>
          </w:p>
        </w:tc>
        <w:tc>
          <w:tcPr>
            <w:tcW w:w="8456" w:type="dxa"/>
            <w:noWrap w:val="0"/>
            <w:vAlign w:val="center"/>
          </w:tcPr>
          <w:p>
            <w:pPr>
              <w:rPr>
                <w:rFonts w:hint="eastAsia"/>
                <w:color w:val="auto"/>
                <w:sz w:val="24"/>
                <w:highlight w:val="none"/>
              </w:rPr>
            </w:pPr>
            <w:r>
              <w:rPr>
                <w:rFonts w:hint="eastAsia"/>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pPr>
              <w:rPr>
                <w:rFonts w:hint="eastAsia"/>
                <w:color w:val="auto"/>
                <w:sz w:val="24"/>
                <w:highlight w:val="none"/>
              </w:rPr>
            </w:pPr>
          </w:p>
        </w:tc>
        <w:tc>
          <w:tcPr>
            <w:tcW w:w="8456" w:type="dxa"/>
            <w:noWrap w:val="0"/>
            <w:vAlign w:val="center"/>
          </w:tcPr>
          <w:p>
            <w:pPr>
              <w:rPr>
                <w:rFonts w:hint="eastAsia"/>
                <w:color w:val="auto"/>
                <w:sz w:val="24"/>
                <w:highlight w:val="none"/>
              </w:rPr>
            </w:pPr>
            <w:r>
              <w:rPr>
                <w:rFonts w:hint="eastAsia"/>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pPr>
              <w:rPr>
                <w:rFonts w:hint="eastAsia"/>
                <w:color w:val="auto"/>
                <w:sz w:val="24"/>
                <w:highlight w:val="none"/>
              </w:rPr>
            </w:pPr>
          </w:p>
        </w:tc>
        <w:tc>
          <w:tcPr>
            <w:tcW w:w="8456" w:type="dxa"/>
            <w:noWrap w:val="0"/>
            <w:vAlign w:val="top"/>
          </w:tcPr>
          <w:p>
            <w:pPr>
              <w:rPr>
                <w:rFonts w:hint="eastAsia"/>
                <w:color w:val="auto"/>
                <w:sz w:val="24"/>
                <w:highlight w:val="none"/>
              </w:rPr>
            </w:pPr>
            <w:r>
              <w:rPr>
                <w:rFonts w:hint="eastAsia"/>
                <w:color w:val="auto"/>
                <w:sz w:val="24"/>
                <w:highlight w:val="none"/>
              </w:rPr>
              <w:t xml:space="preserve">  </w:t>
            </w:r>
          </w:p>
          <w:p>
            <w:pPr>
              <w:spacing w:line="400" w:lineRule="exact"/>
              <w:ind w:firstLine="480" w:firstLineChars="200"/>
              <w:rPr>
                <w:rFonts w:hint="eastAsia"/>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pPr>
              <w:spacing w:line="400" w:lineRule="exact"/>
              <w:rPr>
                <w:rFonts w:hint="eastAsia"/>
                <w:color w:val="auto"/>
                <w:sz w:val="24"/>
                <w:highlight w:val="none"/>
              </w:rPr>
            </w:pP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（小写）退付到达以下帐户。</w:t>
            </w:r>
          </w:p>
          <w:p>
            <w:pPr>
              <w:spacing w:line="400" w:lineRule="exact"/>
              <w:ind w:firstLine="705"/>
              <w:rPr>
                <w:rFonts w:hint="eastAsia"/>
                <w:color w:val="auto"/>
                <w:sz w:val="24"/>
                <w:highlight w:val="none"/>
              </w:rPr>
            </w:pPr>
            <w:r>
              <w:rPr>
                <w:rFonts w:hint="eastAsia"/>
                <w:color w:val="auto"/>
                <w:sz w:val="24"/>
                <w:highlight w:val="none"/>
              </w:rPr>
              <w:t>单位名称：</w:t>
            </w:r>
          </w:p>
          <w:p>
            <w:pPr>
              <w:spacing w:line="400" w:lineRule="exact"/>
              <w:ind w:firstLine="705"/>
              <w:rPr>
                <w:rFonts w:hint="eastAsia"/>
                <w:color w:val="auto"/>
                <w:sz w:val="24"/>
                <w:highlight w:val="none"/>
              </w:rPr>
            </w:pPr>
            <w:r>
              <w:rPr>
                <w:rFonts w:hint="eastAsia"/>
                <w:color w:val="auto"/>
                <w:sz w:val="24"/>
                <w:highlight w:val="none"/>
              </w:rPr>
              <w:t>开户银行：</w:t>
            </w:r>
          </w:p>
          <w:p>
            <w:pPr>
              <w:spacing w:line="400" w:lineRule="exact"/>
              <w:ind w:firstLine="705"/>
              <w:rPr>
                <w:rFonts w:hint="eastAsia"/>
                <w:color w:val="auto"/>
                <w:sz w:val="24"/>
                <w:highlight w:val="none"/>
              </w:rPr>
            </w:pPr>
            <w:r>
              <w:rPr>
                <w:rFonts w:hint="eastAsia"/>
                <w:color w:val="auto"/>
                <w:sz w:val="24"/>
                <w:highlight w:val="none"/>
              </w:rPr>
              <w:t>帐   号：</w:t>
            </w:r>
          </w:p>
          <w:p>
            <w:pPr>
              <w:spacing w:line="400" w:lineRule="exact"/>
              <w:rPr>
                <w:rFonts w:hint="eastAsia"/>
                <w:color w:val="auto"/>
                <w:sz w:val="24"/>
                <w:highlight w:val="none"/>
              </w:rPr>
            </w:pPr>
            <w:r>
              <w:rPr>
                <w:rFonts w:hint="eastAsia"/>
                <w:color w:val="auto"/>
                <w:sz w:val="24"/>
                <w:highlight w:val="none"/>
              </w:rPr>
              <w:t>联系人及电话：</w:t>
            </w:r>
          </w:p>
          <w:p>
            <w:pPr>
              <w:spacing w:line="400" w:lineRule="exact"/>
              <w:rPr>
                <w:rFonts w:hint="eastAsia"/>
                <w:color w:val="auto"/>
                <w:sz w:val="24"/>
                <w:highlight w:val="none"/>
              </w:rPr>
            </w:pPr>
          </w:p>
          <w:p>
            <w:pPr>
              <w:spacing w:line="520" w:lineRule="exact"/>
              <w:jc w:val="center"/>
              <w:rPr>
                <w:rFonts w:hint="eastAsia"/>
                <w:color w:val="auto"/>
                <w:sz w:val="24"/>
                <w:highlight w:val="none"/>
              </w:rPr>
            </w:pPr>
            <w:r>
              <w:rPr>
                <w:rFonts w:hint="eastAsia"/>
                <w:color w:val="auto"/>
                <w:sz w:val="24"/>
                <w:highlight w:val="none"/>
              </w:rPr>
              <w:t xml:space="preserve">         供应商签章：</w:t>
            </w:r>
          </w:p>
          <w:p>
            <w:pPr>
              <w:spacing w:line="520" w:lineRule="exact"/>
              <w:jc w:val="center"/>
              <w:rPr>
                <w:rFonts w:hint="eastAsia"/>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0"/>
            <w:vAlign w:val="center"/>
          </w:tcPr>
          <w:p>
            <w:pPr>
              <w:jc w:val="center"/>
              <w:rPr>
                <w:rFonts w:hint="eastAsia"/>
                <w:color w:val="auto"/>
                <w:sz w:val="24"/>
                <w:highlight w:val="none"/>
              </w:rPr>
            </w:pPr>
            <w:r>
              <w:rPr>
                <w:rFonts w:hint="eastAsia"/>
                <w:color w:val="auto"/>
                <w:sz w:val="24"/>
                <w:highlight w:val="none"/>
              </w:rPr>
              <w:t>采</w:t>
            </w:r>
          </w:p>
          <w:p>
            <w:pPr>
              <w:jc w:val="center"/>
              <w:rPr>
                <w:rFonts w:hint="eastAsia"/>
                <w:color w:val="auto"/>
                <w:sz w:val="24"/>
                <w:highlight w:val="none"/>
              </w:rPr>
            </w:pPr>
            <w:r>
              <w:rPr>
                <w:rFonts w:hint="eastAsia"/>
                <w:color w:val="auto"/>
                <w:sz w:val="24"/>
                <w:highlight w:val="none"/>
              </w:rPr>
              <w:t>购</w:t>
            </w:r>
          </w:p>
          <w:p>
            <w:pPr>
              <w:jc w:val="center"/>
              <w:rPr>
                <w:rFonts w:hint="eastAsia"/>
                <w:color w:val="auto"/>
                <w:sz w:val="24"/>
                <w:highlight w:val="none"/>
              </w:rPr>
            </w:pPr>
            <w:r>
              <w:rPr>
                <w:rFonts w:hint="eastAsia"/>
                <w:color w:val="auto"/>
                <w:sz w:val="24"/>
                <w:highlight w:val="none"/>
              </w:rPr>
              <w:t>人</w:t>
            </w:r>
          </w:p>
          <w:p>
            <w:pPr>
              <w:jc w:val="center"/>
              <w:rPr>
                <w:rFonts w:hint="eastAsia"/>
                <w:color w:val="auto"/>
                <w:sz w:val="24"/>
                <w:highlight w:val="none"/>
              </w:rPr>
            </w:pPr>
            <w:r>
              <w:rPr>
                <w:rFonts w:hint="eastAsia"/>
                <w:color w:val="auto"/>
                <w:sz w:val="24"/>
                <w:highlight w:val="none"/>
              </w:rPr>
              <w:t>意</w:t>
            </w:r>
          </w:p>
          <w:p>
            <w:pPr>
              <w:jc w:val="center"/>
              <w:rPr>
                <w:rFonts w:hint="eastAsia"/>
                <w:color w:val="auto"/>
                <w:sz w:val="24"/>
                <w:highlight w:val="none"/>
              </w:rPr>
            </w:pPr>
            <w:r>
              <w:rPr>
                <w:rFonts w:hint="eastAsia"/>
                <w:color w:val="auto"/>
                <w:sz w:val="24"/>
                <w:highlight w:val="none"/>
              </w:rPr>
              <w:t>见</w:t>
            </w:r>
          </w:p>
        </w:tc>
        <w:tc>
          <w:tcPr>
            <w:tcW w:w="8456" w:type="dxa"/>
            <w:noWrap w:val="0"/>
            <w:vAlign w:val="top"/>
          </w:tcPr>
          <w:p>
            <w:pPr>
              <w:rPr>
                <w:rFonts w:hint="eastAsia"/>
                <w:color w:val="auto"/>
                <w:sz w:val="24"/>
                <w:highlight w:val="none"/>
              </w:rPr>
            </w:pPr>
          </w:p>
          <w:p>
            <w:pPr>
              <w:rPr>
                <w:rFonts w:hint="eastAsia"/>
                <w:color w:val="auto"/>
                <w:sz w:val="24"/>
                <w:highlight w:val="none"/>
              </w:rPr>
            </w:pPr>
            <w:r>
              <w:rPr>
                <w:rFonts w:hint="eastAsia"/>
                <w:color w:val="auto"/>
                <w:sz w:val="24"/>
                <w:highlight w:val="none"/>
              </w:rPr>
              <w:t>退付意见：（是否同意退付履约保证金及退付金额）</w:t>
            </w: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spacing w:line="520" w:lineRule="exact"/>
              <w:rPr>
                <w:rFonts w:hint="eastAsia"/>
                <w:color w:val="auto"/>
                <w:sz w:val="24"/>
                <w:highlight w:val="none"/>
              </w:rPr>
            </w:pPr>
            <w:r>
              <w:rPr>
                <w:rFonts w:hint="eastAsia"/>
                <w:color w:val="auto"/>
                <w:sz w:val="24"/>
                <w:highlight w:val="none"/>
              </w:rPr>
              <w:t>联系人及电话：                         采购人签章</w:t>
            </w:r>
          </w:p>
          <w:p>
            <w:pPr>
              <w:spacing w:line="520" w:lineRule="exact"/>
              <w:jc w:val="center"/>
              <w:rPr>
                <w:rFonts w:hint="eastAsia"/>
                <w:color w:val="auto"/>
                <w:sz w:val="24"/>
                <w:highlight w:val="none"/>
              </w:rPr>
            </w:pPr>
            <w:r>
              <w:rPr>
                <w:rFonts w:hint="eastAsia"/>
                <w:color w:val="auto"/>
                <w:sz w:val="24"/>
                <w:highlight w:val="none"/>
              </w:rPr>
              <w:t xml:space="preserve">                                        年    月     日</w:t>
            </w:r>
          </w:p>
          <w:p>
            <w:pPr>
              <w:spacing w:line="520" w:lineRule="exact"/>
              <w:jc w:val="center"/>
              <w:rPr>
                <w:rFonts w:hint="eastAsia"/>
                <w:color w:val="auto"/>
                <w:sz w:val="24"/>
                <w:highlight w:val="none"/>
              </w:rPr>
            </w:pPr>
          </w:p>
        </w:tc>
      </w:tr>
    </w:tbl>
    <w:p>
      <w:pPr>
        <w:pStyle w:val="17"/>
        <w:ind w:left="420" w:leftChars="114" w:hanging="181" w:hangingChars="100"/>
        <w:rPr>
          <w:rFonts w:hint="eastAsia" w:ascii="宋体"/>
          <w:b/>
          <w:bCs/>
          <w:color w:val="auto"/>
          <w:sz w:val="18"/>
          <w:highlight w:val="none"/>
        </w:rPr>
      </w:pPr>
      <w:r>
        <w:rPr>
          <w:rFonts w:hint="eastAsia" w:ascii="宋体"/>
          <w:b/>
          <w:bCs/>
          <w:color w:val="auto"/>
          <w:sz w:val="18"/>
          <w:highlight w:val="none"/>
        </w:rPr>
        <w:t>注：供应商凭经采购人审批的退付意见书到保证金收取单位办理履约保证金退付事宜。</w:t>
      </w:r>
    </w:p>
    <w:p>
      <w:pPr>
        <w:pStyle w:val="23"/>
        <w:snapToGrid w:val="0"/>
        <w:spacing w:before="120" w:after="120"/>
        <w:rPr>
          <w:rFonts w:hint="eastAsia" w:hAnsi="宋体"/>
          <w:color w:val="auto"/>
          <w:highlight w:val="none"/>
        </w:rPr>
      </w:pPr>
    </w:p>
    <w:p>
      <w:pPr>
        <w:pStyle w:val="23"/>
        <w:snapToGrid w:val="0"/>
        <w:spacing w:before="120" w:after="120"/>
        <w:rPr>
          <w:rFonts w:hint="eastAsia" w:hAnsi="宋体"/>
          <w:color w:val="auto"/>
          <w:highlight w:val="none"/>
        </w:rPr>
      </w:pPr>
      <w:r>
        <w:rPr>
          <w:rFonts w:hAnsi="宋体"/>
          <w:color w:val="auto"/>
          <w:highlight w:val="none"/>
        </w:rPr>
        <w:br w:type="page"/>
      </w:r>
    </w:p>
    <w:p>
      <w:pPr>
        <w:pStyle w:val="23"/>
        <w:snapToGrid w:val="0"/>
        <w:spacing w:before="120" w:after="120"/>
        <w:rPr>
          <w:rFonts w:hint="eastAsia" w:hAnsi="宋体"/>
          <w:color w:val="auto"/>
          <w:highlight w:val="none"/>
        </w:rPr>
      </w:pPr>
    </w:p>
    <w:p>
      <w:pPr>
        <w:pStyle w:val="23"/>
        <w:snapToGrid w:val="0"/>
        <w:spacing w:before="120" w:after="120"/>
        <w:rPr>
          <w:rFonts w:hint="eastAsia" w:hAnsi="宋体"/>
          <w:color w:val="auto"/>
          <w:highlight w:val="none"/>
        </w:rPr>
      </w:pPr>
    </w:p>
    <w:p>
      <w:pPr>
        <w:pStyle w:val="23"/>
        <w:snapToGrid w:val="0"/>
        <w:spacing w:before="120" w:after="120"/>
        <w:rPr>
          <w:rFonts w:hint="eastAsia" w:hAnsi="宋体"/>
          <w:color w:val="auto"/>
          <w:highlight w:val="none"/>
        </w:rPr>
      </w:pPr>
    </w:p>
    <w:p>
      <w:pPr>
        <w:pStyle w:val="23"/>
        <w:snapToGrid w:val="0"/>
        <w:spacing w:before="120" w:after="120"/>
        <w:rPr>
          <w:rFonts w:hint="eastAsia" w:hAnsi="宋体"/>
          <w:color w:val="auto"/>
          <w:highlight w:val="none"/>
        </w:rPr>
      </w:pPr>
    </w:p>
    <w:p>
      <w:pPr>
        <w:pStyle w:val="23"/>
        <w:snapToGrid w:val="0"/>
        <w:spacing w:before="120" w:after="120"/>
        <w:rPr>
          <w:rFonts w:hint="eastAsia" w:hAnsi="宋体"/>
          <w:color w:val="auto"/>
          <w:highlight w:val="none"/>
        </w:rPr>
      </w:pPr>
    </w:p>
    <w:p>
      <w:pPr>
        <w:pStyle w:val="23"/>
        <w:snapToGrid w:val="0"/>
        <w:spacing w:before="120" w:after="120"/>
        <w:rPr>
          <w:rFonts w:hint="eastAsia" w:hAnsi="宋体"/>
          <w:color w:val="auto"/>
          <w:highlight w:val="none"/>
        </w:rPr>
      </w:pPr>
    </w:p>
    <w:p>
      <w:pPr>
        <w:pStyle w:val="23"/>
        <w:snapToGrid w:val="0"/>
        <w:spacing w:before="120" w:after="120"/>
        <w:rPr>
          <w:rFonts w:hint="eastAsia" w:hAnsi="宋体"/>
          <w:color w:val="auto"/>
          <w:highlight w:val="none"/>
        </w:rPr>
      </w:pPr>
    </w:p>
    <w:p>
      <w:pPr>
        <w:pStyle w:val="23"/>
        <w:snapToGrid w:val="0"/>
        <w:spacing w:before="120" w:after="120"/>
        <w:rPr>
          <w:rFonts w:hint="eastAsia" w:hAnsi="宋体"/>
          <w:color w:val="auto"/>
          <w:highlight w:val="none"/>
        </w:rPr>
      </w:pPr>
    </w:p>
    <w:p>
      <w:pPr>
        <w:pStyle w:val="23"/>
        <w:snapToGrid w:val="0"/>
        <w:spacing w:before="120" w:after="120"/>
        <w:rPr>
          <w:rFonts w:hint="eastAsia" w:hAnsi="宋体"/>
          <w:color w:val="auto"/>
          <w:highlight w:val="none"/>
        </w:rPr>
      </w:pPr>
    </w:p>
    <w:p>
      <w:pPr>
        <w:pStyle w:val="23"/>
        <w:snapToGrid w:val="0"/>
        <w:spacing w:before="120" w:after="120"/>
        <w:rPr>
          <w:rFonts w:hint="eastAsia" w:hAnsi="宋体"/>
          <w:color w:val="auto"/>
          <w:highlight w:val="none"/>
        </w:rPr>
      </w:pPr>
    </w:p>
    <w:p>
      <w:pPr>
        <w:pStyle w:val="23"/>
        <w:snapToGrid w:val="0"/>
        <w:spacing w:before="120" w:after="120"/>
        <w:rPr>
          <w:rFonts w:hint="eastAsia" w:hAnsi="宋体"/>
          <w:color w:val="auto"/>
          <w:highlight w:val="none"/>
        </w:rPr>
      </w:pPr>
    </w:p>
    <w:p>
      <w:pPr>
        <w:pStyle w:val="23"/>
        <w:snapToGrid w:val="0"/>
        <w:spacing w:before="120" w:after="120"/>
        <w:rPr>
          <w:rFonts w:hint="eastAsia" w:hAnsi="宋体"/>
          <w:color w:val="auto"/>
          <w:highlight w:val="none"/>
        </w:rPr>
      </w:pPr>
    </w:p>
    <w:p>
      <w:pPr>
        <w:pStyle w:val="23"/>
        <w:snapToGrid w:val="0"/>
        <w:spacing w:before="120" w:after="120"/>
        <w:rPr>
          <w:rFonts w:hint="eastAsia" w:hAnsi="宋体"/>
          <w:color w:val="auto"/>
          <w:highlight w:val="none"/>
        </w:rPr>
      </w:pPr>
    </w:p>
    <w:p>
      <w:pPr>
        <w:pStyle w:val="23"/>
        <w:snapToGrid w:val="0"/>
        <w:spacing w:before="120" w:after="120"/>
        <w:rPr>
          <w:rFonts w:hint="eastAsia" w:hAnsi="宋体"/>
          <w:color w:val="auto"/>
          <w:highlight w:val="none"/>
        </w:rPr>
      </w:pPr>
    </w:p>
    <w:p>
      <w:pPr>
        <w:pStyle w:val="4"/>
        <w:jc w:val="center"/>
        <w:rPr>
          <w:rFonts w:hint="eastAsia"/>
          <w:color w:val="auto"/>
          <w:highlight w:val="none"/>
        </w:rPr>
      </w:pPr>
      <w:bookmarkStart w:id="141" w:name="_Toc254970689"/>
      <w:bookmarkStart w:id="142" w:name="_Toc254970548"/>
      <w:bookmarkStart w:id="143" w:name="_Toc54691750"/>
      <w:bookmarkStart w:id="144" w:name="_Toc330456896"/>
      <w:r>
        <w:rPr>
          <w:rFonts w:hint="eastAsia"/>
          <w:color w:val="auto"/>
          <w:highlight w:val="none"/>
        </w:rPr>
        <w:t>第四章  评标</w:t>
      </w:r>
      <w:r>
        <w:rPr>
          <w:rFonts w:hint="eastAsia"/>
          <w:color w:val="auto"/>
          <w:highlight w:val="none"/>
          <w:lang w:eastAsia="zh-CN"/>
        </w:rPr>
        <w:t>方</w:t>
      </w:r>
      <w:r>
        <w:rPr>
          <w:rFonts w:hint="eastAsia"/>
          <w:color w:val="auto"/>
          <w:highlight w:val="none"/>
        </w:rPr>
        <w:t>法及评</w:t>
      </w:r>
      <w:r>
        <w:rPr>
          <w:rFonts w:hint="eastAsia"/>
          <w:color w:val="auto"/>
          <w:highlight w:val="none"/>
          <w:lang w:eastAsia="zh-CN"/>
        </w:rPr>
        <w:t>标</w:t>
      </w:r>
      <w:r>
        <w:rPr>
          <w:rFonts w:hint="eastAsia"/>
          <w:color w:val="auto"/>
          <w:highlight w:val="none"/>
        </w:rPr>
        <w:t>标准</w:t>
      </w:r>
      <w:bookmarkEnd w:id="141"/>
      <w:bookmarkEnd w:id="142"/>
      <w:bookmarkEnd w:id="143"/>
      <w:bookmarkEnd w:id="144"/>
    </w:p>
    <w:p>
      <w:pPr>
        <w:pStyle w:val="23"/>
        <w:spacing w:before="120" w:after="120"/>
        <w:outlineLvl w:val="0"/>
        <w:rPr>
          <w:rFonts w:hint="eastAsia" w:hAnsi="宋体"/>
          <w:b/>
          <w:color w:val="auto"/>
          <w:highlight w:val="none"/>
        </w:rPr>
      </w:pPr>
      <w:bookmarkStart w:id="145" w:name="_Toc254970690"/>
      <w:bookmarkStart w:id="146" w:name="_Toc254970549"/>
    </w:p>
    <w:bookmarkEnd w:id="145"/>
    <w:bookmarkEnd w:id="146"/>
    <w:p>
      <w:pPr>
        <w:pStyle w:val="23"/>
        <w:spacing w:before="120" w:after="120"/>
        <w:outlineLvl w:val="0"/>
        <w:rPr>
          <w:rFonts w:hint="eastAsia" w:hAnsi="宋体"/>
          <w:bCs/>
          <w:color w:val="auto"/>
          <w:sz w:val="32"/>
          <w:szCs w:val="32"/>
          <w:highlight w:val="none"/>
        </w:rPr>
      </w:pPr>
    </w:p>
    <w:p>
      <w:pPr>
        <w:pStyle w:val="23"/>
        <w:spacing w:before="120" w:after="120"/>
        <w:outlineLvl w:val="0"/>
        <w:rPr>
          <w:rFonts w:hint="eastAsia" w:hAnsi="宋体"/>
          <w:bCs/>
          <w:color w:val="auto"/>
          <w:sz w:val="32"/>
          <w:szCs w:val="32"/>
          <w:highlight w:val="none"/>
        </w:rPr>
      </w:pPr>
    </w:p>
    <w:p>
      <w:pPr>
        <w:pStyle w:val="23"/>
        <w:spacing w:before="120" w:after="120"/>
        <w:outlineLvl w:val="0"/>
        <w:rPr>
          <w:rFonts w:hint="eastAsia" w:hAnsi="宋体"/>
          <w:bCs/>
          <w:color w:val="auto"/>
          <w:sz w:val="32"/>
          <w:szCs w:val="32"/>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pStyle w:val="23"/>
        <w:spacing w:line="360" w:lineRule="exact"/>
        <w:rPr>
          <w:rFonts w:hint="eastAsia" w:hAnsi="宋体"/>
          <w:b/>
          <w:color w:val="auto"/>
          <w:sz w:val="24"/>
          <w:highlight w:val="none"/>
          <w:lang w:eastAsia="zh-CN"/>
        </w:rPr>
      </w:pPr>
    </w:p>
    <w:p>
      <w:pPr>
        <w:pStyle w:val="23"/>
        <w:spacing w:line="360" w:lineRule="exact"/>
        <w:rPr>
          <w:rFonts w:hint="eastAsia" w:hAnsi="宋体"/>
          <w:b/>
          <w:color w:val="auto"/>
          <w:sz w:val="24"/>
          <w:highlight w:val="none"/>
          <w:lang w:eastAsia="zh-CN"/>
        </w:rPr>
      </w:pPr>
    </w:p>
    <w:p>
      <w:pPr>
        <w:pStyle w:val="23"/>
        <w:spacing w:line="360" w:lineRule="exact"/>
        <w:rPr>
          <w:rFonts w:hint="eastAsia" w:hAnsi="宋体"/>
          <w:b/>
          <w:color w:val="auto"/>
          <w:sz w:val="24"/>
          <w:highlight w:val="none"/>
          <w:lang w:eastAsia="zh-CN"/>
        </w:rPr>
      </w:pPr>
    </w:p>
    <w:p>
      <w:pPr>
        <w:pStyle w:val="23"/>
        <w:spacing w:line="360" w:lineRule="exact"/>
        <w:rPr>
          <w:rFonts w:hint="eastAsia" w:hAnsi="宋体"/>
          <w:bCs/>
          <w:color w:val="auto"/>
          <w:highlight w:val="none"/>
          <w:lang w:val="en-US" w:eastAsia="zh-CN"/>
        </w:rPr>
      </w:pPr>
    </w:p>
    <w:p>
      <w:pPr>
        <w:pStyle w:val="23"/>
        <w:spacing w:line="400" w:lineRule="exact"/>
        <w:ind w:firstLine="540" w:firstLineChars="224"/>
        <w:rPr>
          <w:rFonts w:hAnsi="宋体"/>
          <w:b/>
          <w:bCs/>
          <w:color w:val="auto"/>
          <w:sz w:val="24"/>
          <w:szCs w:val="24"/>
          <w:highlight w:val="none"/>
          <w:lang w:eastAsia="zh-CN"/>
        </w:rPr>
      </w:pPr>
      <w:r>
        <w:rPr>
          <w:rFonts w:hint="eastAsia" w:hAnsi="宋体"/>
          <w:b/>
          <w:bCs/>
          <w:color w:val="auto"/>
          <w:sz w:val="24"/>
          <w:szCs w:val="24"/>
          <w:highlight w:val="none"/>
          <w:lang w:eastAsia="zh-CN"/>
        </w:rPr>
        <w:t>一、</w:t>
      </w:r>
      <w:r>
        <w:rPr>
          <w:rFonts w:hint="eastAsia" w:hAnsi="宋体"/>
          <w:b/>
          <w:bCs/>
          <w:color w:val="auto"/>
          <w:sz w:val="21"/>
          <w:highlight w:val="none"/>
          <w:lang w:eastAsia="zh-CN"/>
        </w:rPr>
        <w:t>评标方法</w:t>
      </w:r>
    </w:p>
    <w:p>
      <w:pPr>
        <w:pStyle w:val="23"/>
        <w:spacing w:line="400" w:lineRule="exact"/>
        <w:ind w:firstLine="420"/>
        <w:rPr>
          <w:rFonts w:hint="eastAsia" w:hAnsi="宋体"/>
          <w:color w:val="auto"/>
          <w:sz w:val="21"/>
          <w:highlight w:val="none"/>
        </w:rPr>
      </w:pPr>
      <w:r>
        <w:rPr>
          <w:rFonts w:hint="eastAsia" w:hAnsi="宋体"/>
          <w:color w:val="auto"/>
          <w:sz w:val="21"/>
          <w:highlight w:val="none"/>
        </w:rPr>
        <w:t>（一）综合评分法，是指投标文件满足招标文件全部实质性要求，且按照评审因素的量化指标评审得分最高的投标人为中标候选人的评标方法。</w:t>
      </w:r>
    </w:p>
    <w:p>
      <w:pPr>
        <w:pStyle w:val="23"/>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（二）组建评标委员会</w:t>
      </w:r>
    </w:p>
    <w:p>
      <w:pPr>
        <w:pStyle w:val="23"/>
        <w:snapToGrid w:val="0"/>
        <w:spacing w:line="400" w:lineRule="exact"/>
        <w:ind w:firstLine="420" w:firstLineChars="200"/>
        <w:rPr>
          <w:rFonts w:hint="eastAsia" w:hAnsi="宋体"/>
          <w:color w:val="auto"/>
          <w:sz w:val="21"/>
          <w:highlight w:val="none"/>
        </w:rPr>
      </w:pPr>
      <w:r>
        <w:rPr>
          <w:rFonts w:hint="eastAsia"/>
          <w:color w:val="auto"/>
          <w:sz w:val="21"/>
          <w:highlight w:val="none"/>
        </w:rPr>
        <w:t>评标委员会由采购人代表和评审专家组成，成员人数</w:t>
      </w:r>
      <w:r>
        <w:rPr>
          <w:rFonts w:hint="eastAsia"/>
          <w:color w:val="auto"/>
          <w:sz w:val="21"/>
          <w:highlight w:val="none"/>
          <w:lang w:eastAsia="zh-CN"/>
        </w:rPr>
        <w:t>见“投标人须知前附表”</w:t>
      </w:r>
      <w:r>
        <w:rPr>
          <w:rFonts w:hint="eastAsia"/>
          <w:color w:val="auto"/>
          <w:sz w:val="21"/>
          <w:highlight w:val="none"/>
        </w:rPr>
        <w:t>，其中评审专家不得少于成员总数的三分之二</w:t>
      </w:r>
      <w:r>
        <w:rPr>
          <w:rFonts w:hint="eastAsia"/>
          <w:color w:val="auto"/>
          <w:sz w:val="21"/>
          <w:highlight w:val="none"/>
          <w:lang w:eastAsia="zh-CN"/>
        </w:rPr>
        <w:t>。</w:t>
      </w:r>
    </w:p>
    <w:p>
      <w:pPr>
        <w:pStyle w:val="23"/>
        <w:spacing w:line="400" w:lineRule="exact"/>
        <w:ind w:firstLine="420"/>
        <w:rPr>
          <w:rFonts w:hint="eastAsia" w:hAnsi="宋体"/>
          <w:color w:val="auto"/>
          <w:sz w:val="21"/>
          <w:highlight w:val="none"/>
          <w:lang w:val="en-US"/>
        </w:rPr>
      </w:pPr>
      <w:r>
        <w:rPr>
          <w:rFonts w:hint="eastAsia" w:hAnsi="宋体"/>
          <w:color w:val="auto"/>
          <w:sz w:val="21"/>
          <w:highlight w:val="none"/>
        </w:rPr>
        <w:t>参加过采购项目前期咨询论证的专家，不得参加该采购项目的评审活动。</w:t>
      </w:r>
    </w:p>
    <w:p>
      <w:pPr>
        <w:pStyle w:val="23"/>
        <w:snapToGrid w:val="0"/>
        <w:spacing w:line="400" w:lineRule="exact"/>
        <w:ind w:firstLine="400" w:firstLineChars="200"/>
        <w:rPr>
          <w:rFonts w:hint="eastAsia" w:hAnsi="宋体"/>
          <w:b/>
          <w:color w:val="auto"/>
          <w:sz w:val="21"/>
          <w:highlight w:val="none"/>
          <w:lang w:eastAsia="zh-CN"/>
        </w:rPr>
      </w:pPr>
      <w:r>
        <w:rPr>
          <w:rFonts w:hint="eastAsia" w:hAnsi="宋体"/>
          <w:color w:val="auto"/>
          <w:highlight w:val="none"/>
        </w:rPr>
        <w:t>（三）</w:t>
      </w:r>
      <w:r>
        <w:rPr>
          <w:rFonts w:hint="eastAsia" w:hAnsi="宋体"/>
          <w:b/>
          <w:color w:val="auto"/>
          <w:sz w:val="21"/>
          <w:highlight w:val="none"/>
          <w:lang w:eastAsia="zh-CN"/>
        </w:rPr>
        <w:t>评标程序</w:t>
      </w:r>
    </w:p>
    <w:p>
      <w:pPr>
        <w:pStyle w:val="6"/>
        <w:spacing w:before="0" w:after="0" w:line="400" w:lineRule="exact"/>
        <w:ind w:left="420" w:leftChars="200"/>
        <w:rPr>
          <w:rFonts w:hint="eastAsia" w:ascii="微软雅黑" w:hAnsi="微软雅黑" w:eastAsia="微软雅黑"/>
          <w:color w:val="auto"/>
          <w:sz w:val="24"/>
          <w:highlight w:val="none"/>
          <w:lang w:val="en-US" w:eastAsia="zh-CN"/>
        </w:rPr>
      </w:pPr>
      <w:r>
        <w:rPr>
          <w:rFonts w:hint="eastAsia" w:ascii="微软雅黑" w:hAnsi="微软雅黑" w:eastAsia="微软雅黑"/>
          <w:color w:val="auto"/>
          <w:sz w:val="24"/>
          <w:highlight w:val="none"/>
          <w:lang w:val="en-US" w:eastAsia="zh-CN"/>
        </w:rPr>
        <w:t>1符合性审查</w:t>
      </w:r>
    </w:p>
    <w:p>
      <w:pPr>
        <w:pStyle w:val="23"/>
        <w:snapToGrid w:val="0"/>
        <w:spacing w:line="400" w:lineRule="exact"/>
        <w:ind w:left="1" w:firstLine="420"/>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评标委员会应当对符合资格的投标人的投标文件进行投标报价、商务、技术等实质性要求符合性审查，以确定其是否满足招标文件的实质性要求。</w:t>
      </w:r>
    </w:p>
    <w:p>
      <w:pPr>
        <w:pStyle w:val="6"/>
        <w:spacing w:before="0" w:after="0" w:line="400" w:lineRule="exact"/>
        <w:ind w:left="420" w:leftChars="200"/>
        <w:rPr>
          <w:rFonts w:hint="eastAsia" w:ascii="微软雅黑" w:hAnsi="微软雅黑" w:eastAsia="微软雅黑"/>
          <w:color w:val="auto"/>
          <w:sz w:val="24"/>
          <w:highlight w:val="none"/>
          <w:lang w:val="en-US" w:eastAsia="zh-CN"/>
        </w:rPr>
      </w:pPr>
      <w:r>
        <w:rPr>
          <w:rFonts w:hint="eastAsia" w:ascii="微软雅黑" w:hAnsi="微软雅黑" w:eastAsia="微软雅黑"/>
          <w:color w:val="auto"/>
          <w:sz w:val="24"/>
          <w:highlight w:val="none"/>
          <w:lang w:val="en-US" w:eastAsia="zh-CN"/>
        </w:rPr>
        <w:t>2符合性审查不通过而导致投标无效的情形</w:t>
      </w:r>
    </w:p>
    <w:p>
      <w:pPr>
        <w:snapToGrid w:val="0"/>
        <w:spacing w:line="400" w:lineRule="exact"/>
        <w:ind w:firstLine="480" w:firstLineChars="200"/>
        <w:rPr>
          <w:rFonts w:hint="eastAsia" w:ascii="微软雅黑" w:hAnsi="微软雅黑" w:eastAsia="微软雅黑"/>
          <w:b/>
          <w:color w:val="auto"/>
          <w:sz w:val="24"/>
          <w:highlight w:val="none"/>
        </w:rPr>
      </w:pPr>
      <w:r>
        <w:rPr>
          <w:rFonts w:hint="eastAsia" w:ascii="微软雅黑" w:hAnsi="微软雅黑" w:eastAsia="微软雅黑"/>
          <w:b/>
          <w:color w:val="auto"/>
          <w:sz w:val="24"/>
          <w:highlight w:val="none"/>
        </w:rPr>
        <w:t>投标人的投标文件中存在对招标文件的任何实质性要求和条件的负偏离，其投标将被视为投标无效。</w:t>
      </w:r>
    </w:p>
    <w:p>
      <w:pPr>
        <w:pStyle w:val="6"/>
        <w:spacing w:before="0" w:after="0" w:line="400" w:lineRule="exact"/>
        <w:ind w:left="420" w:leftChars="200"/>
        <w:rPr>
          <w:rFonts w:hint="eastAsia" w:ascii="微软雅黑" w:hAnsi="微软雅黑" w:eastAsia="微软雅黑"/>
          <w:color w:val="auto"/>
          <w:sz w:val="24"/>
          <w:highlight w:val="none"/>
          <w:lang w:val="en-US" w:eastAsia="zh-CN"/>
        </w:rPr>
      </w:pPr>
      <w:r>
        <w:rPr>
          <w:rFonts w:hint="eastAsia" w:ascii="微软雅黑" w:hAnsi="微软雅黑" w:eastAsia="微软雅黑"/>
          <w:color w:val="auto"/>
          <w:sz w:val="24"/>
          <w:highlight w:val="none"/>
          <w:lang w:val="en-US" w:eastAsia="zh-CN"/>
        </w:rPr>
        <w:t>2.1在报价评审时，如发现下列情形之一的，将被视为投标无效：</w:t>
      </w:r>
    </w:p>
    <w:p>
      <w:pPr>
        <w:pStyle w:val="7"/>
        <w:numPr>
          <w:ilvl w:val="0"/>
          <w:numId w:val="6"/>
        </w:numPr>
        <w:spacing w:line="400" w:lineRule="exact"/>
        <w:ind w:firstLine="480" w:firstLineChars="200"/>
        <w:rPr>
          <w:rFonts w:hint="eastAsia" w:ascii="微软雅黑" w:hAnsi="微软雅黑" w:eastAsia="微软雅黑"/>
          <w:b/>
          <w:color w:val="auto"/>
          <w:sz w:val="24"/>
          <w:szCs w:val="24"/>
          <w:highlight w:val="none"/>
        </w:rPr>
      </w:pPr>
      <w:r>
        <w:rPr>
          <w:rFonts w:hint="eastAsia" w:ascii="微软雅黑" w:hAnsi="微软雅黑" w:eastAsia="微软雅黑"/>
          <w:b/>
          <w:color w:val="auto"/>
          <w:sz w:val="24"/>
          <w:szCs w:val="24"/>
          <w:highlight w:val="none"/>
        </w:rPr>
        <w:t>投标文件未提供“投标人须知前附表”第13.1条规定中“必须提供”的文件资料的;</w:t>
      </w:r>
    </w:p>
    <w:p>
      <w:pPr>
        <w:pStyle w:val="7"/>
        <w:numPr>
          <w:ilvl w:val="0"/>
          <w:numId w:val="6"/>
        </w:numPr>
        <w:spacing w:line="400" w:lineRule="exact"/>
        <w:ind w:firstLine="480" w:firstLineChars="200"/>
        <w:rPr>
          <w:rFonts w:hint="eastAsia" w:ascii="微软雅黑" w:hAnsi="微软雅黑" w:eastAsia="微软雅黑"/>
          <w:b/>
          <w:color w:val="auto"/>
          <w:sz w:val="24"/>
          <w:szCs w:val="24"/>
          <w:highlight w:val="none"/>
        </w:rPr>
      </w:pPr>
      <w:r>
        <w:rPr>
          <w:rFonts w:hint="eastAsia" w:ascii="微软雅黑" w:hAnsi="微软雅黑" w:eastAsia="微软雅黑"/>
          <w:b/>
          <w:color w:val="auto"/>
          <w:sz w:val="24"/>
          <w:szCs w:val="24"/>
          <w:highlight w:val="none"/>
        </w:rPr>
        <w:t>未采用人民币报价或者未按照招标文件标明的币种报价的；</w:t>
      </w:r>
    </w:p>
    <w:p>
      <w:pPr>
        <w:pStyle w:val="7"/>
        <w:numPr>
          <w:ilvl w:val="0"/>
          <w:numId w:val="6"/>
        </w:numPr>
        <w:spacing w:line="400" w:lineRule="exact"/>
        <w:ind w:firstLine="480" w:firstLineChars="200"/>
        <w:rPr>
          <w:rFonts w:hint="eastAsia" w:ascii="微软雅黑" w:hAnsi="微软雅黑" w:eastAsia="微软雅黑"/>
          <w:b/>
          <w:color w:val="auto"/>
          <w:sz w:val="24"/>
          <w:szCs w:val="24"/>
          <w:highlight w:val="none"/>
        </w:rPr>
      </w:pPr>
      <w:r>
        <w:rPr>
          <w:rFonts w:hint="eastAsia" w:ascii="微软雅黑" w:hAnsi="微软雅黑" w:eastAsia="微软雅黑"/>
          <w:b/>
          <w:color w:val="auto"/>
          <w:sz w:val="24"/>
          <w:szCs w:val="24"/>
          <w:highlight w:val="none"/>
        </w:rPr>
        <w:t>报价超出招标文件规定最高限价，或者超出采购预算金额的；</w:t>
      </w:r>
    </w:p>
    <w:p>
      <w:pPr>
        <w:pStyle w:val="7"/>
        <w:numPr>
          <w:ilvl w:val="0"/>
          <w:numId w:val="6"/>
        </w:numPr>
        <w:spacing w:line="400" w:lineRule="exact"/>
        <w:ind w:firstLine="480" w:firstLineChars="200"/>
        <w:rPr>
          <w:rFonts w:hint="eastAsia" w:ascii="微软雅黑" w:hAnsi="微软雅黑" w:eastAsia="微软雅黑"/>
          <w:b/>
          <w:color w:val="auto"/>
          <w:sz w:val="24"/>
          <w:szCs w:val="24"/>
          <w:highlight w:val="none"/>
        </w:rPr>
      </w:pPr>
      <w:r>
        <w:rPr>
          <w:rFonts w:hint="eastAsia" w:ascii="微软雅黑" w:hAnsi="微软雅黑" w:eastAsia="微软雅黑"/>
          <w:b/>
          <w:color w:val="auto"/>
          <w:sz w:val="24"/>
          <w:szCs w:val="24"/>
          <w:highlight w:val="none"/>
        </w:rPr>
        <w:t>投标人未就所投分标进行报价或存在漏项报价；投标人未就所投分标的单项内容作唯一报价；投标人未就所投分标的全部内容作唯一总价报价；存在有选择、有条件报价的（招标文件允许有备选方案或其他约定的除外）；</w:t>
      </w:r>
    </w:p>
    <w:p>
      <w:pPr>
        <w:pStyle w:val="7"/>
        <w:numPr>
          <w:ilvl w:val="0"/>
          <w:numId w:val="6"/>
        </w:numPr>
        <w:spacing w:line="400" w:lineRule="exact"/>
        <w:ind w:firstLine="480" w:firstLineChars="200"/>
        <w:rPr>
          <w:rFonts w:hint="eastAsia" w:ascii="微软雅黑" w:hAnsi="微软雅黑" w:eastAsia="微软雅黑"/>
          <w:b/>
          <w:color w:val="auto"/>
          <w:sz w:val="24"/>
          <w:highlight w:val="none"/>
        </w:rPr>
      </w:pPr>
      <w:r>
        <w:rPr>
          <w:rFonts w:hint="eastAsia" w:ascii="微软雅黑" w:hAnsi="微软雅黑" w:eastAsia="微软雅黑"/>
          <w:b/>
          <w:color w:val="auto"/>
          <w:sz w:val="24"/>
          <w:szCs w:val="24"/>
          <w:highlight w:val="none"/>
        </w:rPr>
        <w:t>修正后的报价，投标人不确认的；</w:t>
      </w:r>
    </w:p>
    <w:p>
      <w:pPr>
        <w:pStyle w:val="7"/>
        <w:numPr>
          <w:ilvl w:val="0"/>
          <w:numId w:val="6"/>
        </w:numPr>
        <w:spacing w:line="400" w:lineRule="exact"/>
        <w:ind w:firstLine="480" w:firstLineChars="200"/>
        <w:rPr>
          <w:rFonts w:hint="eastAsia" w:ascii="微软雅黑" w:hAnsi="微软雅黑" w:eastAsia="微软雅黑"/>
          <w:b/>
          <w:color w:val="auto"/>
          <w:sz w:val="24"/>
          <w:highlight w:val="none"/>
        </w:rPr>
      </w:pPr>
      <w:r>
        <w:rPr>
          <w:rFonts w:hint="eastAsia" w:ascii="微软雅黑" w:hAnsi="微软雅黑" w:eastAsia="微软雅黑"/>
          <w:b/>
          <w:color w:val="auto"/>
          <w:sz w:val="24"/>
          <w:highlight w:val="none"/>
        </w:rPr>
        <w:t>投标人属于本须知第29.4条第（2）项情形的</w:t>
      </w:r>
    </w:p>
    <w:p>
      <w:pPr>
        <w:pStyle w:val="6"/>
        <w:spacing w:before="0" w:after="0" w:line="400" w:lineRule="exact"/>
        <w:ind w:left="420" w:leftChars="200"/>
        <w:rPr>
          <w:rFonts w:hint="eastAsia" w:ascii="微软雅黑" w:hAnsi="微软雅黑" w:eastAsia="微软雅黑"/>
          <w:color w:val="auto"/>
          <w:sz w:val="24"/>
          <w:highlight w:val="none"/>
          <w:lang w:val="en-US" w:eastAsia="zh-CN"/>
        </w:rPr>
      </w:pPr>
      <w:r>
        <w:rPr>
          <w:rFonts w:hint="eastAsia" w:ascii="微软雅黑" w:hAnsi="微软雅黑" w:eastAsia="微软雅黑"/>
          <w:color w:val="auto"/>
          <w:sz w:val="24"/>
          <w:highlight w:val="none"/>
          <w:lang w:val="en-US" w:eastAsia="zh-CN"/>
        </w:rPr>
        <w:t>2.2在商务评审时，如发现下列情形之一的，将被视为投标无效：</w:t>
      </w:r>
    </w:p>
    <w:p>
      <w:pPr>
        <w:numPr>
          <w:ilvl w:val="0"/>
          <w:numId w:val="7"/>
        </w:numPr>
        <w:snapToGrid w:val="0"/>
        <w:spacing w:line="400" w:lineRule="exact"/>
        <w:ind w:firstLine="480" w:firstLineChars="200"/>
        <w:rPr>
          <w:rFonts w:hint="eastAsia" w:ascii="微软雅黑" w:hAnsi="微软雅黑" w:eastAsia="微软雅黑"/>
          <w:b/>
          <w:color w:val="auto"/>
          <w:sz w:val="24"/>
          <w:highlight w:val="none"/>
        </w:rPr>
      </w:pPr>
      <w:r>
        <w:rPr>
          <w:rFonts w:hint="eastAsia" w:ascii="微软雅黑" w:hAnsi="微软雅黑" w:eastAsia="微软雅黑"/>
          <w:b/>
          <w:color w:val="auto"/>
          <w:sz w:val="24"/>
          <w:highlight w:val="none"/>
        </w:rPr>
        <w:t>投标文件未按招标文件要求签署、盖章的；</w:t>
      </w:r>
    </w:p>
    <w:p>
      <w:pPr>
        <w:numPr>
          <w:ilvl w:val="0"/>
          <w:numId w:val="7"/>
        </w:numPr>
        <w:snapToGrid w:val="0"/>
        <w:spacing w:line="400" w:lineRule="exact"/>
        <w:ind w:firstLine="480" w:firstLineChars="200"/>
        <w:rPr>
          <w:rFonts w:hint="eastAsia" w:ascii="微软雅黑" w:hAnsi="微软雅黑" w:eastAsia="微软雅黑"/>
          <w:b/>
          <w:color w:val="auto"/>
          <w:sz w:val="24"/>
          <w:highlight w:val="none"/>
        </w:rPr>
      </w:pPr>
      <w:r>
        <w:rPr>
          <w:rFonts w:hint="eastAsia" w:ascii="微软雅黑" w:hAnsi="微软雅黑" w:eastAsia="微软雅黑"/>
          <w:b/>
          <w:color w:val="auto"/>
          <w:sz w:val="24"/>
          <w:highlight w:val="none"/>
        </w:rPr>
        <w:t xml:space="preserve">委托代理人未能出具有效身份证明或出具的身份证明与授权委托书中的信息不符的； </w:t>
      </w:r>
    </w:p>
    <w:p>
      <w:pPr>
        <w:numPr>
          <w:ilvl w:val="0"/>
          <w:numId w:val="7"/>
        </w:numPr>
        <w:snapToGrid w:val="0"/>
        <w:spacing w:line="400" w:lineRule="exact"/>
        <w:ind w:firstLine="480" w:firstLineChars="200"/>
        <w:rPr>
          <w:rFonts w:hint="eastAsia" w:ascii="微软雅黑" w:hAnsi="微软雅黑" w:eastAsia="微软雅黑"/>
          <w:b/>
          <w:color w:val="auto"/>
          <w:sz w:val="24"/>
          <w:highlight w:val="none"/>
        </w:rPr>
      </w:pPr>
      <w:r>
        <w:rPr>
          <w:rFonts w:hint="eastAsia" w:ascii="微软雅黑" w:hAnsi="微软雅黑" w:eastAsia="微软雅黑"/>
          <w:b/>
          <w:color w:val="auto"/>
          <w:sz w:val="24"/>
          <w:highlight w:val="none"/>
        </w:rPr>
        <w:t>投标文件未提供“投标人须知前附表”第13.3条规定中“必须提供”或者“委托时必须提供”的文件资料的;</w:t>
      </w:r>
    </w:p>
    <w:p>
      <w:pPr>
        <w:numPr>
          <w:ilvl w:val="0"/>
          <w:numId w:val="7"/>
        </w:numPr>
        <w:snapToGrid w:val="0"/>
        <w:spacing w:line="400" w:lineRule="exact"/>
        <w:ind w:firstLine="480" w:firstLineChars="200"/>
        <w:rPr>
          <w:rFonts w:hint="eastAsia" w:ascii="微软雅黑" w:hAnsi="微软雅黑" w:eastAsia="微软雅黑"/>
          <w:b/>
          <w:color w:val="auto"/>
          <w:sz w:val="24"/>
          <w:highlight w:val="none"/>
        </w:rPr>
      </w:pPr>
      <w:r>
        <w:rPr>
          <w:rFonts w:hint="eastAsia" w:ascii="微软雅黑" w:hAnsi="微软雅黑" w:eastAsia="微软雅黑"/>
          <w:b/>
          <w:color w:val="auto"/>
          <w:sz w:val="24"/>
          <w:highlight w:val="none"/>
        </w:rPr>
        <w:t>投标有效期、项目交付时间（交货时间、服务完成时间或服务期等）、质保期、售后服务等招标文件中标“▲”的商务条款发生负偏离的；</w:t>
      </w:r>
    </w:p>
    <w:p>
      <w:pPr>
        <w:numPr>
          <w:ilvl w:val="0"/>
          <w:numId w:val="7"/>
        </w:numPr>
        <w:snapToGrid w:val="0"/>
        <w:spacing w:line="400" w:lineRule="exact"/>
        <w:ind w:firstLine="480" w:firstLineChars="200"/>
        <w:rPr>
          <w:rFonts w:hint="eastAsia" w:ascii="微软雅黑" w:hAnsi="微软雅黑" w:eastAsia="微软雅黑"/>
          <w:b/>
          <w:color w:val="auto"/>
          <w:sz w:val="24"/>
          <w:highlight w:val="none"/>
        </w:rPr>
      </w:pPr>
      <w:r>
        <w:rPr>
          <w:rFonts w:hint="eastAsia" w:ascii="微软雅黑" w:hAnsi="微软雅黑" w:eastAsia="微软雅黑"/>
          <w:b/>
          <w:color w:val="auto"/>
          <w:sz w:val="24"/>
          <w:highlight w:val="none"/>
        </w:rPr>
        <w:t>商务评审允许负偏离的项目数超过“投标人须知前附表”规定项数的。</w:t>
      </w:r>
    </w:p>
    <w:p>
      <w:pPr>
        <w:numPr>
          <w:ilvl w:val="0"/>
          <w:numId w:val="7"/>
        </w:numPr>
        <w:snapToGrid w:val="0"/>
        <w:spacing w:line="400" w:lineRule="exact"/>
        <w:ind w:firstLine="480" w:firstLineChars="200"/>
        <w:rPr>
          <w:rFonts w:hint="eastAsia" w:ascii="微软雅黑" w:hAnsi="微软雅黑" w:eastAsia="微软雅黑"/>
          <w:b/>
          <w:color w:val="auto"/>
          <w:sz w:val="24"/>
          <w:highlight w:val="none"/>
        </w:rPr>
      </w:pPr>
      <w:r>
        <w:rPr>
          <w:rFonts w:hint="eastAsia" w:ascii="微软雅黑" w:hAnsi="微软雅黑" w:eastAsia="微软雅黑"/>
          <w:b/>
          <w:color w:val="auto"/>
          <w:sz w:val="24"/>
          <w:highlight w:val="none"/>
        </w:rPr>
        <w:t>投标文件的实质性内容未使用中文表述、使用计量单位不符合招标文件要求的；</w:t>
      </w:r>
    </w:p>
    <w:p>
      <w:pPr>
        <w:numPr>
          <w:ilvl w:val="0"/>
          <w:numId w:val="7"/>
        </w:numPr>
        <w:snapToGrid w:val="0"/>
        <w:spacing w:line="400" w:lineRule="exact"/>
        <w:ind w:firstLine="480" w:firstLineChars="200"/>
        <w:rPr>
          <w:rFonts w:hint="eastAsia" w:ascii="微软雅黑" w:hAnsi="微软雅黑" w:eastAsia="微软雅黑"/>
          <w:b/>
          <w:color w:val="auto"/>
          <w:sz w:val="24"/>
          <w:highlight w:val="none"/>
        </w:rPr>
      </w:pPr>
      <w:r>
        <w:rPr>
          <w:rFonts w:hint="eastAsia" w:ascii="微软雅黑" w:hAnsi="微软雅黑" w:eastAsia="微软雅黑"/>
          <w:b/>
          <w:color w:val="auto"/>
          <w:sz w:val="24"/>
          <w:highlight w:val="none"/>
        </w:rPr>
        <w:t>投标文件中的文件资料因填写不齐全或者内容虚假或者出现其他情形而导致被评标委员会认定无效的；</w:t>
      </w:r>
    </w:p>
    <w:p>
      <w:pPr>
        <w:numPr>
          <w:ilvl w:val="0"/>
          <w:numId w:val="7"/>
        </w:numPr>
        <w:snapToGrid w:val="0"/>
        <w:spacing w:line="400" w:lineRule="exact"/>
        <w:ind w:firstLine="480" w:firstLineChars="200"/>
        <w:rPr>
          <w:rFonts w:hint="eastAsia" w:ascii="微软雅黑" w:hAnsi="微软雅黑" w:eastAsia="微软雅黑"/>
          <w:b/>
          <w:color w:val="auto"/>
          <w:sz w:val="24"/>
          <w:highlight w:val="none"/>
        </w:rPr>
      </w:pPr>
      <w:r>
        <w:rPr>
          <w:rFonts w:hint="eastAsia" w:ascii="微软雅黑" w:hAnsi="微软雅黑" w:eastAsia="微软雅黑"/>
          <w:b/>
          <w:color w:val="auto"/>
          <w:sz w:val="24"/>
          <w:highlight w:val="none"/>
        </w:rPr>
        <w:t>投标文件含有采购人不能接受的附加条件的；</w:t>
      </w:r>
    </w:p>
    <w:p>
      <w:pPr>
        <w:numPr>
          <w:ilvl w:val="0"/>
          <w:numId w:val="7"/>
        </w:numPr>
        <w:snapToGrid w:val="0"/>
        <w:spacing w:line="400" w:lineRule="exact"/>
        <w:ind w:firstLine="480" w:firstLineChars="200"/>
        <w:rPr>
          <w:rFonts w:hint="eastAsia" w:ascii="微软雅黑" w:hAnsi="微软雅黑" w:eastAsia="微软雅黑"/>
          <w:b/>
          <w:color w:val="auto"/>
          <w:sz w:val="24"/>
          <w:highlight w:val="none"/>
        </w:rPr>
      </w:pPr>
      <w:r>
        <w:rPr>
          <w:rFonts w:hint="eastAsia" w:ascii="微软雅黑" w:hAnsi="微软雅黑" w:eastAsia="微软雅黑"/>
          <w:b/>
          <w:color w:val="auto"/>
          <w:sz w:val="24"/>
          <w:highlight w:val="none"/>
        </w:rPr>
        <w:t>未响应招标文件实质性要求的；</w:t>
      </w:r>
    </w:p>
    <w:p>
      <w:pPr>
        <w:numPr>
          <w:ilvl w:val="0"/>
          <w:numId w:val="7"/>
        </w:numPr>
        <w:snapToGrid w:val="0"/>
        <w:spacing w:line="400" w:lineRule="exact"/>
        <w:ind w:firstLine="480" w:firstLineChars="200"/>
        <w:rPr>
          <w:rFonts w:hint="eastAsia" w:ascii="微软雅黑" w:hAnsi="微软雅黑" w:eastAsia="微软雅黑"/>
          <w:b/>
          <w:color w:val="auto"/>
          <w:sz w:val="24"/>
          <w:highlight w:val="none"/>
        </w:rPr>
      </w:pPr>
      <w:r>
        <w:rPr>
          <w:rFonts w:hint="eastAsia" w:ascii="微软雅黑" w:hAnsi="微软雅黑" w:eastAsia="微软雅黑"/>
          <w:b/>
          <w:color w:val="auto"/>
          <w:sz w:val="24"/>
          <w:highlight w:val="none"/>
        </w:rPr>
        <w:t>属于投标人须知第8.6条和第8.8条（2）的情形的；</w:t>
      </w:r>
    </w:p>
    <w:p>
      <w:pPr>
        <w:numPr>
          <w:ilvl w:val="0"/>
          <w:numId w:val="7"/>
        </w:numPr>
        <w:snapToGrid w:val="0"/>
        <w:spacing w:line="400" w:lineRule="exact"/>
        <w:ind w:firstLine="480" w:firstLineChars="200"/>
        <w:rPr>
          <w:rFonts w:hint="eastAsia" w:ascii="微软雅黑" w:hAnsi="微软雅黑" w:eastAsia="微软雅黑"/>
          <w:b/>
          <w:color w:val="auto"/>
          <w:sz w:val="24"/>
          <w:highlight w:val="none"/>
        </w:rPr>
      </w:pPr>
      <w:r>
        <w:rPr>
          <w:rFonts w:hint="eastAsia" w:ascii="微软雅黑" w:hAnsi="微软雅黑" w:eastAsia="微软雅黑"/>
          <w:b/>
          <w:color w:val="auto"/>
          <w:sz w:val="24"/>
          <w:highlight w:val="none"/>
        </w:rPr>
        <w:t>法律、法规和招标文件规定的其他无效情形。</w:t>
      </w:r>
    </w:p>
    <w:p>
      <w:pPr>
        <w:pStyle w:val="6"/>
        <w:spacing w:before="0" w:after="0" w:line="400" w:lineRule="exact"/>
        <w:ind w:left="420" w:leftChars="200"/>
        <w:rPr>
          <w:rFonts w:hint="eastAsia" w:ascii="微软雅黑" w:hAnsi="微软雅黑" w:eastAsia="微软雅黑"/>
          <w:color w:val="auto"/>
          <w:sz w:val="24"/>
          <w:highlight w:val="none"/>
          <w:lang w:val="en-US" w:eastAsia="zh-CN"/>
        </w:rPr>
      </w:pPr>
      <w:r>
        <w:rPr>
          <w:rFonts w:hint="eastAsia" w:ascii="微软雅黑" w:hAnsi="微软雅黑" w:eastAsia="微软雅黑"/>
          <w:color w:val="auto"/>
          <w:sz w:val="24"/>
          <w:highlight w:val="none"/>
          <w:lang w:val="en-US" w:eastAsia="zh-CN"/>
        </w:rPr>
        <w:t>2.3在技术评审时，如发现下列情形之一的，将被视为投标无效：</w:t>
      </w:r>
    </w:p>
    <w:p>
      <w:pPr>
        <w:pStyle w:val="18"/>
        <w:snapToGrid w:val="0"/>
        <w:spacing w:line="400" w:lineRule="exact"/>
        <w:ind w:firstLine="471" w:firstLineChars="196"/>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（1）明显不满足招标文件要求的技术规格、安全、质量标准，或者与招标文件中标“▲”的技术指标、主要功能发生负偏离的；</w:t>
      </w:r>
    </w:p>
    <w:p>
      <w:pPr>
        <w:pStyle w:val="18"/>
        <w:snapToGrid w:val="0"/>
        <w:spacing w:line="400" w:lineRule="exact"/>
        <w:ind w:firstLine="471" w:firstLineChars="196"/>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（2）技术评审允许负偏离的项目数超过“投标人须知前附表”规定项数的；</w:t>
      </w:r>
    </w:p>
    <w:p>
      <w:pPr>
        <w:pStyle w:val="18"/>
        <w:snapToGrid w:val="0"/>
        <w:spacing w:line="400" w:lineRule="exact"/>
        <w:ind w:firstLine="471" w:firstLineChars="196"/>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（3）投标文件未提供“投标人须知前附表”第13.4条规定中“必须提供”的文件资料的;</w:t>
      </w:r>
    </w:p>
    <w:p>
      <w:pPr>
        <w:pStyle w:val="18"/>
        <w:snapToGrid w:val="0"/>
        <w:spacing w:line="400" w:lineRule="exact"/>
        <w:ind w:firstLine="471" w:firstLineChars="196"/>
        <w:rPr>
          <w:rFonts w:hint="eastAsia" w:ascii="微软雅黑" w:hAnsi="微软雅黑" w:eastAsia="微软雅黑"/>
          <w:b/>
          <w:color w:val="auto"/>
          <w:kern w:val="2"/>
          <w:sz w:val="24"/>
          <w:szCs w:val="24"/>
          <w:highlight w:val="none"/>
          <w:lang w:val="en-US" w:eastAsia="zh-CN"/>
        </w:rPr>
      </w:pPr>
      <w:r>
        <w:rPr>
          <w:rFonts w:hint="eastAsia" w:ascii="微软雅黑" w:hAnsi="微软雅黑" w:eastAsia="微软雅黑"/>
          <w:b/>
          <w:color w:val="auto"/>
          <w:kern w:val="2"/>
          <w:sz w:val="24"/>
          <w:szCs w:val="24"/>
          <w:highlight w:val="none"/>
          <w:lang w:val="en-US" w:eastAsia="zh-CN"/>
        </w:rPr>
        <w:t>（4）虚假投标，或者出现其他情形而导致被评标委员会认定无效的；</w:t>
      </w:r>
    </w:p>
    <w:p>
      <w:pPr>
        <w:pStyle w:val="18"/>
        <w:snapToGrid w:val="0"/>
        <w:spacing w:line="400" w:lineRule="exact"/>
        <w:ind w:firstLine="471" w:firstLineChars="196"/>
        <w:rPr>
          <w:rFonts w:hint="eastAsia" w:ascii="宋体" w:hAnsi="宋体" w:eastAsia="宋体"/>
          <w:color w:val="auto"/>
          <w:sz w:val="21"/>
          <w:szCs w:val="21"/>
          <w:highlight w:val="none"/>
          <w:lang w:eastAsia="zh-CN"/>
        </w:rPr>
      </w:pPr>
      <w:r>
        <w:rPr>
          <w:rFonts w:hint="eastAsia" w:ascii="微软雅黑" w:hAnsi="微软雅黑" w:eastAsia="微软雅黑"/>
          <w:b/>
          <w:color w:val="auto"/>
          <w:kern w:val="2"/>
          <w:sz w:val="24"/>
          <w:szCs w:val="24"/>
          <w:highlight w:val="none"/>
          <w:lang w:val="en-US" w:eastAsia="zh-CN"/>
        </w:rPr>
        <w:t>（5）投标技术方案不明确，招标文件未允许但存在一个或一个以上备选（替代）投标方案的。</w:t>
      </w:r>
    </w:p>
    <w:p>
      <w:pPr>
        <w:pStyle w:val="6"/>
        <w:spacing w:before="0" w:after="0" w:line="400" w:lineRule="exact"/>
        <w:ind w:left="420" w:left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3澄清补正</w:t>
      </w:r>
    </w:p>
    <w:p>
      <w:pPr>
        <w:snapToGrid w:val="0"/>
        <w:spacing w:line="400" w:lineRule="exact"/>
        <w:ind w:firstLine="420" w:firstLineChars="200"/>
        <w:rPr>
          <w:rFonts w:hint="eastAsia" w:ascii="宋体" w:hAnsi="宋体"/>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当以书面形式要求投标人在规定时间内作出必要的澄清、说明或者纠正。投标人的澄清、说明或者补正应当采用书面形式，并加盖公章，或者由法定代表人（负责人或自然人）或其授权的代表签字。投标人的澄清、说明或者补正不得超出投标文件的范围或者改变投标文件的实质性内容。</w:t>
      </w:r>
    </w:p>
    <w:p>
      <w:pPr>
        <w:pStyle w:val="6"/>
        <w:spacing w:before="0" w:after="0" w:line="400" w:lineRule="exact"/>
        <w:ind w:left="420" w:left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4比较与评价</w:t>
      </w:r>
    </w:p>
    <w:p>
      <w:pPr>
        <w:pStyle w:val="23"/>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（1）评标委员会按照招标文件中规定的评标方法和评标标准，对符合性审查合格的投标文件进行商务和技术评估，综合比较与评价。</w:t>
      </w:r>
    </w:p>
    <w:p>
      <w:pPr>
        <w:pStyle w:val="23"/>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（2）评标委员会应当独立对每个投标人的投标文件进行评价，并汇总每个投标人的得分。</w:t>
      </w:r>
    </w:p>
    <w:p>
      <w:pPr>
        <w:pStyle w:val="23"/>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微软雅黑" w:hAnsi="微软雅黑" w:eastAsia="微软雅黑"/>
          <w:b/>
          <w:color w:val="auto"/>
          <w:kern w:val="2"/>
          <w:sz w:val="24"/>
          <w:szCs w:val="24"/>
          <w:highlight w:val="none"/>
          <w:lang w:val="en-US" w:eastAsia="zh-CN"/>
        </w:rPr>
        <w:t>评标委员会应当将其作为无效投标处理</w:t>
      </w:r>
      <w:r>
        <w:rPr>
          <w:rFonts w:hint="eastAsia" w:hAnsi="宋体"/>
          <w:color w:val="auto"/>
          <w:sz w:val="21"/>
          <w:highlight w:val="none"/>
        </w:rPr>
        <w:t>。</w:t>
      </w:r>
    </w:p>
    <w:p>
      <w:pPr>
        <w:pStyle w:val="23"/>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（3）评标委员会按照招标文件中规定的评标方法和标准计算各投标人的报价得分。在计算过程中，不得去掉最高报价或最低报价。</w:t>
      </w:r>
    </w:p>
    <w:p>
      <w:pPr>
        <w:pStyle w:val="23"/>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（4）各投标人的得分为所有评委的有效评分的算术平均数。</w:t>
      </w:r>
    </w:p>
    <w:p>
      <w:pPr>
        <w:pStyle w:val="23"/>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（5）评标委员会按照招标文件中</w:t>
      </w:r>
      <w:r>
        <w:rPr>
          <w:rFonts w:hint="eastAsia" w:hAnsi="宋体"/>
          <w:color w:val="auto"/>
          <w:sz w:val="21"/>
          <w:highlight w:val="none"/>
          <w:lang w:eastAsia="zh-CN"/>
        </w:rPr>
        <w:t>的</w:t>
      </w:r>
      <w:r>
        <w:rPr>
          <w:rFonts w:hint="eastAsia" w:hAnsi="宋体"/>
          <w:color w:val="auto"/>
          <w:sz w:val="21"/>
          <w:highlight w:val="none"/>
        </w:rPr>
        <w:t>规定推荐中标候选人。</w:t>
      </w:r>
    </w:p>
    <w:p>
      <w:pPr>
        <w:pStyle w:val="23"/>
        <w:snapToGrid w:val="0"/>
        <w:spacing w:line="400" w:lineRule="exact"/>
        <w:ind w:firstLine="420" w:firstLineChars="200"/>
        <w:rPr>
          <w:rFonts w:hint="eastAsia" w:hAnsi="宋体"/>
          <w:color w:val="auto"/>
          <w:sz w:val="21"/>
          <w:highlight w:val="none"/>
          <w:lang w:eastAsia="zh-CN"/>
        </w:rPr>
      </w:pPr>
      <w:r>
        <w:rPr>
          <w:rFonts w:hint="eastAsia" w:hAnsi="宋体"/>
          <w:color w:val="auto"/>
          <w:sz w:val="21"/>
          <w:highlight w:val="none"/>
        </w:rPr>
        <w:t>（6）起草并签署评标报告。评标委员会根据</w:t>
      </w:r>
      <w:r>
        <w:rPr>
          <w:rFonts w:hint="eastAsia" w:hAnsi="宋体"/>
          <w:color w:val="auto"/>
          <w:sz w:val="21"/>
          <w:highlight w:val="none"/>
          <w:lang w:eastAsia="zh-CN"/>
        </w:rPr>
        <w:t>评标委员会</w:t>
      </w:r>
      <w:r>
        <w:rPr>
          <w:rFonts w:hint="eastAsia" w:hAnsi="宋体"/>
          <w:color w:val="auto"/>
          <w:sz w:val="21"/>
          <w:highlight w:val="none"/>
        </w:rPr>
        <w:t>成员签字的原始评标记录和评标结果编写评标报告。评标委员会</w:t>
      </w:r>
      <w:r>
        <w:rPr>
          <w:rFonts w:hint="eastAsia" w:hAnsi="宋体"/>
          <w:color w:val="auto"/>
          <w:sz w:val="21"/>
          <w:highlight w:val="none"/>
          <w:lang w:eastAsia="zh-CN"/>
        </w:rPr>
        <w:t>成员均</w:t>
      </w:r>
      <w:r>
        <w:rPr>
          <w:rFonts w:hint="eastAsia" w:hAnsi="宋体"/>
          <w:color w:val="auto"/>
          <w:sz w:val="21"/>
          <w:highlight w:val="none"/>
        </w:rPr>
        <w:t>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pStyle w:val="6"/>
        <w:spacing w:before="0" w:after="0" w:line="400" w:lineRule="exact"/>
        <w:ind w:left="420" w:left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5投标文件修正</w:t>
      </w:r>
    </w:p>
    <w:p>
      <w:pPr>
        <w:pStyle w:val="6"/>
        <w:spacing w:before="0" w:after="0" w:line="400" w:lineRule="exact"/>
        <w:ind w:left="420" w:left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 xml:space="preserve">5.1投标文件报价出现前后不一致的，按照下列规定修正： </w:t>
      </w:r>
    </w:p>
    <w:p>
      <w:pPr>
        <w:pStyle w:val="23"/>
        <w:snapToGrid w:val="0"/>
        <w:spacing w:line="400" w:lineRule="exact"/>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pPr>
        <w:pStyle w:val="23"/>
        <w:snapToGrid w:val="0"/>
        <w:spacing w:line="400" w:lineRule="exact"/>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pPr>
        <w:pStyle w:val="23"/>
        <w:snapToGrid w:val="0"/>
        <w:spacing w:line="400" w:lineRule="exact"/>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pPr>
        <w:pStyle w:val="23"/>
        <w:snapToGrid w:val="0"/>
        <w:spacing w:line="400" w:lineRule="exact"/>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pPr>
        <w:pStyle w:val="23"/>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同时出现两种以上不一致的，按照</w:t>
      </w:r>
      <w:r>
        <w:rPr>
          <w:rFonts w:hint="eastAsia" w:hAnsi="宋体"/>
          <w:color w:val="auto"/>
          <w:sz w:val="21"/>
          <w:highlight w:val="none"/>
          <w:lang w:eastAsia="zh-CN"/>
        </w:rPr>
        <w:t>以上（1）-（4）</w:t>
      </w:r>
      <w:r>
        <w:rPr>
          <w:rFonts w:hint="eastAsia" w:hAnsi="宋体"/>
          <w:color w:val="auto"/>
          <w:sz w:val="21"/>
          <w:highlight w:val="none"/>
        </w:rPr>
        <w:t>规定的顺序修正。修正后的报价经投标人确认后产生约束力，投标人不确认的，</w:t>
      </w:r>
      <w:r>
        <w:rPr>
          <w:rFonts w:hint="eastAsia" w:ascii="微软雅黑" w:hAnsi="微软雅黑" w:eastAsia="微软雅黑"/>
          <w:b/>
          <w:color w:val="auto"/>
          <w:kern w:val="2"/>
          <w:sz w:val="24"/>
          <w:szCs w:val="24"/>
          <w:highlight w:val="none"/>
          <w:lang w:val="en-US" w:eastAsia="zh-CN"/>
        </w:rPr>
        <w:t>其投标无效</w:t>
      </w:r>
      <w:r>
        <w:rPr>
          <w:rFonts w:hint="eastAsia" w:hAnsi="宋体"/>
          <w:color w:val="auto"/>
          <w:sz w:val="21"/>
          <w:highlight w:val="none"/>
        </w:rPr>
        <w:t>。</w:t>
      </w:r>
    </w:p>
    <w:p>
      <w:pPr>
        <w:pStyle w:val="6"/>
        <w:spacing w:before="0" w:after="0" w:line="400" w:lineRule="exact"/>
        <w:ind w:left="420" w:left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5.2经投标人确认修正后的报价若超过采购预算金额，</w:t>
      </w:r>
      <w:r>
        <w:rPr>
          <w:rFonts w:hint="eastAsia" w:ascii="微软雅黑" w:hAnsi="微软雅黑" w:eastAsia="微软雅黑"/>
          <w:color w:val="auto"/>
          <w:sz w:val="24"/>
          <w:highlight w:val="none"/>
          <w:lang w:val="en-US" w:eastAsia="zh-CN"/>
        </w:rPr>
        <w:t>投标人的投标文件作无效投标处理</w:t>
      </w:r>
      <w:r>
        <w:rPr>
          <w:rFonts w:hint="eastAsia" w:ascii="宋体" w:hAnsi="宋体"/>
          <w:b w:val="0"/>
          <w:color w:val="auto"/>
          <w:sz w:val="21"/>
          <w:szCs w:val="21"/>
          <w:highlight w:val="none"/>
          <w:lang w:eastAsia="zh-CN"/>
        </w:rPr>
        <w:t>。</w:t>
      </w:r>
    </w:p>
    <w:p>
      <w:pPr>
        <w:pStyle w:val="6"/>
        <w:spacing w:before="0" w:after="0" w:line="400" w:lineRule="exact"/>
        <w:ind w:left="420" w:leftChars="200"/>
        <w:rPr>
          <w:rFonts w:hint="eastAsia" w:ascii="宋体" w:hAnsi="宋体"/>
          <w:b w:val="0"/>
          <w:color w:val="auto"/>
          <w:sz w:val="21"/>
          <w:szCs w:val="21"/>
          <w:highlight w:val="none"/>
          <w:lang w:eastAsia="zh-CN"/>
        </w:rPr>
      </w:pPr>
      <w:r>
        <w:rPr>
          <w:rFonts w:hint="eastAsia" w:ascii="宋体" w:hAnsi="宋体"/>
          <w:b w:val="0"/>
          <w:color w:val="auto"/>
          <w:sz w:val="21"/>
          <w:szCs w:val="21"/>
          <w:highlight w:val="none"/>
          <w:lang w:eastAsia="zh-CN"/>
        </w:rPr>
        <w:t>5.3经投标人确认修正后的报价作为签订合同的一个依据，并以此报价计算价格分。</w:t>
      </w:r>
    </w:p>
    <w:p>
      <w:pPr>
        <w:pStyle w:val="6"/>
        <w:spacing w:before="0" w:after="0" w:line="400" w:lineRule="exact"/>
        <w:ind w:left="420" w:leftChars="200"/>
        <w:rPr>
          <w:rFonts w:hint="eastAsia" w:ascii="宋体" w:hAnsi="宋体"/>
          <w:b w:val="0"/>
          <w:color w:val="auto"/>
          <w:sz w:val="21"/>
          <w:szCs w:val="21"/>
          <w:highlight w:val="none"/>
          <w:lang w:eastAsia="zh-CN"/>
        </w:rPr>
      </w:pPr>
      <w:r>
        <w:rPr>
          <w:rFonts w:hint="eastAsia" w:ascii="微软雅黑" w:hAnsi="微软雅黑" w:eastAsia="微软雅黑"/>
          <w:color w:val="auto"/>
          <w:sz w:val="24"/>
          <w:highlight w:val="none"/>
          <w:lang w:val="en-US" w:eastAsia="zh-CN"/>
        </w:rPr>
        <w:t>6.评标过程的监控</w:t>
      </w:r>
    </w:p>
    <w:p>
      <w:pPr>
        <w:pStyle w:val="23"/>
        <w:spacing w:line="400" w:lineRule="exact"/>
        <w:ind w:firstLine="420"/>
        <w:rPr>
          <w:rFonts w:hint="eastAsia" w:hAnsi="宋体"/>
          <w:color w:val="auto"/>
          <w:highlight w:val="none"/>
        </w:rPr>
      </w:pPr>
      <w:r>
        <w:rPr>
          <w:rFonts w:hint="eastAsia" w:ascii="微软雅黑" w:hAnsi="微软雅黑" w:eastAsia="微软雅黑"/>
          <w:b/>
          <w:color w:val="auto"/>
          <w:kern w:val="2"/>
          <w:sz w:val="24"/>
          <w:szCs w:val="24"/>
          <w:highlight w:val="none"/>
          <w:lang w:val="en-US" w:eastAsia="zh-CN"/>
        </w:rPr>
        <w:t>本项目评标过程实行全程录音、录像监控，投标人在评标过程中所进行的试图影响评标结果的不公正活动，可能导致其投标按无效处理。</w:t>
      </w:r>
    </w:p>
    <w:p>
      <w:pPr>
        <w:pStyle w:val="23"/>
        <w:spacing w:line="420" w:lineRule="exact"/>
        <w:ind w:firstLine="420"/>
        <w:rPr>
          <w:rFonts w:hint="eastAsia" w:hAnsi="宋体"/>
          <w:color w:val="auto"/>
          <w:highlight w:val="none"/>
          <w:lang w:eastAsia="zh-CN"/>
        </w:rPr>
      </w:pPr>
    </w:p>
    <w:p>
      <w:pPr>
        <w:pStyle w:val="23"/>
        <w:spacing w:line="400" w:lineRule="exact"/>
        <w:jc w:val="center"/>
        <w:rPr>
          <w:rFonts w:hint="eastAsia" w:hAnsi="宋体"/>
          <w:b/>
          <w:color w:val="auto"/>
          <w:sz w:val="32"/>
          <w:szCs w:val="32"/>
          <w:highlight w:val="none"/>
          <w:lang w:eastAsia="zh-CN"/>
        </w:rPr>
      </w:pPr>
      <w:r>
        <w:rPr>
          <w:rFonts w:hAnsi="宋体"/>
          <w:color w:val="auto"/>
          <w:highlight w:val="none"/>
          <w:lang w:eastAsia="zh-CN"/>
        </w:rPr>
        <w:br w:type="page"/>
      </w:r>
      <w:r>
        <w:rPr>
          <w:rFonts w:hint="eastAsia" w:hAnsi="宋体"/>
          <w:b/>
          <w:color w:val="auto"/>
          <w:sz w:val="32"/>
          <w:szCs w:val="32"/>
          <w:highlight w:val="none"/>
          <w:lang w:eastAsia="zh-CN"/>
        </w:rPr>
        <w:t>评分办法</w:t>
      </w:r>
    </w:p>
    <w:p>
      <w:pPr>
        <w:pStyle w:val="23"/>
        <w:spacing w:line="440" w:lineRule="exact"/>
        <w:rPr>
          <w:rFonts w:hint="eastAsia" w:hAnsi="宋体"/>
          <w:b/>
          <w:bCs/>
          <w:color w:val="auto"/>
          <w:sz w:val="21"/>
          <w:highlight w:val="none"/>
          <w:lang w:eastAsia="zh-CN"/>
        </w:rPr>
      </w:pPr>
    </w:p>
    <w:p>
      <w:pPr>
        <w:pStyle w:val="23"/>
        <w:spacing w:line="440" w:lineRule="exact"/>
        <w:rPr>
          <w:rFonts w:hAnsi="宋体"/>
          <w:b/>
          <w:bCs/>
          <w:color w:val="auto"/>
          <w:sz w:val="21"/>
          <w:highlight w:val="none"/>
        </w:rPr>
      </w:pPr>
      <w:r>
        <w:rPr>
          <w:rFonts w:hint="eastAsia" w:hAnsi="宋体"/>
          <w:b/>
          <w:bCs/>
          <w:color w:val="auto"/>
          <w:sz w:val="21"/>
          <w:highlight w:val="none"/>
        </w:rPr>
        <w:t>一、评标依据及方式</w:t>
      </w:r>
    </w:p>
    <w:p>
      <w:pPr>
        <w:pStyle w:val="23"/>
        <w:spacing w:line="440" w:lineRule="exact"/>
        <w:ind w:firstLine="420" w:firstLineChars="200"/>
        <w:rPr>
          <w:rFonts w:hint="eastAsia" w:hAnsi="宋体"/>
          <w:color w:val="auto"/>
          <w:sz w:val="21"/>
          <w:highlight w:val="none"/>
        </w:rPr>
      </w:pPr>
      <w:r>
        <w:rPr>
          <w:rFonts w:hint="eastAsia" w:hAnsi="宋体"/>
          <w:color w:val="auto"/>
          <w:sz w:val="21"/>
          <w:highlight w:val="none"/>
        </w:rPr>
        <w:t>1.评标依据：评标委员会以招标文件和投标文件为评标依据，对投标人的投标文件进行评审。</w:t>
      </w:r>
    </w:p>
    <w:p>
      <w:pPr>
        <w:pStyle w:val="23"/>
        <w:spacing w:line="440" w:lineRule="exact"/>
        <w:ind w:left="210" w:leftChars="100" w:firstLine="210" w:firstLineChars="100"/>
        <w:rPr>
          <w:rFonts w:hint="eastAsia" w:hAnsi="宋体"/>
          <w:color w:val="auto"/>
          <w:sz w:val="21"/>
          <w:highlight w:val="none"/>
        </w:rPr>
      </w:pPr>
      <w:r>
        <w:rPr>
          <w:rFonts w:hint="eastAsia" w:hAnsi="宋体"/>
          <w:color w:val="auto"/>
          <w:sz w:val="21"/>
          <w:highlight w:val="none"/>
        </w:rPr>
        <w:t>2.评标方式：以封闭方式进行评标。</w:t>
      </w:r>
    </w:p>
    <w:p>
      <w:pPr>
        <w:pStyle w:val="23"/>
        <w:spacing w:line="440" w:lineRule="exact"/>
        <w:ind w:left="210" w:leftChars="100" w:firstLine="210" w:firstLineChars="100"/>
        <w:rPr>
          <w:rFonts w:hint="eastAsia" w:hAnsi="宋体"/>
          <w:color w:val="auto"/>
          <w:sz w:val="21"/>
          <w:highlight w:val="none"/>
          <w:lang w:eastAsia="zh-CN"/>
        </w:rPr>
      </w:pPr>
      <w:r>
        <w:rPr>
          <w:rFonts w:hint="eastAsia" w:hAnsi="宋体"/>
          <w:color w:val="auto"/>
          <w:sz w:val="21"/>
          <w:highlight w:val="none"/>
        </w:rPr>
        <w:t>3.根据财库〔2012〕69号文规定，采购人和采购代理机构、评标委员会成员要严格遵守政府采购相关法律制度，依法履行各自职责，公正、客观、审慎地组织和参与评审工作。</w:t>
      </w:r>
    </w:p>
    <w:p>
      <w:pPr>
        <w:pStyle w:val="23"/>
        <w:spacing w:line="440" w:lineRule="exact"/>
        <w:rPr>
          <w:rFonts w:hint="eastAsia" w:hAnsi="宋体"/>
          <w:b/>
          <w:bCs/>
          <w:color w:val="auto"/>
          <w:sz w:val="21"/>
          <w:highlight w:val="none"/>
        </w:rPr>
      </w:pPr>
      <w:r>
        <w:rPr>
          <w:rFonts w:hint="eastAsia" w:hAnsi="宋体"/>
          <w:b/>
          <w:bCs/>
          <w:color w:val="auto"/>
          <w:sz w:val="21"/>
          <w:highlight w:val="none"/>
        </w:rPr>
        <w:t>二、评标办法及评分标准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417"/>
        <w:gridCol w:w="7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13" w:type="dxa"/>
            <w:noWrap w:val="0"/>
            <w:vAlign w:val="center"/>
          </w:tcPr>
          <w:p>
            <w:pPr>
              <w:adjustRightInd w:val="0"/>
              <w:spacing w:line="400" w:lineRule="exact"/>
              <w:jc w:val="center"/>
              <w:textAlignment w:val="baseline"/>
              <w:rPr>
                <w:rFonts w:ascii="宋体" w:hAnsi="宋体"/>
                <w:color w:val="auto"/>
                <w:szCs w:val="21"/>
                <w:highlight w:val="none"/>
              </w:rPr>
            </w:pPr>
            <w:r>
              <w:rPr>
                <w:rFonts w:hint="eastAsia" w:ascii="宋体" w:hAnsi="宋体"/>
                <w:b/>
                <w:color w:val="auto"/>
                <w:szCs w:val="21"/>
                <w:highlight w:val="none"/>
              </w:rPr>
              <w:t>序号</w:t>
            </w:r>
          </w:p>
        </w:tc>
        <w:tc>
          <w:tcPr>
            <w:tcW w:w="1417" w:type="dxa"/>
            <w:noWrap w:val="0"/>
            <w:vAlign w:val="center"/>
          </w:tcPr>
          <w:p>
            <w:pPr>
              <w:adjustRightInd w:val="0"/>
              <w:spacing w:line="400" w:lineRule="exact"/>
              <w:jc w:val="center"/>
              <w:textAlignment w:val="baseline"/>
              <w:rPr>
                <w:rFonts w:ascii="宋体" w:hAnsi="宋体"/>
                <w:color w:val="auto"/>
                <w:szCs w:val="21"/>
                <w:highlight w:val="none"/>
              </w:rPr>
            </w:pPr>
            <w:r>
              <w:rPr>
                <w:rFonts w:hint="eastAsia" w:ascii="宋体" w:hAnsi="宋体"/>
                <w:b/>
                <w:color w:val="auto"/>
                <w:szCs w:val="21"/>
                <w:highlight w:val="none"/>
              </w:rPr>
              <w:t>评审因素</w:t>
            </w:r>
          </w:p>
        </w:tc>
        <w:tc>
          <w:tcPr>
            <w:tcW w:w="7022" w:type="dxa"/>
            <w:noWrap w:val="0"/>
            <w:vAlign w:val="center"/>
          </w:tcPr>
          <w:p>
            <w:pPr>
              <w:adjustRightInd w:val="0"/>
              <w:spacing w:line="400" w:lineRule="exact"/>
              <w:jc w:val="center"/>
              <w:textAlignment w:val="baseline"/>
              <w:rPr>
                <w:rFonts w:ascii="宋体" w:hAnsi="宋体"/>
                <w:color w:val="auto"/>
                <w:szCs w:val="21"/>
                <w:highlight w:val="none"/>
              </w:rPr>
            </w:pPr>
            <w:r>
              <w:rPr>
                <w:rFonts w:hint="eastAsia" w:ascii="宋体" w:hAnsi="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noWrap w:val="0"/>
            <w:vAlign w:val="center"/>
          </w:tcPr>
          <w:p>
            <w:pPr>
              <w:adjustRightInd w:val="0"/>
              <w:spacing w:line="460" w:lineRule="exact"/>
              <w:jc w:val="center"/>
              <w:textAlignment w:val="baseline"/>
              <w:rPr>
                <w:rFonts w:ascii="宋体" w:hAnsi="宋体"/>
                <w:color w:val="auto"/>
                <w:szCs w:val="21"/>
                <w:highlight w:val="none"/>
              </w:rPr>
            </w:pPr>
            <w:r>
              <w:rPr>
                <w:rFonts w:hint="eastAsia" w:ascii="宋体" w:hAnsi="宋体"/>
                <w:color w:val="auto"/>
                <w:szCs w:val="21"/>
                <w:highlight w:val="none"/>
              </w:rPr>
              <w:t>1</w:t>
            </w:r>
          </w:p>
        </w:tc>
        <w:tc>
          <w:tcPr>
            <w:tcW w:w="1417" w:type="dxa"/>
            <w:noWrap w:val="0"/>
            <w:vAlign w:val="center"/>
          </w:tcPr>
          <w:p>
            <w:pPr>
              <w:adjustRightInd w:val="0"/>
              <w:spacing w:line="420" w:lineRule="exact"/>
              <w:jc w:val="center"/>
              <w:textAlignment w:val="baseline"/>
              <w:rPr>
                <w:rFonts w:hint="eastAsia" w:ascii="宋体" w:hAnsi="宋体"/>
                <w:b/>
                <w:color w:val="auto"/>
                <w:szCs w:val="21"/>
                <w:highlight w:val="none"/>
              </w:rPr>
            </w:pPr>
            <w:r>
              <w:rPr>
                <w:rFonts w:hint="eastAsia" w:ascii="宋体" w:hAnsi="宋体"/>
                <w:b/>
                <w:color w:val="auto"/>
                <w:szCs w:val="21"/>
                <w:highlight w:val="none"/>
              </w:rPr>
              <w:t>投标报价</w:t>
            </w:r>
          </w:p>
          <w:p>
            <w:pPr>
              <w:adjustRightInd w:val="0"/>
              <w:spacing w:line="420" w:lineRule="exact"/>
              <w:jc w:val="center"/>
              <w:textAlignment w:val="baseline"/>
              <w:rPr>
                <w:rFonts w:ascii="宋体" w:hAnsi="宋体"/>
                <w:b/>
                <w:color w:val="auto"/>
                <w:szCs w:val="21"/>
                <w:highlight w:val="none"/>
              </w:rPr>
            </w:pPr>
            <w:r>
              <w:rPr>
                <w:rFonts w:hint="eastAsia" w:ascii="宋体" w:hAnsi="宋体"/>
                <w:b/>
                <w:color w:val="auto"/>
                <w:szCs w:val="21"/>
                <w:highlight w:val="none"/>
              </w:rPr>
              <w:t>（满分30分）</w:t>
            </w:r>
          </w:p>
        </w:tc>
        <w:tc>
          <w:tcPr>
            <w:tcW w:w="7022" w:type="dxa"/>
            <w:noWrap w:val="0"/>
            <w:vAlign w:val="center"/>
          </w:tcPr>
          <w:p>
            <w:pPr>
              <w:snapToGrid w:val="0"/>
              <w:spacing w:line="420" w:lineRule="exact"/>
              <w:ind w:firstLine="233" w:firstLineChars="111"/>
              <w:rPr>
                <w:rFonts w:ascii="宋体" w:hAnsi="宋体"/>
                <w:bCs/>
                <w:color w:val="auto"/>
                <w:szCs w:val="21"/>
                <w:highlight w:val="none"/>
              </w:rPr>
            </w:pPr>
            <w:r>
              <w:rPr>
                <w:rFonts w:hint="eastAsia" w:ascii="宋体" w:hAnsi="宋体"/>
                <w:bCs/>
                <w:color w:val="auto"/>
                <w:szCs w:val="21"/>
                <w:highlight w:val="none"/>
              </w:rPr>
              <w:t>（1）评标报价为投标人的投标报价进行政策性扣除后的价格，评标报价只是作为评标时使用。最终中标人的中标金额等于投标报价。</w:t>
            </w:r>
          </w:p>
          <w:p>
            <w:pPr>
              <w:snapToGrid w:val="0"/>
              <w:spacing w:line="420" w:lineRule="exact"/>
              <w:ind w:firstLine="233" w:firstLineChars="111"/>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按照《政府采购促进中小企业发展暂行办法》（财库[2011]181号）的规定，投标人为小型和微型企业，并在其投标文件中提供《中小企业声明函》，且其所投标产品全部为小型和微型企业产品的，对其投标价格给予6%的扣除。</w:t>
            </w:r>
          </w:p>
          <w:p>
            <w:pPr>
              <w:snapToGrid w:val="0"/>
              <w:spacing w:line="420" w:lineRule="exact"/>
              <w:ind w:firstLine="233" w:firstLineChars="111"/>
              <w:rPr>
                <w:rFonts w:ascii="宋体" w:hAnsi="宋体"/>
                <w:bCs/>
                <w:color w:val="auto"/>
                <w:szCs w:val="21"/>
                <w:highlight w:val="none"/>
              </w:rPr>
            </w:pPr>
            <w:r>
              <w:rPr>
                <w:rFonts w:hint="eastAsia" w:ascii="宋体" w:hAnsi="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olor w:val="auto"/>
                <w:szCs w:val="21"/>
                <w:highlight w:val="none"/>
              </w:rPr>
              <w:t>监狱企业参加政府采购活动时，应当提供由省级以上监狱管理局、戒毒管理局(含新疆生产建设兵团)出具的属于监狱企业的证明文件。</w:t>
            </w:r>
            <w:r>
              <w:rPr>
                <w:rFonts w:hint="eastAsia" w:ascii="宋体" w:hAnsi="宋体"/>
                <w:bCs/>
                <w:color w:val="auto"/>
                <w:szCs w:val="21"/>
                <w:highlight w:val="none"/>
              </w:rPr>
              <w:t>不重复享受政策。</w:t>
            </w:r>
          </w:p>
          <w:p>
            <w:pPr>
              <w:snapToGrid w:val="0"/>
              <w:spacing w:line="420" w:lineRule="exact"/>
              <w:ind w:firstLine="233" w:firstLineChars="111"/>
              <w:rPr>
                <w:rFonts w:ascii="宋体" w:hAnsi="宋体"/>
                <w:bCs/>
                <w:color w:val="auto"/>
                <w:szCs w:val="21"/>
                <w:highlight w:val="none"/>
              </w:rPr>
            </w:pPr>
            <w:r>
              <w:rPr>
                <w:rFonts w:hint="eastAsia" w:ascii="宋体" w:hAnsi="宋体"/>
                <w:color w:val="auto"/>
                <w:szCs w:val="21"/>
                <w:highlight w:val="none"/>
              </w:rPr>
              <w:t>（4）按照</w:t>
            </w:r>
            <w:r>
              <w:rPr>
                <w:rFonts w:hint="eastAsia" w:ascii="宋体" w:hAnsi="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olor w:val="auto"/>
                <w:szCs w:val="21"/>
                <w:highlight w:val="none"/>
              </w:rPr>
              <w:t>残疾人福利性单位参加政府采购活动时，应当提供该通知规定的《残疾人福利性单位声明函》，并对声明的真实性负责。</w:t>
            </w:r>
            <w:r>
              <w:rPr>
                <w:rFonts w:hint="eastAsia" w:ascii="宋体" w:hAnsi="宋体"/>
                <w:bCs/>
                <w:color w:val="auto"/>
                <w:szCs w:val="21"/>
                <w:highlight w:val="none"/>
              </w:rPr>
              <w:t>残疾人福利性单位属于小型、微型企业的，不重复享受政策。</w:t>
            </w:r>
          </w:p>
          <w:p>
            <w:pPr>
              <w:snapToGrid w:val="0"/>
              <w:spacing w:line="420" w:lineRule="exact"/>
              <w:ind w:firstLine="233" w:firstLineChars="111"/>
              <w:rPr>
                <w:rFonts w:ascii="宋体" w:hAnsi="宋体"/>
                <w:bCs/>
                <w:color w:val="auto"/>
                <w:szCs w:val="21"/>
                <w:highlight w:val="none"/>
              </w:rPr>
            </w:pPr>
            <w:r>
              <w:rPr>
                <w:rFonts w:hint="eastAsia" w:ascii="宋体" w:hAnsi="宋体"/>
                <w:bCs/>
                <w:color w:val="auto"/>
                <w:szCs w:val="21"/>
                <w:highlight w:val="none"/>
              </w:rPr>
              <w:t>（5）政策性扣除计算方法。</w:t>
            </w:r>
          </w:p>
          <w:p>
            <w:pPr>
              <w:snapToGrid w:val="0"/>
              <w:spacing w:line="420" w:lineRule="exact"/>
              <w:ind w:firstLine="233" w:firstLineChars="111"/>
              <w:rPr>
                <w:rFonts w:ascii="宋体" w:hAnsi="宋体"/>
                <w:color w:val="auto"/>
                <w:szCs w:val="21"/>
                <w:highlight w:val="none"/>
              </w:rPr>
            </w:pPr>
            <w:r>
              <w:rPr>
                <w:rFonts w:hint="eastAsia" w:ascii="宋体" w:hAnsi="宋体"/>
                <w:bCs/>
                <w:color w:val="auto"/>
                <w:szCs w:val="21"/>
                <w:highlight w:val="none"/>
              </w:rPr>
              <w:t>投标人</w:t>
            </w:r>
            <w:r>
              <w:rPr>
                <w:rFonts w:hint="eastAsia" w:ascii="宋体" w:hAnsi="宋体"/>
                <w:color w:val="auto"/>
                <w:szCs w:val="21"/>
                <w:highlight w:val="none"/>
              </w:rPr>
              <w:t>被评定为</w:t>
            </w:r>
            <w:r>
              <w:rPr>
                <w:rFonts w:hint="eastAsia" w:ascii="宋体" w:hAnsi="宋体"/>
                <w:bCs/>
                <w:color w:val="auto"/>
                <w:szCs w:val="21"/>
                <w:highlight w:val="none"/>
              </w:rPr>
              <w:t>监狱企业或残疾人福利性单位或</w:t>
            </w:r>
            <w:r>
              <w:rPr>
                <w:rFonts w:hint="eastAsia" w:ascii="宋体" w:hAnsi="宋体"/>
                <w:color w:val="auto"/>
                <w:szCs w:val="21"/>
                <w:highlight w:val="none"/>
              </w:rPr>
              <w:t>小型和微型企业且其所投标全部产品为小型和微型企业产品的，</w:t>
            </w:r>
            <w:r>
              <w:rPr>
                <w:rFonts w:hint="eastAsia" w:ascii="宋体" w:hAnsi="宋体"/>
                <w:bCs/>
                <w:color w:val="auto"/>
                <w:szCs w:val="21"/>
                <w:highlight w:val="none"/>
              </w:rPr>
              <w:t>该投标人的投标报价</w:t>
            </w:r>
            <w:r>
              <w:rPr>
                <w:rFonts w:hint="eastAsia" w:ascii="宋体" w:hAnsi="宋体"/>
                <w:color w:val="auto"/>
                <w:szCs w:val="21"/>
                <w:highlight w:val="none"/>
              </w:rPr>
              <w:t>给予10%的扣除</w:t>
            </w:r>
            <w:r>
              <w:rPr>
                <w:rFonts w:hint="eastAsia" w:ascii="宋体" w:hAnsi="宋体"/>
                <w:bCs/>
                <w:color w:val="auto"/>
                <w:szCs w:val="21"/>
                <w:highlight w:val="none"/>
              </w:rPr>
              <w:t>，</w:t>
            </w:r>
            <w:r>
              <w:rPr>
                <w:rFonts w:hint="eastAsia" w:ascii="宋体" w:hAnsi="宋体"/>
                <w:color w:val="auto"/>
                <w:szCs w:val="21"/>
                <w:highlight w:val="none"/>
              </w:rPr>
              <w:t>扣除后的价格为评标报价，即评标报价=投标报价×（1-10%）；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报价=投标报价×（1-2%）；除上述情况外，评标报价=投标报价。</w:t>
            </w:r>
          </w:p>
          <w:p>
            <w:pPr>
              <w:snapToGrid w:val="0"/>
              <w:spacing w:line="420" w:lineRule="exact"/>
              <w:ind w:firstLine="233" w:firstLineChars="111"/>
              <w:rPr>
                <w:rFonts w:ascii="宋体" w:hAnsi="宋体"/>
                <w:bCs/>
                <w:color w:val="auto"/>
                <w:szCs w:val="21"/>
                <w:highlight w:val="none"/>
              </w:rPr>
            </w:pPr>
            <w:r>
              <w:rPr>
                <w:rFonts w:hint="eastAsia" w:ascii="宋体" w:hAnsi="宋体"/>
                <w:bCs/>
                <w:color w:val="auto"/>
                <w:szCs w:val="21"/>
                <w:highlight w:val="none"/>
              </w:rPr>
              <w:t>（6）满足招标文件要求且评标报价最低的评标报价为评标基准价，基准价报价得分为</w:t>
            </w:r>
            <w:r>
              <w:rPr>
                <w:rFonts w:hint="eastAsia" w:ascii="宋体" w:hAnsi="宋体"/>
                <w:bCs/>
                <w:color w:val="auto"/>
                <w:szCs w:val="21"/>
                <w:highlight w:val="none"/>
                <w:u w:val="single"/>
              </w:rPr>
              <w:t>30</w:t>
            </w:r>
            <w:r>
              <w:rPr>
                <w:rFonts w:hint="eastAsia" w:ascii="宋体" w:hAnsi="宋体"/>
                <w:bCs/>
                <w:color w:val="auto"/>
                <w:szCs w:val="21"/>
                <w:highlight w:val="none"/>
              </w:rPr>
              <w:t>分。</w:t>
            </w:r>
          </w:p>
          <w:p>
            <w:pPr>
              <w:spacing w:line="420" w:lineRule="exact"/>
              <w:ind w:firstLine="233" w:firstLineChars="111"/>
              <w:rPr>
                <w:rFonts w:ascii="宋体" w:hAnsi="宋体"/>
                <w:bCs/>
                <w:color w:val="auto"/>
                <w:szCs w:val="21"/>
                <w:highlight w:val="none"/>
              </w:rPr>
            </w:pPr>
            <w:r>
              <w:rPr>
                <w:rFonts w:hint="eastAsia" w:ascii="宋体" w:hAnsi="宋体"/>
                <w:bCs/>
                <w:color w:val="auto"/>
                <w:szCs w:val="21"/>
                <w:highlight w:val="none"/>
              </w:rPr>
              <w:t xml:space="preserve">（7）价格分计算公式：        </w:t>
            </w:r>
          </w:p>
          <w:p>
            <w:pPr>
              <w:pStyle w:val="23"/>
              <w:spacing w:line="420" w:lineRule="exact"/>
              <w:rPr>
                <w:rFonts w:hAnsi="宋体" w:cs="Courier New"/>
                <w:bCs/>
                <w:color w:val="auto"/>
                <w:kern w:val="2"/>
                <w:sz w:val="21"/>
                <w:highlight w:val="none"/>
                <w:lang w:val="en-US" w:eastAsia="zh-CN"/>
              </w:rPr>
            </w:pPr>
            <w:r>
              <w:rPr>
                <w:rFonts w:hint="eastAsia" w:hAnsi="宋体"/>
                <w:bCs/>
                <w:color w:val="auto"/>
                <w:sz w:val="21"/>
                <w:highlight w:val="none"/>
                <w:lang w:val="en-US" w:eastAsia="zh-CN"/>
              </w:rPr>
              <w:t>某投标人价格分</w:t>
            </w:r>
            <w:r>
              <w:rPr>
                <w:rFonts w:hint="eastAsia" w:hAnsi="宋体" w:cs="Courier New"/>
                <w:bCs/>
                <w:color w:val="auto"/>
                <w:kern w:val="2"/>
                <w:sz w:val="21"/>
                <w:highlight w:val="none"/>
                <w:lang w:val="en-US" w:eastAsia="zh-CN"/>
              </w:rPr>
              <w:t>=(评标基准价／某投标人评标报价金额)×</w:t>
            </w:r>
            <w:r>
              <w:rPr>
                <w:rFonts w:hint="eastAsia" w:hAnsi="宋体"/>
                <w:bCs/>
                <w:color w:val="auto"/>
                <w:sz w:val="21"/>
                <w:highlight w:val="none"/>
                <w:lang w:val="en-US" w:eastAsia="zh-CN"/>
              </w:rPr>
              <w:t xml:space="preserve"> 30</w:t>
            </w:r>
            <w:r>
              <w:rPr>
                <w:rFonts w:hint="eastAsia" w:hAnsi="宋体" w:cs="Courier New"/>
                <w:bCs/>
                <w:color w:val="auto"/>
                <w:kern w:val="2"/>
                <w:sz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1013" w:type="dxa"/>
            <w:noWrap w:val="0"/>
            <w:vAlign w:val="center"/>
          </w:tcPr>
          <w:p>
            <w:pPr>
              <w:adjustRightInd w:val="0"/>
              <w:spacing w:line="460" w:lineRule="exact"/>
              <w:jc w:val="center"/>
              <w:textAlignment w:val="baseline"/>
              <w:rPr>
                <w:rFonts w:ascii="宋体" w:hAnsi="宋体"/>
                <w:color w:val="auto"/>
                <w:szCs w:val="21"/>
                <w:highlight w:val="none"/>
              </w:rPr>
            </w:pPr>
            <w:r>
              <w:rPr>
                <w:rFonts w:hint="eastAsia" w:ascii="宋体" w:hAnsi="宋体"/>
                <w:color w:val="auto"/>
                <w:szCs w:val="21"/>
                <w:highlight w:val="none"/>
              </w:rPr>
              <w:t>2</w:t>
            </w:r>
          </w:p>
        </w:tc>
        <w:tc>
          <w:tcPr>
            <w:tcW w:w="1417" w:type="dxa"/>
            <w:noWrap w:val="0"/>
            <w:vAlign w:val="center"/>
          </w:tcPr>
          <w:p>
            <w:pPr>
              <w:adjustRightInd w:val="0"/>
              <w:spacing w:line="400" w:lineRule="exact"/>
              <w:ind w:left="-105" w:leftChars="-50" w:right="-105" w:rightChars="-50"/>
              <w:jc w:val="center"/>
              <w:textAlignment w:val="baseline"/>
              <w:rPr>
                <w:rFonts w:ascii="宋体" w:hAnsi="宋体"/>
                <w:b/>
                <w:bCs/>
                <w:color w:val="auto"/>
                <w:szCs w:val="21"/>
                <w:highlight w:val="none"/>
              </w:rPr>
            </w:pPr>
            <w:r>
              <w:rPr>
                <w:rFonts w:hint="eastAsia" w:ascii="宋体" w:hAnsi="宋体"/>
                <w:b/>
                <w:bCs/>
                <w:color w:val="auto"/>
                <w:szCs w:val="21"/>
                <w:highlight w:val="none"/>
              </w:rPr>
              <w:t>技术分</w:t>
            </w:r>
          </w:p>
          <w:p>
            <w:pPr>
              <w:adjustRightInd w:val="0"/>
              <w:spacing w:line="400" w:lineRule="exact"/>
              <w:textAlignment w:val="baseline"/>
              <w:rPr>
                <w:rFonts w:ascii="宋体" w:hAnsi="宋体"/>
                <w:b/>
                <w:color w:val="auto"/>
                <w:szCs w:val="21"/>
                <w:highlight w:val="none"/>
              </w:rPr>
            </w:pPr>
            <w:r>
              <w:rPr>
                <w:rFonts w:hint="eastAsia" w:ascii="宋体" w:hAnsi="宋体"/>
                <w:b/>
                <w:bCs/>
                <w:color w:val="auto"/>
                <w:szCs w:val="21"/>
                <w:highlight w:val="none"/>
              </w:rPr>
              <w:t>（</w:t>
            </w:r>
            <w:r>
              <w:rPr>
                <w:rFonts w:hint="eastAsia" w:ascii="宋体" w:hAnsi="宋体"/>
                <w:b/>
                <w:color w:val="auto"/>
                <w:szCs w:val="21"/>
                <w:highlight w:val="none"/>
              </w:rPr>
              <w:t>满分</w:t>
            </w:r>
            <w:r>
              <w:rPr>
                <w:rFonts w:hint="eastAsia" w:ascii="宋体" w:hAnsi="宋体"/>
                <w:b/>
                <w:color w:val="auto"/>
                <w:szCs w:val="21"/>
                <w:highlight w:val="none"/>
                <w:lang w:val="en-US" w:eastAsia="zh-CN"/>
              </w:rPr>
              <w:t>35</w:t>
            </w:r>
            <w:r>
              <w:rPr>
                <w:rFonts w:hint="eastAsia" w:ascii="宋体" w:hAnsi="宋体"/>
                <w:b/>
                <w:bCs/>
                <w:color w:val="auto"/>
                <w:szCs w:val="21"/>
                <w:highlight w:val="none"/>
              </w:rPr>
              <w:t>分）</w:t>
            </w:r>
          </w:p>
        </w:tc>
        <w:tc>
          <w:tcPr>
            <w:tcW w:w="7022" w:type="dxa"/>
            <w:noWrap w:val="0"/>
            <w:vAlign w:val="center"/>
          </w:tcPr>
          <w:p>
            <w:pPr>
              <w:spacing w:line="400" w:lineRule="exact"/>
              <w:rPr>
                <w:rFonts w:ascii="宋体" w:hAnsi="宋体" w:cs="宋体"/>
                <w:color w:val="auto"/>
                <w:kern w:val="44"/>
                <w:szCs w:val="21"/>
                <w:highlight w:val="none"/>
              </w:rPr>
            </w:pPr>
            <w:r>
              <w:rPr>
                <w:rFonts w:hint="eastAsia" w:ascii="宋体" w:hAnsi="宋体" w:cs="宋体"/>
                <w:color w:val="auto"/>
                <w:kern w:val="44"/>
                <w:szCs w:val="21"/>
                <w:highlight w:val="none"/>
              </w:rPr>
              <w:t>（1）基本分（满分2</w:t>
            </w:r>
            <w:r>
              <w:rPr>
                <w:rFonts w:hint="eastAsia" w:ascii="宋体" w:hAnsi="宋体" w:cs="宋体"/>
                <w:color w:val="auto"/>
                <w:kern w:val="44"/>
                <w:szCs w:val="21"/>
                <w:highlight w:val="none"/>
                <w:lang w:val="en-US" w:eastAsia="zh-CN"/>
              </w:rPr>
              <w:t>5</w:t>
            </w:r>
            <w:r>
              <w:rPr>
                <w:rFonts w:hint="eastAsia" w:ascii="宋体" w:hAnsi="宋体" w:cs="宋体"/>
                <w:color w:val="auto"/>
                <w:kern w:val="44"/>
                <w:szCs w:val="21"/>
                <w:highlight w:val="none"/>
              </w:rPr>
              <w:t>分）</w:t>
            </w:r>
          </w:p>
          <w:p>
            <w:pPr>
              <w:spacing w:line="400" w:lineRule="exact"/>
              <w:ind w:firstLine="420"/>
              <w:rPr>
                <w:rFonts w:ascii="宋体" w:hAnsi="宋体" w:cs="Courier New"/>
                <w:bCs/>
                <w:color w:val="auto"/>
                <w:szCs w:val="21"/>
                <w:highlight w:val="none"/>
              </w:rPr>
            </w:pPr>
            <w:r>
              <w:rPr>
                <w:rFonts w:hint="eastAsia" w:ascii="宋体" w:hAnsi="宋体" w:cs="Courier New"/>
                <w:bCs/>
                <w:color w:val="auto"/>
                <w:szCs w:val="21"/>
                <w:highlight w:val="none"/>
              </w:rPr>
              <w:t>完全满足招标文件要求得2</w:t>
            </w:r>
            <w:r>
              <w:rPr>
                <w:rFonts w:hint="eastAsia" w:ascii="宋体" w:hAnsi="宋体" w:cs="Courier New"/>
                <w:bCs/>
                <w:color w:val="auto"/>
                <w:szCs w:val="21"/>
                <w:highlight w:val="none"/>
                <w:lang w:val="en-US" w:eastAsia="zh-CN"/>
              </w:rPr>
              <w:t>5</w:t>
            </w:r>
            <w:r>
              <w:rPr>
                <w:rFonts w:hint="eastAsia" w:ascii="宋体" w:hAnsi="宋体" w:cs="Courier New"/>
                <w:bCs/>
                <w:color w:val="auto"/>
                <w:szCs w:val="21"/>
                <w:highlight w:val="none"/>
              </w:rPr>
              <w:t>分，一般参数及功能（不带▲号的参数）负偏离或漏项的每一项扣2分，最多扣完本项分值（在招标文件允许偏离的项数内）。</w:t>
            </w:r>
          </w:p>
          <w:p>
            <w:pPr>
              <w:spacing w:line="400" w:lineRule="exact"/>
              <w:rPr>
                <w:rFonts w:ascii="宋体" w:hAnsi="宋体" w:cs="宋体"/>
                <w:color w:val="auto"/>
                <w:kern w:val="44"/>
                <w:szCs w:val="21"/>
                <w:highlight w:val="none"/>
              </w:rPr>
            </w:pPr>
            <w:r>
              <w:rPr>
                <w:rFonts w:hint="eastAsia" w:ascii="宋体" w:hAnsi="宋体" w:cs="宋体"/>
                <w:color w:val="auto"/>
                <w:kern w:val="44"/>
                <w:szCs w:val="21"/>
                <w:highlight w:val="none"/>
              </w:rPr>
              <w:t>（2）设备性能分（满分</w:t>
            </w:r>
            <w:r>
              <w:rPr>
                <w:rFonts w:hint="eastAsia" w:ascii="宋体" w:hAnsi="宋体" w:cs="宋体"/>
                <w:color w:val="auto"/>
                <w:kern w:val="44"/>
                <w:szCs w:val="21"/>
                <w:highlight w:val="none"/>
                <w:lang w:val="en-US" w:eastAsia="zh-CN"/>
              </w:rPr>
              <w:t>10</w:t>
            </w:r>
            <w:r>
              <w:rPr>
                <w:rFonts w:hint="eastAsia" w:ascii="宋体" w:hAnsi="宋体" w:cs="宋体"/>
                <w:color w:val="auto"/>
                <w:kern w:val="44"/>
                <w:szCs w:val="21"/>
                <w:highlight w:val="none"/>
              </w:rPr>
              <w:t>分）</w:t>
            </w:r>
          </w:p>
          <w:p>
            <w:pPr>
              <w:spacing w:line="400" w:lineRule="exact"/>
              <w:ind w:firstLine="420"/>
              <w:rPr>
                <w:rFonts w:ascii="宋体" w:hAnsi="宋体" w:cs="Courier New"/>
                <w:bCs/>
                <w:color w:val="auto"/>
                <w:szCs w:val="21"/>
                <w:highlight w:val="none"/>
              </w:rPr>
            </w:pPr>
            <w:r>
              <w:rPr>
                <w:rFonts w:hint="eastAsia" w:ascii="宋体" w:hAnsi="宋体" w:cs="Courier New"/>
                <w:bCs/>
                <w:color w:val="auto"/>
                <w:szCs w:val="21"/>
                <w:highlight w:val="none"/>
              </w:rPr>
              <w:t>1）技术参数完全满足招标文件的前提下，标注▲号参数每有一项优于招标文件要求且评标时被评标委员会接受的，得3分，满分5分。</w:t>
            </w:r>
          </w:p>
          <w:p>
            <w:pPr>
              <w:widowControl/>
              <w:spacing w:line="400" w:lineRule="exact"/>
              <w:ind w:firstLine="315" w:firstLineChars="150"/>
              <w:jc w:val="left"/>
              <w:rPr>
                <w:rFonts w:ascii="宋体" w:hAnsi="宋体" w:cs="宋体"/>
                <w:color w:val="auto"/>
                <w:kern w:val="44"/>
                <w:szCs w:val="21"/>
                <w:highlight w:val="none"/>
              </w:rPr>
            </w:pPr>
            <w:r>
              <w:rPr>
                <w:rFonts w:hint="eastAsia" w:ascii="宋体" w:hAnsi="宋体" w:cs="Courier New"/>
                <w:bCs/>
                <w:color w:val="auto"/>
                <w:szCs w:val="21"/>
                <w:highlight w:val="none"/>
              </w:rPr>
              <w:t>2）技术参数完全满足招标文件的前提下，非▲号参数每有一项优于招标文件要求且评标时被评标委员会接受的，得1分，满分</w:t>
            </w:r>
            <w:r>
              <w:rPr>
                <w:rFonts w:hint="eastAsia" w:ascii="宋体" w:hAnsi="宋体" w:cs="Courier New"/>
                <w:bCs/>
                <w:color w:val="auto"/>
                <w:szCs w:val="21"/>
                <w:highlight w:val="none"/>
                <w:lang w:val="en-US" w:eastAsia="zh-CN"/>
              </w:rPr>
              <w:t>5</w:t>
            </w:r>
            <w:r>
              <w:rPr>
                <w:rFonts w:hint="eastAsia" w:ascii="宋体" w:hAnsi="宋体" w:cs="Courier New"/>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13" w:type="dxa"/>
            <w:noWrap w:val="0"/>
            <w:vAlign w:val="center"/>
          </w:tcPr>
          <w:p>
            <w:pPr>
              <w:adjustRightInd w:val="0"/>
              <w:spacing w:line="460" w:lineRule="exact"/>
              <w:jc w:val="center"/>
              <w:textAlignment w:val="baseline"/>
              <w:rPr>
                <w:rFonts w:ascii="宋体" w:hAnsi="宋体"/>
                <w:color w:val="auto"/>
                <w:szCs w:val="21"/>
                <w:highlight w:val="none"/>
              </w:rPr>
            </w:pPr>
            <w:r>
              <w:rPr>
                <w:rFonts w:hint="eastAsia" w:ascii="宋体" w:hAnsi="宋体"/>
                <w:color w:val="auto"/>
                <w:szCs w:val="21"/>
                <w:highlight w:val="none"/>
              </w:rPr>
              <w:t>3</w:t>
            </w:r>
          </w:p>
        </w:tc>
        <w:tc>
          <w:tcPr>
            <w:tcW w:w="1417" w:type="dxa"/>
            <w:noWrap w:val="0"/>
            <w:tcMar>
              <w:left w:w="57" w:type="dxa"/>
              <w:right w:w="57" w:type="dxa"/>
            </w:tcMar>
            <w:vAlign w:val="center"/>
          </w:tcPr>
          <w:p>
            <w:pPr>
              <w:spacing w:line="440" w:lineRule="exact"/>
              <w:jc w:val="center"/>
              <w:rPr>
                <w:rFonts w:hint="eastAsia" w:ascii="宋体" w:hAnsi="宋体" w:cs="宋体"/>
                <w:b/>
                <w:bCs/>
                <w:color w:val="auto"/>
                <w:kern w:val="44"/>
                <w:szCs w:val="21"/>
                <w:highlight w:val="none"/>
              </w:rPr>
            </w:pPr>
            <w:r>
              <w:rPr>
                <w:rFonts w:hint="eastAsia" w:ascii="宋体" w:hAnsi="宋体" w:cs="宋体"/>
                <w:b/>
                <w:bCs/>
                <w:color w:val="auto"/>
                <w:kern w:val="44"/>
                <w:szCs w:val="21"/>
                <w:highlight w:val="none"/>
              </w:rPr>
              <w:t>售后服务方案分</w:t>
            </w:r>
          </w:p>
          <w:p>
            <w:pPr>
              <w:spacing w:line="440" w:lineRule="exact"/>
              <w:jc w:val="center"/>
              <w:rPr>
                <w:rFonts w:ascii="宋体" w:hAnsi="宋体"/>
                <w:b/>
                <w:color w:val="auto"/>
                <w:szCs w:val="21"/>
                <w:highlight w:val="none"/>
              </w:rPr>
            </w:pPr>
            <w:r>
              <w:rPr>
                <w:rFonts w:hint="eastAsia" w:ascii="宋体" w:hAnsi="宋体"/>
                <w:b/>
                <w:bCs/>
                <w:color w:val="auto"/>
                <w:szCs w:val="21"/>
                <w:highlight w:val="none"/>
              </w:rPr>
              <w:t>（</w:t>
            </w:r>
            <w:r>
              <w:rPr>
                <w:rFonts w:hint="eastAsia" w:ascii="宋体" w:hAnsi="宋体"/>
                <w:b/>
                <w:color w:val="auto"/>
                <w:szCs w:val="21"/>
                <w:highlight w:val="none"/>
              </w:rPr>
              <w:t>满分</w:t>
            </w:r>
            <w:r>
              <w:rPr>
                <w:rFonts w:hint="eastAsia" w:ascii="宋体" w:hAnsi="宋体"/>
                <w:b/>
                <w:color w:val="auto"/>
                <w:szCs w:val="21"/>
                <w:highlight w:val="none"/>
                <w:lang w:val="en-US" w:eastAsia="zh-CN"/>
              </w:rPr>
              <w:t>23</w:t>
            </w:r>
            <w:r>
              <w:rPr>
                <w:rFonts w:hint="eastAsia" w:ascii="宋体" w:hAnsi="宋体"/>
                <w:b/>
                <w:color w:val="auto"/>
                <w:szCs w:val="21"/>
                <w:highlight w:val="none"/>
              </w:rPr>
              <w:t>分</w:t>
            </w:r>
            <w:r>
              <w:rPr>
                <w:rFonts w:hint="eastAsia" w:ascii="宋体" w:hAnsi="宋体"/>
                <w:b/>
                <w:bCs/>
                <w:color w:val="auto"/>
                <w:szCs w:val="21"/>
                <w:highlight w:val="none"/>
              </w:rPr>
              <w:t>）</w:t>
            </w:r>
          </w:p>
        </w:tc>
        <w:tc>
          <w:tcPr>
            <w:tcW w:w="7022" w:type="dxa"/>
            <w:noWrap w:val="0"/>
            <w:vAlign w:val="center"/>
          </w:tcPr>
          <w:p>
            <w:pPr>
              <w:pStyle w:val="23"/>
              <w:spacing w:line="440" w:lineRule="exact"/>
              <w:rPr>
                <w:rFonts w:hint="eastAsia" w:hAnsi="宋体"/>
                <w:color w:val="auto"/>
                <w:sz w:val="21"/>
                <w:highlight w:val="none"/>
                <w:lang w:eastAsia="zh-CN"/>
              </w:rPr>
            </w:pPr>
            <w:r>
              <w:rPr>
                <w:rFonts w:hint="eastAsia" w:hAnsi="宋体" w:cs="宋体"/>
                <w:color w:val="auto"/>
                <w:kern w:val="44"/>
                <w:sz w:val="21"/>
                <w:highlight w:val="none"/>
              </w:rPr>
              <w:t>（1</w:t>
            </w:r>
            <w:r>
              <w:rPr>
                <w:rFonts w:hAnsi="宋体" w:cs="宋体"/>
                <w:color w:val="auto"/>
                <w:kern w:val="44"/>
                <w:sz w:val="21"/>
                <w:highlight w:val="none"/>
              </w:rPr>
              <w:t>）</w:t>
            </w:r>
            <w:r>
              <w:rPr>
                <w:rFonts w:hint="eastAsia" w:hAnsi="宋体"/>
                <w:color w:val="auto"/>
                <w:sz w:val="21"/>
                <w:highlight w:val="none"/>
                <w:lang w:eastAsia="zh-CN"/>
              </w:rPr>
              <w:t>基本分</w:t>
            </w:r>
            <w:r>
              <w:rPr>
                <w:rFonts w:hint="eastAsia" w:hAnsi="宋体"/>
                <w:color w:val="auto"/>
                <w:sz w:val="21"/>
                <w:highlight w:val="none"/>
              </w:rPr>
              <w:t>（</w:t>
            </w:r>
            <w:r>
              <w:rPr>
                <w:rFonts w:hint="eastAsia" w:hAnsi="宋体"/>
                <w:color w:val="auto"/>
                <w:sz w:val="21"/>
                <w:highlight w:val="none"/>
                <w:lang w:eastAsia="zh-CN"/>
              </w:rPr>
              <w:t>满分</w:t>
            </w:r>
            <w:r>
              <w:rPr>
                <w:rFonts w:hint="eastAsia" w:hAnsi="宋体"/>
                <w:color w:val="auto"/>
                <w:sz w:val="21"/>
                <w:highlight w:val="none"/>
                <w:lang w:val="en-US" w:eastAsia="zh-CN"/>
              </w:rPr>
              <w:t>5</w:t>
            </w:r>
            <w:r>
              <w:rPr>
                <w:rFonts w:hint="eastAsia" w:hAnsi="宋体"/>
                <w:color w:val="auto"/>
                <w:sz w:val="21"/>
                <w:highlight w:val="none"/>
              </w:rPr>
              <w:t>分）</w:t>
            </w:r>
          </w:p>
          <w:p>
            <w:pPr>
              <w:pStyle w:val="23"/>
              <w:spacing w:line="440" w:lineRule="exact"/>
              <w:ind w:firstLine="420" w:firstLineChars="200"/>
              <w:rPr>
                <w:rFonts w:hint="eastAsia" w:hAnsi="宋体"/>
                <w:color w:val="auto"/>
                <w:sz w:val="21"/>
                <w:highlight w:val="none"/>
                <w:lang w:eastAsia="zh-CN"/>
              </w:rPr>
            </w:pPr>
            <w:r>
              <w:rPr>
                <w:rFonts w:hint="eastAsia" w:hAnsi="宋体"/>
                <w:color w:val="auto"/>
                <w:sz w:val="21"/>
                <w:highlight w:val="none"/>
                <w:lang w:eastAsia="zh-CN"/>
              </w:rPr>
              <w:t>完全满足招标文件售后服务要求。（得</w:t>
            </w:r>
            <w:r>
              <w:rPr>
                <w:rFonts w:hint="eastAsia" w:hAnsi="宋体"/>
                <w:color w:val="auto"/>
                <w:sz w:val="21"/>
                <w:highlight w:val="none"/>
                <w:lang w:val="en-US" w:eastAsia="zh-CN"/>
              </w:rPr>
              <w:t>5</w:t>
            </w:r>
            <w:r>
              <w:rPr>
                <w:rFonts w:hint="eastAsia" w:hAnsi="宋体"/>
                <w:color w:val="auto"/>
                <w:sz w:val="21"/>
                <w:highlight w:val="none"/>
                <w:lang w:eastAsia="zh-CN"/>
              </w:rPr>
              <w:t>分）</w:t>
            </w:r>
          </w:p>
          <w:p>
            <w:pPr>
              <w:pStyle w:val="23"/>
              <w:spacing w:line="440" w:lineRule="exact"/>
              <w:rPr>
                <w:rFonts w:hint="eastAsia" w:hAnsi="宋体"/>
                <w:color w:val="auto"/>
                <w:sz w:val="21"/>
                <w:highlight w:val="none"/>
                <w:lang w:eastAsia="zh-CN"/>
              </w:rPr>
            </w:pPr>
            <w:r>
              <w:rPr>
                <w:rFonts w:hint="eastAsia" w:hAnsi="宋体"/>
                <w:color w:val="auto"/>
                <w:sz w:val="21"/>
                <w:highlight w:val="none"/>
                <w:lang w:eastAsia="zh-CN"/>
              </w:rPr>
              <w:t>（2）优化服务（满分</w:t>
            </w:r>
            <w:r>
              <w:rPr>
                <w:rFonts w:hint="eastAsia" w:hAnsi="宋体"/>
                <w:color w:val="auto"/>
                <w:sz w:val="21"/>
                <w:highlight w:val="none"/>
                <w:lang w:val="en-US" w:eastAsia="zh-CN"/>
              </w:rPr>
              <w:t>18</w:t>
            </w:r>
            <w:r>
              <w:rPr>
                <w:rFonts w:hint="eastAsia" w:hAnsi="宋体"/>
                <w:color w:val="auto"/>
                <w:sz w:val="21"/>
                <w:highlight w:val="none"/>
                <w:lang w:eastAsia="zh-CN"/>
              </w:rPr>
              <w:t>分）</w:t>
            </w:r>
          </w:p>
          <w:p>
            <w:pPr>
              <w:pStyle w:val="23"/>
              <w:spacing w:line="440" w:lineRule="exact"/>
              <w:ind w:firstLine="420" w:firstLineChars="200"/>
              <w:rPr>
                <w:rFonts w:hint="eastAsia" w:hAnsi="宋体"/>
                <w:color w:val="auto"/>
                <w:sz w:val="21"/>
                <w:highlight w:val="none"/>
                <w:lang w:eastAsia="zh-CN"/>
              </w:rPr>
            </w:pPr>
            <w:r>
              <w:rPr>
                <w:rFonts w:hint="eastAsia" w:hAnsi="宋体"/>
                <w:color w:val="auto"/>
                <w:sz w:val="21"/>
                <w:highlight w:val="none"/>
                <w:lang w:eastAsia="zh-CN"/>
              </w:rPr>
              <w:t>①售后服务方案仅满足招标文件的要求，缺乏保障响应措施，服务经验的，得</w:t>
            </w:r>
            <w:r>
              <w:rPr>
                <w:rFonts w:hint="eastAsia" w:hAnsi="宋体"/>
                <w:color w:val="auto"/>
                <w:sz w:val="21"/>
                <w:highlight w:val="none"/>
                <w:lang w:val="en-US" w:eastAsia="zh-CN"/>
              </w:rPr>
              <w:t>5</w:t>
            </w:r>
            <w:r>
              <w:rPr>
                <w:rFonts w:hint="eastAsia" w:hAnsi="宋体"/>
                <w:color w:val="auto"/>
                <w:sz w:val="21"/>
                <w:highlight w:val="none"/>
                <w:lang w:eastAsia="zh-CN"/>
              </w:rPr>
              <w:t>分；</w:t>
            </w:r>
          </w:p>
          <w:p>
            <w:pPr>
              <w:pStyle w:val="23"/>
              <w:spacing w:line="440" w:lineRule="exact"/>
              <w:ind w:firstLine="420" w:firstLineChars="200"/>
              <w:rPr>
                <w:rFonts w:hint="eastAsia" w:hAnsi="宋体"/>
                <w:color w:val="auto"/>
                <w:sz w:val="21"/>
                <w:highlight w:val="none"/>
                <w:lang w:eastAsia="zh-CN"/>
              </w:rPr>
            </w:pPr>
            <w:r>
              <w:rPr>
                <w:rFonts w:hint="eastAsia" w:hAnsi="宋体"/>
                <w:color w:val="auto"/>
                <w:sz w:val="21"/>
                <w:highlight w:val="none"/>
                <w:lang w:eastAsia="zh-CN"/>
              </w:rPr>
              <w:t>②售后服务方案细致、合理、可行，能提供生产厂家售后服务承诺书原件的，得15分；</w:t>
            </w:r>
          </w:p>
          <w:p>
            <w:pPr>
              <w:adjustRightInd w:val="0"/>
              <w:spacing w:line="440" w:lineRule="exact"/>
              <w:ind w:firstLine="420" w:firstLineChars="200"/>
              <w:textAlignment w:val="baseline"/>
              <w:rPr>
                <w:rFonts w:hint="eastAsia" w:ascii="宋体" w:hAnsi="宋体"/>
                <w:bCs/>
                <w:color w:val="auto"/>
                <w:szCs w:val="21"/>
                <w:highlight w:val="none"/>
              </w:rPr>
            </w:pPr>
            <w:r>
              <w:rPr>
                <w:rFonts w:hint="eastAsia" w:ascii="宋体" w:hAnsi="宋体"/>
                <w:color w:val="auto"/>
                <w:highlight w:val="none"/>
              </w:rPr>
              <w:t>③售后服务方案细致、合理、可行，保障响应措施有力，服务经验丰富，并承诺提供7×24售后服务热线，响应时间短，快捷、迅速，有该项目详细的系统建设的售后服务方案、售后服务流程、应急预案、质量保障方案，能提供生产厂家售后服务承诺书原件的，得</w:t>
            </w:r>
            <w:r>
              <w:rPr>
                <w:rFonts w:hint="eastAsia" w:ascii="宋体" w:hAnsi="宋体"/>
                <w:color w:val="auto"/>
                <w:highlight w:val="none"/>
                <w:lang w:val="en-US" w:eastAsia="zh-CN"/>
              </w:rPr>
              <w:t>18</w:t>
            </w:r>
            <w:r>
              <w:rPr>
                <w:rFonts w:hint="eastAsia" w:ascii="宋体"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13" w:type="dxa"/>
            <w:noWrap w:val="0"/>
            <w:vAlign w:val="center"/>
          </w:tcPr>
          <w:p>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4</w:t>
            </w:r>
          </w:p>
        </w:tc>
        <w:tc>
          <w:tcPr>
            <w:tcW w:w="1417" w:type="dxa"/>
            <w:noWrap w:val="0"/>
            <w:tcMar>
              <w:left w:w="57" w:type="dxa"/>
              <w:right w:w="57" w:type="dxa"/>
            </w:tcMar>
            <w:vAlign w:val="center"/>
          </w:tcPr>
          <w:p>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信誉分</w:t>
            </w:r>
          </w:p>
          <w:p>
            <w:pPr>
              <w:spacing w:line="440" w:lineRule="exact"/>
              <w:jc w:val="center"/>
              <w:rPr>
                <w:rFonts w:hint="eastAsia" w:ascii="宋体" w:hAnsi="宋体" w:cs="宋体"/>
                <w:b/>
                <w:bCs/>
                <w:color w:val="auto"/>
                <w:kern w:val="44"/>
                <w:szCs w:val="21"/>
                <w:highlight w:val="none"/>
              </w:rPr>
            </w:pPr>
            <w:r>
              <w:rPr>
                <w:rFonts w:hint="eastAsia" w:ascii="宋体" w:hAnsi="宋体"/>
                <w:b/>
                <w:bCs/>
                <w:color w:val="auto"/>
                <w:szCs w:val="21"/>
                <w:highlight w:val="none"/>
              </w:rPr>
              <w:t>（</w:t>
            </w:r>
            <w:r>
              <w:rPr>
                <w:rFonts w:hint="eastAsia" w:ascii="宋体" w:hAnsi="宋体"/>
                <w:b/>
                <w:color w:val="auto"/>
                <w:szCs w:val="21"/>
                <w:highlight w:val="none"/>
              </w:rPr>
              <w:t>满分5分）</w:t>
            </w:r>
          </w:p>
        </w:tc>
        <w:tc>
          <w:tcPr>
            <w:tcW w:w="7022" w:type="dxa"/>
            <w:noWrap w:val="0"/>
            <w:vAlign w:val="center"/>
          </w:tcPr>
          <w:p>
            <w:pPr>
              <w:pStyle w:val="23"/>
              <w:spacing w:line="440" w:lineRule="exact"/>
              <w:ind w:firstLine="315" w:firstLineChars="150"/>
              <w:rPr>
                <w:rFonts w:hint="eastAsia" w:hAnsi="宋体" w:cs="Courier New"/>
                <w:color w:val="auto"/>
                <w:sz w:val="21"/>
                <w:highlight w:val="none"/>
                <w:lang w:eastAsia="zh-CN"/>
              </w:rPr>
            </w:pPr>
            <w:r>
              <w:rPr>
                <w:rFonts w:hint="eastAsia" w:hAnsi="宋体" w:cs="Courier New"/>
                <w:color w:val="auto"/>
                <w:sz w:val="21"/>
                <w:highlight w:val="none"/>
                <w:lang w:eastAsia="zh-CN"/>
              </w:rPr>
              <w:t>（1）</w:t>
            </w:r>
            <w:r>
              <w:rPr>
                <w:rFonts w:hint="eastAsia" w:hAnsi="宋体" w:cs="Courier New"/>
                <w:color w:val="auto"/>
                <w:sz w:val="21"/>
                <w:highlight w:val="none"/>
              </w:rPr>
              <w:t>投标人或投标产品生产厂家通过ISO900</w:t>
            </w:r>
            <w:r>
              <w:rPr>
                <w:rFonts w:hint="eastAsia" w:hAnsi="宋体" w:cs="Courier New"/>
                <w:color w:val="auto"/>
                <w:sz w:val="21"/>
                <w:highlight w:val="none"/>
                <w:lang w:eastAsia="zh-CN"/>
              </w:rPr>
              <w:t>0</w:t>
            </w:r>
            <w:r>
              <w:rPr>
                <w:rFonts w:hint="eastAsia" w:hAnsi="宋体" w:cs="Courier New"/>
                <w:color w:val="auto"/>
                <w:sz w:val="21"/>
                <w:highlight w:val="none"/>
              </w:rPr>
              <w:t>系列国际质量体系认证、ISO13485医疗器械质量管理体系认证</w:t>
            </w:r>
            <w:r>
              <w:rPr>
                <w:rFonts w:hint="eastAsia" w:hAnsi="宋体" w:cs="Courier New"/>
                <w:color w:val="auto"/>
                <w:sz w:val="21"/>
                <w:highlight w:val="none"/>
                <w:lang w:eastAsia="zh-CN"/>
              </w:rPr>
              <w:t>、</w:t>
            </w:r>
            <w:r>
              <w:rPr>
                <w:rFonts w:hint="eastAsia" w:hAnsi="宋体" w:cs="Courier New"/>
                <w:color w:val="auto"/>
                <w:sz w:val="21"/>
                <w:highlight w:val="none"/>
              </w:rPr>
              <w:t>ISO 14001环境管理体系认证的，得1分，满分</w:t>
            </w:r>
            <w:r>
              <w:rPr>
                <w:rFonts w:hint="eastAsia" w:hAnsi="宋体" w:cs="Courier New"/>
                <w:color w:val="auto"/>
                <w:sz w:val="21"/>
                <w:highlight w:val="none"/>
                <w:lang w:val="en-US" w:eastAsia="zh-CN"/>
              </w:rPr>
              <w:t>1</w:t>
            </w:r>
            <w:r>
              <w:rPr>
                <w:rFonts w:hint="eastAsia" w:hAnsi="宋体" w:cs="Courier New"/>
                <w:color w:val="auto"/>
                <w:sz w:val="21"/>
                <w:highlight w:val="none"/>
              </w:rPr>
              <w:t>分</w:t>
            </w:r>
          </w:p>
          <w:p>
            <w:pPr>
              <w:pStyle w:val="23"/>
              <w:spacing w:line="440" w:lineRule="exact"/>
              <w:ind w:firstLine="315" w:firstLineChars="150"/>
              <w:rPr>
                <w:rFonts w:hint="eastAsia" w:hAnsi="宋体" w:cs="Courier New"/>
                <w:color w:val="auto"/>
                <w:sz w:val="21"/>
                <w:highlight w:val="none"/>
                <w:lang w:eastAsia="zh-CN"/>
              </w:rPr>
            </w:pPr>
            <w:r>
              <w:rPr>
                <w:rFonts w:hint="eastAsia" w:hAnsi="宋体" w:cs="Courier New"/>
                <w:color w:val="auto"/>
                <w:sz w:val="21"/>
                <w:highlight w:val="none"/>
                <w:lang w:eastAsia="zh-CN"/>
              </w:rPr>
              <w:t>（2）投标人为中国优秀节能减排绿色环保企业得1分。 满分1分；</w:t>
            </w:r>
          </w:p>
          <w:p>
            <w:pPr>
              <w:pStyle w:val="23"/>
              <w:spacing w:line="440" w:lineRule="exact"/>
              <w:ind w:firstLine="315" w:firstLineChars="150"/>
              <w:rPr>
                <w:rFonts w:hint="eastAsia" w:hAnsi="宋体" w:cs="Courier New"/>
                <w:color w:val="auto"/>
                <w:sz w:val="21"/>
                <w:highlight w:val="none"/>
                <w:lang w:eastAsia="zh-CN"/>
              </w:rPr>
            </w:pPr>
            <w:r>
              <w:rPr>
                <w:rFonts w:hint="eastAsia" w:hAnsi="宋体" w:cs="Courier New"/>
                <w:color w:val="auto"/>
                <w:sz w:val="21"/>
                <w:highlight w:val="none"/>
                <w:lang w:eastAsia="zh-CN"/>
              </w:rPr>
              <w:t>（3）投标人有中国绿色节能环保产品证书的得1分。满分1分；</w:t>
            </w:r>
          </w:p>
          <w:p>
            <w:pPr>
              <w:pStyle w:val="23"/>
              <w:spacing w:line="440" w:lineRule="exact"/>
              <w:ind w:firstLine="420" w:firstLineChars="200"/>
              <w:rPr>
                <w:rFonts w:hint="eastAsia" w:hAnsi="宋体" w:cs="Courier New"/>
                <w:color w:val="auto"/>
                <w:sz w:val="21"/>
                <w:highlight w:val="none"/>
                <w:lang w:eastAsia="zh-CN"/>
              </w:rPr>
            </w:pPr>
            <w:r>
              <w:rPr>
                <w:rFonts w:hint="eastAsia" w:hAnsi="宋体" w:cs="Courier New"/>
                <w:color w:val="auto"/>
                <w:sz w:val="21"/>
                <w:highlight w:val="none"/>
                <w:lang w:val="en-US" w:eastAsia="zh-CN"/>
              </w:rPr>
              <w:t>(4)</w:t>
            </w:r>
            <w:r>
              <w:rPr>
                <w:rFonts w:hint="eastAsia" w:hAnsi="宋体" w:cs="Courier New"/>
                <w:color w:val="auto"/>
                <w:sz w:val="21"/>
                <w:highlight w:val="none"/>
              </w:rPr>
              <w:t>投标产品生产厂家</w:t>
            </w:r>
            <w:r>
              <w:rPr>
                <w:rFonts w:hint="eastAsia" w:hAnsi="宋体" w:cs="Courier New"/>
                <w:color w:val="auto"/>
                <w:sz w:val="21"/>
                <w:highlight w:val="none"/>
                <w:lang w:val="en-US" w:eastAsia="zh-CN"/>
              </w:rPr>
              <w:t>通过有关国际认证,提供FDA认证的</w:t>
            </w:r>
            <w:r>
              <w:rPr>
                <w:rFonts w:hint="eastAsia" w:hAnsi="宋体" w:cs="Courier New"/>
                <w:color w:val="auto"/>
                <w:sz w:val="21"/>
                <w:highlight w:val="none"/>
                <w:lang w:eastAsia="zh-CN"/>
              </w:rPr>
              <w:t>得</w:t>
            </w:r>
            <w:r>
              <w:rPr>
                <w:rFonts w:hint="eastAsia" w:hAnsi="宋体" w:cs="Courier New"/>
                <w:color w:val="auto"/>
                <w:sz w:val="21"/>
                <w:highlight w:val="none"/>
                <w:lang w:val="en-US" w:eastAsia="zh-CN"/>
              </w:rPr>
              <w:t>1</w:t>
            </w:r>
            <w:r>
              <w:rPr>
                <w:rFonts w:hint="eastAsia" w:hAnsi="宋体" w:cs="Courier New"/>
                <w:color w:val="auto"/>
                <w:sz w:val="21"/>
                <w:highlight w:val="none"/>
                <w:lang w:eastAsia="zh-CN"/>
              </w:rPr>
              <w:t>分。满分</w:t>
            </w:r>
            <w:r>
              <w:rPr>
                <w:rFonts w:hint="eastAsia" w:hAnsi="宋体" w:cs="Courier New"/>
                <w:color w:val="auto"/>
                <w:sz w:val="21"/>
                <w:highlight w:val="none"/>
                <w:lang w:val="en-US" w:eastAsia="zh-CN"/>
              </w:rPr>
              <w:t>1</w:t>
            </w:r>
            <w:r>
              <w:rPr>
                <w:rFonts w:hint="eastAsia" w:hAnsi="宋体" w:cs="Courier New"/>
                <w:color w:val="auto"/>
                <w:sz w:val="21"/>
                <w:highlight w:val="none"/>
                <w:lang w:eastAsia="zh-CN"/>
              </w:rPr>
              <w:t>分；</w:t>
            </w:r>
          </w:p>
          <w:p>
            <w:pPr>
              <w:pStyle w:val="23"/>
              <w:spacing w:line="440" w:lineRule="exact"/>
              <w:ind w:firstLine="420" w:firstLineChars="200"/>
              <w:rPr>
                <w:rFonts w:hint="default" w:hAnsi="宋体" w:eastAsia="宋体" w:cs="Courier New"/>
                <w:color w:val="auto"/>
                <w:sz w:val="21"/>
                <w:highlight w:val="none"/>
                <w:lang w:val="en-US" w:eastAsia="zh-CN"/>
              </w:rPr>
            </w:pPr>
            <w:r>
              <w:rPr>
                <w:rFonts w:hint="eastAsia" w:hAnsi="宋体" w:cs="Courier New"/>
                <w:color w:val="auto"/>
                <w:sz w:val="21"/>
                <w:highlight w:val="none"/>
                <w:lang w:val="en-US" w:eastAsia="zh-CN"/>
              </w:rPr>
              <w:t>(5)投标商在满足标书技术指标要求前提下，提供2015年后新机型的得1分。满分1分；</w:t>
            </w:r>
          </w:p>
          <w:p>
            <w:pPr>
              <w:pStyle w:val="23"/>
              <w:spacing w:line="440" w:lineRule="exact"/>
              <w:ind w:firstLine="315" w:firstLineChars="150"/>
              <w:rPr>
                <w:rFonts w:hint="eastAsia" w:hAnsi="宋体" w:cs="宋体"/>
                <w:color w:val="auto"/>
                <w:kern w:val="44"/>
                <w:sz w:val="21"/>
                <w:highlight w:val="none"/>
              </w:rPr>
            </w:pPr>
            <w:r>
              <w:rPr>
                <w:rFonts w:hint="eastAsia" w:hAnsi="宋体" w:cs="Courier New"/>
                <w:color w:val="auto"/>
                <w:sz w:val="21"/>
                <w:highlight w:val="none"/>
              </w:rPr>
              <w:t>（投标文件中提供有效的证书复印件，非中文文本的请提供中文翻译文本，否则不予以计分）。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13" w:type="dxa"/>
            <w:noWrap w:val="0"/>
            <w:vAlign w:val="center"/>
          </w:tcPr>
          <w:p>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5</w:t>
            </w:r>
          </w:p>
        </w:tc>
        <w:tc>
          <w:tcPr>
            <w:tcW w:w="1417" w:type="dxa"/>
            <w:noWrap w:val="0"/>
            <w:tcMar>
              <w:left w:w="57" w:type="dxa"/>
              <w:right w:w="57" w:type="dxa"/>
            </w:tcMar>
            <w:vAlign w:val="center"/>
          </w:tcPr>
          <w:p>
            <w:pPr>
              <w:spacing w:line="440" w:lineRule="exact"/>
              <w:jc w:val="center"/>
              <w:rPr>
                <w:rFonts w:hint="eastAsia" w:ascii="宋体" w:hAnsi="宋体"/>
                <w:b/>
                <w:bCs/>
                <w:color w:val="auto"/>
                <w:szCs w:val="21"/>
                <w:highlight w:val="none"/>
              </w:rPr>
            </w:pPr>
            <w:r>
              <w:rPr>
                <w:rFonts w:hint="eastAsia" w:ascii="宋体" w:hAnsi="宋体"/>
                <w:b/>
                <w:bCs/>
                <w:color w:val="auto"/>
                <w:szCs w:val="21"/>
                <w:highlight w:val="none"/>
              </w:rPr>
              <w:t>业绩</w:t>
            </w:r>
          </w:p>
          <w:p>
            <w:pPr>
              <w:spacing w:line="440" w:lineRule="exact"/>
              <w:jc w:val="center"/>
              <w:rPr>
                <w:rFonts w:hint="eastAsia" w:ascii="宋体" w:hAnsi="宋体" w:cs="宋体"/>
                <w:b/>
                <w:bCs/>
                <w:color w:val="auto"/>
                <w:kern w:val="44"/>
                <w:szCs w:val="21"/>
                <w:highlight w:val="none"/>
              </w:rPr>
            </w:pPr>
            <w:r>
              <w:rPr>
                <w:rFonts w:hint="eastAsia" w:ascii="宋体" w:hAnsi="宋体"/>
                <w:b/>
                <w:bCs/>
                <w:color w:val="auto"/>
                <w:szCs w:val="21"/>
                <w:highlight w:val="none"/>
              </w:rPr>
              <w:t>（</w:t>
            </w:r>
            <w:r>
              <w:rPr>
                <w:rFonts w:hint="eastAsia" w:ascii="宋体" w:hAnsi="宋体"/>
                <w:b/>
                <w:color w:val="auto"/>
                <w:szCs w:val="21"/>
                <w:highlight w:val="none"/>
              </w:rPr>
              <w:t>满分5分）</w:t>
            </w:r>
          </w:p>
        </w:tc>
        <w:tc>
          <w:tcPr>
            <w:tcW w:w="7022" w:type="dxa"/>
            <w:noWrap w:val="0"/>
            <w:vAlign w:val="center"/>
          </w:tcPr>
          <w:p>
            <w:pPr>
              <w:spacing w:line="440" w:lineRule="exact"/>
              <w:ind w:firstLine="315" w:firstLineChars="150"/>
              <w:rPr>
                <w:rFonts w:hint="eastAsia" w:ascii="宋体" w:hAnsi="宋体" w:cs="Courier New"/>
                <w:color w:val="auto"/>
                <w:szCs w:val="21"/>
                <w:highlight w:val="none"/>
              </w:rPr>
            </w:pPr>
            <w:r>
              <w:rPr>
                <w:rFonts w:hint="eastAsia" w:ascii="宋体" w:hAnsi="宋体" w:cs="Courier New"/>
                <w:color w:val="auto"/>
                <w:szCs w:val="21"/>
                <w:highlight w:val="none"/>
              </w:rPr>
              <w:t>2017年1月1日以来至投标截止日期止，投标人同类产品的销售业绩的每项得2分，满分5分。</w:t>
            </w:r>
          </w:p>
          <w:p>
            <w:pPr>
              <w:pStyle w:val="23"/>
              <w:spacing w:line="440" w:lineRule="exact"/>
              <w:ind w:firstLine="315" w:firstLineChars="150"/>
              <w:rPr>
                <w:rFonts w:hint="eastAsia" w:hAnsi="宋体" w:cs="Courier New"/>
                <w:color w:val="auto"/>
                <w:sz w:val="21"/>
                <w:highlight w:val="none"/>
                <w:lang w:eastAsia="zh-CN"/>
              </w:rPr>
            </w:pPr>
            <w:r>
              <w:rPr>
                <w:rFonts w:hint="eastAsia" w:hAnsi="宋体" w:cs="Courier New"/>
                <w:color w:val="auto"/>
                <w:sz w:val="21"/>
                <w:highlight w:val="none"/>
              </w:rPr>
              <w:t>提供中标（成交）通知书或销售合同复印件（加盖单位公章，原件备查），否则不予计分。同一编号的项目有两个或两个以上的分标中标的只算一次。</w:t>
            </w:r>
          </w:p>
          <w:p>
            <w:pPr>
              <w:pStyle w:val="23"/>
              <w:spacing w:line="440" w:lineRule="exact"/>
              <w:ind w:firstLine="315" w:firstLineChars="150"/>
              <w:rPr>
                <w:rFonts w:hint="eastAsia" w:hAnsi="宋体" w:cs="宋体"/>
                <w:color w:val="auto"/>
                <w:kern w:val="44"/>
                <w:sz w:val="21"/>
                <w:highlight w:val="none"/>
                <w:lang w:eastAsia="zh-CN"/>
              </w:rPr>
            </w:pPr>
            <w:r>
              <w:rPr>
                <w:rFonts w:hint="eastAsia" w:hAnsi="宋体" w:cs="Courier New"/>
                <w:color w:val="auto"/>
                <w:sz w:val="21"/>
                <w:highlight w:val="none"/>
                <w:lang w:eastAsia="zh-CN"/>
              </w:rPr>
              <w:t>注：同类产品是指以招标文件标注的核心产品为依据。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13" w:type="dxa"/>
            <w:noWrap w:val="0"/>
            <w:vAlign w:val="center"/>
          </w:tcPr>
          <w:p>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6</w:t>
            </w:r>
          </w:p>
        </w:tc>
        <w:tc>
          <w:tcPr>
            <w:tcW w:w="1417" w:type="dxa"/>
            <w:noWrap w:val="0"/>
            <w:tcMar>
              <w:left w:w="57" w:type="dxa"/>
              <w:right w:w="57" w:type="dxa"/>
            </w:tcMar>
            <w:vAlign w:val="center"/>
          </w:tcPr>
          <w:p>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政策功能分</w:t>
            </w:r>
          </w:p>
          <w:p>
            <w:pPr>
              <w:spacing w:line="440" w:lineRule="exact"/>
              <w:rPr>
                <w:rFonts w:hint="eastAsia" w:ascii="宋体" w:hAnsi="宋体"/>
                <w:b/>
                <w:color w:val="auto"/>
                <w:szCs w:val="21"/>
                <w:highlight w:val="none"/>
              </w:rPr>
            </w:pPr>
            <w:r>
              <w:rPr>
                <w:rFonts w:hint="eastAsia" w:ascii="宋体" w:hAnsi="宋体"/>
                <w:b/>
                <w:color w:val="auto"/>
                <w:szCs w:val="21"/>
                <w:highlight w:val="none"/>
              </w:rPr>
              <w:t>（满分2分）</w:t>
            </w:r>
          </w:p>
        </w:tc>
        <w:tc>
          <w:tcPr>
            <w:tcW w:w="7022" w:type="dxa"/>
            <w:noWrap w:val="0"/>
            <w:vAlign w:val="center"/>
          </w:tcPr>
          <w:p>
            <w:pPr>
              <w:pStyle w:val="23"/>
              <w:spacing w:line="440" w:lineRule="exact"/>
              <w:rPr>
                <w:rFonts w:hint="eastAsia" w:hAnsi="宋体" w:cs="Courier New"/>
                <w:bCs/>
                <w:color w:val="auto"/>
                <w:kern w:val="2"/>
                <w:sz w:val="21"/>
                <w:highlight w:val="none"/>
                <w:lang w:val="en-US" w:eastAsia="zh-CN"/>
              </w:rPr>
            </w:pPr>
            <w:r>
              <w:rPr>
                <w:rFonts w:hint="eastAsia" w:hAnsi="宋体"/>
                <w:color w:val="auto"/>
                <w:sz w:val="21"/>
                <w:highlight w:val="none"/>
              </w:rPr>
              <w:t>节能、环境标志及区内产品</w:t>
            </w:r>
          </w:p>
          <w:p>
            <w:pPr>
              <w:pStyle w:val="23"/>
              <w:spacing w:line="440" w:lineRule="exact"/>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1）属于财政部《节能产品政府采购品目清单》内优先采购（清单内未标注“★”的品目）的产品[投标文件中提供有效的认证证书复印件及品目清单（标注出投标产品在品目清单中所属的品目），并加盖投标人公章]，根据其所占项目（或分标）预算金额比例得0至1分，满分1分。</w:t>
            </w:r>
          </w:p>
          <w:p>
            <w:pPr>
              <w:pStyle w:val="23"/>
              <w:spacing w:line="440" w:lineRule="exact"/>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2）属于财政部《环境标志产品政府采购品目清单》内的产品[投标文件中提供有效的认证证书复印件及品目清单（标注出投标产品在品目清单中所属的品目），并加盖投标人公章]，根据其所占项目（或分标）预算金额比例得0至1分，满分1分；</w:t>
            </w:r>
          </w:p>
          <w:p>
            <w:pPr>
              <w:pStyle w:val="23"/>
              <w:spacing w:line="440" w:lineRule="exact"/>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（3）非节能、环境标志产品的不得分。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452" w:type="dxa"/>
            <w:gridSpan w:val="3"/>
            <w:noWrap w:val="0"/>
            <w:vAlign w:val="center"/>
          </w:tcPr>
          <w:p>
            <w:pPr>
              <w:pStyle w:val="23"/>
              <w:spacing w:line="400" w:lineRule="exact"/>
              <w:ind w:firstLine="420"/>
              <w:rPr>
                <w:rFonts w:hAnsi="宋体" w:cs="Courier New"/>
                <w:bCs/>
                <w:color w:val="auto"/>
                <w:kern w:val="2"/>
                <w:sz w:val="21"/>
                <w:highlight w:val="none"/>
                <w:lang w:val="en-US" w:eastAsia="zh-CN"/>
              </w:rPr>
            </w:pPr>
            <w:r>
              <w:rPr>
                <w:rFonts w:hint="eastAsia" w:hAnsi="宋体" w:cs="Courier New"/>
                <w:b/>
                <w:bCs/>
                <w:color w:val="auto"/>
                <w:kern w:val="2"/>
                <w:sz w:val="21"/>
                <w:highlight w:val="none"/>
                <w:lang w:val="en-US" w:eastAsia="zh-CN"/>
              </w:rPr>
              <w:t>总得分=1+2+3+4+5+6。</w:t>
            </w:r>
          </w:p>
        </w:tc>
      </w:tr>
    </w:tbl>
    <w:p>
      <w:pPr>
        <w:pStyle w:val="23"/>
        <w:spacing w:line="440" w:lineRule="exact"/>
        <w:rPr>
          <w:rFonts w:hint="eastAsia" w:hAnsi="宋体"/>
          <w:b/>
          <w:color w:val="auto"/>
          <w:sz w:val="21"/>
          <w:highlight w:val="none"/>
          <w:lang w:eastAsia="zh-CN"/>
        </w:rPr>
      </w:pPr>
      <w:r>
        <w:rPr>
          <w:rFonts w:hint="eastAsia" w:hAnsi="宋体"/>
          <w:b/>
          <w:color w:val="auto"/>
          <w:sz w:val="21"/>
          <w:highlight w:val="none"/>
          <w:lang w:eastAsia="zh-CN"/>
        </w:rPr>
        <w:t xml:space="preserve"> </w:t>
      </w:r>
    </w:p>
    <w:p>
      <w:pPr>
        <w:pStyle w:val="23"/>
        <w:spacing w:line="440" w:lineRule="exact"/>
        <w:rPr>
          <w:rFonts w:hint="eastAsia" w:hAnsi="宋体"/>
          <w:b/>
          <w:color w:val="auto"/>
          <w:sz w:val="21"/>
          <w:highlight w:val="none"/>
        </w:rPr>
      </w:pPr>
      <w:r>
        <w:rPr>
          <w:rFonts w:hint="eastAsia" w:hAnsi="宋体"/>
          <w:b/>
          <w:color w:val="auto"/>
          <w:sz w:val="21"/>
          <w:highlight w:val="none"/>
        </w:rPr>
        <w:t>三、中标候选人推荐原则</w:t>
      </w:r>
    </w:p>
    <w:p>
      <w:pPr>
        <w:pStyle w:val="23"/>
        <w:spacing w:line="440" w:lineRule="exact"/>
        <w:ind w:firstLine="420" w:firstLineChars="200"/>
        <w:rPr>
          <w:rFonts w:hint="eastAsia" w:hAnsi="宋体"/>
          <w:color w:val="auto"/>
          <w:sz w:val="21"/>
          <w:highlight w:val="none"/>
          <w:lang w:eastAsia="zh-CN"/>
        </w:rPr>
      </w:pPr>
      <w:r>
        <w:rPr>
          <w:rFonts w:hint="eastAsia" w:hAnsi="宋体"/>
          <w:color w:val="auto"/>
          <w:sz w:val="21"/>
          <w:highlight w:val="none"/>
        </w:rPr>
        <w:t>评标委员会将根据总得分由高到低排列次序并推荐中标候选人。得分相同的，以投标报价由低到高顺序排列。得分相同且投标报价相同的并列</w:t>
      </w:r>
      <w:r>
        <w:rPr>
          <w:rFonts w:hint="eastAsia" w:hAnsi="宋体"/>
          <w:color w:val="auto"/>
          <w:sz w:val="21"/>
          <w:highlight w:val="none"/>
          <w:lang w:eastAsia="zh-CN"/>
        </w:rPr>
        <w:t>，</w:t>
      </w:r>
      <w:r>
        <w:rPr>
          <w:rFonts w:hint="eastAsia" w:hAnsi="宋体"/>
          <w:color w:val="auto"/>
          <w:sz w:val="21"/>
          <w:highlight w:val="none"/>
        </w:rPr>
        <w:t>投标文件满足招标文件全部实质性要求，且按照评审因素的量化指标评审得分最高的投标人为排名第一的中标候选人。</w:t>
      </w:r>
    </w:p>
    <w:p>
      <w:pPr>
        <w:pStyle w:val="23"/>
        <w:spacing w:line="440" w:lineRule="exact"/>
        <w:ind w:firstLine="420" w:firstLineChars="200"/>
        <w:rPr>
          <w:rFonts w:hint="eastAsia" w:hAnsi="宋体"/>
          <w:color w:val="auto"/>
          <w:sz w:val="21"/>
          <w:highlight w:val="none"/>
          <w:lang w:eastAsia="zh-CN"/>
        </w:rPr>
      </w:pPr>
    </w:p>
    <w:p>
      <w:pPr>
        <w:pStyle w:val="23"/>
        <w:spacing w:line="440" w:lineRule="exact"/>
        <w:rPr>
          <w:rFonts w:hint="eastAsia" w:hAnsi="宋体"/>
          <w:b/>
          <w:bCs/>
          <w:color w:val="auto"/>
          <w:sz w:val="21"/>
          <w:highlight w:val="none"/>
        </w:rPr>
      </w:pPr>
      <w:r>
        <w:rPr>
          <w:rFonts w:hint="eastAsia" w:hAnsi="宋体"/>
          <w:b/>
          <w:bCs/>
          <w:color w:val="auto"/>
          <w:sz w:val="21"/>
          <w:highlight w:val="none"/>
        </w:rPr>
        <w:t>四、其他</w:t>
      </w:r>
    </w:p>
    <w:p>
      <w:pPr>
        <w:pStyle w:val="23"/>
        <w:spacing w:line="440" w:lineRule="exact"/>
        <w:ind w:firstLine="420"/>
        <w:jc w:val="left"/>
        <w:rPr>
          <w:rFonts w:hint="eastAsia" w:hAnsi="宋体"/>
          <w:color w:val="auto"/>
          <w:sz w:val="21"/>
          <w:highlight w:val="none"/>
        </w:rPr>
      </w:pPr>
      <w:r>
        <w:rPr>
          <w:rFonts w:hint="eastAsia" w:hAnsi="宋体"/>
          <w:color w:val="auto"/>
          <w:sz w:val="21"/>
          <w:highlight w:val="none"/>
        </w:rPr>
        <w:t>1</w:t>
      </w:r>
      <w:r>
        <w:rPr>
          <w:rFonts w:hint="eastAsia" w:hAnsi="宋体"/>
          <w:color w:val="auto"/>
          <w:sz w:val="21"/>
          <w:highlight w:val="none"/>
          <w:lang w:eastAsia="zh-CN"/>
        </w:rPr>
        <w:t>.</w:t>
      </w:r>
      <w:r>
        <w:rPr>
          <w:rFonts w:hint="eastAsia" w:hAnsi="宋体"/>
          <w:color w:val="auto"/>
          <w:sz w:val="21"/>
          <w:highlight w:val="none"/>
        </w:rPr>
        <w:t>评标委员会应按招标文件公布的评标方法和标准进行评标，不得擅自更改招标文件的评标方法和标准。</w:t>
      </w:r>
    </w:p>
    <w:p>
      <w:pPr>
        <w:pStyle w:val="23"/>
        <w:spacing w:line="440" w:lineRule="exact"/>
        <w:ind w:firstLine="420"/>
        <w:jc w:val="left"/>
        <w:rPr>
          <w:rFonts w:hint="eastAsia" w:hAnsi="宋体"/>
          <w:color w:val="auto"/>
          <w:sz w:val="21"/>
          <w:highlight w:val="none"/>
        </w:rPr>
      </w:pPr>
      <w:r>
        <w:rPr>
          <w:rFonts w:hint="eastAsia" w:hAnsi="宋体"/>
          <w:color w:val="auto"/>
          <w:sz w:val="21"/>
          <w:highlight w:val="none"/>
        </w:rPr>
        <w:t>2</w:t>
      </w:r>
      <w:r>
        <w:rPr>
          <w:rFonts w:hint="eastAsia" w:hAnsi="宋体"/>
          <w:color w:val="auto"/>
          <w:sz w:val="21"/>
          <w:highlight w:val="none"/>
          <w:lang w:eastAsia="zh-CN"/>
        </w:rPr>
        <w:t>.</w:t>
      </w:r>
      <w:r>
        <w:rPr>
          <w:rFonts w:hint="eastAsia" w:hAnsi="宋体"/>
          <w:color w:val="auto"/>
          <w:sz w:val="21"/>
          <w:highlight w:val="none"/>
        </w:rPr>
        <w:t>在评审过程中，评标委员会任何人不得对某个投标供应商发表任何倾向性意见，不得向其他专家评委明示或者暗示自己的评审意见。</w:t>
      </w:r>
    </w:p>
    <w:p>
      <w:pPr>
        <w:pStyle w:val="23"/>
        <w:spacing w:line="400" w:lineRule="exact"/>
        <w:ind w:firstLine="420" w:firstLineChars="200"/>
        <w:jc w:val="left"/>
        <w:rPr>
          <w:rFonts w:hint="eastAsia" w:hAnsi="宋体"/>
          <w:b/>
          <w:color w:val="auto"/>
          <w:sz w:val="24"/>
          <w:highlight w:val="none"/>
          <w:lang w:eastAsia="zh-CN"/>
        </w:rPr>
      </w:pPr>
      <w:r>
        <w:rPr>
          <w:rFonts w:hint="eastAsia" w:hAnsi="宋体"/>
          <w:color w:val="auto"/>
          <w:sz w:val="21"/>
          <w:highlight w:val="none"/>
        </w:rPr>
        <w:t>3</w:t>
      </w:r>
      <w:r>
        <w:rPr>
          <w:rFonts w:hint="eastAsia" w:hAnsi="宋体"/>
          <w:color w:val="auto"/>
          <w:sz w:val="21"/>
          <w:highlight w:val="none"/>
          <w:lang w:eastAsia="zh-CN"/>
        </w:rPr>
        <w:t>.</w:t>
      </w:r>
      <w:r>
        <w:rPr>
          <w:rFonts w:hint="eastAsia" w:hAnsi="宋体"/>
          <w:color w:val="auto"/>
          <w:sz w:val="21"/>
          <w:highlight w:val="none"/>
        </w:rPr>
        <w:t>采购代理机构或现场监督人员发现评标委员会有明显的违规倾向或歧视现象，或不按规定的评标方法和标准进行，或其他不正常行为的，应当及时制止和纠正。如制止无效，应及时向同级政府采购监督管理部门报告，由政府采购监督管理部门依照法律、法规章规作出处理。</w:t>
      </w:r>
      <w:r>
        <w:rPr>
          <w:rFonts w:hAnsi="宋体"/>
          <w:b/>
          <w:color w:val="auto"/>
          <w:sz w:val="24"/>
          <w:highlight w:val="none"/>
        </w:rPr>
        <w:br w:type="page"/>
      </w: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pStyle w:val="4"/>
        <w:jc w:val="center"/>
        <w:rPr>
          <w:rFonts w:hint="eastAsia"/>
          <w:color w:val="auto"/>
          <w:highlight w:val="none"/>
        </w:rPr>
      </w:pPr>
      <w:bookmarkStart w:id="147" w:name="_Toc54691751"/>
      <w:r>
        <w:rPr>
          <w:rFonts w:hint="eastAsia"/>
          <w:color w:val="auto"/>
          <w:highlight w:val="none"/>
        </w:rPr>
        <w:t xml:space="preserve">第五章  </w:t>
      </w:r>
      <w:r>
        <w:rPr>
          <w:rFonts w:hint="eastAsia"/>
          <w:color w:val="auto"/>
          <w:highlight w:val="none"/>
          <w:lang w:eastAsia="zh-CN"/>
        </w:rPr>
        <w:t>拟签订的</w:t>
      </w:r>
      <w:r>
        <w:rPr>
          <w:rFonts w:hint="eastAsia"/>
          <w:color w:val="auto"/>
          <w:highlight w:val="none"/>
        </w:rPr>
        <w:t>合同文本</w:t>
      </w:r>
      <w:bookmarkEnd w:id="147"/>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rPr>
          <w:rFonts w:hint="eastAsia" w:ascii="宋体" w:hAnsi="宋体"/>
          <w:bCs/>
          <w:color w:val="auto"/>
          <w:sz w:val="32"/>
          <w:szCs w:val="32"/>
          <w:highlight w:val="none"/>
        </w:rPr>
      </w:pPr>
    </w:p>
    <w:p>
      <w:pPr>
        <w:pStyle w:val="2"/>
        <w:jc w:val="both"/>
        <w:rPr>
          <w:rFonts w:hint="eastAsia"/>
        </w:rPr>
      </w:pPr>
    </w:p>
    <w:p>
      <w:pPr>
        <w:snapToGrid w:val="0"/>
        <w:spacing w:line="400" w:lineRule="exact"/>
        <w:jc w:val="center"/>
        <w:rPr>
          <w:rFonts w:hint="eastAsia" w:ascii="宋体" w:hAnsi="宋体"/>
          <w:b/>
          <w:bCs/>
          <w:color w:val="auto"/>
          <w:sz w:val="32"/>
          <w:szCs w:val="32"/>
          <w:highlight w:val="none"/>
        </w:rPr>
      </w:pPr>
    </w:p>
    <w:p>
      <w:pPr>
        <w:snapToGrid w:val="0"/>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pPr>
        <w:snapToGrid w:val="0"/>
        <w:spacing w:line="400" w:lineRule="exact"/>
        <w:jc w:val="center"/>
        <w:rPr>
          <w:rFonts w:hint="eastAsia" w:ascii="宋体" w:hAnsi="宋体"/>
          <w:b/>
          <w:bCs/>
          <w:color w:val="auto"/>
          <w:sz w:val="32"/>
          <w:szCs w:val="32"/>
          <w:highlight w:val="none"/>
        </w:rPr>
      </w:pPr>
      <w:r>
        <w:rPr>
          <w:rFonts w:hint="eastAsia" w:ascii="宋体" w:hAnsi="宋体"/>
          <w:b/>
          <w:color w:val="auto"/>
          <w:sz w:val="32"/>
          <w:szCs w:val="32"/>
          <w:highlight w:val="none"/>
        </w:rPr>
        <w:t>文本</w:t>
      </w:r>
    </w:p>
    <w:p>
      <w:pPr>
        <w:snapToGrid w:val="0"/>
        <w:spacing w:line="400" w:lineRule="exact"/>
        <w:ind w:right="480" w:firstLine="5250" w:firstLineChars="2500"/>
        <w:rPr>
          <w:rFonts w:hint="eastAsia" w:ascii="宋体" w:hAnsi="宋体"/>
          <w:bCs/>
          <w:color w:val="auto"/>
          <w:szCs w:val="21"/>
          <w:highlight w:val="none"/>
          <w:u w:val="single"/>
        </w:rPr>
      </w:pPr>
      <w:r>
        <w:rPr>
          <w:rFonts w:hint="eastAsia" w:ascii="宋体" w:hAnsi="宋体"/>
          <w:bCs/>
          <w:color w:val="auto"/>
          <w:szCs w:val="21"/>
          <w:highlight w:val="none"/>
        </w:rPr>
        <w:t>合同编号：</w:t>
      </w:r>
    </w:p>
    <w:p>
      <w:pPr>
        <w:snapToGrid w:val="0"/>
        <w:spacing w:line="360" w:lineRule="exact"/>
        <w:rPr>
          <w:rFonts w:hint="eastAsia" w:ascii="宋体" w:hAnsi="宋体"/>
          <w:color w:val="auto"/>
          <w:szCs w:val="21"/>
          <w:highlight w:val="none"/>
        </w:rPr>
      </w:pPr>
    </w:p>
    <w:p>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pPr>
        <w:snapToGrid w:val="0"/>
        <w:spacing w:line="360" w:lineRule="auto"/>
        <w:ind w:firstLine="420" w:firstLineChars="200"/>
        <w:rPr>
          <w:rFonts w:hint="eastAsia" w:ascii="宋体" w:hAnsi="宋体"/>
          <w:color w:val="auto"/>
          <w:szCs w:val="21"/>
          <w:highlight w:val="none"/>
        </w:rPr>
      </w:pP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根据《中华人民共和国政府采购法》、《中华人民共和国合同法》等法律、法规规定，按照招标文件（采购文件）规定条款和中标（成交）供应商承诺，甲乙双方签订本合同。</w:t>
      </w:r>
    </w:p>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第一条　合同标的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1.供货一览表</w:t>
      </w:r>
    </w:p>
    <w:tbl>
      <w:tblPr>
        <w:tblStyle w:val="4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138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序号</w:t>
            </w:r>
          </w:p>
        </w:tc>
        <w:tc>
          <w:tcPr>
            <w:tcW w:w="1233"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产品名称</w:t>
            </w:r>
          </w:p>
        </w:tc>
        <w:tc>
          <w:tcPr>
            <w:tcW w:w="1059"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商标品牌</w:t>
            </w:r>
          </w:p>
        </w:tc>
        <w:tc>
          <w:tcPr>
            <w:tcW w:w="1233"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规格型号</w:t>
            </w:r>
          </w:p>
        </w:tc>
        <w:tc>
          <w:tcPr>
            <w:tcW w:w="1210"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生产厂家</w:t>
            </w:r>
          </w:p>
        </w:tc>
        <w:tc>
          <w:tcPr>
            <w:tcW w:w="908"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数  量</w:t>
            </w:r>
          </w:p>
        </w:tc>
        <w:tc>
          <w:tcPr>
            <w:tcW w:w="668"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单位</w:t>
            </w:r>
          </w:p>
        </w:tc>
        <w:tc>
          <w:tcPr>
            <w:tcW w:w="1382"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单价（元）</w:t>
            </w:r>
          </w:p>
        </w:tc>
        <w:tc>
          <w:tcPr>
            <w:tcW w:w="1276"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1233" w:type="dxa"/>
            <w:noWrap w:val="0"/>
            <w:vAlign w:val="center"/>
          </w:tcPr>
          <w:p>
            <w:pPr>
              <w:snapToGrid w:val="0"/>
              <w:spacing w:line="360" w:lineRule="auto"/>
              <w:jc w:val="center"/>
              <w:rPr>
                <w:rFonts w:hint="eastAsia" w:ascii="宋体" w:hAnsi="宋体"/>
                <w:color w:val="auto"/>
                <w:szCs w:val="21"/>
                <w:highlight w:val="none"/>
              </w:rPr>
            </w:pPr>
          </w:p>
        </w:tc>
        <w:tc>
          <w:tcPr>
            <w:tcW w:w="1059" w:type="dxa"/>
            <w:noWrap w:val="0"/>
            <w:vAlign w:val="center"/>
          </w:tcPr>
          <w:p>
            <w:pPr>
              <w:snapToGrid w:val="0"/>
              <w:spacing w:line="360" w:lineRule="auto"/>
              <w:jc w:val="center"/>
              <w:rPr>
                <w:rFonts w:hint="eastAsia" w:ascii="宋体" w:hAnsi="宋体"/>
                <w:color w:val="auto"/>
                <w:szCs w:val="21"/>
                <w:highlight w:val="none"/>
              </w:rPr>
            </w:pPr>
          </w:p>
        </w:tc>
        <w:tc>
          <w:tcPr>
            <w:tcW w:w="1233" w:type="dxa"/>
            <w:noWrap w:val="0"/>
            <w:vAlign w:val="center"/>
          </w:tcPr>
          <w:p>
            <w:pPr>
              <w:snapToGrid w:val="0"/>
              <w:spacing w:line="360" w:lineRule="auto"/>
              <w:jc w:val="center"/>
              <w:rPr>
                <w:rFonts w:hint="eastAsia" w:ascii="宋体" w:hAnsi="宋体"/>
                <w:color w:val="auto"/>
                <w:szCs w:val="21"/>
                <w:highlight w:val="none"/>
              </w:rPr>
            </w:pPr>
          </w:p>
        </w:tc>
        <w:tc>
          <w:tcPr>
            <w:tcW w:w="1210" w:type="dxa"/>
            <w:noWrap w:val="0"/>
            <w:vAlign w:val="top"/>
          </w:tcPr>
          <w:p>
            <w:pPr>
              <w:snapToGrid w:val="0"/>
              <w:spacing w:line="360" w:lineRule="auto"/>
              <w:jc w:val="center"/>
              <w:rPr>
                <w:rFonts w:hint="eastAsia" w:ascii="宋体" w:hAnsi="宋体"/>
                <w:color w:val="auto"/>
                <w:szCs w:val="21"/>
                <w:highlight w:val="none"/>
              </w:rPr>
            </w:pPr>
          </w:p>
        </w:tc>
        <w:tc>
          <w:tcPr>
            <w:tcW w:w="908" w:type="dxa"/>
            <w:noWrap w:val="0"/>
            <w:vAlign w:val="top"/>
          </w:tcPr>
          <w:p>
            <w:pPr>
              <w:snapToGrid w:val="0"/>
              <w:spacing w:line="360" w:lineRule="auto"/>
              <w:jc w:val="center"/>
              <w:rPr>
                <w:rFonts w:hint="eastAsia" w:ascii="宋体" w:hAnsi="宋体"/>
                <w:color w:val="auto"/>
                <w:szCs w:val="21"/>
                <w:highlight w:val="none"/>
              </w:rPr>
            </w:pPr>
          </w:p>
        </w:tc>
        <w:tc>
          <w:tcPr>
            <w:tcW w:w="668" w:type="dxa"/>
            <w:noWrap w:val="0"/>
            <w:vAlign w:val="top"/>
          </w:tcPr>
          <w:p>
            <w:pPr>
              <w:snapToGrid w:val="0"/>
              <w:spacing w:line="360" w:lineRule="auto"/>
              <w:jc w:val="center"/>
              <w:rPr>
                <w:rFonts w:hint="eastAsia" w:ascii="宋体" w:hAnsi="宋体"/>
                <w:color w:val="auto"/>
                <w:szCs w:val="21"/>
                <w:highlight w:val="none"/>
              </w:rPr>
            </w:pPr>
          </w:p>
        </w:tc>
        <w:tc>
          <w:tcPr>
            <w:tcW w:w="1382" w:type="dxa"/>
            <w:noWrap w:val="0"/>
            <w:vAlign w:val="center"/>
          </w:tcPr>
          <w:p>
            <w:pPr>
              <w:snapToGrid w:val="0"/>
              <w:spacing w:line="360" w:lineRule="auto"/>
              <w:jc w:val="center"/>
              <w:rPr>
                <w:rFonts w:hint="eastAsia" w:ascii="宋体" w:hAnsi="宋体"/>
                <w:color w:val="auto"/>
                <w:szCs w:val="21"/>
                <w:highlight w:val="none"/>
              </w:rPr>
            </w:pPr>
          </w:p>
        </w:tc>
        <w:tc>
          <w:tcPr>
            <w:tcW w:w="1276" w:type="dxa"/>
            <w:noWrap w:val="0"/>
            <w:vAlign w:val="center"/>
          </w:tcPr>
          <w:p>
            <w:pPr>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1233" w:type="dxa"/>
            <w:noWrap w:val="0"/>
            <w:vAlign w:val="center"/>
          </w:tcPr>
          <w:p>
            <w:pPr>
              <w:snapToGrid w:val="0"/>
              <w:spacing w:line="360" w:lineRule="auto"/>
              <w:jc w:val="center"/>
              <w:rPr>
                <w:rFonts w:hint="eastAsia" w:ascii="宋体" w:hAnsi="宋体"/>
                <w:color w:val="auto"/>
                <w:szCs w:val="21"/>
                <w:highlight w:val="none"/>
              </w:rPr>
            </w:pPr>
          </w:p>
        </w:tc>
        <w:tc>
          <w:tcPr>
            <w:tcW w:w="1059" w:type="dxa"/>
            <w:noWrap w:val="0"/>
            <w:vAlign w:val="center"/>
          </w:tcPr>
          <w:p>
            <w:pPr>
              <w:snapToGrid w:val="0"/>
              <w:spacing w:line="360" w:lineRule="auto"/>
              <w:jc w:val="center"/>
              <w:rPr>
                <w:rFonts w:hint="eastAsia" w:ascii="宋体" w:hAnsi="宋体"/>
                <w:color w:val="auto"/>
                <w:szCs w:val="21"/>
                <w:highlight w:val="none"/>
              </w:rPr>
            </w:pPr>
          </w:p>
        </w:tc>
        <w:tc>
          <w:tcPr>
            <w:tcW w:w="1233" w:type="dxa"/>
            <w:noWrap w:val="0"/>
            <w:vAlign w:val="center"/>
          </w:tcPr>
          <w:p>
            <w:pPr>
              <w:snapToGrid w:val="0"/>
              <w:spacing w:line="360" w:lineRule="auto"/>
              <w:jc w:val="center"/>
              <w:rPr>
                <w:rFonts w:hint="eastAsia" w:ascii="宋体" w:hAnsi="宋体"/>
                <w:color w:val="auto"/>
                <w:szCs w:val="21"/>
                <w:highlight w:val="none"/>
              </w:rPr>
            </w:pPr>
          </w:p>
        </w:tc>
        <w:tc>
          <w:tcPr>
            <w:tcW w:w="1210" w:type="dxa"/>
            <w:noWrap w:val="0"/>
            <w:vAlign w:val="top"/>
          </w:tcPr>
          <w:p>
            <w:pPr>
              <w:snapToGrid w:val="0"/>
              <w:spacing w:line="360" w:lineRule="auto"/>
              <w:jc w:val="center"/>
              <w:rPr>
                <w:rFonts w:hint="eastAsia" w:ascii="宋体" w:hAnsi="宋体"/>
                <w:color w:val="auto"/>
                <w:szCs w:val="21"/>
                <w:highlight w:val="none"/>
              </w:rPr>
            </w:pPr>
          </w:p>
        </w:tc>
        <w:tc>
          <w:tcPr>
            <w:tcW w:w="908" w:type="dxa"/>
            <w:noWrap w:val="0"/>
            <w:vAlign w:val="top"/>
          </w:tcPr>
          <w:p>
            <w:pPr>
              <w:snapToGrid w:val="0"/>
              <w:spacing w:line="360" w:lineRule="auto"/>
              <w:jc w:val="center"/>
              <w:rPr>
                <w:rFonts w:hint="eastAsia" w:ascii="宋体" w:hAnsi="宋体"/>
                <w:color w:val="auto"/>
                <w:szCs w:val="21"/>
                <w:highlight w:val="none"/>
              </w:rPr>
            </w:pPr>
          </w:p>
        </w:tc>
        <w:tc>
          <w:tcPr>
            <w:tcW w:w="668" w:type="dxa"/>
            <w:noWrap w:val="0"/>
            <w:vAlign w:val="top"/>
          </w:tcPr>
          <w:p>
            <w:pPr>
              <w:snapToGrid w:val="0"/>
              <w:spacing w:line="360" w:lineRule="auto"/>
              <w:jc w:val="center"/>
              <w:rPr>
                <w:rFonts w:hint="eastAsia" w:ascii="宋体" w:hAnsi="宋体"/>
                <w:color w:val="auto"/>
                <w:szCs w:val="21"/>
                <w:highlight w:val="none"/>
              </w:rPr>
            </w:pPr>
          </w:p>
        </w:tc>
        <w:tc>
          <w:tcPr>
            <w:tcW w:w="1382" w:type="dxa"/>
            <w:noWrap w:val="0"/>
            <w:vAlign w:val="center"/>
          </w:tcPr>
          <w:p>
            <w:pPr>
              <w:snapToGrid w:val="0"/>
              <w:spacing w:line="360" w:lineRule="auto"/>
              <w:jc w:val="center"/>
              <w:rPr>
                <w:rFonts w:hint="eastAsia" w:ascii="宋体" w:hAnsi="宋体"/>
                <w:color w:val="auto"/>
                <w:szCs w:val="21"/>
                <w:highlight w:val="none"/>
              </w:rPr>
            </w:pPr>
          </w:p>
        </w:tc>
        <w:tc>
          <w:tcPr>
            <w:tcW w:w="1276" w:type="dxa"/>
            <w:noWrap w:val="0"/>
            <w:vAlign w:val="center"/>
          </w:tcPr>
          <w:p>
            <w:pPr>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1233" w:type="dxa"/>
            <w:noWrap w:val="0"/>
            <w:vAlign w:val="center"/>
          </w:tcPr>
          <w:p>
            <w:pPr>
              <w:snapToGrid w:val="0"/>
              <w:spacing w:line="360" w:lineRule="auto"/>
              <w:jc w:val="center"/>
              <w:rPr>
                <w:rFonts w:hint="eastAsia" w:ascii="宋体" w:hAnsi="宋体"/>
                <w:color w:val="auto"/>
                <w:szCs w:val="21"/>
                <w:highlight w:val="none"/>
              </w:rPr>
            </w:pPr>
          </w:p>
        </w:tc>
        <w:tc>
          <w:tcPr>
            <w:tcW w:w="1059" w:type="dxa"/>
            <w:noWrap w:val="0"/>
            <w:vAlign w:val="center"/>
          </w:tcPr>
          <w:p>
            <w:pPr>
              <w:snapToGrid w:val="0"/>
              <w:spacing w:line="360" w:lineRule="auto"/>
              <w:jc w:val="center"/>
              <w:rPr>
                <w:rFonts w:hint="eastAsia" w:ascii="宋体" w:hAnsi="宋体"/>
                <w:color w:val="auto"/>
                <w:szCs w:val="21"/>
                <w:highlight w:val="none"/>
              </w:rPr>
            </w:pPr>
          </w:p>
        </w:tc>
        <w:tc>
          <w:tcPr>
            <w:tcW w:w="1233" w:type="dxa"/>
            <w:noWrap w:val="0"/>
            <w:vAlign w:val="center"/>
          </w:tcPr>
          <w:p>
            <w:pPr>
              <w:snapToGrid w:val="0"/>
              <w:spacing w:line="360" w:lineRule="auto"/>
              <w:jc w:val="center"/>
              <w:rPr>
                <w:rFonts w:hint="eastAsia" w:ascii="宋体" w:hAnsi="宋体"/>
                <w:color w:val="auto"/>
                <w:szCs w:val="21"/>
                <w:highlight w:val="none"/>
              </w:rPr>
            </w:pPr>
          </w:p>
        </w:tc>
        <w:tc>
          <w:tcPr>
            <w:tcW w:w="1210" w:type="dxa"/>
            <w:noWrap w:val="0"/>
            <w:vAlign w:val="top"/>
          </w:tcPr>
          <w:p>
            <w:pPr>
              <w:snapToGrid w:val="0"/>
              <w:spacing w:line="360" w:lineRule="auto"/>
              <w:jc w:val="center"/>
              <w:rPr>
                <w:rFonts w:hint="eastAsia" w:ascii="宋体" w:hAnsi="宋体"/>
                <w:color w:val="auto"/>
                <w:szCs w:val="21"/>
                <w:highlight w:val="none"/>
              </w:rPr>
            </w:pPr>
          </w:p>
        </w:tc>
        <w:tc>
          <w:tcPr>
            <w:tcW w:w="908" w:type="dxa"/>
            <w:noWrap w:val="0"/>
            <w:vAlign w:val="top"/>
          </w:tcPr>
          <w:p>
            <w:pPr>
              <w:snapToGrid w:val="0"/>
              <w:spacing w:line="360" w:lineRule="auto"/>
              <w:jc w:val="center"/>
              <w:rPr>
                <w:rFonts w:hint="eastAsia" w:ascii="宋体" w:hAnsi="宋体"/>
                <w:color w:val="auto"/>
                <w:szCs w:val="21"/>
                <w:highlight w:val="none"/>
              </w:rPr>
            </w:pPr>
          </w:p>
        </w:tc>
        <w:tc>
          <w:tcPr>
            <w:tcW w:w="668" w:type="dxa"/>
            <w:noWrap w:val="0"/>
            <w:vAlign w:val="top"/>
          </w:tcPr>
          <w:p>
            <w:pPr>
              <w:snapToGrid w:val="0"/>
              <w:spacing w:line="360" w:lineRule="auto"/>
              <w:jc w:val="center"/>
              <w:rPr>
                <w:rFonts w:hint="eastAsia" w:ascii="宋体" w:hAnsi="宋体"/>
                <w:color w:val="auto"/>
                <w:szCs w:val="21"/>
                <w:highlight w:val="none"/>
              </w:rPr>
            </w:pPr>
          </w:p>
        </w:tc>
        <w:tc>
          <w:tcPr>
            <w:tcW w:w="1382" w:type="dxa"/>
            <w:noWrap w:val="0"/>
            <w:vAlign w:val="center"/>
          </w:tcPr>
          <w:p>
            <w:pPr>
              <w:snapToGrid w:val="0"/>
              <w:spacing w:line="360" w:lineRule="auto"/>
              <w:jc w:val="center"/>
              <w:rPr>
                <w:rFonts w:hint="eastAsia" w:ascii="宋体" w:hAnsi="宋体"/>
                <w:color w:val="auto"/>
                <w:szCs w:val="21"/>
                <w:highlight w:val="none"/>
              </w:rPr>
            </w:pPr>
          </w:p>
        </w:tc>
        <w:tc>
          <w:tcPr>
            <w:tcW w:w="1276" w:type="dxa"/>
            <w:noWrap w:val="0"/>
            <w:vAlign w:val="center"/>
          </w:tcPr>
          <w:p>
            <w:pPr>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678" w:type="dxa"/>
            <w:gridSpan w:val="9"/>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人民币合计金额（大写）                          （小写）                 </w:t>
            </w:r>
          </w:p>
        </w:tc>
      </w:tr>
    </w:tbl>
    <w:p>
      <w:pPr>
        <w:snapToGrid w:val="0"/>
        <w:spacing w:line="380" w:lineRule="exact"/>
        <w:ind w:right="420" w:firstLine="420" w:firstLineChars="200"/>
        <w:rPr>
          <w:rFonts w:hint="eastAsia" w:ascii="宋体" w:hAnsi="宋体" w:cs="Courier New"/>
          <w:color w:val="auto"/>
          <w:szCs w:val="21"/>
          <w:highlight w:val="none"/>
        </w:rPr>
      </w:pPr>
      <w:r>
        <w:rPr>
          <w:rFonts w:hint="eastAsia" w:ascii="宋体" w:hAnsi="宋体"/>
          <w:color w:val="auto"/>
          <w:szCs w:val="21"/>
          <w:highlight w:val="none"/>
        </w:rPr>
        <w:t>2.合同合计金额</w:t>
      </w:r>
      <w:r>
        <w:rPr>
          <w:rFonts w:hint="eastAsia" w:ascii="宋体" w:hAnsi="宋体" w:cs="Courier New"/>
          <w:color w:val="auto"/>
          <w:szCs w:val="21"/>
          <w:highlight w:val="none"/>
        </w:rPr>
        <w:t>是履行合同的最终价格，应包括货款、标准附件、备品备件、专用工具、包装、运输、装卸、保险、税金、货到就位以及安装、调试、培训、保修等履行本项目所需的一切税金和费用。</w:t>
      </w:r>
    </w:p>
    <w:p>
      <w:pPr>
        <w:snapToGrid w:val="0"/>
        <w:spacing w:line="380" w:lineRule="exact"/>
        <w:ind w:right="420" w:firstLine="422" w:firstLineChars="200"/>
        <w:rPr>
          <w:rFonts w:hint="eastAsia" w:ascii="宋体" w:hAnsi="宋体"/>
          <w:color w:val="auto"/>
          <w:szCs w:val="21"/>
          <w:highlight w:val="none"/>
        </w:rPr>
      </w:pPr>
      <w:r>
        <w:rPr>
          <w:rFonts w:hint="eastAsia" w:ascii="宋体" w:hAnsi="宋体"/>
          <w:b/>
          <w:color w:val="auto"/>
          <w:szCs w:val="21"/>
          <w:highlight w:val="none"/>
        </w:rPr>
        <w:t>第二条　质量要求</w:t>
      </w:r>
    </w:p>
    <w:p>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1.乙方所提供的产品名称、商标品牌、生产厂家、规格型号、技术参数等质量必须与招标文件规定及投标文件承诺相一致。乙方提供的节能和环保产品必须是列入政府采购品目清单的产品。</w:t>
      </w:r>
    </w:p>
    <w:p>
      <w:pPr>
        <w:snapToGrid w:val="0"/>
        <w:spacing w:line="38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2.乙方所提供的货物必须是全新、未使用的原装产品，且在正常安装、使用和保养条件下，其使用寿命期内各项指标均达到招标文件规定或者投标文件承诺的质量要求。</w:t>
      </w:r>
    </w:p>
    <w:p>
      <w:pPr>
        <w:snapToGrid w:val="0"/>
        <w:spacing w:line="38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第三条　权利保证</w:t>
      </w:r>
    </w:p>
    <w:p>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1.乙方应保证所提供货物在使用时不会侵犯任何第三方的专利权、商标权、工业设计权或者其他权利。</w:t>
      </w:r>
    </w:p>
    <w:p>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2.乙方应按招标文件规定或者投标文件承诺的时间向甲方提供使用货物的有关技术资料。</w:t>
      </w:r>
    </w:p>
    <w:p>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4.乙方保证将要交付的货物的所有权完全属于乙方且无任何抵押、质押、查封等产权瑕疵。</w:t>
      </w:r>
    </w:p>
    <w:p>
      <w:pPr>
        <w:snapToGrid w:val="0"/>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第四条　包装和运输</w:t>
      </w:r>
    </w:p>
    <w:p>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1.乙方提供的货物均应按招标文件规定或者投标文件承诺的要求的包装材料、包装标准、包装方式进行包装，每一包装单元内应附详细的装箱单和质量合格证。</w:t>
      </w:r>
    </w:p>
    <w:p>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2.货物的运输方式：</w:t>
      </w:r>
      <w:r>
        <w:rPr>
          <w:rFonts w:hint="eastAsia" w:ascii="宋体" w:hAnsi="宋体"/>
          <w:color w:val="auto"/>
          <w:szCs w:val="21"/>
          <w:highlight w:val="none"/>
          <w:u w:val="single"/>
        </w:rPr>
        <w:t xml:space="preserve">             。</w:t>
      </w:r>
    </w:p>
    <w:p>
      <w:pPr>
        <w:snapToGrid w:val="0"/>
        <w:spacing w:line="38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3.乙方负责货物运输，货物运输合理损耗及计算方法：</w:t>
      </w:r>
      <w:r>
        <w:rPr>
          <w:rFonts w:hint="eastAsia" w:ascii="宋体" w:hAnsi="宋体"/>
          <w:color w:val="auto"/>
          <w:szCs w:val="21"/>
          <w:highlight w:val="none"/>
          <w:u w:val="single"/>
        </w:rPr>
        <w:t xml:space="preserve">                 。</w:t>
      </w:r>
    </w:p>
    <w:p>
      <w:pPr>
        <w:snapToGrid w:val="0"/>
        <w:spacing w:line="38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第五条　交付和验收</w:t>
      </w:r>
    </w:p>
    <w:p>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1.交付时间：</w:t>
      </w:r>
      <w:r>
        <w:rPr>
          <w:rFonts w:hint="eastAsia" w:ascii="宋体" w:hAnsi="宋体"/>
          <w:color w:val="auto"/>
          <w:szCs w:val="21"/>
          <w:highlight w:val="none"/>
          <w:u w:val="single"/>
        </w:rPr>
        <w:t xml:space="preserve">                 </w:t>
      </w:r>
      <w:r>
        <w:rPr>
          <w:rFonts w:hint="eastAsia" w:ascii="宋体" w:hAnsi="宋体"/>
          <w:color w:val="auto"/>
          <w:szCs w:val="21"/>
          <w:highlight w:val="none"/>
        </w:rPr>
        <w:t>；交付地点：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2.乙方提供不符合招标文件规定或者投标文件承诺的和本合同规定的货物，甲方有权拒绝接受。</w:t>
      </w:r>
    </w:p>
    <w:p>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4.甲方应当在到货（安装、调试完）后七个工作日内进行验收，逾期不验收的，乙方可视同验收合格。验收合格后由甲乙双方签署货物验收单并加盖采购人公章，甲乙双方各执一份。</w:t>
      </w:r>
    </w:p>
    <w:p>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6.甲方对验收有异议的，在验收后五个工作日内以书面形式向乙方提出，乙方应自收到甲方书面异议后</w:t>
      </w:r>
      <w:r>
        <w:rPr>
          <w:rFonts w:hint="eastAsia" w:ascii="宋体" w:hAnsi="宋体"/>
          <w:color w:val="auto"/>
          <w:szCs w:val="21"/>
          <w:highlight w:val="none"/>
          <w:u w:val="single"/>
        </w:rPr>
        <w:t xml:space="preserve">    </w:t>
      </w:r>
      <w:r>
        <w:rPr>
          <w:rFonts w:hint="eastAsia" w:ascii="宋体" w:hAnsi="宋体"/>
          <w:color w:val="auto"/>
          <w:szCs w:val="21"/>
          <w:highlight w:val="none"/>
        </w:rPr>
        <w:t>日内及时予以解决。</w:t>
      </w:r>
    </w:p>
    <w:p>
      <w:pPr>
        <w:snapToGrid w:val="0"/>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第六条　安装和培训</w:t>
      </w:r>
    </w:p>
    <w:p>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1.甲方应提供必要安装条件（如场地、电源、水源等）。</w:t>
      </w:r>
    </w:p>
    <w:p>
      <w:pPr>
        <w:snapToGrid w:val="0"/>
        <w:spacing w:line="38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2.乙方投标文件承诺负责甲方有关人员的培训。培训时间、地点：</w:t>
      </w:r>
      <w:r>
        <w:rPr>
          <w:rFonts w:hint="eastAsia" w:ascii="宋体" w:hAnsi="宋体"/>
          <w:color w:val="auto"/>
          <w:szCs w:val="21"/>
          <w:highlight w:val="none"/>
          <w:u w:val="single"/>
        </w:rPr>
        <w:t xml:space="preserve">   按甲方要求     。</w:t>
      </w:r>
    </w:p>
    <w:p>
      <w:pPr>
        <w:snapToGrid w:val="0"/>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第七条  售后服务、质保期</w:t>
      </w:r>
    </w:p>
    <w:p>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1.乙方应按照国家有关法律法规和“三包”规定以及本合同所附的《服务承诺》，为甲方提供售后服务。</w:t>
      </w:r>
    </w:p>
    <w:p>
      <w:pPr>
        <w:snapToGrid w:val="0"/>
        <w:spacing w:line="38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2.货物质保期：</w:t>
      </w:r>
      <w:r>
        <w:rPr>
          <w:rFonts w:hint="eastAsia" w:ascii="宋体" w:hAnsi="宋体"/>
          <w:color w:val="auto"/>
          <w:szCs w:val="21"/>
          <w:highlight w:val="none"/>
          <w:u w:val="single"/>
        </w:rPr>
        <w:t xml:space="preserve">    按乙方投标文件承诺执行   。</w:t>
      </w:r>
    </w:p>
    <w:p>
      <w:pPr>
        <w:snapToGrid w:val="0"/>
        <w:spacing w:line="38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3.乙方提供的服务承诺和售后服务及保修期责任等其它具体约定事项。（见合同附件）</w:t>
      </w:r>
    </w:p>
    <w:p>
      <w:pPr>
        <w:snapToGrid w:val="0"/>
        <w:spacing w:line="38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第八条　付款方式</w:t>
      </w:r>
    </w:p>
    <w:p>
      <w:pPr>
        <w:snapToGrid w:val="0"/>
        <w:spacing w:line="380" w:lineRule="exact"/>
        <w:ind w:left="-61" w:leftChars="-29" w:firstLine="514" w:firstLineChars="245"/>
        <w:rPr>
          <w:rFonts w:hint="eastAsia" w:ascii="宋体" w:hAnsi="宋体"/>
          <w:bCs/>
          <w:color w:val="auto"/>
          <w:kern w:val="0"/>
          <w:szCs w:val="21"/>
          <w:highlight w:val="none"/>
        </w:rPr>
      </w:pPr>
      <w:r>
        <w:rPr>
          <w:rFonts w:hint="eastAsia" w:ascii="宋体" w:hAnsi="宋体"/>
          <w:bCs/>
          <w:color w:val="auto"/>
          <w:kern w:val="0"/>
          <w:szCs w:val="21"/>
          <w:highlight w:val="none"/>
        </w:rPr>
        <w:t>1、签订合同生效以及具备实施条件后5日内，采购人内向中标人支付合同总额70%的款项作为预付款；</w:t>
      </w:r>
    </w:p>
    <w:p>
      <w:pPr>
        <w:snapToGrid w:val="0"/>
        <w:spacing w:line="380" w:lineRule="exact"/>
        <w:ind w:left="-61" w:leftChars="-29" w:firstLine="514" w:firstLineChars="245"/>
        <w:rPr>
          <w:rFonts w:hint="eastAsia" w:ascii="宋体" w:hAnsi="宋体" w:eastAsia="宋体"/>
          <w:bCs/>
          <w:color w:val="auto"/>
          <w:kern w:val="0"/>
          <w:szCs w:val="21"/>
          <w:highlight w:val="none"/>
          <w:lang w:eastAsia="zh-CN"/>
        </w:rPr>
      </w:pPr>
      <w:r>
        <w:rPr>
          <w:rFonts w:hint="eastAsia" w:ascii="宋体" w:hAnsi="宋体"/>
          <w:bCs/>
          <w:color w:val="auto"/>
          <w:kern w:val="0"/>
          <w:szCs w:val="21"/>
          <w:highlight w:val="none"/>
        </w:rPr>
        <w:t>2、中标人安装调试完毕并经采购人验收合格后，1个月内中标人向采购人开出合同总额的合法发票，采购人收到发票后15个工作日内向中标人支付合同总额30%剩余款项</w:t>
      </w:r>
      <w:r>
        <w:rPr>
          <w:rFonts w:hint="eastAsia" w:ascii="宋体" w:hAnsi="宋体"/>
          <w:bCs/>
          <w:color w:val="auto"/>
          <w:kern w:val="0"/>
          <w:szCs w:val="21"/>
          <w:highlight w:val="none"/>
          <w:lang w:eastAsia="zh-CN"/>
        </w:rPr>
        <w:t>。</w:t>
      </w:r>
    </w:p>
    <w:p>
      <w:pPr>
        <w:snapToGrid w:val="0"/>
        <w:spacing w:line="380" w:lineRule="exact"/>
        <w:ind w:left="-61" w:firstLine="514"/>
        <w:rPr>
          <w:rFonts w:hint="eastAsia" w:ascii="宋体" w:hAnsi="宋体"/>
          <w:b/>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eastAsia="zh-CN"/>
        </w:rPr>
        <w:t>九</w:t>
      </w:r>
      <w:r>
        <w:rPr>
          <w:rFonts w:hint="eastAsia" w:ascii="宋体" w:hAnsi="宋体"/>
          <w:b/>
          <w:color w:val="auto"/>
          <w:szCs w:val="21"/>
          <w:highlight w:val="none"/>
        </w:rPr>
        <w:t>条  税费</w:t>
      </w:r>
    </w:p>
    <w:p>
      <w:pPr>
        <w:snapToGrid w:val="0"/>
        <w:spacing w:line="380" w:lineRule="exact"/>
        <w:ind w:left="-61" w:firstLine="514"/>
        <w:rPr>
          <w:rFonts w:hint="eastAsia" w:ascii="宋体" w:hAnsi="宋体"/>
          <w:color w:val="auto"/>
          <w:szCs w:val="21"/>
          <w:highlight w:val="none"/>
        </w:rPr>
      </w:pPr>
      <w:r>
        <w:rPr>
          <w:rFonts w:hint="eastAsia" w:ascii="宋体" w:hAnsi="宋体"/>
          <w:color w:val="auto"/>
          <w:szCs w:val="21"/>
          <w:highlight w:val="none"/>
        </w:rPr>
        <w:t>本合同执行中相关的一切税费均由乙方负担，合同另有约定的除外。</w:t>
      </w:r>
    </w:p>
    <w:p>
      <w:pPr>
        <w:snapToGrid w:val="0"/>
        <w:spacing w:line="380" w:lineRule="exact"/>
        <w:ind w:left="-61" w:firstLine="514"/>
        <w:rPr>
          <w:rFonts w:hint="eastAsia" w:ascii="宋体" w:hAnsi="宋体"/>
          <w:color w:val="auto"/>
          <w:szCs w:val="21"/>
          <w:highlight w:val="none"/>
        </w:rPr>
      </w:pPr>
      <w:r>
        <w:rPr>
          <w:rFonts w:hint="eastAsia" w:ascii="宋体" w:hAnsi="宋体"/>
          <w:b/>
          <w:color w:val="auto"/>
          <w:szCs w:val="21"/>
          <w:highlight w:val="none"/>
        </w:rPr>
        <w:t>第十条  质量保证及售后服务</w:t>
      </w:r>
    </w:p>
    <w:p>
      <w:pPr>
        <w:pStyle w:val="23"/>
        <w:snapToGrid w:val="0"/>
        <w:spacing w:line="380" w:lineRule="exact"/>
        <w:ind w:firstLine="420" w:firstLineChars="200"/>
        <w:rPr>
          <w:rFonts w:hint="eastAsia" w:hAnsi="宋体"/>
          <w:color w:val="auto"/>
          <w:sz w:val="21"/>
          <w:highlight w:val="none"/>
        </w:rPr>
      </w:pPr>
      <w:r>
        <w:rPr>
          <w:rFonts w:hint="eastAsia" w:hAnsi="宋体"/>
          <w:bCs/>
          <w:color w:val="auto"/>
          <w:sz w:val="21"/>
          <w:highlight w:val="none"/>
        </w:rPr>
        <w:t>1.</w:t>
      </w:r>
      <w:r>
        <w:rPr>
          <w:rFonts w:hint="eastAsia" w:hAnsi="宋体"/>
          <w:color w:val="auto"/>
          <w:sz w:val="21"/>
          <w:highlight w:val="none"/>
        </w:rPr>
        <w:t>乙方应按招标文件规定的产品名称、商标品牌、生产厂家、规格型号、技术参数、质量标准向甲方提供未经使用的全新产品。不符合要求的，根据实际情况，经双方协商，可按以下办法处理：</w:t>
      </w:r>
    </w:p>
    <w:p>
      <w:pPr>
        <w:pStyle w:val="23"/>
        <w:snapToGrid w:val="0"/>
        <w:spacing w:line="380" w:lineRule="exact"/>
        <w:ind w:firstLine="420" w:firstLineChars="200"/>
        <w:rPr>
          <w:rFonts w:hint="eastAsia" w:hAnsi="宋体"/>
          <w:color w:val="auto"/>
          <w:sz w:val="21"/>
          <w:highlight w:val="none"/>
        </w:rPr>
      </w:pPr>
      <w:r>
        <w:rPr>
          <w:rFonts w:hint="eastAsia" w:hAnsi="宋体"/>
          <w:color w:val="auto"/>
          <w:sz w:val="21"/>
          <w:highlight w:val="none"/>
        </w:rPr>
        <w:t>⑴更换：由乙方承担所发生的全部费用。</w:t>
      </w:r>
    </w:p>
    <w:p>
      <w:pPr>
        <w:pStyle w:val="23"/>
        <w:snapToGrid w:val="0"/>
        <w:spacing w:line="380" w:lineRule="exact"/>
        <w:ind w:firstLine="420"/>
        <w:rPr>
          <w:rFonts w:hint="eastAsia" w:hAnsi="宋体"/>
          <w:color w:val="auto"/>
          <w:sz w:val="21"/>
          <w:highlight w:val="none"/>
        </w:rPr>
      </w:pPr>
      <w:r>
        <w:rPr>
          <w:rFonts w:hint="eastAsia" w:hAnsi="宋体"/>
          <w:color w:val="auto"/>
          <w:sz w:val="21"/>
          <w:highlight w:val="none"/>
        </w:rPr>
        <w:t>⑵贬值处理：由甲乙双方合议定价。</w:t>
      </w:r>
    </w:p>
    <w:p>
      <w:pPr>
        <w:pStyle w:val="23"/>
        <w:snapToGrid w:val="0"/>
        <w:spacing w:line="380" w:lineRule="exact"/>
        <w:ind w:left="420" w:leftChars="200"/>
        <w:rPr>
          <w:rFonts w:hint="eastAsia" w:hAnsi="宋体"/>
          <w:color w:val="auto"/>
          <w:sz w:val="21"/>
          <w:highlight w:val="none"/>
        </w:rPr>
      </w:pPr>
      <w:r>
        <w:rPr>
          <w:rFonts w:hint="eastAsia" w:hAnsi="宋体"/>
          <w:color w:val="auto"/>
          <w:sz w:val="21"/>
          <w:highlight w:val="none"/>
        </w:rPr>
        <w:t>⑶退货处理：乙方应退还甲方支付的合同款，同时应承担该货物的直接费用（运输、保险、检验、</w:t>
      </w:r>
    </w:p>
    <w:p>
      <w:pPr>
        <w:pStyle w:val="23"/>
        <w:snapToGrid w:val="0"/>
        <w:spacing w:line="380" w:lineRule="exact"/>
        <w:rPr>
          <w:rFonts w:hint="eastAsia" w:hAnsi="宋体"/>
          <w:color w:val="auto"/>
          <w:sz w:val="21"/>
          <w:highlight w:val="none"/>
        </w:rPr>
      </w:pPr>
      <w:r>
        <w:rPr>
          <w:rFonts w:hint="eastAsia" w:hAnsi="宋体"/>
          <w:color w:val="auto"/>
          <w:sz w:val="21"/>
          <w:highlight w:val="none"/>
        </w:rPr>
        <w:t>货款利息及银行手续费等）。</w:t>
      </w:r>
    </w:p>
    <w:p>
      <w:pPr>
        <w:pStyle w:val="23"/>
        <w:snapToGrid w:val="0"/>
        <w:spacing w:line="380" w:lineRule="exact"/>
        <w:ind w:firstLine="420" w:firstLineChars="200"/>
        <w:rPr>
          <w:rFonts w:hint="eastAsia" w:hAnsi="宋体"/>
          <w:color w:val="auto"/>
          <w:sz w:val="21"/>
          <w:highlight w:val="none"/>
        </w:rPr>
      </w:pPr>
      <w:r>
        <w:rPr>
          <w:rFonts w:hint="eastAsia" w:hAnsi="宋体"/>
          <w:color w:val="auto"/>
          <w:sz w:val="21"/>
          <w:highlight w:val="none"/>
        </w:rPr>
        <w:t>2.如在使用过程中发生质量问题，乙方在接到甲方通知后到达甲方现场处理的时间（</w:t>
      </w:r>
      <w:r>
        <w:rPr>
          <w:rFonts w:hint="eastAsia" w:hAnsi="宋体"/>
          <w:color w:val="auto"/>
          <w:sz w:val="21"/>
          <w:highlight w:val="none"/>
          <w:u w:val="single"/>
        </w:rPr>
        <w:t>按投标文件承诺的数据填写</w:t>
      </w:r>
      <w:r>
        <w:rPr>
          <w:rFonts w:hint="eastAsia" w:hAnsi="宋体"/>
          <w:color w:val="auto"/>
          <w:sz w:val="21"/>
          <w:highlight w:val="none"/>
        </w:rPr>
        <w:t>）小时内。</w:t>
      </w:r>
    </w:p>
    <w:p>
      <w:pPr>
        <w:pStyle w:val="23"/>
        <w:snapToGrid w:val="0"/>
        <w:spacing w:line="380" w:lineRule="exact"/>
        <w:ind w:firstLine="420" w:firstLineChars="200"/>
        <w:rPr>
          <w:rFonts w:hint="eastAsia" w:hAnsi="宋体"/>
          <w:color w:val="auto"/>
          <w:sz w:val="21"/>
          <w:highlight w:val="none"/>
        </w:rPr>
      </w:pPr>
      <w:r>
        <w:rPr>
          <w:rFonts w:hint="eastAsia" w:hAnsi="宋体"/>
          <w:color w:val="auto"/>
          <w:sz w:val="21"/>
          <w:highlight w:val="none"/>
        </w:rPr>
        <w:t>3.在质保期内，乙方应对货物出现的质量及安全问题负责处理解决并承担一切费用。</w:t>
      </w:r>
    </w:p>
    <w:p>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4.上述的货物质保期为</w:t>
      </w:r>
      <w:r>
        <w:rPr>
          <w:rFonts w:hint="eastAsia" w:ascii="宋体" w:hAnsi="宋体"/>
          <w:color w:val="auto"/>
          <w:szCs w:val="21"/>
          <w:highlight w:val="none"/>
          <w:u w:val="single"/>
        </w:rPr>
        <w:t xml:space="preserve">  1 </w:t>
      </w:r>
      <w:r>
        <w:rPr>
          <w:rFonts w:hint="eastAsia" w:ascii="宋体" w:hAnsi="宋体"/>
          <w:color w:val="auto"/>
          <w:szCs w:val="21"/>
          <w:highlight w:val="none"/>
        </w:rPr>
        <w:t>年，因人为因素出现的故障不在免费保修范围内。超过保修期的机器设备，终生维修，维修时只收部件成本费。</w:t>
      </w:r>
    </w:p>
    <w:p>
      <w:pPr>
        <w:snapToGrid w:val="0"/>
        <w:spacing w:line="380" w:lineRule="exact"/>
        <w:ind w:left="-61" w:firstLine="514"/>
        <w:rPr>
          <w:rFonts w:hint="eastAsia" w:ascii="宋体" w:hAnsi="宋体"/>
          <w:color w:val="auto"/>
          <w:szCs w:val="21"/>
          <w:highlight w:val="none"/>
        </w:rPr>
      </w:pPr>
      <w:r>
        <w:rPr>
          <w:rFonts w:hint="eastAsia" w:ascii="宋体" w:hAnsi="宋体"/>
          <w:b/>
          <w:color w:val="auto"/>
          <w:szCs w:val="21"/>
          <w:highlight w:val="none"/>
        </w:rPr>
        <w:t>第十</w:t>
      </w:r>
      <w:r>
        <w:rPr>
          <w:rFonts w:hint="eastAsia" w:ascii="宋体" w:hAnsi="宋体"/>
          <w:b/>
          <w:color w:val="auto"/>
          <w:szCs w:val="21"/>
          <w:highlight w:val="none"/>
          <w:lang w:eastAsia="zh-CN"/>
        </w:rPr>
        <w:t>一</w:t>
      </w:r>
      <w:r>
        <w:rPr>
          <w:rFonts w:hint="eastAsia" w:ascii="宋体" w:hAnsi="宋体"/>
          <w:b/>
          <w:color w:val="auto"/>
          <w:szCs w:val="21"/>
          <w:highlight w:val="none"/>
        </w:rPr>
        <w:t>条  调试和验收</w:t>
      </w:r>
    </w:p>
    <w:p>
      <w:pPr>
        <w:pStyle w:val="23"/>
        <w:snapToGrid w:val="0"/>
        <w:spacing w:line="380" w:lineRule="exact"/>
        <w:ind w:firstLine="420" w:firstLineChars="200"/>
        <w:jc w:val="left"/>
        <w:rPr>
          <w:rFonts w:hint="eastAsia" w:hAnsi="宋体"/>
          <w:color w:val="auto"/>
          <w:sz w:val="21"/>
          <w:highlight w:val="none"/>
        </w:rPr>
      </w:pPr>
      <w:r>
        <w:rPr>
          <w:rFonts w:hint="eastAsia" w:hAnsi="宋体"/>
          <w:color w:val="auto"/>
          <w:sz w:val="21"/>
          <w:highlight w:val="none"/>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pStyle w:val="23"/>
        <w:snapToGrid w:val="0"/>
        <w:spacing w:line="380" w:lineRule="exact"/>
        <w:ind w:firstLine="420" w:firstLineChars="200"/>
        <w:rPr>
          <w:rFonts w:hint="eastAsia" w:hAnsi="宋体"/>
          <w:color w:val="auto"/>
          <w:sz w:val="21"/>
          <w:highlight w:val="none"/>
        </w:rPr>
      </w:pPr>
      <w:r>
        <w:rPr>
          <w:rFonts w:hint="eastAsia" w:hAnsi="宋体"/>
          <w:color w:val="auto"/>
          <w:sz w:val="21"/>
          <w:highlight w:val="none"/>
        </w:rPr>
        <w:t>2.乙方交货前应对产品作出全面检查和对验收文件进行整理，并列出清单，作为甲方收货验收和使用的技术条件依据，检验的结果应随货物交甲方。</w:t>
      </w:r>
    </w:p>
    <w:p>
      <w:pPr>
        <w:pStyle w:val="23"/>
        <w:snapToGrid w:val="0"/>
        <w:spacing w:line="380" w:lineRule="exact"/>
        <w:ind w:firstLine="420" w:firstLineChars="200"/>
        <w:rPr>
          <w:rFonts w:hint="eastAsia" w:hAnsi="宋体"/>
          <w:color w:val="auto"/>
          <w:sz w:val="21"/>
          <w:highlight w:val="none"/>
        </w:rPr>
      </w:pPr>
      <w:r>
        <w:rPr>
          <w:rFonts w:hint="eastAsia" w:hAnsi="宋体"/>
          <w:color w:val="auto"/>
          <w:sz w:val="21"/>
          <w:highlight w:val="none"/>
        </w:rPr>
        <w:t>3.甲方对乙方提供的货物在使用前进行调试时，乙方需负责安装并培训甲方的使用操作人员，并协助甲方一起调试，直到符合技术要求，甲方才做最终验收。</w:t>
      </w:r>
    </w:p>
    <w:p>
      <w:pPr>
        <w:pStyle w:val="23"/>
        <w:snapToGrid w:val="0"/>
        <w:spacing w:line="380" w:lineRule="exact"/>
        <w:ind w:firstLine="420" w:firstLineChars="200"/>
        <w:rPr>
          <w:rFonts w:hint="eastAsia" w:hAnsi="宋体"/>
          <w:color w:val="auto"/>
          <w:sz w:val="21"/>
          <w:highlight w:val="none"/>
        </w:rPr>
      </w:pPr>
      <w:r>
        <w:rPr>
          <w:rFonts w:hint="eastAsia" w:hAnsi="宋体"/>
          <w:color w:val="auto"/>
          <w:sz w:val="21"/>
          <w:highlight w:val="none"/>
        </w:rPr>
        <w:t>4.对技术复杂的货物，甲方应请国家认可的专业检测机构参与初步验收及最终验收，并由其出具质量检测报告。</w:t>
      </w:r>
    </w:p>
    <w:p>
      <w:pPr>
        <w:snapToGrid w:val="0"/>
        <w:spacing w:line="380" w:lineRule="exact"/>
        <w:ind w:left="-61" w:firstLine="514"/>
        <w:rPr>
          <w:rFonts w:hint="eastAsia" w:ascii="宋体" w:hAnsi="宋体"/>
          <w:color w:val="auto"/>
          <w:szCs w:val="21"/>
          <w:highlight w:val="none"/>
        </w:rPr>
      </w:pPr>
      <w:r>
        <w:rPr>
          <w:rFonts w:hint="eastAsia" w:ascii="宋体" w:hAnsi="宋体"/>
          <w:color w:val="auto"/>
          <w:szCs w:val="21"/>
          <w:highlight w:val="none"/>
        </w:rPr>
        <w:t>5. 验收时乙方必须在现场，验收完毕后作出验收结果报告；验收费用按招标文件约定承担方负责。</w:t>
      </w:r>
    </w:p>
    <w:p>
      <w:pPr>
        <w:pStyle w:val="23"/>
        <w:snapToGrid w:val="0"/>
        <w:spacing w:line="380" w:lineRule="exact"/>
        <w:ind w:firstLine="413" w:firstLineChars="196"/>
        <w:rPr>
          <w:rFonts w:hint="eastAsia" w:hAnsi="宋体"/>
          <w:b/>
          <w:color w:val="auto"/>
          <w:sz w:val="21"/>
          <w:highlight w:val="none"/>
        </w:rPr>
      </w:pPr>
      <w:r>
        <w:rPr>
          <w:rFonts w:hint="eastAsia" w:hAnsi="宋体"/>
          <w:b/>
          <w:color w:val="auto"/>
          <w:sz w:val="21"/>
          <w:highlight w:val="none"/>
        </w:rPr>
        <w:t>第十</w:t>
      </w:r>
      <w:r>
        <w:rPr>
          <w:rFonts w:hint="eastAsia" w:hAnsi="宋体"/>
          <w:b/>
          <w:color w:val="auto"/>
          <w:sz w:val="21"/>
          <w:highlight w:val="none"/>
          <w:lang w:eastAsia="zh-CN"/>
        </w:rPr>
        <w:t>二</w:t>
      </w:r>
      <w:r>
        <w:rPr>
          <w:rFonts w:hint="eastAsia" w:hAnsi="宋体"/>
          <w:b/>
          <w:color w:val="auto"/>
          <w:sz w:val="21"/>
          <w:highlight w:val="none"/>
        </w:rPr>
        <w:t>条  货物包装、发运及运输</w:t>
      </w:r>
    </w:p>
    <w:p>
      <w:pPr>
        <w:pStyle w:val="23"/>
        <w:snapToGrid w:val="0"/>
        <w:spacing w:line="380" w:lineRule="exact"/>
        <w:ind w:firstLine="420" w:firstLineChars="200"/>
        <w:rPr>
          <w:rFonts w:hint="eastAsia" w:hAnsi="宋体"/>
          <w:color w:val="auto"/>
          <w:sz w:val="21"/>
          <w:highlight w:val="none"/>
        </w:rPr>
      </w:pPr>
      <w:r>
        <w:rPr>
          <w:rFonts w:hint="eastAsia" w:hAnsi="宋体"/>
          <w:color w:val="auto"/>
          <w:sz w:val="21"/>
          <w:highlight w:val="none"/>
        </w:rPr>
        <w:t>1.乙方应在货物发运前对其进行满足运输距离、防潮、防震、防锈和防破损装卸等要求包装，以保证货物安全运达甲方指定地点。</w:t>
      </w:r>
    </w:p>
    <w:p>
      <w:pPr>
        <w:pStyle w:val="23"/>
        <w:snapToGrid w:val="0"/>
        <w:spacing w:line="380" w:lineRule="exact"/>
        <w:ind w:firstLine="420" w:firstLineChars="200"/>
        <w:rPr>
          <w:rFonts w:hint="eastAsia" w:hAnsi="宋体"/>
          <w:color w:val="auto"/>
          <w:sz w:val="21"/>
          <w:highlight w:val="none"/>
        </w:rPr>
      </w:pPr>
      <w:r>
        <w:rPr>
          <w:rFonts w:hint="eastAsia" w:hAnsi="宋体"/>
          <w:color w:val="auto"/>
          <w:sz w:val="21"/>
          <w:highlight w:val="none"/>
        </w:rPr>
        <w:t>2. 使用说明书（货物属于进口产品的，供货时应同时附上中文使用说明书）、质量检验证明书、随配附件和工具以及清单一并附于货物内。</w:t>
      </w:r>
    </w:p>
    <w:p>
      <w:pPr>
        <w:pStyle w:val="23"/>
        <w:snapToGrid w:val="0"/>
        <w:spacing w:line="380" w:lineRule="exact"/>
        <w:ind w:firstLine="420" w:firstLineChars="200"/>
        <w:rPr>
          <w:rFonts w:hint="eastAsia" w:hAnsi="宋体"/>
          <w:color w:val="auto"/>
          <w:sz w:val="21"/>
          <w:highlight w:val="none"/>
        </w:rPr>
      </w:pPr>
      <w:r>
        <w:rPr>
          <w:rFonts w:hint="eastAsia" w:hAnsi="宋体"/>
          <w:color w:val="auto"/>
          <w:sz w:val="21"/>
          <w:highlight w:val="none"/>
        </w:rPr>
        <w:t>3.乙方在货物发运手续办理完毕后二十四小时内或者货到甲方四十八小时前通知甲方，以准备接货。</w:t>
      </w:r>
    </w:p>
    <w:p>
      <w:pPr>
        <w:pStyle w:val="23"/>
        <w:snapToGrid w:val="0"/>
        <w:spacing w:line="380" w:lineRule="exact"/>
        <w:ind w:firstLine="420" w:firstLineChars="200"/>
        <w:rPr>
          <w:rFonts w:hint="eastAsia" w:hAnsi="宋体"/>
          <w:color w:val="auto"/>
          <w:sz w:val="21"/>
          <w:highlight w:val="none"/>
        </w:rPr>
      </w:pPr>
      <w:r>
        <w:rPr>
          <w:rFonts w:hint="eastAsia" w:hAnsi="宋体"/>
          <w:color w:val="auto"/>
          <w:sz w:val="21"/>
          <w:highlight w:val="none"/>
        </w:rPr>
        <w:t>4.货物在交付甲方前发生的风险均由乙方负责。</w:t>
      </w:r>
    </w:p>
    <w:p>
      <w:pPr>
        <w:pStyle w:val="23"/>
        <w:snapToGrid w:val="0"/>
        <w:spacing w:line="380" w:lineRule="exact"/>
        <w:ind w:firstLine="420" w:firstLineChars="200"/>
        <w:rPr>
          <w:rFonts w:hint="eastAsia" w:hAnsi="宋体"/>
          <w:color w:val="auto"/>
          <w:sz w:val="21"/>
          <w:highlight w:val="none"/>
        </w:rPr>
      </w:pPr>
      <w:r>
        <w:rPr>
          <w:rFonts w:hint="eastAsia" w:hAnsi="宋体"/>
          <w:color w:val="auto"/>
          <w:sz w:val="21"/>
          <w:highlight w:val="none"/>
        </w:rPr>
        <w:t>5.货物在规</w:t>
      </w:r>
      <w:r>
        <w:rPr>
          <w:rFonts w:hint="eastAsia" w:hAnsi="宋体"/>
          <w:color w:val="auto"/>
          <w:spacing w:val="-8"/>
          <w:sz w:val="21"/>
          <w:highlight w:val="none"/>
        </w:rPr>
        <w:t>定的交付期限内由乙方送达甲方指定的地点视为交付，乙方同时需通知甲方货物已送达。</w:t>
      </w:r>
    </w:p>
    <w:p>
      <w:pPr>
        <w:snapToGrid w:val="0"/>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第十</w:t>
      </w:r>
      <w:r>
        <w:rPr>
          <w:rFonts w:hint="eastAsia" w:ascii="宋体" w:hAnsi="宋体"/>
          <w:b/>
          <w:color w:val="auto"/>
          <w:szCs w:val="21"/>
          <w:highlight w:val="none"/>
          <w:lang w:eastAsia="zh-CN"/>
        </w:rPr>
        <w:t>三</w:t>
      </w:r>
      <w:r>
        <w:rPr>
          <w:rFonts w:hint="eastAsia" w:ascii="宋体" w:hAnsi="宋体"/>
          <w:b/>
          <w:color w:val="auto"/>
          <w:szCs w:val="21"/>
          <w:highlight w:val="none"/>
        </w:rPr>
        <w:t>条　违约责任</w:t>
      </w:r>
    </w:p>
    <w:p>
      <w:pPr>
        <w:pStyle w:val="23"/>
        <w:snapToGrid w:val="0"/>
        <w:spacing w:line="380" w:lineRule="exact"/>
        <w:ind w:firstLine="420" w:firstLineChars="200"/>
        <w:rPr>
          <w:rFonts w:hint="eastAsia" w:hAnsi="宋体"/>
          <w:color w:val="auto"/>
          <w:sz w:val="21"/>
          <w:highlight w:val="none"/>
        </w:rPr>
      </w:pPr>
      <w:r>
        <w:rPr>
          <w:rFonts w:hint="eastAsia" w:hAnsi="宋体"/>
          <w:color w:val="auto"/>
          <w:sz w:val="21"/>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w:t>
      </w:r>
      <w:r>
        <w:rPr>
          <w:rFonts w:hint="eastAsia" w:hAnsi="宋体"/>
          <w:color w:val="auto"/>
          <w:sz w:val="21"/>
          <w:highlight w:val="none"/>
          <w:lang w:val="en-US" w:eastAsia="zh-CN"/>
        </w:rPr>
        <w:t>1</w:t>
      </w:r>
      <w:r>
        <w:rPr>
          <w:rFonts w:hint="eastAsia" w:hAnsi="宋体"/>
          <w:color w:val="auto"/>
          <w:sz w:val="21"/>
          <w:highlight w:val="none"/>
        </w:rPr>
        <w:t xml:space="preserve">%违约金并赔偿甲方经济损失。                                       </w:t>
      </w:r>
    </w:p>
    <w:p>
      <w:pPr>
        <w:pStyle w:val="23"/>
        <w:snapToGrid w:val="0"/>
        <w:spacing w:line="380" w:lineRule="exact"/>
        <w:ind w:firstLine="420" w:firstLineChars="200"/>
        <w:rPr>
          <w:rFonts w:hint="eastAsia" w:hAnsi="宋体"/>
          <w:color w:val="auto"/>
          <w:sz w:val="21"/>
          <w:highlight w:val="none"/>
        </w:rPr>
      </w:pPr>
      <w:r>
        <w:rPr>
          <w:rFonts w:hint="eastAsia" w:hAnsi="宋体"/>
          <w:color w:val="auto"/>
          <w:sz w:val="21"/>
          <w:highlight w:val="none"/>
        </w:rPr>
        <w:t>2.乙方提供的货物如侵犯了第三方合法权益而引发的任何纠纷或者诉讼，均由乙方负责交涉并承担全部责任。</w:t>
      </w:r>
    </w:p>
    <w:p>
      <w:pPr>
        <w:pStyle w:val="23"/>
        <w:snapToGrid w:val="0"/>
        <w:spacing w:line="380" w:lineRule="exact"/>
        <w:ind w:firstLine="420" w:firstLineChars="200"/>
        <w:rPr>
          <w:rFonts w:hint="eastAsia" w:hAnsi="宋体"/>
          <w:color w:val="auto"/>
          <w:sz w:val="21"/>
          <w:highlight w:val="none"/>
        </w:rPr>
      </w:pPr>
      <w:r>
        <w:rPr>
          <w:rFonts w:hint="eastAsia" w:hAnsi="宋体"/>
          <w:color w:val="auto"/>
          <w:sz w:val="21"/>
          <w:highlight w:val="none"/>
        </w:rPr>
        <w:t>3.因包装、运输引起的货物损坏，按质量不合格处罚。</w:t>
      </w:r>
    </w:p>
    <w:p>
      <w:pPr>
        <w:pStyle w:val="23"/>
        <w:snapToGrid w:val="0"/>
        <w:spacing w:line="380" w:lineRule="exact"/>
        <w:ind w:firstLine="420" w:firstLineChars="200"/>
        <w:rPr>
          <w:rFonts w:hint="eastAsia" w:hAnsi="宋体"/>
          <w:color w:val="auto"/>
          <w:sz w:val="21"/>
          <w:highlight w:val="none"/>
        </w:rPr>
      </w:pPr>
      <w:r>
        <w:rPr>
          <w:rFonts w:hint="eastAsia" w:hAnsi="宋体"/>
          <w:color w:val="auto"/>
          <w:sz w:val="21"/>
          <w:highlight w:val="none"/>
        </w:rPr>
        <w:t>4.甲方无故延期接收货物、乙方逾期交货的，每天向对方偿付违约货款额</w:t>
      </w:r>
      <w:r>
        <w:rPr>
          <w:rFonts w:hint="eastAsia" w:hAnsi="宋体"/>
          <w:color w:val="auto"/>
          <w:sz w:val="21"/>
          <w:highlight w:val="none"/>
          <w:lang w:val="en-US" w:eastAsia="zh-CN"/>
        </w:rPr>
        <w:t>0.5</w:t>
      </w:r>
      <w:r>
        <w:rPr>
          <w:rFonts w:hint="eastAsia" w:hAnsi="宋体"/>
          <w:color w:val="auto"/>
          <w:sz w:val="21"/>
          <w:highlight w:val="none"/>
        </w:rPr>
        <w:t>‰违约金，但违约金累计不得超过违约货款额</w:t>
      </w:r>
      <w:r>
        <w:rPr>
          <w:rFonts w:hint="eastAsia" w:hAnsi="宋体"/>
          <w:color w:val="auto"/>
          <w:sz w:val="21"/>
          <w:highlight w:val="none"/>
          <w:lang w:val="en-US" w:eastAsia="zh-CN"/>
        </w:rPr>
        <w:t>1</w:t>
      </w:r>
      <w:r>
        <w:rPr>
          <w:rFonts w:hint="eastAsia" w:hAnsi="宋体"/>
          <w:color w:val="auto"/>
          <w:sz w:val="21"/>
          <w:highlight w:val="none"/>
        </w:rPr>
        <w:t>%，超过</w:t>
      </w:r>
      <w:r>
        <w:rPr>
          <w:rFonts w:hint="eastAsia" w:hAnsi="宋体"/>
          <w:color w:val="auto"/>
          <w:sz w:val="21"/>
          <w:highlight w:val="none"/>
          <w:u w:val="single"/>
        </w:rPr>
        <w:t xml:space="preserve"> </w:t>
      </w:r>
      <w:r>
        <w:rPr>
          <w:rFonts w:hint="eastAsia" w:hAnsi="宋体"/>
          <w:color w:val="auto"/>
          <w:sz w:val="21"/>
          <w:highlight w:val="none"/>
          <w:u w:val="single"/>
          <w:lang w:val="en-US" w:eastAsia="zh-CN"/>
        </w:rPr>
        <w:t>60</w:t>
      </w:r>
      <w:r>
        <w:rPr>
          <w:rFonts w:hint="eastAsia" w:hAnsi="宋体"/>
          <w:color w:val="auto"/>
          <w:sz w:val="21"/>
          <w:highlight w:val="none"/>
          <w:u w:val="single"/>
        </w:rPr>
        <w:t xml:space="preserve"> </w:t>
      </w:r>
      <w:r>
        <w:rPr>
          <w:rFonts w:hint="eastAsia" w:hAnsi="宋体"/>
          <w:color w:val="auto"/>
          <w:sz w:val="21"/>
          <w:highlight w:val="none"/>
        </w:rPr>
        <w:t>天对方有权解除合同，违约方承担因此给对方造成经济损失；甲方延期付货款的，每天向乙方偿付延期货款额</w:t>
      </w:r>
      <w:r>
        <w:rPr>
          <w:rFonts w:hint="eastAsia" w:hAnsi="宋体"/>
          <w:color w:val="auto"/>
          <w:sz w:val="21"/>
          <w:highlight w:val="none"/>
          <w:lang w:val="en-US" w:eastAsia="zh-CN"/>
        </w:rPr>
        <w:t>0.5</w:t>
      </w:r>
      <w:r>
        <w:rPr>
          <w:rFonts w:hint="eastAsia" w:hAnsi="宋体"/>
          <w:color w:val="auto"/>
          <w:sz w:val="21"/>
          <w:highlight w:val="none"/>
        </w:rPr>
        <w:t>‰滞纳金，但滞纳金累计不得超过延期货款额</w:t>
      </w:r>
      <w:r>
        <w:rPr>
          <w:rFonts w:hint="eastAsia" w:hAnsi="宋体"/>
          <w:color w:val="auto"/>
          <w:sz w:val="21"/>
          <w:highlight w:val="none"/>
          <w:lang w:val="en-US" w:eastAsia="zh-CN"/>
        </w:rPr>
        <w:t>1</w:t>
      </w:r>
      <w:r>
        <w:rPr>
          <w:rFonts w:hint="eastAsia" w:hAnsi="宋体"/>
          <w:color w:val="auto"/>
          <w:sz w:val="21"/>
          <w:highlight w:val="none"/>
        </w:rPr>
        <w:t>%。甲方无故延期退付履约保证金的，每天向对方偿付未退付履约保证金</w:t>
      </w:r>
      <w:r>
        <w:rPr>
          <w:rFonts w:hint="eastAsia" w:hAnsi="宋体"/>
          <w:color w:val="auto"/>
          <w:sz w:val="21"/>
          <w:highlight w:val="none"/>
          <w:lang w:val="en-US" w:eastAsia="zh-CN"/>
        </w:rPr>
        <w:t>0.5</w:t>
      </w:r>
      <w:r>
        <w:rPr>
          <w:rFonts w:hint="eastAsia" w:hAnsi="宋体"/>
          <w:color w:val="auto"/>
          <w:sz w:val="21"/>
          <w:highlight w:val="none"/>
        </w:rPr>
        <w:t>‰的违约金。</w:t>
      </w:r>
    </w:p>
    <w:p>
      <w:pPr>
        <w:pStyle w:val="23"/>
        <w:snapToGrid w:val="0"/>
        <w:spacing w:line="380" w:lineRule="exact"/>
        <w:ind w:firstLine="420" w:firstLineChars="200"/>
        <w:rPr>
          <w:rFonts w:hint="eastAsia" w:hAnsi="宋体"/>
          <w:color w:val="auto"/>
          <w:sz w:val="21"/>
          <w:highlight w:val="none"/>
        </w:rPr>
      </w:pPr>
      <w:r>
        <w:rPr>
          <w:rFonts w:hint="eastAsia" w:hAnsi="宋体"/>
          <w:color w:val="auto"/>
          <w:sz w:val="21"/>
          <w:highlight w:val="none"/>
        </w:rPr>
        <w:t xml:space="preserve">5. 乙方未按本合同和投标文件中规定的服务承诺提供售后服务的，乙方应按本合同合计金额 </w:t>
      </w:r>
      <w:r>
        <w:rPr>
          <w:rFonts w:hint="eastAsia" w:hAnsi="宋体"/>
          <w:color w:val="auto"/>
          <w:sz w:val="21"/>
          <w:highlight w:val="none"/>
          <w:lang w:val="en-US" w:eastAsia="zh-CN"/>
        </w:rPr>
        <w:t>1</w:t>
      </w:r>
      <w:r>
        <w:rPr>
          <w:rFonts w:hint="eastAsia" w:hAnsi="宋体"/>
          <w:color w:val="auto"/>
          <w:sz w:val="21"/>
          <w:highlight w:val="none"/>
        </w:rPr>
        <w:t>%向甲方支付违约金。</w:t>
      </w:r>
    </w:p>
    <w:p>
      <w:pPr>
        <w:pStyle w:val="23"/>
        <w:snapToGrid w:val="0"/>
        <w:spacing w:line="380" w:lineRule="exact"/>
        <w:ind w:firstLine="420" w:firstLineChars="200"/>
        <w:rPr>
          <w:rFonts w:hint="eastAsia" w:hAnsi="宋体"/>
          <w:color w:val="auto"/>
          <w:sz w:val="21"/>
          <w:highlight w:val="none"/>
        </w:rPr>
      </w:pPr>
      <w:r>
        <w:rPr>
          <w:rFonts w:hint="eastAsia" w:hAnsi="宋体"/>
          <w:color w:val="auto"/>
          <w:sz w:val="21"/>
          <w:highlight w:val="none"/>
        </w:rPr>
        <w:t>6. 乙方提供的货物在质量保证期内，因设计、工艺或者材料的缺陷和其它质量原因造成的问题，由乙方负责，费用从余款或者履约保证金中扣除，不足另补。</w:t>
      </w:r>
    </w:p>
    <w:p>
      <w:pPr>
        <w:pStyle w:val="23"/>
        <w:snapToGrid w:val="0"/>
        <w:spacing w:line="380" w:lineRule="exact"/>
        <w:ind w:firstLine="420" w:firstLineChars="200"/>
        <w:rPr>
          <w:rFonts w:hint="eastAsia" w:hAnsi="宋体"/>
          <w:color w:val="auto"/>
          <w:sz w:val="21"/>
          <w:highlight w:val="none"/>
        </w:rPr>
      </w:pPr>
      <w:r>
        <w:rPr>
          <w:rFonts w:hint="eastAsia" w:hAnsi="宋体"/>
          <w:color w:val="auto"/>
          <w:sz w:val="21"/>
          <w:highlight w:val="none"/>
        </w:rPr>
        <w:t>7. 甲乙双方有其它违约行为的，由违约方向对方支付违约内容涉及货款额的</w:t>
      </w:r>
      <w:r>
        <w:rPr>
          <w:rFonts w:hint="eastAsia" w:hAnsi="宋体"/>
          <w:color w:val="auto"/>
          <w:sz w:val="21"/>
          <w:highlight w:val="none"/>
          <w:lang w:val="en-US" w:eastAsia="zh-CN"/>
        </w:rPr>
        <w:t>1</w:t>
      </w:r>
      <w:r>
        <w:rPr>
          <w:rFonts w:hint="eastAsia" w:hAnsi="宋体"/>
          <w:color w:val="auto"/>
          <w:sz w:val="21"/>
          <w:highlight w:val="none"/>
        </w:rPr>
        <w:t>%，违约内容涉及货款额的</w:t>
      </w:r>
      <w:r>
        <w:rPr>
          <w:rFonts w:hint="eastAsia" w:hAnsi="宋体"/>
          <w:color w:val="auto"/>
          <w:sz w:val="21"/>
          <w:highlight w:val="none"/>
          <w:lang w:val="en-US" w:eastAsia="zh-CN"/>
        </w:rPr>
        <w:t>1</w:t>
      </w:r>
      <w:r>
        <w:rPr>
          <w:rFonts w:hint="eastAsia" w:hAnsi="宋体"/>
          <w:color w:val="auto"/>
          <w:sz w:val="21"/>
          <w:highlight w:val="none"/>
        </w:rPr>
        <w:t>%不足以赔偿经济损失的按实际赔偿。</w:t>
      </w:r>
    </w:p>
    <w:p>
      <w:pPr>
        <w:pStyle w:val="23"/>
        <w:snapToGrid w:val="0"/>
        <w:spacing w:line="380" w:lineRule="exact"/>
        <w:ind w:firstLine="413" w:firstLineChars="196"/>
        <w:rPr>
          <w:rFonts w:hint="eastAsia" w:hAnsi="宋体"/>
          <w:b/>
          <w:color w:val="auto"/>
          <w:sz w:val="21"/>
          <w:highlight w:val="none"/>
        </w:rPr>
      </w:pPr>
      <w:r>
        <w:rPr>
          <w:rFonts w:hint="eastAsia" w:hAnsi="宋体"/>
          <w:b/>
          <w:color w:val="auto"/>
          <w:sz w:val="21"/>
          <w:highlight w:val="none"/>
        </w:rPr>
        <w:t>第十</w:t>
      </w:r>
      <w:r>
        <w:rPr>
          <w:rFonts w:hint="eastAsia" w:hAnsi="宋体"/>
          <w:b/>
          <w:color w:val="auto"/>
          <w:sz w:val="21"/>
          <w:highlight w:val="none"/>
          <w:lang w:eastAsia="zh-CN"/>
        </w:rPr>
        <w:t>四</w:t>
      </w:r>
      <w:r>
        <w:rPr>
          <w:rFonts w:hint="eastAsia" w:hAnsi="宋体"/>
          <w:b/>
          <w:color w:val="auto"/>
          <w:sz w:val="21"/>
          <w:highlight w:val="none"/>
        </w:rPr>
        <w:t>条  不可抗力事件处理</w:t>
      </w:r>
    </w:p>
    <w:p>
      <w:pPr>
        <w:pStyle w:val="23"/>
        <w:snapToGrid w:val="0"/>
        <w:spacing w:line="380" w:lineRule="exact"/>
        <w:ind w:firstLine="420" w:firstLineChars="200"/>
        <w:rPr>
          <w:rFonts w:hint="eastAsia" w:hAnsi="宋体"/>
          <w:color w:val="auto"/>
          <w:sz w:val="21"/>
          <w:highlight w:val="none"/>
        </w:rPr>
      </w:pPr>
      <w:r>
        <w:rPr>
          <w:rFonts w:hint="eastAsia" w:hAnsi="宋体"/>
          <w:color w:val="auto"/>
          <w:sz w:val="21"/>
          <w:highlight w:val="none"/>
        </w:rPr>
        <w:t>1.在合同有效期内，任何一方因不可抗力事件导致不能履行合同，则合同履行期可延长，其延长期与不可抗力影响期相同。</w:t>
      </w:r>
    </w:p>
    <w:p>
      <w:pPr>
        <w:pStyle w:val="23"/>
        <w:snapToGrid w:val="0"/>
        <w:spacing w:line="380" w:lineRule="exact"/>
        <w:ind w:firstLine="420" w:firstLineChars="200"/>
        <w:rPr>
          <w:rFonts w:hint="eastAsia" w:hAnsi="宋体"/>
          <w:color w:val="auto"/>
          <w:sz w:val="21"/>
          <w:highlight w:val="none"/>
        </w:rPr>
      </w:pPr>
      <w:r>
        <w:rPr>
          <w:rFonts w:hint="eastAsia" w:hAnsi="宋体"/>
          <w:color w:val="auto"/>
          <w:sz w:val="21"/>
          <w:highlight w:val="none"/>
        </w:rPr>
        <w:t>2.不可抗力事件发生后，应立即通知对方，并寄送有关权威机构出具的证明。</w:t>
      </w:r>
    </w:p>
    <w:p>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3.不可抗力事件延续一百二十天以上，双方应通过友好协商，确定是否继续履行合同。</w:t>
      </w:r>
    </w:p>
    <w:p>
      <w:pPr>
        <w:snapToGrid w:val="0"/>
        <w:spacing w:line="38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第十</w:t>
      </w:r>
      <w:r>
        <w:rPr>
          <w:rFonts w:hint="eastAsia" w:ascii="宋体" w:hAnsi="宋体"/>
          <w:b/>
          <w:color w:val="auto"/>
          <w:szCs w:val="21"/>
          <w:highlight w:val="none"/>
          <w:lang w:eastAsia="zh-CN"/>
        </w:rPr>
        <w:t>五</w:t>
      </w:r>
      <w:r>
        <w:rPr>
          <w:rFonts w:hint="eastAsia" w:ascii="宋体" w:hAnsi="宋体"/>
          <w:b/>
          <w:color w:val="auto"/>
          <w:szCs w:val="21"/>
          <w:highlight w:val="none"/>
        </w:rPr>
        <w:t>条  合同争议解决</w:t>
      </w:r>
    </w:p>
    <w:p>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 因货物质量问题发生争议的，应邀请国家认可的质量检测机构对货物质量进行鉴定。货物符合标准的，鉴定费由甲方承担；货物不符合标准的，鉴定费由乙方承担。</w:t>
      </w:r>
    </w:p>
    <w:p>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 因履行本合同引起的或者与本合同有关的争议，甲乙双方应首先通过友好协商解决，如果协商不能解决，可向仲裁委员会申请仲裁或者向人民法院提起诉讼。</w:t>
      </w:r>
    </w:p>
    <w:p>
      <w:pPr>
        <w:snapToGrid w:val="0"/>
        <w:spacing w:line="380" w:lineRule="exact"/>
        <w:ind w:left="-61" w:firstLine="514"/>
        <w:rPr>
          <w:rFonts w:hint="eastAsia" w:ascii="宋体" w:hAnsi="宋体"/>
          <w:color w:val="auto"/>
          <w:szCs w:val="21"/>
          <w:highlight w:val="none"/>
        </w:rPr>
      </w:pPr>
      <w:r>
        <w:rPr>
          <w:rFonts w:hint="eastAsia" w:ascii="宋体" w:hAnsi="宋体"/>
          <w:color w:val="auto"/>
          <w:szCs w:val="21"/>
          <w:highlight w:val="none"/>
        </w:rPr>
        <w:t>3.诉讼期间，本合同继续履行。</w:t>
      </w:r>
    </w:p>
    <w:p>
      <w:pPr>
        <w:pStyle w:val="23"/>
        <w:snapToGrid w:val="0"/>
        <w:spacing w:line="380" w:lineRule="exact"/>
        <w:ind w:firstLine="413" w:firstLineChars="196"/>
        <w:rPr>
          <w:rFonts w:hint="eastAsia" w:hAnsi="宋体"/>
          <w:b/>
          <w:color w:val="auto"/>
          <w:sz w:val="21"/>
          <w:highlight w:val="none"/>
        </w:rPr>
      </w:pPr>
      <w:r>
        <w:rPr>
          <w:rFonts w:hint="eastAsia" w:hAnsi="宋体"/>
          <w:b/>
          <w:color w:val="auto"/>
          <w:sz w:val="21"/>
          <w:highlight w:val="none"/>
        </w:rPr>
        <w:t>第十</w:t>
      </w:r>
      <w:r>
        <w:rPr>
          <w:rFonts w:hint="eastAsia" w:hAnsi="宋体"/>
          <w:b/>
          <w:color w:val="auto"/>
          <w:sz w:val="21"/>
          <w:highlight w:val="none"/>
          <w:lang w:eastAsia="zh-CN"/>
        </w:rPr>
        <w:t>六</w:t>
      </w:r>
      <w:r>
        <w:rPr>
          <w:rFonts w:hint="eastAsia" w:hAnsi="宋体"/>
          <w:b/>
          <w:color w:val="auto"/>
          <w:sz w:val="21"/>
          <w:highlight w:val="none"/>
        </w:rPr>
        <w:t>条  诉讼</w:t>
      </w:r>
    </w:p>
    <w:p>
      <w:pPr>
        <w:snapToGrid w:val="0"/>
        <w:spacing w:line="380" w:lineRule="exact"/>
        <w:ind w:left="-61" w:firstLine="514"/>
        <w:rPr>
          <w:rFonts w:hint="eastAsia" w:ascii="宋体" w:hAnsi="宋体"/>
          <w:color w:val="auto"/>
          <w:szCs w:val="21"/>
          <w:highlight w:val="none"/>
        </w:rPr>
      </w:pPr>
      <w:r>
        <w:rPr>
          <w:rFonts w:hint="eastAsia" w:ascii="宋体" w:hAnsi="宋体"/>
          <w:color w:val="auto"/>
          <w:szCs w:val="21"/>
          <w:highlight w:val="none"/>
        </w:rPr>
        <w:t>双方在执行合同中所发生的一切争议，应通过协商解决。如协商不能解决，可向甲方所在地仲裁委员会申请仲裁或者人民法院提起诉讼。</w:t>
      </w:r>
    </w:p>
    <w:p>
      <w:pPr>
        <w:pStyle w:val="23"/>
        <w:snapToGrid w:val="0"/>
        <w:spacing w:line="380" w:lineRule="exact"/>
        <w:ind w:firstLine="413" w:firstLineChars="196"/>
        <w:rPr>
          <w:rFonts w:hint="eastAsia" w:hAnsi="宋体"/>
          <w:b/>
          <w:color w:val="auto"/>
          <w:sz w:val="21"/>
          <w:highlight w:val="none"/>
        </w:rPr>
      </w:pPr>
      <w:r>
        <w:rPr>
          <w:rFonts w:hint="eastAsia" w:hAnsi="宋体"/>
          <w:b/>
          <w:color w:val="auto"/>
          <w:sz w:val="21"/>
          <w:highlight w:val="none"/>
        </w:rPr>
        <w:t>第十</w:t>
      </w:r>
      <w:r>
        <w:rPr>
          <w:rFonts w:hint="eastAsia" w:hAnsi="宋体"/>
          <w:b/>
          <w:color w:val="auto"/>
          <w:sz w:val="21"/>
          <w:highlight w:val="none"/>
          <w:lang w:eastAsia="zh-CN"/>
        </w:rPr>
        <w:t>七</w:t>
      </w:r>
      <w:r>
        <w:rPr>
          <w:rFonts w:hint="eastAsia" w:hAnsi="宋体"/>
          <w:b/>
          <w:color w:val="auto"/>
          <w:sz w:val="21"/>
          <w:highlight w:val="none"/>
        </w:rPr>
        <w:t>条  合同生效及其它</w:t>
      </w:r>
    </w:p>
    <w:p>
      <w:pPr>
        <w:pStyle w:val="23"/>
        <w:snapToGrid w:val="0"/>
        <w:spacing w:line="380" w:lineRule="exact"/>
        <w:ind w:firstLine="420" w:firstLineChars="200"/>
        <w:rPr>
          <w:rFonts w:hint="eastAsia" w:hAnsi="宋体"/>
          <w:color w:val="auto"/>
          <w:sz w:val="21"/>
          <w:highlight w:val="none"/>
        </w:rPr>
      </w:pPr>
      <w:r>
        <w:rPr>
          <w:rFonts w:hint="eastAsia" w:hAnsi="宋体"/>
          <w:color w:val="auto"/>
          <w:sz w:val="21"/>
          <w:highlight w:val="none"/>
        </w:rPr>
        <w:t>1. 合同经双方法定代表人或者委托代理人签字并加盖单位公章后生效（委托代理人签字的需后附法定代表人授权委托书，格式自拟）。</w:t>
      </w:r>
    </w:p>
    <w:p>
      <w:pPr>
        <w:pStyle w:val="23"/>
        <w:snapToGrid w:val="0"/>
        <w:spacing w:line="380" w:lineRule="exact"/>
        <w:ind w:firstLine="420" w:firstLineChars="200"/>
        <w:rPr>
          <w:rFonts w:hint="eastAsia" w:hAnsi="宋体"/>
          <w:color w:val="auto"/>
          <w:sz w:val="21"/>
          <w:highlight w:val="none"/>
        </w:rPr>
      </w:pPr>
      <w:r>
        <w:rPr>
          <w:rFonts w:hint="eastAsia" w:hAnsi="宋体"/>
          <w:color w:val="auto"/>
          <w:sz w:val="21"/>
          <w:highlight w:val="none"/>
        </w:rPr>
        <w:t>2.合同执行中涉及采购资金和采购内容修改或者补充的，须经财政部门审批，并签书面补充协议报财政部门备案，方可作为主合同不可分割的一部分。</w:t>
      </w:r>
    </w:p>
    <w:p>
      <w:pPr>
        <w:pStyle w:val="23"/>
        <w:snapToGrid w:val="0"/>
        <w:spacing w:line="380" w:lineRule="exact"/>
        <w:ind w:left="420" w:leftChars="200"/>
        <w:rPr>
          <w:rFonts w:hint="eastAsia" w:hAnsi="宋体"/>
          <w:color w:val="auto"/>
          <w:sz w:val="21"/>
          <w:highlight w:val="none"/>
        </w:rPr>
      </w:pPr>
      <w:r>
        <w:rPr>
          <w:rFonts w:hint="eastAsia" w:hAnsi="宋体"/>
          <w:color w:val="auto"/>
          <w:sz w:val="21"/>
          <w:highlight w:val="none"/>
        </w:rPr>
        <w:t>3.本合同未尽事宜，遵照《合同法》有关条文执行。</w:t>
      </w:r>
    </w:p>
    <w:p>
      <w:pPr>
        <w:snapToGrid w:val="0"/>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第十</w:t>
      </w:r>
      <w:r>
        <w:rPr>
          <w:rFonts w:hint="eastAsia" w:ascii="宋体" w:hAnsi="宋体"/>
          <w:b/>
          <w:color w:val="auto"/>
          <w:szCs w:val="21"/>
          <w:highlight w:val="none"/>
          <w:lang w:eastAsia="zh-CN"/>
        </w:rPr>
        <w:t>八</w:t>
      </w:r>
      <w:r>
        <w:rPr>
          <w:rFonts w:hint="eastAsia" w:ascii="宋体" w:hAnsi="宋体"/>
          <w:b/>
          <w:color w:val="auto"/>
          <w:szCs w:val="21"/>
          <w:highlight w:val="none"/>
        </w:rPr>
        <w:t>条　合同的变更、终止与转让</w:t>
      </w:r>
    </w:p>
    <w:p>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 除《中华人民共和国政府采购法》第五十条规定的情形外，本合同一经签订，甲乙双方不得擅自变更、中止或者终止。</w:t>
      </w:r>
    </w:p>
    <w:p>
      <w:pPr>
        <w:snapToGrid w:val="0"/>
        <w:spacing w:line="380" w:lineRule="exact"/>
        <w:ind w:left="-61" w:firstLine="514"/>
        <w:rPr>
          <w:rFonts w:hint="eastAsia" w:ascii="宋体" w:hAnsi="宋体"/>
          <w:color w:val="auto"/>
          <w:szCs w:val="21"/>
          <w:highlight w:val="none"/>
        </w:rPr>
      </w:pPr>
      <w:r>
        <w:rPr>
          <w:rFonts w:hint="eastAsia" w:ascii="宋体" w:hAnsi="宋体"/>
          <w:color w:val="auto"/>
          <w:szCs w:val="21"/>
          <w:highlight w:val="none"/>
        </w:rPr>
        <w:t>2. 乙方不得擅自转让（无进口资格的供应商委托进口货物除外）其应履行的合同义务。</w:t>
      </w:r>
    </w:p>
    <w:p>
      <w:pPr>
        <w:snapToGrid w:val="0"/>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第十</w:t>
      </w:r>
      <w:r>
        <w:rPr>
          <w:rFonts w:hint="eastAsia" w:ascii="宋体" w:hAnsi="宋体"/>
          <w:b/>
          <w:color w:val="auto"/>
          <w:szCs w:val="21"/>
          <w:highlight w:val="none"/>
          <w:lang w:eastAsia="zh-CN"/>
        </w:rPr>
        <w:t>九</w:t>
      </w:r>
      <w:r>
        <w:rPr>
          <w:rFonts w:hint="eastAsia" w:ascii="宋体" w:hAnsi="宋体"/>
          <w:b/>
          <w:color w:val="auto"/>
          <w:szCs w:val="21"/>
          <w:highlight w:val="none"/>
        </w:rPr>
        <w:t>条　</w:t>
      </w:r>
      <w:r>
        <w:rPr>
          <w:rFonts w:hint="eastAsia" w:ascii="宋体" w:hAnsi="宋体" w:cs="微软雅黑"/>
          <w:color w:val="auto"/>
          <w:spacing w:val="-2"/>
          <w:kern w:val="0"/>
          <w:szCs w:val="21"/>
          <w:highlight w:val="none"/>
        </w:rPr>
        <w:t>本</w:t>
      </w:r>
      <w:r>
        <w:rPr>
          <w:rFonts w:hint="eastAsia" w:ascii="宋体" w:hAnsi="宋体" w:cs="微软雅黑"/>
          <w:color w:val="auto"/>
          <w:kern w:val="0"/>
          <w:szCs w:val="21"/>
          <w:highlight w:val="none"/>
        </w:rPr>
        <w:t>合同书</w:t>
      </w:r>
      <w:r>
        <w:rPr>
          <w:rFonts w:hint="eastAsia" w:ascii="宋体" w:hAnsi="宋体" w:cs="微软雅黑"/>
          <w:color w:val="auto"/>
          <w:spacing w:val="-2"/>
          <w:kern w:val="0"/>
          <w:szCs w:val="21"/>
          <w:highlight w:val="none"/>
        </w:rPr>
        <w:t>与</w:t>
      </w:r>
      <w:r>
        <w:rPr>
          <w:rFonts w:hint="eastAsia" w:ascii="宋体" w:hAnsi="宋体" w:cs="微软雅黑"/>
          <w:color w:val="auto"/>
          <w:kern w:val="0"/>
          <w:szCs w:val="21"/>
          <w:highlight w:val="none"/>
        </w:rPr>
        <w:t>下</w:t>
      </w:r>
      <w:r>
        <w:rPr>
          <w:rFonts w:hint="eastAsia" w:ascii="宋体" w:hAnsi="宋体" w:cs="微软雅黑"/>
          <w:color w:val="auto"/>
          <w:spacing w:val="-2"/>
          <w:kern w:val="0"/>
          <w:szCs w:val="21"/>
          <w:highlight w:val="none"/>
        </w:rPr>
        <w:t>列</w:t>
      </w:r>
      <w:r>
        <w:rPr>
          <w:rFonts w:hint="eastAsia" w:ascii="宋体" w:hAnsi="宋体" w:cs="微软雅黑"/>
          <w:color w:val="auto"/>
          <w:kern w:val="0"/>
          <w:szCs w:val="21"/>
          <w:highlight w:val="none"/>
        </w:rPr>
        <w:t>文</w:t>
      </w:r>
      <w:r>
        <w:rPr>
          <w:rFonts w:hint="eastAsia" w:ascii="宋体" w:hAnsi="宋体" w:cs="微软雅黑"/>
          <w:color w:val="auto"/>
          <w:spacing w:val="-2"/>
          <w:kern w:val="0"/>
          <w:szCs w:val="21"/>
          <w:highlight w:val="none"/>
        </w:rPr>
        <w:t>件一</w:t>
      </w:r>
      <w:r>
        <w:rPr>
          <w:rFonts w:hint="eastAsia" w:ascii="宋体" w:hAnsi="宋体" w:cs="微软雅黑"/>
          <w:color w:val="auto"/>
          <w:kern w:val="0"/>
          <w:szCs w:val="21"/>
          <w:highlight w:val="none"/>
        </w:rPr>
        <w:t>起构</w:t>
      </w:r>
      <w:r>
        <w:rPr>
          <w:rFonts w:hint="eastAsia" w:ascii="宋体" w:hAnsi="宋体" w:cs="微软雅黑"/>
          <w:color w:val="auto"/>
          <w:spacing w:val="-2"/>
          <w:kern w:val="0"/>
          <w:szCs w:val="21"/>
          <w:highlight w:val="none"/>
        </w:rPr>
        <w:t>成</w:t>
      </w:r>
      <w:r>
        <w:rPr>
          <w:rFonts w:hint="eastAsia" w:ascii="宋体" w:hAnsi="宋体" w:cs="微软雅黑"/>
          <w:color w:val="auto"/>
          <w:kern w:val="0"/>
          <w:szCs w:val="21"/>
          <w:highlight w:val="none"/>
        </w:rPr>
        <w:t>合</w:t>
      </w:r>
      <w:r>
        <w:rPr>
          <w:rFonts w:hint="eastAsia" w:ascii="宋体" w:hAnsi="宋体" w:cs="微软雅黑"/>
          <w:color w:val="auto"/>
          <w:spacing w:val="-2"/>
          <w:kern w:val="0"/>
          <w:szCs w:val="21"/>
          <w:highlight w:val="none"/>
        </w:rPr>
        <w:t>同</w:t>
      </w:r>
      <w:r>
        <w:rPr>
          <w:rFonts w:hint="eastAsia" w:ascii="宋体" w:hAnsi="宋体" w:cs="微软雅黑"/>
          <w:color w:val="auto"/>
          <w:kern w:val="0"/>
          <w:szCs w:val="21"/>
          <w:highlight w:val="none"/>
        </w:rPr>
        <w:t>文</w:t>
      </w:r>
      <w:r>
        <w:rPr>
          <w:rFonts w:hint="eastAsia" w:ascii="宋体" w:hAnsi="宋体" w:cs="微软雅黑"/>
          <w:color w:val="auto"/>
          <w:spacing w:val="-2"/>
          <w:kern w:val="0"/>
          <w:szCs w:val="21"/>
          <w:highlight w:val="none"/>
        </w:rPr>
        <w:t>件</w:t>
      </w:r>
    </w:p>
    <w:p>
      <w:pPr>
        <w:pStyle w:val="23"/>
        <w:snapToGrid w:val="0"/>
        <w:spacing w:line="380" w:lineRule="exact"/>
        <w:ind w:left="420" w:leftChars="200"/>
        <w:rPr>
          <w:rFonts w:hint="eastAsia" w:hAnsi="宋体"/>
          <w:color w:val="auto"/>
          <w:sz w:val="21"/>
          <w:highlight w:val="none"/>
        </w:rPr>
      </w:pPr>
      <w:r>
        <w:rPr>
          <w:rFonts w:hint="eastAsia" w:hAnsi="宋体"/>
          <w:color w:val="auto"/>
          <w:sz w:val="21"/>
          <w:highlight w:val="none"/>
        </w:rPr>
        <w:t>1.中标通知书；</w:t>
      </w:r>
    </w:p>
    <w:p>
      <w:pPr>
        <w:pStyle w:val="23"/>
        <w:snapToGrid w:val="0"/>
        <w:spacing w:line="380" w:lineRule="exact"/>
        <w:ind w:left="420" w:leftChars="200"/>
        <w:rPr>
          <w:rFonts w:hint="eastAsia" w:hAnsi="宋体"/>
          <w:color w:val="auto"/>
          <w:sz w:val="21"/>
          <w:highlight w:val="none"/>
        </w:rPr>
      </w:pPr>
      <w:r>
        <w:rPr>
          <w:rFonts w:hint="eastAsia" w:hAnsi="宋体"/>
          <w:color w:val="auto"/>
          <w:sz w:val="21"/>
          <w:highlight w:val="none"/>
        </w:rPr>
        <w:t>2.投标函；</w:t>
      </w:r>
    </w:p>
    <w:p>
      <w:pPr>
        <w:pStyle w:val="23"/>
        <w:snapToGrid w:val="0"/>
        <w:spacing w:line="380" w:lineRule="exact"/>
        <w:ind w:left="420" w:leftChars="200"/>
        <w:rPr>
          <w:rFonts w:hint="eastAsia" w:hAnsi="宋体"/>
          <w:color w:val="auto"/>
          <w:sz w:val="21"/>
          <w:highlight w:val="none"/>
        </w:rPr>
      </w:pPr>
      <w:r>
        <w:rPr>
          <w:rFonts w:hint="eastAsia" w:hAnsi="宋体"/>
          <w:color w:val="auto"/>
          <w:sz w:val="21"/>
          <w:highlight w:val="none"/>
        </w:rPr>
        <w:t>3.商务条款偏离表和技术偏离表；</w:t>
      </w:r>
    </w:p>
    <w:p>
      <w:pPr>
        <w:pStyle w:val="23"/>
        <w:snapToGrid w:val="0"/>
        <w:spacing w:line="380" w:lineRule="exact"/>
        <w:ind w:left="420" w:leftChars="200"/>
        <w:rPr>
          <w:rFonts w:hint="eastAsia" w:hAnsi="宋体"/>
          <w:color w:val="auto"/>
          <w:sz w:val="21"/>
          <w:highlight w:val="none"/>
        </w:rPr>
      </w:pPr>
      <w:r>
        <w:rPr>
          <w:rFonts w:hint="eastAsia" w:hAnsi="宋体"/>
          <w:color w:val="auto"/>
          <w:sz w:val="21"/>
          <w:highlight w:val="none"/>
        </w:rPr>
        <w:t>4.采购需求；</w:t>
      </w:r>
    </w:p>
    <w:p>
      <w:pPr>
        <w:pStyle w:val="23"/>
        <w:snapToGrid w:val="0"/>
        <w:spacing w:line="380" w:lineRule="exact"/>
        <w:ind w:left="420" w:leftChars="200"/>
        <w:rPr>
          <w:rFonts w:hint="eastAsia" w:hAnsi="宋体"/>
          <w:color w:val="auto"/>
          <w:sz w:val="21"/>
          <w:highlight w:val="none"/>
        </w:rPr>
      </w:pPr>
      <w:r>
        <w:rPr>
          <w:rFonts w:hint="eastAsia" w:hAnsi="宋体"/>
          <w:color w:val="auto"/>
          <w:sz w:val="21"/>
          <w:highlight w:val="none"/>
        </w:rPr>
        <w:t>5.开标一览表；</w:t>
      </w:r>
    </w:p>
    <w:p>
      <w:pPr>
        <w:pStyle w:val="23"/>
        <w:snapToGrid w:val="0"/>
        <w:spacing w:line="380" w:lineRule="exact"/>
        <w:ind w:left="420" w:leftChars="200"/>
        <w:rPr>
          <w:rFonts w:hint="eastAsia" w:hAnsi="宋体"/>
          <w:color w:val="auto"/>
          <w:sz w:val="21"/>
          <w:highlight w:val="none"/>
        </w:rPr>
      </w:pPr>
      <w:r>
        <w:rPr>
          <w:rFonts w:hint="eastAsia" w:hAnsi="宋体"/>
          <w:color w:val="auto"/>
          <w:sz w:val="21"/>
          <w:highlight w:val="none"/>
        </w:rPr>
        <w:t>6.设备配置清单；</w:t>
      </w:r>
    </w:p>
    <w:p>
      <w:pPr>
        <w:pStyle w:val="23"/>
        <w:snapToGrid w:val="0"/>
        <w:spacing w:line="380" w:lineRule="exact"/>
        <w:ind w:left="420" w:leftChars="200"/>
        <w:rPr>
          <w:rFonts w:hint="eastAsia" w:hAnsi="宋体"/>
          <w:color w:val="auto"/>
          <w:sz w:val="21"/>
          <w:highlight w:val="none"/>
        </w:rPr>
      </w:pPr>
      <w:r>
        <w:rPr>
          <w:rFonts w:hint="eastAsia" w:hAnsi="宋体"/>
          <w:color w:val="auto"/>
          <w:sz w:val="21"/>
          <w:highlight w:val="none"/>
          <w:lang w:eastAsia="zh-CN"/>
        </w:rPr>
        <w:t>7</w:t>
      </w:r>
      <w:r>
        <w:rPr>
          <w:rFonts w:hint="eastAsia" w:hAnsi="宋体"/>
          <w:color w:val="auto"/>
          <w:sz w:val="21"/>
          <w:highlight w:val="none"/>
        </w:rPr>
        <w:t>.其他合同文件。</w:t>
      </w:r>
    </w:p>
    <w:p>
      <w:pPr>
        <w:pStyle w:val="23"/>
        <w:snapToGrid w:val="0"/>
        <w:spacing w:line="380" w:lineRule="exact"/>
        <w:ind w:left="420" w:leftChars="200"/>
        <w:rPr>
          <w:rFonts w:hint="eastAsia" w:hAnsi="宋体"/>
          <w:b/>
          <w:color w:val="auto"/>
          <w:sz w:val="21"/>
          <w:highlight w:val="none"/>
        </w:rPr>
      </w:pPr>
      <w:r>
        <w:rPr>
          <w:rFonts w:hint="eastAsia" w:hAnsi="宋体"/>
          <w:color w:val="auto"/>
          <w:sz w:val="21"/>
          <w:highlight w:val="none"/>
          <w:lang w:eastAsia="zh-CN"/>
        </w:rPr>
        <w:t>8</w:t>
      </w:r>
      <w:r>
        <w:rPr>
          <w:rFonts w:hint="eastAsia" w:hAnsi="宋体"/>
          <w:color w:val="auto"/>
          <w:sz w:val="21"/>
          <w:highlight w:val="none"/>
        </w:rPr>
        <w:t>.上述合同文件互相补充和解释。如果合同文件之间存在矛盾或者不一致之处，以上述文件 的排列顺序在先者为准。</w:t>
      </w:r>
    </w:p>
    <w:p>
      <w:pPr>
        <w:snapToGrid w:val="0"/>
        <w:spacing w:line="38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第二十条　</w:t>
      </w:r>
      <w:r>
        <w:rPr>
          <w:rFonts w:hint="eastAsia" w:ascii="宋体" w:hAnsi="宋体"/>
          <w:color w:val="auto"/>
          <w:szCs w:val="21"/>
          <w:highlight w:val="none"/>
        </w:rPr>
        <w:t>本合同一式四份，具有同等法律效力，财政部门（政府采购监管部门）、采购代理机构各一份，甲乙双方各一份（可根据需要另增加）。</w:t>
      </w:r>
    </w:p>
    <w:p>
      <w:pPr>
        <w:snapToGrid w:val="0"/>
        <w:spacing w:line="380" w:lineRule="exact"/>
        <w:ind w:left="-61" w:firstLine="514"/>
        <w:rPr>
          <w:rFonts w:hint="eastAsia" w:ascii="宋体" w:hAnsi="宋体"/>
          <w:color w:val="auto"/>
          <w:szCs w:val="21"/>
          <w:highlight w:val="none"/>
        </w:rPr>
      </w:pPr>
      <w:r>
        <w:rPr>
          <w:rFonts w:hint="eastAsia" w:ascii="宋体" w:hAnsi="宋体"/>
          <w:color w:val="auto"/>
          <w:szCs w:val="21"/>
          <w:highlight w:val="none"/>
        </w:rPr>
        <w:t>本合同甲乙双方签字盖章后生效，自签订之日起七个工作日内，采购人或者采购代理机构应当将合同副本报同级财政部门备案。</w:t>
      </w:r>
    </w:p>
    <w:p>
      <w:pPr>
        <w:snapToGrid w:val="0"/>
        <w:spacing w:line="300" w:lineRule="exact"/>
        <w:rPr>
          <w:rFonts w:hint="eastAsia" w:ascii="宋体" w:hAnsi="宋体"/>
          <w:color w:val="auto"/>
          <w:szCs w:val="21"/>
          <w:highlight w:val="none"/>
        </w:rPr>
      </w:pPr>
    </w:p>
    <w:p>
      <w:pPr>
        <w:snapToGrid w:val="0"/>
        <w:spacing w:line="300" w:lineRule="exact"/>
        <w:rPr>
          <w:rFonts w:hint="eastAsia" w:ascii="宋体" w:hAnsi="宋体"/>
          <w:color w:val="auto"/>
          <w:szCs w:val="21"/>
          <w:highlight w:val="none"/>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4786" w:type="dxa"/>
            <w:noWrap w:val="0"/>
            <w:vAlign w:val="center"/>
          </w:tcPr>
          <w:p>
            <w:pPr>
              <w:snapToGrid w:val="0"/>
              <w:rPr>
                <w:rFonts w:hint="eastAsia" w:ascii="宋体" w:hAnsi="宋体"/>
                <w:color w:val="auto"/>
                <w:szCs w:val="21"/>
                <w:highlight w:val="none"/>
              </w:rPr>
            </w:pPr>
            <w:r>
              <w:rPr>
                <w:rFonts w:hint="eastAsia" w:ascii="宋体" w:hAnsi="宋体"/>
                <w:color w:val="auto"/>
                <w:szCs w:val="21"/>
                <w:highlight w:val="none"/>
              </w:rPr>
              <w:t xml:space="preserve">甲方（章）           </w:t>
            </w:r>
          </w:p>
          <w:p>
            <w:pPr>
              <w:snapToGrid w:val="0"/>
              <w:rPr>
                <w:rFonts w:hint="eastAsia" w:ascii="宋体" w:hAnsi="宋体"/>
                <w:color w:val="auto"/>
                <w:szCs w:val="21"/>
                <w:highlight w:val="none"/>
              </w:rPr>
            </w:pPr>
          </w:p>
          <w:p>
            <w:pPr>
              <w:snapToGrid w:val="0"/>
              <w:ind w:firstLine="945" w:firstLineChars="450"/>
              <w:jc w:val="right"/>
              <w:rPr>
                <w:rFonts w:hint="eastAsia" w:ascii="宋体" w:hAnsi="宋体"/>
                <w:color w:val="auto"/>
                <w:szCs w:val="21"/>
                <w:highlight w:val="none"/>
              </w:rPr>
            </w:pPr>
            <w:r>
              <w:rPr>
                <w:rFonts w:hint="eastAsia" w:ascii="宋体" w:hAnsi="宋体"/>
                <w:color w:val="auto"/>
                <w:szCs w:val="21"/>
                <w:highlight w:val="none"/>
              </w:rPr>
              <w:t>年   月   日</w:t>
            </w:r>
          </w:p>
        </w:tc>
        <w:tc>
          <w:tcPr>
            <w:tcW w:w="4788" w:type="dxa"/>
            <w:noWrap w:val="0"/>
            <w:vAlign w:val="center"/>
          </w:tcPr>
          <w:p>
            <w:pPr>
              <w:snapToGrid w:val="0"/>
              <w:rPr>
                <w:rFonts w:hint="eastAsia" w:ascii="宋体" w:hAnsi="宋体"/>
                <w:color w:val="auto"/>
                <w:szCs w:val="21"/>
                <w:highlight w:val="none"/>
              </w:rPr>
            </w:pPr>
            <w:r>
              <w:rPr>
                <w:rFonts w:hint="eastAsia" w:ascii="宋体" w:hAnsi="宋体"/>
                <w:color w:val="auto"/>
                <w:szCs w:val="21"/>
                <w:highlight w:val="none"/>
              </w:rPr>
              <w:t xml:space="preserve">乙方（章）              </w:t>
            </w:r>
          </w:p>
          <w:p>
            <w:pPr>
              <w:snapToGrid w:val="0"/>
              <w:rPr>
                <w:rFonts w:hint="eastAsia" w:ascii="宋体" w:hAnsi="宋体"/>
                <w:color w:val="auto"/>
                <w:szCs w:val="21"/>
                <w:highlight w:val="none"/>
              </w:rPr>
            </w:pPr>
          </w:p>
          <w:p>
            <w:pPr>
              <w:snapToGrid w:val="0"/>
              <w:jc w:val="right"/>
              <w:rPr>
                <w:rFonts w:hint="eastAsia" w:ascii="宋体" w:hAnsi="宋体"/>
                <w:color w:val="auto"/>
                <w:szCs w:val="21"/>
                <w:highlight w:val="none"/>
              </w:rPr>
            </w:pPr>
            <w:r>
              <w:rPr>
                <w:rFonts w:hint="eastAsia" w:ascii="宋体" w:hAnsi="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786" w:type="dxa"/>
            <w:noWrap w:val="0"/>
            <w:vAlign w:val="center"/>
          </w:tcPr>
          <w:p>
            <w:pPr>
              <w:snapToGrid w:val="0"/>
              <w:rPr>
                <w:rFonts w:hint="eastAsia" w:ascii="宋体" w:hAnsi="宋体"/>
                <w:color w:val="auto"/>
                <w:szCs w:val="21"/>
                <w:highlight w:val="none"/>
              </w:rPr>
            </w:pPr>
            <w:r>
              <w:rPr>
                <w:rFonts w:hint="eastAsia" w:ascii="宋体" w:hAnsi="宋体"/>
                <w:color w:val="auto"/>
                <w:szCs w:val="21"/>
                <w:highlight w:val="none"/>
              </w:rPr>
              <w:t>单位地址：</w:t>
            </w:r>
          </w:p>
        </w:tc>
        <w:tc>
          <w:tcPr>
            <w:tcW w:w="4788" w:type="dxa"/>
            <w:noWrap w:val="0"/>
            <w:vAlign w:val="center"/>
          </w:tcPr>
          <w:p>
            <w:pPr>
              <w:snapToGrid w:val="0"/>
              <w:rPr>
                <w:rFonts w:hint="eastAsia" w:ascii="宋体" w:hAnsi="宋体"/>
                <w:color w:val="auto"/>
                <w:szCs w:val="21"/>
                <w:highlight w:val="none"/>
              </w:rPr>
            </w:pPr>
            <w:r>
              <w:rPr>
                <w:rFonts w:hint="eastAsia" w:ascii="宋体" w:hAnsi="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trPr>
        <w:tc>
          <w:tcPr>
            <w:tcW w:w="4786" w:type="dxa"/>
            <w:noWrap w:val="0"/>
            <w:vAlign w:val="top"/>
          </w:tcPr>
          <w:p>
            <w:pPr>
              <w:snapToGrid w:val="0"/>
              <w:rPr>
                <w:rFonts w:hint="eastAsia" w:ascii="宋体" w:hAnsi="宋体"/>
                <w:color w:val="auto"/>
                <w:szCs w:val="21"/>
                <w:highlight w:val="none"/>
              </w:rPr>
            </w:pPr>
            <w:r>
              <w:rPr>
                <w:rFonts w:hint="eastAsia" w:ascii="宋体" w:hAnsi="宋体"/>
                <w:color w:val="auto"/>
                <w:szCs w:val="21"/>
                <w:highlight w:val="none"/>
              </w:rPr>
              <w:t>法定代表人或委托代理人：</w:t>
            </w:r>
          </w:p>
        </w:tc>
        <w:tc>
          <w:tcPr>
            <w:tcW w:w="4788" w:type="dxa"/>
            <w:noWrap w:val="0"/>
            <w:vAlign w:val="top"/>
          </w:tcPr>
          <w:p>
            <w:pPr>
              <w:snapToGrid w:val="0"/>
              <w:rPr>
                <w:rFonts w:hint="eastAsia" w:ascii="宋体" w:hAnsi="宋体"/>
                <w:color w:val="auto"/>
                <w:szCs w:val="21"/>
                <w:highlight w:val="none"/>
              </w:rPr>
            </w:pPr>
            <w:r>
              <w:rPr>
                <w:rFonts w:hint="eastAsia" w:ascii="宋体" w:hAnsi="宋体"/>
                <w:color w:val="auto"/>
                <w:szCs w:val="21"/>
                <w:highlight w:val="none"/>
              </w:rPr>
              <w:t>法定代表人或委托代理人：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4786" w:type="dxa"/>
            <w:noWrap w:val="0"/>
            <w:vAlign w:val="center"/>
          </w:tcPr>
          <w:p>
            <w:pPr>
              <w:snapToGrid w:val="0"/>
              <w:rPr>
                <w:rFonts w:hint="eastAsia" w:ascii="宋体" w:hAnsi="宋体"/>
                <w:color w:val="auto"/>
                <w:szCs w:val="21"/>
                <w:highlight w:val="none"/>
              </w:rPr>
            </w:pPr>
            <w:r>
              <w:rPr>
                <w:rFonts w:hint="eastAsia" w:ascii="宋体" w:hAnsi="宋体"/>
                <w:color w:val="auto"/>
                <w:szCs w:val="21"/>
                <w:highlight w:val="none"/>
              </w:rPr>
              <w:t>电话：</w:t>
            </w:r>
          </w:p>
        </w:tc>
        <w:tc>
          <w:tcPr>
            <w:tcW w:w="4788" w:type="dxa"/>
            <w:noWrap w:val="0"/>
            <w:vAlign w:val="center"/>
          </w:tcPr>
          <w:p>
            <w:pPr>
              <w:snapToGrid w:val="0"/>
              <w:rPr>
                <w:rFonts w:hint="eastAsia" w:ascii="宋体" w:hAnsi="宋体"/>
                <w:color w:val="auto"/>
                <w:szCs w:val="21"/>
                <w:highlight w:val="none"/>
              </w:rPr>
            </w:pPr>
            <w:r>
              <w:rPr>
                <w:rFonts w:hint="eastAsia" w:ascii="宋体"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786" w:type="dxa"/>
            <w:noWrap w:val="0"/>
            <w:vAlign w:val="center"/>
          </w:tcPr>
          <w:p>
            <w:pPr>
              <w:snapToGrid w:val="0"/>
              <w:rPr>
                <w:rFonts w:hint="eastAsia" w:ascii="宋体" w:hAnsi="宋体"/>
                <w:color w:val="auto"/>
                <w:szCs w:val="21"/>
                <w:highlight w:val="none"/>
              </w:rPr>
            </w:pPr>
            <w:r>
              <w:rPr>
                <w:rFonts w:hint="eastAsia" w:ascii="宋体" w:hAnsi="宋体"/>
                <w:color w:val="auto"/>
                <w:szCs w:val="21"/>
                <w:highlight w:val="none"/>
              </w:rPr>
              <w:t>电子邮箱：</w:t>
            </w:r>
          </w:p>
        </w:tc>
        <w:tc>
          <w:tcPr>
            <w:tcW w:w="4788" w:type="dxa"/>
            <w:noWrap w:val="0"/>
            <w:vAlign w:val="center"/>
          </w:tcPr>
          <w:p>
            <w:pPr>
              <w:snapToGrid w:val="0"/>
              <w:rPr>
                <w:rFonts w:hint="eastAsia" w:ascii="宋体" w:hAnsi="宋体"/>
                <w:color w:val="auto"/>
                <w:szCs w:val="21"/>
                <w:highlight w:val="none"/>
              </w:rPr>
            </w:pPr>
            <w:r>
              <w:rPr>
                <w:rFonts w:hint="eastAsia" w:ascii="宋体"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786" w:type="dxa"/>
            <w:noWrap w:val="0"/>
            <w:vAlign w:val="center"/>
          </w:tcPr>
          <w:p>
            <w:pPr>
              <w:snapToGrid w:val="0"/>
              <w:rPr>
                <w:rFonts w:hint="eastAsia" w:ascii="宋体" w:hAnsi="宋体"/>
                <w:color w:val="auto"/>
                <w:szCs w:val="21"/>
                <w:highlight w:val="none"/>
              </w:rPr>
            </w:pPr>
            <w:r>
              <w:rPr>
                <w:rFonts w:hint="eastAsia" w:ascii="宋体" w:hAnsi="宋体"/>
                <w:color w:val="auto"/>
                <w:szCs w:val="21"/>
                <w:highlight w:val="none"/>
              </w:rPr>
              <w:t>开户银行：</w:t>
            </w:r>
          </w:p>
        </w:tc>
        <w:tc>
          <w:tcPr>
            <w:tcW w:w="4788" w:type="dxa"/>
            <w:noWrap w:val="0"/>
            <w:vAlign w:val="center"/>
          </w:tcPr>
          <w:p>
            <w:pPr>
              <w:snapToGrid w:val="0"/>
              <w:rPr>
                <w:rFonts w:hint="eastAsia" w:ascii="宋体" w:hAnsi="宋体"/>
                <w:color w:val="auto"/>
                <w:szCs w:val="21"/>
                <w:highlight w:val="none"/>
              </w:rPr>
            </w:pPr>
            <w:r>
              <w:rPr>
                <w:rFonts w:hint="eastAsia" w:ascii="宋体"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4786" w:type="dxa"/>
            <w:noWrap w:val="0"/>
            <w:vAlign w:val="center"/>
          </w:tcPr>
          <w:p>
            <w:pPr>
              <w:snapToGrid w:val="0"/>
              <w:rPr>
                <w:rFonts w:hint="eastAsia" w:ascii="宋体" w:hAnsi="宋体"/>
                <w:color w:val="auto"/>
                <w:szCs w:val="21"/>
                <w:highlight w:val="none"/>
              </w:rPr>
            </w:pPr>
            <w:r>
              <w:rPr>
                <w:rFonts w:hint="eastAsia" w:ascii="宋体" w:hAnsi="宋体"/>
                <w:color w:val="auto"/>
                <w:szCs w:val="21"/>
                <w:highlight w:val="none"/>
              </w:rPr>
              <w:t>账号：</w:t>
            </w:r>
          </w:p>
        </w:tc>
        <w:tc>
          <w:tcPr>
            <w:tcW w:w="4788" w:type="dxa"/>
            <w:noWrap w:val="0"/>
            <w:vAlign w:val="center"/>
          </w:tcPr>
          <w:p>
            <w:pPr>
              <w:snapToGrid w:val="0"/>
              <w:rPr>
                <w:rFonts w:hint="eastAsia" w:ascii="宋体" w:hAnsi="宋体"/>
                <w:color w:val="auto"/>
                <w:szCs w:val="21"/>
                <w:highlight w:val="none"/>
              </w:rPr>
            </w:pPr>
            <w:r>
              <w:rPr>
                <w:rFonts w:hint="eastAsia" w:ascii="宋体" w:hAns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4786" w:type="dxa"/>
            <w:noWrap w:val="0"/>
            <w:vAlign w:val="center"/>
          </w:tcPr>
          <w:p>
            <w:pPr>
              <w:snapToGrid w:val="0"/>
              <w:rPr>
                <w:rFonts w:hint="eastAsia" w:ascii="宋体" w:hAnsi="宋体"/>
                <w:color w:val="auto"/>
                <w:szCs w:val="21"/>
                <w:highlight w:val="none"/>
              </w:rPr>
            </w:pPr>
            <w:r>
              <w:rPr>
                <w:rFonts w:hint="eastAsia" w:ascii="宋体" w:hAnsi="宋体"/>
                <w:color w:val="auto"/>
                <w:szCs w:val="21"/>
                <w:highlight w:val="none"/>
              </w:rPr>
              <w:t>邮政编码：</w:t>
            </w:r>
          </w:p>
        </w:tc>
        <w:tc>
          <w:tcPr>
            <w:tcW w:w="4788" w:type="dxa"/>
            <w:noWrap w:val="0"/>
            <w:vAlign w:val="center"/>
          </w:tcPr>
          <w:p>
            <w:pPr>
              <w:snapToGrid w:val="0"/>
              <w:rPr>
                <w:rFonts w:hint="eastAsia" w:ascii="宋体" w:hAnsi="宋体"/>
                <w:color w:val="auto"/>
                <w:szCs w:val="21"/>
                <w:highlight w:val="none"/>
              </w:rPr>
            </w:pPr>
            <w:r>
              <w:rPr>
                <w:rFonts w:hint="eastAsia" w:ascii="宋体" w:hAnsi="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9574" w:type="dxa"/>
            <w:gridSpan w:val="2"/>
            <w:noWrap w:val="0"/>
            <w:vAlign w:val="top"/>
          </w:tcPr>
          <w:p>
            <w:pPr>
              <w:snapToGrid w:val="0"/>
              <w:rPr>
                <w:rFonts w:hint="eastAsia" w:ascii="宋体" w:hAnsi="宋体"/>
                <w:color w:val="auto"/>
                <w:szCs w:val="21"/>
                <w:highlight w:val="none"/>
              </w:rPr>
            </w:pPr>
            <w:r>
              <w:rPr>
                <w:rFonts w:hint="eastAsia" w:ascii="宋体" w:hAnsi="宋体"/>
                <w:color w:val="auto"/>
                <w:szCs w:val="21"/>
                <w:highlight w:val="none"/>
              </w:rPr>
              <w:t>经办人：</w:t>
            </w:r>
          </w:p>
          <w:p>
            <w:pPr>
              <w:snapToGrid w:val="0"/>
              <w:rPr>
                <w:rFonts w:hint="eastAsia" w:ascii="宋体" w:hAnsi="宋体"/>
                <w:color w:val="auto"/>
                <w:szCs w:val="21"/>
                <w:highlight w:val="none"/>
              </w:rPr>
            </w:pPr>
          </w:p>
          <w:p>
            <w:pPr>
              <w:snapToGrid w:val="0"/>
              <w:ind w:firstLine="630" w:firstLineChars="300"/>
              <w:jc w:val="right"/>
              <w:rPr>
                <w:rFonts w:hint="eastAsia" w:ascii="宋体" w:hAnsi="宋体"/>
                <w:color w:val="auto"/>
                <w:szCs w:val="21"/>
                <w:highlight w:val="none"/>
              </w:rPr>
            </w:pPr>
            <w:r>
              <w:rPr>
                <w:rFonts w:hint="eastAsia" w:ascii="宋体" w:hAnsi="宋体"/>
                <w:color w:val="auto"/>
                <w:szCs w:val="21"/>
                <w:highlight w:val="none"/>
              </w:rPr>
              <w:t>年    月    日</w:t>
            </w:r>
          </w:p>
        </w:tc>
      </w:tr>
    </w:tbl>
    <w:p>
      <w:pPr>
        <w:snapToGrid w:val="0"/>
        <w:ind w:left="420" w:hanging="420" w:hangingChars="200"/>
        <w:rPr>
          <w:rFonts w:hint="eastAsia" w:ascii="宋体" w:hAnsi="宋体"/>
          <w:color w:val="auto"/>
          <w:szCs w:val="21"/>
          <w:highlight w:val="none"/>
        </w:rPr>
      </w:pPr>
    </w:p>
    <w:p>
      <w:pPr>
        <w:snapToGrid w:val="0"/>
        <w:spacing w:line="360" w:lineRule="auto"/>
        <w:jc w:val="center"/>
        <w:rPr>
          <w:rFonts w:hint="eastAsia" w:ascii="宋体" w:hAnsi="宋体"/>
          <w:b/>
          <w:color w:val="auto"/>
          <w:szCs w:val="21"/>
          <w:highlight w:val="none"/>
        </w:rPr>
      </w:pPr>
      <w:r>
        <w:rPr>
          <w:rFonts w:hint="eastAsia" w:ascii="宋体" w:hAnsi="宋体"/>
          <w:b/>
          <w:color w:val="auto"/>
          <w:szCs w:val="21"/>
          <w:highlight w:val="none"/>
        </w:rPr>
        <w:t>合 同 附 件</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一般货物类</w:t>
      </w:r>
    </w:p>
    <w:tbl>
      <w:tblPr>
        <w:tblStyle w:val="44"/>
        <w:tblW w:w="9657" w:type="dxa"/>
        <w:tblInd w:w="0" w:type="dxa"/>
        <w:tblLayout w:type="fixed"/>
        <w:tblCellMar>
          <w:top w:w="0" w:type="dxa"/>
          <w:left w:w="108" w:type="dxa"/>
          <w:bottom w:w="0" w:type="dxa"/>
          <w:right w:w="108" w:type="dxa"/>
        </w:tblCellMar>
      </w:tblPr>
      <w:tblGrid>
        <w:gridCol w:w="5524"/>
        <w:gridCol w:w="4133"/>
      </w:tblGrid>
      <w:tr>
        <w:tblPrEx>
          <w:tblCellMar>
            <w:top w:w="0" w:type="dxa"/>
            <w:left w:w="108" w:type="dxa"/>
            <w:bottom w:w="0" w:type="dxa"/>
            <w:right w:w="108" w:type="dxa"/>
          </w:tblCellMar>
        </w:tblPrEx>
        <w:trPr>
          <w:trHeight w:val="1036" w:hRule="atLeast"/>
        </w:trPr>
        <w:tc>
          <w:tcPr>
            <w:tcW w:w="9657"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 供应商承诺具体事项：</w:t>
            </w:r>
          </w:p>
        </w:tc>
      </w:tr>
      <w:tr>
        <w:tblPrEx>
          <w:tblCellMar>
            <w:top w:w="0" w:type="dxa"/>
            <w:left w:w="108" w:type="dxa"/>
            <w:bottom w:w="0" w:type="dxa"/>
            <w:right w:w="108" w:type="dxa"/>
          </w:tblCellMar>
        </w:tblPrEx>
        <w:trPr>
          <w:trHeight w:val="1038" w:hRule="atLeast"/>
        </w:trPr>
        <w:tc>
          <w:tcPr>
            <w:tcW w:w="9657"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 售后服务具体事项：</w:t>
            </w:r>
          </w:p>
        </w:tc>
      </w:tr>
      <w:tr>
        <w:tblPrEx>
          <w:tblCellMar>
            <w:top w:w="0" w:type="dxa"/>
            <w:left w:w="108" w:type="dxa"/>
            <w:bottom w:w="0" w:type="dxa"/>
            <w:right w:w="108" w:type="dxa"/>
          </w:tblCellMar>
        </w:tblPrEx>
        <w:trPr>
          <w:trHeight w:val="920" w:hRule="atLeast"/>
        </w:trPr>
        <w:tc>
          <w:tcPr>
            <w:tcW w:w="9657"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 保修期责任：</w:t>
            </w:r>
          </w:p>
        </w:tc>
      </w:tr>
      <w:tr>
        <w:tblPrEx>
          <w:tblCellMar>
            <w:top w:w="0" w:type="dxa"/>
            <w:left w:w="108" w:type="dxa"/>
            <w:bottom w:w="0" w:type="dxa"/>
            <w:right w:w="108" w:type="dxa"/>
          </w:tblCellMar>
        </w:tblPrEx>
        <w:trPr>
          <w:trHeight w:val="924" w:hRule="atLeast"/>
        </w:trPr>
        <w:tc>
          <w:tcPr>
            <w:tcW w:w="9657"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4. 其他具体事项：</w:t>
            </w:r>
          </w:p>
        </w:tc>
      </w:tr>
      <w:tr>
        <w:tblPrEx>
          <w:tblCellMar>
            <w:top w:w="0" w:type="dxa"/>
            <w:left w:w="108" w:type="dxa"/>
            <w:bottom w:w="0" w:type="dxa"/>
            <w:right w:w="108" w:type="dxa"/>
          </w:tblCellMar>
        </w:tblPrEx>
        <w:trPr>
          <w:trHeight w:val="1156" w:hRule="atLeast"/>
        </w:trPr>
        <w:tc>
          <w:tcPr>
            <w:tcW w:w="552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甲方（章）</w:t>
            </w:r>
          </w:p>
          <w:p>
            <w:pPr>
              <w:snapToGrid w:val="0"/>
              <w:spacing w:line="360" w:lineRule="auto"/>
              <w:ind w:firstLine="422" w:firstLineChars="200"/>
              <w:rPr>
                <w:rFonts w:hint="eastAsia" w:ascii="宋体" w:hAnsi="宋体"/>
                <w:b/>
                <w:color w:val="auto"/>
                <w:szCs w:val="21"/>
                <w:highlight w:val="none"/>
              </w:rPr>
            </w:pPr>
          </w:p>
          <w:p>
            <w:pPr>
              <w:snapToGrid w:val="0"/>
              <w:spacing w:line="360" w:lineRule="auto"/>
              <w:rPr>
                <w:rFonts w:hint="eastAsia" w:ascii="宋体" w:hAnsi="宋体"/>
                <w:b/>
                <w:color w:val="auto"/>
                <w:szCs w:val="21"/>
                <w:highlight w:val="none"/>
              </w:rPr>
            </w:pPr>
          </w:p>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 </w:t>
            </w:r>
          </w:p>
        </w:tc>
        <w:tc>
          <w:tcPr>
            <w:tcW w:w="41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乙方（章）</w:t>
            </w:r>
          </w:p>
          <w:p>
            <w:pPr>
              <w:snapToGrid w:val="0"/>
              <w:spacing w:line="360" w:lineRule="auto"/>
              <w:ind w:firstLine="422" w:firstLineChars="200"/>
              <w:rPr>
                <w:rFonts w:hint="eastAsia" w:ascii="宋体" w:hAnsi="宋体"/>
                <w:b/>
                <w:color w:val="auto"/>
                <w:szCs w:val="21"/>
                <w:highlight w:val="none"/>
              </w:rPr>
            </w:pPr>
          </w:p>
          <w:p>
            <w:pPr>
              <w:snapToGrid w:val="0"/>
              <w:spacing w:line="360" w:lineRule="auto"/>
              <w:rPr>
                <w:rFonts w:hint="eastAsia" w:ascii="宋体" w:hAnsi="宋体"/>
                <w:b/>
                <w:color w:val="auto"/>
                <w:szCs w:val="21"/>
                <w:highlight w:val="none"/>
              </w:rPr>
            </w:pPr>
          </w:p>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w:t>
            </w:r>
          </w:p>
        </w:tc>
      </w:tr>
    </w:tbl>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注：售后服务事项填不下时可另加附页</w:t>
      </w:r>
      <w:r>
        <w:rPr>
          <w:rFonts w:ascii="宋体" w:hAnsi="宋体"/>
          <w:b/>
          <w:color w:val="auto"/>
          <w:sz w:val="32"/>
          <w:szCs w:val="32"/>
          <w:highlight w:val="none"/>
        </w:rPr>
        <w:br w:type="page"/>
      </w: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rPr>
          <w:rFonts w:hint="eastAsia" w:ascii="宋体" w:hAnsi="宋体"/>
          <w:bCs/>
          <w:color w:val="auto"/>
          <w:sz w:val="32"/>
          <w:szCs w:val="32"/>
          <w:highlight w:val="none"/>
        </w:rPr>
      </w:pPr>
    </w:p>
    <w:p>
      <w:pPr>
        <w:snapToGrid w:val="0"/>
        <w:rPr>
          <w:rFonts w:hint="eastAsia" w:ascii="宋体" w:hAnsi="宋体"/>
          <w:bCs/>
          <w:color w:val="auto"/>
          <w:sz w:val="32"/>
          <w:szCs w:val="32"/>
          <w:highlight w:val="none"/>
        </w:rPr>
      </w:pPr>
    </w:p>
    <w:p>
      <w:pPr>
        <w:snapToGrid w:val="0"/>
        <w:rPr>
          <w:rFonts w:hint="eastAsia" w:ascii="宋体" w:hAnsi="宋体"/>
          <w:bCs/>
          <w:color w:val="auto"/>
          <w:sz w:val="32"/>
          <w:szCs w:val="32"/>
          <w:highlight w:val="none"/>
        </w:rPr>
      </w:pPr>
    </w:p>
    <w:p>
      <w:pPr>
        <w:snapToGrid w:val="0"/>
        <w:rPr>
          <w:rFonts w:hint="eastAsia" w:ascii="宋体" w:hAnsi="宋体"/>
          <w:bCs/>
          <w:color w:val="auto"/>
          <w:sz w:val="32"/>
          <w:szCs w:val="32"/>
          <w:highlight w:val="none"/>
        </w:rPr>
      </w:pPr>
    </w:p>
    <w:p>
      <w:pPr>
        <w:snapToGrid w:val="0"/>
        <w:rPr>
          <w:rFonts w:hint="eastAsia" w:ascii="宋体" w:hAnsi="宋体"/>
          <w:bCs/>
          <w:color w:val="auto"/>
          <w:sz w:val="32"/>
          <w:szCs w:val="32"/>
          <w:highlight w:val="none"/>
        </w:rPr>
      </w:pPr>
    </w:p>
    <w:p>
      <w:pPr>
        <w:snapToGrid w:val="0"/>
        <w:rPr>
          <w:rFonts w:hint="eastAsia" w:ascii="宋体" w:hAnsi="宋体"/>
          <w:bCs/>
          <w:color w:val="auto"/>
          <w:sz w:val="32"/>
          <w:szCs w:val="32"/>
          <w:highlight w:val="none"/>
        </w:rPr>
      </w:pPr>
    </w:p>
    <w:p>
      <w:pPr>
        <w:snapToGrid w:val="0"/>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pStyle w:val="4"/>
        <w:jc w:val="center"/>
        <w:rPr>
          <w:rFonts w:hint="eastAsia"/>
          <w:color w:val="auto"/>
          <w:highlight w:val="none"/>
        </w:rPr>
      </w:pPr>
      <w:bookmarkStart w:id="148" w:name="_Toc54691752"/>
      <w:r>
        <w:rPr>
          <w:rFonts w:hint="eastAsia"/>
          <w:color w:val="auto"/>
          <w:highlight w:val="none"/>
        </w:rPr>
        <w:t>第六章　投标文件格式</w:t>
      </w:r>
      <w:bookmarkEnd w:id="148"/>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r>
        <w:rPr>
          <w:rFonts w:ascii="宋体" w:hAnsi="宋体"/>
          <w:color w:val="auto"/>
          <w:sz w:val="32"/>
          <w:szCs w:val="20"/>
          <w:highlight w:val="none"/>
        </w:rPr>
        <w:br w:type="page"/>
      </w:r>
    </w:p>
    <w:p>
      <w:pPr>
        <w:snapToGrid w:val="0"/>
        <w:spacing w:before="50" w:after="50"/>
        <w:outlineLvl w:val="1"/>
        <w:rPr>
          <w:rFonts w:hint="eastAsia" w:ascii="宋体" w:hAnsi="宋体"/>
          <w:b/>
          <w:bCs/>
          <w:color w:val="auto"/>
          <w:sz w:val="28"/>
          <w:szCs w:val="28"/>
          <w:highlight w:val="none"/>
        </w:rPr>
      </w:pPr>
      <w:bookmarkStart w:id="149" w:name="_Toc54691753"/>
      <w:r>
        <w:rPr>
          <w:rFonts w:hint="eastAsia" w:ascii="宋体" w:hAnsi="宋体"/>
          <w:b/>
          <w:bCs/>
          <w:color w:val="auto"/>
          <w:sz w:val="28"/>
          <w:szCs w:val="28"/>
          <w:highlight w:val="none"/>
        </w:rPr>
        <w:t>一、投标文件外层包装封面格式</w:t>
      </w:r>
      <w:bookmarkEnd w:id="149"/>
      <w:r>
        <w:rPr>
          <w:rFonts w:hint="eastAsia" w:ascii="宋体" w:hAnsi="宋体"/>
          <w:b/>
          <w:color w:val="auto"/>
          <w:sz w:val="28"/>
          <w:szCs w:val="28"/>
          <w:highlight w:val="none"/>
        </w:rPr>
        <w:t xml:space="preserve"> </w:t>
      </w:r>
    </w:p>
    <w:p>
      <w:pPr>
        <w:snapToGrid w:val="0"/>
        <w:spacing w:before="120" w:beforeLines="50" w:after="50"/>
        <w:ind w:firstLine="562" w:firstLineChars="200"/>
        <w:rPr>
          <w:rFonts w:hint="eastAsia" w:ascii="宋体" w:hAnsi="宋体"/>
          <w:color w:val="auto"/>
          <w:sz w:val="28"/>
          <w:szCs w:val="28"/>
          <w:highlight w:val="none"/>
        </w:rPr>
      </w:pPr>
      <w:r>
        <w:rPr>
          <w:rFonts w:hint="eastAsia" w:ascii="宋体" w:hAnsi="宋体"/>
          <w:b/>
          <w:color w:val="auto"/>
          <w:sz w:val="28"/>
          <w:szCs w:val="28"/>
          <w:highlight w:val="none"/>
        </w:rPr>
        <w:t>所有投标文件的外包装封面格式：</w:t>
      </w:r>
    </w:p>
    <w:p>
      <w:pPr>
        <w:snapToGrid w:val="0"/>
        <w:spacing w:before="120" w:beforeLines="50" w:after="50"/>
        <w:rPr>
          <w:rFonts w:hint="eastAsia" w:ascii="宋体" w:hAnsi="宋体"/>
          <w:bCs/>
          <w:color w:val="auto"/>
          <w:sz w:val="32"/>
          <w:szCs w:val="32"/>
          <w:highlight w:val="none"/>
        </w:rPr>
      </w:pPr>
    </w:p>
    <w:p>
      <w:pPr>
        <w:snapToGrid w:val="0"/>
        <w:spacing w:before="120" w:beforeLines="50" w:after="50"/>
        <w:jc w:val="center"/>
        <w:rPr>
          <w:rFonts w:hint="eastAsia" w:ascii="宋体" w:hAnsi="宋体"/>
          <w:bCs/>
          <w:color w:val="auto"/>
          <w:sz w:val="32"/>
          <w:szCs w:val="32"/>
          <w:highlight w:val="none"/>
        </w:rPr>
      </w:pPr>
    </w:p>
    <w:p>
      <w:pPr>
        <w:snapToGrid w:val="0"/>
        <w:spacing w:before="120" w:beforeLines="50" w:after="50"/>
        <w:jc w:val="center"/>
        <w:rPr>
          <w:rFonts w:hint="eastAsia" w:ascii="宋体" w:hAnsi="宋体"/>
          <w:b/>
          <w:bCs/>
          <w:color w:val="auto"/>
          <w:sz w:val="72"/>
          <w:szCs w:val="72"/>
          <w:highlight w:val="none"/>
        </w:rPr>
      </w:pPr>
      <w:r>
        <w:rPr>
          <w:rFonts w:hint="eastAsia" w:ascii="宋体" w:hAnsi="宋体"/>
          <w:b/>
          <w:bCs/>
          <w:color w:val="auto"/>
          <w:sz w:val="72"/>
          <w:szCs w:val="72"/>
          <w:highlight w:val="none"/>
        </w:rPr>
        <w:t>投 标 文 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420" w:firstLineChars="150"/>
        <w:rPr>
          <w:rFonts w:hint="eastAsia" w:ascii="宋体" w:hAnsi="宋体"/>
          <w:bCs/>
          <w:color w:val="auto"/>
          <w:sz w:val="28"/>
          <w:szCs w:val="28"/>
          <w:highlight w:val="none"/>
        </w:rPr>
      </w:pPr>
      <w:r>
        <w:rPr>
          <w:rFonts w:hint="eastAsia" w:ascii="宋体" w:hAnsi="宋体"/>
          <w:bCs/>
          <w:color w:val="auto"/>
          <w:sz w:val="28"/>
          <w:szCs w:val="28"/>
          <w:highlight w:val="none"/>
        </w:rPr>
        <w:t>项目名称：</w:t>
      </w:r>
    </w:p>
    <w:p>
      <w:pPr>
        <w:snapToGrid w:val="0"/>
        <w:spacing w:before="120" w:beforeLines="50" w:after="50"/>
        <w:ind w:firstLine="420" w:firstLineChars="150"/>
        <w:rPr>
          <w:rFonts w:hint="eastAsia" w:ascii="宋体" w:hAnsi="宋体"/>
          <w:bCs/>
          <w:color w:val="auto"/>
          <w:sz w:val="28"/>
          <w:szCs w:val="28"/>
          <w:highlight w:val="none"/>
        </w:rPr>
      </w:pPr>
    </w:p>
    <w:p>
      <w:pPr>
        <w:snapToGrid w:val="0"/>
        <w:spacing w:before="120" w:beforeLines="50" w:after="50"/>
        <w:ind w:firstLine="420" w:firstLineChars="150"/>
        <w:rPr>
          <w:rFonts w:hint="eastAsia" w:ascii="宋体" w:hAnsi="宋体"/>
          <w:bCs/>
          <w:color w:val="auto"/>
          <w:sz w:val="28"/>
          <w:szCs w:val="28"/>
          <w:highlight w:val="none"/>
        </w:rPr>
      </w:pPr>
      <w:r>
        <w:rPr>
          <w:rFonts w:hint="eastAsia" w:ascii="宋体" w:hAnsi="宋体"/>
          <w:bCs/>
          <w:color w:val="auto"/>
          <w:sz w:val="28"/>
          <w:szCs w:val="28"/>
          <w:highlight w:val="none"/>
        </w:rPr>
        <w:t>项目编号：</w:t>
      </w:r>
    </w:p>
    <w:p>
      <w:pPr>
        <w:snapToGrid w:val="0"/>
        <w:spacing w:before="120" w:beforeLines="50" w:after="50"/>
        <w:ind w:firstLine="420" w:firstLineChars="150"/>
        <w:rPr>
          <w:rFonts w:hint="eastAsia" w:ascii="宋体" w:hAnsi="宋体"/>
          <w:bCs/>
          <w:color w:val="auto"/>
          <w:sz w:val="28"/>
          <w:szCs w:val="28"/>
          <w:highlight w:val="none"/>
        </w:rPr>
      </w:pPr>
    </w:p>
    <w:p>
      <w:pPr>
        <w:snapToGrid w:val="0"/>
        <w:spacing w:before="120" w:beforeLines="50" w:after="50"/>
        <w:ind w:firstLine="420" w:firstLineChars="150"/>
        <w:rPr>
          <w:rFonts w:hint="eastAsia" w:ascii="宋体" w:hAnsi="宋体"/>
          <w:bCs/>
          <w:color w:val="auto"/>
          <w:sz w:val="28"/>
          <w:szCs w:val="28"/>
          <w:highlight w:val="none"/>
        </w:rPr>
      </w:pPr>
      <w:r>
        <w:rPr>
          <w:rFonts w:hint="eastAsia" w:ascii="宋体" w:hAnsi="宋体"/>
          <w:bCs/>
          <w:color w:val="auto"/>
          <w:sz w:val="28"/>
          <w:szCs w:val="28"/>
          <w:highlight w:val="none"/>
        </w:rPr>
        <w:t>所投分标：</w:t>
      </w:r>
    </w:p>
    <w:p>
      <w:pPr>
        <w:snapToGrid w:val="0"/>
        <w:spacing w:before="120" w:beforeLines="50" w:after="50"/>
        <w:ind w:firstLine="420" w:firstLineChars="150"/>
        <w:rPr>
          <w:rFonts w:hint="eastAsia" w:ascii="宋体" w:hAnsi="宋体"/>
          <w:bCs/>
          <w:color w:val="auto"/>
          <w:sz w:val="28"/>
          <w:szCs w:val="28"/>
          <w:highlight w:val="none"/>
        </w:rPr>
      </w:pPr>
    </w:p>
    <w:p>
      <w:pPr>
        <w:pStyle w:val="7"/>
        <w:snapToGrid w:val="0"/>
        <w:spacing w:before="50" w:after="50"/>
        <w:ind w:firstLineChars="150"/>
        <w:rPr>
          <w:rFonts w:hint="eastAsia" w:ascii="宋体" w:hAnsi="宋体"/>
          <w:bCs/>
          <w:color w:val="auto"/>
          <w:sz w:val="28"/>
          <w:szCs w:val="28"/>
          <w:highlight w:val="none"/>
        </w:rPr>
      </w:pPr>
      <w:r>
        <w:rPr>
          <w:rFonts w:hint="eastAsia" w:ascii="宋体" w:hAnsi="宋体"/>
          <w:bCs/>
          <w:color w:val="auto"/>
          <w:sz w:val="28"/>
          <w:szCs w:val="28"/>
          <w:highlight w:val="none"/>
        </w:rPr>
        <w:t>投标文件名称：报价文件、资格证明文件、商务文件、技术文件</w:t>
      </w:r>
    </w:p>
    <w:p>
      <w:pPr>
        <w:pStyle w:val="7"/>
        <w:snapToGrid w:val="0"/>
        <w:spacing w:before="50" w:after="50"/>
        <w:ind w:firstLineChars="150"/>
        <w:rPr>
          <w:rFonts w:hint="eastAsia" w:ascii="宋体" w:hAnsi="宋体"/>
          <w:bCs/>
          <w:color w:val="auto"/>
          <w:sz w:val="28"/>
          <w:szCs w:val="28"/>
          <w:highlight w:val="none"/>
        </w:rPr>
      </w:pPr>
    </w:p>
    <w:p>
      <w:pPr>
        <w:pStyle w:val="7"/>
        <w:snapToGrid w:val="0"/>
        <w:spacing w:before="50" w:after="50"/>
        <w:ind w:firstLineChars="150"/>
        <w:rPr>
          <w:rFonts w:hint="eastAsia" w:ascii="宋体" w:hAnsi="宋体"/>
          <w:bCs/>
          <w:color w:val="auto"/>
          <w:sz w:val="28"/>
          <w:szCs w:val="28"/>
          <w:highlight w:val="none"/>
        </w:rPr>
      </w:pPr>
      <w:r>
        <w:rPr>
          <w:rFonts w:hint="eastAsia" w:ascii="宋体" w:hAnsi="宋体"/>
          <w:bCs/>
          <w:color w:val="auto"/>
          <w:sz w:val="28"/>
          <w:szCs w:val="28"/>
          <w:highlight w:val="none"/>
        </w:rPr>
        <w:t>投标人名称：</w:t>
      </w:r>
    </w:p>
    <w:p>
      <w:pPr>
        <w:pStyle w:val="7"/>
        <w:snapToGrid w:val="0"/>
        <w:spacing w:before="50" w:after="50"/>
        <w:ind w:firstLineChars="150"/>
        <w:rPr>
          <w:rFonts w:hint="eastAsia" w:ascii="宋体" w:hAnsi="宋体"/>
          <w:bCs/>
          <w:color w:val="auto"/>
          <w:sz w:val="28"/>
          <w:szCs w:val="28"/>
          <w:highlight w:val="none"/>
        </w:rPr>
      </w:pPr>
    </w:p>
    <w:p>
      <w:pPr>
        <w:pStyle w:val="7"/>
        <w:snapToGrid w:val="0"/>
        <w:spacing w:before="50" w:after="50"/>
        <w:ind w:firstLineChars="150"/>
        <w:rPr>
          <w:rFonts w:hint="eastAsia" w:ascii="宋体" w:hAnsi="宋体"/>
          <w:bCs/>
          <w:color w:val="auto"/>
          <w:sz w:val="28"/>
          <w:szCs w:val="28"/>
          <w:highlight w:val="none"/>
        </w:rPr>
      </w:pPr>
      <w:r>
        <w:rPr>
          <w:rFonts w:hint="eastAsia" w:ascii="宋体" w:hAnsi="宋体"/>
          <w:bCs/>
          <w:color w:val="auto"/>
          <w:sz w:val="28"/>
          <w:szCs w:val="28"/>
          <w:highlight w:val="none"/>
        </w:rPr>
        <w:t>投标人地址：</w:t>
      </w:r>
    </w:p>
    <w:p>
      <w:pPr>
        <w:pStyle w:val="7"/>
        <w:snapToGrid w:val="0"/>
        <w:spacing w:before="50" w:after="50"/>
        <w:ind w:firstLineChars="150"/>
        <w:rPr>
          <w:rFonts w:hint="eastAsia" w:ascii="宋体" w:hAnsi="宋体"/>
          <w:bCs/>
          <w:color w:val="auto"/>
          <w:sz w:val="28"/>
          <w:szCs w:val="28"/>
          <w:highlight w:val="none"/>
        </w:rPr>
      </w:pPr>
    </w:p>
    <w:p>
      <w:pPr>
        <w:pStyle w:val="7"/>
        <w:snapToGrid w:val="0"/>
        <w:spacing w:before="50" w:after="50"/>
        <w:ind w:firstLineChars="150"/>
        <w:rPr>
          <w:rFonts w:hint="eastAsia" w:ascii="宋体" w:hAnsi="宋体"/>
          <w:bCs/>
          <w:color w:val="auto"/>
          <w:sz w:val="28"/>
          <w:szCs w:val="28"/>
          <w:highlight w:val="none"/>
        </w:rPr>
      </w:pPr>
      <w:r>
        <w:rPr>
          <w:rFonts w:hint="eastAsia" w:ascii="宋体" w:hAnsi="宋体"/>
          <w:bCs/>
          <w:color w:val="auto"/>
          <w:sz w:val="28"/>
          <w:szCs w:val="28"/>
          <w:highlight w:val="none"/>
        </w:rPr>
        <w:t>在      年  月  日  时  分之前不得启封</w:t>
      </w:r>
    </w:p>
    <w:p>
      <w:pPr>
        <w:snapToGrid w:val="0"/>
        <w:spacing w:before="120" w:beforeLines="50" w:after="50"/>
        <w:ind w:firstLine="4080" w:firstLineChars="170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4080" w:firstLineChars="1700"/>
        <w:rPr>
          <w:rFonts w:hint="eastAsia" w:ascii="宋体" w:hAnsi="宋体"/>
          <w:bCs/>
          <w:color w:val="auto"/>
          <w:sz w:val="24"/>
          <w:szCs w:val="20"/>
          <w:highlight w:val="none"/>
        </w:rPr>
      </w:pPr>
    </w:p>
    <w:p>
      <w:pPr>
        <w:snapToGrid w:val="0"/>
        <w:spacing w:before="50" w:after="50"/>
        <w:outlineLvl w:val="1"/>
        <w:rPr>
          <w:rFonts w:hint="eastAsia" w:ascii="宋体" w:hAnsi="宋体"/>
          <w:bCs/>
          <w:color w:val="auto"/>
          <w:sz w:val="28"/>
          <w:szCs w:val="28"/>
          <w:highlight w:val="none"/>
        </w:rPr>
      </w:pPr>
      <w:r>
        <w:rPr>
          <w:rFonts w:hint="eastAsia" w:ascii="宋体" w:hAnsi="宋体"/>
          <w:bCs/>
          <w:color w:val="auto"/>
          <w:sz w:val="24"/>
          <w:highlight w:val="none"/>
        </w:rPr>
        <w:t xml:space="preserve">                                                      </w:t>
      </w:r>
      <w:r>
        <w:rPr>
          <w:rFonts w:hint="eastAsia" w:ascii="宋体" w:hAnsi="宋体"/>
          <w:bCs/>
          <w:color w:val="auto"/>
          <w:sz w:val="28"/>
          <w:szCs w:val="28"/>
          <w:highlight w:val="none"/>
        </w:rPr>
        <w:t xml:space="preserve">   </w:t>
      </w:r>
      <w:bookmarkStart w:id="150" w:name="_Toc54691754"/>
      <w:r>
        <w:rPr>
          <w:rFonts w:hint="eastAsia" w:ascii="宋体" w:hAnsi="宋体"/>
          <w:bCs/>
          <w:color w:val="auto"/>
          <w:sz w:val="28"/>
          <w:szCs w:val="28"/>
          <w:highlight w:val="none"/>
        </w:rPr>
        <w:t>年    月    日</w:t>
      </w:r>
      <w:bookmarkEnd w:id="150"/>
    </w:p>
    <w:p>
      <w:pPr>
        <w:snapToGrid w:val="0"/>
        <w:spacing w:before="120" w:beforeLines="50" w:after="50"/>
        <w:jc w:val="center"/>
        <w:outlineLvl w:val="1"/>
        <w:rPr>
          <w:rFonts w:hint="eastAsia" w:ascii="宋体" w:hAnsi="宋体"/>
          <w:color w:val="auto"/>
          <w:highlight w:val="none"/>
        </w:rPr>
      </w:pPr>
    </w:p>
    <w:p>
      <w:pPr>
        <w:snapToGrid w:val="0"/>
        <w:spacing w:before="120" w:beforeLines="50" w:after="50"/>
        <w:jc w:val="center"/>
        <w:outlineLvl w:val="1"/>
        <w:rPr>
          <w:rFonts w:hint="eastAsia" w:ascii="宋体" w:hAnsi="宋体"/>
          <w:color w:val="auto"/>
          <w:highlight w:val="none"/>
        </w:rPr>
      </w:pPr>
    </w:p>
    <w:p>
      <w:pPr>
        <w:snapToGrid w:val="0"/>
        <w:spacing w:before="120" w:beforeLines="50" w:after="50"/>
        <w:jc w:val="center"/>
        <w:outlineLvl w:val="1"/>
        <w:rPr>
          <w:rFonts w:hint="eastAsia" w:ascii="宋体" w:hAnsi="宋体"/>
          <w:color w:val="auto"/>
          <w:highlight w:val="none"/>
        </w:rPr>
      </w:pPr>
    </w:p>
    <w:p>
      <w:pPr>
        <w:snapToGrid w:val="0"/>
        <w:spacing w:before="120" w:beforeLines="50" w:after="50"/>
        <w:jc w:val="center"/>
        <w:outlineLvl w:val="1"/>
        <w:rPr>
          <w:rFonts w:hint="eastAsia" w:ascii="宋体" w:hAnsi="宋体"/>
          <w:color w:val="auto"/>
          <w:highlight w:val="none"/>
        </w:rPr>
      </w:pPr>
    </w:p>
    <w:p>
      <w:pPr>
        <w:snapToGrid w:val="0"/>
        <w:spacing w:before="120" w:beforeLines="50" w:after="50"/>
        <w:outlineLvl w:val="1"/>
        <w:rPr>
          <w:rFonts w:hint="eastAsia" w:ascii="宋体" w:hAnsi="宋体"/>
          <w:b/>
          <w:bCs/>
          <w:color w:val="auto"/>
          <w:sz w:val="28"/>
          <w:szCs w:val="28"/>
          <w:highlight w:val="none"/>
        </w:rPr>
      </w:pPr>
      <w:bookmarkStart w:id="151" w:name="_Toc54691755"/>
      <w:bookmarkStart w:id="152" w:name="_Toc254970698"/>
      <w:bookmarkStart w:id="153" w:name="_Toc254970557"/>
      <w:r>
        <w:rPr>
          <w:rFonts w:hint="eastAsia" w:ascii="宋体" w:hAnsi="宋体"/>
          <w:b/>
          <w:bCs/>
          <w:color w:val="auto"/>
          <w:sz w:val="28"/>
          <w:szCs w:val="28"/>
          <w:highlight w:val="none"/>
        </w:rPr>
        <w:t>二、报价文件格式</w:t>
      </w:r>
      <w:bookmarkEnd w:id="151"/>
    </w:p>
    <w:p>
      <w:pPr>
        <w:snapToGrid w:val="0"/>
        <w:spacing w:before="120" w:beforeLines="50" w:after="50"/>
        <w:ind w:left="142"/>
        <w:jc w:val="left"/>
        <w:rPr>
          <w:rFonts w:hint="eastAsia" w:ascii="宋体" w:hAnsi="宋体"/>
          <w:color w:val="auto"/>
          <w:sz w:val="24"/>
          <w:highlight w:val="none"/>
        </w:rPr>
      </w:pPr>
      <w:r>
        <w:rPr>
          <w:rFonts w:hint="eastAsia" w:ascii="宋体" w:hAnsi="宋体"/>
          <w:b/>
          <w:color w:val="auto"/>
          <w:sz w:val="24"/>
          <w:highlight w:val="none"/>
        </w:rPr>
        <w:t xml:space="preserve">1. 报价文件封面格式： </w:t>
      </w:r>
    </w:p>
    <w:p>
      <w:pPr>
        <w:snapToGrid w:val="0"/>
        <w:spacing w:before="120" w:beforeLines="50" w:after="50" w:line="400" w:lineRule="exact"/>
        <w:rPr>
          <w:rFonts w:hint="eastAsia" w:ascii="宋体" w:hAnsi="宋体"/>
          <w:bCs/>
          <w:color w:val="auto"/>
          <w:sz w:val="24"/>
          <w:highlight w:val="none"/>
        </w:rPr>
      </w:pPr>
      <w:r>
        <w:rPr>
          <w:rFonts w:hint="eastAsia" w:ascii="宋体" w:hAnsi="宋体"/>
          <w:color w:val="auto"/>
          <w:sz w:val="24"/>
          <w:highlight w:val="none"/>
        </w:rPr>
        <w:t xml:space="preserve">                                                            </w:t>
      </w:r>
      <w:r>
        <w:rPr>
          <w:rFonts w:hint="eastAsia" w:ascii="宋体" w:hAnsi="宋体"/>
          <w:bCs/>
          <w:color w:val="auto"/>
          <w:sz w:val="24"/>
          <w:highlight w:val="none"/>
        </w:rPr>
        <w:t>正本/副本</w:t>
      </w:r>
    </w:p>
    <w:p>
      <w:pPr>
        <w:snapToGrid w:val="0"/>
        <w:spacing w:before="120" w:beforeLines="50" w:after="50" w:line="400" w:lineRule="exact"/>
        <w:jc w:val="center"/>
        <w:rPr>
          <w:rFonts w:hint="eastAsia" w:ascii="宋体" w:hAnsi="宋体"/>
          <w:bCs/>
          <w:color w:val="auto"/>
          <w:sz w:val="24"/>
          <w:szCs w:val="20"/>
          <w:highlight w:val="none"/>
        </w:rPr>
      </w:pPr>
    </w:p>
    <w:p>
      <w:pPr>
        <w:snapToGrid w:val="0"/>
        <w:spacing w:before="120" w:beforeLines="50" w:after="50" w:line="620" w:lineRule="exact"/>
        <w:jc w:val="center"/>
        <w:rPr>
          <w:rFonts w:hint="eastAsia" w:ascii="宋体" w:hAnsi="宋体"/>
          <w:b/>
          <w:bCs/>
          <w:color w:val="auto"/>
          <w:sz w:val="72"/>
          <w:szCs w:val="72"/>
          <w:highlight w:val="none"/>
        </w:rPr>
      </w:pPr>
      <w:r>
        <w:rPr>
          <w:rFonts w:hint="eastAsia" w:ascii="宋体" w:hAnsi="宋体"/>
          <w:b/>
          <w:bCs/>
          <w:color w:val="auto"/>
          <w:sz w:val="72"/>
          <w:szCs w:val="72"/>
          <w:highlight w:val="none"/>
        </w:rPr>
        <w:t>报价文件</w:t>
      </w: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
          <w:bCs/>
          <w:color w:val="auto"/>
          <w:sz w:val="28"/>
          <w:szCs w:val="28"/>
          <w:highlight w:val="none"/>
        </w:rPr>
      </w:pPr>
    </w:p>
    <w:p>
      <w:pPr>
        <w:snapToGrid w:val="0"/>
        <w:spacing w:before="120" w:beforeLines="50" w:after="50" w:line="400" w:lineRule="exact"/>
        <w:ind w:firstLine="422" w:firstLineChars="150"/>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项目名称： </w:t>
      </w:r>
    </w:p>
    <w:p>
      <w:pPr>
        <w:snapToGrid w:val="0"/>
        <w:spacing w:before="120" w:beforeLines="50" w:after="50" w:line="400" w:lineRule="exact"/>
        <w:ind w:firstLine="422" w:firstLineChars="150"/>
        <w:rPr>
          <w:rFonts w:hint="eastAsia" w:ascii="宋体" w:hAnsi="宋体"/>
          <w:b/>
          <w:bCs/>
          <w:color w:val="auto"/>
          <w:sz w:val="28"/>
          <w:szCs w:val="28"/>
          <w:highlight w:val="none"/>
        </w:rPr>
      </w:pPr>
    </w:p>
    <w:p>
      <w:pPr>
        <w:snapToGrid w:val="0"/>
        <w:spacing w:before="120" w:beforeLines="50" w:after="50" w:line="400" w:lineRule="exact"/>
        <w:ind w:firstLine="422" w:firstLineChars="150"/>
        <w:rPr>
          <w:rFonts w:hint="eastAsia" w:ascii="宋体" w:hAnsi="宋体"/>
          <w:b/>
          <w:bCs/>
          <w:color w:val="auto"/>
          <w:sz w:val="28"/>
          <w:szCs w:val="28"/>
          <w:highlight w:val="none"/>
        </w:rPr>
      </w:pPr>
      <w:r>
        <w:rPr>
          <w:rFonts w:hint="eastAsia" w:ascii="宋体" w:hAnsi="宋体"/>
          <w:b/>
          <w:bCs/>
          <w:color w:val="auto"/>
          <w:sz w:val="28"/>
          <w:szCs w:val="28"/>
          <w:highlight w:val="none"/>
        </w:rPr>
        <w:t>项目编号：</w:t>
      </w:r>
    </w:p>
    <w:p>
      <w:pPr>
        <w:snapToGrid w:val="0"/>
        <w:spacing w:before="120" w:beforeLines="50" w:after="50" w:line="400" w:lineRule="exact"/>
        <w:ind w:firstLine="422" w:firstLineChars="150"/>
        <w:rPr>
          <w:rFonts w:hint="eastAsia" w:ascii="宋体" w:hAnsi="宋体"/>
          <w:b/>
          <w:bCs/>
          <w:color w:val="auto"/>
          <w:sz w:val="28"/>
          <w:szCs w:val="28"/>
          <w:highlight w:val="none"/>
        </w:rPr>
      </w:pPr>
    </w:p>
    <w:p>
      <w:pPr>
        <w:snapToGrid w:val="0"/>
        <w:spacing w:before="120" w:beforeLines="50" w:after="50" w:line="400" w:lineRule="exact"/>
        <w:ind w:firstLine="422" w:firstLineChars="150"/>
        <w:rPr>
          <w:rFonts w:hint="eastAsia" w:ascii="宋体" w:hAnsi="宋体"/>
          <w:b/>
          <w:bCs/>
          <w:color w:val="auto"/>
          <w:sz w:val="28"/>
          <w:szCs w:val="28"/>
          <w:highlight w:val="none"/>
        </w:rPr>
      </w:pPr>
      <w:r>
        <w:rPr>
          <w:rFonts w:hint="eastAsia" w:ascii="宋体" w:hAnsi="宋体"/>
          <w:b/>
          <w:bCs/>
          <w:color w:val="auto"/>
          <w:sz w:val="28"/>
          <w:szCs w:val="28"/>
          <w:highlight w:val="none"/>
        </w:rPr>
        <w:t>所投分标：</w:t>
      </w:r>
    </w:p>
    <w:p>
      <w:pPr>
        <w:snapToGrid w:val="0"/>
        <w:spacing w:before="120" w:beforeLines="50" w:after="50" w:line="400" w:lineRule="exact"/>
        <w:ind w:firstLine="422" w:firstLineChars="150"/>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 </w:t>
      </w:r>
    </w:p>
    <w:p>
      <w:pPr>
        <w:snapToGrid w:val="0"/>
        <w:spacing w:before="120" w:beforeLines="50" w:after="50" w:line="400" w:lineRule="exact"/>
        <w:ind w:firstLine="422" w:firstLineChars="150"/>
        <w:rPr>
          <w:rFonts w:hint="eastAsia" w:ascii="宋体" w:hAnsi="宋体"/>
          <w:b/>
          <w:bCs/>
          <w:color w:val="auto"/>
          <w:sz w:val="28"/>
          <w:szCs w:val="28"/>
          <w:highlight w:val="none"/>
        </w:rPr>
      </w:pPr>
      <w:r>
        <w:rPr>
          <w:rFonts w:hint="eastAsia" w:ascii="宋体" w:hAnsi="宋体"/>
          <w:b/>
          <w:bCs/>
          <w:color w:val="auto"/>
          <w:sz w:val="28"/>
          <w:szCs w:val="28"/>
          <w:highlight w:val="none"/>
        </w:rPr>
        <w:t>投标人名称：</w:t>
      </w:r>
    </w:p>
    <w:p>
      <w:pPr>
        <w:snapToGrid w:val="0"/>
        <w:spacing w:before="120" w:beforeLines="50" w:after="50" w:line="400" w:lineRule="exact"/>
        <w:ind w:firstLine="422" w:firstLineChars="150"/>
        <w:rPr>
          <w:rFonts w:hint="eastAsia" w:ascii="宋体" w:hAnsi="宋体"/>
          <w:b/>
          <w:bCs/>
          <w:color w:val="auto"/>
          <w:sz w:val="28"/>
          <w:szCs w:val="28"/>
          <w:highlight w:val="none"/>
        </w:rPr>
      </w:pPr>
    </w:p>
    <w:p>
      <w:pPr>
        <w:snapToGrid w:val="0"/>
        <w:spacing w:before="120" w:beforeLines="50" w:after="50" w:line="400" w:lineRule="exact"/>
        <w:ind w:firstLine="422" w:firstLineChars="150"/>
        <w:rPr>
          <w:rFonts w:hint="eastAsia" w:ascii="宋体" w:hAnsi="宋体"/>
          <w:b/>
          <w:bCs/>
          <w:color w:val="auto"/>
          <w:sz w:val="28"/>
          <w:szCs w:val="28"/>
          <w:highlight w:val="none"/>
        </w:rPr>
      </w:pPr>
      <w:r>
        <w:rPr>
          <w:rFonts w:hint="eastAsia" w:ascii="宋体" w:hAnsi="宋体"/>
          <w:b/>
          <w:bCs/>
          <w:color w:val="auto"/>
          <w:sz w:val="28"/>
          <w:szCs w:val="28"/>
          <w:highlight w:val="none"/>
        </w:rPr>
        <w:t>投标人地址：</w:t>
      </w:r>
    </w:p>
    <w:p>
      <w:pPr>
        <w:pStyle w:val="7"/>
        <w:snapToGrid w:val="0"/>
        <w:spacing w:before="50" w:after="50" w:line="400" w:lineRule="exact"/>
        <w:ind w:firstLine="1124" w:firstLineChars="400"/>
        <w:rPr>
          <w:rFonts w:hint="eastAsia" w:ascii="宋体" w:hAnsi="宋体"/>
          <w:b/>
          <w:bCs/>
          <w:color w:val="auto"/>
          <w:sz w:val="28"/>
          <w:szCs w:val="28"/>
          <w:highlight w:val="none"/>
        </w:rPr>
      </w:pPr>
    </w:p>
    <w:p>
      <w:pPr>
        <w:snapToGrid w:val="0"/>
        <w:spacing w:before="120" w:beforeLines="50" w:after="50" w:line="40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 xml:space="preserve">                             </w:t>
      </w:r>
    </w:p>
    <w:p>
      <w:pPr>
        <w:snapToGrid w:val="0"/>
        <w:spacing w:before="120" w:beforeLines="50" w:after="50" w:line="40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 xml:space="preserve">                                             年  月  日</w:t>
      </w:r>
    </w:p>
    <w:p>
      <w:pPr>
        <w:snapToGrid w:val="0"/>
        <w:spacing w:line="480" w:lineRule="exact"/>
        <w:jc w:val="left"/>
        <w:rPr>
          <w:rFonts w:hint="eastAsia" w:ascii="宋体" w:hAnsi="宋体"/>
          <w:b/>
          <w:color w:val="auto"/>
          <w:sz w:val="24"/>
          <w:highlight w:val="none"/>
        </w:rPr>
      </w:pPr>
      <w:r>
        <w:rPr>
          <w:rFonts w:ascii="宋体" w:hAnsi="宋体"/>
          <w:b/>
          <w:color w:val="auto"/>
          <w:sz w:val="24"/>
          <w:highlight w:val="none"/>
        </w:rPr>
        <w:br w:type="page"/>
      </w:r>
    </w:p>
    <w:p>
      <w:pPr>
        <w:snapToGrid w:val="0"/>
        <w:spacing w:line="480" w:lineRule="exact"/>
        <w:jc w:val="left"/>
        <w:rPr>
          <w:rFonts w:hint="eastAsia" w:ascii="宋体" w:hAnsi="宋体"/>
          <w:color w:val="auto"/>
          <w:sz w:val="24"/>
          <w:highlight w:val="none"/>
        </w:rPr>
      </w:pPr>
      <w:r>
        <w:rPr>
          <w:rFonts w:hint="eastAsia" w:ascii="宋体" w:hAnsi="宋体"/>
          <w:b/>
          <w:color w:val="auto"/>
          <w:sz w:val="24"/>
          <w:highlight w:val="none"/>
        </w:rPr>
        <w:t>2.</w:t>
      </w:r>
      <w:r>
        <w:rPr>
          <w:rFonts w:hint="eastAsia" w:ascii="宋体" w:hAnsi="宋体"/>
          <w:b/>
          <w:bCs/>
          <w:color w:val="auto"/>
          <w:sz w:val="24"/>
          <w:highlight w:val="none"/>
        </w:rPr>
        <w:t>报价文件目录</w:t>
      </w:r>
    </w:p>
    <w:p>
      <w:pPr>
        <w:snapToGrid w:val="0"/>
        <w:spacing w:line="480" w:lineRule="exact"/>
        <w:ind w:firstLine="840" w:firstLineChars="350"/>
        <w:jc w:val="left"/>
        <w:rPr>
          <w:rFonts w:ascii="宋体" w:hAnsi="宋体"/>
          <w:b/>
          <w:color w:val="auto"/>
          <w:sz w:val="24"/>
          <w:highlight w:val="none"/>
        </w:rPr>
      </w:pPr>
      <w:r>
        <w:rPr>
          <w:rFonts w:hint="eastAsia" w:ascii="宋体" w:hAnsi="宋体"/>
          <w:color w:val="auto"/>
          <w:sz w:val="24"/>
          <w:highlight w:val="none"/>
        </w:rPr>
        <w:t>根据招标文件规定及投标人提供的材料自行编写目录（应附有页码）</w:t>
      </w:r>
    </w:p>
    <w:p>
      <w:pPr>
        <w:snapToGrid w:val="0"/>
        <w:spacing w:before="120" w:beforeLines="50" w:after="50"/>
        <w:rPr>
          <w:rFonts w:hint="eastAsia" w:ascii="宋体" w:hAnsi="宋体"/>
          <w:b/>
          <w:color w:val="auto"/>
          <w:sz w:val="24"/>
          <w:highlight w:val="none"/>
        </w:rPr>
      </w:pPr>
    </w:p>
    <w:p>
      <w:pPr>
        <w:snapToGrid w:val="0"/>
        <w:spacing w:before="120" w:beforeLines="50" w:after="50"/>
        <w:rPr>
          <w:rFonts w:hint="eastAsia" w:ascii="宋体" w:hAnsi="宋体"/>
          <w:b/>
          <w:color w:val="auto"/>
          <w:sz w:val="24"/>
          <w:highlight w:val="none"/>
        </w:rPr>
      </w:pPr>
    </w:p>
    <w:p>
      <w:pPr>
        <w:snapToGrid w:val="0"/>
        <w:spacing w:before="120" w:beforeLines="50" w:after="50"/>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p>
    <w:p>
      <w:pPr>
        <w:snapToGrid w:val="0"/>
        <w:spacing w:before="120" w:beforeLines="50" w:after="50"/>
        <w:ind w:left="142"/>
        <w:jc w:val="left"/>
        <w:rPr>
          <w:rFonts w:hint="eastAsia" w:ascii="宋体" w:hAnsi="宋体"/>
          <w:b/>
          <w:color w:val="auto"/>
          <w:sz w:val="24"/>
          <w:highlight w:val="none"/>
        </w:rPr>
      </w:pPr>
      <w:r>
        <w:rPr>
          <w:rFonts w:hint="eastAsia" w:ascii="宋体" w:hAnsi="宋体"/>
          <w:b/>
          <w:color w:val="auto"/>
          <w:sz w:val="24"/>
          <w:highlight w:val="none"/>
        </w:rPr>
        <w:t>3. 投标函格式：</w:t>
      </w:r>
    </w:p>
    <w:p>
      <w:pPr>
        <w:snapToGrid w:val="0"/>
        <w:spacing w:before="120" w:beforeLines="50" w:after="50"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投 标 函</w:t>
      </w:r>
    </w:p>
    <w:p>
      <w:pPr>
        <w:snapToGrid w:val="0"/>
        <w:spacing w:before="120" w:beforeLines="50" w:after="50" w:line="320" w:lineRule="exact"/>
        <w:jc w:val="center"/>
        <w:rPr>
          <w:rFonts w:hint="eastAsia" w:ascii="宋体" w:hAnsi="宋体"/>
          <w:b/>
          <w:color w:val="auto"/>
          <w:sz w:val="24"/>
          <w:szCs w:val="20"/>
          <w:highlight w:val="none"/>
        </w:rPr>
      </w:pPr>
    </w:p>
    <w:p>
      <w:pPr>
        <w:snapToGrid w:val="0"/>
        <w:spacing w:line="380" w:lineRule="exact"/>
        <w:rPr>
          <w:rFonts w:hint="eastAsia" w:ascii="宋体" w:hAnsi="宋体"/>
          <w:color w:val="auto"/>
          <w:sz w:val="24"/>
          <w:szCs w:val="20"/>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napToGrid w:val="0"/>
        <w:spacing w:line="380" w:lineRule="exact"/>
        <w:ind w:firstLine="480"/>
        <w:rPr>
          <w:rFonts w:hint="eastAsia" w:ascii="宋体" w:hAnsi="宋体"/>
          <w:color w:val="auto"/>
          <w:sz w:val="24"/>
          <w:szCs w:val="20"/>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_____     _</w:t>
      </w:r>
      <w:r>
        <w:rPr>
          <w:rFonts w:hint="eastAsia" w:ascii="宋体" w:hAnsi="宋体"/>
          <w:color w:val="auto"/>
          <w:sz w:val="24"/>
          <w:highlight w:val="none"/>
        </w:rPr>
        <w:t>_）的招标公告，签字代表______</w:t>
      </w:r>
      <w:r>
        <w:rPr>
          <w:rFonts w:hint="eastAsia" w:ascii="宋体" w:hAnsi="宋体"/>
          <w:color w:val="auto"/>
          <w:sz w:val="24"/>
          <w:highlight w:val="none"/>
          <w:u w:val="single"/>
        </w:rPr>
        <w:t xml:space="preserve">_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_______                  __</w:t>
      </w:r>
      <w:r>
        <w:rPr>
          <w:rFonts w:hint="eastAsia" w:ascii="宋体" w:hAnsi="宋体"/>
          <w:color w:val="auto"/>
          <w:sz w:val="24"/>
          <w:highlight w:val="none"/>
        </w:rPr>
        <w:t>（投标人名称）提交投标文件。</w:t>
      </w:r>
    </w:p>
    <w:p>
      <w:pPr>
        <w:snapToGrid w:val="0"/>
        <w:spacing w:line="380" w:lineRule="exact"/>
        <w:ind w:firstLine="480" w:firstLineChars="200"/>
        <w:rPr>
          <w:rFonts w:hint="eastAsia" w:ascii="宋体" w:hAnsi="宋体"/>
          <w:color w:val="auto"/>
          <w:sz w:val="24"/>
          <w:szCs w:val="20"/>
          <w:highlight w:val="none"/>
        </w:rPr>
      </w:pPr>
      <w:r>
        <w:rPr>
          <w:rFonts w:hint="eastAsia" w:ascii="宋体" w:hAnsi="宋体"/>
          <w:color w:val="auto"/>
          <w:sz w:val="24"/>
          <w:highlight w:val="none"/>
        </w:rPr>
        <w:t>据此函，签字代表宣布同意如下：</w:t>
      </w:r>
    </w:p>
    <w:p>
      <w:pPr>
        <w:snapToGrid w:val="0"/>
        <w:spacing w:line="380" w:lineRule="exact"/>
        <w:ind w:firstLine="480" w:firstLineChars="200"/>
        <w:rPr>
          <w:rFonts w:hint="eastAsia" w:ascii="宋体" w:hAnsi="宋体"/>
          <w:color w:val="auto"/>
          <w:sz w:val="24"/>
          <w:szCs w:val="20"/>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80" w:lineRule="exact"/>
        <w:ind w:firstLine="480" w:firstLineChars="200"/>
        <w:rPr>
          <w:rFonts w:hint="eastAsia" w:ascii="宋体" w:hAnsi="宋体"/>
          <w:color w:val="auto"/>
          <w:sz w:val="24"/>
          <w:szCs w:val="20"/>
          <w:highlight w:val="none"/>
        </w:rPr>
      </w:pPr>
      <w:r>
        <w:rPr>
          <w:rFonts w:hint="eastAsia" w:ascii="宋体" w:hAnsi="宋体"/>
          <w:color w:val="auto"/>
          <w:sz w:val="24"/>
          <w:highlight w:val="none"/>
        </w:rPr>
        <w:t>2.我方在投标之前已经与贵方进行了充分的沟通，完全理解并接受招标文件的各项规定和要求，对招标文件的合理性、合法性不再有异议。</w:t>
      </w:r>
    </w:p>
    <w:p>
      <w:pPr>
        <w:snapToGrid w:val="0"/>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color w:val="auto"/>
          <w:highlight w:val="none"/>
        </w:rPr>
        <w:t xml:space="preserve"> </w:t>
      </w:r>
      <w:r>
        <w:rPr>
          <w:rFonts w:hint="eastAsia" w:ascii="宋体" w:hAnsi="宋体"/>
          <w:color w:val="auto"/>
          <w:sz w:val="24"/>
          <w:highlight w:val="none"/>
        </w:rPr>
        <w:t>本投标有效期自投标文件提交截止之日起120日。</w:t>
      </w:r>
    </w:p>
    <w:p>
      <w:pPr>
        <w:snapToGrid w:val="0"/>
        <w:spacing w:line="380" w:lineRule="exact"/>
        <w:ind w:firstLine="480" w:firstLineChars="200"/>
        <w:rPr>
          <w:rFonts w:hint="eastAsia" w:ascii="宋体" w:hAnsi="宋体"/>
          <w:color w:val="auto"/>
          <w:sz w:val="24"/>
          <w:szCs w:val="20"/>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pPr>
        <w:snapToGrid w:val="0"/>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5.我方同意按照贵方要求提供与投标有关的一切数据或资料。</w:t>
      </w:r>
    </w:p>
    <w:p>
      <w:pPr>
        <w:snapToGrid w:val="0"/>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pPr>
        <w:snapToGrid w:val="0"/>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7.以上事项如有虚假或隐瞒，我方愿意承担一切后果，并不再寻求任何旨在减轻或免除法律责任的辩解。</w:t>
      </w:r>
    </w:p>
    <w:p>
      <w:pPr>
        <w:spacing w:line="380" w:lineRule="exact"/>
        <w:ind w:firstLine="480" w:firstLineChars="200"/>
        <w:rPr>
          <w:rFonts w:hint="eastAsia" w:ascii="宋体" w:hAnsi="宋体"/>
          <w:color w:val="auto"/>
          <w:sz w:val="24"/>
          <w:szCs w:val="20"/>
          <w:highlight w:val="none"/>
        </w:rPr>
      </w:pPr>
      <w:r>
        <w:rPr>
          <w:rFonts w:hint="eastAsia" w:ascii="宋体" w:hAnsi="宋体"/>
          <w:color w:val="auto"/>
          <w:sz w:val="24"/>
          <w:highlight w:val="none"/>
        </w:rPr>
        <w:t>8.</w:t>
      </w:r>
      <w:r>
        <w:rPr>
          <w:rFonts w:hint="eastAsia" w:ascii="宋体" w:hAnsi="宋体"/>
          <w:color w:val="auto"/>
          <w:sz w:val="24"/>
          <w:szCs w:val="20"/>
          <w:highlight w:val="none"/>
        </w:rPr>
        <w:t>根据</w:t>
      </w:r>
      <w:r>
        <w:rPr>
          <w:rFonts w:ascii="宋体" w:hAnsi="宋体"/>
          <w:color w:val="auto"/>
          <w:sz w:val="24"/>
          <w:szCs w:val="20"/>
          <w:highlight w:val="none"/>
        </w:rPr>
        <w:t>《中华人民共和国政府采购法实施条例》第五十条要求对政府采购合同进行公告</w:t>
      </w:r>
      <w:r>
        <w:rPr>
          <w:rFonts w:hint="eastAsia" w:ascii="宋体" w:hAnsi="宋体"/>
          <w:color w:val="auto"/>
          <w:sz w:val="24"/>
          <w:szCs w:val="20"/>
          <w:highlight w:val="none"/>
        </w:rPr>
        <w:t>，</w:t>
      </w:r>
      <w:r>
        <w:rPr>
          <w:rFonts w:ascii="宋体" w:hAnsi="宋体"/>
          <w:color w:val="auto"/>
          <w:sz w:val="24"/>
          <w:szCs w:val="20"/>
          <w:highlight w:val="none"/>
        </w:rPr>
        <w:t>但政府采购合同中涉及国家秘密、商业秘密的内容除外。</w:t>
      </w:r>
      <w:r>
        <w:rPr>
          <w:rFonts w:hint="eastAsia" w:ascii="宋体" w:hAnsi="宋体"/>
          <w:color w:val="auto"/>
          <w:sz w:val="24"/>
          <w:szCs w:val="20"/>
          <w:highlight w:val="none"/>
        </w:rPr>
        <w:t>我方就对本次投标文件进行注明如下：（两项内容中必须选择一项）</w:t>
      </w:r>
    </w:p>
    <w:p>
      <w:pPr>
        <w:spacing w:line="380" w:lineRule="exact"/>
        <w:ind w:firstLine="480" w:firstLineChars="200"/>
        <w:rPr>
          <w:rFonts w:hint="eastAsia" w:ascii="宋体" w:hAnsi="宋体"/>
          <w:color w:val="auto"/>
          <w:sz w:val="24"/>
          <w:szCs w:val="20"/>
          <w:highlight w:val="none"/>
        </w:rPr>
      </w:pPr>
      <w:r>
        <w:rPr>
          <w:rFonts w:hint="eastAsia" w:ascii="宋体" w:hAnsi="宋体"/>
          <w:color w:val="auto"/>
          <w:sz w:val="24"/>
          <w:szCs w:val="20"/>
          <w:highlight w:val="none"/>
        </w:rPr>
        <w:t>□我方本次投标文件</w:t>
      </w:r>
      <w:r>
        <w:rPr>
          <w:rFonts w:ascii="宋体" w:hAnsi="宋体" w:cs="宋体"/>
          <w:color w:val="auto"/>
          <w:kern w:val="0"/>
          <w:sz w:val="24"/>
          <w:highlight w:val="none"/>
        </w:rPr>
        <w:t>内容中</w:t>
      </w:r>
      <w:r>
        <w:rPr>
          <w:rFonts w:hint="eastAsia" w:ascii="宋体" w:hAnsi="宋体"/>
          <w:color w:val="auto"/>
          <w:sz w:val="24"/>
          <w:szCs w:val="20"/>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pPr>
        <w:snapToGrid w:val="0"/>
        <w:spacing w:line="380" w:lineRule="exact"/>
        <w:ind w:firstLine="480" w:firstLineChars="200"/>
        <w:rPr>
          <w:rFonts w:hint="eastAsia" w:ascii="宋体" w:hAnsi="宋体"/>
          <w:color w:val="auto"/>
          <w:sz w:val="24"/>
          <w:szCs w:val="20"/>
          <w:highlight w:val="none"/>
        </w:rPr>
      </w:pPr>
      <w:r>
        <w:rPr>
          <w:rFonts w:hint="eastAsia" w:ascii="宋体" w:hAnsi="宋体"/>
          <w:color w:val="auto"/>
          <w:sz w:val="24"/>
          <w:szCs w:val="20"/>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line="380" w:lineRule="exact"/>
        <w:ind w:firstLine="480" w:firstLineChars="200"/>
        <w:rPr>
          <w:rFonts w:hint="eastAsia" w:ascii="宋体" w:hAnsi="宋体"/>
          <w:color w:val="auto"/>
          <w:sz w:val="24"/>
          <w:szCs w:val="20"/>
          <w:highlight w:val="none"/>
        </w:rPr>
      </w:pPr>
      <w:r>
        <w:rPr>
          <w:rFonts w:hint="eastAsia" w:ascii="宋体" w:hAnsi="宋体"/>
          <w:color w:val="auto"/>
          <w:sz w:val="24"/>
          <w:highlight w:val="none"/>
        </w:rPr>
        <w:t>9.与本投标有关的一切正式往来信函请寄：</w:t>
      </w:r>
    </w:p>
    <w:p>
      <w:pPr>
        <w:snapToGrid w:val="0"/>
        <w:spacing w:line="380" w:lineRule="exact"/>
        <w:ind w:firstLine="720" w:firstLineChars="300"/>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pPr>
        <w:snapToGrid w:val="0"/>
        <w:spacing w:line="380" w:lineRule="exact"/>
        <w:ind w:firstLine="720" w:firstLineChars="300"/>
        <w:rPr>
          <w:rFonts w:hint="eastAsia" w:ascii="宋体" w:hAnsi="宋体"/>
          <w:color w:val="auto"/>
          <w:sz w:val="24"/>
          <w:szCs w:val="20"/>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p>
    <w:p>
      <w:pPr>
        <w:snapToGrid w:val="0"/>
        <w:spacing w:line="380" w:lineRule="exact"/>
        <w:ind w:firstLine="720" w:firstLineChars="300"/>
        <w:rPr>
          <w:rFonts w:hint="eastAsia" w:ascii="宋体" w:hAnsi="宋体"/>
          <w:color w:val="auto"/>
          <w:sz w:val="24"/>
          <w:szCs w:val="20"/>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snapToGrid w:val="0"/>
        <w:spacing w:line="380" w:lineRule="exact"/>
        <w:ind w:firstLine="720" w:firstLineChars="300"/>
        <w:jc w:val="left"/>
        <w:rPr>
          <w:rFonts w:hint="eastAsia" w:ascii="宋体" w:hAnsi="宋体"/>
          <w:color w:val="auto"/>
          <w:sz w:val="24"/>
          <w:szCs w:val="20"/>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line="380" w:lineRule="exact"/>
        <w:ind w:firstLine="720" w:firstLineChars="300"/>
        <w:jc w:val="left"/>
        <w:rPr>
          <w:rFonts w:hint="eastAsia" w:ascii="宋体" w:hAnsi="宋体"/>
          <w:color w:val="auto"/>
          <w:sz w:val="30"/>
          <w:szCs w:val="20"/>
          <w:highlight w:val="none"/>
        </w:rPr>
      </w:pPr>
      <w:r>
        <w:rPr>
          <w:rFonts w:hint="eastAsia" w:ascii="宋体" w:hAnsi="宋体"/>
          <w:color w:val="auto"/>
          <w:sz w:val="24"/>
          <w:highlight w:val="none"/>
        </w:rPr>
        <w:t>法定代表人或委托代理人签字:___________</w:t>
      </w:r>
      <w:r>
        <w:rPr>
          <w:rFonts w:hint="eastAsia" w:ascii="宋体" w:hAnsi="宋体"/>
          <w:color w:val="auto"/>
          <w:sz w:val="30"/>
          <w:szCs w:val="20"/>
          <w:highlight w:val="none"/>
        </w:rPr>
        <w:t xml:space="preserve"> </w:t>
      </w:r>
    </w:p>
    <w:p>
      <w:pPr>
        <w:pStyle w:val="23"/>
        <w:snapToGrid w:val="0"/>
        <w:spacing w:before="295" w:after="295" w:line="320" w:lineRule="exact"/>
        <w:ind w:firstLine="6840" w:firstLineChars="2850"/>
        <w:rPr>
          <w:rFonts w:hint="eastAsia" w:hAnsi="宋体"/>
          <w:color w:val="auto"/>
          <w:sz w:val="24"/>
          <w:szCs w:val="24"/>
          <w:highlight w:val="none"/>
        </w:rPr>
      </w:pPr>
      <w:r>
        <w:rPr>
          <w:rFonts w:hint="eastAsia" w:hAnsi="宋体"/>
          <w:color w:val="auto"/>
          <w:sz w:val="24"/>
          <w:szCs w:val="24"/>
          <w:highlight w:val="none"/>
        </w:rPr>
        <w:t>（公章）</w:t>
      </w:r>
    </w:p>
    <w:p>
      <w:pPr>
        <w:pStyle w:val="23"/>
        <w:snapToGrid w:val="0"/>
        <w:spacing w:before="295" w:after="295" w:line="320" w:lineRule="exact"/>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lang w:eastAsia="zh-CN"/>
        </w:rPr>
        <w:t xml:space="preserve">   </w:t>
      </w: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pPr>
        <w:snapToGrid w:val="0"/>
        <w:spacing w:before="120" w:beforeLines="50" w:after="50"/>
        <w:jc w:val="left"/>
        <w:rPr>
          <w:rFonts w:hint="eastAsia" w:hAnsi="宋体"/>
          <w:color w:val="auto"/>
          <w:highlight w:val="none"/>
          <w:u w:val="single"/>
        </w:rPr>
      </w:pPr>
      <w:r>
        <w:rPr>
          <w:rFonts w:hAnsi="宋体"/>
          <w:color w:val="auto"/>
          <w:highlight w:val="none"/>
          <w:u w:val="single"/>
        </w:rPr>
        <w:br w:type="page"/>
      </w:r>
    </w:p>
    <w:p>
      <w:pPr>
        <w:snapToGrid w:val="0"/>
        <w:spacing w:before="120" w:beforeLines="50" w:after="50"/>
        <w:jc w:val="left"/>
        <w:rPr>
          <w:rFonts w:hint="eastAsia" w:ascii="宋体" w:hAnsi="宋体"/>
          <w:b/>
          <w:color w:val="auto"/>
          <w:sz w:val="24"/>
          <w:szCs w:val="20"/>
          <w:highlight w:val="none"/>
        </w:rPr>
      </w:pPr>
      <w:r>
        <w:rPr>
          <w:rFonts w:hint="eastAsia" w:ascii="宋体" w:hAnsi="宋体"/>
          <w:b/>
          <w:color w:val="auto"/>
          <w:sz w:val="24"/>
          <w:highlight w:val="none"/>
        </w:rPr>
        <w:t>4. 开标一览表</w:t>
      </w:r>
    </w:p>
    <w:p>
      <w:pPr>
        <w:snapToGrid w:val="0"/>
        <w:spacing w:before="50" w:after="50"/>
        <w:jc w:val="center"/>
        <w:rPr>
          <w:rFonts w:hint="eastAsia" w:ascii="宋体" w:hAnsi="宋体"/>
          <w:b/>
          <w:color w:val="auto"/>
          <w:sz w:val="30"/>
          <w:highlight w:val="none"/>
        </w:rPr>
      </w:pPr>
      <w:r>
        <w:rPr>
          <w:rFonts w:hint="eastAsia" w:ascii="宋体" w:hAnsi="宋体"/>
          <w:b/>
          <w:color w:val="auto"/>
          <w:sz w:val="30"/>
          <w:highlight w:val="none"/>
        </w:rPr>
        <w:t>开标一览表</w:t>
      </w:r>
    </w:p>
    <w:p>
      <w:pPr>
        <w:snapToGrid w:val="0"/>
        <w:spacing w:before="50" w:after="50"/>
        <w:rPr>
          <w:rFonts w:hint="eastAsia" w:ascii="宋体" w:hAnsi="宋体"/>
          <w:b/>
          <w:color w:val="auto"/>
          <w:sz w:val="30"/>
          <w:szCs w:val="20"/>
          <w:highlight w:val="none"/>
        </w:rPr>
      </w:pPr>
    </w:p>
    <w:p>
      <w:pPr>
        <w:snapToGrid w:val="0"/>
        <w:spacing w:before="50" w:after="50" w:line="380" w:lineRule="exact"/>
        <w:rPr>
          <w:rFonts w:hint="eastAsia"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pPr>
        <w:snapToGrid w:val="0"/>
        <w:spacing w:before="50" w:after="50" w:line="380" w:lineRule="exact"/>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2"/>
        <w:gridCol w:w="1367"/>
        <w:gridCol w:w="733"/>
        <w:gridCol w:w="725"/>
        <w:gridCol w:w="716"/>
        <w:gridCol w:w="1806"/>
        <w:gridCol w:w="1343"/>
        <w:gridCol w:w="727"/>
        <w:gridCol w:w="13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项号</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货物名称</w:t>
            </w:r>
          </w:p>
        </w:tc>
        <w:tc>
          <w:tcPr>
            <w:tcW w:w="73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数量</w:t>
            </w:r>
          </w:p>
          <w:p>
            <w:pPr>
              <w:numPr>
                <w:ilvl w:val="0"/>
                <w:numId w:val="8"/>
              </w:numPr>
              <w:snapToGrid w:val="0"/>
              <w:spacing w:before="50" w:after="50" w:line="360" w:lineRule="auto"/>
              <w:jc w:val="center"/>
              <w:rPr>
                <w:rFonts w:hint="eastAsia" w:ascii="宋体" w:hAnsi="宋体"/>
                <w:b/>
                <w:color w:val="auto"/>
                <w:sz w:val="24"/>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计量单位</w:t>
            </w:r>
          </w:p>
        </w:tc>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产地</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品牌及厂家</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规格型号</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单价</w:t>
            </w:r>
          </w:p>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②</w:t>
            </w:r>
          </w:p>
        </w:tc>
        <w:tc>
          <w:tcPr>
            <w:tcW w:w="13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投标报价</w:t>
            </w:r>
          </w:p>
          <w:p>
            <w:pPr>
              <w:snapToGrid w:val="0"/>
              <w:spacing w:before="50" w:after="50" w:line="360" w:lineRule="auto"/>
              <w:jc w:val="center"/>
              <w:rPr>
                <w:rFonts w:hint="eastAsia" w:ascii="宋体" w:hAnsi="宋体"/>
                <w:b/>
                <w:color w:val="auto"/>
                <w:sz w:val="24"/>
                <w:highlight w:val="none"/>
              </w:rPr>
            </w:pPr>
            <w:r>
              <w:rPr>
                <w:rFonts w:ascii="宋体" w:hAnsi="宋体"/>
                <w:b/>
                <w:color w:val="auto"/>
                <w:sz w:val="24"/>
                <w:highlight w:val="none"/>
              </w:rPr>
              <w:t>③</w:t>
            </w:r>
            <w:r>
              <w:rPr>
                <w:rFonts w:hint="eastAsia" w:ascii="宋体" w:hAnsi="宋体"/>
                <w:b/>
                <w:color w:val="auto"/>
                <w:sz w:val="24"/>
                <w:highlight w:val="none"/>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4"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1</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p>
        </w:tc>
        <w:tc>
          <w:tcPr>
            <w:tcW w:w="73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5"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2</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p>
        </w:tc>
        <w:tc>
          <w:tcPr>
            <w:tcW w:w="73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w:t>
            </w:r>
          </w:p>
        </w:tc>
        <w:tc>
          <w:tcPr>
            <w:tcW w:w="73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olor w:val="auto"/>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8" w:hRule="atLeast"/>
          <w:jc w:val="center"/>
        </w:trPr>
        <w:tc>
          <w:tcPr>
            <w:tcW w:w="9618"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pacing w:val="20"/>
                <w:sz w:val="24"/>
                <w:highlight w:val="none"/>
              </w:rPr>
            </w:pPr>
            <w:r>
              <w:rPr>
                <w:rFonts w:hint="eastAsia" w:ascii="宋体" w:hAnsi="宋体"/>
                <w:color w:val="auto"/>
                <w:sz w:val="24"/>
                <w:highlight w:val="none"/>
              </w:rPr>
              <w:t>合计金额大写：</w:t>
            </w:r>
            <w:r>
              <w:rPr>
                <w:rFonts w:hint="eastAsia" w:ascii="宋体" w:hAnsi="宋体"/>
                <w:color w:val="auto"/>
                <w:spacing w:val="20"/>
                <w:sz w:val="24"/>
                <w:highlight w:val="none"/>
              </w:rPr>
              <w:t>人民币</w:t>
            </w:r>
            <w:r>
              <w:rPr>
                <w:rFonts w:hint="eastAsia" w:ascii="宋体" w:hAnsi="宋体"/>
                <w:color w:val="auto"/>
                <w:sz w:val="24"/>
                <w:highlight w:val="none"/>
                <w:u w:val="single"/>
              </w:rPr>
              <w:t xml:space="preserve">           </w:t>
            </w:r>
            <w:r>
              <w:rPr>
                <w:rFonts w:hint="eastAsia" w:ascii="宋体" w:hAnsi="宋体"/>
                <w:color w:val="auto"/>
                <w:spacing w:val="20"/>
                <w:sz w:val="24"/>
                <w:highlight w:val="none"/>
              </w:rPr>
              <w:t>（￥</w:t>
            </w:r>
            <w:r>
              <w:rPr>
                <w:rFonts w:hint="eastAsia" w:ascii="宋体" w:hAnsi="宋体"/>
                <w:color w:val="auto"/>
                <w:sz w:val="24"/>
                <w:highlight w:val="none"/>
                <w:u w:val="single"/>
              </w:rPr>
              <w:t xml:space="preserve">           </w:t>
            </w:r>
            <w:r>
              <w:rPr>
                <w:rFonts w:hint="eastAsia" w:ascii="宋体" w:hAnsi="宋体"/>
                <w:color w:val="auto"/>
                <w:spacing w:val="20"/>
                <w:sz w:val="24"/>
                <w:highlight w:val="none"/>
              </w:rPr>
              <w:t>）</w:t>
            </w:r>
            <w:r>
              <w:rPr>
                <w:rFonts w:hint="eastAsia" w:ascii="宋体" w:hAnsi="宋体"/>
                <w:color w:val="auto"/>
                <w:sz w:val="24"/>
                <w:highlight w:val="none"/>
                <w:u w:val="single"/>
              </w:rPr>
              <w:t>投标货物中，属于优先采购节能产品总值为￥               （具体明细详见附表，附表格式自拟），占本投标报价的比例为  %；属于优先采购环境标志产品总值为￥              （具体明细详见附表，附表格式自拟），占本投标报价的比例为  %。属于联合体投标的，小型、微型企业的协议合同金额占到联合体协议合同总金额</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hint="eastAsia" w:ascii="宋体" w:hAnsi="宋体"/>
                <w:color w:val="auto"/>
                <w:sz w:val="24"/>
                <w:highlight w:val="none"/>
              </w:rPr>
              <w:t>。</w:t>
            </w:r>
          </w:p>
        </w:tc>
      </w:tr>
    </w:tbl>
    <w:p>
      <w:pPr>
        <w:snapToGrid w:val="0"/>
        <w:spacing w:before="50" w:after="50"/>
        <w:jc w:val="left"/>
        <w:rPr>
          <w:rFonts w:hint="eastAsia" w:ascii="宋体" w:hAnsi="宋体"/>
          <w:color w:val="auto"/>
          <w:sz w:val="24"/>
          <w:highlight w:val="none"/>
        </w:rPr>
      </w:pPr>
    </w:p>
    <w:p>
      <w:pPr>
        <w:snapToGrid w:val="0"/>
        <w:spacing w:before="50" w:after="50"/>
        <w:jc w:val="left"/>
        <w:rPr>
          <w:rFonts w:hint="eastAsia" w:ascii="宋体" w:hAnsi="宋体"/>
          <w:color w:val="auto"/>
          <w:sz w:val="24"/>
          <w:highlight w:val="none"/>
        </w:rPr>
      </w:pPr>
      <w:r>
        <w:rPr>
          <w:rFonts w:hint="eastAsia" w:ascii="宋体" w:hAnsi="宋体"/>
          <w:color w:val="auto"/>
          <w:sz w:val="24"/>
          <w:highlight w:val="none"/>
        </w:rPr>
        <w:t xml:space="preserve">注: </w:t>
      </w:r>
    </w:p>
    <w:p>
      <w:pPr>
        <w:snapToGrid w:val="0"/>
        <w:spacing w:before="50" w:after="50"/>
        <w:ind w:firstLine="480" w:firstLineChars="200"/>
        <w:jc w:val="left"/>
        <w:rPr>
          <w:rFonts w:hint="eastAsia" w:ascii="宋体" w:hAnsi="宋体"/>
          <w:color w:val="auto"/>
          <w:sz w:val="24"/>
          <w:highlight w:val="none"/>
        </w:rPr>
      </w:pPr>
      <w:r>
        <w:rPr>
          <w:rFonts w:hint="eastAsia" w:ascii="宋体" w:hAnsi="宋体"/>
          <w:color w:val="auto"/>
          <w:sz w:val="24"/>
          <w:highlight w:val="none"/>
        </w:rPr>
        <w:t>1.投标人的开标一览表必须加盖投标人公章并由</w:t>
      </w:r>
      <w:r>
        <w:rPr>
          <w:rFonts w:ascii="宋体" w:hAnsi="宋体"/>
          <w:color w:val="auto"/>
          <w:sz w:val="24"/>
          <w:highlight w:val="none"/>
        </w:rPr>
        <w:t>法定代表人或委托代理人</w:t>
      </w:r>
      <w:r>
        <w:rPr>
          <w:rFonts w:hint="eastAsia" w:ascii="宋体" w:hAnsi="宋体"/>
          <w:color w:val="auto"/>
          <w:sz w:val="24"/>
          <w:highlight w:val="none"/>
        </w:rPr>
        <w:t>签字，</w:t>
      </w:r>
      <w:r>
        <w:rPr>
          <w:rFonts w:hint="eastAsia" w:ascii="宋体" w:hAnsi="宋体"/>
          <w:b/>
          <w:color w:val="auto"/>
          <w:sz w:val="24"/>
          <w:highlight w:val="none"/>
        </w:rPr>
        <w:t>否则其投标作无效标处理</w:t>
      </w:r>
      <w:r>
        <w:rPr>
          <w:rFonts w:hint="eastAsia" w:ascii="宋体" w:hAnsi="宋体"/>
          <w:color w:val="auto"/>
          <w:sz w:val="24"/>
          <w:highlight w:val="none"/>
        </w:rPr>
        <w:t>。</w:t>
      </w:r>
    </w:p>
    <w:p>
      <w:pPr>
        <w:snapToGrid w:val="0"/>
        <w:spacing w:before="50" w:after="50"/>
        <w:ind w:firstLine="480" w:firstLineChars="200"/>
        <w:jc w:val="left"/>
        <w:rPr>
          <w:rFonts w:hint="eastAsia" w:ascii="宋体" w:hAnsi="宋体"/>
          <w:b/>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报价一经涂改，应在涂改处加盖投标人公章或者由法定代表人或授权委托人签字或盖章</w:t>
      </w:r>
      <w:r>
        <w:rPr>
          <w:rFonts w:hint="eastAsia" w:ascii="宋体" w:hAnsi="宋体"/>
          <w:b/>
          <w:color w:val="auto"/>
          <w:sz w:val="24"/>
          <w:highlight w:val="none"/>
        </w:rPr>
        <w:t>，否则其投标作无效标处理。</w:t>
      </w:r>
    </w:p>
    <w:p>
      <w:pPr>
        <w:snapToGrid w:val="0"/>
        <w:spacing w:before="50" w:after="50"/>
        <w:ind w:firstLine="480" w:firstLineChars="200"/>
        <w:jc w:val="left"/>
        <w:rPr>
          <w:rFonts w:hint="eastAsia" w:ascii="宋体" w:hAnsi="宋体"/>
          <w:color w:val="auto"/>
          <w:sz w:val="24"/>
          <w:highlight w:val="none"/>
        </w:rPr>
      </w:pPr>
      <w:r>
        <w:rPr>
          <w:rFonts w:hint="eastAsia" w:ascii="宋体" w:hAnsi="宋体"/>
          <w:color w:val="auto"/>
          <w:sz w:val="24"/>
          <w:highlight w:val="none"/>
        </w:rPr>
        <w:t>3.招标文件中列明采购专用耗材的，应按招标文件规定的耗材量或按耗材的常规试用量提供报价。</w:t>
      </w:r>
    </w:p>
    <w:p>
      <w:pPr>
        <w:snapToGrid w:val="0"/>
        <w:spacing w:before="50" w:after="50"/>
        <w:ind w:firstLine="480" w:firstLineChars="200"/>
        <w:jc w:val="left"/>
        <w:rPr>
          <w:rFonts w:hint="eastAsia" w:ascii="宋体" w:hAnsi="宋体"/>
          <w:color w:val="auto"/>
          <w:sz w:val="24"/>
          <w:highlight w:val="none"/>
        </w:rPr>
      </w:pPr>
      <w:r>
        <w:rPr>
          <w:rFonts w:hint="eastAsia" w:ascii="宋体" w:hAnsi="宋体"/>
          <w:color w:val="auto"/>
          <w:sz w:val="24"/>
          <w:highlight w:val="none"/>
        </w:rPr>
        <w:t>4.如为联合体投标,“投标人名称”处必须列明联合体各方名称，标注联合体牵头人名称，</w:t>
      </w:r>
      <w:r>
        <w:rPr>
          <w:rFonts w:hint="eastAsia" w:ascii="宋体" w:hAnsi="宋体"/>
          <w:b/>
          <w:color w:val="auto"/>
          <w:sz w:val="24"/>
          <w:highlight w:val="none"/>
        </w:rPr>
        <w:t>否则其投标作无效标处理。</w:t>
      </w:r>
    </w:p>
    <w:p>
      <w:pPr>
        <w:snapToGrid w:val="0"/>
        <w:spacing w:before="50" w:after="50"/>
        <w:ind w:firstLine="480" w:firstLineChars="200"/>
        <w:jc w:val="left"/>
        <w:rPr>
          <w:rFonts w:hint="eastAsia" w:ascii="宋体" w:hAnsi="宋体"/>
          <w:color w:val="auto"/>
          <w:sz w:val="24"/>
          <w:highlight w:val="none"/>
        </w:rPr>
      </w:pPr>
      <w:r>
        <w:rPr>
          <w:rFonts w:hint="eastAsia" w:ascii="宋体" w:hAnsi="宋体"/>
          <w:color w:val="auto"/>
          <w:sz w:val="24"/>
          <w:highlight w:val="none"/>
        </w:rPr>
        <w:t>5.如为联合体投标,盖章处须加盖联合体各方公章，</w:t>
      </w:r>
      <w:r>
        <w:rPr>
          <w:rFonts w:hint="eastAsia" w:ascii="宋体" w:hAnsi="宋体"/>
          <w:b/>
          <w:color w:val="auto"/>
          <w:sz w:val="24"/>
          <w:highlight w:val="none"/>
        </w:rPr>
        <w:t>否则其投标作无效标处理。</w:t>
      </w:r>
    </w:p>
    <w:p>
      <w:pPr>
        <w:snapToGrid w:val="0"/>
        <w:spacing w:before="50" w:after="50"/>
        <w:ind w:firstLine="480" w:firstLineChars="200"/>
        <w:rPr>
          <w:rFonts w:hint="eastAsia" w:ascii="宋体" w:hAnsi="宋体"/>
          <w:color w:val="auto"/>
          <w:sz w:val="24"/>
          <w:highlight w:val="none"/>
        </w:rPr>
      </w:pPr>
      <w:r>
        <w:rPr>
          <w:rFonts w:hint="eastAsia" w:ascii="宋体" w:hAnsi="宋体"/>
          <w:color w:val="auto"/>
          <w:sz w:val="24"/>
          <w:highlight w:val="none"/>
        </w:rPr>
        <w:t>6.如有多分标，按分标分别提供开标一览表，</w:t>
      </w:r>
      <w:r>
        <w:rPr>
          <w:rFonts w:hint="eastAsia" w:ascii="宋体" w:hAnsi="宋体"/>
          <w:b/>
          <w:color w:val="auto"/>
          <w:sz w:val="24"/>
          <w:highlight w:val="none"/>
        </w:rPr>
        <w:t>否则投标无效。</w:t>
      </w:r>
    </w:p>
    <w:p>
      <w:pPr>
        <w:snapToGrid w:val="0"/>
        <w:spacing w:before="50" w:after="50" w:line="400" w:lineRule="exact"/>
        <w:ind w:left="-2" w:leftChars="-1" w:right="-817" w:rightChars="-389"/>
        <w:rPr>
          <w:rFonts w:hint="eastAsia"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pPr>
        <w:snapToGrid w:val="0"/>
        <w:spacing w:before="50" w:after="50" w:line="400" w:lineRule="exact"/>
        <w:ind w:left="-2" w:leftChars="-1" w:right="-817" w:rightChars="-389"/>
        <w:rPr>
          <w:rFonts w:hint="eastAsia" w:ascii="宋体" w:hAnsi="宋体"/>
          <w:color w:val="auto"/>
          <w:sz w:val="24"/>
          <w:highlight w:val="non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before="50" w:after="50" w:line="400" w:lineRule="exact"/>
        <w:ind w:right="-817" w:rightChars="-389"/>
        <w:rPr>
          <w:rFonts w:hint="eastAsia" w:ascii="宋体" w:hAnsi="宋体"/>
          <w:color w:val="auto"/>
          <w:sz w:val="24"/>
          <w:highlight w:val="none"/>
        </w:rPr>
      </w:pPr>
      <w:r>
        <w:rPr>
          <w:rFonts w:hint="eastAsia" w:ascii="宋体" w:hAnsi="宋体"/>
          <w:color w:val="auto"/>
          <w:sz w:val="24"/>
          <w:highlight w:val="none"/>
        </w:rPr>
        <w:t>日期：    年   月   日</w:t>
      </w:r>
    </w:p>
    <w:p>
      <w:pPr>
        <w:snapToGrid w:val="0"/>
        <w:spacing w:before="120" w:beforeLines="50" w:after="50"/>
        <w:outlineLvl w:val="1"/>
        <w:rPr>
          <w:rFonts w:hint="eastAsia" w:ascii="宋体" w:hAnsi="宋体"/>
          <w:b/>
          <w:bCs/>
          <w:color w:val="auto"/>
          <w:sz w:val="28"/>
          <w:szCs w:val="28"/>
          <w:highlight w:val="none"/>
        </w:rPr>
      </w:pPr>
      <w:r>
        <w:rPr>
          <w:rFonts w:ascii="宋体" w:hAnsi="宋体"/>
          <w:b/>
          <w:bCs/>
          <w:color w:val="auto"/>
          <w:sz w:val="24"/>
          <w:highlight w:val="none"/>
        </w:rPr>
        <w:br w:type="page"/>
      </w:r>
      <w:bookmarkStart w:id="154" w:name="_Toc54691756"/>
      <w:r>
        <w:rPr>
          <w:rFonts w:hint="eastAsia" w:ascii="宋体" w:hAnsi="宋体"/>
          <w:b/>
          <w:bCs/>
          <w:color w:val="auto"/>
          <w:sz w:val="28"/>
          <w:szCs w:val="28"/>
          <w:highlight w:val="none"/>
        </w:rPr>
        <w:t>三、资格证明文件格式</w:t>
      </w:r>
      <w:bookmarkEnd w:id="152"/>
      <w:bookmarkEnd w:id="153"/>
      <w:bookmarkEnd w:id="154"/>
    </w:p>
    <w:p>
      <w:pPr>
        <w:numPr>
          <w:ilvl w:val="2"/>
          <w:numId w:val="9"/>
        </w:numPr>
        <w:snapToGrid w:val="0"/>
        <w:spacing w:before="120" w:beforeLines="50" w:after="50"/>
        <w:ind w:left="0" w:firstLine="0"/>
        <w:jc w:val="left"/>
        <w:rPr>
          <w:rFonts w:hint="eastAsia" w:ascii="宋体" w:hAnsi="宋体"/>
          <w:b/>
          <w:color w:val="auto"/>
          <w:sz w:val="24"/>
          <w:highlight w:val="none"/>
        </w:rPr>
      </w:pPr>
      <w:r>
        <w:rPr>
          <w:rFonts w:hint="eastAsia" w:ascii="宋体" w:hAnsi="宋体"/>
          <w:b/>
          <w:color w:val="auto"/>
          <w:sz w:val="24"/>
          <w:highlight w:val="none"/>
        </w:rPr>
        <w:t xml:space="preserve">资格证明文件封面格式： </w:t>
      </w:r>
    </w:p>
    <w:p>
      <w:pPr>
        <w:snapToGrid w:val="0"/>
        <w:spacing w:before="120" w:beforeLines="50" w:after="50"/>
        <w:rPr>
          <w:rFonts w:hint="eastAsia" w:ascii="宋体" w:hAnsi="宋体"/>
          <w:bCs/>
          <w:color w:val="auto"/>
          <w:sz w:val="28"/>
          <w:szCs w:val="28"/>
          <w:highlight w:val="none"/>
        </w:rPr>
      </w:pPr>
      <w:r>
        <w:rPr>
          <w:rFonts w:hint="eastAsia" w:ascii="宋体" w:hAnsi="宋体"/>
          <w:color w:val="auto"/>
          <w:sz w:val="24"/>
          <w:highlight w:val="none"/>
        </w:rPr>
        <w:t xml:space="preserve">                                                               </w:t>
      </w:r>
      <w:r>
        <w:rPr>
          <w:rFonts w:hint="eastAsia" w:ascii="宋体" w:hAnsi="宋体"/>
          <w:bCs/>
          <w:color w:val="auto"/>
          <w:sz w:val="24"/>
          <w:highlight w:val="none"/>
        </w:rPr>
        <w:t>正本/副本</w:t>
      </w: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宋体" w:hAnsi="宋体"/>
          <w:b/>
          <w:bCs/>
          <w:color w:val="auto"/>
          <w:sz w:val="72"/>
          <w:szCs w:val="72"/>
          <w:highlight w:val="none"/>
        </w:rPr>
      </w:pPr>
    </w:p>
    <w:p>
      <w:pPr>
        <w:snapToGrid w:val="0"/>
        <w:spacing w:before="120" w:beforeLines="50" w:after="50"/>
        <w:jc w:val="center"/>
        <w:rPr>
          <w:rFonts w:hint="eastAsia" w:ascii="宋体" w:hAnsi="宋体"/>
          <w:b/>
          <w:bCs/>
          <w:color w:val="auto"/>
          <w:sz w:val="72"/>
          <w:szCs w:val="72"/>
          <w:highlight w:val="none"/>
        </w:rPr>
      </w:pPr>
      <w:r>
        <w:rPr>
          <w:rFonts w:hint="eastAsia" w:ascii="宋体" w:hAnsi="宋体"/>
          <w:b/>
          <w:bCs/>
          <w:color w:val="auto"/>
          <w:sz w:val="72"/>
          <w:szCs w:val="72"/>
          <w:highlight w:val="none"/>
        </w:rPr>
        <w:t>资格证明文件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p>
    <w:p>
      <w:pPr>
        <w:snapToGrid w:val="0"/>
        <w:spacing w:before="120" w:beforeLines="50" w:after="50"/>
        <w:ind w:firstLine="632" w:firstLineChars="225"/>
        <w:rPr>
          <w:rFonts w:hint="eastAsia" w:ascii="宋体" w:hAnsi="宋体"/>
          <w:b/>
          <w:bCs/>
          <w:color w:val="auto"/>
          <w:sz w:val="28"/>
          <w:szCs w:val="28"/>
          <w:highlight w:val="none"/>
        </w:rPr>
      </w:pPr>
      <w:r>
        <w:rPr>
          <w:rFonts w:hint="eastAsia" w:ascii="宋体" w:hAnsi="宋体"/>
          <w:b/>
          <w:bCs/>
          <w:color w:val="auto"/>
          <w:sz w:val="28"/>
          <w:szCs w:val="28"/>
          <w:highlight w:val="none"/>
        </w:rPr>
        <w:t>项目名称：</w:t>
      </w:r>
    </w:p>
    <w:p>
      <w:pPr>
        <w:snapToGrid w:val="0"/>
        <w:spacing w:before="120" w:beforeLines="50" w:after="50"/>
        <w:ind w:firstLine="632" w:firstLineChars="225"/>
        <w:rPr>
          <w:rFonts w:hint="eastAsia" w:ascii="宋体" w:hAnsi="宋体"/>
          <w:b/>
          <w:bCs/>
          <w:color w:val="auto"/>
          <w:sz w:val="28"/>
          <w:szCs w:val="28"/>
          <w:highlight w:val="none"/>
        </w:rPr>
      </w:pPr>
    </w:p>
    <w:p>
      <w:pPr>
        <w:snapToGrid w:val="0"/>
        <w:spacing w:before="120" w:beforeLines="50" w:after="50"/>
        <w:ind w:firstLine="632" w:firstLineChars="225"/>
        <w:rPr>
          <w:rFonts w:hint="eastAsia" w:ascii="宋体" w:hAnsi="宋体"/>
          <w:b/>
          <w:bCs/>
          <w:color w:val="auto"/>
          <w:sz w:val="28"/>
          <w:szCs w:val="28"/>
          <w:highlight w:val="none"/>
        </w:rPr>
      </w:pPr>
      <w:r>
        <w:rPr>
          <w:rFonts w:hint="eastAsia" w:ascii="宋体" w:hAnsi="宋体"/>
          <w:b/>
          <w:bCs/>
          <w:color w:val="auto"/>
          <w:sz w:val="28"/>
          <w:szCs w:val="28"/>
          <w:highlight w:val="none"/>
        </w:rPr>
        <w:t>项目编号：</w:t>
      </w:r>
    </w:p>
    <w:p>
      <w:pPr>
        <w:snapToGrid w:val="0"/>
        <w:spacing w:before="120" w:beforeLines="50" w:after="50"/>
        <w:ind w:firstLine="632" w:firstLineChars="225"/>
        <w:rPr>
          <w:rFonts w:hint="eastAsia" w:ascii="宋体" w:hAnsi="宋体"/>
          <w:b/>
          <w:bCs/>
          <w:color w:val="auto"/>
          <w:sz w:val="28"/>
          <w:szCs w:val="28"/>
          <w:highlight w:val="none"/>
        </w:rPr>
      </w:pPr>
    </w:p>
    <w:p>
      <w:pPr>
        <w:snapToGrid w:val="0"/>
        <w:spacing w:before="120" w:beforeLines="50" w:after="50"/>
        <w:ind w:firstLine="632" w:firstLineChars="225"/>
        <w:rPr>
          <w:rFonts w:hint="eastAsia" w:ascii="宋体" w:hAnsi="宋体"/>
          <w:b/>
          <w:bCs/>
          <w:color w:val="auto"/>
          <w:sz w:val="28"/>
          <w:szCs w:val="28"/>
          <w:highlight w:val="none"/>
        </w:rPr>
      </w:pPr>
      <w:r>
        <w:rPr>
          <w:rFonts w:hint="eastAsia" w:ascii="宋体" w:hAnsi="宋体"/>
          <w:b/>
          <w:bCs/>
          <w:color w:val="auto"/>
          <w:sz w:val="28"/>
          <w:szCs w:val="28"/>
          <w:highlight w:val="none"/>
        </w:rPr>
        <w:t>所投分标：</w:t>
      </w:r>
    </w:p>
    <w:p>
      <w:pPr>
        <w:snapToGrid w:val="0"/>
        <w:spacing w:before="120" w:beforeLines="50" w:after="50"/>
        <w:ind w:firstLine="632" w:firstLineChars="225"/>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 </w:t>
      </w:r>
    </w:p>
    <w:p>
      <w:pPr>
        <w:pStyle w:val="7"/>
        <w:snapToGrid w:val="0"/>
        <w:spacing w:before="50" w:after="50"/>
        <w:ind w:firstLine="632" w:firstLineChars="225"/>
        <w:rPr>
          <w:rFonts w:hint="eastAsia" w:ascii="宋体" w:hAnsi="宋体"/>
          <w:b/>
          <w:bCs/>
          <w:color w:val="auto"/>
          <w:sz w:val="28"/>
          <w:szCs w:val="28"/>
          <w:highlight w:val="none"/>
        </w:rPr>
      </w:pPr>
      <w:r>
        <w:rPr>
          <w:rFonts w:hint="eastAsia" w:ascii="宋体" w:hAnsi="宋体"/>
          <w:b/>
          <w:bCs/>
          <w:color w:val="auto"/>
          <w:sz w:val="28"/>
          <w:szCs w:val="28"/>
          <w:highlight w:val="none"/>
        </w:rPr>
        <w:t>投标人名称：</w:t>
      </w:r>
    </w:p>
    <w:p>
      <w:pPr>
        <w:pStyle w:val="7"/>
        <w:snapToGrid w:val="0"/>
        <w:spacing w:before="50" w:after="50"/>
        <w:ind w:firstLine="632" w:firstLineChars="225"/>
        <w:rPr>
          <w:rFonts w:hint="eastAsia" w:ascii="宋体" w:hAnsi="宋体"/>
          <w:b/>
          <w:bCs/>
          <w:color w:val="auto"/>
          <w:sz w:val="28"/>
          <w:szCs w:val="28"/>
          <w:highlight w:val="none"/>
        </w:rPr>
      </w:pPr>
    </w:p>
    <w:p>
      <w:pPr>
        <w:pStyle w:val="7"/>
        <w:snapToGrid w:val="0"/>
        <w:spacing w:before="50" w:after="50"/>
        <w:ind w:firstLine="632" w:firstLineChars="225"/>
        <w:rPr>
          <w:rFonts w:hint="eastAsia" w:ascii="宋体" w:hAnsi="宋体"/>
          <w:b/>
          <w:bCs/>
          <w:color w:val="auto"/>
          <w:sz w:val="28"/>
          <w:szCs w:val="28"/>
          <w:highlight w:val="none"/>
        </w:rPr>
      </w:pPr>
      <w:r>
        <w:rPr>
          <w:rFonts w:hint="eastAsia" w:ascii="宋体" w:hAnsi="宋体"/>
          <w:b/>
          <w:bCs/>
          <w:color w:val="auto"/>
          <w:sz w:val="28"/>
          <w:szCs w:val="28"/>
          <w:highlight w:val="none"/>
        </w:rPr>
        <w:t>投标人地址：</w:t>
      </w:r>
    </w:p>
    <w:p>
      <w:pPr>
        <w:pStyle w:val="7"/>
        <w:snapToGrid w:val="0"/>
        <w:spacing w:before="50" w:after="50"/>
        <w:ind w:firstLine="632" w:firstLineChars="225"/>
        <w:rPr>
          <w:rFonts w:hint="eastAsia" w:ascii="宋体" w:hAnsi="宋体"/>
          <w:b/>
          <w:bCs/>
          <w:color w:val="auto"/>
          <w:sz w:val="28"/>
          <w:szCs w:val="28"/>
          <w:highlight w:val="none"/>
        </w:rPr>
      </w:pPr>
    </w:p>
    <w:p>
      <w:pPr>
        <w:pStyle w:val="7"/>
        <w:snapToGrid w:val="0"/>
        <w:spacing w:before="50" w:after="50"/>
        <w:ind w:firstLine="632" w:firstLineChars="225"/>
        <w:rPr>
          <w:rFonts w:hint="eastAsia" w:ascii="宋体" w:hAnsi="宋体"/>
          <w:b/>
          <w:bCs/>
          <w:color w:val="auto"/>
          <w:sz w:val="28"/>
          <w:szCs w:val="28"/>
          <w:highlight w:val="none"/>
        </w:rPr>
      </w:pPr>
    </w:p>
    <w:p>
      <w:pPr>
        <w:pStyle w:val="7"/>
        <w:snapToGrid w:val="0"/>
        <w:spacing w:before="50" w:after="50"/>
        <w:ind w:firstLine="632" w:firstLineChars="225"/>
        <w:rPr>
          <w:rFonts w:hint="eastAsia" w:ascii="宋体" w:hAnsi="宋体"/>
          <w:b/>
          <w:bCs/>
          <w:color w:val="auto"/>
          <w:sz w:val="28"/>
          <w:szCs w:val="28"/>
          <w:highlight w:val="none"/>
        </w:rPr>
      </w:pPr>
    </w:p>
    <w:p>
      <w:pPr>
        <w:pStyle w:val="7"/>
        <w:snapToGrid w:val="0"/>
        <w:spacing w:before="50" w:after="50"/>
        <w:ind w:firstLine="632" w:firstLineChars="225"/>
        <w:rPr>
          <w:rFonts w:hint="eastAsia" w:ascii="宋体" w:hAnsi="宋体"/>
          <w:b/>
          <w:bCs/>
          <w:color w:val="auto"/>
          <w:sz w:val="28"/>
          <w:szCs w:val="28"/>
          <w:highlight w:val="none"/>
        </w:rPr>
      </w:pPr>
    </w:p>
    <w:p>
      <w:pPr>
        <w:pStyle w:val="7"/>
        <w:snapToGrid w:val="0"/>
        <w:spacing w:before="50" w:after="50"/>
        <w:ind w:firstLine="0"/>
        <w:rPr>
          <w:rFonts w:hint="eastAsia" w:ascii="宋体" w:hAnsi="宋体"/>
          <w:b/>
          <w:bCs/>
          <w:color w:val="auto"/>
          <w:sz w:val="28"/>
          <w:szCs w:val="28"/>
          <w:highlight w:val="none"/>
          <w:lang w:eastAsia="zh-CN"/>
        </w:rPr>
      </w:pPr>
    </w:p>
    <w:p>
      <w:pPr>
        <w:snapToGrid w:val="0"/>
        <w:spacing w:before="120" w:beforeLines="50" w:after="50"/>
        <w:ind w:firstLine="645"/>
        <w:jc w:val="center"/>
        <w:rPr>
          <w:rFonts w:ascii="宋体" w:hAnsi="宋体"/>
          <w:b/>
          <w:color w:val="auto"/>
          <w:sz w:val="28"/>
          <w:szCs w:val="28"/>
          <w:highlight w:val="none"/>
        </w:rPr>
      </w:pPr>
      <w:r>
        <w:rPr>
          <w:rFonts w:hint="eastAsia" w:ascii="宋体" w:hAnsi="宋体"/>
          <w:b/>
          <w:color w:val="auto"/>
          <w:sz w:val="28"/>
          <w:szCs w:val="28"/>
          <w:highlight w:val="none"/>
        </w:rPr>
        <w:t xml:space="preserve">                        年  月  日</w:t>
      </w:r>
    </w:p>
    <w:p>
      <w:pPr>
        <w:snapToGrid w:val="0"/>
        <w:spacing w:before="120" w:beforeLines="50" w:after="50"/>
        <w:rPr>
          <w:rFonts w:ascii="宋体" w:hAnsi="宋体"/>
          <w:b/>
          <w:color w:val="auto"/>
          <w:sz w:val="28"/>
          <w:szCs w:val="28"/>
          <w:highlight w:val="none"/>
        </w:rPr>
      </w:pPr>
      <w:r>
        <w:rPr>
          <w:rFonts w:ascii="宋体" w:hAnsi="宋体"/>
          <w:b/>
          <w:color w:val="auto"/>
          <w:sz w:val="28"/>
          <w:szCs w:val="28"/>
          <w:highlight w:val="none"/>
        </w:rPr>
        <w:t xml:space="preserve"> </w:t>
      </w:r>
    </w:p>
    <w:p>
      <w:pPr>
        <w:snapToGrid w:val="0"/>
        <w:spacing w:before="120" w:beforeLines="50" w:after="50"/>
        <w:rPr>
          <w:rFonts w:hint="eastAsia" w:ascii="宋体" w:hAnsi="宋体"/>
          <w:color w:val="auto"/>
          <w:sz w:val="24"/>
          <w:szCs w:val="20"/>
          <w:highlight w:val="none"/>
        </w:rPr>
      </w:pPr>
    </w:p>
    <w:p>
      <w:pPr>
        <w:snapToGrid w:val="0"/>
        <w:spacing w:line="440" w:lineRule="exact"/>
        <w:jc w:val="left"/>
        <w:rPr>
          <w:rFonts w:hint="eastAsia" w:ascii="宋体" w:hAnsi="宋体"/>
          <w:b/>
          <w:bCs/>
          <w:color w:val="auto"/>
          <w:sz w:val="24"/>
          <w:highlight w:val="none"/>
        </w:rPr>
      </w:pPr>
    </w:p>
    <w:p>
      <w:pPr>
        <w:snapToGrid w:val="0"/>
        <w:spacing w:line="440" w:lineRule="exact"/>
        <w:jc w:val="left"/>
        <w:rPr>
          <w:rFonts w:hint="eastAsia" w:ascii="宋体" w:hAnsi="宋体"/>
          <w:color w:val="auto"/>
          <w:sz w:val="24"/>
          <w:highlight w:val="none"/>
        </w:rPr>
      </w:pPr>
      <w:r>
        <w:rPr>
          <w:rFonts w:hint="eastAsia" w:ascii="宋体" w:hAnsi="宋体"/>
          <w:b/>
          <w:bCs/>
          <w:color w:val="auto"/>
          <w:sz w:val="24"/>
          <w:highlight w:val="none"/>
        </w:rPr>
        <w:t>2.资格证明文件目录</w:t>
      </w:r>
    </w:p>
    <w:p>
      <w:pPr>
        <w:snapToGrid w:val="0"/>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根据招标文件规定及投标人提供的材料自行编写目录（应附有页码）</w:t>
      </w:r>
    </w:p>
    <w:p>
      <w:pPr>
        <w:snapToGrid w:val="0"/>
        <w:spacing w:line="440" w:lineRule="exact"/>
        <w:jc w:val="left"/>
        <w:rPr>
          <w:rFonts w:hint="eastAsia" w:ascii="宋体" w:hAnsi="宋体"/>
          <w:color w:val="auto"/>
          <w:sz w:val="28"/>
          <w:szCs w:val="28"/>
          <w:highlight w:val="none"/>
        </w:rPr>
      </w:pPr>
    </w:p>
    <w:p>
      <w:pPr>
        <w:snapToGrid w:val="0"/>
        <w:spacing w:before="50" w:after="120" w:afterLines="50"/>
        <w:jc w:val="left"/>
        <w:rPr>
          <w:rFonts w:hint="eastAsia" w:ascii="宋体" w:hAnsi="宋体"/>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pStyle w:val="2"/>
        <w:rPr>
          <w:rFonts w:hint="eastAsia"/>
          <w:color w:val="auto"/>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pStyle w:val="2"/>
        <w:rPr>
          <w:rFonts w:hint="eastAsia"/>
          <w:color w:val="auto"/>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szCs w:val="20"/>
          <w:highlight w:val="none"/>
        </w:rPr>
      </w:pPr>
      <w:r>
        <w:rPr>
          <w:rFonts w:hint="eastAsia" w:ascii="宋体" w:hAnsi="宋体"/>
          <w:b/>
          <w:color w:val="auto"/>
          <w:sz w:val="24"/>
          <w:highlight w:val="none"/>
        </w:rPr>
        <w:t>3.投标声明书格式：</w:t>
      </w:r>
    </w:p>
    <w:p>
      <w:pPr>
        <w:snapToGrid w:val="0"/>
        <w:spacing w:before="50" w:after="120" w:afterLines="50"/>
        <w:jc w:val="center"/>
        <w:rPr>
          <w:rFonts w:hint="eastAsia" w:ascii="宋体" w:hAnsi="宋体"/>
          <w:b/>
          <w:color w:val="auto"/>
          <w:sz w:val="24"/>
          <w:highlight w:val="none"/>
        </w:rPr>
      </w:pPr>
      <w:r>
        <w:rPr>
          <w:rFonts w:hint="eastAsia" w:ascii="宋体" w:hAnsi="宋体"/>
          <w:b/>
          <w:color w:val="auto"/>
          <w:sz w:val="24"/>
          <w:highlight w:val="none"/>
        </w:rPr>
        <w:t>投标声明书</w:t>
      </w:r>
    </w:p>
    <w:p>
      <w:pPr>
        <w:snapToGrid w:val="0"/>
        <w:spacing w:before="50" w:after="120" w:afterLines="50" w:line="400" w:lineRule="exact"/>
        <w:jc w:val="left"/>
        <w:rPr>
          <w:rFonts w:hint="eastAsia"/>
          <w:color w:val="auto"/>
          <w:sz w:val="24"/>
          <w:highlight w:val="none"/>
          <w:u w:val="single"/>
        </w:rPr>
      </w:pPr>
      <w:r>
        <w:rPr>
          <w:rFonts w:hint="eastAsia"/>
          <w:color w:val="auto"/>
          <w:sz w:val="24"/>
          <w:highlight w:val="none"/>
        </w:rPr>
        <w:t>采购人名称：</w:t>
      </w:r>
      <w:r>
        <w:rPr>
          <w:rFonts w:hint="eastAsia"/>
          <w:color w:val="auto"/>
          <w:sz w:val="24"/>
          <w:highlight w:val="none"/>
          <w:u w:val="single"/>
        </w:rPr>
        <w:t xml:space="preserve">                  </w:t>
      </w:r>
    </w:p>
    <w:p>
      <w:pPr>
        <w:snapToGrid w:val="0"/>
        <w:spacing w:before="50" w:after="120" w:afterLines="50" w:line="400" w:lineRule="exact"/>
        <w:ind w:firstLine="405"/>
        <w:jc w:val="left"/>
        <w:rPr>
          <w:rFonts w:hint="eastAsia" w:ascii="宋体" w:hAnsi="宋体"/>
          <w:color w:val="auto"/>
          <w:sz w:val="24"/>
          <w:highlight w:val="none"/>
        </w:rPr>
      </w:pPr>
      <w:r>
        <w:rPr>
          <w:rFonts w:hint="eastAsia" w:ascii="宋体" w:hAnsi="宋体"/>
          <w:color w:val="auto"/>
          <w:sz w:val="24"/>
          <w:highlight w:val="none"/>
        </w:rPr>
        <w:t>我公司参加贵单位组织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）的政府采购活动。我公司在此郑重声明：</w:t>
      </w:r>
    </w:p>
    <w:p>
      <w:pPr>
        <w:snapToGrid w:val="0"/>
        <w:spacing w:before="50" w:after="120" w:afterLines="50"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50" w:after="120" w:afterLines="50"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color w:val="auto"/>
          <w:highlight w:val="none"/>
        </w:rPr>
        <w:t xml:space="preserve"> </w:t>
      </w:r>
      <w:r>
        <w:rPr>
          <w:rFonts w:hint="eastAsia" w:ascii="宋体" w:hAnsi="宋体"/>
          <w:color w:val="auto"/>
          <w:sz w:val="24"/>
          <w:highlight w:val="none"/>
        </w:rPr>
        <w:t>我公司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before="50" w:after="120" w:afterLines="50"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 我公司承诺符合《中华人民共和国政府采购法》第二十二条规定：</w:t>
      </w:r>
    </w:p>
    <w:p>
      <w:pPr>
        <w:snapToGrid w:val="0"/>
        <w:spacing w:before="50" w:after="120" w:afterLines="50"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（一）具有独立承担民事责任的能力；</w:t>
      </w:r>
    </w:p>
    <w:p>
      <w:pPr>
        <w:snapToGrid w:val="0"/>
        <w:spacing w:before="50" w:after="120" w:afterLines="50"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pPr>
        <w:snapToGrid w:val="0"/>
        <w:spacing w:before="50" w:after="120" w:afterLines="50"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pPr>
        <w:snapToGrid w:val="0"/>
        <w:spacing w:before="50" w:after="120" w:afterLines="50"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pPr>
        <w:snapToGrid w:val="0"/>
        <w:spacing w:before="50" w:after="120" w:afterLines="50"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pPr>
        <w:snapToGrid w:val="0"/>
        <w:spacing w:before="50" w:after="120" w:afterLines="50"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（六）法律、行政法规规定的其他条件。</w:t>
      </w:r>
    </w:p>
    <w:p>
      <w:pPr>
        <w:snapToGrid w:val="0"/>
        <w:spacing w:before="50" w:after="120" w:afterLines="50"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4. 以上事项如有虚假或隐瞒，我方愿意承担一切后果，并不再寻求任何旨在减轻或免除法律责任的辩解。</w:t>
      </w:r>
    </w:p>
    <w:p>
      <w:pPr>
        <w:snapToGrid w:val="0"/>
        <w:spacing w:before="50" w:after="120" w:afterLines="50" w:line="400" w:lineRule="exact"/>
        <w:jc w:val="left"/>
        <w:rPr>
          <w:rFonts w:ascii="宋体" w:hAnsi="宋体"/>
          <w:color w:val="auto"/>
          <w:sz w:val="24"/>
          <w:highlight w:val="none"/>
        </w:rPr>
      </w:pPr>
      <w:r>
        <w:rPr>
          <w:rFonts w:hint="eastAsia" w:ascii="宋体" w:hAnsi="宋体"/>
          <w:color w:val="auto"/>
          <w:sz w:val="24"/>
          <w:highlight w:val="none"/>
        </w:rPr>
        <w:t xml:space="preserve">    特此承诺。</w:t>
      </w:r>
    </w:p>
    <w:p>
      <w:pPr>
        <w:snapToGrid w:val="0"/>
        <w:spacing w:before="50" w:after="120" w:afterLines="50" w:line="400" w:lineRule="exact"/>
        <w:jc w:val="left"/>
        <w:rPr>
          <w:rFonts w:ascii="宋体" w:hAnsi="宋体"/>
          <w:b/>
          <w:color w:val="auto"/>
          <w:sz w:val="24"/>
          <w:highlight w:val="none"/>
        </w:rPr>
      </w:pPr>
      <w:r>
        <w:rPr>
          <w:rFonts w:hint="eastAsia" w:ascii="宋体" w:hAnsi="宋体"/>
          <w:b/>
          <w:color w:val="auto"/>
          <w:sz w:val="24"/>
          <w:highlight w:val="none"/>
        </w:rPr>
        <w:t>注：投标声明必须由法定代表人在规定签章处逐一签字并加盖投标人公章，否则作无效投标处理。</w:t>
      </w:r>
    </w:p>
    <w:p>
      <w:pPr>
        <w:snapToGrid w:val="0"/>
        <w:spacing w:before="50" w:after="120" w:afterLines="50"/>
        <w:jc w:val="left"/>
        <w:rPr>
          <w:rFonts w:hint="eastAsia" w:ascii="宋体" w:hAnsi="宋体"/>
          <w:color w:val="auto"/>
          <w:sz w:val="24"/>
          <w:highlight w:val="none"/>
        </w:rPr>
      </w:pPr>
      <w:r>
        <w:rPr>
          <w:rFonts w:hint="eastAsia" w:ascii="宋体" w:hAnsi="宋体"/>
          <w:color w:val="auto"/>
          <w:sz w:val="24"/>
          <w:highlight w:val="none"/>
        </w:rPr>
        <w:t xml:space="preserve">                                          法定代表人签字：</w:t>
      </w:r>
      <w:r>
        <w:rPr>
          <w:rFonts w:hint="eastAsia" w:ascii="宋体" w:hAnsi="宋体"/>
          <w:color w:val="auto"/>
          <w:sz w:val="24"/>
          <w:highlight w:val="none"/>
          <w:u w:val="single"/>
        </w:rPr>
        <w:t xml:space="preserve">             </w:t>
      </w:r>
    </w:p>
    <w:p>
      <w:pPr>
        <w:snapToGrid w:val="0"/>
        <w:spacing w:before="50" w:after="120" w:afterLines="50"/>
        <w:jc w:val="left"/>
        <w:rPr>
          <w:rFonts w:hint="eastAsia" w:ascii="宋体" w:hAnsi="宋体"/>
          <w:color w:val="auto"/>
          <w:sz w:val="24"/>
          <w:highlight w:val="none"/>
        </w:rPr>
      </w:pPr>
      <w:r>
        <w:rPr>
          <w:rFonts w:hint="eastAsia" w:ascii="宋体" w:hAnsi="宋体"/>
          <w:color w:val="auto"/>
          <w:sz w:val="24"/>
          <w:highlight w:val="none"/>
        </w:rPr>
        <w:t xml:space="preserve">                                          投标人公章：</w:t>
      </w:r>
      <w:r>
        <w:rPr>
          <w:rFonts w:hint="eastAsia" w:ascii="宋体" w:hAnsi="宋体"/>
          <w:color w:val="auto"/>
          <w:sz w:val="24"/>
          <w:highlight w:val="none"/>
          <w:u w:val="single"/>
        </w:rPr>
        <w:t xml:space="preserve">                 </w:t>
      </w:r>
    </w:p>
    <w:p>
      <w:pPr>
        <w:snapToGrid w:val="0"/>
        <w:spacing w:before="50" w:after="120" w:afterLines="50"/>
        <w:jc w:val="left"/>
        <w:rPr>
          <w:rFonts w:hint="eastAsia" w:ascii="宋体" w:hAnsi="宋体"/>
          <w:color w:val="auto"/>
          <w:highlight w:val="none"/>
        </w:rPr>
      </w:pPr>
      <w:r>
        <w:rPr>
          <w:rFonts w:hint="eastAsia" w:ascii="宋体" w:hAnsi="宋体"/>
          <w:color w:val="auto"/>
          <w:sz w:val="24"/>
          <w:highlight w:val="none"/>
        </w:rPr>
        <w:t xml:space="preserve">                                                       年    月    日</w:t>
      </w:r>
    </w:p>
    <w:p>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4.投标人直接控股、管理关系信息表</w:t>
      </w:r>
    </w:p>
    <w:p>
      <w:pPr>
        <w:snapToGrid w:val="0"/>
        <w:spacing w:before="50" w:after="120" w:afterLines="50"/>
        <w:jc w:val="center"/>
        <w:rPr>
          <w:rFonts w:hint="eastAsia" w:ascii="宋体" w:hAnsi="宋体"/>
          <w:b/>
          <w:color w:val="auto"/>
          <w:sz w:val="28"/>
          <w:szCs w:val="28"/>
          <w:highlight w:val="none"/>
        </w:rPr>
      </w:pPr>
      <w:r>
        <w:rPr>
          <w:rFonts w:hint="eastAsia" w:ascii="宋体" w:hAnsi="宋体"/>
          <w:b/>
          <w:color w:val="auto"/>
          <w:sz w:val="28"/>
          <w:szCs w:val="28"/>
          <w:highlight w:val="none"/>
        </w:rPr>
        <w:t>投标人直接控股股东信息表</w:t>
      </w:r>
    </w:p>
    <w:tbl>
      <w:tblPr>
        <w:tblStyle w:val="44"/>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r>
    </w:tbl>
    <w:p>
      <w:pPr>
        <w:snapToGrid w:val="0"/>
        <w:jc w:val="left"/>
        <w:rPr>
          <w:rFonts w:hint="eastAsia" w:ascii="宋体" w:hAnsi="宋体"/>
          <w:color w:val="auto"/>
          <w:sz w:val="24"/>
          <w:highlight w:val="none"/>
        </w:rPr>
      </w:pPr>
      <w:r>
        <w:rPr>
          <w:rFonts w:hint="eastAsia" w:ascii="宋体" w:hAnsi="宋体"/>
          <w:color w:val="auto"/>
          <w:sz w:val="24"/>
          <w:highlight w:val="none"/>
        </w:rPr>
        <w:t>注：</w:t>
      </w:r>
    </w:p>
    <w:p>
      <w:pPr>
        <w:snapToGrid w:val="0"/>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pPr>
        <w:snapToGrid w:val="0"/>
        <w:spacing w:before="50" w:after="50"/>
        <w:ind w:left="-2" w:leftChars="-1" w:right="-817" w:rightChars="-389" w:firstLine="3000" w:firstLineChars="1250"/>
        <w:rPr>
          <w:rFonts w:ascii="宋体" w:hAnsi="宋体"/>
          <w:color w:val="auto"/>
          <w:sz w:val="24"/>
          <w:highlight w:val="none"/>
        </w:rPr>
      </w:pPr>
      <w:r>
        <w:rPr>
          <w:rFonts w:hint="eastAsia" w:ascii="宋体" w:hAnsi="宋体"/>
          <w:color w:val="auto"/>
          <w:sz w:val="24"/>
          <w:highlight w:val="none"/>
        </w:rPr>
        <w:t>法定代表人或委托代理人（签字）：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before="50" w:after="50"/>
        <w:ind w:left="-31" w:leftChars="-15" w:right="-817" w:rightChars="-389" w:firstLine="3120" w:firstLineChars="1300"/>
        <w:rPr>
          <w:rFonts w:hint="eastAsia" w:ascii="宋体" w:hAnsi="宋体"/>
          <w:color w:val="auto"/>
          <w:sz w:val="24"/>
          <w:highlight w:val="none"/>
        </w:rPr>
      </w:pPr>
      <w:r>
        <w:rPr>
          <w:rFonts w:hint="eastAsia" w:ascii="宋体" w:hAnsi="宋体"/>
          <w:color w:val="auto"/>
          <w:sz w:val="24"/>
          <w:highlight w:val="none"/>
        </w:rPr>
        <w:t>投标人名称（盖章）：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before="120" w:beforeLines="50" w:after="50"/>
        <w:ind w:right="480" w:firstLine="4320" w:firstLineChars="1800"/>
        <w:rPr>
          <w:rFonts w:hint="eastAsia" w:ascii="宋体" w:hAnsi="宋体"/>
          <w:color w:val="auto"/>
          <w:szCs w:val="21"/>
          <w:highlight w:val="none"/>
        </w:rPr>
      </w:pPr>
      <w:r>
        <w:rPr>
          <w:rFonts w:hint="eastAsia" w:ascii="宋体" w:hAnsi="宋体"/>
          <w:color w:val="auto"/>
          <w:sz w:val="24"/>
          <w:highlight w:val="none"/>
        </w:rPr>
        <w:t>日   期：    年   月   日</w:t>
      </w:r>
    </w:p>
    <w:p>
      <w:pPr>
        <w:snapToGrid w:val="0"/>
        <w:jc w:val="center"/>
        <w:rPr>
          <w:rFonts w:hint="eastAsia" w:ascii="宋体" w:hAnsi="宋体"/>
          <w:b/>
          <w:color w:val="auto"/>
          <w:sz w:val="28"/>
          <w:szCs w:val="28"/>
          <w:highlight w:val="none"/>
        </w:rPr>
      </w:pPr>
    </w:p>
    <w:p>
      <w:pPr>
        <w:snapToGrid w:val="0"/>
        <w:jc w:val="center"/>
        <w:rPr>
          <w:rFonts w:hint="eastAsia" w:ascii="宋体" w:hAnsi="宋体"/>
          <w:b/>
          <w:color w:val="auto"/>
          <w:sz w:val="28"/>
          <w:szCs w:val="28"/>
          <w:highlight w:val="none"/>
        </w:rPr>
      </w:pPr>
      <w:r>
        <w:rPr>
          <w:rFonts w:hint="eastAsia" w:ascii="宋体" w:hAnsi="宋体"/>
          <w:b/>
          <w:color w:val="auto"/>
          <w:sz w:val="28"/>
          <w:szCs w:val="28"/>
          <w:highlight w:val="none"/>
        </w:rPr>
        <w:t>投标人直接管理关系信息表</w:t>
      </w:r>
    </w:p>
    <w:tbl>
      <w:tblPr>
        <w:tblStyle w:val="44"/>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highlight w:val="none"/>
              </w:rPr>
            </w:pPr>
          </w:p>
        </w:tc>
      </w:tr>
    </w:tbl>
    <w:p>
      <w:pPr>
        <w:snapToGrid w:val="0"/>
        <w:jc w:val="left"/>
        <w:rPr>
          <w:rFonts w:hint="eastAsia" w:ascii="宋体" w:hAnsi="宋体"/>
          <w:color w:val="auto"/>
          <w:sz w:val="24"/>
          <w:highlight w:val="none"/>
        </w:rPr>
      </w:pPr>
      <w:r>
        <w:rPr>
          <w:rFonts w:hint="eastAsia" w:ascii="宋体" w:hAnsi="宋体"/>
          <w:color w:val="auto"/>
          <w:sz w:val="24"/>
          <w:highlight w:val="none"/>
        </w:rPr>
        <w:t>注：</w:t>
      </w:r>
    </w:p>
    <w:p>
      <w:pPr>
        <w:snapToGrid w:val="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napToGrid w:val="0"/>
        <w:jc w:val="left"/>
        <w:rPr>
          <w:rFonts w:hint="eastAsia" w:ascii="宋体" w:hAnsi="宋体"/>
          <w:color w:val="auto"/>
          <w:highlight w:val="none"/>
        </w:rPr>
      </w:pPr>
      <w:r>
        <w:rPr>
          <w:rFonts w:hint="eastAsia" w:ascii="宋体" w:hAnsi="宋体"/>
          <w:color w:val="auto"/>
          <w:sz w:val="24"/>
          <w:highlight w:val="none"/>
        </w:rPr>
        <w:t>2.本表所指的管理关系仅限于直接管理关系，不包括间接的管理关系。</w:t>
      </w:r>
    </w:p>
    <w:p>
      <w:pPr>
        <w:snapToGrid w:val="0"/>
        <w:spacing w:before="50" w:after="50"/>
        <w:ind w:left="-2" w:leftChars="-1" w:right="-817" w:rightChars="-389" w:firstLine="3000" w:firstLineChars="1250"/>
        <w:rPr>
          <w:rFonts w:ascii="宋体" w:hAnsi="宋体"/>
          <w:color w:val="auto"/>
          <w:sz w:val="24"/>
          <w:highlight w:val="none"/>
        </w:rPr>
      </w:pPr>
      <w:r>
        <w:rPr>
          <w:rFonts w:hint="eastAsia" w:ascii="宋体" w:hAnsi="宋体"/>
          <w:color w:val="auto"/>
          <w:sz w:val="24"/>
          <w:highlight w:val="none"/>
        </w:rPr>
        <w:t>法定代表人或委托代理人（签字）：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before="50" w:after="50"/>
        <w:ind w:left="-31" w:leftChars="-15" w:right="-817" w:rightChars="-389" w:firstLine="3120" w:firstLineChars="1300"/>
        <w:rPr>
          <w:rFonts w:hint="eastAsia" w:ascii="宋体" w:hAnsi="宋体"/>
          <w:color w:val="auto"/>
          <w:sz w:val="24"/>
          <w:highlight w:val="none"/>
        </w:rPr>
      </w:pPr>
      <w:r>
        <w:rPr>
          <w:rFonts w:hint="eastAsia" w:ascii="宋体" w:hAnsi="宋体"/>
          <w:color w:val="auto"/>
          <w:sz w:val="24"/>
          <w:highlight w:val="none"/>
        </w:rPr>
        <w:t>投标人名称（盖章）：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ind w:firstLine="4320" w:firstLineChars="1800"/>
        <w:jc w:val="left"/>
        <w:rPr>
          <w:rFonts w:hint="eastAsia" w:ascii="宋体" w:hAnsi="宋体"/>
          <w:color w:val="auto"/>
          <w:sz w:val="24"/>
          <w:highlight w:val="none"/>
        </w:rPr>
      </w:pPr>
      <w:r>
        <w:rPr>
          <w:rFonts w:hint="eastAsia" w:ascii="宋体" w:hAnsi="宋体"/>
          <w:color w:val="auto"/>
          <w:sz w:val="24"/>
          <w:highlight w:val="none"/>
        </w:rPr>
        <w:t>日   期：    年   月   日</w:t>
      </w:r>
    </w:p>
    <w:p>
      <w:pPr>
        <w:snapToGrid w:val="0"/>
        <w:jc w:val="left"/>
        <w:rPr>
          <w:rFonts w:hint="eastAsia" w:ascii="宋体" w:hAnsi="宋体"/>
          <w:color w:val="auto"/>
          <w:highlight w:val="none"/>
        </w:rPr>
      </w:pPr>
      <w:r>
        <w:rPr>
          <w:rFonts w:hint="eastAsia" w:ascii="宋体" w:hAnsi="宋体"/>
          <w:b/>
          <w:color w:val="auto"/>
          <w:sz w:val="24"/>
          <w:highlight w:val="none"/>
        </w:rPr>
        <w:t>5.招标文件要求的其他资格证明文件。</w:t>
      </w:r>
    </w:p>
    <w:p>
      <w:pPr>
        <w:snapToGrid w:val="0"/>
        <w:jc w:val="left"/>
        <w:rPr>
          <w:rFonts w:hint="eastAsia"/>
          <w:color w:val="auto"/>
          <w:highlight w:val="none"/>
        </w:rPr>
      </w:pPr>
    </w:p>
    <w:p>
      <w:pPr>
        <w:snapToGrid w:val="0"/>
        <w:jc w:val="left"/>
        <w:rPr>
          <w:rFonts w:hint="eastAsia"/>
          <w:color w:val="auto"/>
          <w:highlight w:val="none"/>
        </w:rPr>
      </w:pPr>
    </w:p>
    <w:p>
      <w:pPr>
        <w:snapToGrid w:val="0"/>
        <w:spacing w:before="120" w:beforeLines="50" w:after="50"/>
        <w:outlineLvl w:val="1"/>
        <w:rPr>
          <w:rFonts w:hint="eastAsia" w:ascii="宋体" w:hAnsi="宋体"/>
          <w:b/>
          <w:bCs/>
          <w:color w:val="auto"/>
          <w:sz w:val="28"/>
          <w:szCs w:val="28"/>
          <w:highlight w:val="none"/>
        </w:rPr>
      </w:pPr>
      <w:bookmarkStart w:id="155" w:name="_Toc54691757"/>
      <w:r>
        <w:rPr>
          <w:rFonts w:hint="eastAsia" w:ascii="宋体" w:hAnsi="宋体"/>
          <w:b/>
          <w:bCs/>
          <w:color w:val="auto"/>
          <w:sz w:val="28"/>
          <w:szCs w:val="28"/>
          <w:highlight w:val="none"/>
        </w:rPr>
        <w:t>四、商务文件格式</w:t>
      </w:r>
      <w:bookmarkEnd w:id="155"/>
    </w:p>
    <w:p>
      <w:p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rPr>
        <w:t xml:space="preserve">1.商务文件封面格式： </w:t>
      </w:r>
    </w:p>
    <w:p>
      <w:pPr>
        <w:snapToGrid w:val="0"/>
        <w:spacing w:before="120" w:beforeLines="50" w:after="50"/>
        <w:rPr>
          <w:rFonts w:hint="eastAsia" w:ascii="宋体" w:hAnsi="宋体"/>
          <w:bCs/>
          <w:color w:val="auto"/>
          <w:sz w:val="24"/>
          <w:highlight w:val="none"/>
        </w:rPr>
      </w:pPr>
      <w:r>
        <w:rPr>
          <w:rFonts w:hint="eastAsia" w:ascii="宋体" w:hAnsi="宋体"/>
          <w:color w:val="auto"/>
          <w:sz w:val="24"/>
          <w:highlight w:val="none"/>
        </w:rPr>
        <w:t xml:space="preserve">                                                    </w:t>
      </w:r>
      <w:r>
        <w:rPr>
          <w:rFonts w:hint="eastAsia" w:ascii="宋体" w:hAnsi="宋体"/>
          <w:bCs/>
          <w:color w:val="auto"/>
          <w:sz w:val="24"/>
          <w:highlight w:val="none"/>
        </w:rPr>
        <w:t>正本/副本</w:t>
      </w: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宋体" w:hAnsi="宋体"/>
          <w:bCs/>
          <w:color w:val="auto"/>
          <w:sz w:val="72"/>
          <w:szCs w:val="72"/>
          <w:highlight w:val="none"/>
        </w:rPr>
      </w:pPr>
    </w:p>
    <w:p>
      <w:pPr>
        <w:snapToGrid w:val="0"/>
        <w:spacing w:before="120" w:beforeLines="50" w:after="50"/>
        <w:jc w:val="center"/>
        <w:rPr>
          <w:rFonts w:hint="eastAsia" w:ascii="宋体" w:hAnsi="宋体"/>
          <w:bCs/>
          <w:color w:val="auto"/>
          <w:sz w:val="72"/>
          <w:szCs w:val="72"/>
          <w:highlight w:val="none"/>
        </w:rPr>
      </w:pPr>
      <w:r>
        <w:rPr>
          <w:rFonts w:hint="eastAsia" w:ascii="宋体" w:hAnsi="宋体"/>
          <w:bCs/>
          <w:color w:val="auto"/>
          <w:sz w:val="72"/>
          <w:szCs w:val="72"/>
          <w:highlight w:val="none"/>
        </w:rPr>
        <w:t>商务文件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632" w:firstLineChars="225"/>
        <w:rPr>
          <w:rFonts w:hint="eastAsia" w:ascii="宋体" w:hAnsi="宋体"/>
          <w:b/>
          <w:bCs/>
          <w:color w:val="auto"/>
          <w:sz w:val="28"/>
          <w:szCs w:val="28"/>
          <w:highlight w:val="none"/>
        </w:rPr>
      </w:pPr>
      <w:r>
        <w:rPr>
          <w:rFonts w:hint="eastAsia" w:ascii="宋体" w:hAnsi="宋体"/>
          <w:b/>
          <w:bCs/>
          <w:color w:val="auto"/>
          <w:sz w:val="28"/>
          <w:szCs w:val="28"/>
          <w:highlight w:val="none"/>
        </w:rPr>
        <w:t>项目名称：</w:t>
      </w:r>
    </w:p>
    <w:p>
      <w:pPr>
        <w:snapToGrid w:val="0"/>
        <w:spacing w:before="120" w:beforeLines="50" w:after="50"/>
        <w:ind w:firstLine="632" w:firstLineChars="225"/>
        <w:rPr>
          <w:rFonts w:hint="eastAsia" w:ascii="宋体" w:hAnsi="宋体"/>
          <w:b/>
          <w:bCs/>
          <w:color w:val="auto"/>
          <w:sz w:val="28"/>
          <w:szCs w:val="28"/>
          <w:highlight w:val="none"/>
        </w:rPr>
      </w:pPr>
    </w:p>
    <w:p>
      <w:pPr>
        <w:snapToGrid w:val="0"/>
        <w:spacing w:before="120" w:beforeLines="50" w:after="50"/>
        <w:ind w:firstLine="632" w:firstLineChars="225"/>
        <w:rPr>
          <w:rFonts w:hint="eastAsia" w:ascii="宋体" w:hAnsi="宋体"/>
          <w:b/>
          <w:bCs/>
          <w:color w:val="auto"/>
          <w:sz w:val="28"/>
          <w:szCs w:val="28"/>
          <w:highlight w:val="none"/>
        </w:rPr>
      </w:pPr>
      <w:r>
        <w:rPr>
          <w:rFonts w:hint="eastAsia" w:ascii="宋体" w:hAnsi="宋体"/>
          <w:b/>
          <w:bCs/>
          <w:color w:val="auto"/>
          <w:sz w:val="28"/>
          <w:szCs w:val="28"/>
          <w:highlight w:val="none"/>
        </w:rPr>
        <w:t>项目编号：</w:t>
      </w:r>
    </w:p>
    <w:p>
      <w:pPr>
        <w:snapToGrid w:val="0"/>
        <w:spacing w:before="120" w:beforeLines="50" w:after="50"/>
        <w:ind w:firstLine="632" w:firstLineChars="225"/>
        <w:rPr>
          <w:rFonts w:hint="eastAsia" w:ascii="宋体" w:hAnsi="宋体"/>
          <w:b/>
          <w:bCs/>
          <w:color w:val="auto"/>
          <w:sz w:val="28"/>
          <w:szCs w:val="28"/>
          <w:highlight w:val="none"/>
        </w:rPr>
      </w:pPr>
    </w:p>
    <w:p>
      <w:pPr>
        <w:snapToGrid w:val="0"/>
        <w:spacing w:before="120" w:beforeLines="50" w:after="50"/>
        <w:ind w:firstLine="632" w:firstLineChars="225"/>
        <w:rPr>
          <w:rFonts w:hint="eastAsia" w:ascii="宋体" w:hAnsi="宋体"/>
          <w:b/>
          <w:bCs/>
          <w:color w:val="auto"/>
          <w:sz w:val="28"/>
          <w:szCs w:val="28"/>
          <w:highlight w:val="none"/>
        </w:rPr>
      </w:pPr>
      <w:r>
        <w:rPr>
          <w:rFonts w:hint="eastAsia" w:ascii="宋体" w:hAnsi="宋体"/>
          <w:b/>
          <w:bCs/>
          <w:color w:val="auto"/>
          <w:sz w:val="28"/>
          <w:szCs w:val="28"/>
          <w:highlight w:val="none"/>
        </w:rPr>
        <w:t>所投分标：</w:t>
      </w:r>
    </w:p>
    <w:p>
      <w:pPr>
        <w:snapToGrid w:val="0"/>
        <w:spacing w:before="120" w:beforeLines="50" w:after="50"/>
        <w:ind w:firstLine="632" w:firstLineChars="225"/>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 </w:t>
      </w:r>
    </w:p>
    <w:p>
      <w:pPr>
        <w:pStyle w:val="7"/>
        <w:snapToGrid w:val="0"/>
        <w:spacing w:before="50" w:after="50"/>
        <w:ind w:firstLine="632" w:firstLineChars="225"/>
        <w:rPr>
          <w:rFonts w:hint="eastAsia" w:ascii="宋体" w:hAnsi="宋体"/>
          <w:b/>
          <w:bCs/>
          <w:color w:val="auto"/>
          <w:sz w:val="28"/>
          <w:szCs w:val="28"/>
          <w:highlight w:val="none"/>
        </w:rPr>
      </w:pPr>
      <w:r>
        <w:rPr>
          <w:rFonts w:hint="eastAsia" w:ascii="宋体" w:hAnsi="宋体"/>
          <w:b/>
          <w:bCs/>
          <w:color w:val="auto"/>
          <w:sz w:val="28"/>
          <w:szCs w:val="28"/>
          <w:highlight w:val="none"/>
        </w:rPr>
        <w:t>投标人名称：</w:t>
      </w:r>
    </w:p>
    <w:p>
      <w:pPr>
        <w:pStyle w:val="7"/>
        <w:snapToGrid w:val="0"/>
        <w:spacing w:before="50" w:after="50"/>
        <w:ind w:firstLine="632" w:firstLineChars="225"/>
        <w:rPr>
          <w:rFonts w:hint="eastAsia" w:ascii="宋体" w:hAnsi="宋体"/>
          <w:b/>
          <w:bCs/>
          <w:color w:val="auto"/>
          <w:sz w:val="28"/>
          <w:szCs w:val="28"/>
          <w:highlight w:val="none"/>
        </w:rPr>
      </w:pPr>
    </w:p>
    <w:p>
      <w:pPr>
        <w:pStyle w:val="7"/>
        <w:snapToGrid w:val="0"/>
        <w:spacing w:before="50" w:after="50"/>
        <w:ind w:firstLine="632" w:firstLineChars="225"/>
        <w:rPr>
          <w:rFonts w:hint="eastAsia" w:ascii="宋体" w:hAnsi="宋体"/>
          <w:b/>
          <w:bCs/>
          <w:color w:val="auto"/>
          <w:sz w:val="28"/>
          <w:szCs w:val="28"/>
          <w:highlight w:val="none"/>
        </w:rPr>
      </w:pPr>
      <w:r>
        <w:rPr>
          <w:rFonts w:hint="eastAsia" w:ascii="宋体" w:hAnsi="宋体"/>
          <w:b/>
          <w:bCs/>
          <w:color w:val="auto"/>
          <w:sz w:val="28"/>
          <w:szCs w:val="28"/>
          <w:highlight w:val="none"/>
        </w:rPr>
        <w:t>投标人地址：</w:t>
      </w:r>
    </w:p>
    <w:p>
      <w:pPr>
        <w:pStyle w:val="7"/>
        <w:snapToGrid w:val="0"/>
        <w:spacing w:before="50" w:after="50"/>
        <w:ind w:firstLine="1124" w:firstLineChars="400"/>
        <w:rPr>
          <w:rFonts w:hint="eastAsia" w:ascii="宋体" w:hAnsi="宋体"/>
          <w:b/>
          <w:bCs/>
          <w:color w:val="auto"/>
          <w:sz w:val="28"/>
          <w:szCs w:val="28"/>
          <w:highlight w:val="none"/>
        </w:rPr>
      </w:pPr>
    </w:p>
    <w:p>
      <w:pPr>
        <w:pStyle w:val="7"/>
        <w:snapToGrid w:val="0"/>
        <w:spacing w:before="50" w:after="50"/>
        <w:ind w:firstLine="1124" w:firstLineChars="400"/>
        <w:rPr>
          <w:rFonts w:hint="eastAsia" w:ascii="宋体" w:hAnsi="宋体"/>
          <w:b/>
          <w:bCs/>
          <w:color w:val="auto"/>
          <w:sz w:val="28"/>
          <w:szCs w:val="28"/>
          <w:highlight w:val="none"/>
        </w:rPr>
      </w:pPr>
    </w:p>
    <w:p>
      <w:pPr>
        <w:pStyle w:val="7"/>
        <w:snapToGrid w:val="0"/>
        <w:spacing w:before="50" w:after="50"/>
        <w:ind w:firstLine="1124" w:firstLineChars="400"/>
        <w:rPr>
          <w:rFonts w:hint="eastAsia" w:ascii="宋体" w:hAnsi="宋体"/>
          <w:b/>
          <w:bCs/>
          <w:color w:val="auto"/>
          <w:sz w:val="28"/>
          <w:szCs w:val="28"/>
          <w:highlight w:val="none"/>
        </w:rPr>
      </w:pPr>
    </w:p>
    <w:p>
      <w:pPr>
        <w:pStyle w:val="7"/>
        <w:snapToGrid w:val="0"/>
        <w:spacing w:before="50" w:after="50"/>
        <w:ind w:firstLine="1124" w:firstLineChars="400"/>
        <w:rPr>
          <w:rFonts w:hint="eastAsia" w:ascii="宋体" w:hAnsi="宋体"/>
          <w:b/>
          <w:bCs/>
          <w:color w:val="auto"/>
          <w:sz w:val="28"/>
          <w:szCs w:val="28"/>
          <w:highlight w:val="none"/>
        </w:rPr>
      </w:pPr>
    </w:p>
    <w:p>
      <w:pPr>
        <w:snapToGrid w:val="0"/>
        <w:spacing w:before="120" w:beforeLines="50" w:after="50"/>
        <w:ind w:firstLine="645"/>
        <w:jc w:val="center"/>
        <w:rPr>
          <w:rFonts w:ascii="宋体" w:hAnsi="宋体"/>
          <w:b/>
          <w:color w:val="auto"/>
          <w:sz w:val="28"/>
          <w:szCs w:val="28"/>
          <w:highlight w:val="none"/>
        </w:rPr>
      </w:pPr>
      <w:r>
        <w:rPr>
          <w:rFonts w:hint="eastAsia" w:ascii="宋体" w:hAnsi="宋体"/>
          <w:b/>
          <w:color w:val="auto"/>
          <w:sz w:val="28"/>
          <w:szCs w:val="28"/>
          <w:highlight w:val="none"/>
        </w:rPr>
        <w:t xml:space="preserve">                        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jc w:val="left"/>
        <w:rPr>
          <w:rFonts w:hint="eastAsia" w:ascii="宋体" w:hAnsi="宋体"/>
          <w:color w:val="auto"/>
          <w:sz w:val="24"/>
          <w:szCs w:val="20"/>
          <w:highlight w:val="none"/>
        </w:rPr>
      </w:pPr>
      <w:r>
        <w:rPr>
          <w:rFonts w:ascii="宋体" w:hAnsi="宋体"/>
          <w:color w:val="auto"/>
          <w:sz w:val="24"/>
          <w:szCs w:val="20"/>
          <w:highlight w:val="none"/>
        </w:rPr>
        <w:br w:type="page"/>
      </w:r>
    </w:p>
    <w:p>
      <w:pPr>
        <w:snapToGrid w:val="0"/>
        <w:jc w:val="left"/>
        <w:rPr>
          <w:rFonts w:hint="eastAsia" w:ascii="宋体" w:hAnsi="宋体"/>
          <w:b/>
          <w:color w:val="auto"/>
          <w:sz w:val="24"/>
          <w:highlight w:val="none"/>
        </w:rPr>
      </w:pPr>
      <w:r>
        <w:rPr>
          <w:rFonts w:hint="eastAsia" w:ascii="宋体" w:hAnsi="宋体"/>
          <w:b/>
          <w:color w:val="auto"/>
          <w:sz w:val="24"/>
          <w:highlight w:val="none"/>
        </w:rPr>
        <w:t>2.商务文件目录</w:t>
      </w:r>
    </w:p>
    <w:p>
      <w:pPr>
        <w:snapToGrid w:val="0"/>
        <w:jc w:val="left"/>
        <w:rPr>
          <w:rFonts w:hint="eastAsia" w:ascii="宋体" w:hAnsi="宋体"/>
          <w:b/>
          <w:color w:val="auto"/>
          <w:sz w:val="24"/>
          <w:highlight w:val="none"/>
        </w:rPr>
      </w:pPr>
    </w:p>
    <w:p>
      <w:pPr>
        <w:snapToGrid w:val="0"/>
        <w:spacing w:before="50" w:after="120" w:afterLines="50"/>
        <w:ind w:firstLine="360" w:firstLineChars="150"/>
        <w:jc w:val="left"/>
        <w:rPr>
          <w:rFonts w:ascii="微软雅黑" w:hAnsi="微软雅黑" w:eastAsia="微软雅黑"/>
          <w:bCs/>
          <w:color w:val="auto"/>
          <w:sz w:val="24"/>
          <w:highlight w:val="none"/>
        </w:rPr>
      </w:pPr>
      <w:r>
        <w:rPr>
          <w:rFonts w:hint="eastAsia" w:ascii="宋体" w:hAnsi="宋体"/>
          <w:color w:val="auto"/>
          <w:sz w:val="24"/>
          <w:highlight w:val="none"/>
        </w:rPr>
        <w:t>根据招标文件规定及投标人提供的材料自行编写目录（应附有页码）</w:t>
      </w:r>
    </w:p>
    <w:p>
      <w:pPr>
        <w:snapToGrid w:val="0"/>
        <w:spacing w:before="50" w:after="120" w:afterLines="50"/>
        <w:jc w:val="left"/>
        <w:rPr>
          <w:rFonts w:hint="eastAsia" w:ascii="宋体" w:hAnsi="宋体"/>
          <w:color w:val="auto"/>
          <w:highlight w:val="none"/>
        </w:rPr>
      </w:pPr>
    </w:p>
    <w:p>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p>
    <w:p>
      <w:pPr>
        <w:snapToGrid w:val="0"/>
        <w:spacing w:before="120" w:beforeLines="50" w:after="50"/>
        <w:jc w:val="left"/>
        <w:rPr>
          <w:rFonts w:hint="eastAsia" w:ascii="宋体" w:hAnsi="宋体"/>
          <w:b/>
          <w:color w:val="auto"/>
          <w:sz w:val="24"/>
          <w:szCs w:val="20"/>
          <w:highlight w:val="none"/>
        </w:rPr>
      </w:pPr>
      <w:r>
        <w:rPr>
          <w:rFonts w:hint="eastAsia" w:ascii="宋体" w:hAnsi="宋体"/>
          <w:b/>
          <w:color w:val="auto"/>
          <w:sz w:val="24"/>
          <w:highlight w:val="none"/>
        </w:rPr>
        <w:t>3.商务条款偏离表格式(注：按项目需求表具体项目修改)</w:t>
      </w:r>
    </w:p>
    <w:p>
      <w:pPr>
        <w:snapToGrid w:val="0"/>
        <w:spacing w:before="50"/>
        <w:jc w:val="left"/>
        <w:rPr>
          <w:rFonts w:hint="eastAsia" w:ascii="宋体" w:hAnsi="宋体"/>
          <w:color w:val="auto"/>
          <w:sz w:val="24"/>
          <w:highlight w:val="none"/>
        </w:rPr>
      </w:pPr>
    </w:p>
    <w:p>
      <w:pPr>
        <w:pStyle w:val="23"/>
        <w:ind w:firstLine="360" w:firstLineChars="150"/>
        <w:rPr>
          <w:rFonts w:hint="eastAsia" w:hAnsi="宋体"/>
          <w:color w:val="auto"/>
          <w:sz w:val="24"/>
          <w:szCs w:val="24"/>
          <w:highlight w:val="none"/>
          <w:lang w:eastAsia="zh-CN"/>
        </w:rPr>
      </w:pPr>
      <w:r>
        <w:rPr>
          <w:rFonts w:hint="eastAsia" w:hAnsi="宋体"/>
          <w:color w:val="auto"/>
          <w:sz w:val="24"/>
          <w:highlight w:val="none"/>
        </w:rPr>
        <w:t>所投分标：</w:t>
      </w:r>
      <w:r>
        <w:rPr>
          <w:rFonts w:hint="eastAsia" w:hAnsi="宋体"/>
          <w:color w:val="auto"/>
          <w:sz w:val="24"/>
          <w:highlight w:val="none"/>
          <w:u w:val="single"/>
        </w:rPr>
        <w:t xml:space="preserve">     </w:t>
      </w:r>
      <w:r>
        <w:rPr>
          <w:rFonts w:hint="eastAsia" w:hAnsi="宋体"/>
          <w:color w:val="auto"/>
          <w:sz w:val="24"/>
          <w:highlight w:val="none"/>
        </w:rPr>
        <w:t>分标</w:t>
      </w:r>
    </w:p>
    <w:p>
      <w:pPr>
        <w:snapToGrid w:val="0"/>
        <w:spacing w:before="50"/>
        <w:jc w:val="left"/>
        <w:rPr>
          <w:rFonts w:hint="eastAsia" w:ascii="宋体" w:hAnsi="宋体"/>
          <w:color w:val="auto"/>
          <w:sz w:val="24"/>
          <w:highlight w:val="none"/>
          <w:u w:val="single"/>
        </w:rPr>
      </w:pPr>
    </w:p>
    <w:tbl>
      <w:tblPr>
        <w:tblStyle w:val="44"/>
        <w:tblW w:w="0" w:type="auto"/>
        <w:tblInd w:w="3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144"/>
        <w:gridCol w:w="26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招标文件商务条款要求</w:t>
            </w:r>
          </w:p>
        </w:tc>
        <w:tc>
          <w:tcPr>
            <w:tcW w:w="114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是否偏离</w:t>
            </w:r>
          </w:p>
        </w:tc>
        <w:tc>
          <w:tcPr>
            <w:tcW w:w="26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投标人的承诺或者说明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 w:val="24"/>
                <w:highlight w:val="none"/>
              </w:rPr>
            </w:pPr>
            <w:r>
              <w:rPr>
                <w:rFonts w:hint="eastAsia" w:ascii="宋体" w:hAnsi="宋体"/>
                <w:color w:val="auto"/>
                <w:sz w:val="24"/>
                <w:highlight w:val="none"/>
              </w:rPr>
              <w:t>交货时间及地点</w:t>
            </w:r>
          </w:p>
        </w:tc>
        <w:tc>
          <w:tcPr>
            <w:tcW w:w="33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售后服务及质量要求要求</w:t>
            </w:r>
          </w:p>
        </w:tc>
        <w:tc>
          <w:tcPr>
            <w:tcW w:w="33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u w:val="single"/>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color w:val="auto"/>
                <w:sz w:val="24"/>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 w:val="24"/>
                <w:highlight w:val="none"/>
              </w:rPr>
            </w:pPr>
            <w:r>
              <w:rPr>
                <w:rFonts w:hint="eastAsia" w:ascii="宋体" w:hAnsi="宋体"/>
                <w:color w:val="auto"/>
                <w:sz w:val="24"/>
                <w:highlight w:val="none"/>
              </w:rPr>
              <w:t>付款方式</w:t>
            </w:r>
          </w:p>
        </w:tc>
        <w:tc>
          <w:tcPr>
            <w:tcW w:w="33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auto"/>
                <w:sz w:val="24"/>
                <w:highlight w:val="none"/>
              </w:rPr>
            </w:pPr>
            <w:r>
              <w:rPr>
                <w:rFonts w:hint="eastAsia" w:ascii="宋体" w:hAnsi="宋体"/>
                <w:color w:val="auto"/>
                <w:sz w:val="24"/>
                <w:highlight w:val="none"/>
              </w:rPr>
              <w:t>投标报价要求</w:t>
            </w:r>
          </w:p>
        </w:tc>
        <w:tc>
          <w:tcPr>
            <w:tcW w:w="33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 w:val="24"/>
                <w:highlight w:val="none"/>
              </w:rPr>
            </w:pPr>
            <w:r>
              <w:rPr>
                <w:rFonts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auto"/>
                <w:sz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26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r>
    </w:tbl>
    <w:p>
      <w:pPr>
        <w:snapToGrid w:val="0"/>
        <w:spacing w:before="50" w:after="50"/>
        <w:ind w:firstLine="420" w:firstLineChars="150"/>
        <w:rPr>
          <w:rFonts w:hint="eastAsia" w:ascii="宋体" w:hAnsi="宋体"/>
          <w:color w:val="auto"/>
          <w:spacing w:val="20"/>
          <w:sz w:val="24"/>
          <w:highlight w:val="none"/>
        </w:rPr>
      </w:pPr>
    </w:p>
    <w:p>
      <w:pPr>
        <w:snapToGrid w:val="0"/>
        <w:spacing w:before="50" w:after="50"/>
        <w:ind w:firstLine="420" w:firstLineChars="150"/>
        <w:rPr>
          <w:rFonts w:hint="eastAsia" w:ascii="宋体" w:hAnsi="宋体"/>
          <w:color w:val="auto"/>
          <w:spacing w:val="20"/>
          <w:sz w:val="24"/>
          <w:highlight w:val="none"/>
        </w:rPr>
      </w:pPr>
    </w:p>
    <w:p>
      <w:pPr>
        <w:snapToGrid w:val="0"/>
        <w:spacing w:before="50" w:after="50"/>
        <w:ind w:firstLine="420" w:firstLineChars="150"/>
        <w:rPr>
          <w:rFonts w:hint="eastAsia" w:ascii="宋体" w:hAnsi="宋体"/>
          <w:color w:val="auto"/>
          <w:spacing w:val="20"/>
          <w:sz w:val="24"/>
          <w:highlight w:val="none"/>
        </w:rPr>
      </w:pPr>
      <w:r>
        <w:rPr>
          <w:rFonts w:hint="eastAsia" w:ascii="宋体" w:hAnsi="宋体"/>
          <w:color w:val="auto"/>
          <w:spacing w:val="20"/>
          <w:sz w:val="24"/>
          <w:highlight w:val="none"/>
        </w:rPr>
        <w:t>备注：</w:t>
      </w:r>
      <w:r>
        <w:rPr>
          <w:rFonts w:hint="eastAsia" w:ascii="宋体" w:hAnsi="宋体"/>
          <w:color w:val="auto"/>
          <w:sz w:val="24"/>
          <w:highlight w:val="none"/>
        </w:rPr>
        <w:t>按采购需求内容填写</w:t>
      </w:r>
      <w:r>
        <w:rPr>
          <w:rFonts w:hint="eastAsia" w:ascii="宋体" w:hAnsi="宋体"/>
          <w:color w:val="auto"/>
          <w:spacing w:val="20"/>
          <w:sz w:val="24"/>
          <w:highlight w:val="none"/>
        </w:rPr>
        <w:t>。</w:t>
      </w:r>
    </w:p>
    <w:p>
      <w:pPr>
        <w:snapToGrid w:val="0"/>
        <w:spacing w:before="50" w:after="50"/>
        <w:rPr>
          <w:rFonts w:hint="eastAsia" w:ascii="宋体" w:hAnsi="宋体"/>
          <w:color w:val="auto"/>
          <w:spacing w:val="20"/>
          <w:sz w:val="24"/>
          <w:highlight w:val="none"/>
        </w:rPr>
      </w:pPr>
    </w:p>
    <w:p>
      <w:pPr>
        <w:snapToGrid w:val="0"/>
        <w:spacing w:before="50" w:after="50"/>
        <w:rPr>
          <w:rFonts w:hint="eastAsia" w:ascii="宋体" w:hAnsi="宋体"/>
          <w:color w:val="auto"/>
          <w:sz w:val="24"/>
          <w:highlight w:val="none"/>
        </w:rPr>
      </w:pPr>
    </w:p>
    <w:p>
      <w:pPr>
        <w:snapToGrid w:val="0"/>
        <w:spacing w:before="50" w:after="50"/>
        <w:rPr>
          <w:rFonts w:hint="eastAsia" w:ascii="宋体" w:hAnsi="宋体"/>
          <w:color w:val="auto"/>
          <w:sz w:val="24"/>
          <w:highlight w:val="none"/>
        </w:rPr>
      </w:pPr>
    </w:p>
    <w:p>
      <w:pPr>
        <w:snapToGrid w:val="0"/>
        <w:spacing w:before="50" w:after="50"/>
        <w:rPr>
          <w:rFonts w:hint="eastAsia" w:ascii="宋体" w:hAnsi="宋体"/>
          <w:color w:val="auto"/>
          <w:sz w:val="24"/>
          <w:highlight w:val="none"/>
        </w:rPr>
      </w:pPr>
    </w:p>
    <w:p>
      <w:pPr>
        <w:snapToGrid w:val="0"/>
        <w:spacing w:before="120" w:beforeLines="50"/>
        <w:rPr>
          <w:rFonts w:hint="eastAsia" w:ascii="宋体" w:hAnsi="宋体"/>
          <w:color w:val="auto"/>
          <w:sz w:val="24"/>
          <w:highlight w:val="non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before="120" w:beforeLines="50"/>
        <w:rPr>
          <w:rFonts w:hint="eastAsia" w:ascii="宋体" w:hAnsi="宋体"/>
          <w:color w:val="auto"/>
          <w:sz w:val="24"/>
          <w:highlight w:val="none"/>
        </w:rPr>
      </w:pPr>
      <w:r>
        <w:rPr>
          <w:rFonts w:hint="eastAsia" w:ascii="宋体" w:hAnsi="宋体"/>
          <w:color w:val="auto"/>
          <w:sz w:val="24"/>
          <w:highlight w:val="none"/>
        </w:rPr>
        <w:t xml:space="preserve">投标人名称（盖公章）：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before="120" w:beforeLines="50" w:after="50"/>
        <w:jc w:val="left"/>
        <w:rPr>
          <w:rFonts w:hint="eastAsia" w:ascii="宋体" w:hAnsi="宋体"/>
          <w:b/>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pStyle w:val="2"/>
        <w:rPr>
          <w:rFonts w:hint="eastAsia"/>
          <w:color w:val="auto"/>
          <w:highlight w:val="none"/>
        </w:rPr>
      </w:pPr>
    </w:p>
    <w:p>
      <w:pPr>
        <w:snapToGrid w:val="0"/>
        <w:spacing w:before="120" w:beforeLines="50" w:after="50"/>
        <w:jc w:val="left"/>
        <w:rPr>
          <w:rFonts w:hint="eastAsia" w:ascii="宋体" w:hAnsi="宋体"/>
          <w:b/>
          <w:color w:val="auto"/>
          <w:sz w:val="24"/>
          <w:highlight w:val="none"/>
        </w:rPr>
      </w:pPr>
    </w:p>
    <w:p>
      <w:pPr>
        <w:pStyle w:val="2"/>
        <w:rPr>
          <w:rFonts w:hint="eastAsia"/>
        </w:rPr>
      </w:pPr>
    </w:p>
    <w:p>
      <w:p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rPr>
        <w:t>4.</w:t>
      </w:r>
      <w:r>
        <w:rPr>
          <w:rFonts w:hint="eastAsia"/>
          <w:color w:val="auto"/>
          <w:highlight w:val="none"/>
        </w:rPr>
        <w:t xml:space="preserve"> </w:t>
      </w:r>
      <w:r>
        <w:rPr>
          <w:rFonts w:hint="eastAsia" w:ascii="宋体" w:hAnsi="宋体"/>
          <w:b/>
          <w:color w:val="auto"/>
          <w:sz w:val="24"/>
          <w:highlight w:val="none"/>
        </w:rPr>
        <w:t>投标人参加本项目无围标串标行为的承诺</w:t>
      </w:r>
    </w:p>
    <w:p>
      <w:pPr>
        <w:snapToGrid w:val="0"/>
        <w:spacing w:before="120" w:beforeLines="50" w:after="50"/>
        <w:ind w:left="420"/>
        <w:jc w:val="center"/>
        <w:rPr>
          <w:rFonts w:ascii="宋体" w:hAnsi="宋体"/>
          <w:b/>
          <w:color w:val="auto"/>
          <w:sz w:val="32"/>
          <w:szCs w:val="32"/>
          <w:highlight w:val="none"/>
        </w:rPr>
      </w:pPr>
      <w:r>
        <w:rPr>
          <w:rFonts w:hint="eastAsia" w:ascii="宋体" w:hAnsi="宋体"/>
          <w:b/>
          <w:color w:val="auto"/>
          <w:sz w:val="32"/>
          <w:szCs w:val="32"/>
          <w:highlight w:val="none"/>
        </w:rPr>
        <w:t>投标人参加本项目无围标串标行为的承诺函</w:t>
      </w:r>
    </w:p>
    <w:p>
      <w:pPr>
        <w:snapToGrid w:val="0"/>
        <w:spacing w:line="440" w:lineRule="exact"/>
        <w:jc w:val="left"/>
        <w:rPr>
          <w:rFonts w:hint="eastAsia" w:ascii="宋体" w:hAnsi="宋体"/>
          <w:b/>
          <w:color w:val="auto"/>
          <w:sz w:val="24"/>
          <w:highlight w:val="none"/>
        </w:rPr>
      </w:pPr>
      <w:r>
        <w:rPr>
          <w:rFonts w:hint="eastAsia" w:ascii="宋体" w:hAnsi="宋体"/>
          <w:b/>
          <w:color w:val="auto"/>
          <w:sz w:val="24"/>
          <w:highlight w:val="none"/>
        </w:rPr>
        <w:t>一、我方承诺无下列相互串通投标的情形：</w:t>
      </w:r>
    </w:p>
    <w:p>
      <w:pPr>
        <w:snapToGrid w:val="0"/>
        <w:spacing w:line="44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1.不同投标人的投标文件由同一单位或者个人编制；或者不同投标人报名的IP地址一致的；</w:t>
      </w:r>
    </w:p>
    <w:p>
      <w:pPr>
        <w:snapToGrid w:val="0"/>
        <w:spacing w:line="44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2.不同投标人委托同一单位或者个人办理投标事宜；</w:t>
      </w:r>
    </w:p>
    <w:p>
      <w:pPr>
        <w:snapToGrid w:val="0"/>
        <w:spacing w:line="44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pPr>
        <w:snapToGrid w:val="0"/>
        <w:spacing w:line="44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pPr>
        <w:snapToGrid w:val="0"/>
        <w:spacing w:line="44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5.不同投标人的投标文件相互混装；</w:t>
      </w:r>
    </w:p>
    <w:p>
      <w:pPr>
        <w:snapToGrid w:val="0"/>
        <w:spacing w:line="44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pPr>
        <w:snapToGrid w:val="0"/>
        <w:spacing w:line="440" w:lineRule="exact"/>
        <w:jc w:val="left"/>
        <w:rPr>
          <w:rFonts w:hint="eastAsia" w:ascii="宋体" w:hAnsi="宋体"/>
          <w:color w:val="auto"/>
          <w:sz w:val="24"/>
          <w:highlight w:val="none"/>
        </w:rPr>
      </w:pPr>
      <w:r>
        <w:rPr>
          <w:rFonts w:hint="eastAsia" w:ascii="宋体" w:hAnsi="宋体"/>
          <w:b/>
          <w:color w:val="auto"/>
          <w:sz w:val="24"/>
          <w:highlight w:val="none"/>
        </w:rPr>
        <w:t>二、我方承诺无下列恶意串通的情形：</w:t>
      </w:r>
    </w:p>
    <w:p>
      <w:pPr>
        <w:snapToGrid w:val="0"/>
        <w:spacing w:line="44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pPr>
        <w:snapToGrid w:val="0"/>
        <w:spacing w:line="44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pPr>
        <w:snapToGrid w:val="0"/>
        <w:spacing w:line="44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pPr>
        <w:snapToGrid w:val="0"/>
        <w:spacing w:line="44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pPr>
        <w:snapToGrid w:val="0"/>
        <w:spacing w:line="44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pPr>
        <w:snapToGrid w:val="0"/>
        <w:spacing w:line="44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pPr>
        <w:snapToGrid w:val="0"/>
        <w:spacing w:line="44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pPr>
        <w:snapToGrid w:val="0"/>
        <w:spacing w:line="440" w:lineRule="exact"/>
        <w:ind w:firstLine="470" w:firstLineChars="196"/>
        <w:jc w:val="left"/>
        <w:rPr>
          <w:rFonts w:hint="eastAsia" w:ascii="宋体" w:hAnsi="宋体"/>
          <w:color w:val="auto"/>
          <w:sz w:val="24"/>
          <w:highlight w:val="none"/>
        </w:rPr>
      </w:pPr>
    </w:p>
    <w:p>
      <w:pPr>
        <w:snapToGrid w:val="0"/>
        <w:spacing w:line="44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pPr>
        <w:pStyle w:val="23"/>
        <w:snapToGrid w:val="0"/>
        <w:spacing w:before="295" w:after="295" w:line="320" w:lineRule="exact"/>
        <w:ind w:firstLine="6840" w:firstLineChars="2850"/>
        <w:rPr>
          <w:rFonts w:hAnsi="宋体"/>
          <w:color w:val="auto"/>
          <w:sz w:val="24"/>
          <w:szCs w:val="24"/>
          <w:highlight w:val="none"/>
        </w:rPr>
      </w:pPr>
      <w:r>
        <w:rPr>
          <w:rFonts w:hint="eastAsia" w:hAnsi="宋体"/>
          <w:color w:val="auto"/>
          <w:sz w:val="24"/>
          <w:szCs w:val="24"/>
          <w:highlight w:val="none"/>
        </w:rPr>
        <w:t>投标人名称（公章）</w:t>
      </w:r>
    </w:p>
    <w:p>
      <w:pPr>
        <w:snapToGrid w:val="0"/>
        <w:spacing w:before="120" w:beforeLines="50" w:after="50"/>
        <w:jc w:val="left"/>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szCs w:val="20"/>
          <w:highlight w:val="none"/>
        </w:rPr>
      </w:pPr>
      <w:r>
        <w:rPr>
          <w:rFonts w:hint="eastAsia" w:ascii="宋体" w:hAnsi="宋体"/>
          <w:b/>
          <w:color w:val="auto"/>
          <w:sz w:val="24"/>
          <w:highlight w:val="none"/>
        </w:rPr>
        <w:t>5. 法定代表人身份证明及法定代表人有效身份证正反面复印件</w:t>
      </w:r>
    </w:p>
    <w:p>
      <w:pPr>
        <w:spacing w:before="240" w:beforeLines="100" w:after="120" w:afterLines="50"/>
        <w:ind w:left="540"/>
        <w:jc w:val="center"/>
        <w:rPr>
          <w:rFonts w:hint="eastAsia" w:ascii="宋体" w:hAnsi="Courier New"/>
          <w:b/>
          <w:color w:val="auto"/>
          <w:sz w:val="32"/>
          <w:szCs w:val="32"/>
          <w:highlight w:val="none"/>
        </w:rPr>
      </w:pPr>
    </w:p>
    <w:p>
      <w:pPr>
        <w:spacing w:before="240" w:beforeLines="100" w:after="120" w:afterLines="50"/>
        <w:ind w:left="540"/>
        <w:jc w:val="center"/>
        <w:rPr>
          <w:rFonts w:hint="eastAsia"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pPr>
        <w:spacing w:line="500" w:lineRule="exact"/>
        <w:ind w:left="540"/>
        <w:rPr>
          <w:rFonts w:hint="eastAsia" w:ascii="宋体" w:hAnsi="宋体"/>
          <w:color w:val="auto"/>
          <w:sz w:val="24"/>
          <w:highlight w:val="none"/>
        </w:rPr>
      </w:pPr>
    </w:p>
    <w:p>
      <w:pPr>
        <w:spacing w:line="500" w:lineRule="exact"/>
        <w:ind w:left="540"/>
        <w:rPr>
          <w:rFonts w:hint="eastAsia" w:ascii="宋体" w:hAnsi="宋体"/>
          <w:color w:val="auto"/>
          <w:sz w:val="24"/>
          <w:highlight w:val="none"/>
        </w:rPr>
      </w:pP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pPr>
        <w:spacing w:line="500" w:lineRule="exact"/>
        <w:ind w:left="540"/>
        <w:rPr>
          <w:rFonts w:hint="eastAsia" w:ascii="宋体" w:hAnsi="宋体"/>
          <w:color w:val="auto"/>
          <w:sz w:val="24"/>
          <w:highlight w:val="none"/>
        </w:rPr>
      </w:pPr>
    </w:p>
    <w:p>
      <w:pPr>
        <w:spacing w:line="500" w:lineRule="exact"/>
        <w:ind w:left="540" w:right="480"/>
        <w:jc w:val="center"/>
        <w:rPr>
          <w:rFonts w:hint="eastAsia" w:ascii="宋体" w:hAnsi="宋体"/>
          <w:color w:val="auto"/>
          <w:sz w:val="24"/>
          <w:highlight w:val="none"/>
        </w:rPr>
      </w:pPr>
      <w:r>
        <w:rPr>
          <w:rFonts w:hint="eastAsia" w:ascii="宋体" w:hAnsi="宋体"/>
          <w:color w:val="auto"/>
          <w:sz w:val="24"/>
          <w:highlight w:val="none"/>
        </w:rPr>
        <w:t xml:space="preserve">                                                     投标人名称（公章）</w:t>
      </w:r>
    </w:p>
    <w:p>
      <w:pPr>
        <w:spacing w:line="500" w:lineRule="exact"/>
        <w:ind w:left="540"/>
        <w:jc w:val="right"/>
        <w:rPr>
          <w:rFonts w:hint="eastAsia" w:ascii="宋体" w:hAnsi="宋体"/>
          <w:color w:val="auto"/>
          <w:sz w:val="24"/>
          <w:highlight w:val="none"/>
        </w:rPr>
      </w:pPr>
    </w:p>
    <w:p>
      <w:pPr>
        <w:snapToGrid w:val="0"/>
        <w:spacing w:before="120" w:beforeLines="50" w:after="50"/>
        <w:ind w:left="540"/>
        <w:jc w:val="righ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napToGrid w:val="0"/>
        <w:spacing w:before="120" w:beforeLines="50" w:after="50"/>
        <w:jc w:val="center"/>
        <w:rPr>
          <w:rFonts w:hint="eastAsia" w:ascii="宋体" w:hAnsi="宋体"/>
          <w:b/>
          <w:color w:val="auto"/>
          <w:sz w:val="24"/>
          <w:highlight w:val="none"/>
        </w:rPr>
      </w:pPr>
    </w:p>
    <w:p>
      <w:pPr>
        <w:snapToGrid w:val="0"/>
        <w:spacing w:before="120" w:beforeLines="50" w:after="50"/>
        <w:ind w:firstLine="480" w:firstLineChars="200"/>
        <w:jc w:val="left"/>
        <w:rPr>
          <w:rFonts w:hint="eastAsia" w:ascii="宋体" w:hAnsi="宋体"/>
          <w:color w:val="auto"/>
          <w:sz w:val="24"/>
          <w:highlight w:val="none"/>
        </w:rPr>
      </w:pPr>
    </w:p>
    <w:p>
      <w:pPr>
        <w:snapToGrid w:val="0"/>
        <w:spacing w:before="120" w:beforeLines="50" w:after="50"/>
        <w:ind w:firstLine="480" w:firstLineChars="200"/>
        <w:jc w:val="left"/>
        <w:rPr>
          <w:rFonts w:hint="eastAsia" w:ascii="宋体" w:hAnsi="宋体"/>
          <w:b/>
          <w:color w:val="auto"/>
          <w:sz w:val="24"/>
          <w:szCs w:val="20"/>
          <w:highlight w:val="none"/>
        </w:rPr>
      </w:pPr>
      <w:r>
        <w:rPr>
          <w:rFonts w:hint="eastAsia" w:ascii="宋体" w:hAnsi="宋体"/>
          <w:color w:val="auto"/>
          <w:sz w:val="24"/>
          <w:highlight w:val="none"/>
        </w:rPr>
        <w:t>注：自然人投标的无需提供</w:t>
      </w:r>
    </w:p>
    <w:p>
      <w:pPr>
        <w:spacing w:line="500" w:lineRule="exact"/>
        <w:ind w:left="540"/>
        <w:rPr>
          <w:rFonts w:hint="eastAsia" w:ascii="宋体" w:hAnsi="宋体"/>
          <w:color w:val="auto"/>
          <w:sz w:val="24"/>
          <w:highlight w:val="none"/>
        </w:rPr>
      </w:pPr>
    </w:p>
    <w:p>
      <w:pPr>
        <w:spacing w:line="500" w:lineRule="exact"/>
        <w:ind w:left="540"/>
        <w:rPr>
          <w:rFonts w:hint="eastAsia" w:ascii="宋体" w:hAnsi="宋体"/>
          <w:color w:val="auto"/>
          <w:sz w:val="24"/>
          <w:highlight w:val="none"/>
        </w:rPr>
      </w:pP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pPr>
        <w:spacing w:line="500" w:lineRule="exact"/>
        <w:ind w:left="540"/>
        <w:rPr>
          <w:rFonts w:hint="eastAsia" w:ascii="宋体" w:hAnsi="宋体"/>
          <w:color w:val="auto"/>
          <w:sz w:val="24"/>
          <w:highlight w:val="none"/>
        </w:rPr>
      </w:pPr>
    </w:p>
    <w:p>
      <w:pPr>
        <w:snapToGrid w:val="0"/>
        <w:spacing w:before="120" w:beforeLines="50" w:after="50"/>
        <w:jc w:val="center"/>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szCs w:val="20"/>
          <w:highlight w:val="none"/>
        </w:rPr>
      </w:pPr>
      <w:r>
        <w:rPr>
          <w:rFonts w:hint="eastAsia" w:ascii="宋体" w:hAnsi="宋体"/>
          <w:b/>
          <w:color w:val="auto"/>
          <w:sz w:val="24"/>
          <w:highlight w:val="none"/>
        </w:rPr>
        <w:t>6. 法定代表人授权委托书及委托代理人有效身份证正反面复印件</w:t>
      </w:r>
    </w:p>
    <w:p>
      <w:pPr>
        <w:snapToGrid w:val="0"/>
        <w:spacing w:before="120" w:beforeLines="50" w:after="50"/>
        <w:jc w:val="center"/>
        <w:rPr>
          <w:rFonts w:hint="eastAsia" w:ascii="宋体" w:hAnsi="宋体"/>
          <w:b/>
          <w:color w:val="auto"/>
          <w:sz w:val="44"/>
          <w:szCs w:val="44"/>
          <w:highlight w:val="none"/>
        </w:rPr>
      </w:pPr>
    </w:p>
    <w:p>
      <w:pPr>
        <w:snapToGrid w:val="0"/>
        <w:spacing w:before="120" w:beforeLines="50" w:after="50"/>
        <w:jc w:val="center"/>
        <w:rPr>
          <w:rFonts w:hint="eastAsia" w:ascii="宋体" w:hAnsi="宋体"/>
          <w:b/>
          <w:color w:val="auto"/>
          <w:sz w:val="24"/>
          <w:highlight w:val="none"/>
        </w:rPr>
      </w:pPr>
      <w:r>
        <w:rPr>
          <w:rFonts w:hint="eastAsia" w:ascii="宋体" w:hAnsi="宋体"/>
          <w:b/>
          <w:color w:val="auto"/>
          <w:sz w:val="24"/>
          <w:highlight w:val="none"/>
        </w:rPr>
        <w:t>法定代表人授权委托书（如有委托时）</w:t>
      </w:r>
    </w:p>
    <w:p>
      <w:pPr>
        <w:snapToGrid w:val="0"/>
        <w:spacing w:before="120" w:beforeLines="50" w:after="50"/>
        <w:jc w:val="center"/>
        <w:rPr>
          <w:rFonts w:hint="eastAsia" w:ascii="宋体" w:hAnsi="宋体"/>
          <w:b/>
          <w:color w:val="auto"/>
          <w:sz w:val="24"/>
          <w:highlight w:val="none"/>
        </w:rPr>
      </w:pPr>
    </w:p>
    <w:p>
      <w:pPr>
        <w:snapToGrid w:val="0"/>
        <w:spacing w:line="480" w:lineRule="exact"/>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napToGrid w:val="0"/>
        <w:spacing w:line="480" w:lineRule="exact"/>
        <w:ind w:firstLine="566" w:firstLineChars="236"/>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（投标人名称）的法定代表人，现授权委托本单位在职职工 </w:t>
      </w:r>
      <w:r>
        <w:rPr>
          <w:rFonts w:hint="eastAsia" w:ascii="宋体" w:hAnsi="宋体"/>
          <w:color w:val="auto"/>
          <w:sz w:val="24"/>
          <w:highlight w:val="none"/>
          <w:u w:val="single"/>
        </w:rPr>
        <w:t xml:space="preserve">              </w:t>
      </w:r>
      <w:r>
        <w:rPr>
          <w:rFonts w:hint="eastAsia" w:ascii="宋体" w:hAnsi="宋体"/>
          <w:color w:val="auto"/>
          <w:sz w:val="24"/>
          <w:highlight w:val="none"/>
        </w:rPr>
        <w:t>（姓名）以我方的名义参加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pPr>
        <w:snapToGrid w:val="0"/>
        <w:spacing w:line="480" w:lineRule="exact"/>
        <w:rPr>
          <w:rFonts w:hint="eastAsia" w:ascii="宋体" w:hAnsi="宋体"/>
          <w:color w:val="auto"/>
          <w:sz w:val="24"/>
          <w:highlight w:val="none"/>
        </w:rPr>
      </w:pPr>
      <w:r>
        <w:rPr>
          <w:rFonts w:hint="eastAsia" w:ascii="宋体" w:hAnsi="宋体"/>
          <w:color w:val="auto"/>
          <w:sz w:val="24"/>
          <w:highlight w:val="none"/>
        </w:rPr>
        <w:t xml:space="preserve">    我方对委托代理人的签字事项负全部责任。</w:t>
      </w:r>
    </w:p>
    <w:p>
      <w:pPr>
        <w:snapToGrid w:val="0"/>
        <w:spacing w:line="480" w:lineRule="exact"/>
        <w:ind w:firstLine="480"/>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pPr>
        <w:snapToGrid w:val="0"/>
        <w:spacing w:line="480" w:lineRule="exact"/>
        <w:ind w:firstLine="480"/>
        <w:rPr>
          <w:rFonts w:hint="eastAsia" w:ascii="宋体" w:hAnsi="宋体"/>
          <w:color w:val="auto"/>
          <w:sz w:val="24"/>
          <w:highlight w:val="none"/>
        </w:rPr>
      </w:pPr>
      <w:r>
        <w:rPr>
          <w:rFonts w:hint="eastAsia" w:ascii="宋体" w:hAnsi="宋体"/>
          <w:color w:val="auto"/>
          <w:sz w:val="24"/>
          <w:highlight w:val="none"/>
        </w:rPr>
        <w:t>委托代理人无转委托权，特此委托。</w:t>
      </w:r>
    </w:p>
    <w:p>
      <w:pPr>
        <w:snapToGrid w:val="0"/>
        <w:spacing w:line="480" w:lineRule="exact"/>
        <w:ind w:firstLine="480"/>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pPr>
        <w:snapToGrid w:val="0"/>
        <w:spacing w:line="480" w:lineRule="exact"/>
        <w:rPr>
          <w:rFonts w:hint="eastAsia" w:ascii="宋体" w:hAnsi="宋体"/>
          <w:color w:val="auto"/>
          <w:sz w:val="24"/>
          <w:highlight w:val="none"/>
        </w:rPr>
      </w:pPr>
    </w:p>
    <w:p>
      <w:pPr>
        <w:snapToGrid w:val="0"/>
        <w:spacing w:line="480" w:lineRule="exact"/>
        <w:rPr>
          <w:rFonts w:hint="eastAsia" w:ascii="宋体" w:hAnsi="宋体"/>
          <w:color w:val="auto"/>
          <w:sz w:val="24"/>
          <w:highlight w:val="none"/>
          <w:u w:val="singl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法定代表人签字：</w:t>
      </w:r>
      <w:r>
        <w:rPr>
          <w:rFonts w:hint="eastAsia" w:ascii="宋体" w:hAnsi="宋体"/>
          <w:color w:val="auto"/>
          <w:sz w:val="24"/>
          <w:highlight w:val="none"/>
          <w:u w:val="single"/>
        </w:rPr>
        <w:t xml:space="preserve">              </w:t>
      </w:r>
    </w:p>
    <w:p>
      <w:pPr>
        <w:snapToGrid w:val="0"/>
        <w:spacing w:line="480" w:lineRule="exact"/>
        <w:rPr>
          <w:rFonts w:hint="eastAsia" w:ascii="宋体" w:hAnsi="宋体"/>
          <w:color w:val="auto"/>
          <w:sz w:val="24"/>
          <w:highlight w:val="none"/>
        </w:rPr>
      </w:pPr>
      <w:r>
        <w:rPr>
          <w:rFonts w:hint="eastAsia" w:ascii="宋体" w:hAnsi="宋体"/>
          <w:color w:val="auto"/>
          <w:sz w:val="24"/>
          <w:highlight w:val="none"/>
        </w:rPr>
        <w:t>所在部门职务：</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p>
    <w:p>
      <w:pPr>
        <w:snapToGrid w:val="0"/>
        <w:spacing w:line="480" w:lineRule="exact"/>
        <w:rPr>
          <w:rFonts w:hint="eastAsia" w:ascii="宋体" w:hAnsi="宋体"/>
          <w:color w:val="auto"/>
          <w:sz w:val="24"/>
          <w:highlight w:val="non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line="480" w:lineRule="exact"/>
        <w:jc w:val="center"/>
        <w:rPr>
          <w:rFonts w:hint="eastAsia" w:ascii="宋体" w:hAnsi="宋体"/>
          <w:color w:val="auto"/>
          <w:sz w:val="24"/>
          <w:highlight w:val="none"/>
        </w:rPr>
      </w:pPr>
      <w:r>
        <w:rPr>
          <w:rFonts w:hint="eastAsia" w:ascii="宋体" w:hAnsi="宋体"/>
          <w:color w:val="auto"/>
          <w:sz w:val="24"/>
          <w:highlight w:val="none"/>
        </w:rPr>
        <w:t xml:space="preserve">                                                投标人名称公章：</w:t>
      </w:r>
    </w:p>
    <w:p>
      <w:pPr>
        <w:snapToGrid w:val="0"/>
        <w:spacing w:line="480" w:lineRule="exact"/>
        <w:jc w:val="center"/>
        <w:rPr>
          <w:rFonts w:hint="eastAsia" w:ascii="宋体" w:hAnsi="宋体"/>
          <w:color w:val="auto"/>
          <w:sz w:val="24"/>
          <w:highlight w:val="none"/>
        </w:rPr>
      </w:pPr>
      <w:r>
        <w:rPr>
          <w:rFonts w:hint="eastAsia" w:ascii="宋体" w:hAnsi="宋体"/>
          <w:color w:val="auto"/>
          <w:sz w:val="24"/>
          <w:highlight w:val="none"/>
        </w:rPr>
        <w:t xml:space="preserve">                                                      年   月  日</w:t>
      </w:r>
    </w:p>
    <w:p>
      <w:pPr>
        <w:snapToGrid w:val="0"/>
        <w:spacing w:before="120" w:beforeLines="50" w:after="50"/>
        <w:rPr>
          <w:rFonts w:hint="eastAsia" w:ascii="宋体" w:hAnsi="宋体"/>
          <w:color w:val="auto"/>
          <w:sz w:val="24"/>
          <w:highlight w:val="none"/>
        </w:rPr>
      </w:pPr>
    </w:p>
    <w:p>
      <w:pPr>
        <w:snapToGrid w:val="0"/>
        <w:spacing w:line="400" w:lineRule="exact"/>
        <w:jc w:val="left"/>
        <w:rPr>
          <w:rFonts w:hint="eastAsia" w:ascii="宋体" w:hAnsi="宋体"/>
          <w:color w:val="auto"/>
          <w:sz w:val="24"/>
          <w:highlight w:val="none"/>
        </w:rPr>
      </w:pPr>
      <w:r>
        <w:rPr>
          <w:rFonts w:hint="eastAsia" w:ascii="宋体" w:hAnsi="宋体"/>
          <w:color w:val="auto"/>
          <w:sz w:val="24"/>
          <w:highlight w:val="none"/>
        </w:rPr>
        <w:t>注：</w:t>
      </w:r>
    </w:p>
    <w:p>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1.法定代表人和委托代理人必须在授权委托书上亲笔签名，不得使用印章、签名章或者其他电子制版签名代替，否则作无效投标处理；</w:t>
      </w:r>
    </w:p>
    <w:p>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120" w:afterLines="50"/>
        <w:jc w:val="left"/>
        <w:rPr>
          <w:rFonts w:hint="eastAsia" w:ascii="宋体" w:hAnsi="宋体"/>
          <w:color w:val="auto"/>
          <w:sz w:val="24"/>
          <w:highlight w:val="none"/>
        </w:rPr>
      </w:pPr>
    </w:p>
    <w:p>
      <w:pPr>
        <w:snapToGrid w:val="0"/>
        <w:spacing w:before="50" w:after="120" w:afterLines="50"/>
        <w:jc w:val="left"/>
        <w:rPr>
          <w:rFonts w:hint="eastAsia" w:ascii="宋体" w:hAnsi="宋体"/>
          <w:color w:val="auto"/>
          <w:sz w:val="24"/>
          <w:highlight w:val="none"/>
        </w:rPr>
      </w:pPr>
    </w:p>
    <w:p>
      <w:pPr>
        <w:snapToGrid w:val="0"/>
        <w:spacing w:line="460" w:lineRule="exact"/>
        <w:outlineLvl w:val="1"/>
        <w:rPr>
          <w:rFonts w:hint="eastAsia" w:ascii="宋体" w:hAnsi="宋体"/>
          <w:b/>
          <w:color w:val="auto"/>
          <w:sz w:val="24"/>
          <w:highlight w:val="none"/>
        </w:rPr>
      </w:pPr>
      <w:bookmarkStart w:id="156" w:name="_Toc54691759"/>
    </w:p>
    <w:p>
      <w:pPr>
        <w:snapToGrid w:val="0"/>
        <w:spacing w:line="460" w:lineRule="exact"/>
        <w:outlineLvl w:val="1"/>
        <w:rPr>
          <w:rFonts w:hint="eastAsia" w:ascii="宋体" w:hAnsi="宋体"/>
          <w:b/>
          <w:color w:val="auto"/>
          <w:sz w:val="24"/>
          <w:highlight w:val="none"/>
        </w:rPr>
      </w:pPr>
    </w:p>
    <w:p>
      <w:pPr>
        <w:snapToGrid w:val="0"/>
        <w:spacing w:line="460" w:lineRule="exact"/>
        <w:outlineLvl w:val="1"/>
        <w:rPr>
          <w:rFonts w:hint="eastAsia" w:ascii="宋体" w:hAnsi="宋体"/>
          <w:b/>
          <w:color w:val="auto"/>
          <w:sz w:val="24"/>
          <w:highlight w:val="none"/>
        </w:rPr>
      </w:pPr>
      <w:r>
        <w:rPr>
          <w:rFonts w:hint="eastAsia" w:ascii="宋体" w:hAnsi="宋体"/>
          <w:b/>
          <w:color w:val="auto"/>
          <w:sz w:val="24"/>
          <w:highlight w:val="none"/>
        </w:rPr>
        <w:t>7.投标人情况介绍（格式自拟）；</w:t>
      </w:r>
      <w:bookmarkEnd w:id="156"/>
    </w:p>
    <w:p>
      <w:pPr>
        <w:snapToGrid w:val="0"/>
        <w:spacing w:line="460" w:lineRule="exact"/>
        <w:outlineLvl w:val="1"/>
        <w:rPr>
          <w:rFonts w:hint="eastAsia" w:ascii="宋体" w:hAnsi="宋体"/>
          <w:b/>
          <w:color w:val="auto"/>
          <w:sz w:val="24"/>
          <w:highlight w:val="none"/>
        </w:rPr>
      </w:pPr>
    </w:p>
    <w:p>
      <w:pPr>
        <w:snapToGrid w:val="0"/>
        <w:spacing w:line="460" w:lineRule="exact"/>
        <w:jc w:val="left"/>
        <w:rPr>
          <w:rFonts w:hint="eastAsia" w:ascii="宋体" w:hAnsi="宋体"/>
          <w:b/>
          <w:color w:val="auto"/>
          <w:sz w:val="24"/>
          <w:highlight w:val="none"/>
        </w:rPr>
      </w:pPr>
      <w:r>
        <w:rPr>
          <w:rFonts w:hint="eastAsia" w:ascii="宋体" w:hAnsi="宋体"/>
          <w:b/>
          <w:color w:val="auto"/>
          <w:sz w:val="24"/>
          <w:highlight w:val="none"/>
        </w:rPr>
        <w:t>8.除招标文件规定必须提供以外，投标人认为需要提供的其他证明材料（格式自拟）。（投标人根据本招标文件第二章采购需求及第四章评标办法及评分标准提供有关证明材料）；</w:t>
      </w: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rPr>
        <w:t>9.投标人类似的业绩证明文件</w:t>
      </w:r>
    </w:p>
    <w:p>
      <w:pPr>
        <w:pStyle w:val="33"/>
        <w:snapToGrid w:val="0"/>
        <w:ind w:left="480" w:hanging="480"/>
        <w:rPr>
          <w:rFonts w:hint="eastAsia" w:ascii="宋体" w:hAnsi="宋体"/>
          <w:color w:val="auto"/>
          <w:sz w:val="24"/>
          <w:highlight w:val="none"/>
        </w:rPr>
      </w:pPr>
    </w:p>
    <w:p>
      <w:pPr>
        <w:pStyle w:val="33"/>
        <w:snapToGrid w:val="0"/>
        <w:ind w:left="480" w:hanging="480"/>
        <w:rPr>
          <w:rFonts w:hint="eastAsia" w:ascii="宋体" w:hAnsi="宋体"/>
          <w:color w:val="auto"/>
          <w:sz w:val="24"/>
          <w:highlight w:val="none"/>
        </w:rPr>
      </w:pPr>
      <w:r>
        <w:rPr>
          <w:rFonts w:hint="eastAsia" w:ascii="宋体" w:hAnsi="宋体"/>
          <w:color w:val="auto"/>
          <w:sz w:val="24"/>
          <w:highlight w:val="none"/>
        </w:rPr>
        <w:t>投标人同类项目情况一览表格式：（投标人同类项目合同复印件、用户验收报告、用户评价意见格式自拟）</w:t>
      </w:r>
    </w:p>
    <w:tbl>
      <w:tblPr>
        <w:tblStyle w:val="44"/>
        <w:tblW w:w="970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1417"/>
        <w:gridCol w:w="1134"/>
        <w:gridCol w:w="1276"/>
        <w:gridCol w:w="1559"/>
        <w:gridCol w:w="1418"/>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66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w:t>
            </w:r>
          </w:p>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金额</w:t>
            </w:r>
          </w:p>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附件在投标文件中页码</w:t>
            </w:r>
          </w:p>
        </w:tc>
        <w:tc>
          <w:tcPr>
            <w:tcW w:w="123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采购人联系人及</w:t>
            </w:r>
          </w:p>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66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用户评价</w:t>
            </w: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bl>
    <w:p>
      <w:pPr>
        <w:pStyle w:val="14"/>
        <w:snapToGrid w:val="0"/>
        <w:rPr>
          <w:rFonts w:hint="eastAsia" w:ascii="宋体" w:hAnsi="宋体" w:eastAsia="宋体"/>
          <w:color w:val="auto"/>
          <w:sz w:val="24"/>
          <w:szCs w:val="24"/>
          <w:highlight w:val="none"/>
        </w:rPr>
      </w:pPr>
    </w:p>
    <w:p>
      <w:pPr>
        <w:rPr>
          <w:rFonts w:hint="eastAsia"/>
          <w:color w:val="auto"/>
          <w:highlight w:val="none"/>
        </w:rPr>
      </w:pPr>
    </w:p>
    <w:p>
      <w:pPr>
        <w:pStyle w:val="14"/>
        <w:snapToGrid w:val="0"/>
        <w:spacing w:before="0" w:after="0" w:line="440" w:lineRule="exact"/>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w:t>
      </w:r>
      <w:r>
        <w:rPr>
          <w:rFonts w:hint="eastAsia" w:ascii="宋体" w:hAnsi="宋体" w:eastAsia="宋体"/>
          <w:color w:val="auto"/>
          <w:sz w:val="24"/>
          <w:szCs w:val="24"/>
          <w:highlight w:val="none"/>
          <w:u w:val="single"/>
        </w:rPr>
        <w:t>　　　　　</w:t>
      </w:r>
    </w:p>
    <w:p>
      <w:pPr>
        <w:snapToGrid w:val="0"/>
        <w:spacing w:line="440" w:lineRule="exact"/>
        <w:ind w:right="480"/>
        <w:jc w:val="left"/>
        <w:rPr>
          <w:rFonts w:hint="eastAsia" w:ascii="宋体" w:hAnsi="宋体"/>
          <w:color w:val="auto"/>
          <w:sz w:val="24"/>
          <w:highlight w:val="none"/>
        </w:rPr>
      </w:pPr>
      <w:r>
        <w:rPr>
          <w:rFonts w:hint="eastAsia" w:ascii="宋体" w:hAnsi="宋体" w:cs="Arial"/>
          <w:color w:val="auto"/>
          <w:sz w:val="24"/>
          <w:highlight w:val="none"/>
        </w:rPr>
        <w:t xml:space="preserve">投标人（盖公章）：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line="440" w:lineRule="exact"/>
        <w:ind w:right="480"/>
        <w:jc w:val="left"/>
        <w:rPr>
          <w:rFonts w:ascii="宋体" w:hAnsi="宋体"/>
          <w:color w:val="auto"/>
          <w:sz w:val="24"/>
          <w:highlight w:val="none"/>
        </w:rPr>
        <w:sectPr>
          <w:footerReference r:id="rId6" w:type="first"/>
          <w:headerReference r:id="rId3" w:type="default"/>
          <w:footerReference r:id="rId4" w:type="default"/>
          <w:footerReference r:id="rId5" w:type="even"/>
          <w:pgSz w:w="11906" w:h="16838"/>
          <w:pgMar w:top="1134" w:right="1247" w:bottom="1624" w:left="1247" w:header="851" w:footer="992" w:gutter="0"/>
          <w:pgNumType w:start="0"/>
          <w:cols w:space="720" w:num="1"/>
          <w:titlePg/>
          <w:docGrid w:linePitch="312" w:charSpace="0"/>
        </w:sectPr>
      </w:pPr>
      <w:r>
        <w:rPr>
          <w:rFonts w:hint="eastAsia" w:ascii="宋体" w:hAnsi="宋体"/>
          <w:color w:val="auto"/>
          <w:sz w:val="24"/>
          <w:highlight w:val="none"/>
        </w:rPr>
        <w:t>日  期：       年   月   日</w:t>
      </w:r>
    </w:p>
    <w:p>
      <w:pPr>
        <w:snapToGrid w:val="0"/>
        <w:spacing w:line="700" w:lineRule="exact"/>
        <w:outlineLvl w:val="1"/>
        <w:rPr>
          <w:rFonts w:hint="eastAsia" w:ascii="宋体" w:hAnsi="宋体"/>
          <w:b/>
          <w:color w:val="auto"/>
          <w:sz w:val="28"/>
          <w:szCs w:val="28"/>
          <w:highlight w:val="none"/>
        </w:rPr>
      </w:pPr>
      <w:bookmarkStart w:id="157" w:name="_Toc54691761"/>
      <w:bookmarkStart w:id="158" w:name="_Toc54691760"/>
      <w:r>
        <w:rPr>
          <w:rFonts w:hint="eastAsia" w:ascii="宋体" w:hAnsi="宋体"/>
          <w:b/>
          <w:color w:val="auto"/>
          <w:sz w:val="28"/>
          <w:szCs w:val="28"/>
          <w:highlight w:val="none"/>
        </w:rPr>
        <w:t>五、技术文件格式</w:t>
      </w:r>
      <w:bookmarkEnd w:id="157"/>
      <w:bookmarkEnd w:id="158"/>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r>
        <w:rPr>
          <w:rFonts w:hint="eastAsia" w:ascii="宋体" w:hAnsi="宋体"/>
          <w:b/>
          <w:color w:val="auto"/>
          <w:sz w:val="24"/>
          <w:highlight w:val="none"/>
        </w:rPr>
        <w:t xml:space="preserve">1. 技术文件封面格式： </w:t>
      </w:r>
    </w:p>
    <w:p>
      <w:pPr>
        <w:snapToGrid w:val="0"/>
        <w:spacing w:before="120" w:beforeLines="50" w:after="50"/>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before="120" w:beforeLines="50" w:after="50"/>
        <w:ind w:right="480"/>
        <w:jc w:val="center"/>
        <w:rPr>
          <w:rFonts w:hint="eastAsia" w:ascii="宋体" w:hAnsi="宋体"/>
          <w:b/>
          <w:bCs/>
          <w:color w:val="auto"/>
          <w:sz w:val="24"/>
          <w:highlight w:val="none"/>
        </w:rPr>
      </w:pPr>
      <w:r>
        <w:rPr>
          <w:rFonts w:hint="eastAsia" w:ascii="宋体" w:hAnsi="宋体"/>
          <w:color w:val="auto"/>
          <w:sz w:val="24"/>
          <w:highlight w:val="none"/>
        </w:rPr>
        <w:t xml:space="preserve">                                                      </w:t>
      </w:r>
      <w:r>
        <w:rPr>
          <w:rFonts w:hint="eastAsia" w:ascii="宋体" w:hAnsi="宋体"/>
          <w:b/>
          <w:bCs/>
          <w:color w:val="auto"/>
          <w:sz w:val="24"/>
          <w:highlight w:val="none"/>
        </w:rPr>
        <w:t>正本/副本</w:t>
      </w: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宋体" w:hAnsi="宋体"/>
          <w:b/>
          <w:bCs/>
          <w:color w:val="auto"/>
          <w:sz w:val="72"/>
          <w:szCs w:val="72"/>
          <w:highlight w:val="none"/>
        </w:rPr>
      </w:pPr>
      <w:r>
        <w:rPr>
          <w:rFonts w:hint="eastAsia" w:ascii="宋体" w:hAnsi="宋体"/>
          <w:b/>
          <w:bCs/>
          <w:color w:val="auto"/>
          <w:sz w:val="72"/>
          <w:szCs w:val="72"/>
          <w:highlight w:val="none"/>
        </w:rPr>
        <w:t>技术文件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422" w:firstLineChars="150"/>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项目名称： </w:t>
      </w:r>
    </w:p>
    <w:p>
      <w:pPr>
        <w:snapToGrid w:val="0"/>
        <w:spacing w:before="120" w:beforeLines="50" w:after="50" w:line="400" w:lineRule="exact"/>
        <w:ind w:firstLine="422" w:firstLineChars="150"/>
        <w:rPr>
          <w:rFonts w:hint="eastAsia" w:ascii="宋体" w:hAnsi="宋体"/>
          <w:b/>
          <w:bCs/>
          <w:color w:val="auto"/>
          <w:sz w:val="28"/>
          <w:szCs w:val="28"/>
          <w:highlight w:val="none"/>
        </w:rPr>
      </w:pPr>
    </w:p>
    <w:p>
      <w:pPr>
        <w:snapToGrid w:val="0"/>
        <w:spacing w:before="120" w:beforeLines="50" w:after="50" w:line="400" w:lineRule="exact"/>
        <w:ind w:firstLine="422" w:firstLineChars="150"/>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项目编号： </w:t>
      </w:r>
    </w:p>
    <w:p>
      <w:pPr>
        <w:snapToGrid w:val="0"/>
        <w:spacing w:before="120" w:beforeLines="50" w:after="50" w:line="400" w:lineRule="exact"/>
        <w:ind w:firstLine="422" w:firstLineChars="150"/>
        <w:rPr>
          <w:rFonts w:hint="eastAsia" w:ascii="宋体" w:hAnsi="宋体"/>
          <w:b/>
          <w:bCs/>
          <w:color w:val="auto"/>
          <w:sz w:val="28"/>
          <w:szCs w:val="28"/>
          <w:highlight w:val="none"/>
        </w:rPr>
      </w:pPr>
    </w:p>
    <w:p>
      <w:pPr>
        <w:snapToGrid w:val="0"/>
        <w:spacing w:before="120" w:beforeLines="50" w:after="50" w:line="400" w:lineRule="exact"/>
        <w:ind w:firstLine="422" w:firstLineChars="150"/>
        <w:rPr>
          <w:rFonts w:hint="eastAsia" w:ascii="宋体" w:hAnsi="宋体"/>
          <w:b/>
          <w:bCs/>
          <w:color w:val="auto"/>
          <w:sz w:val="28"/>
          <w:szCs w:val="28"/>
          <w:highlight w:val="none"/>
        </w:rPr>
      </w:pPr>
      <w:r>
        <w:rPr>
          <w:rFonts w:hint="eastAsia" w:ascii="宋体" w:hAnsi="宋体"/>
          <w:b/>
          <w:bCs/>
          <w:color w:val="auto"/>
          <w:sz w:val="28"/>
          <w:szCs w:val="28"/>
          <w:highlight w:val="none"/>
        </w:rPr>
        <w:t>所投分标：</w:t>
      </w:r>
    </w:p>
    <w:p>
      <w:pPr>
        <w:snapToGrid w:val="0"/>
        <w:spacing w:before="120" w:beforeLines="50" w:after="50" w:line="400" w:lineRule="exact"/>
        <w:ind w:firstLine="422" w:firstLineChars="150"/>
        <w:rPr>
          <w:rFonts w:hint="eastAsia" w:ascii="宋体" w:hAnsi="宋体"/>
          <w:b/>
          <w:bCs/>
          <w:color w:val="auto"/>
          <w:sz w:val="28"/>
          <w:szCs w:val="28"/>
          <w:highlight w:val="none"/>
        </w:rPr>
      </w:pPr>
    </w:p>
    <w:p>
      <w:pPr>
        <w:snapToGrid w:val="0"/>
        <w:spacing w:before="120" w:beforeLines="50" w:after="50" w:line="400" w:lineRule="exact"/>
        <w:ind w:firstLine="422" w:firstLineChars="150"/>
        <w:rPr>
          <w:rFonts w:hint="eastAsia" w:ascii="宋体" w:hAnsi="宋体"/>
          <w:b/>
          <w:bCs/>
          <w:color w:val="auto"/>
          <w:sz w:val="28"/>
          <w:szCs w:val="28"/>
          <w:highlight w:val="none"/>
        </w:rPr>
      </w:pPr>
      <w:r>
        <w:rPr>
          <w:rFonts w:hint="eastAsia" w:ascii="宋体" w:hAnsi="宋体"/>
          <w:b/>
          <w:bCs/>
          <w:color w:val="auto"/>
          <w:sz w:val="28"/>
          <w:szCs w:val="28"/>
          <w:highlight w:val="none"/>
        </w:rPr>
        <w:t>投标人名称：</w:t>
      </w:r>
    </w:p>
    <w:p>
      <w:pPr>
        <w:snapToGrid w:val="0"/>
        <w:spacing w:before="120" w:beforeLines="50" w:after="50" w:line="400" w:lineRule="exact"/>
        <w:ind w:firstLine="422" w:firstLineChars="150"/>
        <w:rPr>
          <w:rFonts w:hint="eastAsia" w:ascii="宋体" w:hAnsi="宋体"/>
          <w:b/>
          <w:bCs/>
          <w:color w:val="auto"/>
          <w:sz w:val="28"/>
          <w:szCs w:val="28"/>
          <w:highlight w:val="none"/>
        </w:rPr>
      </w:pPr>
    </w:p>
    <w:p>
      <w:pPr>
        <w:snapToGrid w:val="0"/>
        <w:spacing w:before="120" w:beforeLines="50" w:after="50" w:line="400" w:lineRule="exact"/>
        <w:ind w:firstLine="422" w:firstLineChars="150"/>
        <w:rPr>
          <w:rFonts w:hint="eastAsia" w:ascii="宋体" w:hAnsi="宋体"/>
          <w:b/>
          <w:bCs/>
          <w:color w:val="auto"/>
          <w:sz w:val="28"/>
          <w:szCs w:val="28"/>
          <w:highlight w:val="none"/>
        </w:rPr>
      </w:pPr>
      <w:r>
        <w:rPr>
          <w:rFonts w:hint="eastAsia" w:ascii="宋体" w:hAnsi="宋体"/>
          <w:b/>
          <w:bCs/>
          <w:color w:val="auto"/>
          <w:sz w:val="28"/>
          <w:szCs w:val="28"/>
          <w:highlight w:val="none"/>
        </w:rPr>
        <w:t>投标人地址：</w:t>
      </w:r>
    </w:p>
    <w:p>
      <w:pPr>
        <w:snapToGrid w:val="0"/>
        <w:spacing w:before="120" w:beforeLines="50" w:after="50" w:line="400" w:lineRule="exact"/>
        <w:ind w:firstLine="422" w:firstLineChars="150"/>
        <w:rPr>
          <w:rFonts w:hint="eastAsia" w:ascii="宋体" w:hAnsi="宋体"/>
          <w:b/>
          <w:bCs/>
          <w:color w:val="auto"/>
          <w:sz w:val="28"/>
          <w:szCs w:val="28"/>
          <w:highlight w:val="none"/>
        </w:rPr>
      </w:pPr>
    </w:p>
    <w:p>
      <w:pPr>
        <w:snapToGrid w:val="0"/>
        <w:spacing w:before="120" w:beforeLines="50" w:after="50" w:line="400" w:lineRule="exact"/>
        <w:ind w:firstLine="422" w:firstLineChars="150"/>
        <w:rPr>
          <w:rFonts w:hint="eastAsia" w:ascii="宋体" w:hAnsi="宋体"/>
          <w:b/>
          <w:bCs/>
          <w:color w:val="auto"/>
          <w:sz w:val="28"/>
          <w:szCs w:val="28"/>
          <w:highlight w:val="none"/>
        </w:rPr>
      </w:pPr>
    </w:p>
    <w:p>
      <w:pPr>
        <w:snapToGrid w:val="0"/>
        <w:spacing w:before="120" w:beforeLines="50" w:after="50" w:line="400" w:lineRule="exact"/>
        <w:ind w:firstLine="422" w:firstLineChars="150"/>
        <w:rPr>
          <w:rFonts w:hint="eastAsia" w:ascii="宋体" w:hAnsi="宋体"/>
          <w:b/>
          <w:bCs/>
          <w:color w:val="auto"/>
          <w:sz w:val="28"/>
          <w:szCs w:val="28"/>
          <w:highlight w:val="none"/>
        </w:rPr>
      </w:pPr>
    </w:p>
    <w:p>
      <w:pPr>
        <w:snapToGrid w:val="0"/>
        <w:spacing w:before="120" w:beforeLines="50" w:after="50" w:line="400" w:lineRule="exact"/>
        <w:ind w:firstLine="422" w:firstLineChars="150"/>
        <w:rPr>
          <w:rFonts w:hint="eastAsia" w:ascii="宋体" w:hAnsi="宋体"/>
          <w:b/>
          <w:bCs/>
          <w:color w:val="auto"/>
          <w:sz w:val="28"/>
          <w:szCs w:val="28"/>
          <w:highlight w:val="none"/>
        </w:rPr>
      </w:pPr>
    </w:p>
    <w:p>
      <w:pPr>
        <w:snapToGrid w:val="0"/>
        <w:spacing w:before="120" w:beforeLines="50" w:after="50"/>
        <w:ind w:firstLine="645"/>
        <w:jc w:val="center"/>
        <w:rPr>
          <w:rFonts w:hint="eastAsia" w:ascii="宋体" w:hAnsi="宋体"/>
          <w:b/>
          <w:color w:val="auto"/>
          <w:sz w:val="28"/>
          <w:szCs w:val="28"/>
          <w:highlight w:val="none"/>
        </w:rPr>
      </w:pPr>
      <w:r>
        <w:rPr>
          <w:rFonts w:hint="eastAsia" w:ascii="宋体" w:hAnsi="宋体"/>
          <w:b/>
          <w:color w:val="auto"/>
          <w:sz w:val="24"/>
          <w:highlight w:val="none"/>
        </w:rPr>
        <w:t xml:space="preserve">                 </w:t>
      </w:r>
      <w:r>
        <w:rPr>
          <w:rFonts w:hint="eastAsia" w:ascii="宋体" w:hAnsi="宋体"/>
          <w:b/>
          <w:color w:val="auto"/>
          <w:sz w:val="28"/>
          <w:szCs w:val="28"/>
          <w:highlight w:val="none"/>
        </w:rPr>
        <w:t xml:space="preserve">       年    月    日</w:t>
      </w:r>
    </w:p>
    <w:p>
      <w:pPr>
        <w:snapToGrid w:val="0"/>
        <w:spacing w:before="120" w:beforeLines="50" w:after="50"/>
        <w:ind w:firstLine="645"/>
        <w:jc w:val="center"/>
        <w:rPr>
          <w:rFonts w:hint="eastAsia" w:ascii="宋体" w:hAnsi="宋体"/>
          <w:color w:val="auto"/>
          <w:sz w:val="24"/>
          <w:szCs w:val="20"/>
          <w:highlight w:val="none"/>
        </w:rPr>
      </w:pPr>
    </w:p>
    <w:p>
      <w:pPr>
        <w:snapToGrid w:val="0"/>
        <w:spacing w:line="500" w:lineRule="exact"/>
        <w:ind w:left="142"/>
        <w:jc w:val="left"/>
        <w:rPr>
          <w:rFonts w:hint="eastAsia" w:ascii="宋体" w:hAnsi="宋体"/>
          <w:b/>
          <w:bCs/>
          <w:color w:val="auto"/>
          <w:sz w:val="24"/>
          <w:highlight w:val="none"/>
        </w:rPr>
      </w:pPr>
    </w:p>
    <w:p>
      <w:pPr>
        <w:snapToGrid w:val="0"/>
        <w:spacing w:line="500" w:lineRule="exact"/>
        <w:ind w:left="142"/>
        <w:jc w:val="left"/>
        <w:rPr>
          <w:rFonts w:hint="eastAsia" w:ascii="宋体" w:hAnsi="宋体"/>
          <w:b/>
          <w:bCs/>
          <w:color w:val="auto"/>
          <w:sz w:val="24"/>
          <w:highlight w:val="none"/>
        </w:rPr>
      </w:pPr>
    </w:p>
    <w:p>
      <w:pPr>
        <w:snapToGrid w:val="0"/>
        <w:spacing w:line="500" w:lineRule="exact"/>
        <w:ind w:left="142"/>
        <w:jc w:val="left"/>
        <w:rPr>
          <w:rFonts w:hint="eastAsia" w:ascii="宋体" w:hAnsi="宋体"/>
          <w:b/>
          <w:bCs/>
          <w:color w:val="auto"/>
          <w:sz w:val="24"/>
          <w:highlight w:val="none"/>
        </w:rPr>
      </w:pPr>
    </w:p>
    <w:p>
      <w:pPr>
        <w:snapToGrid w:val="0"/>
        <w:spacing w:line="500" w:lineRule="exact"/>
        <w:ind w:left="142"/>
        <w:jc w:val="left"/>
        <w:rPr>
          <w:rFonts w:hint="eastAsia" w:ascii="宋体" w:hAnsi="宋体"/>
          <w:b/>
          <w:bCs/>
          <w:color w:val="auto"/>
          <w:sz w:val="24"/>
          <w:highlight w:val="none"/>
        </w:rPr>
      </w:pPr>
      <w:r>
        <w:rPr>
          <w:rFonts w:hint="eastAsia" w:ascii="宋体" w:hAnsi="宋体"/>
          <w:b/>
          <w:bCs/>
          <w:color w:val="auto"/>
          <w:sz w:val="24"/>
          <w:highlight w:val="none"/>
        </w:rPr>
        <w:t>2.技术文件目录</w:t>
      </w:r>
    </w:p>
    <w:p>
      <w:pPr>
        <w:snapToGrid w:val="0"/>
        <w:spacing w:line="500" w:lineRule="exact"/>
        <w:ind w:left="283" w:leftChars="135" w:firstLine="240" w:firstLineChars="100"/>
        <w:jc w:val="left"/>
        <w:rPr>
          <w:rFonts w:hint="eastAsia" w:ascii="宋体" w:hAnsi="宋体"/>
          <w:color w:val="auto"/>
          <w:sz w:val="24"/>
          <w:highlight w:val="none"/>
        </w:rPr>
      </w:pPr>
      <w:r>
        <w:rPr>
          <w:rFonts w:hint="eastAsia" w:ascii="宋体" w:hAnsi="宋体"/>
          <w:color w:val="auto"/>
          <w:sz w:val="24"/>
          <w:highlight w:val="none"/>
        </w:rPr>
        <w:t>根据招标文件规定及投标人提供的材料自行编写目录（应附有页码）</w:t>
      </w: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设备配置清单格式</w:t>
      </w: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设备配置清单</w:t>
      </w:r>
    </w:p>
    <w:p>
      <w:pPr>
        <w:pStyle w:val="23"/>
        <w:rPr>
          <w:rFonts w:hint="eastAsia"/>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规格型号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单位及数量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r>
    </w:tbl>
    <w:p>
      <w:pPr>
        <w:snapToGrid w:val="0"/>
        <w:spacing w:before="50" w:after="50"/>
        <w:rPr>
          <w:rFonts w:hint="eastAsia" w:ascii="宋体" w:hAnsi="宋体"/>
          <w:color w:val="auto"/>
          <w:sz w:val="24"/>
          <w:highlight w:val="none"/>
        </w:rPr>
      </w:pPr>
      <w:r>
        <w:rPr>
          <w:rFonts w:hint="eastAsia" w:ascii="宋体" w:hAnsi="宋体"/>
          <w:color w:val="auto"/>
          <w:sz w:val="24"/>
          <w:highlight w:val="none"/>
        </w:rPr>
        <w:t>备注：</w:t>
      </w:r>
    </w:p>
    <w:p>
      <w:pPr>
        <w:snapToGrid w:val="0"/>
        <w:spacing w:before="50" w:after="50"/>
        <w:rPr>
          <w:rFonts w:hint="eastAsia" w:ascii="宋体" w:hAnsi="宋体"/>
          <w:color w:val="auto"/>
          <w:sz w:val="24"/>
          <w:highlight w:val="none"/>
        </w:rPr>
      </w:pPr>
      <w:r>
        <w:rPr>
          <w:rFonts w:hint="eastAsia" w:ascii="宋体" w:hAnsi="宋体"/>
          <w:color w:val="auto"/>
          <w:sz w:val="24"/>
          <w:highlight w:val="none"/>
        </w:rPr>
        <w:t>1.以上配置清单中“货物名称、品牌、规格型号、单位数量、产地”必须与“开</w:t>
      </w:r>
    </w:p>
    <w:p>
      <w:pPr>
        <w:snapToGrid w:val="0"/>
        <w:spacing w:before="50" w:after="50"/>
        <w:rPr>
          <w:rFonts w:hint="eastAsia" w:ascii="宋体" w:hAnsi="宋体"/>
          <w:color w:val="auto"/>
          <w:sz w:val="24"/>
          <w:highlight w:val="none"/>
        </w:rPr>
      </w:pPr>
      <w:r>
        <w:rPr>
          <w:rFonts w:hint="eastAsia" w:ascii="宋体" w:hAnsi="宋体"/>
          <w:color w:val="auto"/>
          <w:sz w:val="24"/>
          <w:highlight w:val="none"/>
        </w:rPr>
        <w:t>标一览表”相对应，</w:t>
      </w:r>
      <w:r>
        <w:rPr>
          <w:rFonts w:hint="eastAsia" w:ascii="宋体" w:hAnsi="宋体"/>
          <w:b/>
          <w:color w:val="auto"/>
          <w:sz w:val="24"/>
          <w:highlight w:val="none"/>
        </w:rPr>
        <w:t>否则做无效投标处理。</w:t>
      </w:r>
    </w:p>
    <w:p>
      <w:pPr>
        <w:snapToGrid w:val="0"/>
        <w:spacing w:before="50" w:after="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napToGrid w:val="0"/>
        <w:spacing w:before="120" w:beforeLines="50" w:after="50"/>
        <w:jc w:val="left"/>
        <w:rPr>
          <w:rFonts w:hint="eastAsia" w:ascii="宋体" w:hAnsi="宋体"/>
          <w:b/>
          <w:color w:val="auto"/>
          <w:sz w:val="24"/>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r>
        <w:rPr>
          <w:rFonts w:hint="eastAsia" w:ascii="宋体" w:hAnsi="宋体"/>
          <w:b/>
          <w:color w:val="auto"/>
          <w:sz w:val="24"/>
          <w:highlight w:val="none"/>
        </w:rPr>
        <w:t>4. 技术偏离表格式</w:t>
      </w:r>
    </w:p>
    <w:p>
      <w:pPr>
        <w:snapToGrid w:val="0"/>
        <w:spacing w:before="120" w:beforeLines="50" w:after="50"/>
        <w:ind w:left="142"/>
        <w:jc w:val="center"/>
        <w:rPr>
          <w:rFonts w:hint="eastAsia" w:ascii="宋体" w:hAnsi="宋体"/>
          <w:b/>
          <w:color w:val="auto"/>
          <w:sz w:val="24"/>
          <w:highlight w:val="none"/>
        </w:rPr>
      </w:pPr>
      <w:r>
        <w:rPr>
          <w:rFonts w:hint="eastAsia" w:ascii="宋体" w:hAnsi="宋体"/>
          <w:b/>
          <w:color w:val="auto"/>
          <w:sz w:val="24"/>
          <w:highlight w:val="none"/>
        </w:rPr>
        <w:t>技术偏离表</w:t>
      </w:r>
    </w:p>
    <w:p>
      <w:pPr>
        <w:pStyle w:val="23"/>
        <w:rPr>
          <w:rFonts w:hint="eastAsia" w:hAnsi="宋体"/>
          <w:color w:val="auto"/>
          <w:sz w:val="24"/>
          <w:szCs w:val="24"/>
          <w:highlight w:val="none"/>
          <w:lang w:eastAsia="zh-CN"/>
        </w:rPr>
      </w:pPr>
      <w:r>
        <w:rPr>
          <w:rFonts w:hint="eastAsia" w:hAnsi="宋体"/>
          <w:color w:val="auto"/>
          <w:sz w:val="24"/>
          <w:szCs w:val="24"/>
          <w:highlight w:val="none"/>
          <w:lang w:eastAsia="zh-CN"/>
        </w:rPr>
        <w:t xml:space="preserve">    所投分标：</w:t>
      </w:r>
      <w:r>
        <w:rPr>
          <w:rFonts w:hint="eastAsia" w:hAnsi="宋体"/>
          <w:color w:val="auto"/>
          <w:sz w:val="24"/>
          <w:szCs w:val="24"/>
          <w:highlight w:val="none"/>
          <w:u w:val="single"/>
          <w:lang w:eastAsia="zh-CN"/>
        </w:rPr>
        <w:t xml:space="preserve">       </w:t>
      </w:r>
      <w:r>
        <w:rPr>
          <w:rFonts w:hint="eastAsia" w:hAnsi="宋体"/>
          <w:color w:val="auto"/>
          <w:sz w:val="24"/>
          <w:szCs w:val="24"/>
          <w:highlight w:val="none"/>
          <w:lang w:eastAsia="zh-CN"/>
        </w:rPr>
        <w:t>分标</w:t>
      </w:r>
    </w:p>
    <w:tbl>
      <w:tblPr>
        <w:tblStyle w:val="4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pPr>
              <w:pStyle w:val="23"/>
              <w:spacing w:line="400" w:lineRule="exact"/>
              <w:jc w:val="center"/>
              <w:rPr>
                <w:rFonts w:hint="eastAsia" w:hAnsi="宋体" w:cs="Courier New"/>
                <w:b/>
                <w:color w:val="auto"/>
                <w:kern w:val="2"/>
                <w:sz w:val="24"/>
                <w:szCs w:val="24"/>
                <w:highlight w:val="none"/>
                <w:lang w:val="en-US" w:eastAsia="zh-CN"/>
              </w:rPr>
            </w:pPr>
            <w:r>
              <w:rPr>
                <w:rFonts w:hint="eastAsia" w:hAnsi="宋体" w:cs="Courier New"/>
                <w:b/>
                <w:color w:val="auto"/>
                <w:kern w:val="2"/>
                <w:sz w:val="24"/>
                <w:szCs w:val="24"/>
                <w:highlight w:val="none"/>
                <w:lang w:val="en-US" w:eastAsia="zh-CN"/>
              </w:rPr>
              <w:t>项号</w:t>
            </w:r>
          </w:p>
        </w:tc>
        <w:tc>
          <w:tcPr>
            <w:tcW w:w="2143" w:type="dxa"/>
            <w:noWrap w:val="0"/>
            <w:vAlign w:val="center"/>
          </w:tcPr>
          <w:p>
            <w:pPr>
              <w:pStyle w:val="23"/>
              <w:spacing w:line="400" w:lineRule="exact"/>
              <w:jc w:val="center"/>
              <w:rPr>
                <w:rFonts w:hint="eastAsia" w:hAnsi="宋体" w:cs="Courier New"/>
                <w:b/>
                <w:color w:val="auto"/>
                <w:kern w:val="2"/>
                <w:sz w:val="24"/>
                <w:szCs w:val="24"/>
                <w:highlight w:val="none"/>
                <w:lang w:val="en-US" w:eastAsia="zh-CN"/>
              </w:rPr>
            </w:pPr>
            <w:r>
              <w:rPr>
                <w:rFonts w:hint="eastAsia" w:hAnsi="宋体" w:cs="Courier New"/>
                <w:b/>
                <w:color w:val="auto"/>
                <w:kern w:val="2"/>
                <w:sz w:val="24"/>
                <w:szCs w:val="24"/>
                <w:highlight w:val="none"/>
                <w:lang w:val="en-US" w:eastAsia="zh-CN"/>
              </w:rPr>
              <w:t>货物名称或</w:t>
            </w:r>
          </w:p>
          <w:p>
            <w:pPr>
              <w:pStyle w:val="23"/>
              <w:spacing w:line="400" w:lineRule="exact"/>
              <w:jc w:val="center"/>
              <w:rPr>
                <w:rFonts w:hint="eastAsia" w:hAnsi="宋体" w:cs="Courier New"/>
                <w:b/>
                <w:color w:val="auto"/>
                <w:kern w:val="2"/>
                <w:sz w:val="24"/>
                <w:szCs w:val="24"/>
                <w:highlight w:val="none"/>
                <w:lang w:val="en-US" w:eastAsia="zh-CN"/>
              </w:rPr>
            </w:pPr>
            <w:r>
              <w:rPr>
                <w:rFonts w:hint="eastAsia" w:hAnsi="宋体" w:cs="Courier New"/>
                <w:b/>
                <w:color w:val="auto"/>
                <w:kern w:val="2"/>
                <w:sz w:val="24"/>
                <w:szCs w:val="24"/>
                <w:highlight w:val="none"/>
                <w:lang w:val="en-US" w:eastAsia="zh-CN"/>
              </w:rPr>
              <w:t>技术条款</w:t>
            </w:r>
          </w:p>
        </w:tc>
        <w:tc>
          <w:tcPr>
            <w:tcW w:w="1834" w:type="dxa"/>
            <w:noWrap w:val="0"/>
            <w:vAlign w:val="center"/>
          </w:tcPr>
          <w:p>
            <w:pPr>
              <w:pStyle w:val="23"/>
              <w:spacing w:line="400" w:lineRule="exact"/>
              <w:jc w:val="center"/>
              <w:rPr>
                <w:rFonts w:hint="eastAsia" w:hAnsi="宋体" w:cs="Courier New"/>
                <w:b/>
                <w:color w:val="auto"/>
                <w:kern w:val="2"/>
                <w:sz w:val="24"/>
                <w:szCs w:val="24"/>
                <w:highlight w:val="none"/>
                <w:lang w:val="en-US" w:eastAsia="zh-CN"/>
              </w:rPr>
            </w:pPr>
            <w:r>
              <w:rPr>
                <w:rFonts w:hint="eastAsia" w:hAnsi="宋体" w:cs="Courier New"/>
                <w:b/>
                <w:color w:val="auto"/>
                <w:kern w:val="2"/>
                <w:sz w:val="24"/>
                <w:szCs w:val="24"/>
                <w:highlight w:val="none"/>
                <w:lang w:val="en-US" w:eastAsia="zh-CN"/>
              </w:rPr>
              <w:t>招标要求</w:t>
            </w:r>
          </w:p>
        </w:tc>
        <w:tc>
          <w:tcPr>
            <w:tcW w:w="2181" w:type="dxa"/>
            <w:noWrap w:val="0"/>
            <w:vAlign w:val="center"/>
          </w:tcPr>
          <w:p>
            <w:pPr>
              <w:pStyle w:val="23"/>
              <w:spacing w:line="400" w:lineRule="exact"/>
              <w:jc w:val="center"/>
              <w:rPr>
                <w:rFonts w:hint="eastAsia" w:hAnsi="宋体" w:cs="Courier New"/>
                <w:b/>
                <w:color w:val="auto"/>
                <w:kern w:val="2"/>
                <w:sz w:val="24"/>
                <w:szCs w:val="24"/>
                <w:highlight w:val="none"/>
                <w:lang w:val="en-US" w:eastAsia="zh-CN"/>
              </w:rPr>
            </w:pPr>
            <w:r>
              <w:rPr>
                <w:rFonts w:hint="eastAsia" w:hAnsi="宋体" w:cs="Courier New"/>
                <w:b/>
                <w:color w:val="auto"/>
                <w:kern w:val="2"/>
                <w:sz w:val="24"/>
                <w:szCs w:val="24"/>
                <w:highlight w:val="none"/>
                <w:lang w:val="en-US" w:eastAsia="zh-CN"/>
              </w:rPr>
              <w:t>投标响应</w:t>
            </w:r>
          </w:p>
        </w:tc>
        <w:tc>
          <w:tcPr>
            <w:tcW w:w="1934" w:type="dxa"/>
            <w:noWrap w:val="0"/>
            <w:vAlign w:val="center"/>
          </w:tcPr>
          <w:p>
            <w:pPr>
              <w:pStyle w:val="23"/>
              <w:spacing w:line="400" w:lineRule="exact"/>
              <w:jc w:val="center"/>
              <w:rPr>
                <w:rFonts w:hint="eastAsia" w:hAnsi="宋体" w:cs="Courier New"/>
                <w:b/>
                <w:color w:val="auto"/>
                <w:kern w:val="2"/>
                <w:sz w:val="24"/>
                <w:szCs w:val="24"/>
                <w:highlight w:val="none"/>
                <w:lang w:val="en-US" w:eastAsia="zh-CN"/>
              </w:rPr>
            </w:pPr>
            <w:r>
              <w:rPr>
                <w:rFonts w:hint="eastAsia" w:hAnsi="宋体" w:cs="Courier New"/>
                <w:b/>
                <w:color w:val="auto"/>
                <w:kern w:val="2"/>
                <w:sz w:val="24"/>
                <w:szCs w:val="24"/>
                <w:highlight w:val="none"/>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23"/>
              <w:spacing w:line="600" w:lineRule="exact"/>
              <w:jc w:val="center"/>
              <w:rPr>
                <w:rFonts w:hint="eastAsia" w:hAnsi="宋体" w:cs="Courier New"/>
                <w:color w:val="auto"/>
                <w:kern w:val="2"/>
                <w:sz w:val="24"/>
                <w:szCs w:val="24"/>
                <w:highlight w:val="none"/>
                <w:lang w:val="en-US" w:eastAsia="zh-CN"/>
              </w:rPr>
            </w:pPr>
          </w:p>
        </w:tc>
        <w:tc>
          <w:tcPr>
            <w:tcW w:w="2143" w:type="dxa"/>
            <w:noWrap w:val="0"/>
            <w:vAlign w:val="center"/>
          </w:tcPr>
          <w:p>
            <w:pPr>
              <w:pStyle w:val="23"/>
              <w:spacing w:line="600" w:lineRule="exact"/>
              <w:jc w:val="center"/>
              <w:rPr>
                <w:rFonts w:hint="eastAsia" w:hAnsi="宋体" w:cs="Courier New"/>
                <w:color w:val="auto"/>
                <w:kern w:val="2"/>
                <w:sz w:val="24"/>
                <w:szCs w:val="24"/>
                <w:highlight w:val="none"/>
                <w:lang w:val="en-US" w:eastAsia="zh-CN"/>
              </w:rPr>
            </w:pPr>
          </w:p>
        </w:tc>
        <w:tc>
          <w:tcPr>
            <w:tcW w:w="1834" w:type="dxa"/>
            <w:noWrap w:val="0"/>
            <w:vAlign w:val="center"/>
          </w:tcPr>
          <w:p>
            <w:pPr>
              <w:pStyle w:val="23"/>
              <w:spacing w:line="600" w:lineRule="exact"/>
              <w:jc w:val="center"/>
              <w:rPr>
                <w:rFonts w:hint="eastAsia" w:hAnsi="宋体" w:cs="Courier New"/>
                <w:color w:val="auto"/>
                <w:kern w:val="2"/>
                <w:sz w:val="24"/>
                <w:szCs w:val="24"/>
                <w:highlight w:val="none"/>
                <w:lang w:val="en-US" w:eastAsia="zh-CN"/>
              </w:rPr>
            </w:pPr>
          </w:p>
        </w:tc>
        <w:tc>
          <w:tcPr>
            <w:tcW w:w="2181" w:type="dxa"/>
            <w:noWrap w:val="0"/>
            <w:vAlign w:val="center"/>
          </w:tcPr>
          <w:p>
            <w:pPr>
              <w:pStyle w:val="23"/>
              <w:spacing w:line="600" w:lineRule="exact"/>
              <w:jc w:val="center"/>
              <w:rPr>
                <w:rFonts w:hint="eastAsia" w:hAnsi="宋体" w:cs="Courier New"/>
                <w:color w:val="auto"/>
                <w:kern w:val="2"/>
                <w:sz w:val="24"/>
                <w:szCs w:val="24"/>
                <w:highlight w:val="none"/>
                <w:lang w:val="en-US" w:eastAsia="zh-CN"/>
              </w:rPr>
            </w:pPr>
          </w:p>
        </w:tc>
        <w:tc>
          <w:tcPr>
            <w:tcW w:w="1934" w:type="dxa"/>
            <w:noWrap w:val="0"/>
            <w:vAlign w:val="center"/>
          </w:tcPr>
          <w:p>
            <w:pPr>
              <w:pStyle w:val="23"/>
              <w:spacing w:line="600" w:lineRule="exact"/>
              <w:jc w:val="center"/>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23"/>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23"/>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23"/>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23"/>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23"/>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23"/>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23"/>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23"/>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23"/>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23"/>
              <w:spacing w:line="600" w:lineRule="exact"/>
              <w:rPr>
                <w:rFonts w:hint="eastAsia" w:hAnsi="宋体" w:cs="Courier New"/>
                <w:color w:val="auto"/>
                <w:kern w:val="2"/>
                <w:sz w:val="24"/>
                <w:szCs w:val="24"/>
                <w:highlight w:val="none"/>
                <w:lang w:val="en-US" w:eastAsia="zh-CN"/>
              </w:rPr>
            </w:pPr>
          </w:p>
        </w:tc>
      </w:tr>
    </w:tbl>
    <w:p>
      <w:pPr>
        <w:snapToGrid w:val="0"/>
        <w:spacing w:before="50" w:after="50"/>
        <w:rPr>
          <w:rFonts w:hint="eastAsia" w:ascii="宋体" w:hAnsi="宋体"/>
          <w:b/>
          <w:bCs/>
          <w:color w:val="auto"/>
          <w:kern w:val="0"/>
          <w:sz w:val="24"/>
          <w:highlight w:val="none"/>
        </w:rPr>
      </w:pPr>
      <w:r>
        <w:rPr>
          <w:rFonts w:hint="eastAsia" w:ascii="宋体" w:hAnsi="宋体"/>
          <w:b/>
          <w:bCs/>
          <w:color w:val="auto"/>
          <w:kern w:val="0"/>
          <w:sz w:val="24"/>
          <w:highlight w:val="none"/>
        </w:rPr>
        <w:t>注：</w:t>
      </w:r>
    </w:p>
    <w:p>
      <w:pPr>
        <w:snapToGrid w:val="0"/>
        <w:spacing w:before="50" w:after="50"/>
        <w:rPr>
          <w:rFonts w:hint="eastAsia" w:ascii="宋体" w:hAnsi="宋体"/>
          <w:b/>
          <w:bCs/>
          <w:color w:val="auto"/>
          <w:kern w:val="0"/>
          <w:sz w:val="24"/>
          <w:highlight w:val="none"/>
        </w:rPr>
      </w:pPr>
      <w:r>
        <w:rPr>
          <w:rFonts w:hint="eastAsia" w:ascii="宋体" w:hAnsi="宋体"/>
          <w:b/>
          <w:bCs/>
          <w:color w:val="auto"/>
          <w:kern w:val="0"/>
          <w:sz w:val="24"/>
          <w:highlight w:val="none"/>
        </w:rPr>
        <w:t>1. 说明：应对照招标文件“第三章 采购需求”，逐条说明所提供投标文件技术文件已对招标文件的技术需求做出了实质性的响应，并申明与技术需求条文的响应和偏离。</w:t>
      </w:r>
    </w:p>
    <w:p>
      <w:pPr>
        <w:snapToGrid w:val="0"/>
        <w:spacing w:before="50" w:after="50"/>
        <w:rPr>
          <w:rFonts w:hint="eastAsia" w:ascii="宋体" w:hAnsi="宋体"/>
          <w:b/>
          <w:bCs/>
          <w:color w:val="auto"/>
          <w:kern w:val="0"/>
          <w:sz w:val="24"/>
          <w:highlight w:val="none"/>
        </w:rPr>
      </w:pPr>
      <w:r>
        <w:rPr>
          <w:rFonts w:hint="eastAsia" w:ascii="宋体" w:hAnsi="宋体"/>
          <w:b/>
          <w:bCs/>
          <w:color w:val="auto"/>
          <w:kern w:val="0"/>
          <w:sz w:val="24"/>
          <w:highlight w:val="none"/>
        </w:rPr>
        <w:t>2.投标人应根据投标设备的性能指标、对照招标文件要求在“偏离说明”，注明“正偏离”、“负偏离”或者“无偏离”。</w:t>
      </w:r>
    </w:p>
    <w:p>
      <w:pPr>
        <w:snapToGrid w:val="0"/>
        <w:spacing w:before="50" w:after="50"/>
        <w:rPr>
          <w:rFonts w:hint="eastAsia" w:ascii="宋体" w:hAnsi="宋体"/>
          <w:b/>
          <w:bCs/>
          <w:color w:val="auto"/>
          <w:kern w:val="0"/>
          <w:sz w:val="24"/>
          <w:highlight w:val="none"/>
        </w:rPr>
      </w:pPr>
    </w:p>
    <w:p>
      <w:pPr>
        <w:snapToGrid w:val="0"/>
        <w:spacing w:before="50" w:after="50"/>
        <w:rPr>
          <w:rFonts w:hint="eastAsia" w:ascii="宋体" w:hAnsi="宋体"/>
          <w:b/>
          <w:bCs/>
          <w:color w:val="auto"/>
          <w:kern w:val="0"/>
          <w:sz w:val="24"/>
          <w:highlight w:val="none"/>
        </w:rPr>
      </w:pPr>
    </w:p>
    <w:p>
      <w:pPr>
        <w:snapToGrid w:val="0"/>
        <w:spacing w:before="50" w:after="50"/>
        <w:rPr>
          <w:rFonts w:hint="eastAsia" w:ascii="宋体" w:hAnsi="宋体"/>
          <w:color w:val="auto"/>
          <w:spacing w:val="20"/>
          <w:sz w:val="24"/>
          <w:highlight w:val="none"/>
        </w:rPr>
      </w:pPr>
    </w:p>
    <w:p>
      <w:pPr>
        <w:snapToGrid w:val="0"/>
        <w:spacing w:before="50" w:after="120" w:afterLines="50"/>
        <w:jc w:val="left"/>
        <w:rPr>
          <w:rFonts w:hint="eastAsia" w:ascii="宋体" w:hAnsi="宋体"/>
          <w:color w:val="auto"/>
          <w:sz w:val="24"/>
          <w:highlight w:val="none"/>
          <w:u w:val="single"/>
        </w:rPr>
      </w:pPr>
      <w:r>
        <w:rPr>
          <w:rFonts w:hint="eastAsia" w:ascii="宋体" w:hAnsi="宋体"/>
          <w:color w:val="auto"/>
          <w:sz w:val="24"/>
          <w:highlight w:val="none"/>
        </w:rPr>
        <w:t>法定代表人或委托代理人（签字）：</w:t>
      </w:r>
      <w:r>
        <w:rPr>
          <w:rFonts w:hint="eastAsia" w:ascii="宋体" w:hAnsi="宋体"/>
          <w:color w:val="auto"/>
          <w:sz w:val="24"/>
          <w:highlight w:val="none"/>
          <w:u w:val="single"/>
        </w:rPr>
        <w:t xml:space="preserve">            </w:t>
      </w:r>
    </w:p>
    <w:p>
      <w:pPr>
        <w:snapToGrid w:val="0"/>
        <w:spacing w:before="50" w:after="120" w:afterLines="50"/>
        <w:jc w:val="left"/>
        <w:rPr>
          <w:rFonts w:hint="eastAsia" w:ascii="宋体" w:hAnsi="宋体"/>
          <w:color w:val="auto"/>
          <w:sz w:val="24"/>
          <w:highlight w:val="non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before="50" w:after="50"/>
        <w:rPr>
          <w:rFonts w:hint="eastAsia" w:ascii="宋体" w:hAnsi="宋体"/>
          <w:color w:val="auto"/>
          <w:spacing w:val="20"/>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szCs w:val="20"/>
          <w:highlight w:val="none"/>
        </w:rPr>
        <w:t xml:space="preserve"> </w:t>
      </w:r>
    </w:p>
    <w:p>
      <w:pPr>
        <w:snapToGrid w:val="0"/>
        <w:spacing w:before="50" w:after="50"/>
        <w:rPr>
          <w:rFonts w:hint="eastAsia" w:ascii="宋体" w:hAnsi="宋体"/>
          <w:color w:val="auto"/>
          <w:sz w:val="24"/>
          <w:szCs w:val="20"/>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p>
    <w:p>
      <w:pPr>
        <w:snapToGrid w:val="0"/>
        <w:spacing w:before="120" w:beforeLines="50" w:after="50"/>
        <w:ind w:left="142"/>
        <w:jc w:val="left"/>
        <w:rPr>
          <w:rFonts w:hint="eastAsia" w:ascii="宋体" w:hAnsi="宋体"/>
          <w:b/>
          <w:color w:val="auto"/>
          <w:sz w:val="24"/>
          <w:highlight w:val="none"/>
        </w:rPr>
      </w:pPr>
      <w:r>
        <w:rPr>
          <w:rFonts w:hint="eastAsia" w:ascii="宋体" w:hAnsi="宋体"/>
          <w:b/>
          <w:color w:val="auto"/>
          <w:sz w:val="24"/>
          <w:highlight w:val="none"/>
        </w:rPr>
        <w:t>5.项目实施人员一览表格式</w:t>
      </w: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center"/>
        <w:rPr>
          <w:rFonts w:hint="eastAsia" w:ascii="宋体" w:hAnsi="宋体"/>
          <w:b/>
          <w:color w:val="auto"/>
          <w:sz w:val="24"/>
          <w:highlight w:val="none"/>
        </w:rPr>
      </w:pPr>
      <w:r>
        <w:rPr>
          <w:rFonts w:hint="eastAsia" w:ascii="宋体" w:hAnsi="宋体"/>
          <w:b/>
          <w:color w:val="auto"/>
          <w:sz w:val="24"/>
          <w:highlight w:val="none"/>
        </w:rPr>
        <w:t>项目实施人员（拟投入人员及其技术资格）一览表</w:t>
      </w:r>
    </w:p>
    <w:p>
      <w:pPr>
        <w:snapToGrid w:val="0"/>
        <w:spacing w:before="120" w:beforeLines="50" w:after="50"/>
        <w:ind w:left="142"/>
        <w:jc w:val="left"/>
        <w:rPr>
          <w:rFonts w:hint="eastAsia" w:ascii="宋体" w:hAnsi="宋体"/>
          <w:color w:val="auto"/>
          <w:sz w:val="24"/>
          <w:highlight w:val="none"/>
        </w:rPr>
      </w:pPr>
      <w:r>
        <w:rPr>
          <w:rFonts w:hint="eastAsia" w:ascii="宋体" w:hAnsi="宋体"/>
          <w:color w:val="auto"/>
          <w:sz w:val="24"/>
          <w:highlight w:val="none"/>
        </w:rPr>
        <w:t>所投分标：</w:t>
      </w:r>
      <w:r>
        <w:rPr>
          <w:rFonts w:hint="eastAsia" w:ascii="宋体" w:hAnsi="宋体"/>
          <w:color w:val="auto"/>
          <w:sz w:val="24"/>
          <w:highlight w:val="none"/>
          <w:u w:val="single"/>
        </w:rPr>
        <w:t xml:space="preserve">     </w:t>
      </w:r>
      <w:r>
        <w:rPr>
          <w:rFonts w:hint="eastAsia" w:ascii="宋体" w:hAnsi="宋体"/>
          <w:color w:val="auto"/>
          <w:sz w:val="24"/>
          <w:highlight w:val="none"/>
        </w:rPr>
        <w:t>分标</w:t>
      </w:r>
    </w:p>
    <w:tbl>
      <w:tblPr>
        <w:tblStyle w:val="4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852"/>
        <w:gridCol w:w="1695"/>
        <w:gridCol w:w="1276"/>
        <w:gridCol w:w="241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105" w:type="dxa"/>
            <w:noWrap w:val="0"/>
            <w:vAlign w:val="center"/>
          </w:tcPr>
          <w:p>
            <w:pPr>
              <w:snapToGrid w:val="0"/>
              <w:spacing w:before="50" w:after="120" w:afterLines="50"/>
              <w:jc w:val="center"/>
              <w:rPr>
                <w:rFonts w:hint="eastAsia" w:ascii="宋体" w:hAnsi="宋体"/>
                <w:b/>
                <w:color w:val="auto"/>
                <w:sz w:val="24"/>
                <w:szCs w:val="20"/>
                <w:highlight w:val="none"/>
              </w:rPr>
            </w:pPr>
            <w:r>
              <w:rPr>
                <w:rFonts w:hint="eastAsia" w:ascii="宋体" w:hAnsi="宋体"/>
                <w:b/>
                <w:color w:val="auto"/>
                <w:sz w:val="24"/>
                <w:szCs w:val="20"/>
                <w:highlight w:val="none"/>
              </w:rPr>
              <w:t>姓名</w:t>
            </w:r>
          </w:p>
        </w:tc>
        <w:tc>
          <w:tcPr>
            <w:tcW w:w="852" w:type="dxa"/>
            <w:noWrap w:val="0"/>
            <w:vAlign w:val="center"/>
          </w:tcPr>
          <w:p>
            <w:pPr>
              <w:snapToGrid w:val="0"/>
              <w:spacing w:before="50" w:after="120" w:afterLines="50"/>
              <w:jc w:val="center"/>
              <w:rPr>
                <w:rFonts w:hint="eastAsia" w:ascii="宋体" w:hAnsi="宋体"/>
                <w:b/>
                <w:color w:val="auto"/>
                <w:sz w:val="24"/>
                <w:szCs w:val="20"/>
                <w:highlight w:val="none"/>
              </w:rPr>
            </w:pPr>
            <w:r>
              <w:rPr>
                <w:rFonts w:hint="eastAsia" w:ascii="宋体" w:hAnsi="宋体"/>
                <w:b/>
                <w:color w:val="auto"/>
                <w:sz w:val="24"/>
                <w:szCs w:val="20"/>
                <w:highlight w:val="none"/>
              </w:rPr>
              <w:t>职务</w:t>
            </w:r>
          </w:p>
        </w:tc>
        <w:tc>
          <w:tcPr>
            <w:tcW w:w="1695" w:type="dxa"/>
            <w:noWrap w:val="0"/>
            <w:vAlign w:val="center"/>
          </w:tcPr>
          <w:p>
            <w:pPr>
              <w:snapToGrid w:val="0"/>
              <w:spacing w:before="50" w:after="120" w:afterLines="50"/>
              <w:jc w:val="center"/>
              <w:rPr>
                <w:rFonts w:hint="eastAsia" w:ascii="宋体" w:hAnsi="宋体"/>
                <w:b/>
                <w:color w:val="auto"/>
                <w:sz w:val="24"/>
                <w:szCs w:val="20"/>
                <w:highlight w:val="none"/>
              </w:rPr>
            </w:pPr>
            <w:r>
              <w:rPr>
                <w:rFonts w:hint="eastAsia" w:ascii="宋体" w:hAnsi="宋体"/>
                <w:b/>
                <w:color w:val="auto"/>
                <w:sz w:val="24"/>
                <w:szCs w:val="20"/>
                <w:highlight w:val="none"/>
              </w:rPr>
              <w:t>专业技术资格</w:t>
            </w:r>
          </w:p>
        </w:tc>
        <w:tc>
          <w:tcPr>
            <w:tcW w:w="1276" w:type="dxa"/>
            <w:noWrap w:val="0"/>
            <w:vAlign w:val="center"/>
          </w:tcPr>
          <w:p>
            <w:pPr>
              <w:snapToGrid w:val="0"/>
              <w:spacing w:before="50" w:after="120" w:afterLines="50"/>
              <w:jc w:val="center"/>
              <w:rPr>
                <w:rFonts w:hint="eastAsia" w:ascii="宋体" w:hAnsi="宋体"/>
                <w:b/>
                <w:color w:val="auto"/>
                <w:sz w:val="24"/>
                <w:szCs w:val="20"/>
                <w:highlight w:val="none"/>
              </w:rPr>
            </w:pPr>
            <w:r>
              <w:rPr>
                <w:rFonts w:hint="eastAsia" w:ascii="宋体" w:hAnsi="宋体"/>
                <w:b/>
                <w:color w:val="auto"/>
                <w:sz w:val="24"/>
                <w:szCs w:val="20"/>
                <w:highlight w:val="none"/>
              </w:rPr>
              <w:t>证书编号</w:t>
            </w:r>
          </w:p>
        </w:tc>
        <w:tc>
          <w:tcPr>
            <w:tcW w:w="2410" w:type="dxa"/>
            <w:noWrap w:val="0"/>
            <w:vAlign w:val="center"/>
          </w:tcPr>
          <w:p>
            <w:pPr>
              <w:snapToGrid w:val="0"/>
              <w:spacing w:before="50" w:after="120" w:afterLines="50"/>
              <w:jc w:val="center"/>
              <w:rPr>
                <w:rFonts w:hint="eastAsia" w:ascii="宋体" w:hAnsi="宋体"/>
                <w:b/>
                <w:color w:val="auto"/>
                <w:sz w:val="24"/>
                <w:szCs w:val="20"/>
                <w:highlight w:val="none"/>
              </w:rPr>
            </w:pPr>
            <w:r>
              <w:rPr>
                <w:rFonts w:hint="eastAsia" w:ascii="宋体" w:hAnsi="宋体"/>
                <w:b/>
                <w:color w:val="auto"/>
                <w:sz w:val="24"/>
                <w:szCs w:val="20"/>
                <w:highlight w:val="none"/>
              </w:rPr>
              <w:t>参加本单位工作时间</w:t>
            </w:r>
          </w:p>
        </w:tc>
        <w:tc>
          <w:tcPr>
            <w:tcW w:w="1842" w:type="dxa"/>
            <w:noWrap w:val="0"/>
            <w:vAlign w:val="center"/>
          </w:tcPr>
          <w:p>
            <w:pPr>
              <w:snapToGrid w:val="0"/>
              <w:spacing w:before="50" w:after="120" w:afterLines="50"/>
              <w:jc w:val="center"/>
              <w:rPr>
                <w:rFonts w:hint="eastAsia" w:ascii="宋体" w:hAnsi="宋体"/>
                <w:b/>
                <w:color w:val="auto"/>
                <w:sz w:val="24"/>
                <w:szCs w:val="20"/>
                <w:highlight w:val="none"/>
              </w:rPr>
            </w:pPr>
            <w:r>
              <w:rPr>
                <w:rFonts w:hint="eastAsia" w:ascii="宋体" w:hAnsi="宋体"/>
                <w:b/>
                <w:color w:val="auto"/>
                <w:sz w:val="24"/>
                <w:szCs w:val="20"/>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05"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852"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695"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276"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2410"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842" w:type="dxa"/>
            <w:noWrap w:val="0"/>
            <w:vAlign w:val="center"/>
          </w:tcPr>
          <w:p>
            <w:pPr>
              <w:snapToGrid w:val="0"/>
              <w:spacing w:before="50" w:after="120" w:afterLines="50"/>
              <w:jc w:val="center"/>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105"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852"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695"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276"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2410"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842" w:type="dxa"/>
            <w:noWrap w:val="0"/>
            <w:vAlign w:val="center"/>
          </w:tcPr>
          <w:p>
            <w:pPr>
              <w:snapToGrid w:val="0"/>
              <w:spacing w:before="50" w:after="120" w:afterLines="50"/>
              <w:jc w:val="center"/>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05"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852"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695"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276"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2410"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842" w:type="dxa"/>
            <w:noWrap w:val="0"/>
            <w:vAlign w:val="center"/>
          </w:tcPr>
          <w:p>
            <w:pPr>
              <w:snapToGrid w:val="0"/>
              <w:spacing w:before="50" w:after="120" w:afterLines="50"/>
              <w:jc w:val="center"/>
              <w:rPr>
                <w:rFonts w:hint="eastAsia" w:ascii="宋体" w:hAnsi="宋体"/>
                <w:color w:val="auto"/>
                <w:sz w:val="24"/>
                <w:szCs w:val="20"/>
                <w:highlight w:val="none"/>
              </w:rPr>
            </w:pPr>
          </w:p>
        </w:tc>
      </w:tr>
    </w:tbl>
    <w:p>
      <w:pPr>
        <w:snapToGrid w:val="0"/>
        <w:spacing w:before="50" w:after="120" w:afterLines="50"/>
        <w:jc w:val="left"/>
        <w:rPr>
          <w:rFonts w:hint="eastAsia" w:ascii="宋体" w:hAnsi="宋体"/>
          <w:color w:val="auto"/>
          <w:sz w:val="24"/>
          <w:szCs w:val="20"/>
          <w:highlight w:val="none"/>
        </w:rPr>
      </w:pPr>
      <w:r>
        <w:rPr>
          <w:rFonts w:hint="eastAsia" w:ascii="宋体" w:hAnsi="宋体"/>
          <w:color w:val="auto"/>
          <w:sz w:val="24"/>
          <w:szCs w:val="20"/>
          <w:highlight w:val="none"/>
        </w:rPr>
        <w:t>注：在填写时，如本表格不适合投标单位的实际情况，可根据本表格式自行制表填写。</w:t>
      </w:r>
    </w:p>
    <w:p>
      <w:pPr>
        <w:snapToGrid w:val="0"/>
        <w:spacing w:before="50" w:after="120" w:afterLines="50"/>
        <w:jc w:val="left"/>
        <w:rPr>
          <w:rFonts w:hint="eastAsia" w:ascii="宋体" w:hAnsi="宋体"/>
          <w:color w:val="auto"/>
          <w:sz w:val="24"/>
          <w:szCs w:val="20"/>
          <w:highlight w:val="none"/>
        </w:rPr>
      </w:pPr>
    </w:p>
    <w:p>
      <w:pPr>
        <w:snapToGrid w:val="0"/>
        <w:spacing w:before="50" w:after="120" w:afterLines="50"/>
        <w:jc w:val="left"/>
        <w:rPr>
          <w:rFonts w:hint="eastAsia" w:ascii="宋体" w:hAnsi="宋体"/>
          <w:color w:val="auto"/>
          <w:sz w:val="24"/>
          <w:highlight w:val="none"/>
          <w:u w:val="single"/>
        </w:rPr>
      </w:pPr>
      <w:r>
        <w:rPr>
          <w:rFonts w:hint="eastAsia" w:ascii="宋体" w:hAnsi="宋体"/>
          <w:color w:val="auto"/>
          <w:sz w:val="24"/>
          <w:highlight w:val="none"/>
        </w:rPr>
        <w:t>法定代表人或委托代理人签字：</w:t>
      </w:r>
      <w:r>
        <w:rPr>
          <w:rFonts w:hint="eastAsia" w:ascii="宋体" w:hAnsi="宋体"/>
          <w:color w:val="auto"/>
          <w:sz w:val="24"/>
          <w:highlight w:val="none"/>
          <w:u w:val="single"/>
        </w:rPr>
        <w:t xml:space="preserve">            </w:t>
      </w:r>
    </w:p>
    <w:p>
      <w:pPr>
        <w:snapToGrid w:val="0"/>
        <w:spacing w:before="50" w:after="120" w:afterLines="50"/>
        <w:jc w:val="left"/>
        <w:rPr>
          <w:rFonts w:hint="eastAsia" w:ascii="宋体" w:hAnsi="宋体"/>
          <w:color w:val="auto"/>
          <w:sz w:val="24"/>
          <w:highlight w:val="non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before="50" w:after="120" w:afterLines="50"/>
        <w:jc w:val="left"/>
        <w:rPr>
          <w:rFonts w:hint="eastAsia" w:ascii="宋体" w:hAnsi="宋体"/>
          <w:color w:val="auto"/>
          <w:spacing w:val="20"/>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snapToGrid w:val="0"/>
        <w:spacing w:before="50" w:after="120" w:afterLines="50"/>
        <w:jc w:val="left"/>
        <w:rPr>
          <w:rFonts w:hint="eastAsia" w:ascii="宋体" w:hAnsi="宋体"/>
          <w:color w:val="auto"/>
          <w:sz w:val="24"/>
          <w:szCs w:val="20"/>
          <w:highlight w:val="none"/>
        </w:rPr>
      </w:pPr>
    </w:p>
    <w:p>
      <w:pPr>
        <w:snapToGrid w:val="0"/>
        <w:spacing w:before="50" w:after="120" w:afterLines="50"/>
        <w:jc w:val="left"/>
        <w:rPr>
          <w:rFonts w:hint="eastAsia" w:ascii="宋体" w:hAnsi="宋体"/>
          <w:color w:val="auto"/>
          <w:sz w:val="24"/>
          <w:szCs w:val="20"/>
          <w:highlight w:val="none"/>
        </w:rPr>
      </w:pPr>
    </w:p>
    <w:p>
      <w:pPr>
        <w:snapToGrid w:val="0"/>
        <w:spacing w:line="600" w:lineRule="exact"/>
        <w:jc w:val="left"/>
        <w:rPr>
          <w:rFonts w:hint="eastAsia" w:ascii="宋体" w:hAnsi="宋体"/>
          <w:b/>
          <w:color w:val="auto"/>
          <w:sz w:val="24"/>
          <w:highlight w:val="none"/>
        </w:rPr>
      </w:pPr>
      <w:r>
        <w:rPr>
          <w:rFonts w:hint="eastAsia" w:ascii="宋体" w:hAnsi="宋体"/>
          <w:b/>
          <w:color w:val="auto"/>
          <w:sz w:val="24"/>
          <w:highlight w:val="none"/>
        </w:rPr>
        <w:t>6.售后服务方案</w:t>
      </w:r>
    </w:p>
    <w:p>
      <w:pPr>
        <w:snapToGrid w:val="0"/>
        <w:spacing w:line="600" w:lineRule="exact"/>
        <w:jc w:val="left"/>
        <w:rPr>
          <w:rFonts w:hint="eastAsia" w:ascii="宋体" w:hAnsi="宋体"/>
          <w:b/>
          <w:color w:val="auto"/>
          <w:sz w:val="24"/>
          <w:highlight w:val="none"/>
        </w:rPr>
      </w:pPr>
    </w:p>
    <w:p>
      <w:pPr>
        <w:snapToGrid w:val="0"/>
        <w:spacing w:line="600" w:lineRule="exact"/>
        <w:outlineLvl w:val="1"/>
        <w:rPr>
          <w:rFonts w:hint="eastAsia" w:ascii="宋体" w:hAnsi="宋体"/>
          <w:b/>
          <w:bCs/>
          <w:color w:val="auto"/>
          <w:sz w:val="24"/>
          <w:highlight w:val="none"/>
        </w:rPr>
      </w:pPr>
      <w:bookmarkStart w:id="159" w:name="_Toc54691762"/>
      <w:r>
        <w:rPr>
          <w:rFonts w:hint="eastAsia" w:ascii="宋体" w:hAnsi="宋体"/>
          <w:b/>
          <w:bCs/>
          <w:color w:val="auto"/>
          <w:sz w:val="24"/>
          <w:highlight w:val="none"/>
        </w:rPr>
        <w:t>7.</w:t>
      </w:r>
      <w:r>
        <w:rPr>
          <w:rFonts w:hint="eastAsia"/>
          <w:b/>
          <w:color w:val="auto"/>
          <w:sz w:val="24"/>
          <w:highlight w:val="none"/>
        </w:rPr>
        <w:t xml:space="preserve"> </w:t>
      </w:r>
      <w:r>
        <w:rPr>
          <w:rFonts w:hint="eastAsia" w:ascii="宋体" w:hAnsi="宋体"/>
          <w:b/>
          <w:bCs/>
          <w:color w:val="auto"/>
          <w:sz w:val="24"/>
          <w:highlight w:val="none"/>
        </w:rPr>
        <w:t>投标人对本项目的合理化建议和改进措施（格式自拟）；</w:t>
      </w:r>
      <w:bookmarkEnd w:id="159"/>
    </w:p>
    <w:p>
      <w:pPr>
        <w:snapToGrid w:val="0"/>
        <w:spacing w:line="600" w:lineRule="exact"/>
        <w:outlineLvl w:val="1"/>
        <w:rPr>
          <w:rFonts w:hint="eastAsia" w:ascii="宋体" w:hAnsi="宋体"/>
          <w:b/>
          <w:bCs/>
          <w:color w:val="auto"/>
          <w:sz w:val="24"/>
          <w:highlight w:val="none"/>
        </w:rPr>
      </w:pPr>
    </w:p>
    <w:p>
      <w:pPr>
        <w:snapToGrid w:val="0"/>
        <w:spacing w:line="600" w:lineRule="exact"/>
        <w:rPr>
          <w:rFonts w:hint="eastAsia" w:ascii="宋体" w:hAnsi="宋体"/>
          <w:b/>
          <w:bCs/>
          <w:color w:val="auto"/>
          <w:sz w:val="24"/>
          <w:highlight w:val="none"/>
        </w:rPr>
      </w:pPr>
      <w:r>
        <w:rPr>
          <w:rFonts w:hint="eastAsia" w:ascii="宋体" w:hAnsi="宋体"/>
          <w:b/>
          <w:bCs/>
          <w:color w:val="auto"/>
          <w:sz w:val="24"/>
          <w:highlight w:val="none"/>
        </w:rPr>
        <w:t>8.除招标文件规定必须提供以外，投标人需要说明的其他文件和说明（格式自拟）。</w:t>
      </w:r>
    </w:p>
    <w:p>
      <w:pPr>
        <w:snapToGrid w:val="0"/>
        <w:spacing w:line="600" w:lineRule="exact"/>
        <w:rPr>
          <w:rFonts w:hint="eastAsia" w:ascii="宋体" w:hAnsi="宋体"/>
          <w:b/>
          <w:bCs/>
          <w:color w:val="auto"/>
          <w:sz w:val="24"/>
          <w:highlight w:val="none"/>
        </w:rPr>
      </w:pPr>
    </w:p>
    <w:p>
      <w:pPr>
        <w:snapToGrid w:val="0"/>
        <w:spacing w:line="600" w:lineRule="exact"/>
        <w:rPr>
          <w:rFonts w:hint="eastAsia" w:ascii="宋体" w:hAnsi="宋体"/>
          <w:b/>
          <w:color w:val="auto"/>
          <w:sz w:val="24"/>
          <w:highlight w:val="none"/>
        </w:rPr>
      </w:pPr>
    </w:p>
    <w:p>
      <w:pPr>
        <w:snapToGrid w:val="0"/>
        <w:spacing w:before="120" w:beforeLines="50" w:after="50"/>
        <w:outlineLvl w:val="1"/>
        <w:rPr>
          <w:rFonts w:hint="eastAsia" w:ascii="宋体" w:hAnsi="宋体"/>
          <w:b/>
          <w:bCs/>
          <w:color w:val="auto"/>
          <w:sz w:val="24"/>
          <w:highlight w:val="none"/>
        </w:rPr>
      </w:pPr>
      <w:bookmarkStart w:id="160" w:name="_Toc54691763"/>
      <w:r>
        <w:rPr>
          <w:rFonts w:hint="eastAsia" w:ascii="宋体" w:hAnsi="宋体"/>
          <w:b/>
          <w:bCs/>
          <w:color w:val="auto"/>
          <w:sz w:val="24"/>
          <w:highlight w:val="none"/>
        </w:rPr>
        <w:t>六、其他文书、文件格式</w:t>
      </w:r>
      <w:bookmarkEnd w:id="160"/>
    </w:p>
    <w:p>
      <w:pPr>
        <w:snapToGrid w:val="0"/>
        <w:spacing w:before="120" w:beforeLines="50" w:after="50"/>
        <w:ind w:left="142"/>
        <w:jc w:val="left"/>
        <w:rPr>
          <w:rFonts w:hint="eastAsia" w:ascii="宋体" w:hAnsi="宋体"/>
          <w:b/>
          <w:color w:val="auto"/>
          <w:spacing w:val="20"/>
          <w:sz w:val="24"/>
          <w:highlight w:val="none"/>
        </w:rPr>
      </w:pPr>
      <w:r>
        <w:rPr>
          <w:rFonts w:hint="eastAsia" w:ascii="宋体" w:hAnsi="宋体"/>
          <w:b/>
          <w:color w:val="auto"/>
          <w:spacing w:val="20"/>
          <w:sz w:val="24"/>
          <w:highlight w:val="none"/>
        </w:rPr>
        <w:t>联合投标协议书格式</w:t>
      </w:r>
    </w:p>
    <w:p>
      <w:pPr>
        <w:pStyle w:val="7"/>
        <w:overflowPunct w:val="0"/>
        <w:jc w:val="center"/>
        <w:rPr>
          <w:rFonts w:ascii="宋体" w:hAnsi="宋体"/>
          <w:b/>
          <w:color w:val="auto"/>
          <w:sz w:val="24"/>
          <w:highlight w:val="none"/>
        </w:rPr>
      </w:pPr>
      <w:r>
        <w:rPr>
          <w:rFonts w:hint="eastAsia" w:ascii="宋体" w:hAnsi="宋体"/>
          <w:b/>
          <w:color w:val="auto"/>
          <w:sz w:val="24"/>
          <w:highlight w:val="none"/>
        </w:rPr>
        <w:t>联合体协议书</w:t>
      </w:r>
    </w:p>
    <w:p>
      <w:pPr>
        <w:pStyle w:val="7"/>
        <w:overflowPunct w:val="0"/>
        <w:ind w:firstLine="0"/>
        <w:rPr>
          <w:rFonts w:ascii="宋体" w:hAnsi="宋体"/>
          <w:color w:val="auto"/>
          <w:sz w:val="24"/>
          <w:highlight w:val="none"/>
          <w:lang w:eastAsia="zh-CN"/>
        </w:rPr>
      </w:pPr>
    </w:p>
    <w:p>
      <w:pPr>
        <w:pStyle w:val="7"/>
        <w:overflowPunct w:val="0"/>
        <w:spacing w:line="340" w:lineRule="exact"/>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rPr>
        <w:t>（所有成员单位名称）自愿组成</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（联合体名称）联合体，共同</w:t>
      </w:r>
    </w:p>
    <w:p>
      <w:pPr>
        <w:pStyle w:val="7"/>
        <w:overflowPunct w:val="0"/>
        <w:spacing w:line="340" w:lineRule="exact"/>
        <w:rPr>
          <w:rFonts w:ascii="宋体" w:hAnsi="宋体"/>
          <w:color w:val="auto"/>
          <w:sz w:val="24"/>
          <w:highlight w:val="none"/>
        </w:rPr>
      </w:pPr>
    </w:p>
    <w:p>
      <w:pPr>
        <w:pStyle w:val="7"/>
        <w:overflowPunct w:val="0"/>
        <w:spacing w:line="340" w:lineRule="exact"/>
        <w:rPr>
          <w:rFonts w:ascii="宋体" w:hAnsi="宋体"/>
          <w:color w:val="auto"/>
          <w:sz w:val="24"/>
          <w:highlight w:val="none"/>
        </w:rPr>
      </w:pPr>
      <w:r>
        <w:rPr>
          <w:rFonts w:hint="eastAsia" w:ascii="宋体" w:hAnsi="宋体"/>
          <w:color w:val="auto"/>
          <w:sz w:val="24"/>
          <w:highlight w:val="none"/>
        </w:rPr>
        <w:t>参加</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u w:val="single"/>
        </w:rPr>
        <w:t>（项</w:t>
      </w:r>
      <w:r>
        <w:rPr>
          <w:rFonts w:hint="eastAsia" w:ascii="宋体" w:hAnsi="宋体"/>
          <w:color w:val="auto"/>
          <w:sz w:val="24"/>
          <w:highlight w:val="none"/>
        </w:rPr>
        <w:t>目名称）采购招标项目投标。现就联合体投标事宜订立如下协议。</w:t>
      </w:r>
    </w:p>
    <w:p>
      <w:pPr>
        <w:pStyle w:val="7"/>
        <w:overflowPunct w:val="0"/>
        <w:spacing w:line="340" w:lineRule="exact"/>
        <w:rPr>
          <w:rFonts w:ascii="宋体" w:hAnsi="宋体"/>
          <w:color w:val="auto"/>
          <w:sz w:val="24"/>
          <w:highlight w:val="none"/>
        </w:rPr>
      </w:pPr>
    </w:p>
    <w:p>
      <w:pPr>
        <w:pStyle w:val="7"/>
        <w:overflowPunct w:val="0"/>
        <w:spacing w:line="340" w:lineRule="exact"/>
        <w:rPr>
          <w:rFonts w:ascii="宋体" w:hAnsi="宋体"/>
          <w:color w:val="auto"/>
          <w:sz w:val="24"/>
          <w:highlight w:val="none"/>
        </w:rPr>
      </w:pPr>
      <w:r>
        <w:rPr>
          <w:rFonts w:ascii="宋体" w:hAnsi="宋体"/>
          <w:color w:val="auto"/>
          <w:sz w:val="24"/>
          <w:highlight w:val="none"/>
        </w:rPr>
        <w:t xml:space="preserve">1.  </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（某成员单位名称）为</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（联合体名称）牵头人。</w:t>
      </w:r>
    </w:p>
    <w:p>
      <w:pPr>
        <w:pStyle w:val="7"/>
        <w:overflowPunct w:val="0"/>
        <w:spacing w:line="340" w:lineRule="exac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联合体各成员授权牵头人代表联合体参加投标活动，签署文件及对文件的盖章，提交和接收相关的资料、</w:t>
      </w:r>
      <w:r>
        <w:rPr>
          <w:rFonts w:ascii="宋体" w:hAnsi="宋体"/>
          <w:color w:val="auto"/>
          <w:sz w:val="24"/>
          <w:highlight w:val="none"/>
        </w:rPr>
        <w:t xml:space="preserve"> </w:t>
      </w:r>
      <w:r>
        <w:rPr>
          <w:rFonts w:hint="eastAsia" w:ascii="宋体" w:hAnsi="宋体"/>
          <w:color w:val="auto"/>
          <w:sz w:val="24"/>
          <w:highlight w:val="none"/>
        </w:rPr>
        <w:t>信息及指示，进行合同谈判活动，负责合同实施阶段的组织和协调工作，以及处理与本招标项</w:t>
      </w:r>
      <w:r>
        <w:rPr>
          <w:rFonts w:ascii="宋体" w:hAnsi="宋体"/>
          <w:color w:val="auto"/>
          <w:sz w:val="24"/>
          <w:highlight w:val="none"/>
        </w:rPr>
        <w:t xml:space="preserve"> </w:t>
      </w:r>
      <w:r>
        <w:rPr>
          <w:rFonts w:hint="eastAsia" w:ascii="宋体" w:hAnsi="宋体"/>
          <w:color w:val="auto"/>
          <w:sz w:val="24"/>
          <w:highlight w:val="none"/>
        </w:rPr>
        <w:t>目有关的一切事宜。</w:t>
      </w:r>
    </w:p>
    <w:p>
      <w:pPr>
        <w:pStyle w:val="7"/>
        <w:overflowPunct w:val="0"/>
        <w:spacing w:line="340" w:lineRule="exac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联合体牵头人在本项目中签署和盖章的一切文件和处理的一切事宜，联合体各成员均予以承认。</w:t>
      </w:r>
      <w:r>
        <w:rPr>
          <w:rFonts w:ascii="宋体" w:hAnsi="宋体"/>
          <w:color w:val="auto"/>
          <w:sz w:val="24"/>
          <w:highlight w:val="none"/>
        </w:rPr>
        <w:t xml:space="preserve"> </w:t>
      </w:r>
      <w:r>
        <w:rPr>
          <w:rFonts w:hint="eastAsia" w:ascii="宋体" w:hAnsi="宋体"/>
          <w:color w:val="auto"/>
          <w:sz w:val="24"/>
          <w:highlight w:val="none"/>
        </w:rPr>
        <w:t>联合体各成员将严格按照招标文件、投标文件和合同的要求全面履行义务，并向招标人承担连带责任。</w:t>
      </w:r>
    </w:p>
    <w:p>
      <w:pPr>
        <w:pStyle w:val="7"/>
        <w:overflowPunct w:val="0"/>
        <w:spacing w:line="340" w:lineRule="exact"/>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联合体各成员单位内部的职责分工如下：</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w:t>
      </w:r>
    </w:p>
    <w:p>
      <w:pPr>
        <w:pStyle w:val="7"/>
        <w:overflowPunct w:val="0"/>
        <w:spacing w:line="340" w:lineRule="exact"/>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本协议书自所有成员单位法定代表人（单位负责人）或其委托代理人签字或盖单位章之</w:t>
      </w:r>
      <w:r>
        <w:rPr>
          <w:rFonts w:ascii="宋体" w:hAnsi="宋体"/>
          <w:color w:val="auto"/>
          <w:sz w:val="24"/>
          <w:highlight w:val="none"/>
        </w:rPr>
        <w:t xml:space="preserve"> </w:t>
      </w:r>
      <w:r>
        <w:rPr>
          <w:rFonts w:hint="eastAsia" w:ascii="宋体" w:hAnsi="宋体"/>
          <w:color w:val="auto"/>
          <w:sz w:val="24"/>
          <w:highlight w:val="none"/>
        </w:rPr>
        <w:t>日起生效，合同履行完毕后自动失效。</w:t>
      </w:r>
    </w:p>
    <w:p>
      <w:pPr>
        <w:pStyle w:val="7"/>
        <w:overflowPunct w:val="0"/>
        <w:spacing w:line="340" w:lineRule="exact"/>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本协议书一式</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份，联合体成员和招标人各执一份。</w:t>
      </w:r>
    </w:p>
    <w:p>
      <w:pPr>
        <w:pStyle w:val="7"/>
        <w:overflowPunct w:val="0"/>
        <w:spacing w:line="340" w:lineRule="exact"/>
        <w:ind w:firstLine="0"/>
        <w:rPr>
          <w:rFonts w:ascii="宋体" w:hAnsi="宋体"/>
          <w:color w:val="auto"/>
          <w:sz w:val="24"/>
          <w:highlight w:val="none"/>
        </w:rPr>
      </w:pPr>
    </w:p>
    <w:p>
      <w:pPr>
        <w:pStyle w:val="7"/>
        <w:overflowPunct w:val="0"/>
        <w:spacing w:line="340" w:lineRule="exact"/>
        <w:ind w:firstLineChars="175"/>
        <w:rPr>
          <w:rFonts w:ascii="宋体" w:hAnsi="宋体"/>
          <w:color w:val="auto"/>
          <w:sz w:val="24"/>
          <w:highlight w:val="none"/>
        </w:rPr>
      </w:pPr>
      <w:r>
        <w:rPr>
          <w:rFonts w:hint="eastAsia" w:ascii="宋体" w:hAnsi="宋体"/>
          <w:color w:val="auto"/>
          <w:sz w:val="24"/>
          <w:highlight w:val="none"/>
        </w:rPr>
        <w:t>注：本协议书由法定代表人（单位负责人）签字的，应附法定代表人（单位负责人）身份</w:t>
      </w:r>
    </w:p>
    <w:p>
      <w:pPr>
        <w:pStyle w:val="7"/>
        <w:overflowPunct w:val="0"/>
        <w:spacing w:line="340" w:lineRule="exact"/>
        <w:ind w:firstLineChars="175"/>
        <w:rPr>
          <w:rFonts w:ascii="宋体" w:hAnsi="宋体"/>
          <w:color w:val="auto"/>
          <w:sz w:val="24"/>
          <w:highlight w:val="none"/>
        </w:rPr>
      </w:pPr>
      <w:r>
        <w:rPr>
          <w:rFonts w:hint="eastAsia" w:ascii="宋体" w:hAnsi="宋体"/>
          <w:color w:val="auto"/>
          <w:sz w:val="24"/>
          <w:highlight w:val="none"/>
        </w:rPr>
        <w:t>证明；由委托代理人签字的，应附授权委托书。</w:t>
      </w:r>
    </w:p>
    <w:p>
      <w:pPr>
        <w:pStyle w:val="7"/>
        <w:overflowPunct w:val="0"/>
        <w:spacing w:line="340" w:lineRule="exact"/>
        <w:ind w:firstLineChars="175"/>
        <w:rPr>
          <w:rFonts w:ascii="宋体" w:hAnsi="宋体"/>
          <w:color w:val="auto"/>
          <w:sz w:val="24"/>
          <w:highlight w:val="none"/>
        </w:rPr>
      </w:pPr>
    </w:p>
    <w:p>
      <w:pPr>
        <w:pStyle w:val="7"/>
        <w:overflowPunct w:val="0"/>
        <w:spacing w:line="340" w:lineRule="exact"/>
        <w:ind w:firstLineChars="175"/>
        <w:rPr>
          <w:rFonts w:ascii="宋体" w:hAnsi="宋体"/>
          <w:color w:val="auto"/>
          <w:sz w:val="24"/>
          <w:highlight w:val="none"/>
        </w:rPr>
      </w:pPr>
      <w:r>
        <w:rPr>
          <w:rFonts w:hint="eastAsia" w:ascii="宋体" w:hAnsi="宋体"/>
          <w:color w:val="auto"/>
          <w:sz w:val="24"/>
          <w:highlight w:val="none"/>
        </w:rPr>
        <w:t>联合体牵头人名称：</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（盖单位章）</w:t>
      </w:r>
    </w:p>
    <w:p>
      <w:pPr>
        <w:pStyle w:val="7"/>
        <w:overflowPunct w:val="0"/>
        <w:spacing w:line="340" w:lineRule="exact"/>
        <w:ind w:firstLineChars="175"/>
        <w:rPr>
          <w:rFonts w:ascii="宋体" w:hAnsi="宋体"/>
          <w:color w:val="auto"/>
          <w:sz w:val="24"/>
          <w:highlight w:val="none"/>
        </w:rPr>
      </w:pPr>
    </w:p>
    <w:p>
      <w:pPr>
        <w:pStyle w:val="7"/>
        <w:overflowPunct w:val="0"/>
        <w:spacing w:line="340" w:lineRule="exact"/>
        <w:ind w:firstLineChars="175"/>
        <w:rPr>
          <w:rFonts w:ascii="宋体" w:hAnsi="宋体"/>
          <w:color w:val="auto"/>
          <w:sz w:val="24"/>
          <w:highlight w:val="none"/>
        </w:rPr>
      </w:pPr>
      <w:r>
        <w:rPr>
          <w:rFonts w:hint="eastAsia" w:ascii="宋体" w:hAnsi="宋体"/>
          <w:color w:val="auto"/>
          <w:sz w:val="24"/>
          <w:highlight w:val="none"/>
        </w:rPr>
        <w:t>法定代表人（单位负责人）或其委托代理人：</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（签字）</w:t>
      </w:r>
    </w:p>
    <w:p>
      <w:pPr>
        <w:pStyle w:val="7"/>
        <w:overflowPunct w:val="0"/>
        <w:spacing w:line="340" w:lineRule="exact"/>
        <w:ind w:firstLineChars="175"/>
        <w:rPr>
          <w:rFonts w:ascii="宋体" w:hAnsi="宋体"/>
          <w:color w:val="auto"/>
          <w:sz w:val="24"/>
          <w:highlight w:val="none"/>
        </w:rPr>
      </w:pPr>
    </w:p>
    <w:p>
      <w:pPr>
        <w:pStyle w:val="7"/>
        <w:overflowPunct w:val="0"/>
        <w:spacing w:line="340" w:lineRule="exact"/>
        <w:ind w:firstLineChars="175"/>
        <w:rPr>
          <w:rFonts w:ascii="宋体" w:hAnsi="宋体"/>
          <w:color w:val="auto"/>
          <w:sz w:val="24"/>
          <w:highlight w:val="none"/>
        </w:rPr>
      </w:pPr>
      <w:r>
        <w:rPr>
          <w:rFonts w:hint="eastAsia" w:ascii="宋体" w:hAnsi="宋体"/>
          <w:color w:val="auto"/>
          <w:sz w:val="24"/>
          <w:highlight w:val="none"/>
        </w:rPr>
        <w:t>联合体成员名称：</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（盖单位章）</w:t>
      </w:r>
    </w:p>
    <w:p>
      <w:pPr>
        <w:pStyle w:val="7"/>
        <w:overflowPunct w:val="0"/>
        <w:spacing w:line="340" w:lineRule="exact"/>
        <w:ind w:firstLineChars="175"/>
        <w:rPr>
          <w:rFonts w:ascii="宋体" w:hAnsi="宋体"/>
          <w:color w:val="auto"/>
          <w:sz w:val="24"/>
          <w:highlight w:val="none"/>
        </w:rPr>
      </w:pPr>
    </w:p>
    <w:p>
      <w:pPr>
        <w:pStyle w:val="7"/>
        <w:overflowPunct w:val="0"/>
        <w:spacing w:line="340" w:lineRule="exact"/>
        <w:ind w:firstLineChars="175"/>
        <w:rPr>
          <w:rFonts w:ascii="宋体" w:hAnsi="宋体"/>
          <w:color w:val="auto"/>
          <w:sz w:val="24"/>
          <w:highlight w:val="none"/>
        </w:rPr>
      </w:pPr>
      <w:r>
        <w:rPr>
          <w:rFonts w:hint="eastAsia" w:ascii="宋体" w:hAnsi="宋体"/>
          <w:color w:val="auto"/>
          <w:sz w:val="24"/>
          <w:highlight w:val="none"/>
        </w:rPr>
        <w:t>法定代表人（单位负责人）或其委托代理人：</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（签字）</w:t>
      </w:r>
    </w:p>
    <w:p>
      <w:pPr>
        <w:pStyle w:val="7"/>
        <w:overflowPunct w:val="0"/>
        <w:spacing w:line="340" w:lineRule="exact"/>
        <w:ind w:firstLineChars="175"/>
        <w:rPr>
          <w:rFonts w:ascii="宋体" w:hAnsi="宋体"/>
          <w:color w:val="auto"/>
          <w:sz w:val="24"/>
          <w:highlight w:val="none"/>
        </w:rPr>
      </w:pPr>
    </w:p>
    <w:p>
      <w:pPr>
        <w:pStyle w:val="7"/>
        <w:overflowPunct w:val="0"/>
        <w:spacing w:line="340" w:lineRule="exact"/>
        <w:ind w:firstLineChars="175"/>
        <w:rPr>
          <w:rFonts w:ascii="宋体" w:hAnsi="宋体"/>
          <w:color w:val="auto"/>
          <w:sz w:val="24"/>
          <w:highlight w:val="none"/>
        </w:rPr>
      </w:pPr>
      <w:r>
        <w:rPr>
          <w:rFonts w:hint="eastAsia" w:ascii="宋体" w:hAnsi="宋体"/>
          <w:color w:val="auto"/>
          <w:sz w:val="24"/>
          <w:highlight w:val="none"/>
        </w:rPr>
        <w:t>联合体成员名称：</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（盖单位章）</w:t>
      </w:r>
    </w:p>
    <w:p>
      <w:pPr>
        <w:pStyle w:val="7"/>
        <w:overflowPunct w:val="0"/>
        <w:spacing w:line="340" w:lineRule="exact"/>
        <w:ind w:firstLineChars="175"/>
        <w:rPr>
          <w:rFonts w:ascii="宋体" w:hAnsi="宋体"/>
          <w:color w:val="auto"/>
          <w:sz w:val="24"/>
          <w:highlight w:val="none"/>
        </w:rPr>
      </w:pPr>
    </w:p>
    <w:p>
      <w:pPr>
        <w:pStyle w:val="7"/>
        <w:overflowPunct w:val="0"/>
        <w:spacing w:line="340" w:lineRule="exact"/>
        <w:ind w:firstLineChars="175"/>
        <w:rPr>
          <w:rFonts w:ascii="宋体" w:hAnsi="宋体"/>
          <w:color w:val="auto"/>
          <w:sz w:val="24"/>
          <w:highlight w:val="none"/>
        </w:rPr>
      </w:pPr>
      <w:r>
        <w:rPr>
          <w:rFonts w:hint="eastAsia" w:ascii="宋体" w:hAnsi="宋体"/>
          <w:color w:val="auto"/>
          <w:sz w:val="24"/>
          <w:highlight w:val="none"/>
        </w:rPr>
        <w:t>法定代表人（单位负责人）或其委托代理人：</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（签字）</w:t>
      </w:r>
    </w:p>
    <w:p>
      <w:pPr>
        <w:pStyle w:val="7"/>
        <w:overflowPunct w:val="0"/>
        <w:spacing w:line="340" w:lineRule="exact"/>
        <w:ind w:firstLineChars="175"/>
        <w:rPr>
          <w:rFonts w:ascii="宋体" w:hAnsi="宋体"/>
          <w:color w:val="auto"/>
          <w:sz w:val="24"/>
          <w:highlight w:val="none"/>
        </w:rPr>
      </w:pPr>
    </w:p>
    <w:p>
      <w:pPr>
        <w:pStyle w:val="7"/>
        <w:overflowPunct w:val="0"/>
        <w:spacing w:line="340" w:lineRule="exact"/>
        <w:ind w:firstLineChars="175"/>
        <w:rPr>
          <w:rFonts w:ascii="宋体" w:hAnsi="宋体"/>
          <w:color w:val="auto"/>
          <w:sz w:val="24"/>
          <w:highlight w:val="none"/>
        </w:rPr>
      </w:pPr>
      <w:r>
        <w:rPr>
          <w:rFonts w:ascii="宋体" w:hAnsi="宋体"/>
          <w:color w:val="auto"/>
          <w:sz w:val="24"/>
          <w:highlight w:val="none"/>
        </w:rPr>
        <w:t>……</w:t>
      </w:r>
    </w:p>
    <w:p>
      <w:pPr>
        <w:pStyle w:val="7"/>
        <w:overflowPunct w:val="0"/>
        <w:spacing w:line="340" w:lineRule="exact"/>
        <w:ind w:firstLineChars="175"/>
        <w:rPr>
          <w:rFonts w:hint="eastAsia" w:ascii="宋体" w:hAnsi="宋体"/>
          <w:color w:val="auto"/>
          <w:sz w:val="24"/>
          <w:highlight w:val="none"/>
        </w:rPr>
      </w:pP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 xml:space="preserve">      年</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日</w:t>
      </w:r>
    </w:p>
    <w:p>
      <w:pPr>
        <w:pStyle w:val="7"/>
        <w:overflowPunct w:val="0"/>
        <w:ind w:firstLine="0"/>
        <w:rPr>
          <w:rFonts w:hint="eastAsia" w:ascii="宋体" w:hAnsi="宋体"/>
          <w:color w:val="auto"/>
          <w:sz w:val="24"/>
          <w:highlight w:val="none"/>
        </w:rPr>
      </w:pPr>
    </w:p>
    <w:p>
      <w:p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rPr>
        <w:t xml:space="preserve"> 广西工业产品声明函格式</w:t>
      </w:r>
    </w:p>
    <w:p>
      <w:pPr>
        <w:rPr>
          <w:rFonts w:hint="eastAsia"/>
          <w:color w:val="auto"/>
          <w:highlight w:val="none"/>
        </w:rPr>
      </w:pPr>
    </w:p>
    <w:p>
      <w:pPr>
        <w:spacing w:line="588" w:lineRule="exact"/>
        <w:jc w:val="center"/>
        <w:rPr>
          <w:rFonts w:hint="eastAsia"/>
          <w:b/>
          <w:color w:val="auto"/>
          <w:sz w:val="36"/>
          <w:szCs w:val="36"/>
          <w:highlight w:val="none"/>
        </w:rPr>
      </w:pPr>
      <w:r>
        <w:rPr>
          <w:rFonts w:hint="eastAsia" w:ascii="仿宋_GB2312" w:eastAsia="仿宋_GB2312"/>
          <w:b/>
          <w:color w:val="auto"/>
          <w:spacing w:val="6"/>
          <w:sz w:val="32"/>
          <w:szCs w:val="32"/>
          <w:highlight w:val="none"/>
        </w:rPr>
        <w:t>广西工业产品声明函</w:t>
      </w:r>
    </w:p>
    <w:p>
      <w:pPr>
        <w:rPr>
          <w:rFonts w:hint="eastAsia"/>
          <w:color w:val="auto"/>
          <w:highlight w:val="none"/>
        </w:rPr>
      </w:pPr>
    </w:p>
    <w:p>
      <w:pPr>
        <w:ind w:firstLine="480" w:firstLineChars="200"/>
        <w:rPr>
          <w:rFonts w:hint="eastAsia" w:ascii="宋体" w:hAnsi="宋体"/>
          <w:color w:val="auto"/>
          <w:sz w:val="24"/>
          <w:highlight w:val="none"/>
        </w:rPr>
      </w:pPr>
      <w:r>
        <w:rPr>
          <w:rFonts w:hint="eastAsia" w:ascii="宋体" w:hAnsi="宋体"/>
          <w:color w:val="auto"/>
          <w:sz w:val="24"/>
          <w:highlight w:val="none"/>
        </w:rPr>
        <w:t>本公司郑重声明，根据《招标采购促进广西工业产品产销对接实施细则》的规定，本公司在本次投标中提供的下述产品为广西工业产品，详情如下：</w:t>
      </w:r>
    </w:p>
    <w:p>
      <w:pPr>
        <w:rPr>
          <w:rFonts w:hint="eastAsia" w:ascii="宋体" w:hAnsi="宋体"/>
          <w:color w:val="auto"/>
          <w:sz w:val="24"/>
          <w:highlight w:val="none"/>
        </w:rPr>
      </w:pPr>
    </w:p>
    <w:tbl>
      <w:tblPr>
        <w:tblStyle w:val="4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83"/>
        <w:gridCol w:w="1488"/>
        <w:gridCol w:w="709"/>
        <w:gridCol w:w="2268"/>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06"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序号</w:t>
            </w:r>
          </w:p>
        </w:tc>
        <w:tc>
          <w:tcPr>
            <w:tcW w:w="1783"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产品名称</w:t>
            </w:r>
          </w:p>
        </w:tc>
        <w:tc>
          <w:tcPr>
            <w:tcW w:w="1488"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型号和规格</w:t>
            </w:r>
          </w:p>
        </w:tc>
        <w:tc>
          <w:tcPr>
            <w:tcW w:w="709"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数量</w:t>
            </w:r>
          </w:p>
        </w:tc>
        <w:tc>
          <w:tcPr>
            <w:tcW w:w="2268"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制造厂商及原产地</w:t>
            </w:r>
          </w:p>
        </w:tc>
        <w:tc>
          <w:tcPr>
            <w:tcW w:w="1134"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投标价</w:t>
            </w:r>
          </w:p>
        </w:tc>
        <w:tc>
          <w:tcPr>
            <w:tcW w:w="851"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06"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1</w:t>
            </w:r>
          </w:p>
        </w:tc>
        <w:tc>
          <w:tcPr>
            <w:tcW w:w="1783" w:type="dxa"/>
            <w:noWrap w:val="0"/>
            <w:vAlign w:val="center"/>
          </w:tcPr>
          <w:p>
            <w:pPr>
              <w:jc w:val="center"/>
              <w:rPr>
                <w:rFonts w:hint="eastAsia" w:ascii="宋体" w:hAnsi="宋体"/>
                <w:color w:val="auto"/>
                <w:sz w:val="24"/>
                <w:highlight w:val="none"/>
              </w:rPr>
            </w:pPr>
          </w:p>
        </w:tc>
        <w:tc>
          <w:tcPr>
            <w:tcW w:w="1488" w:type="dxa"/>
            <w:noWrap w:val="0"/>
            <w:vAlign w:val="center"/>
          </w:tcPr>
          <w:p>
            <w:pPr>
              <w:jc w:val="center"/>
              <w:rPr>
                <w:rFonts w:hint="eastAsia" w:ascii="宋体" w:hAnsi="宋体"/>
                <w:color w:val="auto"/>
                <w:sz w:val="24"/>
                <w:highlight w:val="none"/>
              </w:rPr>
            </w:pPr>
          </w:p>
        </w:tc>
        <w:tc>
          <w:tcPr>
            <w:tcW w:w="709" w:type="dxa"/>
            <w:noWrap w:val="0"/>
            <w:vAlign w:val="center"/>
          </w:tcPr>
          <w:p>
            <w:pPr>
              <w:jc w:val="center"/>
              <w:rPr>
                <w:rFonts w:hint="eastAsia" w:ascii="宋体" w:hAnsi="宋体"/>
                <w:color w:val="auto"/>
                <w:sz w:val="24"/>
                <w:highlight w:val="none"/>
              </w:rPr>
            </w:pPr>
          </w:p>
        </w:tc>
        <w:tc>
          <w:tcPr>
            <w:tcW w:w="2268" w:type="dxa"/>
            <w:noWrap w:val="0"/>
            <w:vAlign w:val="center"/>
          </w:tcPr>
          <w:p>
            <w:pPr>
              <w:jc w:val="center"/>
              <w:rPr>
                <w:rFonts w:hint="eastAsia" w:ascii="宋体" w:hAnsi="宋体"/>
                <w:color w:val="auto"/>
                <w:sz w:val="24"/>
                <w:highlight w:val="none"/>
              </w:rPr>
            </w:pPr>
          </w:p>
        </w:tc>
        <w:tc>
          <w:tcPr>
            <w:tcW w:w="1134" w:type="dxa"/>
            <w:noWrap w:val="0"/>
            <w:vAlign w:val="center"/>
          </w:tcPr>
          <w:p>
            <w:pPr>
              <w:jc w:val="center"/>
              <w:rPr>
                <w:rFonts w:hint="eastAsia" w:ascii="宋体" w:hAnsi="宋体"/>
                <w:color w:val="auto"/>
                <w:sz w:val="24"/>
                <w:highlight w:val="none"/>
              </w:rPr>
            </w:pPr>
          </w:p>
        </w:tc>
        <w:tc>
          <w:tcPr>
            <w:tcW w:w="851" w:type="dxa"/>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06"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2</w:t>
            </w:r>
          </w:p>
        </w:tc>
        <w:tc>
          <w:tcPr>
            <w:tcW w:w="1783" w:type="dxa"/>
            <w:noWrap w:val="0"/>
            <w:vAlign w:val="center"/>
          </w:tcPr>
          <w:p>
            <w:pPr>
              <w:jc w:val="center"/>
              <w:rPr>
                <w:rFonts w:hint="eastAsia" w:ascii="宋体" w:hAnsi="宋体"/>
                <w:color w:val="auto"/>
                <w:sz w:val="24"/>
                <w:highlight w:val="none"/>
              </w:rPr>
            </w:pPr>
          </w:p>
        </w:tc>
        <w:tc>
          <w:tcPr>
            <w:tcW w:w="1488" w:type="dxa"/>
            <w:noWrap w:val="0"/>
            <w:vAlign w:val="center"/>
          </w:tcPr>
          <w:p>
            <w:pPr>
              <w:jc w:val="center"/>
              <w:rPr>
                <w:rFonts w:hint="eastAsia" w:ascii="宋体" w:hAnsi="宋体"/>
                <w:color w:val="auto"/>
                <w:sz w:val="24"/>
                <w:highlight w:val="none"/>
              </w:rPr>
            </w:pPr>
          </w:p>
        </w:tc>
        <w:tc>
          <w:tcPr>
            <w:tcW w:w="709" w:type="dxa"/>
            <w:noWrap w:val="0"/>
            <w:vAlign w:val="center"/>
          </w:tcPr>
          <w:p>
            <w:pPr>
              <w:jc w:val="center"/>
              <w:rPr>
                <w:rFonts w:hint="eastAsia" w:ascii="宋体" w:hAnsi="宋体"/>
                <w:color w:val="auto"/>
                <w:sz w:val="24"/>
                <w:highlight w:val="none"/>
              </w:rPr>
            </w:pPr>
          </w:p>
        </w:tc>
        <w:tc>
          <w:tcPr>
            <w:tcW w:w="2268" w:type="dxa"/>
            <w:noWrap w:val="0"/>
            <w:vAlign w:val="center"/>
          </w:tcPr>
          <w:p>
            <w:pPr>
              <w:jc w:val="center"/>
              <w:rPr>
                <w:rFonts w:hint="eastAsia" w:ascii="宋体" w:hAnsi="宋体"/>
                <w:color w:val="auto"/>
                <w:sz w:val="24"/>
                <w:highlight w:val="none"/>
              </w:rPr>
            </w:pPr>
          </w:p>
        </w:tc>
        <w:tc>
          <w:tcPr>
            <w:tcW w:w="1134" w:type="dxa"/>
            <w:noWrap w:val="0"/>
            <w:vAlign w:val="center"/>
          </w:tcPr>
          <w:p>
            <w:pPr>
              <w:jc w:val="center"/>
              <w:rPr>
                <w:rFonts w:hint="eastAsia" w:ascii="宋体" w:hAnsi="宋体"/>
                <w:color w:val="auto"/>
                <w:sz w:val="24"/>
                <w:highlight w:val="none"/>
              </w:rPr>
            </w:pPr>
          </w:p>
        </w:tc>
        <w:tc>
          <w:tcPr>
            <w:tcW w:w="851" w:type="dxa"/>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06"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w:t>
            </w:r>
          </w:p>
        </w:tc>
        <w:tc>
          <w:tcPr>
            <w:tcW w:w="1783" w:type="dxa"/>
            <w:noWrap w:val="0"/>
            <w:vAlign w:val="center"/>
          </w:tcPr>
          <w:p>
            <w:pPr>
              <w:jc w:val="center"/>
              <w:rPr>
                <w:rFonts w:hint="eastAsia" w:ascii="宋体" w:hAnsi="宋体"/>
                <w:color w:val="auto"/>
                <w:sz w:val="24"/>
                <w:highlight w:val="none"/>
              </w:rPr>
            </w:pPr>
          </w:p>
        </w:tc>
        <w:tc>
          <w:tcPr>
            <w:tcW w:w="1488" w:type="dxa"/>
            <w:noWrap w:val="0"/>
            <w:vAlign w:val="center"/>
          </w:tcPr>
          <w:p>
            <w:pPr>
              <w:jc w:val="center"/>
              <w:rPr>
                <w:rFonts w:hint="eastAsia" w:ascii="宋体" w:hAnsi="宋体"/>
                <w:color w:val="auto"/>
                <w:sz w:val="24"/>
                <w:highlight w:val="none"/>
              </w:rPr>
            </w:pPr>
          </w:p>
        </w:tc>
        <w:tc>
          <w:tcPr>
            <w:tcW w:w="709" w:type="dxa"/>
            <w:noWrap w:val="0"/>
            <w:vAlign w:val="center"/>
          </w:tcPr>
          <w:p>
            <w:pPr>
              <w:jc w:val="center"/>
              <w:rPr>
                <w:rFonts w:hint="eastAsia" w:ascii="宋体" w:hAnsi="宋体"/>
                <w:color w:val="auto"/>
                <w:sz w:val="24"/>
                <w:highlight w:val="none"/>
              </w:rPr>
            </w:pPr>
          </w:p>
        </w:tc>
        <w:tc>
          <w:tcPr>
            <w:tcW w:w="2268" w:type="dxa"/>
            <w:noWrap w:val="0"/>
            <w:vAlign w:val="center"/>
          </w:tcPr>
          <w:p>
            <w:pPr>
              <w:jc w:val="center"/>
              <w:rPr>
                <w:rFonts w:hint="eastAsia" w:ascii="宋体" w:hAnsi="宋体"/>
                <w:color w:val="auto"/>
                <w:sz w:val="24"/>
                <w:highlight w:val="none"/>
              </w:rPr>
            </w:pPr>
          </w:p>
        </w:tc>
        <w:tc>
          <w:tcPr>
            <w:tcW w:w="1134" w:type="dxa"/>
            <w:noWrap w:val="0"/>
            <w:vAlign w:val="center"/>
          </w:tcPr>
          <w:p>
            <w:pPr>
              <w:jc w:val="center"/>
              <w:rPr>
                <w:rFonts w:hint="eastAsia" w:ascii="宋体" w:hAnsi="宋体"/>
                <w:color w:val="auto"/>
                <w:sz w:val="24"/>
                <w:highlight w:val="none"/>
              </w:rPr>
            </w:pPr>
          </w:p>
        </w:tc>
        <w:tc>
          <w:tcPr>
            <w:tcW w:w="851" w:type="dxa"/>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06" w:type="dxa"/>
            <w:noWrap w:val="0"/>
            <w:vAlign w:val="center"/>
          </w:tcPr>
          <w:p>
            <w:pPr>
              <w:jc w:val="center"/>
              <w:rPr>
                <w:rFonts w:hint="eastAsia" w:ascii="宋体" w:hAnsi="宋体"/>
                <w:color w:val="auto"/>
                <w:sz w:val="24"/>
                <w:highlight w:val="none"/>
              </w:rPr>
            </w:pPr>
          </w:p>
        </w:tc>
        <w:tc>
          <w:tcPr>
            <w:tcW w:w="1783"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广西工业产品合计价格：</w:t>
            </w:r>
          </w:p>
        </w:tc>
        <w:tc>
          <w:tcPr>
            <w:tcW w:w="2197" w:type="dxa"/>
            <w:gridSpan w:val="2"/>
            <w:noWrap w:val="0"/>
            <w:vAlign w:val="center"/>
          </w:tcPr>
          <w:p>
            <w:pPr>
              <w:jc w:val="center"/>
              <w:rPr>
                <w:rFonts w:hint="eastAsia" w:ascii="宋体" w:hAnsi="宋体"/>
                <w:color w:val="auto"/>
                <w:sz w:val="24"/>
                <w:highlight w:val="none"/>
              </w:rPr>
            </w:pPr>
          </w:p>
        </w:tc>
        <w:tc>
          <w:tcPr>
            <w:tcW w:w="2268"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占投标总价比例：</w:t>
            </w:r>
          </w:p>
        </w:tc>
        <w:tc>
          <w:tcPr>
            <w:tcW w:w="1985" w:type="dxa"/>
            <w:gridSpan w:val="2"/>
            <w:noWrap w:val="0"/>
            <w:vAlign w:val="center"/>
          </w:tcPr>
          <w:p>
            <w:pPr>
              <w:jc w:val="center"/>
              <w:rPr>
                <w:rFonts w:hint="eastAsia" w:ascii="宋体" w:hAnsi="宋体"/>
                <w:color w:val="auto"/>
                <w:sz w:val="24"/>
                <w:highlight w:val="none"/>
              </w:rPr>
            </w:pPr>
          </w:p>
        </w:tc>
      </w:tr>
    </w:tbl>
    <w:p>
      <w:pPr>
        <w:ind w:firstLine="480" w:firstLineChars="200"/>
        <w:rPr>
          <w:rFonts w:hint="eastAsia" w:ascii="宋体" w:hAnsi="宋体"/>
          <w:color w:val="auto"/>
          <w:sz w:val="24"/>
          <w:highlight w:val="none"/>
        </w:rPr>
      </w:pPr>
      <w:r>
        <w:rPr>
          <w:rFonts w:hint="eastAsia" w:ascii="宋体" w:hAnsi="宋体"/>
          <w:color w:val="auto"/>
          <w:sz w:val="24"/>
          <w:highlight w:val="none"/>
        </w:rPr>
        <w:t>本公司对上述声明的真实性负责。如有虚假，将依法承担相应责任。</w:t>
      </w:r>
    </w:p>
    <w:p>
      <w:pPr>
        <w:ind w:firstLine="480" w:firstLineChars="200"/>
        <w:rPr>
          <w:rFonts w:hint="eastAsia" w:ascii="宋体" w:hAnsi="宋体"/>
          <w:color w:val="auto"/>
          <w:sz w:val="24"/>
          <w:highlight w:val="none"/>
        </w:rPr>
      </w:pPr>
    </w:p>
    <w:p>
      <w:pPr>
        <w:ind w:firstLine="480" w:firstLineChars="200"/>
        <w:rPr>
          <w:rFonts w:hint="eastAsia" w:ascii="宋体" w:hAnsi="宋体"/>
          <w:color w:val="auto"/>
          <w:sz w:val="24"/>
          <w:highlight w:val="none"/>
        </w:rPr>
      </w:pPr>
    </w:p>
    <w:p>
      <w:pPr>
        <w:ind w:firstLine="480" w:firstLineChars="200"/>
        <w:rPr>
          <w:rFonts w:hint="eastAsia" w:ascii="宋体" w:hAnsi="宋体"/>
          <w:color w:val="auto"/>
          <w:sz w:val="24"/>
          <w:highlight w:val="none"/>
        </w:rPr>
      </w:pPr>
    </w:p>
    <w:p>
      <w:pPr>
        <w:ind w:firstLine="480" w:firstLineChars="200"/>
        <w:rPr>
          <w:rFonts w:hint="eastAsia" w:ascii="宋体" w:hAnsi="宋体"/>
          <w:color w:val="auto"/>
          <w:sz w:val="24"/>
          <w:highlight w:val="none"/>
        </w:rPr>
      </w:pPr>
    </w:p>
    <w:p>
      <w:pPr>
        <w:snapToGrid w:val="0"/>
        <w:spacing w:before="50" w:after="120" w:afterLines="50"/>
        <w:jc w:val="left"/>
        <w:rPr>
          <w:rFonts w:hint="eastAsia" w:ascii="宋体" w:hAnsi="宋体"/>
          <w:color w:val="auto"/>
          <w:sz w:val="24"/>
          <w:highlight w:val="none"/>
          <w:u w:val="single"/>
        </w:rPr>
      </w:pPr>
      <w:r>
        <w:rPr>
          <w:rFonts w:hint="eastAsia" w:ascii="宋体" w:hAnsi="宋体"/>
          <w:color w:val="auto"/>
          <w:sz w:val="24"/>
          <w:highlight w:val="none"/>
        </w:rPr>
        <w:t>法定代表人或委托代理人签字：</w:t>
      </w:r>
      <w:r>
        <w:rPr>
          <w:rFonts w:hint="eastAsia" w:ascii="宋体" w:hAnsi="宋体"/>
          <w:color w:val="auto"/>
          <w:sz w:val="24"/>
          <w:highlight w:val="none"/>
          <w:u w:val="single"/>
        </w:rPr>
        <w:t xml:space="preserve">            </w:t>
      </w:r>
    </w:p>
    <w:p>
      <w:pPr>
        <w:snapToGrid w:val="0"/>
        <w:spacing w:before="50" w:after="120" w:afterLines="50"/>
        <w:jc w:val="left"/>
        <w:rPr>
          <w:rFonts w:hint="eastAsia" w:ascii="宋体" w:hAnsi="宋体"/>
          <w:color w:val="auto"/>
          <w:sz w:val="24"/>
          <w:highlight w:val="non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before="50" w:after="50"/>
        <w:rPr>
          <w:rFonts w:hint="eastAsia"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color w:val="auto"/>
          <w:highlight w:val="none"/>
        </w:rPr>
      </w:pPr>
      <w:r>
        <w:rPr>
          <w:rFonts w:hint="eastAsia" w:ascii="宋体" w:hAnsi="宋体"/>
          <w:b/>
          <w:color w:val="auto"/>
          <w:sz w:val="24"/>
          <w:highlight w:val="none"/>
        </w:rPr>
        <w:t xml:space="preserve"> 中小企业声明函格式</w:t>
      </w:r>
    </w:p>
    <w:p>
      <w:pPr>
        <w:rPr>
          <w:rFonts w:hint="eastAsia"/>
          <w:color w:val="auto"/>
          <w:highlight w:val="none"/>
        </w:rPr>
      </w:pPr>
    </w:p>
    <w:p>
      <w:pPr>
        <w:spacing w:line="588" w:lineRule="exact"/>
        <w:jc w:val="center"/>
        <w:rPr>
          <w:rFonts w:hint="eastAsia"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中小企业声明函</w:t>
      </w:r>
    </w:p>
    <w:p>
      <w:pPr>
        <w:spacing w:line="588" w:lineRule="exact"/>
        <w:rPr>
          <w:rFonts w:hint="eastAsia" w:ascii="仿宋_GB2312" w:eastAsia="仿宋_GB2312"/>
          <w:b/>
          <w:color w:val="auto"/>
          <w:spacing w:val="6"/>
          <w:sz w:val="30"/>
          <w:szCs w:val="30"/>
          <w:highlight w:val="none"/>
        </w:rPr>
      </w:pPr>
    </w:p>
    <w:p>
      <w:pPr>
        <w:spacing w:line="588" w:lineRule="exact"/>
        <w:ind w:firstLine="504" w:firstLineChars="200"/>
        <w:rPr>
          <w:rFonts w:hint="eastAsia" w:ascii="宋体" w:hAnsi="宋体"/>
          <w:color w:val="auto"/>
          <w:spacing w:val="6"/>
          <w:sz w:val="24"/>
          <w:highlight w:val="none"/>
        </w:rPr>
      </w:pPr>
      <w:r>
        <w:rPr>
          <w:rFonts w:hint="eastAsia" w:ascii="宋体" w:hAnsi="宋体"/>
          <w:color w:val="auto"/>
          <w:spacing w:val="6"/>
          <w:sz w:val="24"/>
          <w:highlight w:val="none"/>
        </w:rPr>
        <w:t>本公司郑重声明，根据《政府采购促进中小企业发展暂行办法》（财库[2011]181号）的规定，本公司为______（请填写：中型、小型、微型）企业。即本公司同时满足以下条件：</w:t>
      </w:r>
    </w:p>
    <w:p>
      <w:pPr>
        <w:spacing w:line="588" w:lineRule="exact"/>
        <w:ind w:firstLine="504" w:firstLineChars="200"/>
        <w:rPr>
          <w:rFonts w:hint="eastAsia" w:ascii="宋体" w:hAnsi="宋体"/>
          <w:color w:val="auto"/>
          <w:spacing w:val="6"/>
          <w:sz w:val="24"/>
          <w:highlight w:val="none"/>
        </w:rPr>
      </w:pPr>
      <w:r>
        <w:rPr>
          <w:rFonts w:hint="eastAsia" w:ascii="宋体" w:hAnsi="宋体"/>
          <w:color w:val="auto"/>
          <w:spacing w:val="6"/>
          <w:sz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504" w:firstLineChars="200"/>
        <w:rPr>
          <w:rFonts w:hint="eastAsia" w:ascii="宋体" w:hAnsi="宋体"/>
          <w:color w:val="auto"/>
          <w:spacing w:val="6"/>
          <w:sz w:val="24"/>
          <w:highlight w:val="none"/>
        </w:rPr>
      </w:pPr>
      <w:r>
        <w:rPr>
          <w:rFonts w:hint="eastAsia" w:ascii="宋体" w:hAnsi="宋体"/>
          <w:color w:val="auto"/>
          <w:spacing w:val="6"/>
          <w:sz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504" w:firstLineChars="200"/>
        <w:rPr>
          <w:rFonts w:hint="eastAsia" w:ascii="宋体" w:hAnsi="宋体"/>
          <w:color w:val="auto"/>
          <w:spacing w:val="6"/>
          <w:sz w:val="24"/>
          <w:highlight w:val="none"/>
        </w:rPr>
      </w:pPr>
      <w:r>
        <w:rPr>
          <w:rFonts w:hint="eastAsia" w:ascii="宋体" w:hAnsi="宋体"/>
          <w:color w:val="auto"/>
          <w:spacing w:val="6"/>
          <w:sz w:val="24"/>
          <w:highlight w:val="none"/>
        </w:rPr>
        <w:t>本公司对上述声明的真实性负责。如有虚假，将依法承担相应责任。</w:t>
      </w:r>
    </w:p>
    <w:p>
      <w:pPr>
        <w:spacing w:line="588" w:lineRule="exact"/>
        <w:ind w:firstLine="504" w:firstLineChars="200"/>
        <w:rPr>
          <w:rFonts w:hint="eastAsia" w:ascii="宋体" w:hAnsi="宋体"/>
          <w:color w:val="auto"/>
          <w:spacing w:val="6"/>
          <w:sz w:val="24"/>
          <w:highlight w:val="none"/>
        </w:rPr>
      </w:pPr>
    </w:p>
    <w:p>
      <w:pPr>
        <w:spacing w:line="588" w:lineRule="exact"/>
        <w:ind w:firstLine="504" w:firstLineChars="200"/>
        <w:rPr>
          <w:rFonts w:hint="eastAsia" w:ascii="宋体" w:hAnsi="宋体"/>
          <w:color w:val="auto"/>
          <w:spacing w:val="6"/>
          <w:sz w:val="24"/>
          <w:highlight w:val="none"/>
        </w:rPr>
      </w:pPr>
    </w:p>
    <w:p>
      <w:pPr>
        <w:tabs>
          <w:tab w:val="left" w:pos="4860"/>
        </w:tabs>
        <w:spacing w:line="588" w:lineRule="exact"/>
        <w:ind w:right="1560" w:firstLine="504" w:firstLineChars="200"/>
        <w:jc w:val="center"/>
        <w:rPr>
          <w:rFonts w:hint="eastAsia" w:ascii="宋体" w:hAnsi="宋体"/>
          <w:color w:val="auto"/>
          <w:spacing w:val="6"/>
          <w:sz w:val="24"/>
          <w:highlight w:val="none"/>
        </w:rPr>
      </w:pPr>
      <w:r>
        <w:rPr>
          <w:rFonts w:hint="eastAsia" w:ascii="宋体" w:hAnsi="宋体"/>
          <w:color w:val="auto"/>
          <w:spacing w:val="6"/>
          <w:sz w:val="24"/>
          <w:highlight w:val="none"/>
        </w:rPr>
        <w:t xml:space="preserve">               企业名称（盖章）： </w:t>
      </w:r>
    </w:p>
    <w:p>
      <w:pPr>
        <w:rPr>
          <w:rFonts w:hint="eastAsia" w:ascii="宋体" w:hAnsi="宋体"/>
          <w:color w:val="auto"/>
          <w:sz w:val="24"/>
          <w:highlight w:val="none"/>
        </w:rPr>
      </w:pPr>
      <w:r>
        <w:rPr>
          <w:rFonts w:hint="eastAsia" w:ascii="宋体" w:hAnsi="宋体"/>
          <w:color w:val="auto"/>
          <w:spacing w:val="6"/>
          <w:sz w:val="24"/>
          <w:highlight w:val="none"/>
        </w:rPr>
        <w:t xml:space="preserve">                               日  期：         </w:t>
      </w: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color w:val="auto"/>
          <w:highlight w:val="none"/>
        </w:rPr>
      </w:pPr>
      <w:r>
        <w:rPr>
          <w:rFonts w:hint="eastAsia" w:ascii="宋体" w:hAnsi="宋体"/>
          <w:color w:val="auto"/>
          <w:sz w:val="24"/>
          <w:highlight w:val="none"/>
        </w:rPr>
        <w:t>注：请根据自己的真实情况出具《中小企业声明函》。依法享受中小企业优惠政策的，采购人或采购代理机构在公告中标结果时，同时公告其《中小企业声明函》，接受社会监督。</w:t>
      </w:r>
      <w:r>
        <w:rPr>
          <w:color w:val="auto"/>
          <w:highlight w:val="none"/>
        </w:rPr>
        <w:br w:type="page"/>
      </w:r>
    </w:p>
    <w:p>
      <w:pPr>
        <w:snapToGrid w:val="0"/>
        <w:spacing w:before="120" w:beforeLines="50" w:after="50"/>
        <w:ind w:left="142"/>
        <w:jc w:val="left"/>
        <w:rPr>
          <w:rFonts w:hint="eastAsia" w:ascii="宋体" w:hAnsi="宋体"/>
          <w:b/>
          <w:color w:val="auto"/>
          <w:sz w:val="24"/>
          <w:highlight w:val="none"/>
        </w:rPr>
      </w:pPr>
      <w:r>
        <w:rPr>
          <w:rFonts w:hint="eastAsia" w:ascii="宋体" w:hAnsi="宋体"/>
          <w:b/>
          <w:color w:val="auto"/>
          <w:sz w:val="24"/>
          <w:highlight w:val="none"/>
        </w:rPr>
        <w:t>残疾人福利性单位声明函格式</w:t>
      </w:r>
    </w:p>
    <w:p>
      <w:pPr>
        <w:spacing w:line="588" w:lineRule="exact"/>
        <w:jc w:val="center"/>
        <w:rPr>
          <w:rFonts w:hint="eastAsia" w:ascii="仿宋_GB2312" w:eastAsia="仿宋_GB2312"/>
          <w:b/>
          <w:color w:val="auto"/>
          <w:spacing w:val="6"/>
          <w:sz w:val="32"/>
          <w:szCs w:val="32"/>
          <w:highlight w:val="none"/>
        </w:rPr>
      </w:pPr>
    </w:p>
    <w:p>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残疾人福利性单位声明函</w:t>
      </w:r>
    </w:p>
    <w:p>
      <w:pPr>
        <w:spacing w:line="588" w:lineRule="exact"/>
        <w:rPr>
          <w:rFonts w:ascii="仿宋_GB2312" w:eastAsia="仿宋_GB2312"/>
          <w:b/>
          <w:color w:val="auto"/>
          <w:spacing w:val="6"/>
          <w:sz w:val="30"/>
          <w:szCs w:val="30"/>
          <w:highlight w:val="none"/>
        </w:rPr>
      </w:pP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588" w:lineRule="exact"/>
        <w:ind w:firstLine="504" w:firstLineChars="200"/>
        <w:rPr>
          <w:rFonts w:ascii="宋体" w:hAnsi="宋体"/>
          <w:color w:val="auto"/>
          <w:spacing w:val="6"/>
          <w:sz w:val="24"/>
          <w:highlight w:val="none"/>
        </w:rPr>
      </w:pPr>
    </w:p>
    <w:p>
      <w:pPr>
        <w:spacing w:line="588" w:lineRule="exact"/>
        <w:ind w:firstLine="504" w:firstLineChars="200"/>
        <w:rPr>
          <w:rFonts w:ascii="宋体" w:hAnsi="宋体"/>
          <w:color w:val="auto"/>
          <w:spacing w:val="6"/>
          <w:sz w:val="24"/>
          <w:highlight w:val="none"/>
        </w:rPr>
      </w:pP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单位名称（盖章）：</w:t>
      </w: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日  期：</w:t>
      </w:r>
    </w:p>
    <w:p>
      <w:pPr>
        <w:rPr>
          <w:rFonts w:ascii="宋体" w:hAnsi="宋体"/>
          <w:color w:val="auto"/>
          <w:sz w:val="24"/>
          <w:highlight w:val="none"/>
        </w:rPr>
      </w:pPr>
    </w:p>
    <w:p>
      <w:pPr>
        <w:rPr>
          <w:rFonts w:hint="eastAsia" w:ascii="宋体" w:hAnsi="宋体"/>
          <w:color w:val="auto"/>
          <w:sz w:val="24"/>
          <w:highlight w:val="none"/>
        </w:rPr>
      </w:pPr>
    </w:p>
    <w:p>
      <w:pPr>
        <w:rPr>
          <w:rFonts w:ascii="宋体" w:hAnsi="宋体"/>
          <w:color w:val="auto"/>
          <w:sz w:val="24"/>
          <w:highlight w:val="none"/>
        </w:rPr>
      </w:pPr>
    </w:p>
    <w:p>
      <w:pPr>
        <w:rPr>
          <w:rFonts w:hint="eastAsia"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注：请根据自己的真实情况出具《残疾人福利性单位声明函》。依法享受中小企业优惠政策的，采购人或采购代理机构在公告中标结果时，同时公告其《残疾人福利性单位声明函》，接受社会监督。</w:t>
      </w:r>
    </w:p>
    <w:sectPr>
      <w:footerReference r:id="rId10" w:type="first"/>
      <w:headerReference r:id="rId7" w:type="default"/>
      <w:footerReference r:id="rId8" w:type="default"/>
      <w:footerReference r:id="rId9" w:type="even"/>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45</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81</w:t>
    </w:r>
    <w:r>
      <w:fldChar w:fldCharType="end"/>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end"/>
    </w:r>
  </w:p>
  <w:p>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r>
      <w:fldChar w:fldCharType="begin"/>
    </w:r>
    <w:r>
      <w:rPr>
        <w:rStyle w:val="48"/>
      </w:rPr>
      <w:instrText xml:space="preserve">PAGE  </w:instrText>
    </w:r>
    <w:r>
      <w:fldChar w:fldCharType="separate"/>
    </w:r>
    <w:r>
      <w:rPr>
        <w:rStyle w:val="48"/>
      </w:rPr>
      <w:t>122</w:t>
    </w:r>
    <w:r>
      <w:fldChar w:fldCharType="end"/>
    </w:r>
  </w:p>
  <w:p>
    <w:pPr>
      <w:pStyle w:val="29"/>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180" w:firstLineChars="100"/>
      <w:jc w:val="both"/>
      <w:rPr>
        <w:rFonts w:hint="eastAsia" w:ascii="宋体" w:hAnsi="宋体"/>
        <w:lang w:eastAsia="zh-CN"/>
      </w:rPr>
    </w:pPr>
    <w:r>
      <w:rPr>
        <w:rFonts w:hint="eastAsia" w:ascii="宋体" w:hAnsi="宋体"/>
      </w:rPr>
      <w:t>项目名称：</w:t>
    </w:r>
    <w:r>
      <w:rPr>
        <w:rFonts w:hint="eastAsia" w:ascii="宋体" w:hAnsi="宋体"/>
        <w:lang w:eastAsia="zh-CN"/>
      </w:rPr>
      <w:t>北流市人民医院应对突发公共卫生事件能力提升工程项目设备（32排CT）采购</w:t>
    </w:r>
  </w:p>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180" w:firstLineChars="100"/>
      <w:jc w:val="both"/>
      <w:rPr>
        <w:rFonts w:hint="eastAsia" w:ascii="宋体" w:hAnsi="宋体" w:eastAsia="宋体"/>
        <w:lang w:eastAsia="zh-CN"/>
      </w:rPr>
    </w:pPr>
    <w:r>
      <w:rPr>
        <w:rFonts w:hint="eastAsia" w:ascii="宋体" w:hAnsi="宋体"/>
      </w:rPr>
      <w:t>项目名称：</w:t>
    </w:r>
    <w:r>
      <w:rPr>
        <w:rFonts w:hint="eastAsia" w:ascii="宋体" w:hAnsi="宋体"/>
        <w:lang w:eastAsia="zh-CN"/>
      </w:rPr>
      <w:t>北流市人民医院应对突发公共卫生事件能力提升工程项目设备（32排CT）采购</w:t>
    </w:r>
    <w:r>
      <w:rPr>
        <w:rFonts w:hint="eastAsia" w:ascii="宋体" w:hAnsi="宋体"/>
      </w:rPr>
      <w:t xml:space="preserve">      </w:t>
    </w:r>
    <w:r>
      <w:rPr>
        <w:rFonts w:hint="eastAsia" w:ascii="宋体" w:hAnsi="宋体"/>
        <w:lang w:eastAsia="zh-CN"/>
      </w:rPr>
      <w:t xml:space="preserve">     </w:t>
    </w:r>
    <w:r>
      <w:rPr>
        <w:rFonts w:hint="eastAsia" w:ascii="宋体" w:hAnsi="宋体"/>
      </w:rPr>
      <w:t xml:space="preserve"> 项目编号：</w:t>
    </w:r>
    <w:r>
      <w:rPr>
        <w:rFonts w:hint="eastAsia" w:ascii="宋体" w:hAnsi="宋体"/>
        <w:lang w:eastAsia="zh-CN"/>
      </w:rPr>
      <w:t>YLZC2020-G1-810284-YLCH</w:t>
    </w:r>
  </w:p>
  <w:p>
    <w:pPr>
      <w:pStyle w:val="30"/>
      <w:pBdr>
        <w:bottom w:val="none" w:color="auto" w:sz="0" w:space="0"/>
      </w:pBdr>
      <w:jc w:val="both"/>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1">
    <w:nsid w:val="05CE101D"/>
    <w:multiLevelType w:val="singleLevel"/>
    <w:tmpl w:val="05CE101D"/>
    <w:lvl w:ilvl="0" w:tentative="0">
      <w:start w:val="1"/>
      <w:numFmt w:val="decimal"/>
      <w:suff w:val="nothing"/>
      <w:lvlText w:val="（%1）"/>
      <w:lvlJc w:val="left"/>
    </w:lvl>
  </w:abstractNum>
  <w:abstractNum w:abstractNumId="2">
    <w:nsid w:val="21D5E23B"/>
    <w:multiLevelType w:val="singleLevel"/>
    <w:tmpl w:val="21D5E23B"/>
    <w:lvl w:ilvl="0" w:tentative="0">
      <w:start w:val="1"/>
      <w:numFmt w:val="decimal"/>
      <w:suff w:val="nothing"/>
      <w:lvlText w:val="（%1）"/>
      <w:lvlJc w:val="left"/>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4">
    <w:nsid w:val="44562E0D"/>
    <w:multiLevelType w:val="singleLevel"/>
    <w:tmpl w:val="44562E0D"/>
    <w:lvl w:ilvl="0" w:tentative="0">
      <w:start w:val="1"/>
      <w:numFmt w:val="chineseCounting"/>
      <w:suff w:val="nothing"/>
      <w:lvlText w:val="%1、"/>
      <w:lvlJc w:val="left"/>
      <w:rPr>
        <w:rFonts w:hint="eastAsia"/>
      </w:rPr>
    </w:lvl>
  </w:abstractNum>
  <w:abstractNum w:abstractNumId="5">
    <w:nsid w:val="4C601917"/>
    <w:multiLevelType w:val="singleLevel"/>
    <w:tmpl w:val="4C601917"/>
    <w:lvl w:ilvl="0" w:tentative="0">
      <w:start w:val="1"/>
      <w:numFmt w:val="decimal"/>
      <w:suff w:val="nothing"/>
      <w:lvlText w:val="（%1）"/>
      <w:lvlJc w:val="left"/>
    </w:lvl>
  </w:abstractNum>
  <w:abstractNum w:abstractNumId="6">
    <w:nsid w:val="5FABD14B"/>
    <w:multiLevelType w:val="singleLevel"/>
    <w:tmpl w:val="5FABD14B"/>
    <w:lvl w:ilvl="0" w:tentative="0">
      <w:start w:val="1"/>
      <w:numFmt w:val="decimal"/>
      <w:suff w:val="nothing"/>
      <w:lvlText w:val="（%1）"/>
      <w:lvlJc w:val="left"/>
    </w:lvl>
  </w:abstractNum>
  <w:abstractNum w:abstractNumId="7">
    <w:nsid w:val="69896DB1"/>
    <w:multiLevelType w:val="multilevel"/>
    <w:tmpl w:val="69896DB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3"/>
  </w:num>
  <w:num w:numId="2">
    <w:abstractNumId w:val="0"/>
  </w:num>
  <w:num w:numId="3">
    <w:abstractNumId w:val="4"/>
  </w:num>
  <w:num w:numId="4">
    <w:abstractNumId w:val="2"/>
  </w:num>
  <w:num w:numId="5">
    <w:abstractNumId w:val="1"/>
  </w:num>
  <w:num w:numId="6">
    <w:abstractNumId w:val="5"/>
  </w:num>
  <w:num w:numId="7">
    <w:abstractNumId w:val="6"/>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08B"/>
    <w:rsid w:val="00000DDD"/>
    <w:rsid w:val="00000FE0"/>
    <w:rsid w:val="00001068"/>
    <w:rsid w:val="0000114A"/>
    <w:rsid w:val="00001AA7"/>
    <w:rsid w:val="00001C55"/>
    <w:rsid w:val="00001CA8"/>
    <w:rsid w:val="00001FAE"/>
    <w:rsid w:val="00002291"/>
    <w:rsid w:val="000027CB"/>
    <w:rsid w:val="00002DBF"/>
    <w:rsid w:val="00002EC0"/>
    <w:rsid w:val="000033F5"/>
    <w:rsid w:val="00003BEF"/>
    <w:rsid w:val="0000431F"/>
    <w:rsid w:val="00004634"/>
    <w:rsid w:val="000059E2"/>
    <w:rsid w:val="00006AE7"/>
    <w:rsid w:val="00006B9B"/>
    <w:rsid w:val="00006C35"/>
    <w:rsid w:val="00006FFC"/>
    <w:rsid w:val="000072B1"/>
    <w:rsid w:val="00007329"/>
    <w:rsid w:val="00007E28"/>
    <w:rsid w:val="00007E84"/>
    <w:rsid w:val="00010401"/>
    <w:rsid w:val="000105A1"/>
    <w:rsid w:val="000107AD"/>
    <w:rsid w:val="00010835"/>
    <w:rsid w:val="00010865"/>
    <w:rsid w:val="00011842"/>
    <w:rsid w:val="00012137"/>
    <w:rsid w:val="000121FF"/>
    <w:rsid w:val="000125B8"/>
    <w:rsid w:val="00012692"/>
    <w:rsid w:val="00013446"/>
    <w:rsid w:val="00013509"/>
    <w:rsid w:val="000135BC"/>
    <w:rsid w:val="000136D6"/>
    <w:rsid w:val="00014085"/>
    <w:rsid w:val="0001443F"/>
    <w:rsid w:val="00014DD9"/>
    <w:rsid w:val="000151E4"/>
    <w:rsid w:val="00015577"/>
    <w:rsid w:val="000156E4"/>
    <w:rsid w:val="000159A7"/>
    <w:rsid w:val="00015FB8"/>
    <w:rsid w:val="00016BF7"/>
    <w:rsid w:val="0001767E"/>
    <w:rsid w:val="0001776D"/>
    <w:rsid w:val="00017F31"/>
    <w:rsid w:val="00020D6C"/>
    <w:rsid w:val="0002103A"/>
    <w:rsid w:val="000217E4"/>
    <w:rsid w:val="00021852"/>
    <w:rsid w:val="00021A12"/>
    <w:rsid w:val="00023363"/>
    <w:rsid w:val="000235F3"/>
    <w:rsid w:val="00023644"/>
    <w:rsid w:val="00023712"/>
    <w:rsid w:val="00023D06"/>
    <w:rsid w:val="00024EB0"/>
    <w:rsid w:val="0002646A"/>
    <w:rsid w:val="0002651D"/>
    <w:rsid w:val="00026CFD"/>
    <w:rsid w:val="00027C8B"/>
    <w:rsid w:val="00027CD9"/>
    <w:rsid w:val="00030242"/>
    <w:rsid w:val="00030B06"/>
    <w:rsid w:val="00030B63"/>
    <w:rsid w:val="00031663"/>
    <w:rsid w:val="00032185"/>
    <w:rsid w:val="0003282C"/>
    <w:rsid w:val="0003304A"/>
    <w:rsid w:val="0003317E"/>
    <w:rsid w:val="00033413"/>
    <w:rsid w:val="00034945"/>
    <w:rsid w:val="00034C27"/>
    <w:rsid w:val="00034E2A"/>
    <w:rsid w:val="00034FEE"/>
    <w:rsid w:val="0003577F"/>
    <w:rsid w:val="00036466"/>
    <w:rsid w:val="00036C5B"/>
    <w:rsid w:val="00037F87"/>
    <w:rsid w:val="00037FA2"/>
    <w:rsid w:val="000400D0"/>
    <w:rsid w:val="000425AC"/>
    <w:rsid w:val="00042F4A"/>
    <w:rsid w:val="00043BE5"/>
    <w:rsid w:val="00044527"/>
    <w:rsid w:val="00044897"/>
    <w:rsid w:val="000454F4"/>
    <w:rsid w:val="000457D9"/>
    <w:rsid w:val="000459B5"/>
    <w:rsid w:val="000459F1"/>
    <w:rsid w:val="00045EF4"/>
    <w:rsid w:val="00046547"/>
    <w:rsid w:val="000466D7"/>
    <w:rsid w:val="00047254"/>
    <w:rsid w:val="0005022B"/>
    <w:rsid w:val="00050771"/>
    <w:rsid w:val="00051004"/>
    <w:rsid w:val="000522E0"/>
    <w:rsid w:val="000532F4"/>
    <w:rsid w:val="00054CD5"/>
    <w:rsid w:val="00054D03"/>
    <w:rsid w:val="000550AC"/>
    <w:rsid w:val="0005584D"/>
    <w:rsid w:val="00055CC3"/>
    <w:rsid w:val="00055CEE"/>
    <w:rsid w:val="00056A2B"/>
    <w:rsid w:val="00056E37"/>
    <w:rsid w:val="00056FE2"/>
    <w:rsid w:val="000570FB"/>
    <w:rsid w:val="000575B8"/>
    <w:rsid w:val="0006026B"/>
    <w:rsid w:val="00060293"/>
    <w:rsid w:val="00060F59"/>
    <w:rsid w:val="00061BDA"/>
    <w:rsid w:val="00062B90"/>
    <w:rsid w:val="00062C70"/>
    <w:rsid w:val="00062DD0"/>
    <w:rsid w:val="00062E6F"/>
    <w:rsid w:val="000630C7"/>
    <w:rsid w:val="00063A43"/>
    <w:rsid w:val="0006400F"/>
    <w:rsid w:val="000645DD"/>
    <w:rsid w:val="00064D7E"/>
    <w:rsid w:val="00064F65"/>
    <w:rsid w:val="00064FD0"/>
    <w:rsid w:val="0006534A"/>
    <w:rsid w:val="00065A5D"/>
    <w:rsid w:val="00065BA2"/>
    <w:rsid w:val="000661CA"/>
    <w:rsid w:val="00067002"/>
    <w:rsid w:val="00067A17"/>
    <w:rsid w:val="00067B1C"/>
    <w:rsid w:val="00067CED"/>
    <w:rsid w:val="00067F66"/>
    <w:rsid w:val="0007041A"/>
    <w:rsid w:val="00070634"/>
    <w:rsid w:val="00070645"/>
    <w:rsid w:val="00070883"/>
    <w:rsid w:val="00070C3F"/>
    <w:rsid w:val="0007102C"/>
    <w:rsid w:val="00071D68"/>
    <w:rsid w:val="00071DA4"/>
    <w:rsid w:val="00072661"/>
    <w:rsid w:val="00072CCC"/>
    <w:rsid w:val="00073549"/>
    <w:rsid w:val="0007483E"/>
    <w:rsid w:val="0007578F"/>
    <w:rsid w:val="00077706"/>
    <w:rsid w:val="00077878"/>
    <w:rsid w:val="000804EF"/>
    <w:rsid w:val="00081230"/>
    <w:rsid w:val="000814E2"/>
    <w:rsid w:val="000818C9"/>
    <w:rsid w:val="00081CBB"/>
    <w:rsid w:val="00081D42"/>
    <w:rsid w:val="000826F5"/>
    <w:rsid w:val="000828ED"/>
    <w:rsid w:val="00082961"/>
    <w:rsid w:val="000829B1"/>
    <w:rsid w:val="00082AAB"/>
    <w:rsid w:val="0008307D"/>
    <w:rsid w:val="000831E9"/>
    <w:rsid w:val="000833BB"/>
    <w:rsid w:val="0008452D"/>
    <w:rsid w:val="0008467B"/>
    <w:rsid w:val="000850FA"/>
    <w:rsid w:val="00085C12"/>
    <w:rsid w:val="00085DA0"/>
    <w:rsid w:val="00085F82"/>
    <w:rsid w:val="00086506"/>
    <w:rsid w:val="00086B6E"/>
    <w:rsid w:val="00086C64"/>
    <w:rsid w:val="00086EF4"/>
    <w:rsid w:val="0008781A"/>
    <w:rsid w:val="00090951"/>
    <w:rsid w:val="00090A61"/>
    <w:rsid w:val="00091C1D"/>
    <w:rsid w:val="000932E7"/>
    <w:rsid w:val="0009333A"/>
    <w:rsid w:val="00093459"/>
    <w:rsid w:val="00093B8B"/>
    <w:rsid w:val="000951E7"/>
    <w:rsid w:val="00095CCD"/>
    <w:rsid w:val="00096098"/>
    <w:rsid w:val="00096F37"/>
    <w:rsid w:val="00097820"/>
    <w:rsid w:val="00097FE5"/>
    <w:rsid w:val="000A0354"/>
    <w:rsid w:val="000A091F"/>
    <w:rsid w:val="000A0FCC"/>
    <w:rsid w:val="000A1033"/>
    <w:rsid w:val="000A17DE"/>
    <w:rsid w:val="000A1E1F"/>
    <w:rsid w:val="000A2712"/>
    <w:rsid w:val="000A2877"/>
    <w:rsid w:val="000A355D"/>
    <w:rsid w:val="000A371E"/>
    <w:rsid w:val="000A3DE5"/>
    <w:rsid w:val="000A4011"/>
    <w:rsid w:val="000A45D5"/>
    <w:rsid w:val="000A490E"/>
    <w:rsid w:val="000A5B49"/>
    <w:rsid w:val="000A5BF1"/>
    <w:rsid w:val="000A63CE"/>
    <w:rsid w:val="000A67B3"/>
    <w:rsid w:val="000A7218"/>
    <w:rsid w:val="000A740A"/>
    <w:rsid w:val="000A7E7F"/>
    <w:rsid w:val="000A7ECD"/>
    <w:rsid w:val="000B04DD"/>
    <w:rsid w:val="000B0F01"/>
    <w:rsid w:val="000B1914"/>
    <w:rsid w:val="000B1CA2"/>
    <w:rsid w:val="000B2293"/>
    <w:rsid w:val="000B24A4"/>
    <w:rsid w:val="000B255C"/>
    <w:rsid w:val="000B395E"/>
    <w:rsid w:val="000B39C3"/>
    <w:rsid w:val="000B3A00"/>
    <w:rsid w:val="000B4840"/>
    <w:rsid w:val="000B4D79"/>
    <w:rsid w:val="000B7DAF"/>
    <w:rsid w:val="000C071C"/>
    <w:rsid w:val="000C0BEE"/>
    <w:rsid w:val="000C1B36"/>
    <w:rsid w:val="000C1CB9"/>
    <w:rsid w:val="000C2159"/>
    <w:rsid w:val="000C21BB"/>
    <w:rsid w:val="000C289B"/>
    <w:rsid w:val="000C4773"/>
    <w:rsid w:val="000C4944"/>
    <w:rsid w:val="000C4E24"/>
    <w:rsid w:val="000C5767"/>
    <w:rsid w:val="000C5C4A"/>
    <w:rsid w:val="000C5F01"/>
    <w:rsid w:val="000C63C4"/>
    <w:rsid w:val="000C66C1"/>
    <w:rsid w:val="000C6F0B"/>
    <w:rsid w:val="000C6F32"/>
    <w:rsid w:val="000C778C"/>
    <w:rsid w:val="000C7833"/>
    <w:rsid w:val="000C7E1B"/>
    <w:rsid w:val="000C7E73"/>
    <w:rsid w:val="000C7F1F"/>
    <w:rsid w:val="000D001B"/>
    <w:rsid w:val="000D0A45"/>
    <w:rsid w:val="000D14AC"/>
    <w:rsid w:val="000D35FD"/>
    <w:rsid w:val="000D3D2D"/>
    <w:rsid w:val="000D3D99"/>
    <w:rsid w:val="000D4653"/>
    <w:rsid w:val="000D4696"/>
    <w:rsid w:val="000D4817"/>
    <w:rsid w:val="000D4C18"/>
    <w:rsid w:val="000D4FB9"/>
    <w:rsid w:val="000D54B4"/>
    <w:rsid w:val="000D5F55"/>
    <w:rsid w:val="000D6372"/>
    <w:rsid w:val="000D6979"/>
    <w:rsid w:val="000D6E63"/>
    <w:rsid w:val="000D711C"/>
    <w:rsid w:val="000D7B6E"/>
    <w:rsid w:val="000E0644"/>
    <w:rsid w:val="000E076D"/>
    <w:rsid w:val="000E187C"/>
    <w:rsid w:val="000E1B28"/>
    <w:rsid w:val="000E1EBC"/>
    <w:rsid w:val="000E2173"/>
    <w:rsid w:val="000E2946"/>
    <w:rsid w:val="000E30F2"/>
    <w:rsid w:val="000E316B"/>
    <w:rsid w:val="000E3D08"/>
    <w:rsid w:val="000E4728"/>
    <w:rsid w:val="000E4D1F"/>
    <w:rsid w:val="000E5267"/>
    <w:rsid w:val="000E54E1"/>
    <w:rsid w:val="000E5658"/>
    <w:rsid w:val="000E5698"/>
    <w:rsid w:val="000E5723"/>
    <w:rsid w:val="000E581B"/>
    <w:rsid w:val="000E65D2"/>
    <w:rsid w:val="000E6919"/>
    <w:rsid w:val="000E6F0C"/>
    <w:rsid w:val="000E732D"/>
    <w:rsid w:val="000F07ED"/>
    <w:rsid w:val="000F0CF2"/>
    <w:rsid w:val="000F128A"/>
    <w:rsid w:val="000F1D15"/>
    <w:rsid w:val="000F2A70"/>
    <w:rsid w:val="000F34C8"/>
    <w:rsid w:val="000F38BC"/>
    <w:rsid w:val="000F3E2A"/>
    <w:rsid w:val="000F4D26"/>
    <w:rsid w:val="000F58A4"/>
    <w:rsid w:val="000F6833"/>
    <w:rsid w:val="000F7616"/>
    <w:rsid w:val="000F7DE9"/>
    <w:rsid w:val="000F7F7A"/>
    <w:rsid w:val="001002F4"/>
    <w:rsid w:val="00100FDE"/>
    <w:rsid w:val="001011FC"/>
    <w:rsid w:val="00101E7C"/>
    <w:rsid w:val="00102118"/>
    <w:rsid w:val="001023DC"/>
    <w:rsid w:val="00102572"/>
    <w:rsid w:val="00102946"/>
    <w:rsid w:val="00102FBF"/>
    <w:rsid w:val="0010333D"/>
    <w:rsid w:val="0010372A"/>
    <w:rsid w:val="00103F41"/>
    <w:rsid w:val="00104F34"/>
    <w:rsid w:val="00105293"/>
    <w:rsid w:val="001053C5"/>
    <w:rsid w:val="001055AD"/>
    <w:rsid w:val="00105C14"/>
    <w:rsid w:val="00107DDD"/>
    <w:rsid w:val="00110AC5"/>
    <w:rsid w:val="0011108B"/>
    <w:rsid w:val="00111136"/>
    <w:rsid w:val="00111164"/>
    <w:rsid w:val="00112164"/>
    <w:rsid w:val="0011241F"/>
    <w:rsid w:val="001128BF"/>
    <w:rsid w:val="00112D09"/>
    <w:rsid w:val="00112F03"/>
    <w:rsid w:val="00112F38"/>
    <w:rsid w:val="0011449E"/>
    <w:rsid w:val="001149B9"/>
    <w:rsid w:val="001151D7"/>
    <w:rsid w:val="001153EF"/>
    <w:rsid w:val="00115754"/>
    <w:rsid w:val="00115D55"/>
    <w:rsid w:val="00115E45"/>
    <w:rsid w:val="00115F85"/>
    <w:rsid w:val="00116803"/>
    <w:rsid w:val="0011688E"/>
    <w:rsid w:val="001169AC"/>
    <w:rsid w:val="00117B7D"/>
    <w:rsid w:val="00121B9F"/>
    <w:rsid w:val="00122A64"/>
    <w:rsid w:val="00122C9A"/>
    <w:rsid w:val="0012388C"/>
    <w:rsid w:val="00123AFA"/>
    <w:rsid w:val="00123C8C"/>
    <w:rsid w:val="00123E8B"/>
    <w:rsid w:val="00124B43"/>
    <w:rsid w:val="00124DF8"/>
    <w:rsid w:val="001253EA"/>
    <w:rsid w:val="0012544B"/>
    <w:rsid w:val="00125B99"/>
    <w:rsid w:val="00126160"/>
    <w:rsid w:val="00126DB5"/>
    <w:rsid w:val="00127178"/>
    <w:rsid w:val="0013002A"/>
    <w:rsid w:val="0013085D"/>
    <w:rsid w:val="0013089C"/>
    <w:rsid w:val="00131888"/>
    <w:rsid w:val="00131A24"/>
    <w:rsid w:val="00131D31"/>
    <w:rsid w:val="00131F17"/>
    <w:rsid w:val="001323F9"/>
    <w:rsid w:val="0013251F"/>
    <w:rsid w:val="00133088"/>
    <w:rsid w:val="00133346"/>
    <w:rsid w:val="001346AF"/>
    <w:rsid w:val="00134990"/>
    <w:rsid w:val="00135A0A"/>
    <w:rsid w:val="0013621D"/>
    <w:rsid w:val="00136354"/>
    <w:rsid w:val="00136674"/>
    <w:rsid w:val="00136B0E"/>
    <w:rsid w:val="001376AB"/>
    <w:rsid w:val="0013777C"/>
    <w:rsid w:val="00137BA3"/>
    <w:rsid w:val="00140082"/>
    <w:rsid w:val="00140175"/>
    <w:rsid w:val="001402E1"/>
    <w:rsid w:val="00140D07"/>
    <w:rsid w:val="00141A3A"/>
    <w:rsid w:val="001423FA"/>
    <w:rsid w:val="001427B5"/>
    <w:rsid w:val="001428CF"/>
    <w:rsid w:val="00142D0C"/>
    <w:rsid w:val="00142E3C"/>
    <w:rsid w:val="00144013"/>
    <w:rsid w:val="001444C6"/>
    <w:rsid w:val="00145A17"/>
    <w:rsid w:val="00145BBE"/>
    <w:rsid w:val="001460B5"/>
    <w:rsid w:val="0014641F"/>
    <w:rsid w:val="001467BB"/>
    <w:rsid w:val="00146CA8"/>
    <w:rsid w:val="00147884"/>
    <w:rsid w:val="00150827"/>
    <w:rsid w:val="00150B0D"/>
    <w:rsid w:val="00150DBE"/>
    <w:rsid w:val="001512DD"/>
    <w:rsid w:val="00151F9B"/>
    <w:rsid w:val="00152289"/>
    <w:rsid w:val="00152CE3"/>
    <w:rsid w:val="00153652"/>
    <w:rsid w:val="00153956"/>
    <w:rsid w:val="00154146"/>
    <w:rsid w:val="00154190"/>
    <w:rsid w:val="001545EA"/>
    <w:rsid w:val="001549BA"/>
    <w:rsid w:val="00155099"/>
    <w:rsid w:val="00155C85"/>
    <w:rsid w:val="00156A6C"/>
    <w:rsid w:val="00156B10"/>
    <w:rsid w:val="00157823"/>
    <w:rsid w:val="00157C5E"/>
    <w:rsid w:val="0016015A"/>
    <w:rsid w:val="0016020E"/>
    <w:rsid w:val="00160503"/>
    <w:rsid w:val="00160D7C"/>
    <w:rsid w:val="00160E30"/>
    <w:rsid w:val="0016106D"/>
    <w:rsid w:val="001612E1"/>
    <w:rsid w:val="00161432"/>
    <w:rsid w:val="001614DB"/>
    <w:rsid w:val="00161808"/>
    <w:rsid w:val="0016194E"/>
    <w:rsid w:val="0016236C"/>
    <w:rsid w:val="0016261E"/>
    <w:rsid w:val="00162625"/>
    <w:rsid w:val="001630A8"/>
    <w:rsid w:val="00163826"/>
    <w:rsid w:val="00163BA1"/>
    <w:rsid w:val="0016417B"/>
    <w:rsid w:val="00164827"/>
    <w:rsid w:val="00164D79"/>
    <w:rsid w:val="001652D7"/>
    <w:rsid w:val="00167D4D"/>
    <w:rsid w:val="0017070D"/>
    <w:rsid w:val="00170837"/>
    <w:rsid w:val="00171035"/>
    <w:rsid w:val="00171ADB"/>
    <w:rsid w:val="00171FE0"/>
    <w:rsid w:val="00172029"/>
    <w:rsid w:val="001733A4"/>
    <w:rsid w:val="00173AB9"/>
    <w:rsid w:val="00173EED"/>
    <w:rsid w:val="00174368"/>
    <w:rsid w:val="001744EA"/>
    <w:rsid w:val="00174A58"/>
    <w:rsid w:val="00174D82"/>
    <w:rsid w:val="00174E44"/>
    <w:rsid w:val="00175053"/>
    <w:rsid w:val="001753B7"/>
    <w:rsid w:val="00175873"/>
    <w:rsid w:val="00175C59"/>
    <w:rsid w:val="00175DB6"/>
    <w:rsid w:val="0017628E"/>
    <w:rsid w:val="00176674"/>
    <w:rsid w:val="00176818"/>
    <w:rsid w:val="00176B82"/>
    <w:rsid w:val="00176E3B"/>
    <w:rsid w:val="00176ECB"/>
    <w:rsid w:val="0017752D"/>
    <w:rsid w:val="0017759F"/>
    <w:rsid w:val="00177832"/>
    <w:rsid w:val="00180A4F"/>
    <w:rsid w:val="00181178"/>
    <w:rsid w:val="0018119E"/>
    <w:rsid w:val="00181EEF"/>
    <w:rsid w:val="00181F3E"/>
    <w:rsid w:val="00182FE0"/>
    <w:rsid w:val="0018333B"/>
    <w:rsid w:val="00183911"/>
    <w:rsid w:val="001842CA"/>
    <w:rsid w:val="001845FB"/>
    <w:rsid w:val="00185DA6"/>
    <w:rsid w:val="00186096"/>
    <w:rsid w:val="0018772E"/>
    <w:rsid w:val="00187A94"/>
    <w:rsid w:val="0019029E"/>
    <w:rsid w:val="0019032A"/>
    <w:rsid w:val="00190804"/>
    <w:rsid w:val="0019088F"/>
    <w:rsid w:val="00190C51"/>
    <w:rsid w:val="00193ACC"/>
    <w:rsid w:val="00193BFE"/>
    <w:rsid w:val="001941E4"/>
    <w:rsid w:val="0019560E"/>
    <w:rsid w:val="001958E3"/>
    <w:rsid w:val="0019601B"/>
    <w:rsid w:val="00196048"/>
    <w:rsid w:val="00196A82"/>
    <w:rsid w:val="0019769B"/>
    <w:rsid w:val="001976E8"/>
    <w:rsid w:val="00197FFE"/>
    <w:rsid w:val="001A0D25"/>
    <w:rsid w:val="001A1570"/>
    <w:rsid w:val="001A1917"/>
    <w:rsid w:val="001A1C64"/>
    <w:rsid w:val="001A1E7F"/>
    <w:rsid w:val="001A2918"/>
    <w:rsid w:val="001A2D02"/>
    <w:rsid w:val="001A3076"/>
    <w:rsid w:val="001A31A5"/>
    <w:rsid w:val="001A389C"/>
    <w:rsid w:val="001A3B75"/>
    <w:rsid w:val="001A5FB1"/>
    <w:rsid w:val="001A698A"/>
    <w:rsid w:val="001A6CCC"/>
    <w:rsid w:val="001A70C8"/>
    <w:rsid w:val="001A71C9"/>
    <w:rsid w:val="001A7429"/>
    <w:rsid w:val="001A760C"/>
    <w:rsid w:val="001A799B"/>
    <w:rsid w:val="001A7C38"/>
    <w:rsid w:val="001B02F8"/>
    <w:rsid w:val="001B2279"/>
    <w:rsid w:val="001B2866"/>
    <w:rsid w:val="001B2881"/>
    <w:rsid w:val="001B3675"/>
    <w:rsid w:val="001B3BD1"/>
    <w:rsid w:val="001B4F10"/>
    <w:rsid w:val="001B5154"/>
    <w:rsid w:val="001B6E30"/>
    <w:rsid w:val="001B7C83"/>
    <w:rsid w:val="001B7F9E"/>
    <w:rsid w:val="001C0206"/>
    <w:rsid w:val="001C0246"/>
    <w:rsid w:val="001C04D4"/>
    <w:rsid w:val="001C0B34"/>
    <w:rsid w:val="001C12A3"/>
    <w:rsid w:val="001C187E"/>
    <w:rsid w:val="001C1A37"/>
    <w:rsid w:val="001C1C49"/>
    <w:rsid w:val="001C1CF9"/>
    <w:rsid w:val="001C2A9E"/>
    <w:rsid w:val="001C2B86"/>
    <w:rsid w:val="001C3308"/>
    <w:rsid w:val="001C40D1"/>
    <w:rsid w:val="001C5001"/>
    <w:rsid w:val="001C5103"/>
    <w:rsid w:val="001C52A8"/>
    <w:rsid w:val="001C6120"/>
    <w:rsid w:val="001C6516"/>
    <w:rsid w:val="001C6923"/>
    <w:rsid w:val="001C6B5C"/>
    <w:rsid w:val="001C6F58"/>
    <w:rsid w:val="001C7155"/>
    <w:rsid w:val="001D039B"/>
    <w:rsid w:val="001D1258"/>
    <w:rsid w:val="001D2C94"/>
    <w:rsid w:val="001D33D9"/>
    <w:rsid w:val="001D36F6"/>
    <w:rsid w:val="001D4303"/>
    <w:rsid w:val="001D45E5"/>
    <w:rsid w:val="001D4A9D"/>
    <w:rsid w:val="001D5AFA"/>
    <w:rsid w:val="001E04A4"/>
    <w:rsid w:val="001E07C5"/>
    <w:rsid w:val="001E176D"/>
    <w:rsid w:val="001E1BCE"/>
    <w:rsid w:val="001E1E05"/>
    <w:rsid w:val="001E2086"/>
    <w:rsid w:val="001E254A"/>
    <w:rsid w:val="001E339F"/>
    <w:rsid w:val="001E3629"/>
    <w:rsid w:val="001E40F0"/>
    <w:rsid w:val="001E6352"/>
    <w:rsid w:val="001E70AD"/>
    <w:rsid w:val="001E7237"/>
    <w:rsid w:val="001E7AF6"/>
    <w:rsid w:val="001F01B8"/>
    <w:rsid w:val="001F0D32"/>
    <w:rsid w:val="001F0FC3"/>
    <w:rsid w:val="001F1B8D"/>
    <w:rsid w:val="001F274F"/>
    <w:rsid w:val="001F289C"/>
    <w:rsid w:val="001F2926"/>
    <w:rsid w:val="001F6008"/>
    <w:rsid w:val="001F641B"/>
    <w:rsid w:val="001F6D4D"/>
    <w:rsid w:val="001F73DB"/>
    <w:rsid w:val="00201D06"/>
    <w:rsid w:val="00201E9F"/>
    <w:rsid w:val="00202F25"/>
    <w:rsid w:val="002035B3"/>
    <w:rsid w:val="00203929"/>
    <w:rsid w:val="00203CD6"/>
    <w:rsid w:val="00204460"/>
    <w:rsid w:val="002051EA"/>
    <w:rsid w:val="0020561E"/>
    <w:rsid w:val="00205965"/>
    <w:rsid w:val="00205CBC"/>
    <w:rsid w:val="002074B7"/>
    <w:rsid w:val="0020758D"/>
    <w:rsid w:val="00207C7B"/>
    <w:rsid w:val="002106C3"/>
    <w:rsid w:val="00210AED"/>
    <w:rsid w:val="00211922"/>
    <w:rsid w:val="0021213A"/>
    <w:rsid w:val="0021265F"/>
    <w:rsid w:val="00214428"/>
    <w:rsid w:val="002145EB"/>
    <w:rsid w:val="00215834"/>
    <w:rsid w:val="00215CC2"/>
    <w:rsid w:val="00216B9D"/>
    <w:rsid w:val="00217700"/>
    <w:rsid w:val="002177E2"/>
    <w:rsid w:val="002205F3"/>
    <w:rsid w:val="0022085B"/>
    <w:rsid w:val="00220E53"/>
    <w:rsid w:val="0022176C"/>
    <w:rsid w:val="002225D1"/>
    <w:rsid w:val="002230FA"/>
    <w:rsid w:val="00224C0C"/>
    <w:rsid w:val="002256C2"/>
    <w:rsid w:val="002256D0"/>
    <w:rsid w:val="00226428"/>
    <w:rsid w:val="002265A9"/>
    <w:rsid w:val="002266CB"/>
    <w:rsid w:val="00227052"/>
    <w:rsid w:val="002272D5"/>
    <w:rsid w:val="0022738E"/>
    <w:rsid w:val="00227934"/>
    <w:rsid w:val="00227E21"/>
    <w:rsid w:val="00231D05"/>
    <w:rsid w:val="002336E2"/>
    <w:rsid w:val="00233AC2"/>
    <w:rsid w:val="00233BAF"/>
    <w:rsid w:val="00235420"/>
    <w:rsid w:val="00236F2D"/>
    <w:rsid w:val="0023762E"/>
    <w:rsid w:val="0024065B"/>
    <w:rsid w:val="00240EA5"/>
    <w:rsid w:val="00241132"/>
    <w:rsid w:val="002418C5"/>
    <w:rsid w:val="0024261D"/>
    <w:rsid w:val="00243807"/>
    <w:rsid w:val="00244365"/>
    <w:rsid w:val="0024459A"/>
    <w:rsid w:val="00244771"/>
    <w:rsid w:val="00244903"/>
    <w:rsid w:val="00244AFB"/>
    <w:rsid w:val="002453DF"/>
    <w:rsid w:val="00246B86"/>
    <w:rsid w:val="00247335"/>
    <w:rsid w:val="002473EF"/>
    <w:rsid w:val="002477B9"/>
    <w:rsid w:val="00247CBE"/>
    <w:rsid w:val="00250ADA"/>
    <w:rsid w:val="00251F70"/>
    <w:rsid w:val="00251FF1"/>
    <w:rsid w:val="002520BA"/>
    <w:rsid w:val="00252234"/>
    <w:rsid w:val="002528E3"/>
    <w:rsid w:val="00252D82"/>
    <w:rsid w:val="00253006"/>
    <w:rsid w:val="002533F5"/>
    <w:rsid w:val="00253C60"/>
    <w:rsid w:val="00253F21"/>
    <w:rsid w:val="0025429D"/>
    <w:rsid w:val="002549E9"/>
    <w:rsid w:val="00254FF6"/>
    <w:rsid w:val="00255099"/>
    <w:rsid w:val="00255E14"/>
    <w:rsid w:val="00257059"/>
    <w:rsid w:val="0025712F"/>
    <w:rsid w:val="00257395"/>
    <w:rsid w:val="00257857"/>
    <w:rsid w:val="00257CBC"/>
    <w:rsid w:val="002602C2"/>
    <w:rsid w:val="00260802"/>
    <w:rsid w:val="002609E3"/>
    <w:rsid w:val="002611D7"/>
    <w:rsid w:val="00261223"/>
    <w:rsid w:val="002617AB"/>
    <w:rsid w:val="002619AF"/>
    <w:rsid w:val="00261D08"/>
    <w:rsid w:val="00261DCC"/>
    <w:rsid w:val="002624D0"/>
    <w:rsid w:val="0026255C"/>
    <w:rsid w:val="00263EC7"/>
    <w:rsid w:val="00264B06"/>
    <w:rsid w:val="00264C1B"/>
    <w:rsid w:val="00264CCA"/>
    <w:rsid w:val="002661AB"/>
    <w:rsid w:val="0026742B"/>
    <w:rsid w:val="002674FE"/>
    <w:rsid w:val="00270B41"/>
    <w:rsid w:val="0027117F"/>
    <w:rsid w:val="002712DC"/>
    <w:rsid w:val="00271875"/>
    <w:rsid w:val="002718FF"/>
    <w:rsid w:val="00271955"/>
    <w:rsid w:val="00271A8C"/>
    <w:rsid w:val="00272278"/>
    <w:rsid w:val="00272FBF"/>
    <w:rsid w:val="00273A10"/>
    <w:rsid w:val="00273A58"/>
    <w:rsid w:val="002741F5"/>
    <w:rsid w:val="00274CAB"/>
    <w:rsid w:val="00274E8A"/>
    <w:rsid w:val="00275FCE"/>
    <w:rsid w:val="002766B8"/>
    <w:rsid w:val="0027680F"/>
    <w:rsid w:val="00277A54"/>
    <w:rsid w:val="002803EA"/>
    <w:rsid w:val="00281006"/>
    <w:rsid w:val="002815B1"/>
    <w:rsid w:val="00281C1F"/>
    <w:rsid w:val="00281EEA"/>
    <w:rsid w:val="00281F88"/>
    <w:rsid w:val="0028288D"/>
    <w:rsid w:val="002829B7"/>
    <w:rsid w:val="00282B82"/>
    <w:rsid w:val="00282C74"/>
    <w:rsid w:val="002831E8"/>
    <w:rsid w:val="00283995"/>
    <w:rsid w:val="00283B11"/>
    <w:rsid w:val="00283DE6"/>
    <w:rsid w:val="00283E9B"/>
    <w:rsid w:val="002841A9"/>
    <w:rsid w:val="00284313"/>
    <w:rsid w:val="00284900"/>
    <w:rsid w:val="00285154"/>
    <w:rsid w:val="002858A2"/>
    <w:rsid w:val="00285BF2"/>
    <w:rsid w:val="00285C78"/>
    <w:rsid w:val="002863CE"/>
    <w:rsid w:val="00291527"/>
    <w:rsid w:val="0029199A"/>
    <w:rsid w:val="002929B9"/>
    <w:rsid w:val="00293146"/>
    <w:rsid w:val="0029361E"/>
    <w:rsid w:val="002939FA"/>
    <w:rsid w:val="00293D68"/>
    <w:rsid w:val="00294352"/>
    <w:rsid w:val="002944A0"/>
    <w:rsid w:val="002946E4"/>
    <w:rsid w:val="0029495C"/>
    <w:rsid w:val="002957D9"/>
    <w:rsid w:val="00295B52"/>
    <w:rsid w:val="00296293"/>
    <w:rsid w:val="00296AF7"/>
    <w:rsid w:val="00297003"/>
    <w:rsid w:val="002972F9"/>
    <w:rsid w:val="00297ED7"/>
    <w:rsid w:val="002A0007"/>
    <w:rsid w:val="002A03AA"/>
    <w:rsid w:val="002A056D"/>
    <w:rsid w:val="002A0CAF"/>
    <w:rsid w:val="002A1565"/>
    <w:rsid w:val="002A1895"/>
    <w:rsid w:val="002A2941"/>
    <w:rsid w:val="002A2DC4"/>
    <w:rsid w:val="002A3E69"/>
    <w:rsid w:val="002A44F9"/>
    <w:rsid w:val="002A49EF"/>
    <w:rsid w:val="002A4B8B"/>
    <w:rsid w:val="002A5107"/>
    <w:rsid w:val="002A535E"/>
    <w:rsid w:val="002A6406"/>
    <w:rsid w:val="002A6CF0"/>
    <w:rsid w:val="002A6FFC"/>
    <w:rsid w:val="002A7010"/>
    <w:rsid w:val="002A70BA"/>
    <w:rsid w:val="002A77AF"/>
    <w:rsid w:val="002A7A57"/>
    <w:rsid w:val="002A7BB2"/>
    <w:rsid w:val="002A7DCB"/>
    <w:rsid w:val="002B0B53"/>
    <w:rsid w:val="002B1617"/>
    <w:rsid w:val="002B1D11"/>
    <w:rsid w:val="002B2526"/>
    <w:rsid w:val="002B273B"/>
    <w:rsid w:val="002B29AA"/>
    <w:rsid w:val="002B2F1B"/>
    <w:rsid w:val="002B5AFB"/>
    <w:rsid w:val="002B6320"/>
    <w:rsid w:val="002B66AC"/>
    <w:rsid w:val="002B6852"/>
    <w:rsid w:val="002B77E1"/>
    <w:rsid w:val="002C0714"/>
    <w:rsid w:val="002C0A96"/>
    <w:rsid w:val="002C1BF4"/>
    <w:rsid w:val="002C2266"/>
    <w:rsid w:val="002C28EB"/>
    <w:rsid w:val="002C3265"/>
    <w:rsid w:val="002C3D81"/>
    <w:rsid w:val="002C414C"/>
    <w:rsid w:val="002C5776"/>
    <w:rsid w:val="002C5EED"/>
    <w:rsid w:val="002C66DE"/>
    <w:rsid w:val="002C7193"/>
    <w:rsid w:val="002C7699"/>
    <w:rsid w:val="002C7A49"/>
    <w:rsid w:val="002C7DD1"/>
    <w:rsid w:val="002D0128"/>
    <w:rsid w:val="002D0FA7"/>
    <w:rsid w:val="002D12FB"/>
    <w:rsid w:val="002D19D1"/>
    <w:rsid w:val="002D1F35"/>
    <w:rsid w:val="002D20CD"/>
    <w:rsid w:val="002D225A"/>
    <w:rsid w:val="002D23C6"/>
    <w:rsid w:val="002D24C9"/>
    <w:rsid w:val="002D24F0"/>
    <w:rsid w:val="002D25EB"/>
    <w:rsid w:val="002D3529"/>
    <w:rsid w:val="002D3D0A"/>
    <w:rsid w:val="002D46B0"/>
    <w:rsid w:val="002D478E"/>
    <w:rsid w:val="002D4A94"/>
    <w:rsid w:val="002D5477"/>
    <w:rsid w:val="002D65FF"/>
    <w:rsid w:val="002D6D10"/>
    <w:rsid w:val="002D71E2"/>
    <w:rsid w:val="002D7B6A"/>
    <w:rsid w:val="002E0026"/>
    <w:rsid w:val="002E0918"/>
    <w:rsid w:val="002E0BAA"/>
    <w:rsid w:val="002E0D96"/>
    <w:rsid w:val="002E0EA5"/>
    <w:rsid w:val="002E283F"/>
    <w:rsid w:val="002E2854"/>
    <w:rsid w:val="002E2E74"/>
    <w:rsid w:val="002E3220"/>
    <w:rsid w:val="002E32D2"/>
    <w:rsid w:val="002E361B"/>
    <w:rsid w:val="002E37AB"/>
    <w:rsid w:val="002E3A80"/>
    <w:rsid w:val="002E51DF"/>
    <w:rsid w:val="002E6885"/>
    <w:rsid w:val="002E72E4"/>
    <w:rsid w:val="002E739D"/>
    <w:rsid w:val="002F1276"/>
    <w:rsid w:val="002F1986"/>
    <w:rsid w:val="002F1E5F"/>
    <w:rsid w:val="002F2A49"/>
    <w:rsid w:val="002F3B63"/>
    <w:rsid w:val="002F3C56"/>
    <w:rsid w:val="002F46B0"/>
    <w:rsid w:val="002F4A41"/>
    <w:rsid w:val="002F4B17"/>
    <w:rsid w:val="002F5150"/>
    <w:rsid w:val="002F5463"/>
    <w:rsid w:val="002F58C2"/>
    <w:rsid w:val="002F5932"/>
    <w:rsid w:val="002F603B"/>
    <w:rsid w:val="002F6201"/>
    <w:rsid w:val="002F724B"/>
    <w:rsid w:val="002F72BA"/>
    <w:rsid w:val="002F7713"/>
    <w:rsid w:val="00300267"/>
    <w:rsid w:val="003004D2"/>
    <w:rsid w:val="00300D6B"/>
    <w:rsid w:val="00301E89"/>
    <w:rsid w:val="00302052"/>
    <w:rsid w:val="00302142"/>
    <w:rsid w:val="00302169"/>
    <w:rsid w:val="00302612"/>
    <w:rsid w:val="00302A9B"/>
    <w:rsid w:val="00303254"/>
    <w:rsid w:val="003044D9"/>
    <w:rsid w:val="00304D8A"/>
    <w:rsid w:val="00305216"/>
    <w:rsid w:val="0030555B"/>
    <w:rsid w:val="003061F5"/>
    <w:rsid w:val="0030739C"/>
    <w:rsid w:val="00310D51"/>
    <w:rsid w:val="00310E03"/>
    <w:rsid w:val="00311B36"/>
    <w:rsid w:val="00311C5E"/>
    <w:rsid w:val="00311C92"/>
    <w:rsid w:val="003133AE"/>
    <w:rsid w:val="0031371B"/>
    <w:rsid w:val="00313BCA"/>
    <w:rsid w:val="00314156"/>
    <w:rsid w:val="00315325"/>
    <w:rsid w:val="0031535B"/>
    <w:rsid w:val="003170F4"/>
    <w:rsid w:val="0032035D"/>
    <w:rsid w:val="00320B28"/>
    <w:rsid w:val="003216D5"/>
    <w:rsid w:val="003216FF"/>
    <w:rsid w:val="00321866"/>
    <w:rsid w:val="00321C1A"/>
    <w:rsid w:val="00321F6B"/>
    <w:rsid w:val="00322389"/>
    <w:rsid w:val="00322BE5"/>
    <w:rsid w:val="0032312D"/>
    <w:rsid w:val="003238F6"/>
    <w:rsid w:val="00323AA5"/>
    <w:rsid w:val="0032468D"/>
    <w:rsid w:val="00324926"/>
    <w:rsid w:val="00324B25"/>
    <w:rsid w:val="0032522F"/>
    <w:rsid w:val="003253C4"/>
    <w:rsid w:val="0032550F"/>
    <w:rsid w:val="00325992"/>
    <w:rsid w:val="00325B74"/>
    <w:rsid w:val="0032638F"/>
    <w:rsid w:val="00326B59"/>
    <w:rsid w:val="00326E61"/>
    <w:rsid w:val="00327C7C"/>
    <w:rsid w:val="00330009"/>
    <w:rsid w:val="003301E6"/>
    <w:rsid w:val="003314D2"/>
    <w:rsid w:val="00331712"/>
    <w:rsid w:val="0033179E"/>
    <w:rsid w:val="00331A3F"/>
    <w:rsid w:val="00332191"/>
    <w:rsid w:val="00332720"/>
    <w:rsid w:val="003334A7"/>
    <w:rsid w:val="003337E8"/>
    <w:rsid w:val="00333A14"/>
    <w:rsid w:val="00333B2A"/>
    <w:rsid w:val="00333FD5"/>
    <w:rsid w:val="003351BA"/>
    <w:rsid w:val="0033520F"/>
    <w:rsid w:val="0033596B"/>
    <w:rsid w:val="0033650E"/>
    <w:rsid w:val="00336907"/>
    <w:rsid w:val="003369DF"/>
    <w:rsid w:val="00336C71"/>
    <w:rsid w:val="00336DFC"/>
    <w:rsid w:val="00337230"/>
    <w:rsid w:val="003377D0"/>
    <w:rsid w:val="00337D75"/>
    <w:rsid w:val="00340020"/>
    <w:rsid w:val="00341866"/>
    <w:rsid w:val="00341DAF"/>
    <w:rsid w:val="00342181"/>
    <w:rsid w:val="00343560"/>
    <w:rsid w:val="00343A20"/>
    <w:rsid w:val="0034402B"/>
    <w:rsid w:val="0034449E"/>
    <w:rsid w:val="00344D46"/>
    <w:rsid w:val="0035035C"/>
    <w:rsid w:val="00350DF8"/>
    <w:rsid w:val="00351437"/>
    <w:rsid w:val="00351A8A"/>
    <w:rsid w:val="00351CEA"/>
    <w:rsid w:val="0035266A"/>
    <w:rsid w:val="0035279C"/>
    <w:rsid w:val="00353845"/>
    <w:rsid w:val="0035384D"/>
    <w:rsid w:val="00353C0B"/>
    <w:rsid w:val="00353D9B"/>
    <w:rsid w:val="00354AE4"/>
    <w:rsid w:val="00354F64"/>
    <w:rsid w:val="0035551B"/>
    <w:rsid w:val="003555ED"/>
    <w:rsid w:val="00355911"/>
    <w:rsid w:val="00356997"/>
    <w:rsid w:val="003571B1"/>
    <w:rsid w:val="00357424"/>
    <w:rsid w:val="00361789"/>
    <w:rsid w:val="0036196D"/>
    <w:rsid w:val="003627BD"/>
    <w:rsid w:val="00362997"/>
    <w:rsid w:val="00362C59"/>
    <w:rsid w:val="00363040"/>
    <w:rsid w:val="003630B7"/>
    <w:rsid w:val="00363876"/>
    <w:rsid w:val="003638A4"/>
    <w:rsid w:val="003639BF"/>
    <w:rsid w:val="00363E41"/>
    <w:rsid w:val="00363FD2"/>
    <w:rsid w:val="0036572E"/>
    <w:rsid w:val="003663D9"/>
    <w:rsid w:val="00366FA9"/>
    <w:rsid w:val="00367C92"/>
    <w:rsid w:val="00367E49"/>
    <w:rsid w:val="003700E6"/>
    <w:rsid w:val="0037189A"/>
    <w:rsid w:val="00371C86"/>
    <w:rsid w:val="0037236C"/>
    <w:rsid w:val="003735D3"/>
    <w:rsid w:val="0037386D"/>
    <w:rsid w:val="00373956"/>
    <w:rsid w:val="00374153"/>
    <w:rsid w:val="003750E0"/>
    <w:rsid w:val="00375AF1"/>
    <w:rsid w:val="00375C2F"/>
    <w:rsid w:val="00375FC5"/>
    <w:rsid w:val="003769BA"/>
    <w:rsid w:val="00377871"/>
    <w:rsid w:val="003778B2"/>
    <w:rsid w:val="00377E58"/>
    <w:rsid w:val="003800EB"/>
    <w:rsid w:val="003805E3"/>
    <w:rsid w:val="0038062E"/>
    <w:rsid w:val="003807F7"/>
    <w:rsid w:val="00380D2D"/>
    <w:rsid w:val="00381610"/>
    <w:rsid w:val="00382106"/>
    <w:rsid w:val="00382657"/>
    <w:rsid w:val="00382B82"/>
    <w:rsid w:val="00384CEA"/>
    <w:rsid w:val="003854D5"/>
    <w:rsid w:val="0038552A"/>
    <w:rsid w:val="003859EA"/>
    <w:rsid w:val="0038709E"/>
    <w:rsid w:val="0038764A"/>
    <w:rsid w:val="00387D30"/>
    <w:rsid w:val="00391753"/>
    <w:rsid w:val="00391C16"/>
    <w:rsid w:val="00391C7F"/>
    <w:rsid w:val="00392454"/>
    <w:rsid w:val="00392C85"/>
    <w:rsid w:val="00393E11"/>
    <w:rsid w:val="00394475"/>
    <w:rsid w:val="00395232"/>
    <w:rsid w:val="00395B51"/>
    <w:rsid w:val="00396796"/>
    <w:rsid w:val="00396EC6"/>
    <w:rsid w:val="0039746C"/>
    <w:rsid w:val="00397DC6"/>
    <w:rsid w:val="003A0E82"/>
    <w:rsid w:val="003A184D"/>
    <w:rsid w:val="003A1FB7"/>
    <w:rsid w:val="003A371E"/>
    <w:rsid w:val="003A5875"/>
    <w:rsid w:val="003A595F"/>
    <w:rsid w:val="003A5EEC"/>
    <w:rsid w:val="003A6888"/>
    <w:rsid w:val="003A7CA3"/>
    <w:rsid w:val="003B00B6"/>
    <w:rsid w:val="003B0BB0"/>
    <w:rsid w:val="003B11EE"/>
    <w:rsid w:val="003B15F8"/>
    <w:rsid w:val="003B230B"/>
    <w:rsid w:val="003B23BC"/>
    <w:rsid w:val="003B2DB5"/>
    <w:rsid w:val="003B2F05"/>
    <w:rsid w:val="003B3966"/>
    <w:rsid w:val="003B39B7"/>
    <w:rsid w:val="003B5F6A"/>
    <w:rsid w:val="003B6B7F"/>
    <w:rsid w:val="003B749A"/>
    <w:rsid w:val="003B7820"/>
    <w:rsid w:val="003C01A4"/>
    <w:rsid w:val="003C0219"/>
    <w:rsid w:val="003C0C12"/>
    <w:rsid w:val="003C16EE"/>
    <w:rsid w:val="003C1C87"/>
    <w:rsid w:val="003C345E"/>
    <w:rsid w:val="003C40A9"/>
    <w:rsid w:val="003C4997"/>
    <w:rsid w:val="003C4DA5"/>
    <w:rsid w:val="003C5666"/>
    <w:rsid w:val="003C5998"/>
    <w:rsid w:val="003C64F4"/>
    <w:rsid w:val="003C6D79"/>
    <w:rsid w:val="003C724B"/>
    <w:rsid w:val="003C73DB"/>
    <w:rsid w:val="003D0185"/>
    <w:rsid w:val="003D02CB"/>
    <w:rsid w:val="003D0382"/>
    <w:rsid w:val="003D069C"/>
    <w:rsid w:val="003D0E54"/>
    <w:rsid w:val="003D191E"/>
    <w:rsid w:val="003D1E70"/>
    <w:rsid w:val="003D22A5"/>
    <w:rsid w:val="003D3414"/>
    <w:rsid w:val="003D3426"/>
    <w:rsid w:val="003D4886"/>
    <w:rsid w:val="003D6722"/>
    <w:rsid w:val="003D68A6"/>
    <w:rsid w:val="003D70C5"/>
    <w:rsid w:val="003D77F2"/>
    <w:rsid w:val="003D78CC"/>
    <w:rsid w:val="003D7D01"/>
    <w:rsid w:val="003D7ED8"/>
    <w:rsid w:val="003E0003"/>
    <w:rsid w:val="003E062E"/>
    <w:rsid w:val="003E1A72"/>
    <w:rsid w:val="003E2880"/>
    <w:rsid w:val="003E2A00"/>
    <w:rsid w:val="003E382C"/>
    <w:rsid w:val="003E3D00"/>
    <w:rsid w:val="003E4531"/>
    <w:rsid w:val="003E4771"/>
    <w:rsid w:val="003E54A8"/>
    <w:rsid w:val="003E7109"/>
    <w:rsid w:val="003E77DC"/>
    <w:rsid w:val="003E7BC1"/>
    <w:rsid w:val="003F0453"/>
    <w:rsid w:val="003F0C9F"/>
    <w:rsid w:val="003F144A"/>
    <w:rsid w:val="003F1B02"/>
    <w:rsid w:val="003F2240"/>
    <w:rsid w:val="003F2460"/>
    <w:rsid w:val="003F2A78"/>
    <w:rsid w:val="003F2E7B"/>
    <w:rsid w:val="003F4CF5"/>
    <w:rsid w:val="003F574E"/>
    <w:rsid w:val="003F60D6"/>
    <w:rsid w:val="003F68E9"/>
    <w:rsid w:val="003F7E15"/>
    <w:rsid w:val="003F7FDA"/>
    <w:rsid w:val="00400860"/>
    <w:rsid w:val="0040093F"/>
    <w:rsid w:val="00400BEB"/>
    <w:rsid w:val="004021C0"/>
    <w:rsid w:val="004028CE"/>
    <w:rsid w:val="0040313D"/>
    <w:rsid w:val="004043FA"/>
    <w:rsid w:val="00404970"/>
    <w:rsid w:val="00405181"/>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7A2"/>
    <w:rsid w:val="0041280A"/>
    <w:rsid w:val="00412A9D"/>
    <w:rsid w:val="00412CB1"/>
    <w:rsid w:val="004133A5"/>
    <w:rsid w:val="00413D45"/>
    <w:rsid w:val="00414197"/>
    <w:rsid w:val="004144DD"/>
    <w:rsid w:val="00414D68"/>
    <w:rsid w:val="00414FD9"/>
    <w:rsid w:val="00415EE7"/>
    <w:rsid w:val="004160FA"/>
    <w:rsid w:val="0041669E"/>
    <w:rsid w:val="00416ACA"/>
    <w:rsid w:val="00416C56"/>
    <w:rsid w:val="00416FE0"/>
    <w:rsid w:val="004176B8"/>
    <w:rsid w:val="00417B99"/>
    <w:rsid w:val="00420022"/>
    <w:rsid w:val="00420FAF"/>
    <w:rsid w:val="00421184"/>
    <w:rsid w:val="004212C1"/>
    <w:rsid w:val="004214B7"/>
    <w:rsid w:val="00421FB5"/>
    <w:rsid w:val="004235F4"/>
    <w:rsid w:val="004236C9"/>
    <w:rsid w:val="00423CF3"/>
    <w:rsid w:val="00423E18"/>
    <w:rsid w:val="00424B7C"/>
    <w:rsid w:val="0042500C"/>
    <w:rsid w:val="00425514"/>
    <w:rsid w:val="004256BD"/>
    <w:rsid w:val="00425863"/>
    <w:rsid w:val="00425D02"/>
    <w:rsid w:val="00425EDC"/>
    <w:rsid w:val="004275CD"/>
    <w:rsid w:val="00427FEB"/>
    <w:rsid w:val="00427FF2"/>
    <w:rsid w:val="004300AE"/>
    <w:rsid w:val="004305C0"/>
    <w:rsid w:val="00430B20"/>
    <w:rsid w:val="00430B6C"/>
    <w:rsid w:val="0043227C"/>
    <w:rsid w:val="00432E6B"/>
    <w:rsid w:val="00432EAD"/>
    <w:rsid w:val="00433D09"/>
    <w:rsid w:val="00435715"/>
    <w:rsid w:val="0043571B"/>
    <w:rsid w:val="00435996"/>
    <w:rsid w:val="00435EE0"/>
    <w:rsid w:val="0043610C"/>
    <w:rsid w:val="004366FF"/>
    <w:rsid w:val="00437D83"/>
    <w:rsid w:val="004401DD"/>
    <w:rsid w:val="004420F6"/>
    <w:rsid w:val="00443D5D"/>
    <w:rsid w:val="00444129"/>
    <w:rsid w:val="00445CBA"/>
    <w:rsid w:val="004463CB"/>
    <w:rsid w:val="004466F7"/>
    <w:rsid w:val="00446858"/>
    <w:rsid w:val="00447304"/>
    <w:rsid w:val="00447E1D"/>
    <w:rsid w:val="0045075F"/>
    <w:rsid w:val="00450F88"/>
    <w:rsid w:val="004516AD"/>
    <w:rsid w:val="00451EA3"/>
    <w:rsid w:val="004546A7"/>
    <w:rsid w:val="00454831"/>
    <w:rsid w:val="004548DF"/>
    <w:rsid w:val="00457933"/>
    <w:rsid w:val="00457C78"/>
    <w:rsid w:val="00460735"/>
    <w:rsid w:val="00460C95"/>
    <w:rsid w:val="00460EB8"/>
    <w:rsid w:val="00461155"/>
    <w:rsid w:val="00461C43"/>
    <w:rsid w:val="00462125"/>
    <w:rsid w:val="00463216"/>
    <w:rsid w:val="0046334D"/>
    <w:rsid w:val="00463C95"/>
    <w:rsid w:val="00463E1C"/>
    <w:rsid w:val="00465153"/>
    <w:rsid w:val="00465602"/>
    <w:rsid w:val="00466422"/>
    <w:rsid w:val="00466AFD"/>
    <w:rsid w:val="00470696"/>
    <w:rsid w:val="0047168F"/>
    <w:rsid w:val="004724C9"/>
    <w:rsid w:val="00473511"/>
    <w:rsid w:val="00474130"/>
    <w:rsid w:val="00475A6C"/>
    <w:rsid w:val="00475DED"/>
    <w:rsid w:val="004764AF"/>
    <w:rsid w:val="00476D04"/>
    <w:rsid w:val="0047741E"/>
    <w:rsid w:val="0047775E"/>
    <w:rsid w:val="00477AAE"/>
    <w:rsid w:val="00477AF6"/>
    <w:rsid w:val="00477B3B"/>
    <w:rsid w:val="00477BCB"/>
    <w:rsid w:val="004801A7"/>
    <w:rsid w:val="00480B4A"/>
    <w:rsid w:val="00480E47"/>
    <w:rsid w:val="00481666"/>
    <w:rsid w:val="0048181B"/>
    <w:rsid w:val="00481F2B"/>
    <w:rsid w:val="004820C5"/>
    <w:rsid w:val="004823D8"/>
    <w:rsid w:val="00483196"/>
    <w:rsid w:val="0048340F"/>
    <w:rsid w:val="0048423C"/>
    <w:rsid w:val="00484449"/>
    <w:rsid w:val="004849B0"/>
    <w:rsid w:val="004852CE"/>
    <w:rsid w:val="0048540C"/>
    <w:rsid w:val="00485F92"/>
    <w:rsid w:val="004879AE"/>
    <w:rsid w:val="004907E2"/>
    <w:rsid w:val="00490954"/>
    <w:rsid w:val="00492519"/>
    <w:rsid w:val="0049277A"/>
    <w:rsid w:val="00492B38"/>
    <w:rsid w:val="00492FE4"/>
    <w:rsid w:val="00493035"/>
    <w:rsid w:val="00493321"/>
    <w:rsid w:val="004936DE"/>
    <w:rsid w:val="00493C54"/>
    <w:rsid w:val="00494F26"/>
    <w:rsid w:val="0049544E"/>
    <w:rsid w:val="00495670"/>
    <w:rsid w:val="0049604B"/>
    <w:rsid w:val="004963AD"/>
    <w:rsid w:val="00496E75"/>
    <w:rsid w:val="004A03B2"/>
    <w:rsid w:val="004A040E"/>
    <w:rsid w:val="004A042D"/>
    <w:rsid w:val="004A11E0"/>
    <w:rsid w:val="004A1FC5"/>
    <w:rsid w:val="004A2158"/>
    <w:rsid w:val="004A29A5"/>
    <w:rsid w:val="004A3225"/>
    <w:rsid w:val="004A3C59"/>
    <w:rsid w:val="004A480D"/>
    <w:rsid w:val="004A4D76"/>
    <w:rsid w:val="004A66E0"/>
    <w:rsid w:val="004A7D49"/>
    <w:rsid w:val="004A7F21"/>
    <w:rsid w:val="004B08DB"/>
    <w:rsid w:val="004B1422"/>
    <w:rsid w:val="004B1912"/>
    <w:rsid w:val="004B24EB"/>
    <w:rsid w:val="004B29AC"/>
    <w:rsid w:val="004B3C8B"/>
    <w:rsid w:val="004B44A9"/>
    <w:rsid w:val="004B4509"/>
    <w:rsid w:val="004B4871"/>
    <w:rsid w:val="004B4ADF"/>
    <w:rsid w:val="004B4C00"/>
    <w:rsid w:val="004B4E06"/>
    <w:rsid w:val="004B5493"/>
    <w:rsid w:val="004B5631"/>
    <w:rsid w:val="004B5914"/>
    <w:rsid w:val="004B6D0A"/>
    <w:rsid w:val="004B7995"/>
    <w:rsid w:val="004C02B3"/>
    <w:rsid w:val="004C0711"/>
    <w:rsid w:val="004C0BBE"/>
    <w:rsid w:val="004C0E2F"/>
    <w:rsid w:val="004C222E"/>
    <w:rsid w:val="004C2561"/>
    <w:rsid w:val="004C2806"/>
    <w:rsid w:val="004C3ADD"/>
    <w:rsid w:val="004C428E"/>
    <w:rsid w:val="004C4775"/>
    <w:rsid w:val="004C483D"/>
    <w:rsid w:val="004C63C7"/>
    <w:rsid w:val="004C6D39"/>
    <w:rsid w:val="004C6D98"/>
    <w:rsid w:val="004C7743"/>
    <w:rsid w:val="004D039E"/>
    <w:rsid w:val="004D04A3"/>
    <w:rsid w:val="004D090B"/>
    <w:rsid w:val="004D0BD9"/>
    <w:rsid w:val="004D0C9F"/>
    <w:rsid w:val="004D15FD"/>
    <w:rsid w:val="004D1C8C"/>
    <w:rsid w:val="004D2369"/>
    <w:rsid w:val="004D2485"/>
    <w:rsid w:val="004D3A57"/>
    <w:rsid w:val="004D47FF"/>
    <w:rsid w:val="004D4A08"/>
    <w:rsid w:val="004D518F"/>
    <w:rsid w:val="004D54D7"/>
    <w:rsid w:val="004D5BB7"/>
    <w:rsid w:val="004D6053"/>
    <w:rsid w:val="004D6FA4"/>
    <w:rsid w:val="004D74C4"/>
    <w:rsid w:val="004D7C23"/>
    <w:rsid w:val="004E0212"/>
    <w:rsid w:val="004E05D8"/>
    <w:rsid w:val="004E0ADC"/>
    <w:rsid w:val="004E0FB1"/>
    <w:rsid w:val="004E1043"/>
    <w:rsid w:val="004E1DCA"/>
    <w:rsid w:val="004E21B4"/>
    <w:rsid w:val="004E252B"/>
    <w:rsid w:val="004E2861"/>
    <w:rsid w:val="004E2A85"/>
    <w:rsid w:val="004E3F72"/>
    <w:rsid w:val="004E4A78"/>
    <w:rsid w:val="004E551E"/>
    <w:rsid w:val="004E58F6"/>
    <w:rsid w:val="004E5E4C"/>
    <w:rsid w:val="004E623E"/>
    <w:rsid w:val="004E6CF9"/>
    <w:rsid w:val="004E734E"/>
    <w:rsid w:val="004E7EC0"/>
    <w:rsid w:val="004E7F48"/>
    <w:rsid w:val="004F014E"/>
    <w:rsid w:val="004F0BC6"/>
    <w:rsid w:val="004F1123"/>
    <w:rsid w:val="004F17DA"/>
    <w:rsid w:val="004F2D74"/>
    <w:rsid w:val="004F338D"/>
    <w:rsid w:val="004F3BD2"/>
    <w:rsid w:val="004F4372"/>
    <w:rsid w:val="004F43E0"/>
    <w:rsid w:val="004F45EB"/>
    <w:rsid w:val="004F52BB"/>
    <w:rsid w:val="004F5582"/>
    <w:rsid w:val="004F59B8"/>
    <w:rsid w:val="004F62A7"/>
    <w:rsid w:val="004F62F9"/>
    <w:rsid w:val="004F66B3"/>
    <w:rsid w:val="0050015C"/>
    <w:rsid w:val="00500418"/>
    <w:rsid w:val="00500CCF"/>
    <w:rsid w:val="00500E62"/>
    <w:rsid w:val="005011FD"/>
    <w:rsid w:val="00502958"/>
    <w:rsid w:val="00502BD2"/>
    <w:rsid w:val="00502DA4"/>
    <w:rsid w:val="005032A1"/>
    <w:rsid w:val="00503F83"/>
    <w:rsid w:val="0050421C"/>
    <w:rsid w:val="00504A9B"/>
    <w:rsid w:val="00504E9A"/>
    <w:rsid w:val="00504F83"/>
    <w:rsid w:val="005058A9"/>
    <w:rsid w:val="005059B9"/>
    <w:rsid w:val="00505F64"/>
    <w:rsid w:val="00506DCD"/>
    <w:rsid w:val="005070C0"/>
    <w:rsid w:val="00507C56"/>
    <w:rsid w:val="00507F13"/>
    <w:rsid w:val="005109D4"/>
    <w:rsid w:val="00510ECD"/>
    <w:rsid w:val="0051160A"/>
    <w:rsid w:val="005118BA"/>
    <w:rsid w:val="0051287F"/>
    <w:rsid w:val="00512C5E"/>
    <w:rsid w:val="00512D87"/>
    <w:rsid w:val="005130DA"/>
    <w:rsid w:val="00513DDA"/>
    <w:rsid w:val="00513E19"/>
    <w:rsid w:val="00513F18"/>
    <w:rsid w:val="005148B4"/>
    <w:rsid w:val="00514B29"/>
    <w:rsid w:val="005152B1"/>
    <w:rsid w:val="005152F0"/>
    <w:rsid w:val="00515856"/>
    <w:rsid w:val="005163E6"/>
    <w:rsid w:val="005172EC"/>
    <w:rsid w:val="0051740D"/>
    <w:rsid w:val="005178CE"/>
    <w:rsid w:val="00521CAB"/>
    <w:rsid w:val="00522654"/>
    <w:rsid w:val="00522835"/>
    <w:rsid w:val="0052293D"/>
    <w:rsid w:val="00522AF4"/>
    <w:rsid w:val="005232BD"/>
    <w:rsid w:val="00523499"/>
    <w:rsid w:val="00523C08"/>
    <w:rsid w:val="00523C10"/>
    <w:rsid w:val="005245D5"/>
    <w:rsid w:val="00524889"/>
    <w:rsid w:val="00525A53"/>
    <w:rsid w:val="00526569"/>
    <w:rsid w:val="00526726"/>
    <w:rsid w:val="00527256"/>
    <w:rsid w:val="00527C8D"/>
    <w:rsid w:val="00530AB9"/>
    <w:rsid w:val="00530AC4"/>
    <w:rsid w:val="00533169"/>
    <w:rsid w:val="00533194"/>
    <w:rsid w:val="005332C8"/>
    <w:rsid w:val="0053441D"/>
    <w:rsid w:val="0053464E"/>
    <w:rsid w:val="005352C8"/>
    <w:rsid w:val="005354C1"/>
    <w:rsid w:val="00536B7D"/>
    <w:rsid w:val="00536CBB"/>
    <w:rsid w:val="00537033"/>
    <w:rsid w:val="00540A37"/>
    <w:rsid w:val="00540B49"/>
    <w:rsid w:val="00540C0D"/>
    <w:rsid w:val="005418DB"/>
    <w:rsid w:val="005423CA"/>
    <w:rsid w:val="005434EA"/>
    <w:rsid w:val="00546C6A"/>
    <w:rsid w:val="00546FBA"/>
    <w:rsid w:val="00547F04"/>
    <w:rsid w:val="00547F90"/>
    <w:rsid w:val="00550737"/>
    <w:rsid w:val="0055078A"/>
    <w:rsid w:val="00550924"/>
    <w:rsid w:val="00550D63"/>
    <w:rsid w:val="00550EF1"/>
    <w:rsid w:val="00551075"/>
    <w:rsid w:val="005513C8"/>
    <w:rsid w:val="00551EA5"/>
    <w:rsid w:val="0055352C"/>
    <w:rsid w:val="0055364E"/>
    <w:rsid w:val="005538A6"/>
    <w:rsid w:val="00555161"/>
    <w:rsid w:val="00555DE6"/>
    <w:rsid w:val="00555EB3"/>
    <w:rsid w:val="005567F6"/>
    <w:rsid w:val="00557474"/>
    <w:rsid w:val="0056090D"/>
    <w:rsid w:val="00561699"/>
    <w:rsid w:val="005619E1"/>
    <w:rsid w:val="00562629"/>
    <w:rsid w:val="005628FE"/>
    <w:rsid w:val="00564191"/>
    <w:rsid w:val="00564557"/>
    <w:rsid w:val="0056458C"/>
    <w:rsid w:val="00564628"/>
    <w:rsid w:val="00564A3C"/>
    <w:rsid w:val="00564F82"/>
    <w:rsid w:val="005653AF"/>
    <w:rsid w:val="00565501"/>
    <w:rsid w:val="00565755"/>
    <w:rsid w:val="00565AA6"/>
    <w:rsid w:val="0056601E"/>
    <w:rsid w:val="00566538"/>
    <w:rsid w:val="00567109"/>
    <w:rsid w:val="0056725A"/>
    <w:rsid w:val="0056741F"/>
    <w:rsid w:val="0056781B"/>
    <w:rsid w:val="00567BE2"/>
    <w:rsid w:val="00570102"/>
    <w:rsid w:val="00570505"/>
    <w:rsid w:val="005712E6"/>
    <w:rsid w:val="00572942"/>
    <w:rsid w:val="005730DB"/>
    <w:rsid w:val="00573251"/>
    <w:rsid w:val="005733A8"/>
    <w:rsid w:val="00573C5A"/>
    <w:rsid w:val="00573F55"/>
    <w:rsid w:val="0057540E"/>
    <w:rsid w:val="005757B6"/>
    <w:rsid w:val="00576DE0"/>
    <w:rsid w:val="0058000F"/>
    <w:rsid w:val="00580557"/>
    <w:rsid w:val="0058074F"/>
    <w:rsid w:val="00580A76"/>
    <w:rsid w:val="00581042"/>
    <w:rsid w:val="00581703"/>
    <w:rsid w:val="0058195D"/>
    <w:rsid w:val="005821DD"/>
    <w:rsid w:val="00583908"/>
    <w:rsid w:val="00584E21"/>
    <w:rsid w:val="00584F02"/>
    <w:rsid w:val="0058543A"/>
    <w:rsid w:val="0058608B"/>
    <w:rsid w:val="005863C1"/>
    <w:rsid w:val="00586768"/>
    <w:rsid w:val="00587729"/>
    <w:rsid w:val="00590147"/>
    <w:rsid w:val="00590BD1"/>
    <w:rsid w:val="00590D26"/>
    <w:rsid w:val="00591276"/>
    <w:rsid w:val="00591490"/>
    <w:rsid w:val="0059151A"/>
    <w:rsid w:val="005916C9"/>
    <w:rsid w:val="00591AED"/>
    <w:rsid w:val="00591C7E"/>
    <w:rsid w:val="00591DCF"/>
    <w:rsid w:val="005929B4"/>
    <w:rsid w:val="00592A3C"/>
    <w:rsid w:val="0059367F"/>
    <w:rsid w:val="00593720"/>
    <w:rsid w:val="00593909"/>
    <w:rsid w:val="005941E1"/>
    <w:rsid w:val="005943E2"/>
    <w:rsid w:val="00594B8A"/>
    <w:rsid w:val="005954B7"/>
    <w:rsid w:val="00595A05"/>
    <w:rsid w:val="00595F17"/>
    <w:rsid w:val="00595F89"/>
    <w:rsid w:val="00596873"/>
    <w:rsid w:val="00596BB3"/>
    <w:rsid w:val="00596BD4"/>
    <w:rsid w:val="00596FA8"/>
    <w:rsid w:val="005971A7"/>
    <w:rsid w:val="005977AB"/>
    <w:rsid w:val="005A01C5"/>
    <w:rsid w:val="005A0532"/>
    <w:rsid w:val="005A07E7"/>
    <w:rsid w:val="005A0A57"/>
    <w:rsid w:val="005A0EBD"/>
    <w:rsid w:val="005A1270"/>
    <w:rsid w:val="005A1295"/>
    <w:rsid w:val="005A1FBF"/>
    <w:rsid w:val="005A29B1"/>
    <w:rsid w:val="005A380B"/>
    <w:rsid w:val="005A47C4"/>
    <w:rsid w:val="005A4890"/>
    <w:rsid w:val="005A49D4"/>
    <w:rsid w:val="005A4D7C"/>
    <w:rsid w:val="005A51C9"/>
    <w:rsid w:val="005A5DC0"/>
    <w:rsid w:val="005A6F0E"/>
    <w:rsid w:val="005A7235"/>
    <w:rsid w:val="005A7BAF"/>
    <w:rsid w:val="005B0652"/>
    <w:rsid w:val="005B1213"/>
    <w:rsid w:val="005B3500"/>
    <w:rsid w:val="005B3EBD"/>
    <w:rsid w:val="005B48E8"/>
    <w:rsid w:val="005B5BA3"/>
    <w:rsid w:val="005B5E62"/>
    <w:rsid w:val="005B71B6"/>
    <w:rsid w:val="005B7E97"/>
    <w:rsid w:val="005B7F46"/>
    <w:rsid w:val="005C102D"/>
    <w:rsid w:val="005C132C"/>
    <w:rsid w:val="005C17FB"/>
    <w:rsid w:val="005C1833"/>
    <w:rsid w:val="005C1838"/>
    <w:rsid w:val="005C18C2"/>
    <w:rsid w:val="005C244F"/>
    <w:rsid w:val="005C25EA"/>
    <w:rsid w:val="005C2767"/>
    <w:rsid w:val="005C2922"/>
    <w:rsid w:val="005C2A49"/>
    <w:rsid w:val="005C2F60"/>
    <w:rsid w:val="005C323D"/>
    <w:rsid w:val="005C3772"/>
    <w:rsid w:val="005C39C3"/>
    <w:rsid w:val="005C4229"/>
    <w:rsid w:val="005C4580"/>
    <w:rsid w:val="005C4E85"/>
    <w:rsid w:val="005C5065"/>
    <w:rsid w:val="005C52F3"/>
    <w:rsid w:val="005C564C"/>
    <w:rsid w:val="005C59CC"/>
    <w:rsid w:val="005C6234"/>
    <w:rsid w:val="005C6605"/>
    <w:rsid w:val="005C71A0"/>
    <w:rsid w:val="005C7802"/>
    <w:rsid w:val="005C7B50"/>
    <w:rsid w:val="005D029E"/>
    <w:rsid w:val="005D0427"/>
    <w:rsid w:val="005D07AE"/>
    <w:rsid w:val="005D113B"/>
    <w:rsid w:val="005D2D9A"/>
    <w:rsid w:val="005D3B21"/>
    <w:rsid w:val="005D4019"/>
    <w:rsid w:val="005D41DC"/>
    <w:rsid w:val="005D460F"/>
    <w:rsid w:val="005D4DC5"/>
    <w:rsid w:val="005D5C22"/>
    <w:rsid w:val="005D63A9"/>
    <w:rsid w:val="005D65D5"/>
    <w:rsid w:val="005D6C56"/>
    <w:rsid w:val="005D6F49"/>
    <w:rsid w:val="005D7E8A"/>
    <w:rsid w:val="005E06FA"/>
    <w:rsid w:val="005E11A5"/>
    <w:rsid w:val="005E13D4"/>
    <w:rsid w:val="005E1435"/>
    <w:rsid w:val="005E21F3"/>
    <w:rsid w:val="005E235C"/>
    <w:rsid w:val="005E3078"/>
    <w:rsid w:val="005E4D17"/>
    <w:rsid w:val="005E5427"/>
    <w:rsid w:val="005E5A7C"/>
    <w:rsid w:val="005E5C33"/>
    <w:rsid w:val="005E5E76"/>
    <w:rsid w:val="005E74EC"/>
    <w:rsid w:val="005E7CBC"/>
    <w:rsid w:val="005F0A62"/>
    <w:rsid w:val="005F1298"/>
    <w:rsid w:val="005F1BB3"/>
    <w:rsid w:val="005F1C5D"/>
    <w:rsid w:val="005F2317"/>
    <w:rsid w:val="005F2411"/>
    <w:rsid w:val="005F2550"/>
    <w:rsid w:val="005F2B2D"/>
    <w:rsid w:val="005F2FD5"/>
    <w:rsid w:val="005F3AE8"/>
    <w:rsid w:val="005F3B09"/>
    <w:rsid w:val="005F44AD"/>
    <w:rsid w:val="005F4926"/>
    <w:rsid w:val="005F5009"/>
    <w:rsid w:val="005F5054"/>
    <w:rsid w:val="005F530F"/>
    <w:rsid w:val="005F6768"/>
    <w:rsid w:val="005F6E39"/>
    <w:rsid w:val="005F6E58"/>
    <w:rsid w:val="005F704C"/>
    <w:rsid w:val="005F7A22"/>
    <w:rsid w:val="005F7B9D"/>
    <w:rsid w:val="00600501"/>
    <w:rsid w:val="00600B0C"/>
    <w:rsid w:val="006033BF"/>
    <w:rsid w:val="00603B4B"/>
    <w:rsid w:val="00603F20"/>
    <w:rsid w:val="00604F37"/>
    <w:rsid w:val="0060508A"/>
    <w:rsid w:val="006055AF"/>
    <w:rsid w:val="00605942"/>
    <w:rsid w:val="00605C9F"/>
    <w:rsid w:val="00605ED8"/>
    <w:rsid w:val="006068E8"/>
    <w:rsid w:val="00606ADB"/>
    <w:rsid w:val="006072DE"/>
    <w:rsid w:val="006075F4"/>
    <w:rsid w:val="006078A8"/>
    <w:rsid w:val="00607BAD"/>
    <w:rsid w:val="00607EC7"/>
    <w:rsid w:val="0061048A"/>
    <w:rsid w:val="00611178"/>
    <w:rsid w:val="00611D01"/>
    <w:rsid w:val="006124B3"/>
    <w:rsid w:val="00612611"/>
    <w:rsid w:val="00613009"/>
    <w:rsid w:val="0061401C"/>
    <w:rsid w:val="00614D33"/>
    <w:rsid w:val="0061537D"/>
    <w:rsid w:val="0061537F"/>
    <w:rsid w:val="00615DEA"/>
    <w:rsid w:val="00616EE6"/>
    <w:rsid w:val="006171FB"/>
    <w:rsid w:val="00617A2A"/>
    <w:rsid w:val="006207F4"/>
    <w:rsid w:val="00620C67"/>
    <w:rsid w:val="00621803"/>
    <w:rsid w:val="006220F1"/>
    <w:rsid w:val="00623E46"/>
    <w:rsid w:val="00624604"/>
    <w:rsid w:val="00624D2C"/>
    <w:rsid w:val="00625145"/>
    <w:rsid w:val="00626A92"/>
    <w:rsid w:val="00627402"/>
    <w:rsid w:val="00630480"/>
    <w:rsid w:val="0063058E"/>
    <w:rsid w:val="006305F8"/>
    <w:rsid w:val="00632B9C"/>
    <w:rsid w:val="0063333D"/>
    <w:rsid w:val="00633C74"/>
    <w:rsid w:val="00634225"/>
    <w:rsid w:val="00635003"/>
    <w:rsid w:val="006351CE"/>
    <w:rsid w:val="006352FD"/>
    <w:rsid w:val="0063546E"/>
    <w:rsid w:val="00635B15"/>
    <w:rsid w:val="006362E1"/>
    <w:rsid w:val="006367DA"/>
    <w:rsid w:val="00636BEF"/>
    <w:rsid w:val="006375B2"/>
    <w:rsid w:val="006375BB"/>
    <w:rsid w:val="00640BF7"/>
    <w:rsid w:val="00642631"/>
    <w:rsid w:val="00642841"/>
    <w:rsid w:val="00642DF5"/>
    <w:rsid w:val="0064304A"/>
    <w:rsid w:val="0064380B"/>
    <w:rsid w:val="00643916"/>
    <w:rsid w:val="00643A4F"/>
    <w:rsid w:val="00643C8F"/>
    <w:rsid w:val="006441FD"/>
    <w:rsid w:val="00645141"/>
    <w:rsid w:val="00645332"/>
    <w:rsid w:val="00645AEE"/>
    <w:rsid w:val="00646428"/>
    <w:rsid w:val="0064707F"/>
    <w:rsid w:val="006471E8"/>
    <w:rsid w:val="00647840"/>
    <w:rsid w:val="00647FA3"/>
    <w:rsid w:val="006500F7"/>
    <w:rsid w:val="00650769"/>
    <w:rsid w:val="006516B7"/>
    <w:rsid w:val="006518E4"/>
    <w:rsid w:val="00651FB8"/>
    <w:rsid w:val="00652BA0"/>
    <w:rsid w:val="00653045"/>
    <w:rsid w:val="00653A25"/>
    <w:rsid w:val="00653D93"/>
    <w:rsid w:val="00654A93"/>
    <w:rsid w:val="00654E99"/>
    <w:rsid w:val="0065548F"/>
    <w:rsid w:val="00655633"/>
    <w:rsid w:val="006559BB"/>
    <w:rsid w:val="00655D93"/>
    <w:rsid w:val="00655E86"/>
    <w:rsid w:val="00656614"/>
    <w:rsid w:val="006577CD"/>
    <w:rsid w:val="00657CCC"/>
    <w:rsid w:val="00660162"/>
    <w:rsid w:val="0066036D"/>
    <w:rsid w:val="00660879"/>
    <w:rsid w:val="00661639"/>
    <w:rsid w:val="0066174D"/>
    <w:rsid w:val="006631D3"/>
    <w:rsid w:val="00663D0F"/>
    <w:rsid w:val="00664525"/>
    <w:rsid w:val="0066465B"/>
    <w:rsid w:val="0066521A"/>
    <w:rsid w:val="00665EAE"/>
    <w:rsid w:val="006661EA"/>
    <w:rsid w:val="00666909"/>
    <w:rsid w:val="00666EBC"/>
    <w:rsid w:val="00667189"/>
    <w:rsid w:val="0066749E"/>
    <w:rsid w:val="00667CCB"/>
    <w:rsid w:val="00667EFD"/>
    <w:rsid w:val="00667F53"/>
    <w:rsid w:val="00670475"/>
    <w:rsid w:val="00670B8C"/>
    <w:rsid w:val="00670C4A"/>
    <w:rsid w:val="00671F3E"/>
    <w:rsid w:val="00672482"/>
    <w:rsid w:val="00672A18"/>
    <w:rsid w:val="006735D0"/>
    <w:rsid w:val="00674D52"/>
    <w:rsid w:val="00674F93"/>
    <w:rsid w:val="0067546F"/>
    <w:rsid w:val="006756F5"/>
    <w:rsid w:val="006761A8"/>
    <w:rsid w:val="00676CE4"/>
    <w:rsid w:val="00676EC2"/>
    <w:rsid w:val="00676FA5"/>
    <w:rsid w:val="006771A4"/>
    <w:rsid w:val="006771AD"/>
    <w:rsid w:val="006774A8"/>
    <w:rsid w:val="00677572"/>
    <w:rsid w:val="00681229"/>
    <w:rsid w:val="0068185E"/>
    <w:rsid w:val="00681BE5"/>
    <w:rsid w:val="00681E30"/>
    <w:rsid w:val="00683D98"/>
    <w:rsid w:val="00683D99"/>
    <w:rsid w:val="00684079"/>
    <w:rsid w:val="0068629B"/>
    <w:rsid w:val="00686C12"/>
    <w:rsid w:val="00686D75"/>
    <w:rsid w:val="0068736A"/>
    <w:rsid w:val="00687D17"/>
    <w:rsid w:val="00690024"/>
    <w:rsid w:val="0069020F"/>
    <w:rsid w:val="006903A4"/>
    <w:rsid w:val="00690AEE"/>
    <w:rsid w:val="00690EFB"/>
    <w:rsid w:val="0069137B"/>
    <w:rsid w:val="006913D3"/>
    <w:rsid w:val="006914B7"/>
    <w:rsid w:val="00691742"/>
    <w:rsid w:val="00691DEE"/>
    <w:rsid w:val="0069236E"/>
    <w:rsid w:val="00692704"/>
    <w:rsid w:val="00692E67"/>
    <w:rsid w:val="00693EE5"/>
    <w:rsid w:val="006944C5"/>
    <w:rsid w:val="0069561C"/>
    <w:rsid w:val="00695634"/>
    <w:rsid w:val="0069600D"/>
    <w:rsid w:val="006963AE"/>
    <w:rsid w:val="00697053"/>
    <w:rsid w:val="006A066A"/>
    <w:rsid w:val="006A083E"/>
    <w:rsid w:val="006A0FFD"/>
    <w:rsid w:val="006A14A3"/>
    <w:rsid w:val="006A159D"/>
    <w:rsid w:val="006A18BF"/>
    <w:rsid w:val="006A1F58"/>
    <w:rsid w:val="006A298D"/>
    <w:rsid w:val="006A36D2"/>
    <w:rsid w:val="006A3FD6"/>
    <w:rsid w:val="006A4076"/>
    <w:rsid w:val="006A436F"/>
    <w:rsid w:val="006A59D8"/>
    <w:rsid w:val="006A6B7B"/>
    <w:rsid w:val="006A78F8"/>
    <w:rsid w:val="006A7E27"/>
    <w:rsid w:val="006B010E"/>
    <w:rsid w:val="006B091F"/>
    <w:rsid w:val="006B0ED0"/>
    <w:rsid w:val="006B0EED"/>
    <w:rsid w:val="006B1991"/>
    <w:rsid w:val="006B233F"/>
    <w:rsid w:val="006B28EA"/>
    <w:rsid w:val="006B2FBB"/>
    <w:rsid w:val="006B378A"/>
    <w:rsid w:val="006B3BD5"/>
    <w:rsid w:val="006B4185"/>
    <w:rsid w:val="006B4224"/>
    <w:rsid w:val="006B4B62"/>
    <w:rsid w:val="006B5423"/>
    <w:rsid w:val="006B5855"/>
    <w:rsid w:val="006B5AB2"/>
    <w:rsid w:val="006B5C67"/>
    <w:rsid w:val="006B6B5D"/>
    <w:rsid w:val="006C1818"/>
    <w:rsid w:val="006C1F8B"/>
    <w:rsid w:val="006C2721"/>
    <w:rsid w:val="006C3868"/>
    <w:rsid w:val="006C38FF"/>
    <w:rsid w:val="006C3E6E"/>
    <w:rsid w:val="006C3EEA"/>
    <w:rsid w:val="006C43A6"/>
    <w:rsid w:val="006C4A4A"/>
    <w:rsid w:val="006C53EB"/>
    <w:rsid w:val="006C650D"/>
    <w:rsid w:val="006C7740"/>
    <w:rsid w:val="006D0389"/>
    <w:rsid w:val="006D0848"/>
    <w:rsid w:val="006D0C15"/>
    <w:rsid w:val="006D0D8B"/>
    <w:rsid w:val="006D10DC"/>
    <w:rsid w:val="006D19C1"/>
    <w:rsid w:val="006D1FF7"/>
    <w:rsid w:val="006D2827"/>
    <w:rsid w:val="006D2848"/>
    <w:rsid w:val="006D3FDF"/>
    <w:rsid w:val="006D4527"/>
    <w:rsid w:val="006D4B05"/>
    <w:rsid w:val="006D4F86"/>
    <w:rsid w:val="006D503C"/>
    <w:rsid w:val="006D5F98"/>
    <w:rsid w:val="006D6665"/>
    <w:rsid w:val="006D7098"/>
    <w:rsid w:val="006D740E"/>
    <w:rsid w:val="006D7F72"/>
    <w:rsid w:val="006E00B7"/>
    <w:rsid w:val="006E0E5B"/>
    <w:rsid w:val="006E3023"/>
    <w:rsid w:val="006E449C"/>
    <w:rsid w:val="006E4726"/>
    <w:rsid w:val="006E4E72"/>
    <w:rsid w:val="006E50D0"/>
    <w:rsid w:val="006E6EDF"/>
    <w:rsid w:val="006E7BA5"/>
    <w:rsid w:val="006F01E8"/>
    <w:rsid w:val="006F02D7"/>
    <w:rsid w:val="006F2D24"/>
    <w:rsid w:val="006F37F7"/>
    <w:rsid w:val="006F3909"/>
    <w:rsid w:val="006F48E1"/>
    <w:rsid w:val="006F57E3"/>
    <w:rsid w:val="006F60DF"/>
    <w:rsid w:val="006F68C1"/>
    <w:rsid w:val="006F6CE2"/>
    <w:rsid w:val="006F6E10"/>
    <w:rsid w:val="006F6F02"/>
    <w:rsid w:val="007014F8"/>
    <w:rsid w:val="0070150D"/>
    <w:rsid w:val="007016D2"/>
    <w:rsid w:val="007018D8"/>
    <w:rsid w:val="00702CBA"/>
    <w:rsid w:val="00703107"/>
    <w:rsid w:val="00703138"/>
    <w:rsid w:val="00703981"/>
    <w:rsid w:val="0070495F"/>
    <w:rsid w:val="00704B6E"/>
    <w:rsid w:val="00704F73"/>
    <w:rsid w:val="0070508D"/>
    <w:rsid w:val="0070542E"/>
    <w:rsid w:val="007060D4"/>
    <w:rsid w:val="0070624C"/>
    <w:rsid w:val="00706451"/>
    <w:rsid w:val="00706C14"/>
    <w:rsid w:val="007073E1"/>
    <w:rsid w:val="00707E0F"/>
    <w:rsid w:val="0071068A"/>
    <w:rsid w:val="007109F8"/>
    <w:rsid w:val="00710E19"/>
    <w:rsid w:val="00710E52"/>
    <w:rsid w:val="0071174F"/>
    <w:rsid w:val="0071196A"/>
    <w:rsid w:val="00712C9E"/>
    <w:rsid w:val="007131CF"/>
    <w:rsid w:val="007133C0"/>
    <w:rsid w:val="00713613"/>
    <w:rsid w:val="007137C6"/>
    <w:rsid w:val="007138FC"/>
    <w:rsid w:val="0071393D"/>
    <w:rsid w:val="00713E79"/>
    <w:rsid w:val="00715441"/>
    <w:rsid w:val="00715739"/>
    <w:rsid w:val="0071576C"/>
    <w:rsid w:val="00715CA7"/>
    <w:rsid w:val="00716A09"/>
    <w:rsid w:val="00717CA8"/>
    <w:rsid w:val="007205E7"/>
    <w:rsid w:val="0072079B"/>
    <w:rsid w:val="007209C4"/>
    <w:rsid w:val="00721E9E"/>
    <w:rsid w:val="007227FE"/>
    <w:rsid w:val="00722AEF"/>
    <w:rsid w:val="007233C3"/>
    <w:rsid w:val="00723C95"/>
    <w:rsid w:val="007242F8"/>
    <w:rsid w:val="007244E7"/>
    <w:rsid w:val="0072505F"/>
    <w:rsid w:val="00725B00"/>
    <w:rsid w:val="00725B9C"/>
    <w:rsid w:val="0072680C"/>
    <w:rsid w:val="00726B3D"/>
    <w:rsid w:val="00726C64"/>
    <w:rsid w:val="007310B7"/>
    <w:rsid w:val="00731237"/>
    <w:rsid w:val="0073207E"/>
    <w:rsid w:val="00732664"/>
    <w:rsid w:val="00732BA7"/>
    <w:rsid w:val="007333EA"/>
    <w:rsid w:val="00733601"/>
    <w:rsid w:val="00733A57"/>
    <w:rsid w:val="00733F36"/>
    <w:rsid w:val="007340B9"/>
    <w:rsid w:val="007340CE"/>
    <w:rsid w:val="00734781"/>
    <w:rsid w:val="007349FC"/>
    <w:rsid w:val="00734BE3"/>
    <w:rsid w:val="00734EB6"/>
    <w:rsid w:val="00735293"/>
    <w:rsid w:val="007363EA"/>
    <w:rsid w:val="00736E06"/>
    <w:rsid w:val="00736E37"/>
    <w:rsid w:val="00737286"/>
    <w:rsid w:val="007373DB"/>
    <w:rsid w:val="00737F27"/>
    <w:rsid w:val="00737FD3"/>
    <w:rsid w:val="007407DB"/>
    <w:rsid w:val="00740BFC"/>
    <w:rsid w:val="00741037"/>
    <w:rsid w:val="007422B3"/>
    <w:rsid w:val="007424BF"/>
    <w:rsid w:val="007435F1"/>
    <w:rsid w:val="00743DDD"/>
    <w:rsid w:val="007446BB"/>
    <w:rsid w:val="00745882"/>
    <w:rsid w:val="00745A0F"/>
    <w:rsid w:val="00746197"/>
    <w:rsid w:val="0074689C"/>
    <w:rsid w:val="00746B3F"/>
    <w:rsid w:val="00747B0D"/>
    <w:rsid w:val="00751452"/>
    <w:rsid w:val="007521A5"/>
    <w:rsid w:val="00753959"/>
    <w:rsid w:val="00753DD6"/>
    <w:rsid w:val="00754A4A"/>
    <w:rsid w:val="0075585F"/>
    <w:rsid w:val="007567A8"/>
    <w:rsid w:val="00760F66"/>
    <w:rsid w:val="007611F8"/>
    <w:rsid w:val="0076178D"/>
    <w:rsid w:val="00761931"/>
    <w:rsid w:val="00761BD1"/>
    <w:rsid w:val="0076291E"/>
    <w:rsid w:val="00762D81"/>
    <w:rsid w:val="0076317B"/>
    <w:rsid w:val="007639EA"/>
    <w:rsid w:val="00765366"/>
    <w:rsid w:val="00765914"/>
    <w:rsid w:val="0076614D"/>
    <w:rsid w:val="00766304"/>
    <w:rsid w:val="00767A28"/>
    <w:rsid w:val="00767DD2"/>
    <w:rsid w:val="007706F7"/>
    <w:rsid w:val="00770E60"/>
    <w:rsid w:val="00771C8F"/>
    <w:rsid w:val="0077266E"/>
    <w:rsid w:val="007737D8"/>
    <w:rsid w:val="0077391C"/>
    <w:rsid w:val="00774576"/>
    <w:rsid w:val="0077491B"/>
    <w:rsid w:val="0077508A"/>
    <w:rsid w:val="00775567"/>
    <w:rsid w:val="00775E0D"/>
    <w:rsid w:val="00776343"/>
    <w:rsid w:val="00776416"/>
    <w:rsid w:val="00776C7B"/>
    <w:rsid w:val="00776CEF"/>
    <w:rsid w:val="00777E7E"/>
    <w:rsid w:val="00780193"/>
    <w:rsid w:val="007804DD"/>
    <w:rsid w:val="00780F3B"/>
    <w:rsid w:val="007816EE"/>
    <w:rsid w:val="00782071"/>
    <w:rsid w:val="00782946"/>
    <w:rsid w:val="00782B11"/>
    <w:rsid w:val="0078363B"/>
    <w:rsid w:val="00783CCF"/>
    <w:rsid w:val="0078441A"/>
    <w:rsid w:val="00784609"/>
    <w:rsid w:val="00784720"/>
    <w:rsid w:val="0078481D"/>
    <w:rsid w:val="00784E07"/>
    <w:rsid w:val="00784E52"/>
    <w:rsid w:val="007859FC"/>
    <w:rsid w:val="00785F4C"/>
    <w:rsid w:val="0078609C"/>
    <w:rsid w:val="00786355"/>
    <w:rsid w:val="00786BBC"/>
    <w:rsid w:val="007874AE"/>
    <w:rsid w:val="0078750B"/>
    <w:rsid w:val="00787F5E"/>
    <w:rsid w:val="0079024D"/>
    <w:rsid w:val="007911B8"/>
    <w:rsid w:val="00791DAE"/>
    <w:rsid w:val="007930E8"/>
    <w:rsid w:val="00793F28"/>
    <w:rsid w:val="007944D2"/>
    <w:rsid w:val="00794B19"/>
    <w:rsid w:val="00795B8D"/>
    <w:rsid w:val="00795F0E"/>
    <w:rsid w:val="007A0120"/>
    <w:rsid w:val="007A0C00"/>
    <w:rsid w:val="007A176E"/>
    <w:rsid w:val="007A2A69"/>
    <w:rsid w:val="007A41B5"/>
    <w:rsid w:val="007A4486"/>
    <w:rsid w:val="007A4682"/>
    <w:rsid w:val="007A5BDC"/>
    <w:rsid w:val="007A6610"/>
    <w:rsid w:val="007A6FF3"/>
    <w:rsid w:val="007A71DC"/>
    <w:rsid w:val="007A7436"/>
    <w:rsid w:val="007A7A04"/>
    <w:rsid w:val="007B04FF"/>
    <w:rsid w:val="007B0C90"/>
    <w:rsid w:val="007B0CAC"/>
    <w:rsid w:val="007B0CF0"/>
    <w:rsid w:val="007B15F3"/>
    <w:rsid w:val="007B1701"/>
    <w:rsid w:val="007B1DBB"/>
    <w:rsid w:val="007B2319"/>
    <w:rsid w:val="007B2FBF"/>
    <w:rsid w:val="007B3E13"/>
    <w:rsid w:val="007B4046"/>
    <w:rsid w:val="007B4300"/>
    <w:rsid w:val="007B565C"/>
    <w:rsid w:val="007B595F"/>
    <w:rsid w:val="007B736B"/>
    <w:rsid w:val="007B7A73"/>
    <w:rsid w:val="007C0853"/>
    <w:rsid w:val="007C0E86"/>
    <w:rsid w:val="007C11D3"/>
    <w:rsid w:val="007C1359"/>
    <w:rsid w:val="007C249E"/>
    <w:rsid w:val="007C26CF"/>
    <w:rsid w:val="007C271B"/>
    <w:rsid w:val="007C2B75"/>
    <w:rsid w:val="007C2C14"/>
    <w:rsid w:val="007C3A55"/>
    <w:rsid w:val="007C4073"/>
    <w:rsid w:val="007C44E1"/>
    <w:rsid w:val="007C48DD"/>
    <w:rsid w:val="007C4A05"/>
    <w:rsid w:val="007C5711"/>
    <w:rsid w:val="007C57B9"/>
    <w:rsid w:val="007C5DF7"/>
    <w:rsid w:val="007C6325"/>
    <w:rsid w:val="007C73EE"/>
    <w:rsid w:val="007C7C95"/>
    <w:rsid w:val="007C7EF5"/>
    <w:rsid w:val="007D06AC"/>
    <w:rsid w:val="007D0A53"/>
    <w:rsid w:val="007D0FFC"/>
    <w:rsid w:val="007D1013"/>
    <w:rsid w:val="007D19EC"/>
    <w:rsid w:val="007D36B1"/>
    <w:rsid w:val="007D36D7"/>
    <w:rsid w:val="007D3BA1"/>
    <w:rsid w:val="007D3EC8"/>
    <w:rsid w:val="007D40AC"/>
    <w:rsid w:val="007D482A"/>
    <w:rsid w:val="007D4C12"/>
    <w:rsid w:val="007D57E0"/>
    <w:rsid w:val="007D63B2"/>
    <w:rsid w:val="007D651D"/>
    <w:rsid w:val="007D71B7"/>
    <w:rsid w:val="007E0274"/>
    <w:rsid w:val="007E0415"/>
    <w:rsid w:val="007E0991"/>
    <w:rsid w:val="007E0B2C"/>
    <w:rsid w:val="007E107F"/>
    <w:rsid w:val="007E2FD7"/>
    <w:rsid w:val="007E310B"/>
    <w:rsid w:val="007E38DA"/>
    <w:rsid w:val="007E3ACA"/>
    <w:rsid w:val="007E3D65"/>
    <w:rsid w:val="007E3EE2"/>
    <w:rsid w:val="007E47E7"/>
    <w:rsid w:val="007E4A98"/>
    <w:rsid w:val="007E4EB6"/>
    <w:rsid w:val="007E5DD7"/>
    <w:rsid w:val="007E7139"/>
    <w:rsid w:val="007E7D69"/>
    <w:rsid w:val="007E7EA1"/>
    <w:rsid w:val="007F03CE"/>
    <w:rsid w:val="007F04D3"/>
    <w:rsid w:val="007F2631"/>
    <w:rsid w:val="007F2AE8"/>
    <w:rsid w:val="007F2D8D"/>
    <w:rsid w:val="007F2EBF"/>
    <w:rsid w:val="007F3044"/>
    <w:rsid w:val="007F3249"/>
    <w:rsid w:val="007F4657"/>
    <w:rsid w:val="007F5609"/>
    <w:rsid w:val="007F568A"/>
    <w:rsid w:val="007F59F7"/>
    <w:rsid w:val="007F5E21"/>
    <w:rsid w:val="007F6413"/>
    <w:rsid w:val="007F6772"/>
    <w:rsid w:val="007F6B11"/>
    <w:rsid w:val="007F6E2B"/>
    <w:rsid w:val="00802735"/>
    <w:rsid w:val="00803040"/>
    <w:rsid w:val="00803B7E"/>
    <w:rsid w:val="00803DA6"/>
    <w:rsid w:val="008042C5"/>
    <w:rsid w:val="0080436E"/>
    <w:rsid w:val="00804937"/>
    <w:rsid w:val="00804E1E"/>
    <w:rsid w:val="00804E43"/>
    <w:rsid w:val="008050F5"/>
    <w:rsid w:val="00810BC2"/>
    <w:rsid w:val="00811683"/>
    <w:rsid w:val="00811AFF"/>
    <w:rsid w:val="00812373"/>
    <w:rsid w:val="00813F3A"/>
    <w:rsid w:val="008140E8"/>
    <w:rsid w:val="00814941"/>
    <w:rsid w:val="00814A65"/>
    <w:rsid w:val="00814BD9"/>
    <w:rsid w:val="008158AC"/>
    <w:rsid w:val="00816BE8"/>
    <w:rsid w:val="00816DBD"/>
    <w:rsid w:val="00816FE2"/>
    <w:rsid w:val="00817062"/>
    <w:rsid w:val="00817991"/>
    <w:rsid w:val="00817F58"/>
    <w:rsid w:val="008203C5"/>
    <w:rsid w:val="00820B84"/>
    <w:rsid w:val="00820DD4"/>
    <w:rsid w:val="00821471"/>
    <w:rsid w:val="0082199B"/>
    <w:rsid w:val="008243A8"/>
    <w:rsid w:val="00824925"/>
    <w:rsid w:val="008252E8"/>
    <w:rsid w:val="00825BA8"/>
    <w:rsid w:val="00825C14"/>
    <w:rsid w:val="0082641D"/>
    <w:rsid w:val="008267CA"/>
    <w:rsid w:val="0082722B"/>
    <w:rsid w:val="00827C1B"/>
    <w:rsid w:val="00827D98"/>
    <w:rsid w:val="00827F7F"/>
    <w:rsid w:val="008301F1"/>
    <w:rsid w:val="00830C0E"/>
    <w:rsid w:val="008317EC"/>
    <w:rsid w:val="0083195D"/>
    <w:rsid w:val="008319A4"/>
    <w:rsid w:val="00831B7B"/>
    <w:rsid w:val="00831FFA"/>
    <w:rsid w:val="008324F3"/>
    <w:rsid w:val="0083296B"/>
    <w:rsid w:val="00833344"/>
    <w:rsid w:val="00833852"/>
    <w:rsid w:val="00833AB9"/>
    <w:rsid w:val="008344FC"/>
    <w:rsid w:val="00834820"/>
    <w:rsid w:val="00834C82"/>
    <w:rsid w:val="00834D95"/>
    <w:rsid w:val="00834DB6"/>
    <w:rsid w:val="00834F93"/>
    <w:rsid w:val="00835534"/>
    <w:rsid w:val="00835541"/>
    <w:rsid w:val="00835BBD"/>
    <w:rsid w:val="00840C4A"/>
    <w:rsid w:val="008411B9"/>
    <w:rsid w:val="0084122F"/>
    <w:rsid w:val="00841D08"/>
    <w:rsid w:val="00842D43"/>
    <w:rsid w:val="0084323E"/>
    <w:rsid w:val="00843D50"/>
    <w:rsid w:val="0084464E"/>
    <w:rsid w:val="0084494E"/>
    <w:rsid w:val="0084500E"/>
    <w:rsid w:val="00846262"/>
    <w:rsid w:val="00846370"/>
    <w:rsid w:val="00847665"/>
    <w:rsid w:val="00847BC5"/>
    <w:rsid w:val="00847F11"/>
    <w:rsid w:val="00850010"/>
    <w:rsid w:val="008503F4"/>
    <w:rsid w:val="008504A0"/>
    <w:rsid w:val="00850C2A"/>
    <w:rsid w:val="00850DFA"/>
    <w:rsid w:val="00851331"/>
    <w:rsid w:val="008516D1"/>
    <w:rsid w:val="00852003"/>
    <w:rsid w:val="0085212C"/>
    <w:rsid w:val="0085268C"/>
    <w:rsid w:val="00854053"/>
    <w:rsid w:val="008543AC"/>
    <w:rsid w:val="008548B8"/>
    <w:rsid w:val="00854965"/>
    <w:rsid w:val="008554D1"/>
    <w:rsid w:val="00855616"/>
    <w:rsid w:val="008558E0"/>
    <w:rsid w:val="00855BC7"/>
    <w:rsid w:val="00860109"/>
    <w:rsid w:val="008601BD"/>
    <w:rsid w:val="00860359"/>
    <w:rsid w:val="00860E43"/>
    <w:rsid w:val="008611BD"/>
    <w:rsid w:val="00861252"/>
    <w:rsid w:val="0086171A"/>
    <w:rsid w:val="0086208F"/>
    <w:rsid w:val="0086226C"/>
    <w:rsid w:val="008644A4"/>
    <w:rsid w:val="00864A6C"/>
    <w:rsid w:val="00864BB1"/>
    <w:rsid w:val="00864DF7"/>
    <w:rsid w:val="00865278"/>
    <w:rsid w:val="008654F9"/>
    <w:rsid w:val="00866388"/>
    <w:rsid w:val="0086722D"/>
    <w:rsid w:val="00867D56"/>
    <w:rsid w:val="00870316"/>
    <w:rsid w:val="00870BAA"/>
    <w:rsid w:val="008716D1"/>
    <w:rsid w:val="008716ED"/>
    <w:rsid w:val="0087193F"/>
    <w:rsid w:val="008728C8"/>
    <w:rsid w:val="00873205"/>
    <w:rsid w:val="0087377E"/>
    <w:rsid w:val="008738CE"/>
    <w:rsid w:val="00874594"/>
    <w:rsid w:val="00874776"/>
    <w:rsid w:val="00874B75"/>
    <w:rsid w:val="008750DB"/>
    <w:rsid w:val="0087527F"/>
    <w:rsid w:val="008754B5"/>
    <w:rsid w:val="00875AF3"/>
    <w:rsid w:val="008765E9"/>
    <w:rsid w:val="00876605"/>
    <w:rsid w:val="00876B13"/>
    <w:rsid w:val="00880017"/>
    <w:rsid w:val="00880305"/>
    <w:rsid w:val="0088088A"/>
    <w:rsid w:val="00880A3F"/>
    <w:rsid w:val="00881732"/>
    <w:rsid w:val="008818A2"/>
    <w:rsid w:val="0088213D"/>
    <w:rsid w:val="008821C6"/>
    <w:rsid w:val="0088243D"/>
    <w:rsid w:val="0088251A"/>
    <w:rsid w:val="00882D28"/>
    <w:rsid w:val="00883A67"/>
    <w:rsid w:val="00883EAF"/>
    <w:rsid w:val="008848E9"/>
    <w:rsid w:val="00884ADC"/>
    <w:rsid w:val="00884FD8"/>
    <w:rsid w:val="00885244"/>
    <w:rsid w:val="008858B3"/>
    <w:rsid w:val="008866CF"/>
    <w:rsid w:val="00886782"/>
    <w:rsid w:val="008869A1"/>
    <w:rsid w:val="00886B3F"/>
    <w:rsid w:val="0088766F"/>
    <w:rsid w:val="0089015D"/>
    <w:rsid w:val="0089021A"/>
    <w:rsid w:val="0089022E"/>
    <w:rsid w:val="00890285"/>
    <w:rsid w:val="00890A7C"/>
    <w:rsid w:val="00890D11"/>
    <w:rsid w:val="008910EE"/>
    <w:rsid w:val="008919C4"/>
    <w:rsid w:val="00891A26"/>
    <w:rsid w:val="008923F8"/>
    <w:rsid w:val="008928F1"/>
    <w:rsid w:val="00892BBF"/>
    <w:rsid w:val="00892DB5"/>
    <w:rsid w:val="008942BD"/>
    <w:rsid w:val="0089478A"/>
    <w:rsid w:val="00894FE5"/>
    <w:rsid w:val="008956DA"/>
    <w:rsid w:val="00895BA9"/>
    <w:rsid w:val="0089601B"/>
    <w:rsid w:val="00896586"/>
    <w:rsid w:val="00896784"/>
    <w:rsid w:val="00897824"/>
    <w:rsid w:val="00897BCB"/>
    <w:rsid w:val="00897C07"/>
    <w:rsid w:val="008A02FA"/>
    <w:rsid w:val="008A06A8"/>
    <w:rsid w:val="008A1AAC"/>
    <w:rsid w:val="008A2956"/>
    <w:rsid w:val="008A2EA1"/>
    <w:rsid w:val="008A2EF6"/>
    <w:rsid w:val="008A3480"/>
    <w:rsid w:val="008A4F3C"/>
    <w:rsid w:val="008A51AD"/>
    <w:rsid w:val="008A53BA"/>
    <w:rsid w:val="008A551D"/>
    <w:rsid w:val="008A56BA"/>
    <w:rsid w:val="008A570A"/>
    <w:rsid w:val="008A58E4"/>
    <w:rsid w:val="008A58E7"/>
    <w:rsid w:val="008A5C1D"/>
    <w:rsid w:val="008A615A"/>
    <w:rsid w:val="008A6A36"/>
    <w:rsid w:val="008A6DC1"/>
    <w:rsid w:val="008A7100"/>
    <w:rsid w:val="008A7139"/>
    <w:rsid w:val="008A776D"/>
    <w:rsid w:val="008A7C74"/>
    <w:rsid w:val="008B03CB"/>
    <w:rsid w:val="008B04C0"/>
    <w:rsid w:val="008B0A83"/>
    <w:rsid w:val="008B0E93"/>
    <w:rsid w:val="008B29A4"/>
    <w:rsid w:val="008B2C30"/>
    <w:rsid w:val="008B3C2B"/>
    <w:rsid w:val="008B4679"/>
    <w:rsid w:val="008B4D00"/>
    <w:rsid w:val="008B4D13"/>
    <w:rsid w:val="008B4E78"/>
    <w:rsid w:val="008B4FE2"/>
    <w:rsid w:val="008B66EE"/>
    <w:rsid w:val="008B6793"/>
    <w:rsid w:val="008B6E87"/>
    <w:rsid w:val="008B75C2"/>
    <w:rsid w:val="008B787A"/>
    <w:rsid w:val="008C0A89"/>
    <w:rsid w:val="008C0E71"/>
    <w:rsid w:val="008C1852"/>
    <w:rsid w:val="008C2CFF"/>
    <w:rsid w:val="008C2E22"/>
    <w:rsid w:val="008C2ED2"/>
    <w:rsid w:val="008C3D4D"/>
    <w:rsid w:val="008C4026"/>
    <w:rsid w:val="008C417E"/>
    <w:rsid w:val="008C6105"/>
    <w:rsid w:val="008C6124"/>
    <w:rsid w:val="008C6334"/>
    <w:rsid w:val="008C6968"/>
    <w:rsid w:val="008C742A"/>
    <w:rsid w:val="008C7714"/>
    <w:rsid w:val="008D00F3"/>
    <w:rsid w:val="008D18CD"/>
    <w:rsid w:val="008D1A9C"/>
    <w:rsid w:val="008D20E0"/>
    <w:rsid w:val="008D335C"/>
    <w:rsid w:val="008D35B7"/>
    <w:rsid w:val="008D4159"/>
    <w:rsid w:val="008D436A"/>
    <w:rsid w:val="008D4C72"/>
    <w:rsid w:val="008D561B"/>
    <w:rsid w:val="008D5CF9"/>
    <w:rsid w:val="008D6794"/>
    <w:rsid w:val="008D7F65"/>
    <w:rsid w:val="008E0178"/>
    <w:rsid w:val="008E02F8"/>
    <w:rsid w:val="008E211C"/>
    <w:rsid w:val="008E2BB3"/>
    <w:rsid w:val="008E2BC5"/>
    <w:rsid w:val="008E2C79"/>
    <w:rsid w:val="008E3176"/>
    <w:rsid w:val="008E3564"/>
    <w:rsid w:val="008E3A0B"/>
    <w:rsid w:val="008E3AAB"/>
    <w:rsid w:val="008E4043"/>
    <w:rsid w:val="008E5868"/>
    <w:rsid w:val="008E5DC8"/>
    <w:rsid w:val="008E6465"/>
    <w:rsid w:val="008E6C57"/>
    <w:rsid w:val="008E7082"/>
    <w:rsid w:val="008F0952"/>
    <w:rsid w:val="008F1154"/>
    <w:rsid w:val="008F16A1"/>
    <w:rsid w:val="008F1B84"/>
    <w:rsid w:val="008F1DB6"/>
    <w:rsid w:val="008F39C0"/>
    <w:rsid w:val="008F4476"/>
    <w:rsid w:val="008F45AE"/>
    <w:rsid w:val="008F57CD"/>
    <w:rsid w:val="008F5960"/>
    <w:rsid w:val="008F5CD0"/>
    <w:rsid w:val="008F629A"/>
    <w:rsid w:val="008F6A9B"/>
    <w:rsid w:val="008F769D"/>
    <w:rsid w:val="008F76DC"/>
    <w:rsid w:val="008F7D65"/>
    <w:rsid w:val="009013C5"/>
    <w:rsid w:val="0090147B"/>
    <w:rsid w:val="00901649"/>
    <w:rsid w:val="00901A6C"/>
    <w:rsid w:val="00903026"/>
    <w:rsid w:val="009031AA"/>
    <w:rsid w:val="0090357B"/>
    <w:rsid w:val="009044BE"/>
    <w:rsid w:val="009048EB"/>
    <w:rsid w:val="00904913"/>
    <w:rsid w:val="00904CDE"/>
    <w:rsid w:val="009050B3"/>
    <w:rsid w:val="00905945"/>
    <w:rsid w:val="00905FEB"/>
    <w:rsid w:val="0090672E"/>
    <w:rsid w:val="00906A4F"/>
    <w:rsid w:val="00906BD6"/>
    <w:rsid w:val="009078BA"/>
    <w:rsid w:val="009079C7"/>
    <w:rsid w:val="009079F7"/>
    <w:rsid w:val="00907C33"/>
    <w:rsid w:val="009108D2"/>
    <w:rsid w:val="00910FE1"/>
    <w:rsid w:val="0091106A"/>
    <w:rsid w:val="00911D1C"/>
    <w:rsid w:val="00912F38"/>
    <w:rsid w:val="00913C58"/>
    <w:rsid w:val="009140B4"/>
    <w:rsid w:val="00914174"/>
    <w:rsid w:val="00914195"/>
    <w:rsid w:val="0091428A"/>
    <w:rsid w:val="00914AA5"/>
    <w:rsid w:val="009162DD"/>
    <w:rsid w:val="009163E7"/>
    <w:rsid w:val="0091671A"/>
    <w:rsid w:val="009169F6"/>
    <w:rsid w:val="0091719D"/>
    <w:rsid w:val="0091787B"/>
    <w:rsid w:val="00920B1E"/>
    <w:rsid w:val="00920DD5"/>
    <w:rsid w:val="00921161"/>
    <w:rsid w:val="00922492"/>
    <w:rsid w:val="009224EB"/>
    <w:rsid w:val="0092272F"/>
    <w:rsid w:val="00922BE2"/>
    <w:rsid w:val="00922EDE"/>
    <w:rsid w:val="009237D9"/>
    <w:rsid w:val="00923D5C"/>
    <w:rsid w:val="0092406C"/>
    <w:rsid w:val="00924096"/>
    <w:rsid w:val="009243BC"/>
    <w:rsid w:val="009244D5"/>
    <w:rsid w:val="00924D4F"/>
    <w:rsid w:val="009252F1"/>
    <w:rsid w:val="00925AF5"/>
    <w:rsid w:val="00926268"/>
    <w:rsid w:val="009264A2"/>
    <w:rsid w:val="0092715D"/>
    <w:rsid w:val="00930632"/>
    <w:rsid w:val="00930BFC"/>
    <w:rsid w:val="009310BC"/>
    <w:rsid w:val="009324C4"/>
    <w:rsid w:val="00932671"/>
    <w:rsid w:val="00932A7A"/>
    <w:rsid w:val="00932E30"/>
    <w:rsid w:val="009330BF"/>
    <w:rsid w:val="00933817"/>
    <w:rsid w:val="00934510"/>
    <w:rsid w:val="0093476C"/>
    <w:rsid w:val="00935A1E"/>
    <w:rsid w:val="00935B7C"/>
    <w:rsid w:val="00935E3A"/>
    <w:rsid w:val="0093607C"/>
    <w:rsid w:val="00940008"/>
    <w:rsid w:val="009404D5"/>
    <w:rsid w:val="00940FFA"/>
    <w:rsid w:val="00941503"/>
    <w:rsid w:val="00942C90"/>
    <w:rsid w:val="00942F29"/>
    <w:rsid w:val="00942FB6"/>
    <w:rsid w:val="00943EA6"/>
    <w:rsid w:val="009448F2"/>
    <w:rsid w:val="00945759"/>
    <w:rsid w:val="009466E9"/>
    <w:rsid w:val="00946877"/>
    <w:rsid w:val="00946CB3"/>
    <w:rsid w:val="00946D20"/>
    <w:rsid w:val="00946E51"/>
    <w:rsid w:val="009473F4"/>
    <w:rsid w:val="00950231"/>
    <w:rsid w:val="00950794"/>
    <w:rsid w:val="009507AA"/>
    <w:rsid w:val="009509EF"/>
    <w:rsid w:val="00950BF0"/>
    <w:rsid w:val="00951691"/>
    <w:rsid w:val="00951FCE"/>
    <w:rsid w:val="0095226C"/>
    <w:rsid w:val="00952C05"/>
    <w:rsid w:val="00952DB3"/>
    <w:rsid w:val="009540B7"/>
    <w:rsid w:val="009543D0"/>
    <w:rsid w:val="00954DAE"/>
    <w:rsid w:val="00955410"/>
    <w:rsid w:val="009558EE"/>
    <w:rsid w:val="009559D5"/>
    <w:rsid w:val="00956170"/>
    <w:rsid w:val="00956D42"/>
    <w:rsid w:val="0095727F"/>
    <w:rsid w:val="009572AF"/>
    <w:rsid w:val="00957E41"/>
    <w:rsid w:val="009607AB"/>
    <w:rsid w:val="009615DB"/>
    <w:rsid w:val="00962683"/>
    <w:rsid w:val="00962D2B"/>
    <w:rsid w:val="00962E23"/>
    <w:rsid w:val="0096487C"/>
    <w:rsid w:val="00964BC2"/>
    <w:rsid w:val="00964D4A"/>
    <w:rsid w:val="00964EAE"/>
    <w:rsid w:val="00965023"/>
    <w:rsid w:val="009650B7"/>
    <w:rsid w:val="00965841"/>
    <w:rsid w:val="00966623"/>
    <w:rsid w:val="009678DB"/>
    <w:rsid w:val="00970728"/>
    <w:rsid w:val="009707C9"/>
    <w:rsid w:val="00972FB5"/>
    <w:rsid w:val="009736FE"/>
    <w:rsid w:val="00973B96"/>
    <w:rsid w:val="00973E3C"/>
    <w:rsid w:val="00974763"/>
    <w:rsid w:val="00974FF0"/>
    <w:rsid w:val="009757CA"/>
    <w:rsid w:val="00976E76"/>
    <w:rsid w:val="00977A14"/>
    <w:rsid w:val="00977E9B"/>
    <w:rsid w:val="009807BF"/>
    <w:rsid w:val="009809CE"/>
    <w:rsid w:val="00981479"/>
    <w:rsid w:val="009829B3"/>
    <w:rsid w:val="00982A12"/>
    <w:rsid w:val="00982D45"/>
    <w:rsid w:val="009833C4"/>
    <w:rsid w:val="009834E0"/>
    <w:rsid w:val="00983D27"/>
    <w:rsid w:val="009846C3"/>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0495"/>
    <w:rsid w:val="009911D0"/>
    <w:rsid w:val="0099177B"/>
    <w:rsid w:val="0099367E"/>
    <w:rsid w:val="00993FE4"/>
    <w:rsid w:val="0099425E"/>
    <w:rsid w:val="00994CDC"/>
    <w:rsid w:val="0099770A"/>
    <w:rsid w:val="00997769"/>
    <w:rsid w:val="00997A2E"/>
    <w:rsid w:val="009A048E"/>
    <w:rsid w:val="009A119F"/>
    <w:rsid w:val="009A15C6"/>
    <w:rsid w:val="009A1609"/>
    <w:rsid w:val="009A19CD"/>
    <w:rsid w:val="009A1A7E"/>
    <w:rsid w:val="009A22A7"/>
    <w:rsid w:val="009A3DB8"/>
    <w:rsid w:val="009A43B3"/>
    <w:rsid w:val="009A464D"/>
    <w:rsid w:val="009A496F"/>
    <w:rsid w:val="009A4B78"/>
    <w:rsid w:val="009A4D73"/>
    <w:rsid w:val="009A4E41"/>
    <w:rsid w:val="009A5242"/>
    <w:rsid w:val="009A5297"/>
    <w:rsid w:val="009A5D36"/>
    <w:rsid w:val="009A5D40"/>
    <w:rsid w:val="009A5E10"/>
    <w:rsid w:val="009A6665"/>
    <w:rsid w:val="009A743F"/>
    <w:rsid w:val="009A74F7"/>
    <w:rsid w:val="009B00F2"/>
    <w:rsid w:val="009B1113"/>
    <w:rsid w:val="009B1C34"/>
    <w:rsid w:val="009B1D22"/>
    <w:rsid w:val="009B1E86"/>
    <w:rsid w:val="009B27C4"/>
    <w:rsid w:val="009B2D92"/>
    <w:rsid w:val="009B3250"/>
    <w:rsid w:val="009B42D2"/>
    <w:rsid w:val="009B4A06"/>
    <w:rsid w:val="009B6029"/>
    <w:rsid w:val="009B737C"/>
    <w:rsid w:val="009B73AF"/>
    <w:rsid w:val="009B742E"/>
    <w:rsid w:val="009B7E57"/>
    <w:rsid w:val="009C0374"/>
    <w:rsid w:val="009C0AC6"/>
    <w:rsid w:val="009C11B2"/>
    <w:rsid w:val="009C1456"/>
    <w:rsid w:val="009C2077"/>
    <w:rsid w:val="009C22DD"/>
    <w:rsid w:val="009C359E"/>
    <w:rsid w:val="009C37FE"/>
    <w:rsid w:val="009C3903"/>
    <w:rsid w:val="009C4082"/>
    <w:rsid w:val="009C4A38"/>
    <w:rsid w:val="009C55E2"/>
    <w:rsid w:val="009C5A4E"/>
    <w:rsid w:val="009C5EE5"/>
    <w:rsid w:val="009C61E3"/>
    <w:rsid w:val="009C666D"/>
    <w:rsid w:val="009C6B56"/>
    <w:rsid w:val="009C7826"/>
    <w:rsid w:val="009C7DB8"/>
    <w:rsid w:val="009D010D"/>
    <w:rsid w:val="009D0244"/>
    <w:rsid w:val="009D0F71"/>
    <w:rsid w:val="009D111C"/>
    <w:rsid w:val="009D17A0"/>
    <w:rsid w:val="009D1F7A"/>
    <w:rsid w:val="009D2873"/>
    <w:rsid w:val="009D3A1A"/>
    <w:rsid w:val="009D426A"/>
    <w:rsid w:val="009D600A"/>
    <w:rsid w:val="009D61FC"/>
    <w:rsid w:val="009D6B03"/>
    <w:rsid w:val="009D6B3D"/>
    <w:rsid w:val="009D7422"/>
    <w:rsid w:val="009D77D7"/>
    <w:rsid w:val="009D78CE"/>
    <w:rsid w:val="009D78E7"/>
    <w:rsid w:val="009E0515"/>
    <w:rsid w:val="009E0742"/>
    <w:rsid w:val="009E1291"/>
    <w:rsid w:val="009E12BC"/>
    <w:rsid w:val="009E224D"/>
    <w:rsid w:val="009E2A07"/>
    <w:rsid w:val="009E3398"/>
    <w:rsid w:val="009E3E84"/>
    <w:rsid w:val="009E4097"/>
    <w:rsid w:val="009E4D8E"/>
    <w:rsid w:val="009E4E90"/>
    <w:rsid w:val="009E4EB7"/>
    <w:rsid w:val="009E57C1"/>
    <w:rsid w:val="009E624A"/>
    <w:rsid w:val="009E6B32"/>
    <w:rsid w:val="009E70F3"/>
    <w:rsid w:val="009E7E98"/>
    <w:rsid w:val="009F00EE"/>
    <w:rsid w:val="009F0827"/>
    <w:rsid w:val="009F0BED"/>
    <w:rsid w:val="009F1673"/>
    <w:rsid w:val="009F3255"/>
    <w:rsid w:val="009F34AA"/>
    <w:rsid w:val="009F3DCE"/>
    <w:rsid w:val="009F44FF"/>
    <w:rsid w:val="009F472D"/>
    <w:rsid w:val="009F4CF0"/>
    <w:rsid w:val="009F4E88"/>
    <w:rsid w:val="009F50D1"/>
    <w:rsid w:val="009F573B"/>
    <w:rsid w:val="009F5918"/>
    <w:rsid w:val="009F596D"/>
    <w:rsid w:val="009F6A91"/>
    <w:rsid w:val="009F71AA"/>
    <w:rsid w:val="009F754A"/>
    <w:rsid w:val="009F791F"/>
    <w:rsid w:val="009F7DE6"/>
    <w:rsid w:val="009F7F86"/>
    <w:rsid w:val="00A0034D"/>
    <w:rsid w:val="00A00BFB"/>
    <w:rsid w:val="00A00DCF"/>
    <w:rsid w:val="00A0187E"/>
    <w:rsid w:val="00A026F0"/>
    <w:rsid w:val="00A02F2D"/>
    <w:rsid w:val="00A02F61"/>
    <w:rsid w:val="00A03E0E"/>
    <w:rsid w:val="00A040D1"/>
    <w:rsid w:val="00A042E2"/>
    <w:rsid w:val="00A04A0A"/>
    <w:rsid w:val="00A050A8"/>
    <w:rsid w:val="00A056A3"/>
    <w:rsid w:val="00A06286"/>
    <w:rsid w:val="00A06318"/>
    <w:rsid w:val="00A063BC"/>
    <w:rsid w:val="00A066F4"/>
    <w:rsid w:val="00A06E80"/>
    <w:rsid w:val="00A0711F"/>
    <w:rsid w:val="00A07B0B"/>
    <w:rsid w:val="00A102A0"/>
    <w:rsid w:val="00A114FA"/>
    <w:rsid w:val="00A11AF3"/>
    <w:rsid w:val="00A12C09"/>
    <w:rsid w:val="00A12EAD"/>
    <w:rsid w:val="00A13084"/>
    <w:rsid w:val="00A13817"/>
    <w:rsid w:val="00A15A3A"/>
    <w:rsid w:val="00A15F4F"/>
    <w:rsid w:val="00A160AB"/>
    <w:rsid w:val="00A16745"/>
    <w:rsid w:val="00A16747"/>
    <w:rsid w:val="00A20582"/>
    <w:rsid w:val="00A20C65"/>
    <w:rsid w:val="00A20EE8"/>
    <w:rsid w:val="00A214E6"/>
    <w:rsid w:val="00A21767"/>
    <w:rsid w:val="00A21A5B"/>
    <w:rsid w:val="00A21FD5"/>
    <w:rsid w:val="00A22751"/>
    <w:rsid w:val="00A22940"/>
    <w:rsid w:val="00A2343F"/>
    <w:rsid w:val="00A2428B"/>
    <w:rsid w:val="00A2457D"/>
    <w:rsid w:val="00A247E5"/>
    <w:rsid w:val="00A24B11"/>
    <w:rsid w:val="00A24CA9"/>
    <w:rsid w:val="00A24D81"/>
    <w:rsid w:val="00A24EA5"/>
    <w:rsid w:val="00A25173"/>
    <w:rsid w:val="00A252F0"/>
    <w:rsid w:val="00A26463"/>
    <w:rsid w:val="00A2660E"/>
    <w:rsid w:val="00A26916"/>
    <w:rsid w:val="00A269F4"/>
    <w:rsid w:val="00A26B47"/>
    <w:rsid w:val="00A26FF1"/>
    <w:rsid w:val="00A27806"/>
    <w:rsid w:val="00A3068C"/>
    <w:rsid w:val="00A3127F"/>
    <w:rsid w:val="00A31BCC"/>
    <w:rsid w:val="00A320EB"/>
    <w:rsid w:val="00A325BB"/>
    <w:rsid w:val="00A3297A"/>
    <w:rsid w:val="00A32A58"/>
    <w:rsid w:val="00A32EEC"/>
    <w:rsid w:val="00A336C5"/>
    <w:rsid w:val="00A35751"/>
    <w:rsid w:val="00A3577F"/>
    <w:rsid w:val="00A359E3"/>
    <w:rsid w:val="00A35BBC"/>
    <w:rsid w:val="00A36724"/>
    <w:rsid w:val="00A367AF"/>
    <w:rsid w:val="00A36C13"/>
    <w:rsid w:val="00A37693"/>
    <w:rsid w:val="00A37A31"/>
    <w:rsid w:val="00A40B4D"/>
    <w:rsid w:val="00A411E2"/>
    <w:rsid w:val="00A41373"/>
    <w:rsid w:val="00A41B15"/>
    <w:rsid w:val="00A4224E"/>
    <w:rsid w:val="00A42ACA"/>
    <w:rsid w:val="00A430B8"/>
    <w:rsid w:val="00A43AAB"/>
    <w:rsid w:val="00A44AAD"/>
    <w:rsid w:val="00A45280"/>
    <w:rsid w:val="00A45BF7"/>
    <w:rsid w:val="00A463B5"/>
    <w:rsid w:val="00A463BA"/>
    <w:rsid w:val="00A46675"/>
    <w:rsid w:val="00A471A3"/>
    <w:rsid w:val="00A47E44"/>
    <w:rsid w:val="00A47F91"/>
    <w:rsid w:val="00A50210"/>
    <w:rsid w:val="00A50A5C"/>
    <w:rsid w:val="00A50CC6"/>
    <w:rsid w:val="00A50E40"/>
    <w:rsid w:val="00A51946"/>
    <w:rsid w:val="00A51FF7"/>
    <w:rsid w:val="00A52143"/>
    <w:rsid w:val="00A521E9"/>
    <w:rsid w:val="00A5298E"/>
    <w:rsid w:val="00A52B3E"/>
    <w:rsid w:val="00A5320E"/>
    <w:rsid w:val="00A53F7B"/>
    <w:rsid w:val="00A54282"/>
    <w:rsid w:val="00A549D3"/>
    <w:rsid w:val="00A54DF0"/>
    <w:rsid w:val="00A57532"/>
    <w:rsid w:val="00A57E60"/>
    <w:rsid w:val="00A60849"/>
    <w:rsid w:val="00A60DAC"/>
    <w:rsid w:val="00A61355"/>
    <w:rsid w:val="00A628F8"/>
    <w:rsid w:val="00A62B7A"/>
    <w:rsid w:val="00A62DD4"/>
    <w:rsid w:val="00A632EA"/>
    <w:rsid w:val="00A634BE"/>
    <w:rsid w:val="00A63AD7"/>
    <w:rsid w:val="00A63BFD"/>
    <w:rsid w:val="00A64104"/>
    <w:rsid w:val="00A6491F"/>
    <w:rsid w:val="00A64C72"/>
    <w:rsid w:val="00A64D1A"/>
    <w:rsid w:val="00A65320"/>
    <w:rsid w:val="00A65BA5"/>
    <w:rsid w:val="00A65E14"/>
    <w:rsid w:val="00A66354"/>
    <w:rsid w:val="00A66E37"/>
    <w:rsid w:val="00A67E38"/>
    <w:rsid w:val="00A703E4"/>
    <w:rsid w:val="00A70DC6"/>
    <w:rsid w:val="00A71986"/>
    <w:rsid w:val="00A71E73"/>
    <w:rsid w:val="00A72740"/>
    <w:rsid w:val="00A73A64"/>
    <w:rsid w:val="00A742AD"/>
    <w:rsid w:val="00A74669"/>
    <w:rsid w:val="00A75A46"/>
    <w:rsid w:val="00A75B36"/>
    <w:rsid w:val="00A75EEE"/>
    <w:rsid w:val="00A7663A"/>
    <w:rsid w:val="00A769D4"/>
    <w:rsid w:val="00A772E0"/>
    <w:rsid w:val="00A804C7"/>
    <w:rsid w:val="00A80A39"/>
    <w:rsid w:val="00A80DF0"/>
    <w:rsid w:val="00A80E64"/>
    <w:rsid w:val="00A825C8"/>
    <w:rsid w:val="00A82742"/>
    <w:rsid w:val="00A83984"/>
    <w:rsid w:val="00A83A1E"/>
    <w:rsid w:val="00A84198"/>
    <w:rsid w:val="00A841AB"/>
    <w:rsid w:val="00A86104"/>
    <w:rsid w:val="00A8655A"/>
    <w:rsid w:val="00A87203"/>
    <w:rsid w:val="00A87744"/>
    <w:rsid w:val="00A87B09"/>
    <w:rsid w:val="00A87C22"/>
    <w:rsid w:val="00A90CB4"/>
    <w:rsid w:val="00A910DA"/>
    <w:rsid w:val="00A920E1"/>
    <w:rsid w:val="00A924C0"/>
    <w:rsid w:val="00A933AE"/>
    <w:rsid w:val="00A93863"/>
    <w:rsid w:val="00A9415E"/>
    <w:rsid w:val="00A94EBD"/>
    <w:rsid w:val="00A9510D"/>
    <w:rsid w:val="00A95577"/>
    <w:rsid w:val="00A956AC"/>
    <w:rsid w:val="00A95D2A"/>
    <w:rsid w:val="00A96214"/>
    <w:rsid w:val="00A97F4B"/>
    <w:rsid w:val="00AA04C5"/>
    <w:rsid w:val="00AA19E6"/>
    <w:rsid w:val="00AA2803"/>
    <w:rsid w:val="00AA2D68"/>
    <w:rsid w:val="00AA2D6F"/>
    <w:rsid w:val="00AA3B68"/>
    <w:rsid w:val="00AA3E79"/>
    <w:rsid w:val="00AA4FB4"/>
    <w:rsid w:val="00AA5C0B"/>
    <w:rsid w:val="00AA5E3B"/>
    <w:rsid w:val="00AA65B4"/>
    <w:rsid w:val="00AA745E"/>
    <w:rsid w:val="00AB04AB"/>
    <w:rsid w:val="00AB0733"/>
    <w:rsid w:val="00AB09D2"/>
    <w:rsid w:val="00AB0B64"/>
    <w:rsid w:val="00AB176B"/>
    <w:rsid w:val="00AB37E6"/>
    <w:rsid w:val="00AB431C"/>
    <w:rsid w:val="00AB470E"/>
    <w:rsid w:val="00AB5A7E"/>
    <w:rsid w:val="00AB7538"/>
    <w:rsid w:val="00AB77F3"/>
    <w:rsid w:val="00AC0AAD"/>
    <w:rsid w:val="00AC1231"/>
    <w:rsid w:val="00AC18B7"/>
    <w:rsid w:val="00AC1992"/>
    <w:rsid w:val="00AC1E14"/>
    <w:rsid w:val="00AC2CFA"/>
    <w:rsid w:val="00AC3263"/>
    <w:rsid w:val="00AC3E12"/>
    <w:rsid w:val="00AC430C"/>
    <w:rsid w:val="00AC544A"/>
    <w:rsid w:val="00AC5C19"/>
    <w:rsid w:val="00AC6657"/>
    <w:rsid w:val="00AC6D7A"/>
    <w:rsid w:val="00AC7363"/>
    <w:rsid w:val="00AC7401"/>
    <w:rsid w:val="00AC7901"/>
    <w:rsid w:val="00AC79F3"/>
    <w:rsid w:val="00AC7FDD"/>
    <w:rsid w:val="00AD0949"/>
    <w:rsid w:val="00AD0B8F"/>
    <w:rsid w:val="00AD0F1D"/>
    <w:rsid w:val="00AD1359"/>
    <w:rsid w:val="00AD19F0"/>
    <w:rsid w:val="00AD1FCE"/>
    <w:rsid w:val="00AD26E1"/>
    <w:rsid w:val="00AD29CC"/>
    <w:rsid w:val="00AD3DE2"/>
    <w:rsid w:val="00AD4261"/>
    <w:rsid w:val="00AD46F5"/>
    <w:rsid w:val="00AD51A3"/>
    <w:rsid w:val="00AD7154"/>
    <w:rsid w:val="00AD797D"/>
    <w:rsid w:val="00AE0483"/>
    <w:rsid w:val="00AE0B47"/>
    <w:rsid w:val="00AE0EEC"/>
    <w:rsid w:val="00AE13BD"/>
    <w:rsid w:val="00AE1AF9"/>
    <w:rsid w:val="00AE1E60"/>
    <w:rsid w:val="00AE2258"/>
    <w:rsid w:val="00AE277E"/>
    <w:rsid w:val="00AE2BC6"/>
    <w:rsid w:val="00AE3251"/>
    <w:rsid w:val="00AE4BFA"/>
    <w:rsid w:val="00AE5058"/>
    <w:rsid w:val="00AE54AA"/>
    <w:rsid w:val="00AE6872"/>
    <w:rsid w:val="00AE72C4"/>
    <w:rsid w:val="00AE7F05"/>
    <w:rsid w:val="00AE7F38"/>
    <w:rsid w:val="00AF0DC9"/>
    <w:rsid w:val="00AF24E7"/>
    <w:rsid w:val="00AF291B"/>
    <w:rsid w:val="00AF2AB8"/>
    <w:rsid w:val="00AF2DAA"/>
    <w:rsid w:val="00AF2EBD"/>
    <w:rsid w:val="00AF33AE"/>
    <w:rsid w:val="00AF44B1"/>
    <w:rsid w:val="00AF5300"/>
    <w:rsid w:val="00AF5800"/>
    <w:rsid w:val="00AF6986"/>
    <w:rsid w:val="00AF7D69"/>
    <w:rsid w:val="00AF7ED2"/>
    <w:rsid w:val="00B004D8"/>
    <w:rsid w:val="00B00CC5"/>
    <w:rsid w:val="00B02091"/>
    <w:rsid w:val="00B02B43"/>
    <w:rsid w:val="00B03D36"/>
    <w:rsid w:val="00B05116"/>
    <w:rsid w:val="00B051A7"/>
    <w:rsid w:val="00B05464"/>
    <w:rsid w:val="00B05F1A"/>
    <w:rsid w:val="00B07B33"/>
    <w:rsid w:val="00B07FA2"/>
    <w:rsid w:val="00B100CF"/>
    <w:rsid w:val="00B10E82"/>
    <w:rsid w:val="00B111A6"/>
    <w:rsid w:val="00B118EE"/>
    <w:rsid w:val="00B11B03"/>
    <w:rsid w:val="00B11C5B"/>
    <w:rsid w:val="00B11EAA"/>
    <w:rsid w:val="00B121CD"/>
    <w:rsid w:val="00B12343"/>
    <w:rsid w:val="00B12529"/>
    <w:rsid w:val="00B12B11"/>
    <w:rsid w:val="00B135AB"/>
    <w:rsid w:val="00B137BF"/>
    <w:rsid w:val="00B13A1B"/>
    <w:rsid w:val="00B158A3"/>
    <w:rsid w:val="00B15B25"/>
    <w:rsid w:val="00B15EA0"/>
    <w:rsid w:val="00B15EE8"/>
    <w:rsid w:val="00B17A4E"/>
    <w:rsid w:val="00B17B30"/>
    <w:rsid w:val="00B17C2F"/>
    <w:rsid w:val="00B2153E"/>
    <w:rsid w:val="00B21FA7"/>
    <w:rsid w:val="00B22022"/>
    <w:rsid w:val="00B225E4"/>
    <w:rsid w:val="00B23F7A"/>
    <w:rsid w:val="00B240B1"/>
    <w:rsid w:val="00B24208"/>
    <w:rsid w:val="00B248A9"/>
    <w:rsid w:val="00B24D28"/>
    <w:rsid w:val="00B24F1C"/>
    <w:rsid w:val="00B25D76"/>
    <w:rsid w:val="00B26B0E"/>
    <w:rsid w:val="00B27032"/>
    <w:rsid w:val="00B30003"/>
    <w:rsid w:val="00B31201"/>
    <w:rsid w:val="00B31B4B"/>
    <w:rsid w:val="00B31E36"/>
    <w:rsid w:val="00B32E26"/>
    <w:rsid w:val="00B338B7"/>
    <w:rsid w:val="00B34441"/>
    <w:rsid w:val="00B35534"/>
    <w:rsid w:val="00B35AFD"/>
    <w:rsid w:val="00B35F9A"/>
    <w:rsid w:val="00B3662E"/>
    <w:rsid w:val="00B366D2"/>
    <w:rsid w:val="00B366FA"/>
    <w:rsid w:val="00B36E86"/>
    <w:rsid w:val="00B379BA"/>
    <w:rsid w:val="00B412FD"/>
    <w:rsid w:val="00B422BE"/>
    <w:rsid w:val="00B4241D"/>
    <w:rsid w:val="00B426BB"/>
    <w:rsid w:val="00B42EB9"/>
    <w:rsid w:val="00B441FE"/>
    <w:rsid w:val="00B44821"/>
    <w:rsid w:val="00B448CC"/>
    <w:rsid w:val="00B44AD3"/>
    <w:rsid w:val="00B45E54"/>
    <w:rsid w:val="00B464E4"/>
    <w:rsid w:val="00B46D5F"/>
    <w:rsid w:val="00B47DC5"/>
    <w:rsid w:val="00B505B3"/>
    <w:rsid w:val="00B50A74"/>
    <w:rsid w:val="00B520A0"/>
    <w:rsid w:val="00B525CE"/>
    <w:rsid w:val="00B52CFD"/>
    <w:rsid w:val="00B545A8"/>
    <w:rsid w:val="00B54C8E"/>
    <w:rsid w:val="00B55659"/>
    <w:rsid w:val="00B56527"/>
    <w:rsid w:val="00B576DA"/>
    <w:rsid w:val="00B57710"/>
    <w:rsid w:val="00B601C9"/>
    <w:rsid w:val="00B6073E"/>
    <w:rsid w:val="00B60D04"/>
    <w:rsid w:val="00B61EE8"/>
    <w:rsid w:val="00B627FA"/>
    <w:rsid w:val="00B63533"/>
    <w:rsid w:val="00B63BDB"/>
    <w:rsid w:val="00B64A0E"/>
    <w:rsid w:val="00B64DDF"/>
    <w:rsid w:val="00B6601E"/>
    <w:rsid w:val="00B663AA"/>
    <w:rsid w:val="00B66DD5"/>
    <w:rsid w:val="00B67B97"/>
    <w:rsid w:val="00B67F01"/>
    <w:rsid w:val="00B711AB"/>
    <w:rsid w:val="00B714F0"/>
    <w:rsid w:val="00B71A40"/>
    <w:rsid w:val="00B71CB4"/>
    <w:rsid w:val="00B725E7"/>
    <w:rsid w:val="00B72C07"/>
    <w:rsid w:val="00B72DF7"/>
    <w:rsid w:val="00B72F42"/>
    <w:rsid w:val="00B73E44"/>
    <w:rsid w:val="00B74290"/>
    <w:rsid w:val="00B74BD4"/>
    <w:rsid w:val="00B74BF7"/>
    <w:rsid w:val="00B76185"/>
    <w:rsid w:val="00B76BCD"/>
    <w:rsid w:val="00B80C8F"/>
    <w:rsid w:val="00B811B2"/>
    <w:rsid w:val="00B829FE"/>
    <w:rsid w:val="00B83A62"/>
    <w:rsid w:val="00B84252"/>
    <w:rsid w:val="00B8468F"/>
    <w:rsid w:val="00B84FC6"/>
    <w:rsid w:val="00B857F5"/>
    <w:rsid w:val="00B86D6C"/>
    <w:rsid w:val="00B874B4"/>
    <w:rsid w:val="00B87887"/>
    <w:rsid w:val="00B87986"/>
    <w:rsid w:val="00B90123"/>
    <w:rsid w:val="00B90196"/>
    <w:rsid w:val="00B905BD"/>
    <w:rsid w:val="00B911C1"/>
    <w:rsid w:val="00B922C3"/>
    <w:rsid w:val="00B9272E"/>
    <w:rsid w:val="00B929A3"/>
    <w:rsid w:val="00B92B9E"/>
    <w:rsid w:val="00B93519"/>
    <w:rsid w:val="00B9425C"/>
    <w:rsid w:val="00B94AAF"/>
    <w:rsid w:val="00B953FF"/>
    <w:rsid w:val="00B9622D"/>
    <w:rsid w:val="00B96263"/>
    <w:rsid w:val="00B968A5"/>
    <w:rsid w:val="00B972CD"/>
    <w:rsid w:val="00B97D02"/>
    <w:rsid w:val="00BA0304"/>
    <w:rsid w:val="00BA3038"/>
    <w:rsid w:val="00BA48BC"/>
    <w:rsid w:val="00BA4A29"/>
    <w:rsid w:val="00BA4BE7"/>
    <w:rsid w:val="00BA67EF"/>
    <w:rsid w:val="00BA68D9"/>
    <w:rsid w:val="00BA7172"/>
    <w:rsid w:val="00BA72AD"/>
    <w:rsid w:val="00BA7B01"/>
    <w:rsid w:val="00BB1031"/>
    <w:rsid w:val="00BB1B33"/>
    <w:rsid w:val="00BB1DED"/>
    <w:rsid w:val="00BB2480"/>
    <w:rsid w:val="00BB2C4E"/>
    <w:rsid w:val="00BB2E29"/>
    <w:rsid w:val="00BB2F74"/>
    <w:rsid w:val="00BB3206"/>
    <w:rsid w:val="00BB3B0D"/>
    <w:rsid w:val="00BB524C"/>
    <w:rsid w:val="00BB5DAB"/>
    <w:rsid w:val="00BB6195"/>
    <w:rsid w:val="00BB61A3"/>
    <w:rsid w:val="00BB6B8B"/>
    <w:rsid w:val="00BB707E"/>
    <w:rsid w:val="00BC007C"/>
    <w:rsid w:val="00BC0AB2"/>
    <w:rsid w:val="00BC0ECB"/>
    <w:rsid w:val="00BC1308"/>
    <w:rsid w:val="00BC189C"/>
    <w:rsid w:val="00BC2113"/>
    <w:rsid w:val="00BC2600"/>
    <w:rsid w:val="00BC2F24"/>
    <w:rsid w:val="00BC33BE"/>
    <w:rsid w:val="00BC36FD"/>
    <w:rsid w:val="00BC3A47"/>
    <w:rsid w:val="00BC3EEB"/>
    <w:rsid w:val="00BC4780"/>
    <w:rsid w:val="00BC52C8"/>
    <w:rsid w:val="00BC549C"/>
    <w:rsid w:val="00BC5A6C"/>
    <w:rsid w:val="00BC5B4B"/>
    <w:rsid w:val="00BC5EDB"/>
    <w:rsid w:val="00BC69A2"/>
    <w:rsid w:val="00BC6FA1"/>
    <w:rsid w:val="00BC78F5"/>
    <w:rsid w:val="00BD0570"/>
    <w:rsid w:val="00BD112D"/>
    <w:rsid w:val="00BD214E"/>
    <w:rsid w:val="00BD2842"/>
    <w:rsid w:val="00BD29CB"/>
    <w:rsid w:val="00BD30B6"/>
    <w:rsid w:val="00BD3120"/>
    <w:rsid w:val="00BD3354"/>
    <w:rsid w:val="00BD384E"/>
    <w:rsid w:val="00BD3E1F"/>
    <w:rsid w:val="00BD3E76"/>
    <w:rsid w:val="00BD3EE2"/>
    <w:rsid w:val="00BD3FCF"/>
    <w:rsid w:val="00BD42D2"/>
    <w:rsid w:val="00BD4EFB"/>
    <w:rsid w:val="00BD5551"/>
    <w:rsid w:val="00BD60FD"/>
    <w:rsid w:val="00BD7090"/>
    <w:rsid w:val="00BD7169"/>
    <w:rsid w:val="00BE0212"/>
    <w:rsid w:val="00BE0C27"/>
    <w:rsid w:val="00BE15BB"/>
    <w:rsid w:val="00BE198F"/>
    <w:rsid w:val="00BE47BA"/>
    <w:rsid w:val="00BE660B"/>
    <w:rsid w:val="00BE6AFE"/>
    <w:rsid w:val="00BE6BBE"/>
    <w:rsid w:val="00BE7300"/>
    <w:rsid w:val="00BE784F"/>
    <w:rsid w:val="00BF0238"/>
    <w:rsid w:val="00BF0717"/>
    <w:rsid w:val="00BF1750"/>
    <w:rsid w:val="00BF189F"/>
    <w:rsid w:val="00BF1F01"/>
    <w:rsid w:val="00BF23CC"/>
    <w:rsid w:val="00BF243F"/>
    <w:rsid w:val="00BF2D0E"/>
    <w:rsid w:val="00BF4C2B"/>
    <w:rsid w:val="00BF53F1"/>
    <w:rsid w:val="00BF5717"/>
    <w:rsid w:val="00BF5FA3"/>
    <w:rsid w:val="00BF62F2"/>
    <w:rsid w:val="00BF63A5"/>
    <w:rsid w:val="00BF72A7"/>
    <w:rsid w:val="00BF7558"/>
    <w:rsid w:val="00C0111E"/>
    <w:rsid w:val="00C01B6E"/>
    <w:rsid w:val="00C02676"/>
    <w:rsid w:val="00C029AB"/>
    <w:rsid w:val="00C03BD5"/>
    <w:rsid w:val="00C03C8B"/>
    <w:rsid w:val="00C03F3C"/>
    <w:rsid w:val="00C049BE"/>
    <w:rsid w:val="00C04A71"/>
    <w:rsid w:val="00C04DF0"/>
    <w:rsid w:val="00C0518C"/>
    <w:rsid w:val="00C05A4C"/>
    <w:rsid w:val="00C05A67"/>
    <w:rsid w:val="00C074D0"/>
    <w:rsid w:val="00C07D4B"/>
    <w:rsid w:val="00C101F7"/>
    <w:rsid w:val="00C11113"/>
    <w:rsid w:val="00C11687"/>
    <w:rsid w:val="00C11815"/>
    <w:rsid w:val="00C11E28"/>
    <w:rsid w:val="00C1225B"/>
    <w:rsid w:val="00C122F9"/>
    <w:rsid w:val="00C128C9"/>
    <w:rsid w:val="00C12CF3"/>
    <w:rsid w:val="00C12F88"/>
    <w:rsid w:val="00C131A8"/>
    <w:rsid w:val="00C1322D"/>
    <w:rsid w:val="00C135A3"/>
    <w:rsid w:val="00C14A62"/>
    <w:rsid w:val="00C158EB"/>
    <w:rsid w:val="00C159B1"/>
    <w:rsid w:val="00C161F5"/>
    <w:rsid w:val="00C1622A"/>
    <w:rsid w:val="00C16C92"/>
    <w:rsid w:val="00C1706B"/>
    <w:rsid w:val="00C17E48"/>
    <w:rsid w:val="00C17E4D"/>
    <w:rsid w:val="00C201D5"/>
    <w:rsid w:val="00C201E7"/>
    <w:rsid w:val="00C20413"/>
    <w:rsid w:val="00C20AA2"/>
    <w:rsid w:val="00C21155"/>
    <w:rsid w:val="00C2146C"/>
    <w:rsid w:val="00C214D7"/>
    <w:rsid w:val="00C217EE"/>
    <w:rsid w:val="00C22784"/>
    <w:rsid w:val="00C23A4C"/>
    <w:rsid w:val="00C243A4"/>
    <w:rsid w:val="00C248DB"/>
    <w:rsid w:val="00C26170"/>
    <w:rsid w:val="00C26D52"/>
    <w:rsid w:val="00C303E4"/>
    <w:rsid w:val="00C30775"/>
    <w:rsid w:val="00C3134E"/>
    <w:rsid w:val="00C31C4A"/>
    <w:rsid w:val="00C32639"/>
    <w:rsid w:val="00C32856"/>
    <w:rsid w:val="00C32AD2"/>
    <w:rsid w:val="00C32BAD"/>
    <w:rsid w:val="00C347FD"/>
    <w:rsid w:val="00C34DAE"/>
    <w:rsid w:val="00C34E1E"/>
    <w:rsid w:val="00C34E5A"/>
    <w:rsid w:val="00C34EC9"/>
    <w:rsid w:val="00C3698E"/>
    <w:rsid w:val="00C36CCA"/>
    <w:rsid w:val="00C36E1C"/>
    <w:rsid w:val="00C3718A"/>
    <w:rsid w:val="00C379C5"/>
    <w:rsid w:val="00C37EEE"/>
    <w:rsid w:val="00C40276"/>
    <w:rsid w:val="00C40453"/>
    <w:rsid w:val="00C40E71"/>
    <w:rsid w:val="00C412DB"/>
    <w:rsid w:val="00C41879"/>
    <w:rsid w:val="00C41A7C"/>
    <w:rsid w:val="00C42CEF"/>
    <w:rsid w:val="00C4370E"/>
    <w:rsid w:val="00C43823"/>
    <w:rsid w:val="00C4384B"/>
    <w:rsid w:val="00C44068"/>
    <w:rsid w:val="00C442AE"/>
    <w:rsid w:val="00C458D6"/>
    <w:rsid w:val="00C465F6"/>
    <w:rsid w:val="00C466BF"/>
    <w:rsid w:val="00C46CE6"/>
    <w:rsid w:val="00C47385"/>
    <w:rsid w:val="00C47555"/>
    <w:rsid w:val="00C476AC"/>
    <w:rsid w:val="00C47E67"/>
    <w:rsid w:val="00C50C1A"/>
    <w:rsid w:val="00C5126C"/>
    <w:rsid w:val="00C51508"/>
    <w:rsid w:val="00C5155D"/>
    <w:rsid w:val="00C51D73"/>
    <w:rsid w:val="00C52A5B"/>
    <w:rsid w:val="00C52E97"/>
    <w:rsid w:val="00C53189"/>
    <w:rsid w:val="00C534F4"/>
    <w:rsid w:val="00C53B15"/>
    <w:rsid w:val="00C54280"/>
    <w:rsid w:val="00C54929"/>
    <w:rsid w:val="00C556B1"/>
    <w:rsid w:val="00C55A05"/>
    <w:rsid w:val="00C56101"/>
    <w:rsid w:val="00C565F2"/>
    <w:rsid w:val="00C565F6"/>
    <w:rsid w:val="00C56A17"/>
    <w:rsid w:val="00C573CC"/>
    <w:rsid w:val="00C57B81"/>
    <w:rsid w:val="00C57C12"/>
    <w:rsid w:val="00C57FB9"/>
    <w:rsid w:val="00C60950"/>
    <w:rsid w:val="00C60DD1"/>
    <w:rsid w:val="00C61565"/>
    <w:rsid w:val="00C61574"/>
    <w:rsid w:val="00C615B4"/>
    <w:rsid w:val="00C6211D"/>
    <w:rsid w:val="00C62B32"/>
    <w:rsid w:val="00C63DED"/>
    <w:rsid w:val="00C64F97"/>
    <w:rsid w:val="00C65585"/>
    <w:rsid w:val="00C656EB"/>
    <w:rsid w:val="00C65DF4"/>
    <w:rsid w:val="00C67B97"/>
    <w:rsid w:val="00C711F5"/>
    <w:rsid w:val="00C713A1"/>
    <w:rsid w:val="00C71828"/>
    <w:rsid w:val="00C72105"/>
    <w:rsid w:val="00C76028"/>
    <w:rsid w:val="00C76184"/>
    <w:rsid w:val="00C76A80"/>
    <w:rsid w:val="00C76C27"/>
    <w:rsid w:val="00C76F07"/>
    <w:rsid w:val="00C777DE"/>
    <w:rsid w:val="00C77EF6"/>
    <w:rsid w:val="00C80ADE"/>
    <w:rsid w:val="00C80B4B"/>
    <w:rsid w:val="00C80D63"/>
    <w:rsid w:val="00C81BEA"/>
    <w:rsid w:val="00C81DF5"/>
    <w:rsid w:val="00C82188"/>
    <w:rsid w:val="00C8242B"/>
    <w:rsid w:val="00C82A50"/>
    <w:rsid w:val="00C83240"/>
    <w:rsid w:val="00C83607"/>
    <w:rsid w:val="00C83768"/>
    <w:rsid w:val="00C83B18"/>
    <w:rsid w:val="00C841B4"/>
    <w:rsid w:val="00C84266"/>
    <w:rsid w:val="00C849E0"/>
    <w:rsid w:val="00C84B74"/>
    <w:rsid w:val="00C8512A"/>
    <w:rsid w:val="00C85970"/>
    <w:rsid w:val="00C85F9C"/>
    <w:rsid w:val="00C874C8"/>
    <w:rsid w:val="00C90165"/>
    <w:rsid w:val="00C90320"/>
    <w:rsid w:val="00C90733"/>
    <w:rsid w:val="00C90B1A"/>
    <w:rsid w:val="00C921C4"/>
    <w:rsid w:val="00C9257F"/>
    <w:rsid w:val="00C934F6"/>
    <w:rsid w:val="00C94FD2"/>
    <w:rsid w:val="00C95341"/>
    <w:rsid w:val="00C95B76"/>
    <w:rsid w:val="00C95D76"/>
    <w:rsid w:val="00C964C3"/>
    <w:rsid w:val="00C96635"/>
    <w:rsid w:val="00C969DB"/>
    <w:rsid w:val="00C97EE3"/>
    <w:rsid w:val="00CA12BA"/>
    <w:rsid w:val="00CA165C"/>
    <w:rsid w:val="00CA1C0D"/>
    <w:rsid w:val="00CA1DAE"/>
    <w:rsid w:val="00CA2267"/>
    <w:rsid w:val="00CA2651"/>
    <w:rsid w:val="00CA3818"/>
    <w:rsid w:val="00CA38AD"/>
    <w:rsid w:val="00CA4DEA"/>
    <w:rsid w:val="00CA5098"/>
    <w:rsid w:val="00CA5503"/>
    <w:rsid w:val="00CA666A"/>
    <w:rsid w:val="00CA6808"/>
    <w:rsid w:val="00CA6CAD"/>
    <w:rsid w:val="00CA70A8"/>
    <w:rsid w:val="00CA70D0"/>
    <w:rsid w:val="00CA74A4"/>
    <w:rsid w:val="00CA7683"/>
    <w:rsid w:val="00CA7E54"/>
    <w:rsid w:val="00CA7EA1"/>
    <w:rsid w:val="00CA7EEB"/>
    <w:rsid w:val="00CB009B"/>
    <w:rsid w:val="00CB0153"/>
    <w:rsid w:val="00CB0231"/>
    <w:rsid w:val="00CB1AFD"/>
    <w:rsid w:val="00CB1EB3"/>
    <w:rsid w:val="00CB24AD"/>
    <w:rsid w:val="00CB2C59"/>
    <w:rsid w:val="00CB2D9C"/>
    <w:rsid w:val="00CB34AB"/>
    <w:rsid w:val="00CB3529"/>
    <w:rsid w:val="00CB4728"/>
    <w:rsid w:val="00CB5A96"/>
    <w:rsid w:val="00CB5E4A"/>
    <w:rsid w:val="00CB5F93"/>
    <w:rsid w:val="00CB6FCA"/>
    <w:rsid w:val="00CB724D"/>
    <w:rsid w:val="00CB73EA"/>
    <w:rsid w:val="00CB7D4E"/>
    <w:rsid w:val="00CC002B"/>
    <w:rsid w:val="00CC07E5"/>
    <w:rsid w:val="00CC09F0"/>
    <w:rsid w:val="00CC0C11"/>
    <w:rsid w:val="00CC233F"/>
    <w:rsid w:val="00CC27FD"/>
    <w:rsid w:val="00CC29E4"/>
    <w:rsid w:val="00CC3AB9"/>
    <w:rsid w:val="00CC3C9E"/>
    <w:rsid w:val="00CC45E0"/>
    <w:rsid w:val="00CC4BC3"/>
    <w:rsid w:val="00CC50C7"/>
    <w:rsid w:val="00CC55AC"/>
    <w:rsid w:val="00CC5859"/>
    <w:rsid w:val="00CC72C0"/>
    <w:rsid w:val="00CC757D"/>
    <w:rsid w:val="00CD00DB"/>
    <w:rsid w:val="00CD0119"/>
    <w:rsid w:val="00CD0866"/>
    <w:rsid w:val="00CD1169"/>
    <w:rsid w:val="00CD16C7"/>
    <w:rsid w:val="00CD1A19"/>
    <w:rsid w:val="00CD1A40"/>
    <w:rsid w:val="00CD25F3"/>
    <w:rsid w:val="00CD2715"/>
    <w:rsid w:val="00CD305C"/>
    <w:rsid w:val="00CD3A6D"/>
    <w:rsid w:val="00CD3E63"/>
    <w:rsid w:val="00CD40A3"/>
    <w:rsid w:val="00CD4CD3"/>
    <w:rsid w:val="00CD4FD7"/>
    <w:rsid w:val="00CD589F"/>
    <w:rsid w:val="00CD60C9"/>
    <w:rsid w:val="00CD6BBB"/>
    <w:rsid w:val="00CD7482"/>
    <w:rsid w:val="00CD77B1"/>
    <w:rsid w:val="00CD7F66"/>
    <w:rsid w:val="00CE07C1"/>
    <w:rsid w:val="00CE186F"/>
    <w:rsid w:val="00CE20E3"/>
    <w:rsid w:val="00CE273A"/>
    <w:rsid w:val="00CE2AF8"/>
    <w:rsid w:val="00CE321C"/>
    <w:rsid w:val="00CE3700"/>
    <w:rsid w:val="00CE3B69"/>
    <w:rsid w:val="00CE4559"/>
    <w:rsid w:val="00CE5118"/>
    <w:rsid w:val="00CE59B5"/>
    <w:rsid w:val="00CE59DB"/>
    <w:rsid w:val="00CE5B47"/>
    <w:rsid w:val="00CE5D3A"/>
    <w:rsid w:val="00CE611A"/>
    <w:rsid w:val="00CE7447"/>
    <w:rsid w:val="00CE74CE"/>
    <w:rsid w:val="00CF0829"/>
    <w:rsid w:val="00CF0E74"/>
    <w:rsid w:val="00CF1833"/>
    <w:rsid w:val="00CF1AEA"/>
    <w:rsid w:val="00CF21F6"/>
    <w:rsid w:val="00CF2278"/>
    <w:rsid w:val="00CF2C62"/>
    <w:rsid w:val="00CF2F66"/>
    <w:rsid w:val="00CF337B"/>
    <w:rsid w:val="00CF34D2"/>
    <w:rsid w:val="00CF3FE7"/>
    <w:rsid w:val="00CF4416"/>
    <w:rsid w:val="00CF5762"/>
    <w:rsid w:val="00CF65B4"/>
    <w:rsid w:val="00CF6C05"/>
    <w:rsid w:val="00CF71CD"/>
    <w:rsid w:val="00CF7485"/>
    <w:rsid w:val="00D025CE"/>
    <w:rsid w:val="00D02A0F"/>
    <w:rsid w:val="00D02DF3"/>
    <w:rsid w:val="00D03181"/>
    <w:rsid w:val="00D037DC"/>
    <w:rsid w:val="00D0383B"/>
    <w:rsid w:val="00D03A8A"/>
    <w:rsid w:val="00D03DA5"/>
    <w:rsid w:val="00D03F27"/>
    <w:rsid w:val="00D0470D"/>
    <w:rsid w:val="00D05249"/>
    <w:rsid w:val="00D059FC"/>
    <w:rsid w:val="00D05DEF"/>
    <w:rsid w:val="00D06861"/>
    <w:rsid w:val="00D0688A"/>
    <w:rsid w:val="00D06F22"/>
    <w:rsid w:val="00D07A9C"/>
    <w:rsid w:val="00D1033B"/>
    <w:rsid w:val="00D10477"/>
    <w:rsid w:val="00D107E2"/>
    <w:rsid w:val="00D11D76"/>
    <w:rsid w:val="00D126E4"/>
    <w:rsid w:val="00D131BF"/>
    <w:rsid w:val="00D13799"/>
    <w:rsid w:val="00D140E6"/>
    <w:rsid w:val="00D14BB6"/>
    <w:rsid w:val="00D15316"/>
    <w:rsid w:val="00D15C14"/>
    <w:rsid w:val="00D15FAA"/>
    <w:rsid w:val="00D16A1D"/>
    <w:rsid w:val="00D16ECB"/>
    <w:rsid w:val="00D17BA5"/>
    <w:rsid w:val="00D2058D"/>
    <w:rsid w:val="00D20C3D"/>
    <w:rsid w:val="00D2176E"/>
    <w:rsid w:val="00D2182A"/>
    <w:rsid w:val="00D22105"/>
    <w:rsid w:val="00D2211C"/>
    <w:rsid w:val="00D22B55"/>
    <w:rsid w:val="00D23055"/>
    <w:rsid w:val="00D230AD"/>
    <w:rsid w:val="00D251AB"/>
    <w:rsid w:val="00D261D3"/>
    <w:rsid w:val="00D26E09"/>
    <w:rsid w:val="00D319DF"/>
    <w:rsid w:val="00D324BC"/>
    <w:rsid w:val="00D33509"/>
    <w:rsid w:val="00D33565"/>
    <w:rsid w:val="00D33762"/>
    <w:rsid w:val="00D34BD1"/>
    <w:rsid w:val="00D35177"/>
    <w:rsid w:val="00D356E1"/>
    <w:rsid w:val="00D40609"/>
    <w:rsid w:val="00D40983"/>
    <w:rsid w:val="00D41188"/>
    <w:rsid w:val="00D417D3"/>
    <w:rsid w:val="00D41DB1"/>
    <w:rsid w:val="00D42798"/>
    <w:rsid w:val="00D42970"/>
    <w:rsid w:val="00D44916"/>
    <w:rsid w:val="00D45CA4"/>
    <w:rsid w:val="00D45EA7"/>
    <w:rsid w:val="00D4752E"/>
    <w:rsid w:val="00D47842"/>
    <w:rsid w:val="00D50826"/>
    <w:rsid w:val="00D51675"/>
    <w:rsid w:val="00D51F73"/>
    <w:rsid w:val="00D529BE"/>
    <w:rsid w:val="00D52BEE"/>
    <w:rsid w:val="00D52CF6"/>
    <w:rsid w:val="00D53D3E"/>
    <w:rsid w:val="00D54652"/>
    <w:rsid w:val="00D547E0"/>
    <w:rsid w:val="00D54992"/>
    <w:rsid w:val="00D55C48"/>
    <w:rsid w:val="00D55E47"/>
    <w:rsid w:val="00D55FF7"/>
    <w:rsid w:val="00D56997"/>
    <w:rsid w:val="00D5730F"/>
    <w:rsid w:val="00D574A9"/>
    <w:rsid w:val="00D5774F"/>
    <w:rsid w:val="00D60809"/>
    <w:rsid w:val="00D60D7F"/>
    <w:rsid w:val="00D61C9C"/>
    <w:rsid w:val="00D625B8"/>
    <w:rsid w:val="00D636DC"/>
    <w:rsid w:val="00D6382B"/>
    <w:rsid w:val="00D64702"/>
    <w:rsid w:val="00D66BFD"/>
    <w:rsid w:val="00D674EE"/>
    <w:rsid w:val="00D67535"/>
    <w:rsid w:val="00D67BC9"/>
    <w:rsid w:val="00D704D9"/>
    <w:rsid w:val="00D70BD2"/>
    <w:rsid w:val="00D713F2"/>
    <w:rsid w:val="00D72705"/>
    <w:rsid w:val="00D729FE"/>
    <w:rsid w:val="00D738BF"/>
    <w:rsid w:val="00D73C95"/>
    <w:rsid w:val="00D745C1"/>
    <w:rsid w:val="00D75731"/>
    <w:rsid w:val="00D75B45"/>
    <w:rsid w:val="00D75B5C"/>
    <w:rsid w:val="00D75F11"/>
    <w:rsid w:val="00D75F8C"/>
    <w:rsid w:val="00D76050"/>
    <w:rsid w:val="00D76423"/>
    <w:rsid w:val="00D76B0E"/>
    <w:rsid w:val="00D77278"/>
    <w:rsid w:val="00D775B5"/>
    <w:rsid w:val="00D77961"/>
    <w:rsid w:val="00D77B20"/>
    <w:rsid w:val="00D77B3B"/>
    <w:rsid w:val="00D8007C"/>
    <w:rsid w:val="00D8079F"/>
    <w:rsid w:val="00D8103B"/>
    <w:rsid w:val="00D8111B"/>
    <w:rsid w:val="00D81242"/>
    <w:rsid w:val="00D812D2"/>
    <w:rsid w:val="00D82D02"/>
    <w:rsid w:val="00D82D0F"/>
    <w:rsid w:val="00D83A5A"/>
    <w:rsid w:val="00D84157"/>
    <w:rsid w:val="00D84BD7"/>
    <w:rsid w:val="00D84DCA"/>
    <w:rsid w:val="00D85114"/>
    <w:rsid w:val="00D857AA"/>
    <w:rsid w:val="00D857BC"/>
    <w:rsid w:val="00D871B6"/>
    <w:rsid w:val="00D9013F"/>
    <w:rsid w:val="00D90275"/>
    <w:rsid w:val="00D902F5"/>
    <w:rsid w:val="00D90959"/>
    <w:rsid w:val="00D91410"/>
    <w:rsid w:val="00D91438"/>
    <w:rsid w:val="00D91594"/>
    <w:rsid w:val="00D915F8"/>
    <w:rsid w:val="00D91ABE"/>
    <w:rsid w:val="00D91DFB"/>
    <w:rsid w:val="00D921DA"/>
    <w:rsid w:val="00D92C2F"/>
    <w:rsid w:val="00D92F7F"/>
    <w:rsid w:val="00D9459D"/>
    <w:rsid w:val="00D94858"/>
    <w:rsid w:val="00D94972"/>
    <w:rsid w:val="00D954A1"/>
    <w:rsid w:val="00D95519"/>
    <w:rsid w:val="00D95744"/>
    <w:rsid w:val="00D958FC"/>
    <w:rsid w:val="00D95DC2"/>
    <w:rsid w:val="00D96678"/>
    <w:rsid w:val="00D96D46"/>
    <w:rsid w:val="00D974E6"/>
    <w:rsid w:val="00D97C27"/>
    <w:rsid w:val="00DA0526"/>
    <w:rsid w:val="00DA0CF7"/>
    <w:rsid w:val="00DA0E96"/>
    <w:rsid w:val="00DA1187"/>
    <w:rsid w:val="00DA1203"/>
    <w:rsid w:val="00DA1F0C"/>
    <w:rsid w:val="00DA3A5B"/>
    <w:rsid w:val="00DA3D0B"/>
    <w:rsid w:val="00DA3F51"/>
    <w:rsid w:val="00DA48D9"/>
    <w:rsid w:val="00DA49F8"/>
    <w:rsid w:val="00DA4AAE"/>
    <w:rsid w:val="00DA5572"/>
    <w:rsid w:val="00DA6CC2"/>
    <w:rsid w:val="00DA7029"/>
    <w:rsid w:val="00DA77A0"/>
    <w:rsid w:val="00DB09A2"/>
    <w:rsid w:val="00DB103D"/>
    <w:rsid w:val="00DB1448"/>
    <w:rsid w:val="00DB1998"/>
    <w:rsid w:val="00DB1FC4"/>
    <w:rsid w:val="00DB21F0"/>
    <w:rsid w:val="00DB2C5F"/>
    <w:rsid w:val="00DB395D"/>
    <w:rsid w:val="00DB3A58"/>
    <w:rsid w:val="00DB3BDF"/>
    <w:rsid w:val="00DB3C58"/>
    <w:rsid w:val="00DB401C"/>
    <w:rsid w:val="00DB5A63"/>
    <w:rsid w:val="00DB6166"/>
    <w:rsid w:val="00DB656B"/>
    <w:rsid w:val="00DB691E"/>
    <w:rsid w:val="00DB75A3"/>
    <w:rsid w:val="00DC0574"/>
    <w:rsid w:val="00DC16E1"/>
    <w:rsid w:val="00DC173D"/>
    <w:rsid w:val="00DC1881"/>
    <w:rsid w:val="00DC3971"/>
    <w:rsid w:val="00DC3A6F"/>
    <w:rsid w:val="00DC3D1C"/>
    <w:rsid w:val="00DC43E1"/>
    <w:rsid w:val="00DC5199"/>
    <w:rsid w:val="00DC5A32"/>
    <w:rsid w:val="00DC5E4E"/>
    <w:rsid w:val="00DC651B"/>
    <w:rsid w:val="00DC729A"/>
    <w:rsid w:val="00DC73B1"/>
    <w:rsid w:val="00DC7519"/>
    <w:rsid w:val="00DC7630"/>
    <w:rsid w:val="00DC7E0D"/>
    <w:rsid w:val="00DC7EB5"/>
    <w:rsid w:val="00DD04AC"/>
    <w:rsid w:val="00DD04DD"/>
    <w:rsid w:val="00DD052B"/>
    <w:rsid w:val="00DD0891"/>
    <w:rsid w:val="00DD0B35"/>
    <w:rsid w:val="00DD0F9F"/>
    <w:rsid w:val="00DD11A7"/>
    <w:rsid w:val="00DD1298"/>
    <w:rsid w:val="00DD2300"/>
    <w:rsid w:val="00DD28B3"/>
    <w:rsid w:val="00DD2DE3"/>
    <w:rsid w:val="00DD2DE8"/>
    <w:rsid w:val="00DD316F"/>
    <w:rsid w:val="00DD357C"/>
    <w:rsid w:val="00DD37CA"/>
    <w:rsid w:val="00DD3DF7"/>
    <w:rsid w:val="00DD4AE2"/>
    <w:rsid w:val="00DD4BFA"/>
    <w:rsid w:val="00DD51F8"/>
    <w:rsid w:val="00DD6388"/>
    <w:rsid w:val="00DD6C53"/>
    <w:rsid w:val="00DD7198"/>
    <w:rsid w:val="00DE0137"/>
    <w:rsid w:val="00DE01BA"/>
    <w:rsid w:val="00DE0DCF"/>
    <w:rsid w:val="00DE137B"/>
    <w:rsid w:val="00DE19D9"/>
    <w:rsid w:val="00DE1DC6"/>
    <w:rsid w:val="00DE1F77"/>
    <w:rsid w:val="00DE21C6"/>
    <w:rsid w:val="00DE2D49"/>
    <w:rsid w:val="00DE3E66"/>
    <w:rsid w:val="00DE3F75"/>
    <w:rsid w:val="00DE42EC"/>
    <w:rsid w:val="00DE4AAD"/>
    <w:rsid w:val="00DE4C0C"/>
    <w:rsid w:val="00DE4FC8"/>
    <w:rsid w:val="00DE5A50"/>
    <w:rsid w:val="00DE60C5"/>
    <w:rsid w:val="00DE6B0C"/>
    <w:rsid w:val="00DE75F0"/>
    <w:rsid w:val="00DE77CB"/>
    <w:rsid w:val="00DE7EBA"/>
    <w:rsid w:val="00DF003B"/>
    <w:rsid w:val="00DF0D3A"/>
    <w:rsid w:val="00DF1A9A"/>
    <w:rsid w:val="00DF1C2D"/>
    <w:rsid w:val="00DF2D79"/>
    <w:rsid w:val="00DF2E5D"/>
    <w:rsid w:val="00DF3577"/>
    <w:rsid w:val="00DF4063"/>
    <w:rsid w:val="00DF619E"/>
    <w:rsid w:val="00DF6B62"/>
    <w:rsid w:val="00DF7BD0"/>
    <w:rsid w:val="00DF7BDF"/>
    <w:rsid w:val="00E00303"/>
    <w:rsid w:val="00E00A62"/>
    <w:rsid w:val="00E010A0"/>
    <w:rsid w:val="00E01668"/>
    <w:rsid w:val="00E01849"/>
    <w:rsid w:val="00E020D1"/>
    <w:rsid w:val="00E02B64"/>
    <w:rsid w:val="00E02EAD"/>
    <w:rsid w:val="00E03D3F"/>
    <w:rsid w:val="00E0437C"/>
    <w:rsid w:val="00E044EB"/>
    <w:rsid w:val="00E0452C"/>
    <w:rsid w:val="00E04D61"/>
    <w:rsid w:val="00E0504C"/>
    <w:rsid w:val="00E05074"/>
    <w:rsid w:val="00E05489"/>
    <w:rsid w:val="00E05741"/>
    <w:rsid w:val="00E05F7F"/>
    <w:rsid w:val="00E06930"/>
    <w:rsid w:val="00E06971"/>
    <w:rsid w:val="00E105B3"/>
    <w:rsid w:val="00E10846"/>
    <w:rsid w:val="00E108F4"/>
    <w:rsid w:val="00E1100C"/>
    <w:rsid w:val="00E11489"/>
    <w:rsid w:val="00E11711"/>
    <w:rsid w:val="00E11E63"/>
    <w:rsid w:val="00E12A58"/>
    <w:rsid w:val="00E1310D"/>
    <w:rsid w:val="00E13359"/>
    <w:rsid w:val="00E138BF"/>
    <w:rsid w:val="00E14411"/>
    <w:rsid w:val="00E14EFA"/>
    <w:rsid w:val="00E151B9"/>
    <w:rsid w:val="00E158C4"/>
    <w:rsid w:val="00E161E6"/>
    <w:rsid w:val="00E1698C"/>
    <w:rsid w:val="00E172BE"/>
    <w:rsid w:val="00E17CF7"/>
    <w:rsid w:val="00E2039D"/>
    <w:rsid w:val="00E205D6"/>
    <w:rsid w:val="00E216EC"/>
    <w:rsid w:val="00E2189A"/>
    <w:rsid w:val="00E226E7"/>
    <w:rsid w:val="00E22B5A"/>
    <w:rsid w:val="00E22B68"/>
    <w:rsid w:val="00E231C9"/>
    <w:rsid w:val="00E23EBF"/>
    <w:rsid w:val="00E23FD5"/>
    <w:rsid w:val="00E241DC"/>
    <w:rsid w:val="00E24669"/>
    <w:rsid w:val="00E25981"/>
    <w:rsid w:val="00E26141"/>
    <w:rsid w:val="00E266F5"/>
    <w:rsid w:val="00E270D3"/>
    <w:rsid w:val="00E27FC7"/>
    <w:rsid w:val="00E30700"/>
    <w:rsid w:val="00E31360"/>
    <w:rsid w:val="00E31B25"/>
    <w:rsid w:val="00E31D28"/>
    <w:rsid w:val="00E32365"/>
    <w:rsid w:val="00E3440F"/>
    <w:rsid w:val="00E34C18"/>
    <w:rsid w:val="00E34F3A"/>
    <w:rsid w:val="00E35F99"/>
    <w:rsid w:val="00E35F9A"/>
    <w:rsid w:val="00E3637F"/>
    <w:rsid w:val="00E364B6"/>
    <w:rsid w:val="00E36723"/>
    <w:rsid w:val="00E3713C"/>
    <w:rsid w:val="00E37E1C"/>
    <w:rsid w:val="00E40068"/>
    <w:rsid w:val="00E40126"/>
    <w:rsid w:val="00E40CBF"/>
    <w:rsid w:val="00E40E7D"/>
    <w:rsid w:val="00E40EE4"/>
    <w:rsid w:val="00E413C6"/>
    <w:rsid w:val="00E420D5"/>
    <w:rsid w:val="00E42517"/>
    <w:rsid w:val="00E42D55"/>
    <w:rsid w:val="00E42FFE"/>
    <w:rsid w:val="00E4316E"/>
    <w:rsid w:val="00E435AB"/>
    <w:rsid w:val="00E44275"/>
    <w:rsid w:val="00E44777"/>
    <w:rsid w:val="00E44F12"/>
    <w:rsid w:val="00E4535F"/>
    <w:rsid w:val="00E465B4"/>
    <w:rsid w:val="00E466BC"/>
    <w:rsid w:val="00E4686A"/>
    <w:rsid w:val="00E479FD"/>
    <w:rsid w:val="00E50F69"/>
    <w:rsid w:val="00E52166"/>
    <w:rsid w:val="00E52F05"/>
    <w:rsid w:val="00E540CA"/>
    <w:rsid w:val="00E5654B"/>
    <w:rsid w:val="00E56D4A"/>
    <w:rsid w:val="00E57119"/>
    <w:rsid w:val="00E5719E"/>
    <w:rsid w:val="00E57F4B"/>
    <w:rsid w:val="00E602E5"/>
    <w:rsid w:val="00E602F8"/>
    <w:rsid w:val="00E60FBA"/>
    <w:rsid w:val="00E60FBF"/>
    <w:rsid w:val="00E616F9"/>
    <w:rsid w:val="00E61852"/>
    <w:rsid w:val="00E61D22"/>
    <w:rsid w:val="00E61D96"/>
    <w:rsid w:val="00E61E4B"/>
    <w:rsid w:val="00E61FF2"/>
    <w:rsid w:val="00E63479"/>
    <w:rsid w:val="00E63DA2"/>
    <w:rsid w:val="00E642AF"/>
    <w:rsid w:val="00E644C6"/>
    <w:rsid w:val="00E64595"/>
    <w:rsid w:val="00E646BB"/>
    <w:rsid w:val="00E65208"/>
    <w:rsid w:val="00E6549C"/>
    <w:rsid w:val="00E654B9"/>
    <w:rsid w:val="00E65E8C"/>
    <w:rsid w:val="00E665E7"/>
    <w:rsid w:val="00E66C96"/>
    <w:rsid w:val="00E6784F"/>
    <w:rsid w:val="00E70130"/>
    <w:rsid w:val="00E715FC"/>
    <w:rsid w:val="00E71A45"/>
    <w:rsid w:val="00E71C21"/>
    <w:rsid w:val="00E72BCC"/>
    <w:rsid w:val="00E730FC"/>
    <w:rsid w:val="00E7385A"/>
    <w:rsid w:val="00E73CE6"/>
    <w:rsid w:val="00E74780"/>
    <w:rsid w:val="00E752F7"/>
    <w:rsid w:val="00E75848"/>
    <w:rsid w:val="00E759D4"/>
    <w:rsid w:val="00E76A3C"/>
    <w:rsid w:val="00E771FC"/>
    <w:rsid w:val="00E773E5"/>
    <w:rsid w:val="00E77BDD"/>
    <w:rsid w:val="00E806D3"/>
    <w:rsid w:val="00E81C34"/>
    <w:rsid w:val="00E81D83"/>
    <w:rsid w:val="00E821BB"/>
    <w:rsid w:val="00E822E9"/>
    <w:rsid w:val="00E8275E"/>
    <w:rsid w:val="00E827AF"/>
    <w:rsid w:val="00E82DE9"/>
    <w:rsid w:val="00E84C97"/>
    <w:rsid w:val="00E85005"/>
    <w:rsid w:val="00E8533B"/>
    <w:rsid w:val="00E85978"/>
    <w:rsid w:val="00E85E4E"/>
    <w:rsid w:val="00E86327"/>
    <w:rsid w:val="00E90B33"/>
    <w:rsid w:val="00E90DB7"/>
    <w:rsid w:val="00E911E0"/>
    <w:rsid w:val="00E93407"/>
    <w:rsid w:val="00E93EC7"/>
    <w:rsid w:val="00E940A8"/>
    <w:rsid w:val="00E947E8"/>
    <w:rsid w:val="00E94B0F"/>
    <w:rsid w:val="00E9503F"/>
    <w:rsid w:val="00E95741"/>
    <w:rsid w:val="00E96521"/>
    <w:rsid w:val="00E96E68"/>
    <w:rsid w:val="00E97EA1"/>
    <w:rsid w:val="00EA0015"/>
    <w:rsid w:val="00EA1FBC"/>
    <w:rsid w:val="00EA20A1"/>
    <w:rsid w:val="00EA212B"/>
    <w:rsid w:val="00EA3A1D"/>
    <w:rsid w:val="00EA3CD7"/>
    <w:rsid w:val="00EA429D"/>
    <w:rsid w:val="00EA4C7C"/>
    <w:rsid w:val="00EA4D4C"/>
    <w:rsid w:val="00EA554F"/>
    <w:rsid w:val="00EA6250"/>
    <w:rsid w:val="00EA66A4"/>
    <w:rsid w:val="00EA6819"/>
    <w:rsid w:val="00EA75BD"/>
    <w:rsid w:val="00EA78FC"/>
    <w:rsid w:val="00EA7C47"/>
    <w:rsid w:val="00EB06D8"/>
    <w:rsid w:val="00EB0F0F"/>
    <w:rsid w:val="00EB12A5"/>
    <w:rsid w:val="00EB1F98"/>
    <w:rsid w:val="00EB216B"/>
    <w:rsid w:val="00EB24D8"/>
    <w:rsid w:val="00EB277B"/>
    <w:rsid w:val="00EB2F20"/>
    <w:rsid w:val="00EB2F35"/>
    <w:rsid w:val="00EB31DB"/>
    <w:rsid w:val="00EB3422"/>
    <w:rsid w:val="00EB4EAF"/>
    <w:rsid w:val="00EB548E"/>
    <w:rsid w:val="00EB695E"/>
    <w:rsid w:val="00EB69D1"/>
    <w:rsid w:val="00EB6FE3"/>
    <w:rsid w:val="00EB6FE9"/>
    <w:rsid w:val="00EB72FF"/>
    <w:rsid w:val="00EC029E"/>
    <w:rsid w:val="00EC09C6"/>
    <w:rsid w:val="00EC0EA5"/>
    <w:rsid w:val="00EC1056"/>
    <w:rsid w:val="00EC1397"/>
    <w:rsid w:val="00EC222E"/>
    <w:rsid w:val="00EC2716"/>
    <w:rsid w:val="00EC2DBB"/>
    <w:rsid w:val="00EC358E"/>
    <w:rsid w:val="00EC4095"/>
    <w:rsid w:val="00EC4477"/>
    <w:rsid w:val="00EC4537"/>
    <w:rsid w:val="00EC4960"/>
    <w:rsid w:val="00EC4AE3"/>
    <w:rsid w:val="00EC4EDE"/>
    <w:rsid w:val="00EC5307"/>
    <w:rsid w:val="00EC54EE"/>
    <w:rsid w:val="00EC59B2"/>
    <w:rsid w:val="00EC5A3B"/>
    <w:rsid w:val="00EC786C"/>
    <w:rsid w:val="00EC7ADD"/>
    <w:rsid w:val="00ED04FE"/>
    <w:rsid w:val="00ED17F1"/>
    <w:rsid w:val="00ED3145"/>
    <w:rsid w:val="00ED3309"/>
    <w:rsid w:val="00ED356E"/>
    <w:rsid w:val="00ED3BDA"/>
    <w:rsid w:val="00ED5A3B"/>
    <w:rsid w:val="00ED5C30"/>
    <w:rsid w:val="00ED5E02"/>
    <w:rsid w:val="00ED5EED"/>
    <w:rsid w:val="00ED6B1C"/>
    <w:rsid w:val="00ED6CF7"/>
    <w:rsid w:val="00ED6F33"/>
    <w:rsid w:val="00ED7716"/>
    <w:rsid w:val="00ED7737"/>
    <w:rsid w:val="00ED7747"/>
    <w:rsid w:val="00ED7CF4"/>
    <w:rsid w:val="00EE0FB5"/>
    <w:rsid w:val="00EE1B0E"/>
    <w:rsid w:val="00EE22FB"/>
    <w:rsid w:val="00EE26AE"/>
    <w:rsid w:val="00EE2A54"/>
    <w:rsid w:val="00EE2FC2"/>
    <w:rsid w:val="00EE3B88"/>
    <w:rsid w:val="00EE4B75"/>
    <w:rsid w:val="00EE4DBD"/>
    <w:rsid w:val="00EE6AC6"/>
    <w:rsid w:val="00EE6E26"/>
    <w:rsid w:val="00EE784F"/>
    <w:rsid w:val="00EE7A1D"/>
    <w:rsid w:val="00EF0500"/>
    <w:rsid w:val="00EF1002"/>
    <w:rsid w:val="00EF143F"/>
    <w:rsid w:val="00EF23D8"/>
    <w:rsid w:val="00EF2A5A"/>
    <w:rsid w:val="00EF2A87"/>
    <w:rsid w:val="00EF3A74"/>
    <w:rsid w:val="00EF3AE9"/>
    <w:rsid w:val="00EF3EA5"/>
    <w:rsid w:val="00EF4614"/>
    <w:rsid w:val="00EF46AC"/>
    <w:rsid w:val="00EF55D6"/>
    <w:rsid w:val="00EF644D"/>
    <w:rsid w:val="00EF6D29"/>
    <w:rsid w:val="00EF7138"/>
    <w:rsid w:val="00F00881"/>
    <w:rsid w:val="00F00917"/>
    <w:rsid w:val="00F010BB"/>
    <w:rsid w:val="00F012C1"/>
    <w:rsid w:val="00F0175F"/>
    <w:rsid w:val="00F03280"/>
    <w:rsid w:val="00F0362A"/>
    <w:rsid w:val="00F0385C"/>
    <w:rsid w:val="00F03ABE"/>
    <w:rsid w:val="00F04345"/>
    <w:rsid w:val="00F047A4"/>
    <w:rsid w:val="00F04F52"/>
    <w:rsid w:val="00F0510F"/>
    <w:rsid w:val="00F0563F"/>
    <w:rsid w:val="00F0606A"/>
    <w:rsid w:val="00F064EF"/>
    <w:rsid w:val="00F06558"/>
    <w:rsid w:val="00F06F42"/>
    <w:rsid w:val="00F07122"/>
    <w:rsid w:val="00F074C9"/>
    <w:rsid w:val="00F07F5E"/>
    <w:rsid w:val="00F106BB"/>
    <w:rsid w:val="00F11027"/>
    <w:rsid w:val="00F116DD"/>
    <w:rsid w:val="00F11E31"/>
    <w:rsid w:val="00F13AA1"/>
    <w:rsid w:val="00F13F2A"/>
    <w:rsid w:val="00F15097"/>
    <w:rsid w:val="00F152F1"/>
    <w:rsid w:val="00F15671"/>
    <w:rsid w:val="00F15845"/>
    <w:rsid w:val="00F202E3"/>
    <w:rsid w:val="00F20C6E"/>
    <w:rsid w:val="00F20D6C"/>
    <w:rsid w:val="00F2255F"/>
    <w:rsid w:val="00F225CF"/>
    <w:rsid w:val="00F22882"/>
    <w:rsid w:val="00F22985"/>
    <w:rsid w:val="00F22AEF"/>
    <w:rsid w:val="00F22F7A"/>
    <w:rsid w:val="00F2343C"/>
    <w:rsid w:val="00F23B53"/>
    <w:rsid w:val="00F23CFC"/>
    <w:rsid w:val="00F24076"/>
    <w:rsid w:val="00F2492F"/>
    <w:rsid w:val="00F2500D"/>
    <w:rsid w:val="00F2596D"/>
    <w:rsid w:val="00F25CAA"/>
    <w:rsid w:val="00F277E8"/>
    <w:rsid w:val="00F27E3D"/>
    <w:rsid w:val="00F301D0"/>
    <w:rsid w:val="00F3069F"/>
    <w:rsid w:val="00F30C60"/>
    <w:rsid w:val="00F311D1"/>
    <w:rsid w:val="00F3158A"/>
    <w:rsid w:val="00F3186F"/>
    <w:rsid w:val="00F318DB"/>
    <w:rsid w:val="00F31F7D"/>
    <w:rsid w:val="00F32AFF"/>
    <w:rsid w:val="00F33825"/>
    <w:rsid w:val="00F33A8B"/>
    <w:rsid w:val="00F34A96"/>
    <w:rsid w:val="00F34EBF"/>
    <w:rsid w:val="00F34F05"/>
    <w:rsid w:val="00F36240"/>
    <w:rsid w:val="00F363EB"/>
    <w:rsid w:val="00F365DE"/>
    <w:rsid w:val="00F36885"/>
    <w:rsid w:val="00F3719A"/>
    <w:rsid w:val="00F379BF"/>
    <w:rsid w:val="00F37EA7"/>
    <w:rsid w:val="00F40805"/>
    <w:rsid w:val="00F40C5E"/>
    <w:rsid w:val="00F40E3E"/>
    <w:rsid w:val="00F4163A"/>
    <w:rsid w:val="00F41873"/>
    <w:rsid w:val="00F419C3"/>
    <w:rsid w:val="00F41D91"/>
    <w:rsid w:val="00F41E2B"/>
    <w:rsid w:val="00F423BE"/>
    <w:rsid w:val="00F424A5"/>
    <w:rsid w:val="00F428AC"/>
    <w:rsid w:val="00F42EE3"/>
    <w:rsid w:val="00F43660"/>
    <w:rsid w:val="00F44542"/>
    <w:rsid w:val="00F44DB8"/>
    <w:rsid w:val="00F45760"/>
    <w:rsid w:val="00F45925"/>
    <w:rsid w:val="00F4646C"/>
    <w:rsid w:val="00F466A5"/>
    <w:rsid w:val="00F46BA6"/>
    <w:rsid w:val="00F46C97"/>
    <w:rsid w:val="00F50781"/>
    <w:rsid w:val="00F50856"/>
    <w:rsid w:val="00F50CA3"/>
    <w:rsid w:val="00F517ED"/>
    <w:rsid w:val="00F51F3F"/>
    <w:rsid w:val="00F528B5"/>
    <w:rsid w:val="00F528E7"/>
    <w:rsid w:val="00F52C8A"/>
    <w:rsid w:val="00F54783"/>
    <w:rsid w:val="00F547E9"/>
    <w:rsid w:val="00F5494E"/>
    <w:rsid w:val="00F54ABE"/>
    <w:rsid w:val="00F55F1A"/>
    <w:rsid w:val="00F5684C"/>
    <w:rsid w:val="00F57210"/>
    <w:rsid w:val="00F577FC"/>
    <w:rsid w:val="00F602F0"/>
    <w:rsid w:val="00F60C90"/>
    <w:rsid w:val="00F619EE"/>
    <w:rsid w:val="00F61FF9"/>
    <w:rsid w:val="00F62069"/>
    <w:rsid w:val="00F62159"/>
    <w:rsid w:val="00F62B93"/>
    <w:rsid w:val="00F633E5"/>
    <w:rsid w:val="00F63C89"/>
    <w:rsid w:val="00F647EC"/>
    <w:rsid w:val="00F657A4"/>
    <w:rsid w:val="00F65F15"/>
    <w:rsid w:val="00F675EA"/>
    <w:rsid w:val="00F7074A"/>
    <w:rsid w:val="00F71708"/>
    <w:rsid w:val="00F717C1"/>
    <w:rsid w:val="00F7281E"/>
    <w:rsid w:val="00F72956"/>
    <w:rsid w:val="00F72C3D"/>
    <w:rsid w:val="00F737AB"/>
    <w:rsid w:val="00F74216"/>
    <w:rsid w:val="00F74F0F"/>
    <w:rsid w:val="00F75731"/>
    <w:rsid w:val="00F7622B"/>
    <w:rsid w:val="00F76333"/>
    <w:rsid w:val="00F77100"/>
    <w:rsid w:val="00F8090F"/>
    <w:rsid w:val="00F8139A"/>
    <w:rsid w:val="00F82AAE"/>
    <w:rsid w:val="00F83212"/>
    <w:rsid w:val="00F838A9"/>
    <w:rsid w:val="00F84B4E"/>
    <w:rsid w:val="00F851B7"/>
    <w:rsid w:val="00F8566C"/>
    <w:rsid w:val="00F858D4"/>
    <w:rsid w:val="00F85C65"/>
    <w:rsid w:val="00F860EB"/>
    <w:rsid w:val="00F868B6"/>
    <w:rsid w:val="00F86968"/>
    <w:rsid w:val="00F86E42"/>
    <w:rsid w:val="00F876E6"/>
    <w:rsid w:val="00F87825"/>
    <w:rsid w:val="00F87838"/>
    <w:rsid w:val="00F87FCE"/>
    <w:rsid w:val="00F9008B"/>
    <w:rsid w:val="00F9023A"/>
    <w:rsid w:val="00F91669"/>
    <w:rsid w:val="00F9184F"/>
    <w:rsid w:val="00F91943"/>
    <w:rsid w:val="00F92A66"/>
    <w:rsid w:val="00F931CF"/>
    <w:rsid w:val="00F93A31"/>
    <w:rsid w:val="00F93D6E"/>
    <w:rsid w:val="00F9423D"/>
    <w:rsid w:val="00F94528"/>
    <w:rsid w:val="00F95182"/>
    <w:rsid w:val="00F95DE7"/>
    <w:rsid w:val="00F96F86"/>
    <w:rsid w:val="00F97DA8"/>
    <w:rsid w:val="00FA02B8"/>
    <w:rsid w:val="00FA0980"/>
    <w:rsid w:val="00FA1028"/>
    <w:rsid w:val="00FA181F"/>
    <w:rsid w:val="00FA1E82"/>
    <w:rsid w:val="00FA2137"/>
    <w:rsid w:val="00FA272D"/>
    <w:rsid w:val="00FA338D"/>
    <w:rsid w:val="00FA34A2"/>
    <w:rsid w:val="00FA366C"/>
    <w:rsid w:val="00FA3742"/>
    <w:rsid w:val="00FA3837"/>
    <w:rsid w:val="00FA39FC"/>
    <w:rsid w:val="00FA44B4"/>
    <w:rsid w:val="00FA4538"/>
    <w:rsid w:val="00FA4998"/>
    <w:rsid w:val="00FA4DC2"/>
    <w:rsid w:val="00FA67E3"/>
    <w:rsid w:val="00FA7157"/>
    <w:rsid w:val="00FA7698"/>
    <w:rsid w:val="00FA78C2"/>
    <w:rsid w:val="00FA7A2D"/>
    <w:rsid w:val="00FB0822"/>
    <w:rsid w:val="00FB1093"/>
    <w:rsid w:val="00FB13A0"/>
    <w:rsid w:val="00FB227E"/>
    <w:rsid w:val="00FB267D"/>
    <w:rsid w:val="00FB2A18"/>
    <w:rsid w:val="00FB2BF4"/>
    <w:rsid w:val="00FB2C8D"/>
    <w:rsid w:val="00FB6E6C"/>
    <w:rsid w:val="00FB71B0"/>
    <w:rsid w:val="00FB7ABA"/>
    <w:rsid w:val="00FB7C21"/>
    <w:rsid w:val="00FB7C46"/>
    <w:rsid w:val="00FC023A"/>
    <w:rsid w:val="00FC04E0"/>
    <w:rsid w:val="00FC11C6"/>
    <w:rsid w:val="00FC1BA8"/>
    <w:rsid w:val="00FC279A"/>
    <w:rsid w:val="00FC324D"/>
    <w:rsid w:val="00FC39A1"/>
    <w:rsid w:val="00FC3BC3"/>
    <w:rsid w:val="00FC4B53"/>
    <w:rsid w:val="00FC4BAE"/>
    <w:rsid w:val="00FC4F47"/>
    <w:rsid w:val="00FC5160"/>
    <w:rsid w:val="00FC6B0B"/>
    <w:rsid w:val="00FC713B"/>
    <w:rsid w:val="00FC79D5"/>
    <w:rsid w:val="00FC7B35"/>
    <w:rsid w:val="00FC7B53"/>
    <w:rsid w:val="00FC7FAC"/>
    <w:rsid w:val="00FD00D1"/>
    <w:rsid w:val="00FD0177"/>
    <w:rsid w:val="00FD0AE7"/>
    <w:rsid w:val="00FD0B44"/>
    <w:rsid w:val="00FD0F70"/>
    <w:rsid w:val="00FD2315"/>
    <w:rsid w:val="00FD29A7"/>
    <w:rsid w:val="00FD3092"/>
    <w:rsid w:val="00FD4D68"/>
    <w:rsid w:val="00FD51F7"/>
    <w:rsid w:val="00FD5258"/>
    <w:rsid w:val="00FD5602"/>
    <w:rsid w:val="00FD5A2A"/>
    <w:rsid w:val="00FD5AE2"/>
    <w:rsid w:val="00FD62B4"/>
    <w:rsid w:val="00FD6585"/>
    <w:rsid w:val="00FD7142"/>
    <w:rsid w:val="00FE011C"/>
    <w:rsid w:val="00FE07DC"/>
    <w:rsid w:val="00FE1116"/>
    <w:rsid w:val="00FE2075"/>
    <w:rsid w:val="00FE2080"/>
    <w:rsid w:val="00FE27B9"/>
    <w:rsid w:val="00FE2E37"/>
    <w:rsid w:val="00FE3640"/>
    <w:rsid w:val="00FE3780"/>
    <w:rsid w:val="00FE3CF7"/>
    <w:rsid w:val="00FE4071"/>
    <w:rsid w:val="00FE42E3"/>
    <w:rsid w:val="00FE4ECD"/>
    <w:rsid w:val="00FE5807"/>
    <w:rsid w:val="00FE624E"/>
    <w:rsid w:val="00FE6415"/>
    <w:rsid w:val="00FE69E7"/>
    <w:rsid w:val="00FE6BB8"/>
    <w:rsid w:val="00FF027B"/>
    <w:rsid w:val="00FF1174"/>
    <w:rsid w:val="00FF165A"/>
    <w:rsid w:val="00FF1B72"/>
    <w:rsid w:val="00FF1CF1"/>
    <w:rsid w:val="00FF1F4C"/>
    <w:rsid w:val="00FF35DC"/>
    <w:rsid w:val="00FF3A6A"/>
    <w:rsid w:val="00FF3BB9"/>
    <w:rsid w:val="00FF3C7A"/>
    <w:rsid w:val="00FF3E09"/>
    <w:rsid w:val="00FF411C"/>
    <w:rsid w:val="00FF4B2E"/>
    <w:rsid w:val="00FF4CD9"/>
    <w:rsid w:val="00FF4E4B"/>
    <w:rsid w:val="00FF4E4E"/>
    <w:rsid w:val="00FF5049"/>
    <w:rsid w:val="00FF5D1F"/>
    <w:rsid w:val="00FF5F95"/>
    <w:rsid w:val="00FF6126"/>
    <w:rsid w:val="00FF61F5"/>
    <w:rsid w:val="00FF62AA"/>
    <w:rsid w:val="00FF6338"/>
    <w:rsid w:val="00FF64D7"/>
    <w:rsid w:val="00FF6B6C"/>
    <w:rsid w:val="02021870"/>
    <w:rsid w:val="037738D8"/>
    <w:rsid w:val="050A0739"/>
    <w:rsid w:val="06604F65"/>
    <w:rsid w:val="075F0692"/>
    <w:rsid w:val="07DA38DE"/>
    <w:rsid w:val="08F53B23"/>
    <w:rsid w:val="0A070656"/>
    <w:rsid w:val="0A913ED8"/>
    <w:rsid w:val="0B24171E"/>
    <w:rsid w:val="0D584403"/>
    <w:rsid w:val="0EE12B37"/>
    <w:rsid w:val="0F80009C"/>
    <w:rsid w:val="101C0A97"/>
    <w:rsid w:val="104D6A68"/>
    <w:rsid w:val="108A7529"/>
    <w:rsid w:val="10F67974"/>
    <w:rsid w:val="13827929"/>
    <w:rsid w:val="146F2C7A"/>
    <w:rsid w:val="149E4992"/>
    <w:rsid w:val="14B93B1D"/>
    <w:rsid w:val="15D85D33"/>
    <w:rsid w:val="18B10842"/>
    <w:rsid w:val="1A25508F"/>
    <w:rsid w:val="1D321E13"/>
    <w:rsid w:val="1DF4799E"/>
    <w:rsid w:val="21076FE5"/>
    <w:rsid w:val="21455F84"/>
    <w:rsid w:val="230E4A6F"/>
    <w:rsid w:val="24977600"/>
    <w:rsid w:val="272F1A96"/>
    <w:rsid w:val="297B0CF7"/>
    <w:rsid w:val="2EDD2DD9"/>
    <w:rsid w:val="2F723467"/>
    <w:rsid w:val="31C022A2"/>
    <w:rsid w:val="32A02B99"/>
    <w:rsid w:val="33D414D0"/>
    <w:rsid w:val="39782634"/>
    <w:rsid w:val="3AFB0E5C"/>
    <w:rsid w:val="3B486020"/>
    <w:rsid w:val="3BA80B19"/>
    <w:rsid w:val="3C4240EC"/>
    <w:rsid w:val="3DCA693E"/>
    <w:rsid w:val="3F3A1FEB"/>
    <w:rsid w:val="40BB3BAE"/>
    <w:rsid w:val="41A14143"/>
    <w:rsid w:val="42253D73"/>
    <w:rsid w:val="42B96037"/>
    <w:rsid w:val="4B333B68"/>
    <w:rsid w:val="4CDE486A"/>
    <w:rsid w:val="4DE07F9C"/>
    <w:rsid w:val="4E5740AF"/>
    <w:rsid w:val="4EAC5711"/>
    <w:rsid w:val="4F1A29FF"/>
    <w:rsid w:val="51B2004B"/>
    <w:rsid w:val="51CD6C71"/>
    <w:rsid w:val="523356A1"/>
    <w:rsid w:val="5A3A2DDD"/>
    <w:rsid w:val="5B056D48"/>
    <w:rsid w:val="5B236CB3"/>
    <w:rsid w:val="5FC1618E"/>
    <w:rsid w:val="6208035B"/>
    <w:rsid w:val="63304269"/>
    <w:rsid w:val="669140AA"/>
    <w:rsid w:val="67ED268F"/>
    <w:rsid w:val="6B241A17"/>
    <w:rsid w:val="6E9C0F6F"/>
    <w:rsid w:val="726D70E7"/>
    <w:rsid w:val="7A453D6E"/>
    <w:rsid w:val="7C9C4E59"/>
    <w:rsid w:val="7CDE0E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104"/>
    <w:qFormat/>
    <w:uiPriority w:val="0"/>
    <w:pPr>
      <w:keepNext/>
      <w:keepLines/>
      <w:spacing w:before="260" w:after="260" w:line="416" w:lineRule="auto"/>
      <w:outlineLvl w:val="2"/>
    </w:pPr>
    <w:rPr>
      <w:b/>
      <w:bCs/>
      <w:kern w:val="0"/>
      <w:sz w:val="32"/>
      <w:szCs w:val="32"/>
    </w:rPr>
  </w:style>
  <w:style w:type="paragraph" w:styleId="6">
    <w:name w:val="heading 5"/>
    <w:basedOn w:val="1"/>
    <w:next w:val="7"/>
    <w:link w:val="101"/>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83"/>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95"/>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8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97"/>
    <w:qFormat/>
    <w:uiPriority w:val="0"/>
    <w:pPr>
      <w:keepNext/>
      <w:keepLines/>
      <w:numPr>
        <w:ilvl w:val="8"/>
        <w:numId w:val="1"/>
      </w:numPr>
      <w:spacing w:before="240" w:after="64" w:line="320" w:lineRule="auto"/>
      <w:outlineLvl w:val="8"/>
    </w:pPr>
    <w:rPr>
      <w:rFonts w:ascii="Arial" w:hAnsi="Arial" w:eastAsia="黑体"/>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360" w:after="260" w:line="360" w:lineRule="auto"/>
      <w:jc w:val="center"/>
      <w:textAlignment w:val="baseline"/>
    </w:pPr>
    <w:rPr>
      <w:rFonts w:ascii="Arial" w:hAnsi="Arial" w:eastAsia="黑体"/>
      <w:b/>
      <w:spacing w:val="24"/>
      <w:kern w:val="0"/>
      <w:sz w:val="24"/>
      <w:szCs w:val="20"/>
      <w:lang w:val="en-US" w:eastAsia="zh-CN" w:bidi="ar-SA"/>
    </w:rPr>
  </w:style>
  <w:style w:type="paragraph" w:styleId="7">
    <w:name w:val="Normal Indent"/>
    <w:basedOn w:val="1"/>
    <w:link w:val="86"/>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eastAsia="宋体" w:cs="Times New Roman"/>
      <w:szCs w:val="22"/>
    </w:r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annotation text"/>
    <w:basedOn w:val="1"/>
    <w:link w:val="94"/>
    <w:unhideWhenUsed/>
    <w:qFormat/>
    <w:uiPriority w:val="0"/>
    <w:pPr>
      <w:jc w:val="left"/>
    </w:pPr>
  </w:style>
  <w:style w:type="paragraph" w:styleId="16">
    <w:name w:val="Body Text 3"/>
    <w:basedOn w:val="1"/>
    <w:link w:val="85"/>
    <w:qFormat/>
    <w:uiPriority w:val="0"/>
    <w:pPr>
      <w:spacing w:line="500" w:lineRule="exact"/>
    </w:pPr>
    <w:rPr>
      <w:b/>
      <w:bCs/>
      <w:kern w:val="0"/>
      <w:sz w:val="24"/>
    </w:rPr>
  </w:style>
  <w:style w:type="paragraph" w:styleId="17">
    <w:name w:val="Body Text"/>
    <w:basedOn w:val="1"/>
    <w:link w:val="73"/>
    <w:qFormat/>
    <w:uiPriority w:val="99"/>
    <w:pPr>
      <w:spacing w:line="380" w:lineRule="exact"/>
    </w:pPr>
    <w:rPr>
      <w:kern w:val="0"/>
      <w:sz w:val="24"/>
    </w:rPr>
  </w:style>
  <w:style w:type="paragraph" w:styleId="18">
    <w:name w:val="Body Text Indent"/>
    <w:basedOn w:val="1"/>
    <w:link w:val="93"/>
    <w:qFormat/>
    <w:uiPriority w:val="0"/>
    <w:pPr>
      <w:ind w:firstLine="830" w:firstLineChars="352"/>
    </w:pPr>
    <w:rPr>
      <w:rFonts w:ascii="仿宋_GB2312" w:eastAsia="仿宋_GB2312"/>
      <w:kern w:val="0"/>
      <w:sz w:val="32"/>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5"/>
    <w:basedOn w:val="1"/>
    <w:next w:val="1"/>
    <w:unhideWhenUsed/>
    <w:qFormat/>
    <w:uiPriority w:val="39"/>
    <w:pPr>
      <w:ind w:left="1680" w:leftChars="800"/>
    </w:pPr>
    <w:rPr>
      <w:rFonts w:ascii="Calibri" w:hAnsi="Calibri" w:eastAsia="宋体" w:cs="Times New Roman"/>
      <w:szCs w:val="22"/>
    </w:rPr>
  </w:style>
  <w:style w:type="paragraph" w:styleId="22">
    <w:name w:val="toc 3"/>
    <w:basedOn w:val="1"/>
    <w:next w:val="1"/>
    <w:unhideWhenUsed/>
    <w:qFormat/>
    <w:uiPriority w:val="39"/>
    <w:pPr>
      <w:ind w:left="840" w:leftChars="400"/>
    </w:pPr>
    <w:rPr>
      <w:rFonts w:ascii="Calibri" w:hAnsi="Calibri" w:eastAsia="宋体" w:cs="Times New Roman"/>
      <w:szCs w:val="22"/>
    </w:rPr>
  </w:style>
  <w:style w:type="paragraph" w:styleId="23">
    <w:name w:val="Plain Text"/>
    <w:basedOn w:val="1"/>
    <w:link w:val="75"/>
    <w:qFormat/>
    <w:uiPriority w:val="0"/>
    <w:rPr>
      <w:rFonts w:ascii="宋体" w:hAnsi="Courier New"/>
      <w:kern w:val="0"/>
      <w:sz w:val="20"/>
      <w:szCs w:val="21"/>
    </w:rPr>
  </w:style>
  <w:style w:type="paragraph" w:styleId="24">
    <w:name w:val="toc 8"/>
    <w:basedOn w:val="1"/>
    <w:next w:val="1"/>
    <w:unhideWhenUsed/>
    <w:qFormat/>
    <w:uiPriority w:val="39"/>
    <w:pPr>
      <w:ind w:left="2940" w:leftChars="1400"/>
    </w:pPr>
    <w:rPr>
      <w:rFonts w:ascii="Calibri" w:hAnsi="Calibri" w:eastAsia="宋体" w:cs="Times New Roman"/>
      <w:szCs w:val="22"/>
    </w:rPr>
  </w:style>
  <w:style w:type="paragraph" w:styleId="25">
    <w:name w:val="Date"/>
    <w:basedOn w:val="1"/>
    <w:next w:val="1"/>
    <w:link w:val="82"/>
    <w:qFormat/>
    <w:uiPriority w:val="0"/>
    <w:pPr>
      <w:ind w:left="100" w:leftChars="2500"/>
    </w:pPr>
    <w:rPr>
      <w:rFonts w:ascii="宋体" w:hAnsi="Courier New"/>
      <w:kern w:val="0"/>
      <w:sz w:val="20"/>
      <w:szCs w:val="21"/>
    </w:rPr>
  </w:style>
  <w:style w:type="paragraph" w:styleId="26">
    <w:name w:val="Body Text Indent 2"/>
    <w:basedOn w:val="1"/>
    <w:link w:val="76"/>
    <w:qFormat/>
    <w:uiPriority w:val="0"/>
    <w:pPr>
      <w:ind w:firstLine="630"/>
    </w:pPr>
    <w:rPr>
      <w:kern w:val="0"/>
      <w:sz w:val="32"/>
      <w:szCs w:val="20"/>
    </w:rPr>
  </w:style>
  <w:style w:type="paragraph" w:styleId="27">
    <w:name w:val="endnote text"/>
    <w:basedOn w:val="1"/>
    <w:link w:val="96"/>
    <w:unhideWhenUsed/>
    <w:qFormat/>
    <w:uiPriority w:val="99"/>
    <w:pPr>
      <w:snapToGrid w:val="0"/>
      <w:jc w:val="left"/>
    </w:pPr>
  </w:style>
  <w:style w:type="paragraph" w:styleId="28">
    <w:name w:val="Balloon Text"/>
    <w:basedOn w:val="1"/>
    <w:link w:val="90"/>
    <w:semiHidden/>
    <w:qFormat/>
    <w:uiPriority w:val="0"/>
    <w:rPr>
      <w:kern w:val="0"/>
      <w:sz w:val="18"/>
      <w:szCs w:val="18"/>
    </w:rPr>
  </w:style>
  <w:style w:type="paragraph" w:styleId="29">
    <w:name w:val="footer"/>
    <w:basedOn w:val="1"/>
    <w:link w:val="92"/>
    <w:unhideWhenUsed/>
    <w:qFormat/>
    <w:uiPriority w:val="99"/>
    <w:pPr>
      <w:tabs>
        <w:tab w:val="center" w:pos="4153"/>
        <w:tab w:val="right" w:pos="8306"/>
      </w:tabs>
      <w:snapToGrid w:val="0"/>
      <w:jc w:val="left"/>
    </w:pPr>
    <w:rPr>
      <w:rFonts w:ascii="Calibri" w:hAnsi="Calibri"/>
      <w:kern w:val="0"/>
      <w:sz w:val="18"/>
      <w:szCs w:val="18"/>
    </w:rPr>
  </w:style>
  <w:style w:type="paragraph" w:styleId="30">
    <w:name w:val="header"/>
    <w:basedOn w:val="1"/>
    <w:link w:val="74"/>
    <w:unhideWhenUsed/>
    <w:qFormat/>
    <w:uiPriority w:val="99"/>
    <w:pPr>
      <w:pBdr>
        <w:bottom w:val="single" w:color="auto" w:sz="6" w:space="1"/>
      </w:pBdr>
      <w:tabs>
        <w:tab w:val="center" w:pos="0"/>
        <w:tab w:val="left" w:pos="8306"/>
      </w:tabs>
      <w:snapToGrid w:val="0"/>
      <w:jc w:val="center"/>
    </w:pPr>
    <w:rPr>
      <w:sz w:val="18"/>
      <w:szCs w:val="18"/>
    </w:rPr>
  </w:style>
  <w:style w:type="paragraph" w:styleId="31">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2">
    <w:name w:val="toc 4"/>
    <w:basedOn w:val="1"/>
    <w:next w:val="1"/>
    <w:unhideWhenUsed/>
    <w:qFormat/>
    <w:uiPriority w:val="39"/>
    <w:pPr>
      <w:ind w:left="1260" w:leftChars="600"/>
    </w:pPr>
    <w:rPr>
      <w:rFonts w:ascii="Calibri" w:hAnsi="Calibri" w:eastAsia="宋体" w:cs="Times New Roman"/>
      <w:szCs w:val="22"/>
    </w:rPr>
  </w:style>
  <w:style w:type="paragraph" w:styleId="33">
    <w:name w:val="List"/>
    <w:basedOn w:val="1"/>
    <w:qFormat/>
    <w:uiPriority w:val="0"/>
    <w:pPr>
      <w:ind w:left="200" w:hanging="200" w:hangingChars="200"/>
    </w:pPr>
    <w:rPr>
      <w:sz w:val="28"/>
    </w:rPr>
  </w:style>
  <w:style w:type="paragraph" w:styleId="34">
    <w:name w:val="footnote text"/>
    <w:basedOn w:val="1"/>
    <w:link w:val="99"/>
    <w:unhideWhenUsed/>
    <w:qFormat/>
    <w:uiPriority w:val="99"/>
    <w:pPr>
      <w:snapToGrid w:val="0"/>
      <w:jc w:val="left"/>
    </w:pPr>
    <w:rPr>
      <w:sz w:val="18"/>
      <w:szCs w:val="18"/>
    </w:rPr>
  </w:style>
  <w:style w:type="paragraph" w:styleId="35">
    <w:name w:val="toc 6"/>
    <w:basedOn w:val="1"/>
    <w:next w:val="1"/>
    <w:unhideWhenUsed/>
    <w:qFormat/>
    <w:uiPriority w:val="39"/>
    <w:pPr>
      <w:ind w:left="2100" w:leftChars="1000"/>
    </w:pPr>
    <w:rPr>
      <w:rFonts w:ascii="Calibri" w:hAnsi="Calibri" w:eastAsia="宋体" w:cs="Times New Roman"/>
      <w:szCs w:val="22"/>
    </w:rPr>
  </w:style>
  <w:style w:type="paragraph" w:styleId="36">
    <w:name w:val="Body Text Indent 3"/>
    <w:basedOn w:val="1"/>
    <w:link w:val="71"/>
    <w:qFormat/>
    <w:uiPriority w:val="0"/>
    <w:pPr>
      <w:spacing w:after="120"/>
      <w:ind w:left="420" w:leftChars="200"/>
    </w:pPr>
    <w:rPr>
      <w:kern w:val="0"/>
      <w:sz w:val="16"/>
      <w:szCs w:val="16"/>
    </w:rPr>
  </w:style>
  <w:style w:type="paragraph" w:styleId="37">
    <w:name w:val="toc 2"/>
    <w:basedOn w:val="1"/>
    <w:next w:val="1"/>
    <w:unhideWhenUsed/>
    <w:qFormat/>
    <w:uiPriority w:val="39"/>
    <w:pPr>
      <w:ind w:left="420" w:leftChars="200"/>
    </w:pPr>
  </w:style>
  <w:style w:type="paragraph" w:styleId="38">
    <w:name w:val="toc 9"/>
    <w:basedOn w:val="1"/>
    <w:next w:val="1"/>
    <w:unhideWhenUsed/>
    <w:qFormat/>
    <w:uiPriority w:val="39"/>
    <w:pPr>
      <w:ind w:left="3360" w:leftChars="1600"/>
    </w:pPr>
    <w:rPr>
      <w:rFonts w:ascii="Calibri" w:hAnsi="Calibri" w:eastAsia="宋体" w:cs="Times New Roman"/>
      <w:szCs w:val="22"/>
    </w:rPr>
  </w:style>
  <w:style w:type="paragraph" w:styleId="39">
    <w:name w:val="Body Text 2"/>
    <w:basedOn w:val="1"/>
    <w:link w:val="84"/>
    <w:qFormat/>
    <w:uiPriority w:val="0"/>
    <w:pPr>
      <w:spacing w:after="120" w:line="480" w:lineRule="auto"/>
    </w:pPr>
    <w:rPr>
      <w:kern w:val="0"/>
      <w:sz w:val="20"/>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0"/>
    <w:pPr>
      <w:spacing w:line="400" w:lineRule="exact"/>
      <w:ind w:firstLine="420" w:firstLineChars="200"/>
    </w:pPr>
    <w:rPr>
      <w:rFonts w:ascii="宋体" w:hAnsi="Courier New"/>
      <w:b/>
      <w:szCs w:val="20"/>
    </w:rPr>
  </w:style>
  <w:style w:type="paragraph" w:styleId="42">
    <w:name w:val="Title"/>
    <w:basedOn w:val="1"/>
    <w:next w:val="1"/>
    <w:link w:val="100"/>
    <w:qFormat/>
    <w:uiPriority w:val="10"/>
    <w:pPr>
      <w:spacing w:before="240" w:after="60"/>
      <w:jc w:val="center"/>
      <w:outlineLvl w:val="0"/>
    </w:pPr>
    <w:rPr>
      <w:rFonts w:ascii="Cambria" w:hAnsi="Cambria"/>
      <w:b/>
      <w:bCs/>
      <w:sz w:val="32"/>
      <w:szCs w:val="32"/>
    </w:rPr>
  </w:style>
  <w:style w:type="paragraph" w:styleId="43">
    <w:name w:val="annotation subject"/>
    <w:basedOn w:val="15"/>
    <w:next w:val="15"/>
    <w:link w:val="79"/>
    <w:unhideWhenUsed/>
    <w:qFormat/>
    <w:uiPriority w:val="99"/>
    <w:rPr>
      <w:b/>
      <w:bCs/>
    </w:rPr>
  </w:style>
  <w:style w:type="table" w:styleId="45">
    <w:name w:val="Table Grid"/>
    <w:basedOn w:val="4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endnote reference"/>
    <w:unhideWhenUsed/>
    <w:qFormat/>
    <w:uiPriority w:val="99"/>
    <w:rPr>
      <w:vertAlign w:val="superscript"/>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Hyperlink"/>
    <w:qFormat/>
    <w:uiPriority w:val="99"/>
    <w:rPr>
      <w:color w:val="0000FF"/>
      <w:u w:val="single"/>
    </w:rPr>
  </w:style>
  <w:style w:type="character" w:styleId="51">
    <w:name w:val="annotation reference"/>
    <w:unhideWhenUsed/>
    <w:uiPriority w:val="0"/>
    <w:rPr>
      <w:sz w:val="21"/>
      <w:szCs w:val="21"/>
    </w:rPr>
  </w:style>
  <w:style w:type="character" w:styleId="52">
    <w:name w:val="footnote reference"/>
    <w:unhideWhenUsed/>
    <w:qFormat/>
    <w:uiPriority w:val="99"/>
    <w:rPr>
      <w:vertAlign w:val="superscript"/>
    </w:rPr>
  </w:style>
  <w:style w:type="paragraph" w:styleId="53">
    <w:name w:val="No Spacing"/>
    <w:qFormat/>
    <w:uiPriority w:val="1"/>
    <w:pPr>
      <w:widowControl w:val="0"/>
      <w:autoSpaceDE w:val="0"/>
      <w:autoSpaceDN w:val="0"/>
    </w:pPr>
    <w:rPr>
      <w:rFonts w:ascii="宋体" w:hAnsi="宋体" w:eastAsia="宋体" w:cs="宋体"/>
      <w:sz w:val="22"/>
      <w:szCs w:val="22"/>
      <w:lang w:val="zh-CN" w:eastAsia="zh-CN" w:bidi="zh-CN"/>
    </w:rPr>
  </w:style>
  <w:style w:type="paragraph" w:customStyle="1" w:styleId="5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5">
    <w:name w:val="正文段"/>
    <w:basedOn w:val="1"/>
    <w:qFormat/>
    <w:uiPriority w:val="0"/>
    <w:pPr>
      <w:widowControl/>
      <w:snapToGrid w:val="0"/>
      <w:spacing w:after="50" w:afterLines="50"/>
      <w:ind w:firstLine="200" w:firstLineChars="200"/>
    </w:pPr>
    <w:rPr>
      <w:kern w:val="0"/>
      <w:sz w:val="24"/>
      <w:szCs w:val="20"/>
    </w:rPr>
  </w:style>
  <w:style w:type="paragraph" w:customStyle="1" w:styleId="56">
    <w:name w:val="Plain Text"/>
    <w:basedOn w:val="1"/>
    <w:qFormat/>
    <w:uiPriority w:val="0"/>
    <w:rPr>
      <w:rFonts w:ascii="宋体" w:hAnsi="Courier New" w:cs="Century"/>
      <w:szCs w:val="21"/>
    </w:rPr>
  </w:style>
  <w:style w:type="paragraph" w:customStyle="1" w:styleId="57">
    <w:name w:val="正文首行缩进两字符"/>
    <w:basedOn w:val="1"/>
    <w:qFormat/>
    <w:uiPriority w:val="0"/>
    <w:pPr>
      <w:spacing w:line="360" w:lineRule="auto"/>
      <w:ind w:firstLine="200" w:firstLineChars="200"/>
    </w:pPr>
  </w:style>
  <w:style w:type="paragraph" w:customStyle="1" w:styleId="58">
    <w:name w:val="表格"/>
    <w:basedOn w:val="1"/>
    <w:qFormat/>
    <w:uiPriority w:val="0"/>
    <w:pPr>
      <w:spacing w:line="400" w:lineRule="exact"/>
    </w:pPr>
    <w:rPr>
      <w:sz w:val="24"/>
    </w:rPr>
  </w:style>
  <w:style w:type="paragraph" w:customStyle="1" w:styleId="5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60">
    <w:name w:val="默认段落字体 Para Char Char Char Char Char Char Char Char Char1 Char Char Char Char"/>
    <w:basedOn w:val="1"/>
    <w:qFormat/>
    <w:uiPriority w:val="0"/>
    <w:rPr>
      <w:rFonts w:ascii="Tahoma" w:hAnsi="Tahoma"/>
      <w:sz w:val="24"/>
      <w:szCs w:val="20"/>
    </w:rPr>
  </w:style>
  <w:style w:type="paragraph" w:styleId="61">
    <w:name w:val="List Paragraph"/>
    <w:basedOn w:val="1"/>
    <w:qFormat/>
    <w:uiPriority w:val="34"/>
    <w:pPr>
      <w:ind w:firstLine="420" w:firstLineChars="200"/>
    </w:pPr>
  </w:style>
  <w:style w:type="paragraph" w:customStyle="1" w:styleId="62">
    <w:name w:val="样式 首行缩进:  2 字符"/>
    <w:basedOn w:val="1"/>
    <w:qFormat/>
    <w:uiPriority w:val="0"/>
    <w:pPr>
      <w:spacing w:line="400" w:lineRule="exact"/>
      <w:ind w:firstLine="200" w:firstLineChars="200"/>
    </w:pPr>
    <w:rPr>
      <w:rFonts w:cs="宋体"/>
      <w:sz w:val="24"/>
    </w:rPr>
  </w:style>
  <w:style w:type="paragraph" w:customStyle="1" w:styleId="63">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64">
    <w:name w:val="179"/>
    <w:basedOn w:val="1"/>
    <w:qFormat/>
    <w:uiPriority w:val="0"/>
    <w:pPr>
      <w:autoSpaceDE w:val="0"/>
      <w:autoSpaceDN w:val="0"/>
      <w:ind w:firstLine="420" w:firstLineChars="200"/>
      <w:jc w:val="left"/>
    </w:pPr>
    <w:rPr>
      <w:rFonts w:ascii="Calibri" w:hAnsi="Calibri" w:cs="宋体"/>
      <w:kern w:val="0"/>
      <w:sz w:val="22"/>
      <w:szCs w:val="22"/>
      <w:lang w:val="zh-CN" w:bidi="zh-CN"/>
    </w:rPr>
  </w:style>
  <w:style w:type="paragraph" w:customStyle="1" w:styleId="65">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Char1"/>
    <w:basedOn w:val="1"/>
    <w:qFormat/>
    <w:uiPriority w:val="0"/>
    <w:rPr>
      <w:szCs w:val="21"/>
    </w:rPr>
  </w:style>
  <w:style w:type="paragraph" w:customStyle="1" w:styleId="6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6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69">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character" w:customStyle="1" w:styleId="70">
    <w:name w:val="NormalCharacter"/>
    <w:semiHidden/>
    <w:qFormat/>
    <w:uiPriority w:val="0"/>
  </w:style>
  <w:style w:type="character" w:customStyle="1" w:styleId="71">
    <w:name w:val="正文文本缩进 3 Char"/>
    <w:link w:val="36"/>
    <w:qFormat/>
    <w:uiPriority w:val="0"/>
    <w:rPr>
      <w:rFonts w:ascii="Times New Roman" w:hAnsi="Times New Roman" w:eastAsia="宋体" w:cs="Times New Roman"/>
      <w:sz w:val="16"/>
      <w:szCs w:val="16"/>
    </w:rPr>
  </w:style>
  <w:style w:type="character" w:customStyle="1" w:styleId="72">
    <w:name w:val="headline-content4"/>
    <w:basedOn w:val="46"/>
    <w:qFormat/>
    <w:uiPriority w:val="0"/>
  </w:style>
  <w:style w:type="character" w:customStyle="1" w:styleId="73">
    <w:name w:val="正文文本 Char"/>
    <w:link w:val="17"/>
    <w:qFormat/>
    <w:uiPriority w:val="99"/>
    <w:rPr>
      <w:rFonts w:ascii="Times New Roman" w:hAnsi="Times New Roman" w:eastAsia="宋体" w:cs="Times New Roman"/>
      <w:sz w:val="24"/>
      <w:szCs w:val="24"/>
    </w:rPr>
  </w:style>
  <w:style w:type="character" w:customStyle="1" w:styleId="74">
    <w:name w:val="页眉 Char"/>
    <w:link w:val="30"/>
    <w:qFormat/>
    <w:uiPriority w:val="99"/>
    <w:rPr>
      <w:rFonts w:ascii="Times New Roman" w:hAnsi="Times New Roman"/>
      <w:kern w:val="2"/>
      <w:sz w:val="18"/>
      <w:szCs w:val="18"/>
    </w:rPr>
  </w:style>
  <w:style w:type="character" w:customStyle="1" w:styleId="75">
    <w:name w:val="纯文本 Char"/>
    <w:link w:val="23"/>
    <w:qFormat/>
    <w:uiPriority w:val="0"/>
    <w:rPr>
      <w:rFonts w:ascii="宋体" w:hAnsi="Courier New" w:eastAsia="宋体" w:cs="Courier New"/>
      <w:szCs w:val="21"/>
    </w:rPr>
  </w:style>
  <w:style w:type="character" w:customStyle="1" w:styleId="76">
    <w:name w:val="正文文本缩进 2 Char"/>
    <w:link w:val="26"/>
    <w:qFormat/>
    <w:uiPriority w:val="0"/>
    <w:rPr>
      <w:rFonts w:ascii="Times New Roman" w:hAnsi="Times New Roman" w:eastAsia="宋体" w:cs="Times New Roman"/>
      <w:sz w:val="32"/>
      <w:szCs w:val="20"/>
    </w:rPr>
  </w:style>
  <w:style w:type="character" w:customStyle="1" w:styleId="77">
    <w:name w:val="textcontents"/>
    <w:basedOn w:val="46"/>
    <w:qFormat/>
    <w:uiPriority w:val="0"/>
  </w:style>
  <w:style w:type="character" w:customStyle="1" w:styleId="78">
    <w:name w:val="apple-style-span"/>
    <w:basedOn w:val="46"/>
    <w:qFormat/>
    <w:uiPriority w:val="0"/>
  </w:style>
  <w:style w:type="character" w:customStyle="1" w:styleId="79">
    <w:name w:val="批注主题 Char"/>
    <w:link w:val="43"/>
    <w:semiHidden/>
    <w:qFormat/>
    <w:uiPriority w:val="99"/>
    <w:rPr>
      <w:rFonts w:ascii="Times New Roman" w:hAnsi="Times New Roman"/>
      <w:b/>
      <w:bCs/>
      <w:kern w:val="2"/>
      <w:sz w:val="21"/>
      <w:szCs w:val="24"/>
    </w:rPr>
  </w:style>
  <w:style w:type="character" w:customStyle="1" w:styleId="80">
    <w:name w:val="标题 8 Char"/>
    <w:link w:val="10"/>
    <w:qFormat/>
    <w:uiPriority w:val="0"/>
    <w:rPr>
      <w:rFonts w:ascii="Arial" w:hAnsi="Arial" w:eastAsia="黑体"/>
      <w:kern w:val="2"/>
      <w:sz w:val="24"/>
      <w:szCs w:val="24"/>
    </w:rPr>
  </w:style>
  <w:style w:type="character" w:customStyle="1" w:styleId="81">
    <w:name w:val="纯文本 字符2"/>
    <w:qFormat/>
    <w:uiPriority w:val="0"/>
    <w:rPr>
      <w:rFonts w:ascii="宋体" w:hAnsi="Courier New" w:eastAsia="宋体" w:cs="Courier New"/>
      <w:szCs w:val="21"/>
    </w:rPr>
  </w:style>
  <w:style w:type="character" w:customStyle="1" w:styleId="82">
    <w:name w:val="日期 Char"/>
    <w:link w:val="25"/>
    <w:qFormat/>
    <w:uiPriority w:val="0"/>
    <w:rPr>
      <w:rFonts w:ascii="宋体" w:hAnsi="Courier New" w:eastAsia="宋体" w:cs="Courier New"/>
      <w:szCs w:val="21"/>
    </w:rPr>
  </w:style>
  <w:style w:type="character" w:customStyle="1" w:styleId="83">
    <w:name w:val="标题 6 Char"/>
    <w:link w:val="8"/>
    <w:qFormat/>
    <w:uiPriority w:val="0"/>
    <w:rPr>
      <w:rFonts w:ascii="Arial" w:hAnsi="Arial" w:eastAsia="黑体"/>
      <w:b/>
      <w:kern w:val="2"/>
      <w:sz w:val="24"/>
      <w:szCs w:val="24"/>
    </w:rPr>
  </w:style>
  <w:style w:type="character" w:customStyle="1" w:styleId="84">
    <w:name w:val="正文文本 2 Char"/>
    <w:link w:val="39"/>
    <w:qFormat/>
    <w:uiPriority w:val="0"/>
    <w:rPr>
      <w:rFonts w:ascii="Times New Roman" w:hAnsi="Times New Roman" w:eastAsia="宋体" w:cs="Times New Roman"/>
      <w:szCs w:val="24"/>
    </w:rPr>
  </w:style>
  <w:style w:type="character" w:customStyle="1" w:styleId="85">
    <w:name w:val="正文文本 3 Char"/>
    <w:link w:val="16"/>
    <w:qFormat/>
    <w:uiPriority w:val="0"/>
    <w:rPr>
      <w:rFonts w:ascii="Times New Roman" w:hAnsi="Times New Roman" w:eastAsia="宋体" w:cs="Times New Roman"/>
      <w:b/>
      <w:bCs/>
      <w:sz w:val="24"/>
      <w:szCs w:val="24"/>
    </w:rPr>
  </w:style>
  <w:style w:type="character" w:customStyle="1" w:styleId="86">
    <w:name w:val="正文缩进 Char"/>
    <w:link w:val="7"/>
    <w:qFormat/>
    <w:uiPriority w:val="0"/>
    <w:rPr>
      <w:rFonts w:ascii="Times New Roman" w:hAnsi="Times New Roman"/>
      <w:kern w:val="2"/>
      <w:sz w:val="21"/>
    </w:rPr>
  </w:style>
  <w:style w:type="character" w:customStyle="1" w:styleId="87">
    <w:name w:val="页脚 Char1"/>
    <w:basedOn w:val="46"/>
    <w:qFormat/>
    <w:locked/>
    <w:uiPriority w:val="99"/>
    <w:rPr>
      <w:sz w:val="18"/>
      <w:szCs w:val="18"/>
    </w:rPr>
  </w:style>
  <w:style w:type="character" w:customStyle="1" w:styleId="88">
    <w:name w:val="case31"/>
    <w:qFormat/>
    <w:uiPriority w:val="0"/>
    <w:rPr>
      <w:rFonts w:hint="default" w:ascii="_x000B__x000C_" w:hAnsi="_x000B__x000C_"/>
      <w:sz w:val="21"/>
      <w:szCs w:val="21"/>
    </w:rPr>
  </w:style>
  <w:style w:type="character" w:customStyle="1" w:styleId="89">
    <w:name w:val="标题 2 Char"/>
    <w:link w:val="4"/>
    <w:qFormat/>
    <w:uiPriority w:val="0"/>
    <w:rPr>
      <w:rFonts w:ascii="Arial" w:hAnsi="Arial" w:eastAsia="黑体" w:cs="Times New Roman"/>
      <w:b/>
      <w:bCs/>
      <w:sz w:val="32"/>
      <w:szCs w:val="32"/>
    </w:rPr>
  </w:style>
  <w:style w:type="character" w:customStyle="1" w:styleId="90">
    <w:name w:val="批注框文本 Char"/>
    <w:link w:val="28"/>
    <w:semiHidden/>
    <w:qFormat/>
    <w:uiPriority w:val="0"/>
    <w:rPr>
      <w:rFonts w:ascii="Times New Roman" w:hAnsi="Times New Roman" w:eastAsia="宋体" w:cs="Times New Roman"/>
      <w:sz w:val="18"/>
      <w:szCs w:val="18"/>
    </w:rPr>
  </w:style>
  <w:style w:type="character" w:customStyle="1" w:styleId="91">
    <w:name w:val="正文文本缩进 3 字符"/>
    <w:qFormat/>
    <w:uiPriority w:val="0"/>
    <w:rPr>
      <w:rFonts w:ascii="Times New Roman" w:hAnsi="Times New Roman" w:eastAsia="宋体" w:cs="Times New Roman"/>
      <w:sz w:val="16"/>
      <w:szCs w:val="16"/>
    </w:rPr>
  </w:style>
  <w:style w:type="character" w:customStyle="1" w:styleId="92">
    <w:name w:val="页脚 Char"/>
    <w:link w:val="29"/>
    <w:qFormat/>
    <w:uiPriority w:val="99"/>
    <w:rPr>
      <w:sz w:val="18"/>
      <w:szCs w:val="18"/>
    </w:rPr>
  </w:style>
  <w:style w:type="character" w:customStyle="1" w:styleId="93">
    <w:name w:val="正文文本缩进 Char"/>
    <w:link w:val="18"/>
    <w:qFormat/>
    <w:uiPriority w:val="0"/>
    <w:rPr>
      <w:rFonts w:ascii="仿宋_GB2312" w:hAnsi="Times New Roman" w:eastAsia="仿宋_GB2312" w:cs="Times New Roman"/>
      <w:sz w:val="32"/>
      <w:szCs w:val="20"/>
    </w:rPr>
  </w:style>
  <w:style w:type="character" w:customStyle="1" w:styleId="94">
    <w:name w:val="批注文字 Char"/>
    <w:link w:val="15"/>
    <w:qFormat/>
    <w:uiPriority w:val="0"/>
    <w:rPr>
      <w:rFonts w:ascii="Times New Roman" w:hAnsi="Times New Roman"/>
      <w:kern w:val="2"/>
      <w:sz w:val="21"/>
      <w:szCs w:val="24"/>
    </w:rPr>
  </w:style>
  <w:style w:type="character" w:customStyle="1" w:styleId="95">
    <w:name w:val="标题 7 Char"/>
    <w:link w:val="9"/>
    <w:qFormat/>
    <w:uiPriority w:val="0"/>
    <w:rPr>
      <w:rFonts w:ascii="Times New Roman" w:hAnsi="Times New Roman"/>
      <w:b/>
      <w:kern w:val="2"/>
      <w:sz w:val="24"/>
      <w:szCs w:val="24"/>
    </w:rPr>
  </w:style>
  <w:style w:type="character" w:customStyle="1" w:styleId="96">
    <w:name w:val="尾注文本 Char"/>
    <w:link w:val="27"/>
    <w:semiHidden/>
    <w:qFormat/>
    <w:uiPriority w:val="99"/>
    <w:rPr>
      <w:rFonts w:ascii="Times New Roman" w:hAnsi="Times New Roman"/>
      <w:kern w:val="2"/>
      <w:sz w:val="21"/>
      <w:szCs w:val="24"/>
    </w:rPr>
  </w:style>
  <w:style w:type="character" w:customStyle="1" w:styleId="97">
    <w:name w:val="标题 9 Char"/>
    <w:link w:val="11"/>
    <w:qFormat/>
    <w:uiPriority w:val="0"/>
    <w:rPr>
      <w:rFonts w:ascii="Arial" w:hAnsi="Arial" w:eastAsia="黑体"/>
      <w:kern w:val="2"/>
      <w:sz w:val="21"/>
      <w:szCs w:val="24"/>
    </w:rPr>
  </w:style>
  <w:style w:type="character" w:customStyle="1" w:styleId="9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9">
    <w:name w:val="脚注文本 Char"/>
    <w:link w:val="34"/>
    <w:semiHidden/>
    <w:qFormat/>
    <w:uiPriority w:val="99"/>
    <w:rPr>
      <w:rFonts w:ascii="Times New Roman" w:hAnsi="Times New Roman"/>
      <w:kern w:val="2"/>
      <w:sz w:val="18"/>
      <w:szCs w:val="18"/>
    </w:rPr>
  </w:style>
  <w:style w:type="character" w:customStyle="1" w:styleId="100">
    <w:name w:val="标题 Char"/>
    <w:link w:val="42"/>
    <w:qFormat/>
    <w:uiPriority w:val="10"/>
    <w:rPr>
      <w:rFonts w:ascii="Cambria" w:hAnsi="Cambria" w:cs="Times New Roman"/>
      <w:b/>
      <w:bCs/>
      <w:kern w:val="2"/>
      <w:sz w:val="32"/>
      <w:szCs w:val="32"/>
    </w:rPr>
  </w:style>
  <w:style w:type="character" w:customStyle="1" w:styleId="101">
    <w:name w:val="标题 5 Char"/>
    <w:link w:val="6"/>
    <w:qFormat/>
    <w:uiPriority w:val="0"/>
    <w:rPr>
      <w:rFonts w:ascii="Times New Roman" w:hAnsi="Times New Roman"/>
      <w:b/>
      <w:kern w:val="2"/>
      <w:sz w:val="28"/>
      <w:szCs w:val="24"/>
    </w:rPr>
  </w:style>
  <w:style w:type="character" w:customStyle="1" w:styleId="102">
    <w:name w:val="标题 1 Char"/>
    <w:link w:val="3"/>
    <w:qFormat/>
    <w:uiPriority w:val="0"/>
    <w:rPr>
      <w:rFonts w:ascii="Times New Roman" w:hAnsi="Times New Roman" w:eastAsia="宋体" w:cs="Times New Roman"/>
      <w:b/>
      <w:bCs/>
      <w:kern w:val="44"/>
      <w:sz w:val="44"/>
      <w:szCs w:val="44"/>
    </w:rPr>
  </w:style>
  <w:style w:type="character" w:customStyle="1" w:styleId="103">
    <w:name w:val="批注文字 Char1"/>
    <w:basedOn w:val="46"/>
    <w:semiHidden/>
    <w:qFormat/>
    <w:locked/>
    <w:uiPriority w:val="0"/>
    <w:rPr>
      <w:rFonts w:ascii="Times New Roman" w:hAnsi="Times New Roman"/>
      <w:kern w:val="2"/>
      <w:sz w:val="21"/>
      <w:szCs w:val="24"/>
    </w:rPr>
  </w:style>
  <w:style w:type="character" w:customStyle="1" w:styleId="104">
    <w:name w:val="标题 3 Char"/>
    <w:link w:val="5"/>
    <w:qFormat/>
    <w:uiPriority w:val="0"/>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7946</Words>
  <Characters>45294</Characters>
  <Lines>377</Lines>
  <Paragraphs>106</Paragraphs>
  <TotalTime>15</TotalTime>
  <ScaleCrop>false</ScaleCrop>
  <LinksUpToDate>false</LinksUpToDate>
  <CharactersWithSpaces>53134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2019-09-06T07:06:00Z</dcterms:created>
  <dc:creator>番茄花园</dc:creator>
  <cp:lastModifiedBy>LENOVO</cp:lastModifiedBy>
  <cp:lastPrinted>2019-09-27T02:50:00Z</cp:lastPrinted>
  <dcterms:modified xsi:type="dcterms:W3CDTF">2020-11-23T10:54:45Z</dcterms:modified>
  <dc:title>公开招标采购文件范本</dc:title>
  <cp:revision>452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