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color w:val="auto"/>
        </w:rPr>
      </w:pPr>
    </w:p>
    <w:p>
      <w:pPr>
        <w:jc w:val="center"/>
        <w:rPr>
          <w:rFonts w:hint="eastAsia" w:ascii="宋体" w:hAnsi="宋体" w:eastAsia="宋体" w:cs="宋体"/>
          <w:color w:val="auto"/>
        </w:rPr>
      </w:pPr>
      <w:r>
        <w:rPr>
          <w:rFonts w:hint="eastAsia" w:ascii="宋体" w:hAnsi="宋体" w:eastAsia="宋体" w:cs="宋体"/>
          <w:b/>
          <w:color w:val="auto"/>
          <w:sz w:val="32"/>
          <w:szCs w:val="32"/>
        </w:rPr>
        <w:drawing>
          <wp:anchor distT="0" distB="0" distL="114300" distR="114300" simplePos="0" relativeHeight="251662336" behindDoc="1" locked="0" layoutInCell="1" allowOverlap="1">
            <wp:simplePos x="0" y="0"/>
            <wp:positionH relativeFrom="column">
              <wp:posOffset>1697990</wp:posOffset>
            </wp:positionH>
            <wp:positionV relativeFrom="paragraph">
              <wp:posOffset>118745</wp:posOffset>
            </wp:positionV>
            <wp:extent cx="2270125" cy="2273935"/>
            <wp:effectExtent l="0" t="0" r="15875" b="12065"/>
            <wp:wrapTight wrapText="bothSides">
              <wp:wrapPolygon>
                <wp:start x="0" y="0"/>
                <wp:lineTo x="0" y="21353"/>
                <wp:lineTo x="21389" y="21353"/>
                <wp:lineTo x="21389" y="0"/>
                <wp:lineTo x="0" y="0"/>
              </wp:wrapPolygon>
            </wp:wrapTight>
            <wp:docPr id="1" name="图片 3" descr="德承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德承标志"/>
                    <pic:cNvPicPr>
                      <a:picLocks noChangeAspect="1"/>
                    </pic:cNvPicPr>
                  </pic:nvPicPr>
                  <pic:blipFill>
                    <a:blip r:embed="rId6"/>
                    <a:stretch>
                      <a:fillRect/>
                    </a:stretch>
                  </pic:blipFill>
                  <pic:spPr>
                    <a:xfrm>
                      <a:off x="0" y="0"/>
                      <a:ext cx="2270125" cy="2273935"/>
                    </a:xfrm>
                    <a:prstGeom prst="rect">
                      <a:avLst/>
                    </a:prstGeom>
                    <a:noFill/>
                    <a:ln>
                      <a:noFill/>
                    </a:ln>
                  </pic:spPr>
                </pic:pic>
              </a:graphicData>
            </a:graphic>
          </wp:anchor>
        </w:drawing>
      </w:r>
    </w:p>
    <w:p>
      <w:pPr>
        <w:jc w:val="center"/>
        <w:rPr>
          <w:rFonts w:hint="eastAsia" w:ascii="宋体" w:hAnsi="宋体" w:eastAsia="宋体" w:cs="宋体"/>
          <w:color w:val="auto"/>
        </w:rPr>
      </w:pPr>
    </w:p>
    <w:p>
      <w:pPr>
        <w:jc w:val="center"/>
        <w:rPr>
          <w:rFonts w:hint="eastAsia" w:ascii="宋体" w:hAnsi="宋体" w:eastAsia="宋体" w:cs="宋体"/>
          <w:color w:val="auto"/>
        </w:rPr>
      </w:pPr>
    </w:p>
    <w:p>
      <w:pPr>
        <w:jc w:val="center"/>
        <w:rPr>
          <w:rFonts w:hint="eastAsia" w:ascii="宋体" w:hAnsi="宋体" w:eastAsia="宋体" w:cs="宋体"/>
          <w:color w:val="auto"/>
        </w:rPr>
      </w:pPr>
    </w:p>
    <w:p>
      <w:pPr>
        <w:jc w:val="center"/>
        <w:rPr>
          <w:rFonts w:hint="eastAsia" w:ascii="宋体" w:hAnsi="宋体" w:eastAsia="宋体" w:cs="宋体"/>
          <w:color w:val="auto"/>
        </w:rPr>
      </w:pPr>
    </w:p>
    <w:p>
      <w:pPr>
        <w:jc w:val="center"/>
        <w:rPr>
          <w:rFonts w:hint="eastAsia" w:ascii="宋体" w:hAnsi="宋体" w:eastAsia="宋体" w:cs="宋体"/>
          <w:color w:val="auto"/>
        </w:rPr>
      </w:pPr>
    </w:p>
    <w:p>
      <w:pPr>
        <w:spacing w:before="120" w:beforeLines="50"/>
        <w:jc w:val="center"/>
        <w:rPr>
          <w:rFonts w:hint="eastAsia" w:ascii="宋体" w:hAnsi="宋体" w:eastAsia="宋体" w:cs="宋体"/>
          <w:b/>
          <w:color w:val="auto"/>
          <w:sz w:val="72"/>
          <w:szCs w:val="72"/>
        </w:rPr>
      </w:pPr>
    </w:p>
    <w:p>
      <w:pPr>
        <w:spacing w:before="120" w:beforeLines="50"/>
        <w:jc w:val="center"/>
        <w:rPr>
          <w:rFonts w:hint="eastAsia" w:ascii="宋体" w:hAnsi="宋体" w:eastAsia="宋体" w:cs="宋体"/>
          <w:b/>
          <w:color w:val="auto"/>
          <w:sz w:val="72"/>
          <w:szCs w:val="72"/>
        </w:rPr>
      </w:pPr>
    </w:p>
    <w:p>
      <w:pPr>
        <w:spacing w:before="120" w:beforeLines="50"/>
        <w:jc w:val="center"/>
        <w:rPr>
          <w:rFonts w:hint="eastAsia" w:ascii="宋体" w:hAnsi="宋体" w:eastAsia="宋体" w:cs="宋体"/>
          <w:b/>
          <w:color w:val="auto"/>
          <w:sz w:val="72"/>
          <w:szCs w:val="72"/>
        </w:rPr>
      </w:pPr>
    </w:p>
    <w:p>
      <w:pPr>
        <w:spacing w:before="120" w:beforeLines="50"/>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公开招标文件</w:t>
      </w:r>
    </w:p>
    <w:p>
      <w:pPr>
        <w:snapToGrid w:val="0"/>
        <w:spacing w:before="120" w:beforeLines="50" w:line="500" w:lineRule="exact"/>
        <w:rPr>
          <w:rFonts w:hint="eastAsia" w:ascii="宋体" w:hAnsi="宋体" w:eastAsia="宋体" w:cs="宋体"/>
          <w:color w:val="auto"/>
        </w:rPr>
      </w:pPr>
    </w:p>
    <w:p>
      <w:pPr>
        <w:snapToGrid w:val="0"/>
        <w:spacing w:before="120" w:beforeLines="50" w:line="500" w:lineRule="exact"/>
        <w:jc w:val="center"/>
        <w:rPr>
          <w:rFonts w:hint="eastAsia" w:ascii="宋体" w:hAnsi="宋体" w:eastAsia="宋体" w:cs="宋体"/>
          <w:b/>
          <w:bCs/>
          <w:color w:val="auto"/>
          <w:sz w:val="30"/>
          <w:szCs w:val="30"/>
        </w:rPr>
      </w:pPr>
    </w:p>
    <w:p>
      <w:pPr>
        <w:snapToGrid w:val="0"/>
        <w:spacing w:before="120" w:beforeLines="50" w:line="500" w:lineRule="exact"/>
        <w:ind w:left="1956" w:leftChars="704" w:hanging="478" w:hangingChars="170"/>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项目名称：</w:t>
      </w:r>
      <w:r>
        <w:rPr>
          <w:rFonts w:hint="eastAsia" w:ascii="宋体" w:hAnsi="宋体" w:eastAsia="宋体" w:cs="宋体"/>
          <w:b/>
          <w:color w:val="auto"/>
          <w:sz w:val="32"/>
          <w:szCs w:val="32"/>
        </w:rPr>
        <w:t>贵港市产业园区区域性地震安全评价服务</w:t>
      </w:r>
    </w:p>
    <w:p>
      <w:pPr>
        <w:pStyle w:val="25"/>
        <w:snapToGrid w:val="0"/>
        <w:spacing w:before="50" w:after="120" w:line="500" w:lineRule="exact"/>
        <w:ind w:left="1956" w:leftChars="704" w:hanging="478" w:hangingChars="170"/>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项目编号：GGZC2020-G3-03912-GXDC</w:t>
      </w:r>
    </w:p>
    <w:p>
      <w:pPr>
        <w:pStyle w:val="25"/>
        <w:snapToGrid w:val="0"/>
        <w:spacing w:before="50" w:after="120" w:line="500" w:lineRule="exact"/>
        <w:ind w:left="1956" w:leftChars="704" w:hanging="478" w:hangingChars="170"/>
        <w:jc w:val="left"/>
        <w:rPr>
          <w:rFonts w:hint="eastAsia" w:ascii="宋体" w:hAnsi="宋体" w:eastAsia="宋体" w:cs="宋体"/>
          <w:b/>
          <w:bCs/>
          <w:color w:val="auto"/>
          <w:sz w:val="30"/>
          <w:szCs w:val="30"/>
        </w:rPr>
      </w:pPr>
      <w:r>
        <w:rPr>
          <w:rFonts w:hint="eastAsia" w:ascii="宋体" w:hAnsi="宋体" w:eastAsia="宋体" w:cs="宋体"/>
          <w:b/>
          <w:bCs/>
          <w:color w:val="auto"/>
          <w:sz w:val="28"/>
          <w:szCs w:val="28"/>
        </w:rPr>
        <w:t>政府采购计划编号：GGZC[2020]3912号</w:t>
      </w:r>
    </w:p>
    <w:p>
      <w:pPr>
        <w:snapToGrid w:val="0"/>
        <w:spacing w:before="120" w:beforeLines="50" w:line="500" w:lineRule="exact"/>
        <w:rPr>
          <w:rFonts w:hint="eastAsia" w:ascii="宋体" w:hAnsi="宋体" w:eastAsia="宋体" w:cs="宋体"/>
          <w:bCs/>
          <w:color w:val="auto"/>
          <w:szCs w:val="21"/>
        </w:rPr>
      </w:pPr>
    </w:p>
    <w:p>
      <w:pPr>
        <w:snapToGrid w:val="0"/>
        <w:spacing w:before="120" w:beforeLines="50" w:line="500" w:lineRule="exact"/>
        <w:rPr>
          <w:rFonts w:hint="eastAsia" w:ascii="宋体" w:hAnsi="宋体" w:eastAsia="宋体" w:cs="宋体"/>
          <w:bCs/>
          <w:color w:val="auto"/>
          <w:szCs w:val="21"/>
        </w:rPr>
      </w:pPr>
    </w:p>
    <w:p>
      <w:pPr>
        <w:snapToGrid w:val="0"/>
        <w:spacing w:before="120" w:beforeLines="50" w:line="500" w:lineRule="exact"/>
        <w:rPr>
          <w:rFonts w:hint="eastAsia" w:ascii="宋体" w:hAnsi="宋体" w:eastAsia="宋体" w:cs="宋体"/>
          <w:bCs/>
          <w:color w:val="auto"/>
          <w:szCs w:val="21"/>
          <w:u w:val="single"/>
        </w:rPr>
      </w:pPr>
    </w:p>
    <w:p>
      <w:pPr>
        <w:snapToGrid w:val="0"/>
        <w:spacing w:before="120" w:beforeLines="50" w:line="360" w:lineRule="auto"/>
        <w:ind w:firstLine="2249" w:firstLineChars="800"/>
        <w:rPr>
          <w:rFonts w:hint="eastAsia" w:ascii="宋体" w:hAnsi="宋体" w:eastAsia="宋体" w:cs="宋体"/>
          <w:bCs/>
          <w:color w:val="auto"/>
          <w:sz w:val="28"/>
          <w:szCs w:val="28"/>
          <w:u w:val="single"/>
        </w:rPr>
      </w:pPr>
      <w:r>
        <w:rPr>
          <w:rFonts w:hint="eastAsia" w:ascii="宋体" w:hAnsi="宋体" w:eastAsia="宋体" w:cs="宋体"/>
          <w:b/>
          <w:bCs/>
          <w:color w:val="auto"/>
          <w:sz w:val="28"/>
          <w:szCs w:val="28"/>
        </w:rPr>
        <w:t>采 购 单 位：贵港市产业园区管理委员会</w:t>
      </w:r>
    </w:p>
    <w:p>
      <w:pPr>
        <w:snapToGrid w:val="0"/>
        <w:spacing w:before="120" w:beforeLines="50" w:line="360" w:lineRule="auto"/>
        <w:ind w:firstLine="2249" w:firstLineChars="800"/>
        <w:rPr>
          <w:rFonts w:hint="eastAsia" w:ascii="宋体" w:hAnsi="宋体" w:eastAsia="宋体" w:cs="宋体"/>
          <w:b/>
          <w:bCs/>
          <w:color w:val="auto"/>
          <w:sz w:val="28"/>
          <w:szCs w:val="28"/>
        </w:rPr>
      </w:pPr>
      <w:r>
        <w:rPr>
          <w:rFonts w:hint="eastAsia" w:ascii="宋体" w:hAnsi="宋体" w:eastAsia="宋体" w:cs="宋体"/>
          <w:b/>
          <w:bCs/>
          <w:color w:val="auto"/>
          <w:sz w:val="28"/>
          <w:szCs w:val="28"/>
        </w:rPr>
        <w:t>采购代理机构：广西德承工程项目管理有限公司</w:t>
      </w:r>
    </w:p>
    <w:p>
      <w:pPr>
        <w:snapToGrid w:val="0"/>
        <w:spacing w:before="120" w:beforeLines="50" w:line="500" w:lineRule="exact"/>
        <w:jc w:val="center"/>
        <w:rPr>
          <w:rFonts w:hint="eastAsia" w:ascii="宋体" w:hAnsi="宋体" w:eastAsia="宋体" w:cs="宋体"/>
          <w:b/>
          <w:bCs/>
          <w:color w:val="auto"/>
          <w:sz w:val="30"/>
          <w:szCs w:val="30"/>
        </w:rPr>
      </w:pPr>
      <w:r>
        <w:rPr>
          <w:rFonts w:hint="eastAsia" w:ascii="宋体" w:hAnsi="宋体" w:eastAsia="宋体" w:cs="宋体"/>
          <w:b/>
          <w:bCs/>
          <w:color w:val="auto"/>
          <w:sz w:val="28"/>
          <w:szCs w:val="28"/>
        </w:rPr>
        <w:t>2020年10月</w:t>
      </w:r>
    </w:p>
    <w:p>
      <w:pPr>
        <w:rPr>
          <w:rFonts w:hint="eastAsia" w:ascii="宋体" w:hAnsi="宋体" w:eastAsia="宋体" w:cs="宋体"/>
          <w:color w:val="auto"/>
        </w:rPr>
      </w:pPr>
    </w:p>
    <w:p>
      <w:pPr>
        <w:pStyle w:val="25"/>
        <w:spacing w:before="120" w:after="120" w:line="360" w:lineRule="auto"/>
        <w:jc w:val="center"/>
        <w:rPr>
          <w:rFonts w:hint="eastAsia" w:ascii="宋体" w:hAnsi="宋体" w:eastAsia="宋体" w:cs="宋体"/>
          <w:color w:val="auto"/>
          <w:sz w:val="44"/>
          <w:szCs w:val="44"/>
        </w:rPr>
        <w:sectPr>
          <w:pgSz w:w="11906" w:h="16838"/>
          <w:pgMar w:top="1134" w:right="1287" w:bottom="1134" w:left="1304" w:header="720" w:footer="720" w:gutter="0"/>
          <w:pgNumType w:start="1"/>
          <w:cols w:space="720" w:num="1"/>
          <w:docGrid w:linePitch="312" w:charSpace="0"/>
        </w:sectPr>
      </w:pPr>
    </w:p>
    <w:sdt>
      <w:sdtPr>
        <w:rPr>
          <w:rFonts w:hint="eastAsia" w:ascii="宋体" w:hAnsi="宋体" w:eastAsia="宋体" w:cs="宋体"/>
          <w:b/>
          <w:bCs/>
          <w:color w:val="auto"/>
          <w:sz w:val="32"/>
          <w:szCs w:val="32"/>
        </w:rPr>
        <w:id w:val="147472758"/>
        <w:docPartObj>
          <w:docPartGallery w:val="Table of Contents"/>
          <w:docPartUnique/>
        </w:docPartObj>
      </w:sdtPr>
      <w:sdtEndPr>
        <w:rPr>
          <w:rFonts w:hint="eastAsia" w:ascii="宋体" w:hAnsi="宋体" w:eastAsia="宋体" w:cs="宋体"/>
          <w:b/>
          <w:bCs/>
          <w:color w:val="auto"/>
          <w:sz w:val="32"/>
          <w:szCs w:val="32"/>
        </w:rPr>
      </w:sdtEndPr>
      <w:sdtContent>
        <w:p>
          <w:pPr>
            <w:spacing w:line="48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目  录</w:t>
          </w:r>
        </w:p>
        <w:p>
          <w:pPr>
            <w:pStyle w:val="150"/>
            <w:tabs>
              <w:tab w:val="right" w:leader="dot" w:pos="9315"/>
            </w:tabs>
            <w:spacing w:line="48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"1-1" \h \u </w:instrText>
          </w:r>
          <w:r>
            <w:rPr>
              <w:rFonts w:hint="eastAsia" w:ascii="宋体" w:hAnsi="宋体" w:eastAsia="宋体" w:cs="宋体"/>
              <w:color w:val="auto"/>
              <w:sz w:val="28"/>
              <w:szCs w:val="28"/>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"_Toc18612"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第一章 公开招标公告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_Toc18612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150"/>
            <w:tabs>
              <w:tab w:val="right" w:leader="dot" w:pos="9315"/>
            </w:tabs>
            <w:spacing w:line="48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"_Toc29697"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第二章 采购需求一览表</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_Toc29697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150"/>
            <w:tabs>
              <w:tab w:val="right" w:leader="dot" w:pos="9315"/>
            </w:tabs>
            <w:spacing w:line="48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"_Toc10234"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第三章  投标人须知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_Toc10234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150"/>
            <w:tabs>
              <w:tab w:val="right" w:leader="dot" w:pos="9315"/>
            </w:tabs>
            <w:spacing w:line="48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"_Toc5268"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第四章  评标办法及评标标准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_Toc5268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150"/>
            <w:tabs>
              <w:tab w:val="right" w:leader="dot" w:pos="9315"/>
            </w:tabs>
            <w:spacing w:line="48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"_Toc31287"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第五章 合同主要条款格式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_Toc31287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150"/>
            <w:tabs>
              <w:tab w:val="right" w:leader="dot" w:pos="9315"/>
            </w:tabs>
            <w:spacing w:line="48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"_Toc30570"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第六章　投标文件格式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_Toc30570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spacing w:line="480" w:lineRule="auto"/>
            <w:rPr>
              <w:rFonts w:hint="eastAsia" w:ascii="宋体" w:hAnsi="宋体" w:eastAsia="宋体" w:cs="宋体"/>
              <w:color w:val="auto"/>
            </w:rPr>
          </w:pPr>
          <w:r>
            <w:rPr>
              <w:rFonts w:hint="eastAsia" w:ascii="宋体" w:hAnsi="宋体" w:eastAsia="宋体" w:cs="宋体"/>
              <w:color w:val="auto"/>
              <w:sz w:val="28"/>
              <w:szCs w:val="28"/>
            </w:rPr>
            <w:fldChar w:fldCharType="end"/>
          </w:r>
        </w:p>
      </w:sdtContent>
    </w:sdt>
    <w:p>
      <w:pPr>
        <w:spacing w:before="120" w:beforeLines="50" w:line="480" w:lineRule="exact"/>
        <w:rPr>
          <w:rFonts w:hint="eastAsia" w:ascii="宋体" w:hAnsi="宋体" w:eastAsia="宋体" w:cs="宋体"/>
          <w:color w:val="auto"/>
          <w:sz w:val="28"/>
          <w:szCs w:val="28"/>
        </w:rPr>
      </w:pPr>
    </w:p>
    <w:p>
      <w:pPr>
        <w:spacing w:before="120" w:beforeLines="50" w:line="480" w:lineRule="exact"/>
        <w:rPr>
          <w:rFonts w:hint="eastAsia" w:ascii="宋体" w:hAnsi="宋体" w:eastAsia="宋体" w:cs="宋体"/>
          <w:color w:val="auto"/>
          <w:sz w:val="30"/>
        </w:rPr>
      </w:pPr>
    </w:p>
    <w:p>
      <w:pPr>
        <w:spacing w:before="120" w:beforeLines="50" w:line="480" w:lineRule="exact"/>
        <w:rPr>
          <w:rFonts w:hint="eastAsia" w:ascii="宋体" w:hAnsi="宋体" w:eastAsia="宋体" w:cs="宋体"/>
          <w:color w:val="auto"/>
          <w:sz w:val="30"/>
        </w:rPr>
      </w:pPr>
    </w:p>
    <w:p>
      <w:pPr>
        <w:spacing w:before="120" w:beforeLines="50" w:line="480" w:lineRule="exact"/>
        <w:rPr>
          <w:rFonts w:hint="eastAsia" w:ascii="宋体" w:hAnsi="宋体" w:eastAsia="宋体" w:cs="宋体"/>
          <w:color w:val="auto"/>
          <w:sz w:val="30"/>
        </w:rPr>
      </w:pPr>
    </w:p>
    <w:p>
      <w:pPr>
        <w:spacing w:before="120" w:beforeLines="50" w:line="480" w:lineRule="exact"/>
        <w:rPr>
          <w:rFonts w:hint="eastAsia" w:ascii="宋体" w:hAnsi="宋体" w:eastAsia="宋体" w:cs="宋体"/>
          <w:color w:val="auto"/>
          <w:sz w:val="30"/>
        </w:rPr>
      </w:pPr>
    </w:p>
    <w:p>
      <w:pPr>
        <w:spacing w:before="120" w:beforeLines="50" w:line="480" w:lineRule="exact"/>
        <w:rPr>
          <w:rFonts w:hint="eastAsia" w:ascii="宋体" w:hAnsi="宋体" w:eastAsia="宋体" w:cs="宋体"/>
          <w:color w:val="auto"/>
          <w:sz w:val="30"/>
        </w:rPr>
      </w:pPr>
    </w:p>
    <w:p>
      <w:pPr>
        <w:spacing w:before="120" w:beforeLines="50" w:line="480" w:lineRule="exact"/>
        <w:rPr>
          <w:rFonts w:hint="eastAsia" w:ascii="宋体" w:hAnsi="宋体" w:eastAsia="宋体" w:cs="宋体"/>
          <w:color w:val="auto"/>
          <w:sz w:val="30"/>
        </w:rPr>
      </w:pPr>
    </w:p>
    <w:p>
      <w:pPr>
        <w:spacing w:before="120" w:beforeLines="50" w:line="480" w:lineRule="exact"/>
        <w:rPr>
          <w:rFonts w:hint="eastAsia" w:ascii="宋体" w:hAnsi="宋体" w:eastAsia="宋体" w:cs="宋体"/>
          <w:color w:val="auto"/>
          <w:sz w:val="30"/>
        </w:rPr>
      </w:pPr>
    </w:p>
    <w:p>
      <w:pPr>
        <w:spacing w:before="120" w:beforeLines="50" w:line="480" w:lineRule="exact"/>
        <w:rPr>
          <w:rFonts w:hint="eastAsia" w:ascii="宋体" w:hAnsi="宋体" w:eastAsia="宋体" w:cs="宋体"/>
          <w:color w:val="auto"/>
          <w:sz w:val="30"/>
        </w:rPr>
      </w:pPr>
    </w:p>
    <w:p>
      <w:pPr>
        <w:spacing w:before="120" w:beforeLines="50" w:line="480" w:lineRule="exact"/>
        <w:rPr>
          <w:rFonts w:hint="eastAsia" w:ascii="宋体" w:hAnsi="宋体" w:eastAsia="宋体" w:cs="宋体"/>
          <w:color w:val="auto"/>
          <w:sz w:val="30"/>
        </w:rPr>
      </w:pPr>
    </w:p>
    <w:p>
      <w:pPr>
        <w:spacing w:before="120" w:beforeLines="50" w:line="480" w:lineRule="exact"/>
        <w:rPr>
          <w:rFonts w:hint="eastAsia" w:ascii="宋体" w:hAnsi="宋体" w:eastAsia="宋体" w:cs="宋体"/>
          <w:color w:val="auto"/>
          <w:sz w:val="30"/>
        </w:rPr>
      </w:pPr>
    </w:p>
    <w:p>
      <w:pPr>
        <w:spacing w:before="120" w:beforeLines="50" w:line="480" w:lineRule="exact"/>
        <w:rPr>
          <w:rFonts w:hint="eastAsia" w:ascii="宋体" w:hAnsi="宋体" w:eastAsia="宋体" w:cs="宋体"/>
          <w:color w:val="auto"/>
          <w:sz w:val="30"/>
        </w:rPr>
      </w:pPr>
    </w:p>
    <w:p>
      <w:pPr>
        <w:spacing w:before="120" w:beforeLines="50" w:line="480" w:lineRule="exact"/>
        <w:rPr>
          <w:rFonts w:hint="eastAsia" w:ascii="宋体" w:hAnsi="宋体" w:eastAsia="宋体" w:cs="宋体"/>
          <w:color w:val="auto"/>
          <w:sz w:val="30"/>
        </w:rPr>
      </w:pPr>
    </w:p>
    <w:p>
      <w:pPr>
        <w:pStyle w:val="25"/>
        <w:snapToGrid w:val="0"/>
        <w:spacing w:before="120" w:after="120" w:line="360" w:lineRule="auto"/>
        <w:rPr>
          <w:rFonts w:hint="eastAsia" w:ascii="宋体" w:hAnsi="宋体" w:eastAsia="宋体" w:cs="宋体"/>
          <w:b/>
          <w:color w:val="auto"/>
          <w:sz w:val="32"/>
          <w:szCs w:val="32"/>
        </w:rPr>
      </w:pPr>
      <w:bookmarkStart w:id="0" w:name="_Toc254970630"/>
      <w:bookmarkStart w:id="1" w:name="_Toc254970489"/>
    </w:p>
    <w:bookmarkEnd w:id="0"/>
    <w:bookmarkEnd w:id="1"/>
    <w:p>
      <w:pPr>
        <w:pStyle w:val="3"/>
        <w:numPr>
          <w:ilvl w:val="0"/>
          <w:numId w:val="1"/>
        </w:numPr>
        <w:spacing w:line="360" w:lineRule="auto"/>
        <w:rPr>
          <w:rFonts w:hint="eastAsia" w:ascii="宋体" w:hAnsi="宋体" w:eastAsia="宋体" w:cs="宋体"/>
          <w:color w:val="auto"/>
        </w:rPr>
      </w:pPr>
      <w:bookmarkStart w:id="2" w:name="_Toc18612"/>
      <w:r>
        <w:rPr>
          <w:rFonts w:hint="eastAsia" w:ascii="宋体" w:hAnsi="宋体" w:eastAsia="宋体" w:cs="宋体"/>
          <w:color w:val="auto"/>
        </w:rPr>
        <w:t>公开招标公告</w:t>
      </w:r>
      <w:bookmarkEnd w:id="2"/>
    </w:p>
    <w:p>
      <w:pPr>
        <w:jc w:val="center"/>
        <w:rPr>
          <w:rFonts w:hint="eastAsia" w:ascii="宋体" w:hAnsi="宋体" w:eastAsia="宋体" w:cs="宋体"/>
          <w:b/>
          <w:bCs/>
          <w:color w:val="auto"/>
          <w:sz w:val="30"/>
          <w:szCs w:val="30"/>
        </w:rPr>
      </w:pPr>
      <w:bookmarkStart w:id="3" w:name="_Toc1655"/>
      <w:r>
        <w:rPr>
          <w:rFonts w:hint="eastAsia" w:ascii="宋体" w:hAnsi="宋体" w:eastAsia="宋体" w:cs="宋体"/>
          <w:b/>
          <w:bCs/>
          <w:color w:val="auto"/>
          <w:sz w:val="30"/>
          <w:szCs w:val="30"/>
        </w:rPr>
        <w:t>贵港市产业园区区域性地震安全评价服务</w:t>
      </w:r>
    </w:p>
    <w:p>
      <w:pPr>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（GGZC2020-G3-03912-GXDC）</w:t>
      </w:r>
      <w:bookmarkEnd w:id="3"/>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 xml:space="preserve"> 贵港市产业园区区域性地震安全评价服务</w:t>
      </w:r>
      <w:r>
        <w:rPr>
          <w:rFonts w:hint="eastAsia" w:ascii="宋体" w:hAnsi="宋体" w:eastAsia="宋体" w:cs="宋体"/>
          <w:color w:val="auto"/>
          <w:sz w:val="24"/>
        </w:rPr>
        <w:t xml:space="preserve"> 招标项目的潜在投标人应在</w:t>
      </w:r>
      <w:r>
        <w:rPr>
          <w:rFonts w:hint="eastAsia" w:ascii="宋体" w:hAnsi="宋体" w:eastAsia="宋体" w:cs="宋体"/>
          <w:color w:val="auto"/>
          <w:sz w:val="24"/>
          <w:u w:val="single"/>
        </w:rPr>
        <w:t>贵港市政府采购网（http://zfcg.czj.gxgg.gov.cn/home.html）“供应商注册入口”完 成账号注册后，登录政采云平台“项目采购—获取采购文件”模块自行下载</w:t>
      </w:r>
      <w:r>
        <w:rPr>
          <w:rFonts w:hint="eastAsia" w:ascii="宋体" w:hAnsi="宋体" w:eastAsia="宋体" w:cs="宋体"/>
          <w:color w:val="auto"/>
          <w:sz w:val="24"/>
        </w:rPr>
        <w:t>获取招标文件，并于</w:t>
      </w:r>
      <w:r>
        <w:rPr>
          <w:rFonts w:hint="eastAsia" w:ascii="宋体" w:hAnsi="宋体" w:eastAsia="宋体" w:cs="宋体"/>
          <w:color w:val="auto"/>
          <w:sz w:val="24"/>
          <w:u w:val="single"/>
        </w:rPr>
        <w:t>2020年</w:t>
      </w:r>
      <w:r>
        <w:rPr>
          <w:rFonts w:hint="eastAsia" w:ascii="宋体" w:hAnsi="宋体" w:cs="宋体"/>
          <w:color w:val="auto"/>
          <w:sz w:val="24"/>
          <w:u w:val="single"/>
          <w:lang w:val="en-US" w:eastAsia="zh-CN"/>
        </w:rPr>
        <w:t>11</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16</w:t>
      </w:r>
      <w:r>
        <w:rPr>
          <w:rFonts w:hint="eastAsia" w:ascii="宋体" w:hAnsi="宋体" w:eastAsia="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点</w:t>
      </w:r>
      <w:r>
        <w:rPr>
          <w:rFonts w:hint="eastAsia" w:ascii="宋体" w:hAnsi="宋体" w:eastAsia="宋体" w:cs="宋体"/>
          <w:color w:val="auto"/>
          <w:sz w:val="24"/>
          <w:u w:val="single"/>
          <w:lang w:val="en-US" w:eastAsia="zh-CN"/>
        </w:rPr>
        <w:t xml:space="preserve">  </w:t>
      </w:r>
      <w:r>
        <w:rPr>
          <w:rFonts w:hint="eastAsia" w:ascii="宋体" w:hAnsi="宋体" w:cs="宋体"/>
          <w:color w:val="auto"/>
          <w:sz w:val="24"/>
          <w:u w:val="single"/>
          <w:lang w:val="en-US" w:eastAsia="zh-CN"/>
        </w:rPr>
        <w:t>00</w:t>
      </w:r>
      <w:r>
        <w:rPr>
          <w:rFonts w:hint="eastAsia" w:ascii="宋体" w:hAnsi="宋体" w:eastAsia="宋体" w:cs="宋体"/>
          <w:color w:val="auto"/>
          <w:sz w:val="24"/>
          <w:u w:val="single"/>
        </w:rPr>
        <w:t>分</w:t>
      </w:r>
      <w:r>
        <w:rPr>
          <w:rFonts w:hint="eastAsia" w:ascii="宋体" w:hAnsi="宋体" w:eastAsia="宋体" w:cs="宋体"/>
          <w:color w:val="auto"/>
          <w:sz w:val="24"/>
          <w:u w:val="none"/>
        </w:rPr>
        <w:t>（</w:t>
      </w:r>
      <w:r>
        <w:rPr>
          <w:rFonts w:hint="eastAsia" w:ascii="宋体" w:hAnsi="宋体" w:eastAsia="宋体" w:cs="宋体"/>
          <w:color w:val="auto"/>
          <w:sz w:val="24"/>
        </w:rPr>
        <w:t>北京时间）前递交投标文件。</w:t>
      </w:r>
    </w:p>
    <w:p>
      <w:pPr>
        <w:spacing w:line="360" w:lineRule="auto"/>
        <w:rPr>
          <w:rFonts w:hint="eastAsia" w:ascii="宋体" w:hAnsi="宋体" w:eastAsia="宋体" w:cs="宋体"/>
          <w:color w:val="auto"/>
          <w:sz w:val="24"/>
        </w:rPr>
      </w:pPr>
    </w:p>
    <w:p>
      <w:pPr>
        <w:pStyle w:val="4"/>
        <w:spacing w:line="360" w:lineRule="auto"/>
        <w:rPr>
          <w:rFonts w:hint="eastAsia" w:ascii="宋体" w:hAnsi="宋体" w:eastAsia="宋体" w:cs="宋体"/>
          <w:b w:val="0"/>
          <w:bCs w:val="0"/>
          <w:color w:val="auto"/>
          <w:sz w:val="24"/>
          <w:szCs w:val="24"/>
        </w:rPr>
      </w:pPr>
      <w:bookmarkStart w:id="4" w:name="_Toc28359002"/>
      <w:bookmarkStart w:id="5" w:name="_Toc35393621"/>
      <w:bookmarkStart w:id="6" w:name="_Toc28359079"/>
      <w:bookmarkStart w:id="7" w:name="_Toc35393790"/>
      <w:bookmarkStart w:id="8" w:name="_Hlk24379207"/>
      <w:r>
        <w:rPr>
          <w:rFonts w:hint="eastAsia" w:ascii="宋体" w:hAnsi="宋体" w:eastAsia="宋体" w:cs="宋体"/>
          <w:b w:val="0"/>
          <w:bCs w:val="0"/>
          <w:color w:val="auto"/>
          <w:sz w:val="24"/>
          <w:szCs w:val="24"/>
        </w:rPr>
        <w:t>一、项目基本情况</w:t>
      </w:r>
      <w:bookmarkEnd w:id="4"/>
      <w:bookmarkEnd w:id="5"/>
      <w:bookmarkEnd w:id="6"/>
      <w:bookmarkEnd w:id="7"/>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项目编号：GGZC2020-G3-03912-GXDC</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项目名称：贵港市产业园区区域性地震安全评价服务</w:t>
      </w:r>
    </w:p>
    <w:bookmarkEnd w:id="8"/>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预算金额：人民币贰佰万元整（¥2000000.00）</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最高限价（如有）：人民币贰佰万元整（¥2000000.00）</w:t>
      </w:r>
    </w:p>
    <w:p>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采购需求：采购</w:t>
      </w:r>
      <w:r>
        <w:rPr>
          <w:rFonts w:hint="eastAsia" w:ascii="宋体" w:hAnsi="宋体" w:eastAsia="宋体" w:cs="宋体"/>
          <w:color w:val="auto"/>
          <w:sz w:val="24"/>
          <w:u w:val="none"/>
        </w:rPr>
        <w:t>贵港市产业园区区域性地震安全评价服务</w:t>
      </w:r>
      <w:r>
        <w:rPr>
          <w:rFonts w:hint="eastAsia" w:ascii="宋体" w:hAnsi="宋体" w:eastAsia="宋体" w:cs="宋体"/>
          <w:color w:val="auto"/>
          <w:sz w:val="24"/>
        </w:rPr>
        <w:t>一项，如需进一步了解详细内容，详见招标文件。</w:t>
      </w:r>
    </w:p>
    <w:p>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合同履行期限：详见招标文件要求。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本项目不接受联合体投标。</w:t>
      </w:r>
    </w:p>
    <w:p>
      <w:pPr>
        <w:pStyle w:val="4"/>
        <w:spacing w:line="360" w:lineRule="auto"/>
        <w:rPr>
          <w:rFonts w:hint="eastAsia" w:ascii="宋体" w:hAnsi="宋体" w:eastAsia="宋体" w:cs="宋体"/>
          <w:b w:val="0"/>
          <w:bCs w:val="0"/>
          <w:color w:val="auto"/>
          <w:sz w:val="24"/>
          <w:szCs w:val="24"/>
        </w:rPr>
      </w:pPr>
      <w:bookmarkStart w:id="9" w:name="_Toc28359003"/>
      <w:bookmarkStart w:id="10" w:name="_Toc28359080"/>
      <w:bookmarkStart w:id="11" w:name="_Toc35393622"/>
      <w:bookmarkStart w:id="12" w:name="_Toc35393791"/>
      <w:r>
        <w:rPr>
          <w:rFonts w:hint="eastAsia" w:ascii="宋体" w:hAnsi="宋体" w:eastAsia="宋体" w:cs="宋体"/>
          <w:b w:val="0"/>
          <w:bCs w:val="0"/>
          <w:color w:val="auto"/>
          <w:sz w:val="24"/>
          <w:szCs w:val="24"/>
        </w:rPr>
        <w:t>二、申请人的资格要求：</w:t>
      </w:r>
      <w:bookmarkEnd w:id="9"/>
      <w:bookmarkEnd w:id="10"/>
      <w:bookmarkEnd w:id="11"/>
      <w:bookmarkEnd w:id="12"/>
    </w:p>
    <w:p>
      <w:pPr>
        <w:spacing w:line="360" w:lineRule="auto"/>
        <w:rPr>
          <w:rFonts w:hint="eastAsia" w:ascii="宋体" w:hAnsi="宋体" w:eastAsia="宋体" w:cs="宋体"/>
          <w:color w:val="auto"/>
          <w:sz w:val="24"/>
        </w:rPr>
      </w:pPr>
      <w:r>
        <w:rPr>
          <w:rFonts w:hint="eastAsia" w:ascii="宋体" w:hAnsi="宋体" w:eastAsia="宋体" w:cs="宋体"/>
          <w:color w:val="auto"/>
          <w:sz w:val="24"/>
        </w:rPr>
        <w:t>1.满足《中华人民共和国政府采购法》第二十二条规定；</w:t>
      </w:r>
    </w:p>
    <w:p>
      <w:pPr>
        <w:spacing w:line="360" w:lineRule="auto"/>
        <w:rPr>
          <w:rFonts w:hint="eastAsia" w:ascii="宋体" w:hAnsi="宋体" w:eastAsia="宋体" w:cs="宋体"/>
          <w:color w:val="auto"/>
          <w:sz w:val="24"/>
        </w:rPr>
      </w:pPr>
      <w:bookmarkStart w:id="13" w:name="_Toc28359004"/>
      <w:bookmarkStart w:id="14" w:name="_Toc28359081"/>
      <w:r>
        <w:rPr>
          <w:rFonts w:hint="eastAsia" w:ascii="宋体" w:hAnsi="宋体" w:eastAsia="宋体" w:cs="宋体"/>
          <w:color w:val="auto"/>
          <w:sz w:val="24"/>
        </w:rPr>
        <w:t>2.落实政府采购政策需满足的资格要求：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（1）《政府采购促进中小企业发展暂行办法》（财库[2011]181 号）；</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（2）《财政部、司法部关于政府采购支持监狱企业发展有关问题的通知》（财库〔2014〕68 号）；</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（3）《财政部民政部中国残疾人联合会关于促进残疾人就业政府采购政策的通知》（财库〔2017〕141 号）；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（4）财政部《环保总局关于环境标志产品政府采购实施的意见》（财库[2006]90 号）；</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（5）财政部国家发展改革委关于印发《节能产品政府采购实施意见》的通知（财库[2004]185 号）等政 府采购相关政策。</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3.本项目的特定资格要求：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1）符合《中华人民共和国政府采购法》第二十二条规定，国内注册（指按国家有关规定要求注册的），经营范围应包含地震安全性评价或从事科学研究及社会服务，并进入中国灾害防御协会公布的全国地震安全性评价名单或者进入广西地震局官网备案的地震安全性评价从业单位名单，具有法人资格的供应商；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2）具有与承担区域性地震安全性评价相适应的地震学、地震地质学、工程地震学3个相关专业背景的技术人员，每个专业具有高级专业技术职称人员不少于2人；具有承担区域性地震安全性评价工作的技术装备和专用软件系统，并具备相应的实验、测试条件和分析能力。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（3）本项目不接受联合体竞标；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（4）本项目不接受未成功报名的投标人投标；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5）对在中国政府采购网(www.ccgp.gov.cn)、“信用中国”网站(www.creditchina.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4"/>
        <w:spacing w:line="360" w:lineRule="auto"/>
        <w:rPr>
          <w:rFonts w:hint="eastAsia" w:ascii="宋体" w:hAnsi="宋体" w:eastAsia="宋体" w:cs="宋体"/>
          <w:b w:val="0"/>
          <w:bCs w:val="0"/>
          <w:color w:val="auto"/>
          <w:sz w:val="24"/>
          <w:szCs w:val="24"/>
        </w:rPr>
      </w:pPr>
      <w:bookmarkStart w:id="15" w:name="_Toc35393792"/>
      <w:bookmarkStart w:id="16" w:name="_Toc35393623"/>
      <w:r>
        <w:rPr>
          <w:rFonts w:hint="eastAsia" w:ascii="宋体" w:hAnsi="宋体" w:eastAsia="宋体" w:cs="宋体"/>
          <w:b w:val="0"/>
          <w:bCs w:val="0"/>
          <w:color w:val="auto"/>
          <w:sz w:val="24"/>
          <w:szCs w:val="24"/>
        </w:rPr>
        <w:t>三、获取招标文件</w:t>
      </w:r>
      <w:bookmarkEnd w:id="13"/>
      <w:bookmarkEnd w:id="14"/>
      <w:bookmarkEnd w:id="15"/>
      <w:bookmarkEnd w:id="16"/>
    </w:p>
    <w:p>
      <w:pPr>
        <w:spacing w:line="360" w:lineRule="auto"/>
        <w:ind w:firstLine="540"/>
        <w:rPr>
          <w:rFonts w:hint="eastAsia" w:ascii="宋体" w:hAnsi="宋体" w:eastAsia="宋体" w:cs="宋体"/>
          <w:color w:val="auto"/>
          <w:sz w:val="24"/>
        </w:rPr>
      </w:pPr>
      <w:r>
        <w:rPr>
          <w:rFonts w:hint="eastAsia" w:ascii="宋体" w:hAnsi="宋体" w:eastAsia="宋体" w:cs="宋体"/>
          <w:color w:val="auto"/>
          <w:sz w:val="24"/>
        </w:rPr>
        <w:t>时间：</w:t>
      </w:r>
      <w:r>
        <w:rPr>
          <w:rFonts w:hint="eastAsia" w:ascii="宋体" w:hAnsi="宋体" w:eastAsia="宋体" w:cs="宋体"/>
          <w:color w:val="auto"/>
          <w:sz w:val="24"/>
          <w:u w:val="single"/>
        </w:rPr>
        <w:t>2020年</w:t>
      </w:r>
      <w:r>
        <w:rPr>
          <w:rFonts w:hint="eastAsia" w:ascii="宋体" w:hAnsi="宋体" w:cs="宋体"/>
          <w:color w:val="auto"/>
          <w:sz w:val="24"/>
          <w:u w:val="single"/>
          <w:lang w:val="en-US" w:eastAsia="zh-CN"/>
        </w:rPr>
        <w:t>10</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23</w:t>
      </w:r>
      <w:r>
        <w:rPr>
          <w:rFonts w:hint="eastAsia" w:ascii="宋体" w:hAnsi="宋体" w:eastAsia="宋体" w:cs="宋体"/>
          <w:color w:val="auto"/>
          <w:sz w:val="24"/>
          <w:u w:val="single"/>
        </w:rPr>
        <w:t>日</w:t>
      </w:r>
      <w:r>
        <w:rPr>
          <w:rFonts w:hint="eastAsia" w:ascii="宋体" w:hAnsi="宋体" w:eastAsia="宋体" w:cs="宋体"/>
          <w:color w:val="auto"/>
          <w:sz w:val="24"/>
        </w:rPr>
        <w:t>至</w:t>
      </w:r>
      <w:r>
        <w:rPr>
          <w:rFonts w:hint="eastAsia" w:ascii="宋体" w:hAnsi="宋体" w:eastAsia="宋体" w:cs="宋体"/>
          <w:color w:val="auto"/>
          <w:sz w:val="24"/>
          <w:u w:val="single"/>
        </w:rPr>
        <w:t>投标截止时间前</w:t>
      </w:r>
    </w:p>
    <w:p>
      <w:pPr>
        <w:spacing w:line="360" w:lineRule="auto"/>
        <w:ind w:firstLine="540"/>
        <w:rPr>
          <w:rFonts w:hint="eastAsia" w:ascii="宋体" w:hAnsi="宋体" w:eastAsia="宋体" w:cs="宋体"/>
          <w:color w:val="auto"/>
          <w:sz w:val="24"/>
          <w:u w:val="single"/>
        </w:rPr>
      </w:pPr>
      <w:r>
        <w:rPr>
          <w:rFonts w:hint="eastAsia" w:ascii="宋体" w:hAnsi="宋体" w:eastAsia="宋体" w:cs="宋体"/>
          <w:color w:val="auto"/>
          <w:sz w:val="24"/>
        </w:rPr>
        <w:t>地点：http://zfcg.czj.gxgg.gov.cn（贵港市政府采购网）</w:t>
      </w:r>
    </w:p>
    <w:p>
      <w:pPr>
        <w:spacing w:line="360" w:lineRule="auto"/>
        <w:ind w:firstLine="540"/>
        <w:rPr>
          <w:rFonts w:hint="eastAsia" w:ascii="宋体" w:hAnsi="宋体" w:eastAsia="宋体" w:cs="宋体"/>
          <w:color w:val="auto"/>
          <w:sz w:val="24"/>
          <w:u w:val="single"/>
        </w:rPr>
      </w:pPr>
      <w:r>
        <w:rPr>
          <w:rFonts w:hint="eastAsia" w:ascii="宋体" w:hAnsi="宋体" w:eastAsia="宋体" w:cs="宋体"/>
          <w:color w:val="auto"/>
          <w:sz w:val="24"/>
        </w:rPr>
        <w:t>方式：供应商通过贵港市政府采购网“供应商注册入口”完成账号注册后，登录政采云平台“项目采购—获取采购文件”模块自行下载公开招标文件；潜在投标人在截标现场签到报名，便认定为本项目的报名人。投标人在签到后即可递交投标文件。</w:t>
      </w:r>
    </w:p>
    <w:p>
      <w:pPr>
        <w:spacing w:line="360" w:lineRule="auto"/>
        <w:ind w:firstLine="540"/>
        <w:rPr>
          <w:rFonts w:hint="eastAsia" w:ascii="宋体" w:hAnsi="宋体" w:eastAsia="宋体" w:cs="宋体"/>
          <w:color w:val="auto"/>
          <w:sz w:val="24"/>
        </w:rPr>
      </w:pPr>
      <w:r>
        <w:rPr>
          <w:rFonts w:hint="eastAsia" w:ascii="宋体" w:hAnsi="宋体" w:eastAsia="宋体" w:cs="宋体"/>
          <w:color w:val="auto"/>
          <w:sz w:val="24"/>
        </w:rPr>
        <w:t>售价：每本0元</w:t>
      </w:r>
    </w:p>
    <w:p>
      <w:pPr>
        <w:pStyle w:val="4"/>
        <w:spacing w:line="360" w:lineRule="auto"/>
        <w:rPr>
          <w:rFonts w:hint="eastAsia" w:ascii="宋体" w:hAnsi="宋体" w:eastAsia="宋体" w:cs="宋体"/>
          <w:b w:val="0"/>
          <w:bCs w:val="0"/>
          <w:color w:val="auto"/>
          <w:sz w:val="24"/>
          <w:szCs w:val="24"/>
        </w:rPr>
      </w:pPr>
      <w:bookmarkStart w:id="17" w:name="_Toc28359005"/>
      <w:bookmarkStart w:id="18" w:name="_Toc28359082"/>
      <w:bookmarkStart w:id="19" w:name="_Toc35393624"/>
      <w:bookmarkStart w:id="20" w:name="_Toc35393793"/>
      <w:r>
        <w:rPr>
          <w:rFonts w:hint="eastAsia" w:ascii="宋体" w:hAnsi="宋体" w:eastAsia="宋体" w:cs="宋体"/>
          <w:b w:val="0"/>
          <w:bCs w:val="0"/>
          <w:color w:val="auto"/>
          <w:sz w:val="24"/>
          <w:szCs w:val="24"/>
        </w:rPr>
        <w:t>四、提交投标文件</w:t>
      </w:r>
      <w:bookmarkEnd w:id="17"/>
      <w:bookmarkEnd w:id="18"/>
      <w:r>
        <w:rPr>
          <w:rFonts w:hint="eastAsia" w:ascii="宋体" w:hAnsi="宋体" w:eastAsia="宋体" w:cs="宋体"/>
          <w:b w:val="0"/>
          <w:bCs w:val="0"/>
          <w:color w:val="auto"/>
          <w:sz w:val="24"/>
          <w:szCs w:val="24"/>
        </w:rPr>
        <w:t>截止时间、开标时间和地点</w:t>
      </w:r>
      <w:bookmarkEnd w:id="19"/>
      <w:bookmarkEnd w:id="20"/>
    </w:p>
    <w:p>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2020年</w:t>
      </w:r>
      <w:r>
        <w:rPr>
          <w:rFonts w:hint="eastAsia" w:ascii="宋体" w:hAnsi="宋体" w:cs="宋体"/>
          <w:color w:val="auto"/>
          <w:sz w:val="24"/>
          <w:u w:val="single"/>
          <w:lang w:val="en-US" w:eastAsia="zh-CN"/>
        </w:rPr>
        <w:t>11</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16</w:t>
      </w:r>
      <w:r>
        <w:rPr>
          <w:rFonts w:hint="eastAsia" w:ascii="宋体" w:hAnsi="宋体" w:eastAsia="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点</w:t>
      </w:r>
      <w:r>
        <w:rPr>
          <w:rFonts w:hint="eastAsia" w:ascii="宋体" w:hAnsi="宋体" w:eastAsia="宋体" w:cs="宋体"/>
          <w:color w:val="auto"/>
          <w:sz w:val="24"/>
          <w:u w:val="single"/>
          <w:lang w:val="en-US" w:eastAsia="zh-CN"/>
        </w:rPr>
        <w:t xml:space="preserve">  </w:t>
      </w:r>
      <w:r>
        <w:rPr>
          <w:rFonts w:hint="eastAsia" w:ascii="宋体" w:hAnsi="宋体" w:cs="宋体"/>
          <w:color w:val="auto"/>
          <w:sz w:val="24"/>
          <w:u w:val="single"/>
          <w:lang w:val="en-US" w:eastAsia="zh-CN"/>
        </w:rPr>
        <w:t>00</w:t>
      </w:r>
      <w:r>
        <w:rPr>
          <w:rFonts w:hint="eastAsia" w:ascii="宋体" w:hAnsi="宋体" w:eastAsia="宋体" w:cs="宋体"/>
          <w:color w:val="auto"/>
          <w:sz w:val="24"/>
          <w:u w:val="single"/>
        </w:rPr>
        <w:t>分</w:t>
      </w:r>
      <w:r>
        <w:rPr>
          <w:rFonts w:hint="eastAsia" w:ascii="宋体" w:hAnsi="宋体" w:eastAsia="宋体" w:cs="宋体"/>
          <w:color w:val="auto"/>
          <w:sz w:val="24"/>
        </w:rPr>
        <w:t>（北京时间）</w:t>
      </w:r>
    </w:p>
    <w:p>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地点：贵港市公共资源交易中心二楼交易厅（贵港市港北区金城商业步行街与金田路交叉口东南150米水利大厦）。</w:t>
      </w:r>
    </w:p>
    <w:p>
      <w:pPr>
        <w:pStyle w:val="4"/>
        <w:spacing w:line="360" w:lineRule="auto"/>
        <w:rPr>
          <w:rFonts w:hint="eastAsia" w:ascii="宋体" w:hAnsi="宋体" w:eastAsia="宋体" w:cs="宋体"/>
          <w:b w:val="0"/>
          <w:bCs w:val="0"/>
          <w:color w:val="auto"/>
          <w:sz w:val="24"/>
          <w:szCs w:val="24"/>
        </w:rPr>
      </w:pPr>
      <w:bookmarkStart w:id="21" w:name="_Toc35393794"/>
      <w:bookmarkStart w:id="22" w:name="_Toc35393625"/>
      <w:bookmarkStart w:id="23" w:name="_Toc28359084"/>
      <w:bookmarkStart w:id="24" w:name="_Toc28359007"/>
      <w:r>
        <w:rPr>
          <w:rFonts w:hint="eastAsia" w:ascii="宋体" w:hAnsi="宋体" w:eastAsia="宋体" w:cs="宋体"/>
          <w:b w:val="0"/>
          <w:bCs w:val="0"/>
          <w:color w:val="auto"/>
          <w:sz w:val="24"/>
          <w:szCs w:val="24"/>
        </w:rPr>
        <w:t>五、公告期限</w:t>
      </w:r>
      <w:bookmarkEnd w:id="21"/>
      <w:bookmarkEnd w:id="22"/>
      <w:bookmarkEnd w:id="23"/>
      <w:bookmarkEnd w:id="24"/>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自本公告发布之日起5个工作日。</w:t>
      </w:r>
    </w:p>
    <w:p>
      <w:pPr>
        <w:pStyle w:val="4"/>
        <w:spacing w:line="360" w:lineRule="auto"/>
        <w:rPr>
          <w:rFonts w:hint="eastAsia" w:ascii="宋体" w:hAnsi="宋体" w:eastAsia="宋体" w:cs="宋体"/>
          <w:b w:val="0"/>
          <w:bCs w:val="0"/>
          <w:color w:val="auto"/>
          <w:sz w:val="24"/>
          <w:szCs w:val="24"/>
        </w:rPr>
      </w:pPr>
      <w:bookmarkStart w:id="25" w:name="_Toc35393626"/>
      <w:bookmarkStart w:id="26" w:name="_Toc35393795"/>
      <w:r>
        <w:rPr>
          <w:rFonts w:hint="eastAsia" w:ascii="宋体" w:hAnsi="宋体" w:eastAsia="宋体" w:cs="宋体"/>
          <w:b w:val="0"/>
          <w:bCs w:val="0"/>
          <w:color w:val="auto"/>
          <w:sz w:val="24"/>
          <w:szCs w:val="24"/>
        </w:rPr>
        <w:t>六、其他补充事宜</w:t>
      </w:r>
      <w:bookmarkEnd w:id="25"/>
      <w:bookmarkEnd w:id="26"/>
    </w:p>
    <w:p>
      <w:pPr>
        <w:pStyle w:val="138"/>
        <w:spacing w:line="360" w:lineRule="auto"/>
        <w:ind w:left="495" w:firstLine="0" w:firstLineChars="0"/>
        <w:rPr>
          <w:rFonts w:hint="eastAsia" w:ascii="宋体" w:hAnsi="宋体" w:eastAsia="宋体" w:cs="宋体"/>
          <w:color w:val="auto"/>
          <w:sz w:val="24"/>
        </w:rPr>
      </w:pPr>
      <w:r>
        <w:rPr>
          <w:rFonts w:hint="eastAsia" w:ascii="宋体" w:hAnsi="宋体" w:eastAsia="宋体" w:cs="宋体"/>
          <w:color w:val="auto"/>
          <w:sz w:val="24"/>
        </w:rPr>
        <w:t>公告查询地址：</w:t>
      </w:r>
    </w:p>
    <w:p>
      <w:pPr>
        <w:pStyle w:val="138"/>
        <w:spacing w:line="360" w:lineRule="auto"/>
        <w:ind w:left="495" w:firstLine="0" w:firstLineChars="0"/>
        <w:rPr>
          <w:rFonts w:hint="eastAsia" w:ascii="宋体" w:hAnsi="宋体" w:eastAsia="宋体" w:cs="宋体"/>
          <w:color w:val="auto"/>
          <w:sz w:val="24"/>
        </w:rPr>
      </w:pPr>
      <w:r>
        <w:rPr>
          <w:rFonts w:hint="eastAsia" w:ascii="宋体" w:hAnsi="宋体" w:eastAsia="宋体" w:cs="宋体"/>
          <w:color w:val="auto"/>
          <w:sz w:val="24"/>
        </w:rPr>
        <w:t>http://www.ccgp.gov.cn（中国政府采购网）、http://www.gxzfcg.gov.cn（广西壮族自治区政府采购网）、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"http://zfcg.czj.gxgg.gov.cn/%EF%BC%88%E8%B4%B5%E6%B8%AF%E5%B8%82%E6%94%BF%E5%BA%9C%E9%87%87%E8%B4%AD%E7%BD%91" </w:instrText>
      </w:r>
      <w:r>
        <w:rPr>
          <w:rFonts w:hint="eastAsia" w:ascii="宋体" w:hAnsi="宋体" w:eastAsia="宋体" w:cs="宋体"/>
          <w:color w:val="auto"/>
        </w:rPr>
        <w:fldChar w:fldCharType="separate"/>
      </w:r>
      <w:r>
        <w:rPr>
          <w:rFonts w:hint="eastAsia" w:ascii="宋体" w:hAnsi="宋体" w:eastAsia="宋体" w:cs="宋体"/>
          <w:color w:val="auto"/>
          <w:sz w:val="24"/>
        </w:rPr>
        <w:t>http://zfcg.czj.gxgg.gov.cn/（贵港市政府采购网</w:t>
      </w:r>
      <w:r>
        <w:rPr>
          <w:rFonts w:hint="eastAsia" w:ascii="宋体" w:hAnsi="宋体" w:eastAsia="宋体" w:cs="宋体"/>
          <w:color w:val="auto"/>
          <w:sz w:val="24"/>
        </w:rPr>
        <w:fldChar w:fldCharType="end"/>
      </w:r>
      <w:r>
        <w:rPr>
          <w:rFonts w:hint="eastAsia" w:ascii="宋体" w:hAnsi="宋体" w:eastAsia="宋体" w:cs="宋体"/>
          <w:color w:val="auto"/>
          <w:sz w:val="24"/>
        </w:rPr>
        <w:t>）、http://ggggjy.gxgg.gov.cn:9005/（贵港市公共资源交易中心网）。</w:t>
      </w:r>
    </w:p>
    <w:p>
      <w:pPr>
        <w:pStyle w:val="4"/>
        <w:spacing w:line="360" w:lineRule="auto"/>
        <w:rPr>
          <w:rFonts w:hint="eastAsia" w:ascii="宋体" w:hAnsi="宋体" w:eastAsia="宋体" w:cs="宋体"/>
          <w:b w:val="0"/>
          <w:bCs w:val="0"/>
          <w:color w:val="auto"/>
          <w:sz w:val="24"/>
          <w:szCs w:val="24"/>
        </w:rPr>
      </w:pPr>
      <w:bookmarkStart w:id="27" w:name="_Toc35393796"/>
      <w:bookmarkStart w:id="28" w:name="_Toc28359008"/>
      <w:bookmarkStart w:id="29" w:name="_Toc28359085"/>
      <w:bookmarkStart w:id="30" w:name="_Toc35393627"/>
      <w:r>
        <w:rPr>
          <w:rFonts w:hint="eastAsia" w:ascii="宋体" w:hAnsi="宋体" w:eastAsia="宋体" w:cs="宋体"/>
          <w:b w:val="0"/>
          <w:bCs w:val="0"/>
          <w:color w:val="auto"/>
          <w:sz w:val="24"/>
          <w:szCs w:val="24"/>
        </w:rPr>
        <w:t>七、对本次招标提出询问，请按以下方式联系。</w:t>
      </w:r>
      <w:bookmarkEnd w:id="27"/>
      <w:bookmarkEnd w:id="28"/>
      <w:bookmarkEnd w:id="29"/>
      <w:bookmarkEnd w:id="30"/>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1.采购人信息</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名 称：</w:t>
      </w:r>
      <w:r>
        <w:rPr>
          <w:rFonts w:hint="eastAsia" w:ascii="宋体" w:hAnsi="宋体" w:eastAsia="宋体" w:cs="宋体"/>
          <w:color w:val="auto"/>
          <w:sz w:val="24"/>
          <w:u w:val="single"/>
        </w:rPr>
        <w:t>贵港市产业园区管理委员会</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single"/>
        </w:rPr>
        <w:t>广西壮族自治区贵港市交通运输局二楼</w:t>
      </w:r>
    </w:p>
    <w:p>
      <w:pPr>
        <w:spacing w:line="360" w:lineRule="auto"/>
        <w:jc w:val="left"/>
        <w:rPr>
          <w:rFonts w:hint="eastAsia" w:ascii="宋体" w:hAnsi="宋体" w:eastAsia="宋体" w:cs="宋体"/>
          <w:color w:val="auto"/>
          <w:sz w:val="24"/>
          <w:u w:val="single"/>
        </w:rPr>
      </w:pPr>
      <w:r>
        <w:rPr>
          <w:rFonts w:hint="eastAsia" w:ascii="宋体" w:hAnsi="宋体" w:eastAsia="宋体" w:cs="宋体"/>
          <w:color w:val="auto"/>
          <w:sz w:val="24"/>
        </w:rPr>
        <w:t>联系方式：</w:t>
      </w:r>
      <w:bookmarkStart w:id="31" w:name="_Toc28359086"/>
      <w:bookmarkStart w:id="32" w:name="_Toc28359009"/>
      <w:r>
        <w:rPr>
          <w:rFonts w:hint="eastAsia" w:ascii="宋体" w:hAnsi="宋体" w:eastAsia="宋体" w:cs="宋体"/>
          <w:color w:val="auto"/>
          <w:sz w:val="24"/>
          <w:u w:val="single"/>
        </w:rPr>
        <w:t>黄工，0775-4565215</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2.采购代理机构信息</w:t>
      </w:r>
      <w:bookmarkEnd w:id="31"/>
      <w:bookmarkEnd w:id="32"/>
    </w:p>
    <w:p>
      <w:pPr>
        <w:spacing w:line="360" w:lineRule="auto"/>
        <w:rPr>
          <w:rFonts w:hint="eastAsia" w:ascii="宋体" w:hAnsi="宋体" w:eastAsia="宋体" w:cs="宋体"/>
          <w:color w:val="auto"/>
          <w:sz w:val="24"/>
        </w:rPr>
      </w:pPr>
      <w:r>
        <w:rPr>
          <w:rFonts w:hint="eastAsia" w:ascii="宋体" w:hAnsi="宋体" w:eastAsia="宋体" w:cs="宋体"/>
          <w:color w:val="auto"/>
          <w:sz w:val="24"/>
        </w:rPr>
        <w:t>名 称：</w:t>
      </w:r>
      <w:r>
        <w:rPr>
          <w:rFonts w:hint="eastAsia" w:ascii="宋体" w:hAnsi="宋体" w:eastAsia="宋体" w:cs="宋体"/>
          <w:color w:val="auto"/>
          <w:sz w:val="24"/>
          <w:u w:val="single"/>
        </w:rPr>
        <w:t>广西德承工程项目管理有限公司</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广西贵港市体育中心园区D101号</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联系方式：</w:t>
      </w:r>
      <w:bookmarkStart w:id="33" w:name="_Toc28359087"/>
      <w:bookmarkStart w:id="34" w:name="_Toc28359010"/>
      <w:r>
        <w:rPr>
          <w:rFonts w:hint="eastAsia" w:ascii="宋体" w:hAnsi="宋体" w:eastAsia="宋体" w:cs="宋体"/>
          <w:color w:val="auto"/>
          <w:sz w:val="24"/>
          <w:u w:val="single"/>
        </w:rPr>
        <w:t>梁小芹， 0775-4225539</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3.项目联系方式</w:t>
      </w:r>
      <w:bookmarkEnd w:id="33"/>
      <w:bookmarkEnd w:id="34"/>
    </w:p>
    <w:p>
      <w:pPr>
        <w:pStyle w:val="25"/>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u w:val="single"/>
        </w:rPr>
        <w:t>梁小芹</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电　话：</w:t>
      </w:r>
      <w:r>
        <w:rPr>
          <w:rFonts w:hint="eastAsia" w:ascii="宋体" w:hAnsi="宋体" w:eastAsia="宋体" w:cs="宋体"/>
          <w:color w:val="auto"/>
          <w:sz w:val="24"/>
          <w:u w:val="single"/>
        </w:rPr>
        <w:t>0775-4225539</w:t>
      </w:r>
    </w:p>
    <w:p>
      <w:pPr>
        <w:numPr>
          <w:ilvl w:val="255"/>
          <w:numId w:val="0"/>
        </w:numPr>
        <w:spacing w:line="360" w:lineRule="auto"/>
        <w:rPr>
          <w:rFonts w:hint="eastAsia" w:ascii="宋体" w:hAnsi="宋体" w:eastAsia="宋体" w:cs="宋体"/>
          <w:b/>
          <w:color w:val="auto"/>
          <w:sz w:val="24"/>
          <w:shd w:val="clear" w:color="auto" w:fill="FFFFFF"/>
        </w:rPr>
      </w:pPr>
    </w:p>
    <w:p>
      <w:pPr>
        <w:spacing w:line="360" w:lineRule="auto"/>
        <w:ind w:firstLine="420" w:firstLineChars="200"/>
        <w:jc w:val="right"/>
        <w:rPr>
          <w:rFonts w:hint="eastAsia" w:ascii="宋体" w:hAnsi="宋体" w:eastAsia="宋体" w:cs="宋体"/>
          <w:color w:val="auto"/>
          <w:szCs w:val="21"/>
        </w:rPr>
      </w:pPr>
      <w:r>
        <w:rPr>
          <w:rFonts w:hint="eastAsia" w:ascii="宋体" w:hAnsi="宋体" w:eastAsia="宋体" w:cs="宋体"/>
          <w:color w:val="auto"/>
          <w:szCs w:val="21"/>
        </w:rPr>
        <w:t xml:space="preserve">                                               </w:t>
      </w:r>
    </w:p>
    <w:p>
      <w:pPr>
        <w:spacing w:line="360" w:lineRule="auto"/>
        <w:ind w:firstLine="420" w:firstLineChars="200"/>
        <w:jc w:val="right"/>
        <w:rPr>
          <w:rFonts w:hint="eastAsia" w:ascii="宋体" w:hAnsi="宋体" w:eastAsia="宋体" w:cs="宋体"/>
          <w:color w:val="auto"/>
          <w:szCs w:val="21"/>
        </w:rPr>
      </w:pPr>
      <w:r>
        <w:rPr>
          <w:rFonts w:hint="eastAsia" w:ascii="宋体" w:hAnsi="宋体" w:eastAsia="宋体" w:cs="宋体"/>
          <w:color w:val="auto"/>
          <w:szCs w:val="21"/>
        </w:rPr>
        <w:t xml:space="preserve"> </w:t>
      </w:r>
    </w:p>
    <w:p>
      <w:pPr>
        <w:jc w:val="right"/>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4"/>
        </w:rPr>
        <w:t>2020年</w:t>
      </w:r>
      <w:r>
        <w:rPr>
          <w:rFonts w:hint="eastAsia" w:ascii="宋体" w:hAnsi="宋体" w:eastAsia="宋体" w:cs="宋体"/>
          <w:color w:val="auto"/>
          <w:sz w:val="24"/>
          <w:lang w:val="en-US" w:eastAsia="zh-CN"/>
        </w:rPr>
        <w:t>10</w:t>
      </w:r>
      <w:r>
        <w:rPr>
          <w:rFonts w:hint="eastAsia" w:ascii="宋体" w:hAnsi="宋体" w:eastAsia="宋体" w:cs="宋体"/>
          <w:color w:val="auto"/>
          <w:sz w:val="24"/>
        </w:rPr>
        <w:t>月</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3</w:t>
      </w:r>
      <w:r>
        <w:rPr>
          <w:rFonts w:hint="eastAsia" w:ascii="宋体" w:hAnsi="宋体" w:eastAsia="宋体" w:cs="宋体"/>
          <w:color w:val="auto"/>
          <w:sz w:val="24"/>
        </w:rPr>
        <w:t>日</w:t>
      </w:r>
    </w:p>
    <w:p>
      <w:pPr>
        <w:numPr>
          <w:ilvl w:val="0"/>
          <w:numId w:val="1"/>
        </w:numPr>
        <w:spacing w:line="360" w:lineRule="auto"/>
        <w:jc w:val="center"/>
        <w:outlineLvl w:val="0"/>
        <w:rPr>
          <w:rStyle w:val="58"/>
          <w:rFonts w:hint="eastAsia" w:ascii="宋体" w:hAnsi="宋体" w:eastAsia="宋体" w:cs="宋体"/>
          <w:color w:val="auto"/>
        </w:rPr>
      </w:pPr>
      <w:r>
        <w:rPr>
          <w:rFonts w:hint="eastAsia" w:ascii="宋体" w:hAnsi="宋体" w:eastAsia="宋体" w:cs="宋体"/>
          <w:b/>
          <w:color w:val="auto"/>
          <w:sz w:val="32"/>
          <w:szCs w:val="32"/>
        </w:rPr>
        <w:br w:type="page"/>
      </w:r>
      <w:bookmarkStart w:id="35" w:name="_Toc29697"/>
      <w:bookmarkStart w:id="36" w:name="_Toc78604604"/>
      <w:bookmarkStart w:id="37" w:name="_Toc96865207"/>
      <w:r>
        <w:rPr>
          <w:rStyle w:val="58"/>
          <w:rFonts w:hint="eastAsia" w:ascii="宋体" w:hAnsi="宋体" w:eastAsia="宋体" w:cs="宋体"/>
          <w:color w:val="auto"/>
        </w:rPr>
        <w:t>采购需求一览表</w:t>
      </w:r>
      <w:bookmarkEnd w:id="35"/>
    </w:p>
    <w:bookmarkEnd w:id="36"/>
    <w:bookmarkEnd w:id="37"/>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9"/>
        <w:gridCol w:w="529"/>
        <w:gridCol w:w="463"/>
        <w:gridCol w:w="426"/>
        <w:gridCol w:w="65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6" w:hRule="atLeast"/>
          <w:jc w:val="center"/>
        </w:trPr>
        <w:tc>
          <w:tcPr>
            <w:tcW w:w="8826"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hint="eastAsia" w:ascii="宋体" w:hAnsi="宋体" w:eastAsia="宋体" w:cs="宋体"/>
                <w:b/>
                <w:color w:val="auto"/>
                <w:szCs w:val="21"/>
              </w:rPr>
            </w:pPr>
            <w:bookmarkStart w:id="38" w:name="_Toc6508"/>
            <w:r>
              <w:rPr>
                <w:rFonts w:hint="eastAsia" w:ascii="宋体" w:hAnsi="宋体" w:eastAsia="宋体" w:cs="宋体"/>
                <w:b/>
                <w:color w:val="auto"/>
                <w:szCs w:val="21"/>
              </w:rPr>
              <w:t>一、技术要求</w:t>
            </w:r>
            <w:bookmarkEnd w:id="3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6" w:hRule="atLeast"/>
          <w:jc w:val="center"/>
        </w:trPr>
        <w:tc>
          <w:tcPr>
            <w:tcW w:w="141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项目名称</w:t>
            </w:r>
          </w:p>
        </w:tc>
        <w:tc>
          <w:tcPr>
            <w:tcW w:w="7408" w:type="dxa"/>
            <w:gridSpan w:val="3"/>
            <w:tcBorders>
              <w:left w:val="single" w:color="auto" w:sz="4" w:space="0"/>
              <w:bottom w:val="single" w:color="auto" w:sz="4" w:space="0"/>
              <w:right w:val="single" w:color="auto" w:sz="4" w:space="0"/>
            </w:tcBorders>
            <w:vAlign w:val="center"/>
          </w:tcPr>
          <w:p>
            <w:pPr>
              <w:snapToGrid w:val="0"/>
              <w:jc w:val="center"/>
              <w:outlineLvl w:val="0"/>
              <w:rPr>
                <w:rFonts w:hint="eastAsia" w:ascii="宋体" w:hAnsi="宋体" w:eastAsia="宋体" w:cs="宋体"/>
                <w:b/>
                <w:color w:val="auto"/>
                <w:szCs w:val="21"/>
              </w:rPr>
            </w:pPr>
            <w:bookmarkStart w:id="39" w:name="_Toc31512"/>
            <w:r>
              <w:rPr>
                <w:rFonts w:hint="eastAsia" w:ascii="宋体" w:hAnsi="宋体" w:eastAsia="宋体" w:cs="宋体"/>
                <w:b/>
                <w:color w:val="auto"/>
                <w:szCs w:val="21"/>
              </w:rPr>
              <w:t>服务要求</w:t>
            </w:r>
            <w:bookmarkEnd w:id="3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6" w:hRule="atLeast"/>
          <w:jc w:val="center"/>
        </w:trPr>
        <w:tc>
          <w:tcPr>
            <w:tcW w:w="1418" w:type="dxa"/>
            <w:gridSpan w:val="2"/>
            <w:tcBorders>
              <w:top w:val="single" w:color="auto" w:sz="4" w:space="0"/>
              <w:left w:val="single" w:color="auto" w:sz="4" w:space="0"/>
              <w:bottom w:val="single" w:color="auto" w:sz="4" w:space="0"/>
              <w:right w:val="single" w:color="auto" w:sz="4" w:space="0"/>
            </w:tcBorders>
            <w:vAlign w:val="center"/>
          </w:tcPr>
          <w:p>
            <w:pPr>
              <w:pStyle w:val="21"/>
              <w:spacing w:line="360" w:lineRule="exact"/>
              <w:ind w:firstLine="0"/>
              <w:jc w:val="center"/>
              <w:rPr>
                <w:rFonts w:hint="eastAsia" w:ascii="宋体" w:hAnsi="宋体" w:eastAsia="宋体" w:cs="宋体"/>
                <w:b/>
                <w:color w:val="auto"/>
                <w:spacing w:val="0"/>
                <w:sz w:val="21"/>
                <w:szCs w:val="21"/>
              </w:rPr>
            </w:pPr>
            <w:r>
              <w:rPr>
                <w:rFonts w:hint="eastAsia" w:ascii="宋体" w:hAnsi="宋体" w:eastAsia="宋体" w:cs="宋体"/>
                <w:bCs/>
                <w:color w:val="auto"/>
                <w:spacing w:val="0"/>
                <w:sz w:val="21"/>
                <w:szCs w:val="21"/>
              </w:rPr>
              <w:t>贵港市产业园区区域性地震安全评价服务</w:t>
            </w:r>
          </w:p>
        </w:tc>
        <w:tc>
          <w:tcPr>
            <w:tcW w:w="7408" w:type="dxa"/>
            <w:gridSpan w:val="3"/>
            <w:tcBorders>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贵港市产业园区由三大分园区组成，分别为江南制造业综合产业发展区、武乐临港综合产业发展区、石卡战略性新兴产业发展区，规划控制面积为105.2平方公里。对工程场地地震安全性评价有影响的范围称为区域，应不小于目标区外延150km；为查清目标区及其邻近地区地震构造和地震活动特征所需调查研究的地域称为近场区， 应不小于目标区外延25km。</w:t>
            </w:r>
          </w:p>
          <w:p>
            <w:pPr>
              <w:spacing w:line="400" w:lineRule="exact"/>
              <w:ind w:firstLine="315" w:firstLineChars="150"/>
              <w:rPr>
                <w:rFonts w:hint="eastAsia" w:ascii="宋体" w:hAnsi="宋体" w:eastAsia="宋体" w:cs="宋体"/>
                <w:color w:val="auto"/>
                <w:szCs w:val="21"/>
              </w:rPr>
            </w:pPr>
            <w:bookmarkStart w:id="40" w:name="_Toc10655"/>
            <w:r>
              <w:rPr>
                <w:rFonts w:hint="eastAsia" w:ascii="宋体" w:hAnsi="宋体" w:eastAsia="宋体" w:cs="宋体"/>
                <w:color w:val="auto"/>
                <w:szCs w:val="21"/>
              </w:rPr>
              <w:t>（1）项目目标</w:t>
            </w:r>
            <w:bookmarkEnd w:id="40"/>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按照《区域性地震安全性评价大纲（试行）》（中震防函〔2019〕21号）、GB17741-2005《工程场地地震安全性评价》、 GB/T36072—2018《活动断层探测》 以及其他相关技术标准、规范规定，开展区域性地震安全性评价工作，包括目标区主要断层活动性鉴定、地震危险性评价、地震动参数评价和地震地质灾害初步评价。 </w:t>
            </w:r>
          </w:p>
          <w:p>
            <w:pPr>
              <w:spacing w:line="400" w:lineRule="exact"/>
              <w:ind w:firstLine="315" w:firstLineChars="150"/>
              <w:rPr>
                <w:rFonts w:hint="eastAsia" w:ascii="宋体" w:hAnsi="宋体" w:eastAsia="宋体" w:cs="宋体"/>
                <w:color w:val="auto"/>
                <w:szCs w:val="21"/>
              </w:rPr>
            </w:pPr>
            <w:bookmarkStart w:id="41" w:name="_Toc15509"/>
            <w:r>
              <w:rPr>
                <w:rFonts w:hint="eastAsia" w:ascii="宋体" w:hAnsi="宋体" w:eastAsia="宋体" w:cs="宋体"/>
                <w:color w:val="auto"/>
                <w:szCs w:val="21"/>
              </w:rPr>
              <w:t>（2）项目内容</w:t>
            </w:r>
            <w:bookmarkEnd w:id="41"/>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①区域地震活动性和地震构造评价；</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②近场区地震活动性和地震构造调查与评价；</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③目标区主要断层勘查和活动性鉴定；</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④地震动预测方程确定；</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⑤目标区概率地震危险性分析并给出目标区地震动参数分区结果；</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⑥目标区场地地震工程地质条件勘查、土层波速与非线性参数测试；</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⑦土层模型建立、场地地震反应分析与地震动参数确定等；</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⑧地震地质灾害评价并分区；</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⑨建设区域性地震安全性评价技术服务系统及所需的数据库。</w:t>
            </w:r>
          </w:p>
          <w:p>
            <w:pPr>
              <w:spacing w:line="400" w:lineRule="exact"/>
              <w:ind w:firstLine="420" w:firstLineChars="200"/>
              <w:rPr>
                <w:rFonts w:hint="eastAsia" w:ascii="宋体" w:hAnsi="宋体" w:eastAsia="宋体" w:cs="宋体"/>
                <w:color w:val="auto"/>
                <w:szCs w:val="21"/>
              </w:rPr>
            </w:pPr>
            <w:bookmarkStart w:id="42" w:name="_Toc1829"/>
            <w:r>
              <w:rPr>
                <w:rFonts w:hint="eastAsia" w:ascii="宋体" w:hAnsi="宋体" w:eastAsia="宋体" w:cs="宋体"/>
                <w:color w:val="auto"/>
                <w:szCs w:val="21"/>
              </w:rPr>
              <w:t>（3）技术指标</w:t>
            </w:r>
            <w:bookmarkEnd w:id="42"/>
          </w:p>
          <w:p>
            <w:pPr>
              <w:spacing w:line="400" w:lineRule="exact"/>
              <w:ind w:firstLine="525" w:firstLineChars="250"/>
              <w:rPr>
                <w:rFonts w:hint="eastAsia" w:ascii="宋体" w:hAnsi="宋体" w:eastAsia="宋体" w:cs="宋体"/>
                <w:color w:val="auto"/>
                <w:szCs w:val="21"/>
              </w:rPr>
            </w:pPr>
            <w:r>
              <w:rPr>
                <w:rFonts w:hint="eastAsia" w:ascii="宋体" w:hAnsi="宋体" w:eastAsia="宋体" w:cs="宋体"/>
                <w:color w:val="auto"/>
                <w:szCs w:val="21"/>
              </w:rPr>
              <w:t>①目标区主要断层活动性鉴定成果图，比例尺1:5万；</w:t>
            </w:r>
          </w:p>
          <w:p>
            <w:pPr>
              <w:spacing w:line="400" w:lineRule="exact"/>
              <w:ind w:firstLine="525" w:firstLineChars="250"/>
              <w:rPr>
                <w:rFonts w:hint="eastAsia" w:ascii="宋体" w:hAnsi="宋体" w:eastAsia="宋体" w:cs="宋体"/>
                <w:color w:val="auto"/>
                <w:szCs w:val="21"/>
              </w:rPr>
            </w:pPr>
            <w:r>
              <w:rPr>
                <w:rFonts w:hint="eastAsia" w:ascii="宋体" w:hAnsi="宋体" w:eastAsia="宋体" w:cs="宋体"/>
                <w:color w:val="auto"/>
                <w:szCs w:val="21"/>
              </w:rPr>
              <w:t>②目标区场地类别分区图，比例尺1:5不小于万；</w:t>
            </w:r>
          </w:p>
          <w:p>
            <w:pPr>
              <w:spacing w:line="400" w:lineRule="exact"/>
              <w:ind w:firstLine="525" w:firstLineChars="250"/>
              <w:rPr>
                <w:rFonts w:hint="eastAsia" w:ascii="宋体" w:hAnsi="宋体" w:eastAsia="宋体" w:cs="宋体"/>
                <w:color w:val="auto"/>
                <w:szCs w:val="21"/>
              </w:rPr>
            </w:pPr>
            <w:r>
              <w:rPr>
                <w:rFonts w:hint="eastAsia" w:ascii="宋体" w:hAnsi="宋体" w:eastAsia="宋体" w:cs="宋体"/>
                <w:color w:val="auto"/>
                <w:szCs w:val="21"/>
              </w:rPr>
              <w:t>③目标区场地设计地震动参数区划图，比例尺1:5万；</w:t>
            </w:r>
          </w:p>
          <w:p>
            <w:pPr>
              <w:spacing w:line="380" w:lineRule="exact"/>
              <w:ind w:firstLine="525" w:firstLineChars="250"/>
              <w:rPr>
                <w:rFonts w:hint="eastAsia" w:ascii="宋体" w:hAnsi="宋体" w:eastAsia="宋体" w:cs="宋体"/>
                <w:color w:val="auto"/>
                <w:szCs w:val="21"/>
              </w:rPr>
            </w:pPr>
            <w:r>
              <w:rPr>
                <w:rFonts w:hint="eastAsia" w:ascii="宋体" w:hAnsi="宋体" w:eastAsia="宋体" w:cs="宋体"/>
                <w:color w:val="auto"/>
                <w:szCs w:val="21"/>
              </w:rPr>
              <w:t>④建设区域性地震安全性评价技术服务系统及所需的数据库：</w:t>
            </w:r>
          </w:p>
          <w:p>
            <w:pPr>
              <w:spacing w:line="380" w:lineRule="exact"/>
              <w:ind w:firstLine="525" w:firstLineChars="250"/>
              <w:rPr>
                <w:rFonts w:hint="eastAsia" w:ascii="宋体" w:hAnsi="宋体" w:eastAsia="宋体" w:cs="宋体"/>
                <w:color w:val="auto"/>
                <w:szCs w:val="21"/>
              </w:rPr>
            </w:pPr>
            <w:r>
              <w:rPr>
                <w:rFonts w:hint="eastAsia" w:ascii="宋体" w:hAnsi="宋体" w:eastAsia="宋体" w:cs="宋体"/>
                <w:color w:val="auto"/>
                <w:szCs w:val="21"/>
              </w:rPr>
              <w:t>a、建立目标区地层结构模型；</w:t>
            </w:r>
          </w:p>
          <w:p>
            <w:pPr>
              <w:spacing w:line="380" w:lineRule="exact"/>
              <w:ind w:firstLine="525" w:firstLineChars="250"/>
              <w:rPr>
                <w:rFonts w:hint="eastAsia" w:ascii="宋体" w:hAnsi="宋体" w:eastAsia="宋体" w:cs="宋体"/>
                <w:color w:val="auto"/>
                <w:szCs w:val="21"/>
              </w:rPr>
            </w:pPr>
            <w:r>
              <w:rPr>
                <w:rFonts w:hint="eastAsia" w:ascii="宋体" w:hAnsi="宋体" w:eastAsia="宋体" w:cs="宋体"/>
                <w:color w:val="auto"/>
                <w:szCs w:val="21"/>
              </w:rPr>
              <w:t>b、建立目标区多概率水准的基岩地震动参数数据库；</w:t>
            </w:r>
          </w:p>
          <w:p>
            <w:pPr>
              <w:spacing w:line="380" w:lineRule="exact"/>
              <w:ind w:firstLine="525" w:firstLineChars="250"/>
              <w:rPr>
                <w:rFonts w:hint="eastAsia" w:ascii="宋体" w:hAnsi="宋体" w:eastAsia="宋体" w:cs="宋体"/>
                <w:color w:val="auto"/>
                <w:szCs w:val="21"/>
              </w:rPr>
            </w:pPr>
            <w:r>
              <w:rPr>
                <w:rFonts w:hint="eastAsia" w:ascii="宋体" w:hAnsi="宋体" w:eastAsia="宋体" w:cs="宋体"/>
                <w:color w:val="auto"/>
                <w:szCs w:val="21"/>
              </w:rPr>
              <w:t>c、形成地震反应分析模型数据库，建立目标区自由基岩场地地震动时程数据库，形成目标区地表地震动参数数据库，建立目标区各控制点多概率水准的地震动时程数据库；</w:t>
            </w:r>
          </w:p>
          <w:p>
            <w:pPr>
              <w:spacing w:line="380" w:lineRule="exact"/>
              <w:ind w:firstLine="525" w:firstLineChars="250"/>
              <w:rPr>
                <w:rFonts w:hint="eastAsia" w:ascii="宋体" w:hAnsi="宋体" w:eastAsia="宋体" w:cs="宋体"/>
                <w:color w:val="auto"/>
                <w:szCs w:val="21"/>
              </w:rPr>
            </w:pPr>
            <w:r>
              <w:rPr>
                <w:rFonts w:hint="eastAsia" w:ascii="宋体" w:hAnsi="宋体" w:eastAsia="宋体" w:cs="宋体"/>
                <w:color w:val="auto"/>
                <w:szCs w:val="21"/>
              </w:rPr>
              <w:t>d、建立目标区地震动参数分区和地震地质灾害分区结果查询系统。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58" w:hRule="exact"/>
          <w:jc w:val="center"/>
        </w:trPr>
        <w:tc>
          <w:tcPr>
            <w:tcW w:w="88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宋体" w:hAnsi="宋体" w:eastAsia="宋体" w:cs="宋体"/>
                <w:b/>
                <w:bCs/>
                <w:color w:val="auto"/>
                <w:szCs w:val="21"/>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pStyle w:val="21"/>
              <w:spacing w:line="360" w:lineRule="exact"/>
              <w:jc w:val="left"/>
              <w:rPr>
                <w:rFonts w:hint="eastAsia" w:ascii="宋体" w:hAnsi="宋体" w:eastAsia="宋体" w:cs="宋体"/>
                <w:color w:val="auto"/>
                <w:sz w:val="21"/>
                <w:szCs w:val="21"/>
              </w:rPr>
            </w:pPr>
          </w:p>
        </w:tc>
        <w:tc>
          <w:tcPr>
            <w:tcW w:w="65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Cs w:val="21"/>
              </w:rPr>
            </w:pPr>
            <w:bookmarkStart w:id="43" w:name="_Toc7822"/>
            <w:r>
              <w:rPr>
                <w:rFonts w:hint="eastAsia" w:ascii="宋体" w:hAnsi="宋体" w:eastAsia="宋体" w:cs="宋体"/>
                <w:color w:val="auto"/>
                <w:szCs w:val="21"/>
              </w:rPr>
              <w:t>▲（4）产出成果</w:t>
            </w:r>
            <w:bookmarkEnd w:id="43"/>
          </w:p>
          <w:p>
            <w:pPr>
              <w:spacing w:line="400" w:lineRule="exact"/>
              <w:ind w:left="525" w:leftChars="250" w:firstLine="105" w:firstLineChars="50"/>
              <w:rPr>
                <w:rFonts w:hint="eastAsia" w:ascii="宋体" w:hAnsi="宋体" w:eastAsia="宋体" w:cs="宋体"/>
                <w:color w:val="auto"/>
                <w:szCs w:val="21"/>
              </w:rPr>
            </w:pPr>
            <w:r>
              <w:rPr>
                <w:rFonts w:hint="eastAsia" w:ascii="宋体" w:hAnsi="宋体" w:eastAsia="宋体" w:cs="宋体"/>
                <w:color w:val="auto"/>
                <w:szCs w:val="21"/>
              </w:rPr>
              <w:t>①区域地震构造图（1:100万）；</w:t>
            </w:r>
          </w:p>
          <w:p>
            <w:pPr>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②近场区地震构造图（1:20万）；</w:t>
            </w:r>
          </w:p>
          <w:p>
            <w:pPr>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③目标区主要断层活动性鉴定成果图（1:5万）；</w:t>
            </w:r>
          </w:p>
          <w:p>
            <w:pPr>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④目标区场地类别分区图（1:5万）；</w:t>
            </w:r>
          </w:p>
          <w:p>
            <w:pPr>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⑤目标区场地设计地震动参数区划图（1:5万）；</w:t>
            </w:r>
          </w:p>
          <w:p>
            <w:pPr>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⑥目标区场地地震地质灾害分区图（1:5万）；</w:t>
            </w:r>
          </w:p>
          <w:p>
            <w:pPr>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⑦建设区域性地震安全性评价技术服务系统及所需的数据库1套：</w:t>
            </w:r>
          </w:p>
          <w:p>
            <w:pPr>
              <w:spacing w:line="360" w:lineRule="auto"/>
              <w:ind w:firstLine="630" w:firstLineChars="300"/>
              <w:rPr>
                <w:rFonts w:hint="eastAsia" w:ascii="宋体" w:hAnsi="宋体" w:eastAsia="宋体" w:cs="宋体"/>
                <w:color w:val="auto"/>
                <w:szCs w:val="21"/>
              </w:rPr>
            </w:pPr>
            <w:r>
              <w:rPr>
                <w:rFonts w:hint="eastAsia" w:ascii="宋体" w:hAnsi="宋体" w:eastAsia="宋体" w:cs="宋体"/>
                <w:color w:val="auto"/>
                <w:szCs w:val="21"/>
              </w:rPr>
              <w:t>a、可以从Internet访问，按用户权限进行管理和查询。</w:t>
            </w:r>
          </w:p>
          <w:p>
            <w:pPr>
              <w:spacing w:line="360" w:lineRule="auto"/>
              <w:ind w:firstLine="630" w:firstLineChars="300"/>
              <w:rPr>
                <w:rFonts w:hint="eastAsia" w:ascii="宋体" w:hAnsi="宋体" w:eastAsia="宋体" w:cs="宋体"/>
                <w:color w:val="auto"/>
                <w:szCs w:val="21"/>
              </w:rPr>
            </w:pPr>
            <w:r>
              <w:rPr>
                <w:rFonts w:hint="eastAsia" w:ascii="宋体" w:hAnsi="宋体" w:eastAsia="宋体" w:cs="宋体"/>
                <w:color w:val="auto"/>
                <w:szCs w:val="21"/>
              </w:rPr>
              <w:t>b、依据相关技术标准，建立完整的区域性地震安全性评价成果地理图层和数据库文件。</w:t>
            </w:r>
          </w:p>
          <w:p>
            <w:pPr>
              <w:spacing w:line="360" w:lineRule="auto"/>
              <w:ind w:firstLine="630" w:firstLineChars="300"/>
              <w:rPr>
                <w:rFonts w:hint="eastAsia" w:ascii="宋体" w:hAnsi="宋体" w:eastAsia="宋体" w:cs="宋体"/>
                <w:color w:val="auto"/>
                <w:szCs w:val="21"/>
              </w:rPr>
            </w:pPr>
            <w:r>
              <w:rPr>
                <w:rFonts w:hint="eastAsia" w:ascii="宋体" w:hAnsi="宋体" w:eastAsia="宋体" w:cs="宋体"/>
                <w:color w:val="auto"/>
                <w:szCs w:val="21"/>
              </w:rPr>
              <w:t>c、提交GIS格式数据（shp/udb）或者CAD数据，以国家2000大地坐标系，高斯投影1.5度分带为空间基准。</w:t>
            </w:r>
          </w:p>
          <w:p>
            <w:pPr>
              <w:spacing w:line="360" w:lineRule="auto"/>
              <w:ind w:firstLine="630" w:firstLineChars="300"/>
              <w:rPr>
                <w:rFonts w:hint="eastAsia" w:ascii="宋体" w:hAnsi="宋体" w:eastAsia="宋体" w:cs="宋体"/>
                <w:color w:val="auto"/>
                <w:szCs w:val="21"/>
              </w:rPr>
            </w:pPr>
            <w:r>
              <w:rPr>
                <w:rFonts w:hint="eastAsia" w:ascii="宋体" w:hAnsi="宋体" w:eastAsia="宋体" w:cs="宋体"/>
                <w:color w:val="auto"/>
                <w:szCs w:val="21"/>
              </w:rPr>
              <w:t>d、通过输入经纬度地理坐标，可查询该地理点附近的基岩和地表峰值加速度、设计地震动参数、地震地质灾害区划、钻孔柱状图等成果数据。</w:t>
            </w:r>
          </w:p>
          <w:p>
            <w:pPr>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⑧《贵港市产业园区区域性地震安全评价服务》。</w:t>
            </w:r>
          </w:p>
          <w:p>
            <w:pPr>
              <w:spacing w:line="400" w:lineRule="exact"/>
              <w:ind w:firstLine="315" w:firstLineChars="150"/>
              <w:rPr>
                <w:rFonts w:hint="eastAsia" w:ascii="宋体" w:hAnsi="宋体" w:eastAsia="宋体" w:cs="宋体"/>
                <w:color w:val="auto"/>
                <w:szCs w:val="21"/>
              </w:rPr>
            </w:pPr>
            <w:r>
              <w:rPr>
                <w:rFonts w:hint="eastAsia" w:ascii="宋体" w:hAnsi="宋体" w:eastAsia="宋体" w:cs="宋体"/>
                <w:color w:val="auto"/>
                <w:szCs w:val="21"/>
              </w:rPr>
              <w:t>▲（5）技术服务质量要求</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成果报告符合《区域性地震安全性评价大纲（试行）》（中震防函〔2019〕21号）、GB17741-2005《工程场地地震安全性评价》、 GB/T36072—2018《活动断层探测》以及其他相关技术标准、规范规定要求并通过广西壮族自治区地震局组织的技术审查。</w:t>
            </w:r>
          </w:p>
          <w:p>
            <w:pPr>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▲（6）产出形式：提交《贵港市产业园区区域性地震安全评价服务》，纸质版8份，电子版一份。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exact"/>
          <w:jc w:val="center"/>
        </w:trPr>
        <w:tc>
          <w:tcPr>
            <w:tcW w:w="8826" w:type="dxa"/>
            <w:gridSpan w:val="5"/>
            <w:tcBorders>
              <w:top w:val="single" w:color="auto" w:sz="4" w:space="0"/>
              <w:left w:val="single" w:color="auto" w:sz="4" w:space="0"/>
              <w:bottom w:val="single" w:color="auto" w:sz="4" w:space="0"/>
              <w:right w:val="single" w:color="auto" w:sz="4" w:space="0"/>
            </w:tcBorders>
            <w:vAlign w:val="center"/>
          </w:tcPr>
          <w:p>
            <w:pPr>
              <w:pStyle w:val="148"/>
              <w:spacing w:line="380" w:lineRule="exact"/>
              <w:rPr>
                <w:rFonts w:hint="eastAsia" w:ascii="宋体" w:hAnsi="宋体" w:eastAsia="宋体" w:cs="宋体"/>
                <w:b/>
                <w:color w:val="auto"/>
              </w:rPr>
            </w:pPr>
            <w:r>
              <w:rPr>
                <w:rFonts w:hint="eastAsia" w:ascii="宋体" w:hAnsi="宋体" w:eastAsia="宋体" w:cs="宋体"/>
                <w:b/>
                <w:color w:val="auto"/>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exact"/>
          <w:jc w:val="center"/>
        </w:trPr>
        <w:tc>
          <w:tcPr>
            <w:tcW w:w="188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▲服务期限</w:t>
            </w:r>
          </w:p>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及服务地点</w:t>
            </w:r>
          </w:p>
        </w:tc>
        <w:tc>
          <w:tcPr>
            <w:tcW w:w="694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Cs w:val="21"/>
              </w:rPr>
            </w:pPr>
            <w:r>
              <w:rPr>
                <w:rFonts w:hint="eastAsia" w:ascii="宋体" w:hAnsi="宋体" w:eastAsia="宋体" w:cs="宋体"/>
                <w:color w:val="auto"/>
                <w:szCs w:val="21"/>
              </w:rPr>
              <w:t>1、提交服务成果时间：合同签订之日起4个月内。</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2、服务地点：广西贵港。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8" w:hRule="exact"/>
          <w:jc w:val="center"/>
        </w:trPr>
        <w:tc>
          <w:tcPr>
            <w:tcW w:w="188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▲付款条件</w:t>
            </w:r>
          </w:p>
        </w:tc>
        <w:tc>
          <w:tcPr>
            <w:tcW w:w="694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eastAsia="宋体" w:cs="宋体"/>
                <w:color w:val="auto"/>
                <w:szCs w:val="21"/>
              </w:rPr>
            </w:pPr>
            <w:r>
              <w:rPr>
                <w:rFonts w:hint="eastAsia" w:ascii="宋体" w:hAnsi="宋体" w:eastAsia="宋体" w:cs="宋体"/>
                <w:color w:val="auto"/>
                <w:szCs w:val="21"/>
              </w:rPr>
              <w:t>预付款30%，合同签订后乙方完成场地勘探（钻探、物探和槽探）与波速测试工作并提交相应成果报告后，甲方支付至60％，提交经专家组评审后的最终完整报告和数据库后，甲方支付至80%，取得自治区地震主管部门审批意见，30日内一次性付清余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7" w:hRule="exact"/>
          <w:jc w:val="center"/>
        </w:trPr>
        <w:tc>
          <w:tcPr>
            <w:tcW w:w="188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质保期</w:t>
            </w:r>
          </w:p>
        </w:tc>
        <w:tc>
          <w:tcPr>
            <w:tcW w:w="694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1年（自提交服务成果并验收合格之日起计）。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47" w:hRule="exact"/>
          <w:jc w:val="center"/>
        </w:trPr>
        <w:tc>
          <w:tcPr>
            <w:tcW w:w="188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售后服务</w:t>
            </w:r>
          </w:p>
        </w:tc>
        <w:tc>
          <w:tcPr>
            <w:tcW w:w="694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①在执行该项目过程中，中标人可以接收甲方派遣的技术人员参与本项目数据处理及野外调查等工作。</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②中标人可以接收甲方派遣的科研技术人员来交流学习。</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③中标人在项目实施过程中的可为甲方在成果撰写方面可提供指导和帮助。</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④后期中标人在使用甲方提供成果时产生的疑问和问题甲方应及时回复及改进。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54" w:hRule="exact"/>
          <w:jc w:val="center"/>
        </w:trPr>
        <w:tc>
          <w:tcPr>
            <w:tcW w:w="188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投标报价</w:t>
            </w:r>
          </w:p>
        </w:tc>
        <w:tc>
          <w:tcPr>
            <w:tcW w:w="694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投标报价为完成采购人指定服务内容的整体包干价，包括但不限于：</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（1）所有服务的价格（包含知识产权、技术支持、售后服务费服务、招标代理服务费、第三方验收费及服务过程中所产生的工具、用具，服务人员的差旅、交通、食宿等相关费用）；</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（2）必要的保险费用和各项税金；</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（3）其他所有可能发生的一切费用。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5" w:hRule="exact"/>
          <w:jc w:val="center"/>
        </w:trPr>
        <w:tc>
          <w:tcPr>
            <w:tcW w:w="188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成果归属</w:t>
            </w:r>
          </w:p>
        </w:tc>
        <w:tc>
          <w:tcPr>
            <w:tcW w:w="69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成果版权归采购人所有。未经采购人允许，供应商不得对外发布、公开或向第三方提供课题研究成果。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62" w:hRule="exact"/>
          <w:jc w:val="center"/>
        </w:trPr>
        <w:tc>
          <w:tcPr>
            <w:tcW w:w="188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其他要求</w:t>
            </w:r>
          </w:p>
        </w:tc>
        <w:tc>
          <w:tcPr>
            <w:tcW w:w="694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1.投入项目负责人具备：副高或副高以上技术职称（投标时提供地震地质、工程地震、地震活动性等专业或方向之一的职称证明材料）；</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2.中标供应商提供一名指定的服务联络人在工作过程中保持经常性联系，并提供指定关于业务咨询电话以便采购人随时咨询联系（在服务方案中注明）。</w:t>
            </w:r>
          </w:p>
        </w:tc>
      </w:tr>
    </w:tbl>
    <w:p>
      <w:pPr>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br w:type="page"/>
      </w:r>
    </w:p>
    <w:p>
      <w:pPr>
        <w:pStyle w:val="3"/>
        <w:spacing w:line="360" w:lineRule="auto"/>
        <w:rPr>
          <w:rFonts w:hint="eastAsia" w:ascii="宋体" w:hAnsi="宋体" w:eastAsia="宋体" w:cs="宋体"/>
          <w:color w:val="auto"/>
        </w:rPr>
      </w:pPr>
      <w:bookmarkStart w:id="44" w:name="_Toc10234"/>
      <w:r>
        <w:rPr>
          <w:rFonts w:hint="eastAsia" w:ascii="宋体" w:hAnsi="宋体" w:eastAsia="宋体" w:cs="宋体"/>
          <w:color w:val="auto"/>
        </w:rPr>
        <w:t>第三章  投标人须知</w:t>
      </w:r>
      <w:bookmarkEnd w:id="44"/>
    </w:p>
    <w:p>
      <w:pPr>
        <w:snapToGrid w:val="0"/>
        <w:spacing w:line="400" w:lineRule="exact"/>
        <w:jc w:val="center"/>
        <w:outlineLvl w:val="1"/>
        <w:rPr>
          <w:rFonts w:hint="eastAsia" w:ascii="宋体" w:hAnsi="宋体" w:eastAsia="宋体" w:cs="宋体"/>
          <w:b/>
          <w:color w:val="auto"/>
          <w:sz w:val="28"/>
          <w:szCs w:val="28"/>
        </w:rPr>
      </w:pPr>
      <w:bookmarkStart w:id="45" w:name="_Toc254970526"/>
      <w:bookmarkStart w:id="46" w:name="_Toc254970667"/>
      <w:r>
        <w:rPr>
          <w:rFonts w:hint="eastAsia" w:ascii="宋体" w:hAnsi="宋体" w:eastAsia="宋体" w:cs="宋体"/>
          <w:b/>
          <w:color w:val="auto"/>
          <w:sz w:val="28"/>
          <w:szCs w:val="28"/>
        </w:rPr>
        <w:t>前附表</w:t>
      </w:r>
      <w:bookmarkEnd w:id="45"/>
      <w:bookmarkEnd w:id="46"/>
    </w:p>
    <w:tbl>
      <w:tblPr>
        <w:tblStyle w:val="47"/>
        <w:tblW w:w="900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82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82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82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rPr>
            </w:pPr>
            <w:r>
              <w:rPr>
                <w:rFonts w:hint="eastAsia" w:ascii="宋体" w:hAnsi="宋体" w:eastAsia="宋体" w:cs="宋体"/>
                <w:color w:val="auto"/>
              </w:rPr>
              <w:t>项目名称：贵港市产业园区区域性地震安全评价服务（项目编号：GGZC2020-G3-03912-GXDC）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82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rPr>
            </w:pPr>
            <w:r>
              <w:rPr>
                <w:rFonts w:hint="eastAsia" w:ascii="宋体" w:hAnsi="宋体" w:eastAsia="宋体" w:cs="宋体"/>
                <w:color w:val="auto"/>
              </w:rPr>
              <w:t>投标保证金：根据《贵港市财政局关于深化政府采购制度改革优化营商环境工作有关事项的通知(贵财采〔2020〕16号)》的精神要求，疫情期间不要求提交投标保证金。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82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rPr>
            </w:pPr>
            <w:r>
              <w:rPr>
                <w:rFonts w:hint="eastAsia" w:ascii="宋体" w:hAnsi="宋体" w:eastAsia="宋体" w:cs="宋体"/>
                <w:color w:val="auto"/>
              </w:rPr>
              <w:t>采购预算价：</w:t>
            </w:r>
            <w:r>
              <w:rPr>
                <w:rFonts w:hint="eastAsia" w:ascii="宋体" w:hAnsi="宋体" w:eastAsia="宋体" w:cs="宋体"/>
                <w:color w:val="auto"/>
                <w:kern w:val="0"/>
              </w:rPr>
              <w:t>人民币贰佰万元整（¥2000000.00）。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82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答疑与澄清：投标人如认为招标文件表述不清晰、存在歧视性、排他性或者其他违法内容的，应当于收到采购文件之日或者采购文件公告期限届满之日起7个工作日内，以书面形式要求招标采购单位作出书面解释、澄清或者向招标采购单位提出书面质疑；答疑内容是招标文件的组成部份，并将以书面形式送达所有已购买招标文件的投标人；招标招标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828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eastAsia="宋体" w:cs="宋体"/>
                <w:color w:val="auto"/>
                <w:szCs w:val="21"/>
              </w:rPr>
            </w:pPr>
            <w:r>
              <w:rPr>
                <w:rFonts w:hint="eastAsia" w:ascii="宋体" w:hAnsi="宋体" w:eastAsia="宋体" w:cs="宋体"/>
                <w:color w:val="auto"/>
                <w:szCs w:val="21"/>
              </w:rPr>
              <w:t>投标文件组成：投标文件正本</w:t>
            </w:r>
            <w:r>
              <w:rPr>
                <w:rFonts w:hint="eastAsia" w:ascii="宋体" w:hAnsi="宋体" w:eastAsia="宋体" w:cs="宋体"/>
                <w:color w:val="auto"/>
                <w:szCs w:val="21"/>
                <w:u w:val="single"/>
              </w:rPr>
              <w:t xml:space="preserve"> 1 </w:t>
            </w:r>
            <w:r>
              <w:rPr>
                <w:rFonts w:hint="eastAsia" w:ascii="宋体" w:hAnsi="宋体" w:eastAsia="宋体" w:cs="宋体"/>
                <w:color w:val="auto"/>
                <w:szCs w:val="21"/>
              </w:rPr>
              <w:t>份；副本</w:t>
            </w:r>
            <w:r>
              <w:rPr>
                <w:rFonts w:hint="eastAsia" w:ascii="宋体" w:hAnsi="宋体" w:eastAsia="宋体" w:cs="宋体"/>
                <w:color w:val="auto"/>
                <w:szCs w:val="21"/>
                <w:u w:val="single"/>
              </w:rPr>
              <w:t xml:space="preserve"> 4 </w:t>
            </w:r>
            <w:r>
              <w:rPr>
                <w:rFonts w:hint="eastAsia" w:ascii="宋体" w:hAnsi="宋体" w:eastAsia="宋体" w:cs="宋体"/>
                <w:color w:val="auto"/>
                <w:szCs w:val="21"/>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828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eastAsia="宋体" w:cs="宋体"/>
                <w:color w:val="auto"/>
                <w:szCs w:val="21"/>
              </w:rPr>
            </w:pPr>
            <w:r>
              <w:rPr>
                <w:rFonts w:hint="eastAsia" w:ascii="宋体" w:hAnsi="宋体" w:eastAsia="宋体" w:cs="宋体"/>
                <w:color w:val="auto"/>
                <w:szCs w:val="21"/>
              </w:rPr>
              <w:t>履约保证金：无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82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投标截止时间及地点：投标人应于2020年</w:t>
            </w:r>
            <w:r>
              <w:rPr>
                <w:rFonts w:hint="eastAsia" w:ascii="宋体" w:hAnsi="宋体" w:eastAsia="宋体" w:cs="宋体"/>
                <w:color w:val="auto"/>
                <w:szCs w:val="21"/>
                <w:lang w:val="en-US" w:eastAsia="zh-CN"/>
              </w:rPr>
              <w:t>11</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16</w:t>
            </w:r>
            <w:r>
              <w:rPr>
                <w:rFonts w:hint="eastAsia" w:ascii="宋体" w:hAnsi="宋体" w:eastAsia="宋体" w:cs="宋体"/>
                <w:color w:val="auto"/>
                <w:szCs w:val="21"/>
              </w:rPr>
              <w:t>日</w:t>
            </w:r>
            <w:r>
              <w:rPr>
                <w:rFonts w:hint="eastAsia" w:ascii="宋体" w:hAnsi="宋体" w:eastAsia="宋体" w:cs="宋体"/>
                <w:color w:val="auto"/>
                <w:szCs w:val="21"/>
                <w:lang w:val="en-US" w:eastAsia="zh-CN"/>
              </w:rPr>
              <w:t xml:space="preserve">9 </w:t>
            </w:r>
            <w:r>
              <w:rPr>
                <w:rFonts w:hint="eastAsia" w:ascii="宋体" w:hAnsi="宋体" w:eastAsia="宋体" w:cs="宋体"/>
                <w:color w:val="auto"/>
                <w:szCs w:val="21"/>
              </w:rPr>
              <w:t>点</w:t>
            </w:r>
            <w:r>
              <w:rPr>
                <w:rFonts w:hint="eastAsia" w:ascii="宋体" w:hAnsi="宋体" w:eastAsia="宋体" w:cs="宋体"/>
                <w:color w:val="auto"/>
                <w:szCs w:val="21"/>
                <w:lang w:val="en-US" w:eastAsia="zh-CN"/>
              </w:rPr>
              <w:t xml:space="preserve"> 00</w:t>
            </w:r>
            <w:r>
              <w:rPr>
                <w:rFonts w:hint="eastAsia" w:ascii="宋体" w:hAnsi="宋体" w:eastAsia="宋体" w:cs="宋体"/>
                <w:color w:val="auto"/>
                <w:szCs w:val="21"/>
              </w:rPr>
              <w:t>分前将投标文件密封送交到贵港市公共资源交易中心开标厅（贵港市港北区金城商业步行街与金田路交叉口东南150米水利大厦），逾期送达或未密封将予以拒收（或作无效投标文件处理）。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82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开标时间及地点：本次招标将于2020年</w:t>
            </w:r>
            <w:r>
              <w:rPr>
                <w:rFonts w:hint="eastAsia" w:ascii="宋体" w:hAnsi="宋体" w:eastAsia="宋体" w:cs="宋体"/>
                <w:color w:val="auto"/>
                <w:szCs w:val="21"/>
                <w:lang w:val="en-US" w:eastAsia="zh-CN"/>
              </w:rPr>
              <w:t>11</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16</w:t>
            </w:r>
            <w:r>
              <w:rPr>
                <w:rFonts w:hint="eastAsia" w:ascii="宋体" w:hAnsi="宋体" w:eastAsia="宋体" w:cs="宋体"/>
                <w:color w:val="auto"/>
                <w:szCs w:val="21"/>
              </w:rPr>
              <w:t>日</w:t>
            </w:r>
            <w:r>
              <w:rPr>
                <w:rFonts w:hint="eastAsia" w:ascii="宋体" w:hAnsi="宋体" w:eastAsia="宋体" w:cs="宋体"/>
                <w:color w:val="auto"/>
                <w:szCs w:val="21"/>
                <w:lang w:val="en-US" w:eastAsia="zh-CN"/>
              </w:rPr>
              <w:t xml:space="preserve">9 </w:t>
            </w:r>
            <w:r>
              <w:rPr>
                <w:rFonts w:hint="eastAsia" w:ascii="宋体" w:hAnsi="宋体" w:eastAsia="宋体" w:cs="宋体"/>
                <w:color w:val="auto"/>
                <w:szCs w:val="21"/>
              </w:rPr>
              <w:t>点</w:t>
            </w:r>
            <w:r>
              <w:rPr>
                <w:rFonts w:hint="eastAsia" w:ascii="宋体" w:hAnsi="宋体" w:eastAsia="宋体" w:cs="宋体"/>
                <w:color w:val="auto"/>
                <w:szCs w:val="21"/>
                <w:lang w:val="en-US" w:eastAsia="zh-CN"/>
              </w:rPr>
              <w:t xml:space="preserve"> </w:t>
            </w:r>
            <w:bookmarkStart w:id="100" w:name="_GoBack"/>
            <w:bookmarkEnd w:id="100"/>
            <w:r>
              <w:rPr>
                <w:rFonts w:hint="eastAsia" w:ascii="宋体" w:hAnsi="宋体" w:eastAsia="宋体" w:cs="宋体"/>
                <w:color w:val="auto"/>
                <w:szCs w:val="21"/>
                <w:lang w:val="en-US" w:eastAsia="zh-CN"/>
              </w:rPr>
              <w:t>00</w:t>
            </w:r>
            <w:r>
              <w:rPr>
                <w:rFonts w:hint="eastAsia" w:ascii="宋体" w:hAnsi="宋体" w:eastAsia="宋体" w:cs="宋体"/>
                <w:color w:val="auto"/>
                <w:szCs w:val="21"/>
              </w:rPr>
              <w:t>分在贵港市公共资源交易中心交易厅（贵港市港北区金城商业步行街与金田路交叉口东南150米水利大厦）开标。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828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eastAsia="宋体" w:cs="宋体"/>
                <w:color w:val="auto"/>
                <w:szCs w:val="21"/>
              </w:rPr>
            </w:pPr>
            <w:r>
              <w:rPr>
                <w:rFonts w:hint="eastAsia" w:ascii="宋体" w:hAnsi="宋体" w:eastAsia="宋体" w:cs="宋体"/>
                <w:color w:val="auto"/>
                <w:szCs w:val="21"/>
              </w:rPr>
              <w:t>评标办法及评标标准：综合评分法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828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left"/>
              <w:textAlignment w:val="bottom"/>
              <w:rPr>
                <w:rFonts w:hint="eastAsia" w:ascii="宋体" w:hAnsi="宋体" w:eastAsia="宋体" w:cs="宋体"/>
                <w:color w:val="auto"/>
                <w:szCs w:val="21"/>
              </w:rPr>
            </w:pPr>
            <w:r>
              <w:rPr>
                <w:rFonts w:hint="eastAsia" w:ascii="宋体" w:hAnsi="宋体" w:eastAsia="宋体" w:cs="宋体"/>
                <w:color w:val="auto"/>
                <w:szCs w:val="21"/>
              </w:rPr>
              <w:t>中标公告及中标通知书：采购代理机构在采购人依法确认中标人后5个工作日内发布中标公告和中标通知书，中标公告发布于</w:t>
            </w:r>
            <w:r>
              <w:rPr>
                <w:rFonts w:hint="eastAsia" w:ascii="宋体" w:hAnsi="宋体" w:eastAsia="宋体" w:cs="宋体"/>
                <w:color w:val="auto"/>
                <w:szCs w:val="21"/>
                <w:u w:val="single"/>
              </w:rPr>
              <w:t>http://www.ccgp.gov.cn（中国政府采购网）、http://www.gxzfcg.gov.cn（广西壮族自治区政府采购网）、http://zfcg.czj.gxgg.gov.cn/（贵港市财政采购网）、贵港市公共资源交易中心网站（网址：http://ggggjy.gxgg.gov.cn:9005/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828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eastAsia="宋体" w:cs="宋体"/>
                <w:color w:val="auto"/>
                <w:szCs w:val="21"/>
              </w:rPr>
            </w:pPr>
            <w:r>
              <w:rPr>
                <w:rFonts w:hint="eastAsia" w:ascii="宋体" w:hAnsi="宋体" w:eastAsia="宋体" w:cs="宋体"/>
                <w:color w:val="auto"/>
                <w:szCs w:val="21"/>
                <w:shd w:val="clear" w:color="auto" w:fill="FFFFFF"/>
              </w:rPr>
              <w:t>保证金退还方式：本项目无需缴纳投标保证金。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828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eastAsia="宋体" w:cs="宋体"/>
                <w:color w:val="auto"/>
                <w:szCs w:val="21"/>
              </w:rPr>
            </w:pPr>
            <w:r>
              <w:rPr>
                <w:rFonts w:hint="eastAsia" w:ascii="宋体" w:hAnsi="宋体" w:eastAsia="宋体" w:cs="宋体"/>
                <w:color w:val="auto"/>
                <w:szCs w:val="21"/>
              </w:rPr>
              <w:t>签订合同时间：中标（成交）通知书发出后20个工作日内。</w:t>
            </w:r>
          </w:p>
          <w:p>
            <w:pPr>
              <w:autoSpaceDE w:val="0"/>
              <w:autoSpaceDN w:val="0"/>
              <w:snapToGrid w:val="0"/>
              <w:spacing w:line="360" w:lineRule="auto"/>
              <w:textAlignment w:val="bottom"/>
              <w:rPr>
                <w:rFonts w:hint="eastAsia" w:ascii="宋体" w:hAnsi="宋体" w:eastAsia="宋体" w:cs="宋体"/>
                <w:color w:val="auto"/>
                <w:szCs w:val="21"/>
              </w:rPr>
            </w:pPr>
            <w:r>
              <w:rPr>
                <w:rFonts w:hint="eastAsia" w:ascii="宋体" w:hAnsi="宋体" w:eastAsia="宋体" w:cs="宋体"/>
                <w:color w:val="auto"/>
                <w:szCs w:val="21"/>
              </w:rPr>
              <w:t>中标（成交）供应商在取得中标、成交通知书后2日内登录“政采云”平台（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"qq://txfile/" </w:instrText>
            </w:r>
            <w:r>
              <w:rPr>
                <w:rFonts w:hint="eastAsia" w:ascii="宋体" w:hAnsi="宋体" w:eastAsia="宋体" w:cs="宋体"/>
                <w:color w:val="auto"/>
              </w:rPr>
              <w:fldChar w:fldCharType="separate"/>
            </w:r>
            <w:r>
              <w:rPr>
                <w:rFonts w:hint="eastAsia" w:ascii="宋体" w:hAnsi="宋体" w:eastAsia="宋体" w:cs="宋体"/>
                <w:color w:val="auto"/>
                <w:szCs w:val="21"/>
              </w:rPr>
              <w:t>www.zcy.gov.cn</w:t>
            </w:r>
            <w:r>
              <w:rPr>
                <w:rFonts w:hint="eastAsia" w:ascii="宋体" w:hAnsi="宋体" w:eastAsia="宋体" w:cs="宋体"/>
                <w:color w:val="auto"/>
                <w:szCs w:val="21"/>
              </w:rPr>
              <w:fldChar w:fldCharType="end"/>
            </w:r>
            <w:r>
              <w:rPr>
                <w:rFonts w:hint="eastAsia" w:ascii="宋体" w:hAnsi="宋体" w:eastAsia="宋体" w:cs="宋体"/>
                <w:color w:val="auto"/>
                <w:szCs w:val="21"/>
              </w:rPr>
              <w:t>）完成供应商注册，并在供应商完成注册工作后2个工作日内上传采购合同。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82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投标文件有效期：</w:t>
            </w:r>
            <w:r>
              <w:rPr>
                <w:rFonts w:hint="eastAsia" w:ascii="宋体" w:hAnsi="宋体" w:eastAsia="宋体" w:cs="宋体"/>
                <w:color w:val="auto"/>
                <w:szCs w:val="21"/>
                <w:u w:val="single"/>
              </w:rPr>
              <w:t>90</w:t>
            </w:r>
            <w:r>
              <w:rPr>
                <w:rFonts w:hint="eastAsia" w:ascii="宋体" w:hAnsi="宋体" w:eastAsia="宋体" w:cs="宋体"/>
                <w:color w:val="auto"/>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82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解释：本招标文件的解释权属于招标单位。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828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rPr>
            </w:pPr>
            <w:r>
              <w:rPr>
                <w:rFonts w:hint="eastAsia" w:ascii="宋体" w:hAnsi="宋体" w:eastAsia="宋体" w:cs="宋体"/>
                <w:b/>
                <w:color w:val="auto"/>
                <w:szCs w:val="21"/>
              </w:rPr>
              <w:t>招标代理服务费：</w:t>
            </w:r>
            <w:r>
              <w:rPr>
                <w:rFonts w:hint="eastAsia" w:ascii="宋体" w:hAnsi="宋体" w:eastAsia="宋体" w:cs="宋体"/>
                <w:color w:val="auto"/>
                <w:szCs w:val="21"/>
              </w:rPr>
              <w:t>项目的招标代理服务费按国家发展改革委《关于进一步放开建设项目专业服务价格 的通知 》发改价格〔2015〕299 号文执行，本项目代理服务费为：</w:t>
            </w:r>
            <w:r>
              <w:rPr>
                <w:rFonts w:hint="eastAsia" w:ascii="宋体" w:hAnsi="宋体" w:eastAsia="宋体" w:cs="宋体"/>
                <w:color w:val="auto"/>
                <w:kern w:val="0"/>
                <w:szCs w:val="21"/>
              </w:rPr>
              <w:t>人民币贰万仟元整（¥2</w:t>
            </w:r>
            <w:r>
              <w:rPr>
                <w:rFonts w:hint="eastAsia" w:ascii="宋体" w:hAnsi="宋体" w:eastAsia="宋体" w:cs="宋体"/>
                <w:color w:val="auto"/>
                <w:kern w:val="0"/>
                <w:szCs w:val="21"/>
                <w:lang w:val="en-US" w:eastAsia="zh-CN"/>
              </w:rPr>
              <w:t>0</w:t>
            </w:r>
            <w:r>
              <w:rPr>
                <w:rFonts w:hint="eastAsia" w:ascii="宋体" w:hAnsi="宋体" w:eastAsia="宋体" w:cs="宋体"/>
                <w:color w:val="auto"/>
                <w:kern w:val="0"/>
                <w:szCs w:val="21"/>
              </w:rPr>
              <w:t>000.00）；</w:t>
            </w:r>
            <w:r>
              <w:rPr>
                <w:rFonts w:hint="eastAsia" w:ascii="宋体" w:hAnsi="宋体" w:eastAsia="宋体" w:cs="宋体"/>
                <w:color w:val="auto"/>
                <w:szCs w:val="21"/>
              </w:rPr>
              <w:t>方式为由中标人向采购代理机构支付。领取中标通知书前，中标人应向采购代理机构一次付清采购代理服务费。</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开户名称：广西德承工程项目管理有限公司贵港分公司</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开户银行：中国建设银行股份有限公司贵港港北支行</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开户账号: 4505 0175 3750 0000 0223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16</w:t>
            </w:r>
          </w:p>
        </w:tc>
        <w:tc>
          <w:tcPr>
            <w:tcW w:w="828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现场踏勘：无</w:t>
            </w:r>
          </w:p>
        </w:tc>
      </w:tr>
    </w:tbl>
    <w:p>
      <w:pPr>
        <w:pStyle w:val="25"/>
        <w:snapToGrid w:val="0"/>
        <w:spacing w:before="120" w:after="120" w:line="44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pStyle w:val="25"/>
        <w:snapToGrid w:val="0"/>
        <w:spacing w:before="120" w:after="120" w:line="440" w:lineRule="exact"/>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投标人须知</w:t>
      </w:r>
    </w:p>
    <w:p>
      <w:pPr>
        <w:pStyle w:val="25"/>
        <w:snapToGrid w:val="0"/>
        <w:spacing w:line="440" w:lineRule="exact"/>
        <w:outlineLvl w:val="1"/>
        <w:rPr>
          <w:rFonts w:hint="eastAsia" w:ascii="宋体" w:hAnsi="宋体" w:eastAsia="宋体" w:cs="宋体"/>
          <w:color w:val="auto"/>
        </w:rPr>
      </w:pPr>
      <w:r>
        <w:rPr>
          <w:rFonts w:hint="eastAsia" w:ascii="宋体" w:hAnsi="宋体" w:eastAsia="宋体" w:cs="宋体"/>
          <w:b/>
          <w:color w:val="auto"/>
          <w:szCs w:val="21"/>
        </w:rPr>
        <w:t>一、总  则</w:t>
      </w:r>
      <w:bookmarkStart w:id="47" w:name="_Toc254970527"/>
      <w:bookmarkStart w:id="48" w:name="_Toc254970668"/>
    </w:p>
    <w:p>
      <w:pPr>
        <w:snapToGrid w:val="0"/>
        <w:spacing w:before="120" w:beforeLines="50" w:line="440" w:lineRule="exact"/>
        <w:ind w:firstLine="310" w:firstLineChars="147"/>
        <w:jc w:val="left"/>
        <w:outlineLvl w:val="2"/>
        <w:rPr>
          <w:rFonts w:hint="eastAsia" w:ascii="宋体" w:hAnsi="宋体" w:eastAsia="宋体" w:cs="宋体"/>
          <w:b/>
          <w:color w:val="auto"/>
          <w:szCs w:val="21"/>
        </w:rPr>
      </w:pPr>
      <w:r>
        <w:rPr>
          <w:rFonts w:hint="eastAsia" w:ascii="宋体" w:hAnsi="宋体" w:eastAsia="宋体" w:cs="宋体"/>
          <w:b/>
          <w:color w:val="auto"/>
          <w:szCs w:val="21"/>
        </w:rPr>
        <w:t>（一） 适用范围</w:t>
      </w:r>
      <w:bookmarkEnd w:id="47"/>
      <w:bookmarkEnd w:id="48"/>
    </w:p>
    <w:p>
      <w:pPr>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本招标文件适用于</w:t>
      </w:r>
      <w:r>
        <w:rPr>
          <w:rFonts w:hint="eastAsia" w:ascii="宋体" w:hAnsi="宋体" w:eastAsia="宋体" w:cs="宋体"/>
          <w:color w:val="auto"/>
        </w:rPr>
        <w:t>贵港市产业园区区域性地震安全评价服务（项目编号：GGZC2020-G3-03912-GXDC）</w:t>
      </w:r>
      <w:r>
        <w:rPr>
          <w:rFonts w:hint="eastAsia" w:ascii="宋体" w:hAnsi="宋体" w:eastAsia="宋体" w:cs="宋体"/>
          <w:bCs/>
          <w:color w:val="auto"/>
          <w:szCs w:val="21"/>
        </w:rPr>
        <w:t>项目</w:t>
      </w:r>
      <w:r>
        <w:rPr>
          <w:rFonts w:hint="eastAsia" w:ascii="宋体" w:hAnsi="宋体" w:eastAsia="宋体" w:cs="宋体"/>
          <w:color w:val="auto"/>
          <w:szCs w:val="21"/>
        </w:rPr>
        <w:t>招标、投标、评标、定标、验收、合同履约、付款等行为（法律、法规另有规定的，从其规定）。</w:t>
      </w:r>
    </w:p>
    <w:p>
      <w:pPr>
        <w:snapToGrid w:val="0"/>
        <w:spacing w:before="120" w:beforeLines="50" w:line="440" w:lineRule="exact"/>
        <w:ind w:firstLine="310" w:firstLineChars="147"/>
        <w:jc w:val="left"/>
        <w:outlineLvl w:val="2"/>
        <w:rPr>
          <w:rFonts w:hint="eastAsia" w:ascii="宋体" w:hAnsi="宋体" w:eastAsia="宋体" w:cs="宋体"/>
          <w:b/>
          <w:color w:val="auto"/>
          <w:szCs w:val="21"/>
        </w:rPr>
      </w:pPr>
      <w:bookmarkStart w:id="49" w:name="_Toc254970528"/>
      <w:bookmarkStart w:id="50" w:name="_Toc254970669"/>
      <w:r>
        <w:rPr>
          <w:rFonts w:hint="eastAsia" w:ascii="宋体" w:hAnsi="宋体" w:eastAsia="宋体" w:cs="宋体"/>
          <w:b/>
          <w:color w:val="auto"/>
          <w:szCs w:val="21"/>
        </w:rPr>
        <w:t>（二）定义</w:t>
      </w:r>
      <w:bookmarkEnd w:id="49"/>
      <w:bookmarkEnd w:id="50"/>
    </w:p>
    <w:p>
      <w:pPr>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1、招标招标单位系指组织本次招标的采购人及采购代理机构。</w:t>
      </w:r>
    </w:p>
    <w:p>
      <w:pPr>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2、“投标人”系指向招标方提交投标文件的单位。</w:t>
      </w:r>
    </w:p>
    <w:p>
      <w:pPr>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3、“项目”系指投标人按招标文件规定向采购人提供的产品和服务。</w:t>
      </w:r>
    </w:p>
    <w:p>
      <w:pPr>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4、“书面形式”包括信函、传真、电报等。</w:t>
      </w:r>
    </w:p>
    <w:p>
      <w:pPr>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5、“▲”系指实质性要求条款。</w:t>
      </w:r>
    </w:p>
    <w:p>
      <w:pPr>
        <w:snapToGrid w:val="0"/>
        <w:spacing w:before="120" w:beforeLines="50" w:line="440" w:lineRule="exact"/>
        <w:ind w:firstLine="413" w:firstLineChars="196"/>
        <w:jc w:val="left"/>
        <w:outlineLvl w:val="2"/>
        <w:rPr>
          <w:rFonts w:hint="eastAsia" w:ascii="宋体" w:hAnsi="宋体" w:eastAsia="宋体" w:cs="宋体"/>
          <w:b/>
          <w:color w:val="auto"/>
          <w:szCs w:val="21"/>
        </w:rPr>
      </w:pPr>
      <w:bookmarkStart w:id="51" w:name="_Toc254970529"/>
      <w:bookmarkStart w:id="52" w:name="_Toc254970670"/>
      <w:r>
        <w:rPr>
          <w:rFonts w:hint="eastAsia" w:ascii="宋体" w:hAnsi="宋体" w:eastAsia="宋体" w:cs="宋体"/>
          <w:b/>
          <w:color w:val="auto"/>
          <w:szCs w:val="21"/>
        </w:rPr>
        <w:t>（三）招标方式</w:t>
      </w:r>
      <w:bookmarkEnd w:id="51"/>
      <w:bookmarkEnd w:id="52"/>
    </w:p>
    <w:p>
      <w:pPr>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公开招标方式。</w:t>
      </w:r>
    </w:p>
    <w:p>
      <w:pPr>
        <w:snapToGrid w:val="0"/>
        <w:spacing w:before="120" w:beforeLines="50" w:line="440" w:lineRule="exact"/>
        <w:ind w:firstLine="413" w:firstLineChars="196"/>
        <w:jc w:val="left"/>
        <w:outlineLvl w:val="2"/>
        <w:rPr>
          <w:rFonts w:hint="eastAsia" w:ascii="宋体" w:hAnsi="宋体" w:eastAsia="宋体" w:cs="宋体"/>
          <w:b/>
          <w:color w:val="auto"/>
          <w:szCs w:val="21"/>
        </w:rPr>
      </w:pPr>
      <w:bookmarkStart w:id="53" w:name="_Toc254970530"/>
      <w:bookmarkStart w:id="54" w:name="_Toc254970671"/>
      <w:r>
        <w:rPr>
          <w:rFonts w:hint="eastAsia" w:ascii="宋体" w:hAnsi="宋体" w:eastAsia="宋体" w:cs="宋体"/>
          <w:b/>
          <w:color w:val="auto"/>
          <w:szCs w:val="21"/>
        </w:rPr>
        <w:t>（四）投标委托</w:t>
      </w:r>
      <w:bookmarkEnd w:id="53"/>
      <w:bookmarkEnd w:id="54"/>
    </w:p>
    <w:p>
      <w:pPr>
        <w:pStyle w:val="21"/>
        <w:snapToGrid w:val="0"/>
        <w:spacing w:line="440" w:lineRule="exact"/>
        <w:ind w:firstLine="404"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投标人代表须携带有效身份证件。如投标人代表不是法定代表人（负责人），须有法定代表人（负责人）出具的授权委托书（正本用原件，副本用复印件）。</w:t>
      </w:r>
    </w:p>
    <w:p>
      <w:pPr>
        <w:snapToGrid w:val="0"/>
        <w:spacing w:before="120" w:beforeLines="50" w:line="440" w:lineRule="exact"/>
        <w:ind w:firstLine="413" w:firstLineChars="196"/>
        <w:jc w:val="left"/>
        <w:outlineLvl w:val="2"/>
        <w:rPr>
          <w:rFonts w:hint="eastAsia" w:ascii="宋体" w:hAnsi="宋体" w:eastAsia="宋体" w:cs="宋体"/>
          <w:b/>
          <w:color w:val="auto"/>
          <w:szCs w:val="21"/>
        </w:rPr>
      </w:pPr>
      <w:bookmarkStart w:id="55" w:name="_Toc254970672"/>
      <w:bookmarkStart w:id="56" w:name="_Toc254970531"/>
      <w:r>
        <w:rPr>
          <w:rFonts w:hint="eastAsia" w:ascii="宋体" w:hAnsi="宋体" w:eastAsia="宋体" w:cs="宋体"/>
          <w:b/>
          <w:color w:val="auto"/>
          <w:szCs w:val="21"/>
        </w:rPr>
        <w:t>（五）投标费用</w:t>
      </w:r>
      <w:bookmarkEnd w:id="55"/>
      <w:bookmarkEnd w:id="56"/>
    </w:p>
    <w:p>
      <w:pPr>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投标人均应自行承担所有与投标有关的全部费用（招标文件有相关的规定除外）。</w:t>
      </w:r>
    </w:p>
    <w:p>
      <w:pPr>
        <w:numPr>
          <w:ilvl w:val="0"/>
          <w:numId w:val="2"/>
        </w:numPr>
        <w:snapToGrid w:val="0"/>
        <w:spacing w:before="120" w:beforeLines="50" w:line="440" w:lineRule="exact"/>
        <w:ind w:firstLine="413" w:firstLineChars="196"/>
        <w:jc w:val="left"/>
        <w:outlineLvl w:val="2"/>
        <w:rPr>
          <w:rFonts w:hint="eastAsia" w:ascii="宋体" w:hAnsi="宋体" w:eastAsia="宋体" w:cs="宋体"/>
          <w:b/>
          <w:color w:val="auto"/>
          <w:szCs w:val="21"/>
        </w:rPr>
      </w:pPr>
      <w:r>
        <w:rPr>
          <w:rFonts w:hint="eastAsia" w:ascii="宋体" w:hAnsi="宋体" w:eastAsia="宋体" w:cs="宋体"/>
          <w:b/>
          <w:color w:val="auto"/>
          <w:szCs w:val="21"/>
        </w:rPr>
        <w:t>联合体投标</w:t>
      </w:r>
    </w:p>
    <w:p>
      <w:pPr>
        <w:pStyle w:val="25"/>
        <w:spacing w:line="420" w:lineRule="exact"/>
        <w:ind w:firstLine="420"/>
        <w:rPr>
          <w:rFonts w:hint="eastAsia" w:ascii="宋体" w:hAnsi="宋体" w:eastAsia="宋体" w:cs="宋体"/>
          <w:color w:val="auto"/>
        </w:rPr>
      </w:pPr>
      <w:r>
        <w:rPr>
          <w:rFonts w:hint="eastAsia" w:ascii="宋体" w:hAnsi="宋体" w:eastAsia="宋体" w:cs="宋体"/>
          <w:color w:val="auto"/>
        </w:rPr>
        <w:t>本项目不接受联合体投标。</w:t>
      </w:r>
    </w:p>
    <w:p>
      <w:pPr>
        <w:pStyle w:val="25"/>
        <w:spacing w:line="420" w:lineRule="exact"/>
        <w:ind w:firstLine="420"/>
        <w:outlineLvl w:val="2"/>
        <w:rPr>
          <w:rFonts w:hint="eastAsia" w:ascii="宋体" w:hAnsi="宋体" w:eastAsia="宋体" w:cs="宋体"/>
          <w:b/>
          <w:color w:val="auto"/>
          <w:kern w:val="0"/>
          <w:szCs w:val="21"/>
        </w:rPr>
      </w:pPr>
      <w:r>
        <w:rPr>
          <w:rFonts w:hint="eastAsia" w:ascii="宋体" w:hAnsi="宋体" w:eastAsia="宋体" w:cs="宋体"/>
          <w:b/>
          <w:color w:val="auto"/>
          <w:szCs w:val="21"/>
        </w:rPr>
        <w:t>（七）</w:t>
      </w:r>
      <w:r>
        <w:rPr>
          <w:rFonts w:hint="eastAsia" w:ascii="宋体" w:hAnsi="宋体" w:eastAsia="宋体" w:cs="宋体"/>
          <w:b/>
          <w:color w:val="auto"/>
          <w:kern w:val="0"/>
          <w:szCs w:val="21"/>
        </w:rPr>
        <w:t>转包与分包</w:t>
      </w:r>
    </w:p>
    <w:p>
      <w:pPr>
        <w:snapToGrid w:val="0"/>
        <w:spacing w:line="44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1.本项目不允许转包。</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2.本项目不可以分包。</w:t>
      </w:r>
    </w:p>
    <w:p>
      <w:pPr>
        <w:snapToGrid w:val="0"/>
        <w:spacing w:before="120" w:beforeLines="50" w:line="440" w:lineRule="exact"/>
        <w:ind w:firstLine="413" w:firstLineChars="196"/>
        <w:jc w:val="left"/>
        <w:outlineLvl w:val="2"/>
        <w:rPr>
          <w:rFonts w:hint="eastAsia" w:ascii="宋体" w:hAnsi="宋体" w:eastAsia="宋体" w:cs="宋体"/>
          <w:b/>
          <w:color w:val="auto"/>
          <w:szCs w:val="21"/>
        </w:rPr>
      </w:pPr>
      <w:bookmarkStart w:id="57" w:name="_Toc254970532"/>
      <w:bookmarkStart w:id="58" w:name="_Toc254970673"/>
      <w:r>
        <w:rPr>
          <w:rFonts w:hint="eastAsia" w:ascii="宋体" w:hAnsi="宋体" w:eastAsia="宋体" w:cs="宋体"/>
          <w:b/>
          <w:color w:val="auto"/>
          <w:szCs w:val="21"/>
        </w:rPr>
        <w:t>（八）特别说明：</w:t>
      </w:r>
      <w:bookmarkEnd w:id="57"/>
      <w:bookmarkEnd w:id="58"/>
    </w:p>
    <w:p>
      <w:pPr>
        <w:widowControl/>
        <w:spacing w:line="440" w:lineRule="exact"/>
        <w:ind w:firstLine="525" w:firstLineChars="250"/>
        <w:jc w:val="left"/>
        <w:rPr>
          <w:rFonts w:hint="eastAsia" w:ascii="宋体" w:hAnsi="宋体" w:eastAsia="宋体" w:cs="宋体"/>
          <w:color w:val="auto"/>
          <w:kern w:val="0"/>
          <w:szCs w:val="21"/>
        </w:rPr>
      </w:pPr>
      <w:r>
        <w:rPr>
          <w:rFonts w:hint="eastAsia" w:ascii="宋体" w:hAnsi="宋体" w:eastAsia="宋体" w:cs="宋体"/>
          <w:color w:val="auto"/>
          <w:szCs w:val="21"/>
        </w:rPr>
        <w:t>▲1.</w:t>
      </w:r>
      <w:r>
        <w:rPr>
          <w:rFonts w:hint="eastAsia" w:ascii="宋体" w:hAnsi="宋体" w:eastAsia="宋体" w:cs="宋体"/>
          <w:color w:val="auto"/>
          <w:kern w:val="0"/>
          <w:szCs w:val="21"/>
        </w:rPr>
        <w:t>多家供应商参加投标，如其中两家或两家以上供应商的法定代表人（负责人）为同一人或相互之间存在投资关系且达到控股的，应当按一个供应商认定。评审时，取其中通过资格审查后的报价最低一家为有效供应商；当报价相同时，则以技术标最优一家为有效供应商；均相同时，由评标委员会集体决定。</w:t>
      </w:r>
    </w:p>
    <w:p>
      <w:pPr>
        <w:widowControl/>
        <w:spacing w:line="440" w:lineRule="exact"/>
        <w:ind w:firstLine="525" w:firstLineChars="250"/>
        <w:jc w:val="left"/>
        <w:rPr>
          <w:rFonts w:hint="eastAsia" w:ascii="宋体" w:hAnsi="宋体" w:eastAsia="宋体" w:cs="宋体"/>
          <w:color w:val="auto"/>
        </w:rPr>
      </w:pPr>
      <w:r>
        <w:rPr>
          <w:rFonts w:hint="eastAsia" w:ascii="宋体" w:hAnsi="宋体" w:eastAsia="宋体" w:cs="宋体"/>
          <w:color w:val="auto"/>
        </w:rPr>
        <w:t>▲2.投标人投标所使用的资格、信誉、荣誉、业绩与企业认证必须为投标人所拥有。</w:t>
      </w:r>
    </w:p>
    <w:p>
      <w:pPr>
        <w:pStyle w:val="25"/>
        <w:snapToGrid w:val="0"/>
        <w:spacing w:line="440" w:lineRule="exact"/>
        <w:ind w:left="2" w:leftChars="1" w:firstLine="420" w:firstLineChars="200"/>
        <w:rPr>
          <w:rFonts w:hint="eastAsia" w:ascii="宋体" w:hAnsi="宋体" w:eastAsia="宋体" w:cs="宋体"/>
          <w:color w:val="auto"/>
          <w:szCs w:val="21"/>
        </w:rPr>
      </w:pPr>
      <w:r>
        <w:rPr>
          <w:rFonts w:hint="eastAsia" w:ascii="宋体" w:hAnsi="宋体" w:eastAsia="宋体" w:cs="宋体"/>
          <w:color w:val="auto"/>
          <w:szCs w:val="21"/>
        </w:rPr>
        <w:t>▲3.投标人应仔细阅读招标文件的所有内容，按照招标文件的要求提交投标文件，并对所提供的全部资料的真实性承担法律责任。</w:t>
      </w:r>
    </w:p>
    <w:p>
      <w:pPr>
        <w:pStyle w:val="25"/>
        <w:snapToGrid w:val="0"/>
        <w:spacing w:line="440" w:lineRule="exact"/>
        <w:ind w:left="2" w:leftChars="1" w:firstLine="420" w:firstLineChars="200"/>
        <w:rPr>
          <w:rFonts w:hint="eastAsia" w:ascii="宋体" w:hAnsi="宋体" w:eastAsia="宋体" w:cs="宋体"/>
          <w:b/>
          <w:color w:val="auto"/>
          <w:szCs w:val="21"/>
        </w:rPr>
      </w:pPr>
      <w:r>
        <w:rPr>
          <w:rFonts w:hint="eastAsia" w:ascii="宋体" w:hAnsi="宋体" w:eastAsia="宋体" w:cs="宋体"/>
          <w:color w:val="auto"/>
          <w:szCs w:val="21"/>
        </w:rPr>
        <w:t>▲4.投标人在投标活动中提供任何虚假材料，其投标无效，并报监管部门查处；中标后发现的，取消中标人资格并报政府采购监督管理部门处理。</w:t>
      </w:r>
    </w:p>
    <w:p>
      <w:pPr>
        <w:pStyle w:val="25"/>
        <w:snapToGrid w:val="0"/>
        <w:spacing w:line="440" w:lineRule="exact"/>
        <w:ind w:firstLine="413" w:firstLineChars="196"/>
        <w:outlineLvl w:val="2"/>
        <w:rPr>
          <w:rFonts w:hint="eastAsia" w:ascii="宋体" w:hAnsi="宋体" w:eastAsia="宋体" w:cs="宋体"/>
          <w:b/>
          <w:bCs/>
          <w:color w:val="auto"/>
          <w:szCs w:val="21"/>
        </w:rPr>
      </w:pPr>
      <w:bookmarkStart w:id="59" w:name="_Toc254970674"/>
      <w:bookmarkStart w:id="60" w:name="_Toc254970533"/>
      <w:r>
        <w:rPr>
          <w:rFonts w:hint="eastAsia" w:ascii="宋体" w:hAnsi="宋体" w:eastAsia="宋体" w:cs="宋体"/>
          <w:b/>
          <w:bCs/>
          <w:color w:val="auto"/>
          <w:szCs w:val="21"/>
        </w:rPr>
        <w:t>（九）质疑和投诉</w:t>
      </w:r>
      <w:bookmarkEnd w:id="59"/>
      <w:bookmarkEnd w:id="60"/>
    </w:p>
    <w:p>
      <w:pPr>
        <w:pStyle w:val="25"/>
        <w:snapToGrid w:val="0"/>
        <w:spacing w:line="400" w:lineRule="exact"/>
        <w:ind w:firstLine="420" w:firstLineChars="200"/>
        <w:rPr>
          <w:rFonts w:hint="eastAsia" w:ascii="宋体" w:hAnsi="宋体" w:eastAsia="宋体" w:cs="宋体"/>
          <w:bCs/>
          <w:color w:val="auto"/>
        </w:rPr>
      </w:pPr>
      <w:bookmarkStart w:id="61" w:name="_Toc254970534"/>
      <w:bookmarkStart w:id="62" w:name="_Toc254970675"/>
      <w:r>
        <w:rPr>
          <w:rFonts w:hint="eastAsia" w:ascii="宋体" w:hAnsi="宋体" w:eastAsia="宋体" w:cs="宋体"/>
          <w:bCs/>
          <w:color w:val="auto"/>
        </w:rPr>
        <w:t>1.投标人认为招标文件、招标过程或中标结果使自己的合法权益受到损害的，应当在知道或者应知其权益受到损害之日起七个工作日内，以书面形式向采购人、采购代理机构提出质疑。供应商应知其权益受到损害之日具体计算时间如下：</w:t>
      </w:r>
    </w:p>
    <w:p>
      <w:pPr>
        <w:pStyle w:val="25"/>
        <w:snapToGrid w:val="0"/>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（一）对可以质疑的采购文件提出质疑的，为收到采购文件之日或者采购文件公告期限届满之日；</w:t>
      </w:r>
    </w:p>
    <w:p>
      <w:pPr>
        <w:pStyle w:val="25"/>
        <w:snapToGrid w:val="0"/>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（二）对采购过程提出质疑的，为各采购程序环节结束之日；</w:t>
      </w:r>
    </w:p>
    <w:p>
      <w:pPr>
        <w:pStyle w:val="25"/>
        <w:snapToGrid w:val="0"/>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（三）对中标或者成交结果提出质疑的，为中标或者成交结果公告期限届满之日。</w:t>
      </w:r>
    </w:p>
    <w:p>
      <w:pPr>
        <w:pStyle w:val="25"/>
        <w:snapToGrid w:val="0"/>
        <w:spacing w:line="400" w:lineRule="exact"/>
        <w:ind w:firstLine="420" w:firstLineChars="200"/>
        <w:rPr>
          <w:rFonts w:hint="eastAsia" w:ascii="宋体" w:hAnsi="宋体" w:eastAsia="宋体" w:cs="宋体"/>
          <w:bCs/>
          <w:color w:val="auto"/>
        </w:rPr>
      </w:pPr>
      <w:r>
        <w:rPr>
          <w:rFonts w:hint="eastAsia" w:ascii="宋体" w:hAnsi="宋体" w:eastAsia="宋体" w:cs="宋体"/>
          <w:color w:val="auto"/>
        </w:rPr>
        <w:t>投标人对招标采购单位的质疑答复不满意或者招标采购单位未在规定时间内作出答复的，可以在答复期满后十五个工作日内向同级采购监管部门投诉。</w:t>
      </w:r>
    </w:p>
    <w:p>
      <w:pPr>
        <w:pStyle w:val="25"/>
        <w:numPr>
          <w:ilvl w:val="0"/>
          <w:numId w:val="3"/>
        </w:numPr>
        <w:snapToGrid w:val="0"/>
        <w:spacing w:line="400" w:lineRule="exact"/>
        <w:ind w:firstLine="420" w:firstLineChars="200"/>
        <w:rPr>
          <w:rFonts w:hint="eastAsia" w:ascii="宋体" w:hAnsi="宋体" w:eastAsia="宋体" w:cs="宋体"/>
          <w:bCs/>
          <w:color w:val="auto"/>
        </w:rPr>
      </w:pPr>
      <w:r>
        <w:rPr>
          <w:rFonts w:hint="eastAsia" w:ascii="宋体" w:hAnsi="宋体" w:eastAsia="宋体" w:cs="宋体"/>
          <w:bCs/>
          <w:color w:val="auto"/>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spacing w:line="400" w:lineRule="exact"/>
        <w:ind w:firstLine="420" w:firstLineChars="200"/>
        <w:rPr>
          <w:rFonts w:hint="eastAsia" w:ascii="宋体" w:hAnsi="宋体" w:eastAsia="宋体" w:cs="宋体"/>
          <w:bCs/>
          <w:color w:val="auto"/>
        </w:rPr>
      </w:pPr>
      <w:r>
        <w:rPr>
          <w:rFonts w:hint="eastAsia" w:ascii="宋体" w:hAnsi="宋体" w:eastAsia="宋体" w:cs="宋体"/>
          <w:color w:val="auto"/>
          <w:szCs w:val="21"/>
        </w:rPr>
        <w:t>3、如不按规定质疑的，视为无效质疑，不予受理。属于虚假、恶意质疑，招标人或招标人委托的招标代理机构将驳回质疑，并向有关监督管理部门报告将其列入不良行为记录名单。</w:t>
      </w:r>
    </w:p>
    <w:p>
      <w:pPr>
        <w:pStyle w:val="25"/>
        <w:snapToGrid w:val="0"/>
        <w:spacing w:line="440" w:lineRule="exact"/>
        <w:outlineLvl w:val="1"/>
        <w:rPr>
          <w:rFonts w:hint="eastAsia" w:ascii="宋体" w:hAnsi="宋体" w:eastAsia="宋体" w:cs="宋体"/>
          <w:b/>
          <w:color w:val="auto"/>
          <w:szCs w:val="21"/>
        </w:rPr>
      </w:pPr>
      <w:r>
        <w:rPr>
          <w:rFonts w:hint="eastAsia" w:ascii="宋体" w:hAnsi="宋体" w:eastAsia="宋体" w:cs="宋体"/>
          <w:b/>
          <w:color w:val="auto"/>
          <w:szCs w:val="21"/>
        </w:rPr>
        <w:t>二、招标文件</w:t>
      </w:r>
      <w:bookmarkEnd w:id="61"/>
      <w:bookmarkEnd w:id="62"/>
    </w:p>
    <w:p>
      <w:pPr>
        <w:snapToGrid w:val="0"/>
        <w:spacing w:line="440" w:lineRule="exact"/>
        <w:ind w:firstLine="413" w:firstLineChars="196"/>
        <w:jc w:val="left"/>
        <w:outlineLvl w:val="2"/>
        <w:rPr>
          <w:rFonts w:hint="eastAsia" w:ascii="宋体" w:hAnsi="宋体" w:eastAsia="宋体" w:cs="宋体"/>
          <w:b/>
          <w:color w:val="auto"/>
          <w:szCs w:val="21"/>
        </w:rPr>
      </w:pPr>
      <w:r>
        <w:rPr>
          <w:rFonts w:hint="eastAsia" w:ascii="宋体" w:hAnsi="宋体" w:eastAsia="宋体" w:cs="宋体"/>
          <w:b/>
          <w:color w:val="auto"/>
          <w:szCs w:val="21"/>
        </w:rPr>
        <w:t>（一）招标文件的构成。本招标文件由以下部份组成：</w:t>
      </w:r>
    </w:p>
    <w:p>
      <w:pPr>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1.公开招标公告；</w:t>
      </w:r>
    </w:p>
    <w:p>
      <w:pPr>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2.招标项目采购需求；</w:t>
      </w:r>
    </w:p>
    <w:p>
      <w:pPr>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3.投标人须知；</w:t>
      </w:r>
    </w:p>
    <w:p>
      <w:pPr>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4.评标办法及评标标准；</w:t>
      </w:r>
    </w:p>
    <w:p>
      <w:pPr>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5.合同主要条款格式；</w:t>
      </w:r>
    </w:p>
    <w:p>
      <w:pPr>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6.投标文件格式。</w:t>
      </w:r>
    </w:p>
    <w:p>
      <w:pPr>
        <w:snapToGrid w:val="0"/>
        <w:spacing w:before="120" w:beforeLines="50" w:line="440" w:lineRule="exact"/>
        <w:ind w:firstLine="413" w:firstLineChars="196"/>
        <w:jc w:val="left"/>
        <w:outlineLvl w:val="2"/>
        <w:rPr>
          <w:rFonts w:hint="eastAsia" w:ascii="宋体" w:hAnsi="宋体" w:eastAsia="宋体" w:cs="宋体"/>
          <w:b/>
          <w:color w:val="auto"/>
          <w:szCs w:val="21"/>
        </w:rPr>
      </w:pPr>
      <w:r>
        <w:rPr>
          <w:rFonts w:hint="eastAsia" w:ascii="宋体" w:hAnsi="宋体" w:eastAsia="宋体" w:cs="宋体"/>
          <w:b/>
          <w:color w:val="auto"/>
          <w:szCs w:val="21"/>
        </w:rPr>
        <w:t>（二）投标人的风险</w:t>
      </w:r>
    </w:p>
    <w:p>
      <w:pPr>
        <w:pStyle w:val="34"/>
        <w:spacing w:line="440" w:lineRule="exact"/>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投标人没有按照招标文件要求提供全部资料，或者投标人没有对招标文件在各方面作出实质性响应是投标人的风险，并可能导致其投标被拒绝。</w:t>
      </w:r>
    </w:p>
    <w:p>
      <w:pPr>
        <w:pStyle w:val="14"/>
        <w:snapToGrid w:val="0"/>
        <w:spacing w:before="120" w:beforeLines="50" w:line="440" w:lineRule="exact"/>
        <w:ind w:left="0" w:firstLine="310" w:firstLineChars="147"/>
        <w:outlineLvl w:val="2"/>
        <w:rPr>
          <w:rFonts w:hint="eastAsia" w:ascii="宋体" w:hAnsi="宋体" w:eastAsia="宋体" w:cs="宋体"/>
          <w:b/>
          <w:color w:val="auto"/>
          <w:szCs w:val="21"/>
        </w:rPr>
      </w:pPr>
      <w:r>
        <w:rPr>
          <w:rFonts w:hint="eastAsia" w:ascii="宋体" w:hAnsi="宋体" w:eastAsia="宋体" w:cs="宋体"/>
          <w:b/>
          <w:color w:val="auto"/>
          <w:szCs w:val="21"/>
        </w:rPr>
        <w:t xml:space="preserve">（三）招标文件的澄清与修改 </w:t>
      </w:r>
    </w:p>
    <w:p>
      <w:pPr>
        <w:pStyle w:val="25"/>
        <w:snapToGrid w:val="0"/>
        <w:spacing w:line="440" w:lineRule="exact"/>
        <w:ind w:firstLine="424" w:firstLineChars="202"/>
        <w:rPr>
          <w:rFonts w:hint="eastAsia" w:ascii="宋体" w:hAnsi="宋体" w:eastAsia="宋体" w:cs="宋体"/>
          <w:color w:val="auto"/>
          <w:szCs w:val="21"/>
        </w:rPr>
      </w:pPr>
      <w:r>
        <w:rPr>
          <w:rFonts w:hint="eastAsia" w:ascii="宋体" w:hAnsi="宋体" w:eastAsia="宋体" w:cs="宋体"/>
          <w:color w:val="auto"/>
          <w:szCs w:val="21"/>
        </w:rPr>
        <w:t>1.投标人如认为招标文件表述不清晰、存在歧视性、排他性或者其他违法内容的，应当于</w:t>
      </w:r>
      <w:r>
        <w:rPr>
          <w:rFonts w:hint="eastAsia" w:ascii="宋体" w:hAnsi="宋体" w:eastAsia="宋体" w:cs="宋体"/>
          <w:color w:val="auto"/>
        </w:rPr>
        <w:t>收到采购文件之日或者采购文件公告期限届满之日起7个工作日内</w:t>
      </w:r>
      <w:r>
        <w:rPr>
          <w:rFonts w:hint="eastAsia" w:ascii="宋体" w:hAnsi="宋体" w:eastAsia="宋体" w:cs="宋体"/>
          <w:color w:val="auto"/>
          <w:szCs w:val="21"/>
        </w:rPr>
        <w:t>，以书面形式要求招标采购单位作出书面解释、澄清或者向招标采购单位提出书面质疑；</w:t>
      </w:r>
      <w:r>
        <w:rPr>
          <w:rFonts w:hint="eastAsia" w:ascii="宋体" w:hAnsi="宋体" w:eastAsia="宋体" w:cs="宋体"/>
          <w:bCs/>
          <w:color w:val="auto"/>
          <w:szCs w:val="21"/>
        </w:rPr>
        <w:t>否则视为认可有关条款</w:t>
      </w:r>
      <w:r>
        <w:rPr>
          <w:rFonts w:hint="eastAsia" w:ascii="宋体" w:hAnsi="宋体" w:eastAsia="宋体" w:cs="宋体"/>
          <w:color w:val="auto"/>
          <w:szCs w:val="21"/>
        </w:rPr>
        <w:t>。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该澄清或者修改的内容为招标文件的组成部分。</w:t>
      </w:r>
    </w:p>
    <w:p>
      <w:pPr>
        <w:pStyle w:val="25"/>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2.采购代理机构必须以书面形式答复投标人要求澄清的问题，并将不包含问题来源的答复书面通知所有购买招标文件的投标人；除书面答复以外的其他澄清方式及澄清内容均无效。</w:t>
      </w:r>
    </w:p>
    <w:p>
      <w:pPr>
        <w:pStyle w:val="25"/>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3.招标文件澄清、答复、修改、补充的内容为招标文件的组成部分。当招标文件与招标文件的答复、澄清、修改、补充通知就同一内容的表述不一致时，以最后发出的书面文件为准。</w:t>
      </w:r>
    </w:p>
    <w:p>
      <w:pPr>
        <w:pStyle w:val="25"/>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4.招标文件的澄清、答复、修改或补充都应该通过本采购代理机构以法定形式发布，采购人非通过本机构，不得擅自澄清、答复、修改或补充招标文件。</w:t>
      </w:r>
    </w:p>
    <w:p>
      <w:pPr>
        <w:pStyle w:val="25"/>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采购人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pPr>
        <w:pStyle w:val="25"/>
        <w:snapToGrid w:val="0"/>
        <w:spacing w:line="440" w:lineRule="exact"/>
        <w:ind w:firstLine="413" w:firstLineChars="196"/>
        <w:outlineLvl w:val="1"/>
        <w:rPr>
          <w:rFonts w:hint="eastAsia" w:ascii="宋体" w:hAnsi="宋体" w:eastAsia="宋体" w:cs="宋体"/>
          <w:b/>
          <w:color w:val="auto"/>
          <w:szCs w:val="21"/>
        </w:rPr>
      </w:pPr>
      <w:bookmarkStart w:id="63" w:name="_Toc254970676"/>
      <w:bookmarkStart w:id="64" w:name="_Toc254970535"/>
      <w:r>
        <w:rPr>
          <w:rFonts w:hint="eastAsia" w:ascii="宋体" w:hAnsi="宋体" w:eastAsia="宋体" w:cs="宋体"/>
          <w:b/>
          <w:color w:val="auto"/>
          <w:szCs w:val="21"/>
        </w:rPr>
        <w:t>三、投标文件的编制</w:t>
      </w:r>
      <w:bookmarkEnd w:id="63"/>
      <w:bookmarkEnd w:id="64"/>
    </w:p>
    <w:p>
      <w:pPr>
        <w:ind w:firstLine="211" w:firstLineChars="100"/>
        <w:jc w:val="left"/>
        <w:rPr>
          <w:rFonts w:hint="eastAsia" w:ascii="宋体" w:hAnsi="宋体" w:eastAsia="宋体" w:cs="宋体"/>
          <w:b/>
          <w:bCs/>
          <w:color w:val="auto"/>
        </w:rPr>
      </w:pPr>
      <w:bookmarkStart w:id="65" w:name="_Toc254970677"/>
      <w:bookmarkStart w:id="66" w:name="_Toc254970536"/>
      <w:r>
        <w:rPr>
          <w:rFonts w:hint="eastAsia" w:ascii="宋体" w:hAnsi="宋体" w:eastAsia="宋体" w:cs="宋体"/>
          <w:b/>
          <w:bCs/>
          <w:color w:val="auto"/>
        </w:rPr>
        <w:t>（一）投标文件的组成</w:t>
      </w:r>
      <w:bookmarkEnd w:id="65"/>
      <w:bookmarkEnd w:id="66"/>
    </w:p>
    <w:p>
      <w:pPr>
        <w:snapToGrid w:val="0"/>
        <w:spacing w:line="480" w:lineRule="exact"/>
        <w:ind w:firstLine="422" w:firstLineChars="200"/>
        <w:jc w:val="left"/>
        <w:rPr>
          <w:rFonts w:hint="eastAsia" w:ascii="宋体" w:hAnsi="宋体" w:eastAsia="宋体" w:cs="宋体"/>
          <w:b/>
          <w:color w:val="auto"/>
          <w:szCs w:val="21"/>
        </w:rPr>
      </w:pPr>
      <w:bookmarkStart w:id="67" w:name="_Toc254970537"/>
      <w:bookmarkStart w:id="68" w:name="_Toc254970678"/>
      <w:r>
        <w:rPr>
          <w:rFonts w:hint="eastAsia" w:ascii="宋体" w:hAnsi="宋体" w:eastAsia="宋体" w:cs="宋体"/>
          <w:b/>
          <w:color w:val="auto"/>
          <w:szCs w:val="21"/>
        </w:rPr>
        <w:t>投标文件由正本1份、副本4份组成；（包括资格及商务文件、技术文件、投标报价文件三部分组成）。招标文件要求提供的各种复印件，须加盖投标人单位公章，否则其无效（含正、副本，正本与副本不一致的，以正本为准）。招标文件要求“必须提供(</w:t>
      </w:r>
      <w:r>
        <w:rPr>
          <w:rFonts w:hint="eastAsia" w:ascii="宋体" w:hAnsi="宋体" w:eastAsia="宋体" w:cs="宋体"/>
          <w:color w:val="auto"/>
          <w:szCs w:val="21"/>
        </w:rPr>
        <w:t>▲</w:t>
      </w:r>
      <w:r>
        <w:rPr>
          <w:rFonts w:hint="eastAsia" w:ascii="宋体" w:hAnsi="宋体" w:eastAsia="宋体" w:cs="宋体"/>
          <w:b/>
          <w:color w:val="auto"/>
          <w:szCs w:val="21"/>
        </w:rPr>
        <w:t>)”的证明等材料，投标人必须全部提供，缺一不可，否则投标无效。</w:t>
      </w:r>
    </w:p>
    <w:p>
      <w:pPr>
        <w:snapToGrid w:val="0"/>
        <w:spacing w:before="120" w:beforeLines="50" w:line="440" w:lineRule="exact"/>
        <w:ind w:firstLine="413" w:firstLineChars="196"/>
        <w:jc w:val="left"/>
        <w:rPr>
          <w:rFonts w:hint="eastAsia" w:ascii="宋体" w:hAnsi="宋体" w:eastAsia="宋体" w:cs="宋体"/>
          <w:b/>
          <w:color w:val="auto"/>
          <w:szCs w:val="21"/>
        </w:rPr>
      </w:pPr>
      <w:r>
        <w:rPr>
          <w:rFonts w:hint="eastAsia" w:ascii="宋体" w:hAnsi="宋体" w:eastAsia="宋体" w:cs="宋体"/>
          <w:b/>
          <w:color w:val="auto"/>
          <w:szCs w:val="21"/>
        </w:rPr>
        <w:t>1. 资格及商务文件</w:t>
      </w:r>
    </w:p>
    <w:p>
      <w:pPr>
        <w:snapToGrid w:val="0"/>
        <w:spacing w:line="440" w:lineRule="exact"/>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rPr>
        <w:t>▲（1）投标声明书 (格式见附件)；</w:t>
      </w:r>
    </w:p>
    <w:p>
      <w:pPr>
        <w:snapToGrid w:val="0"/>
        <w:spacing w:line="440" w:lineRule="exact"/>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rPr>
        <w:t>▲（2）《贵港市政府采购项目投标资格承诺函》(格式见附件)；</w:t>
      </w:r>
    </w:p>
    <w:p>
      <w:pPr>
        <w:snapToGrid w:val="0"/>
        <w:spacing w:line="440" w:lineRule="exact"/>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rPr>
        <w:t>▲（3）法定代表人（负责人）授权委托书和委托代理人正反面身份证复印件（委托代理时需要提供）(格式见附件)；</w:t>
      </w:r>
    </w:p>
    <w:p>
      <w:pPr>
        <w:snapToGrid w:val="0"/>
        <w:spacing w:line="440" w:lineRule="exact"/>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rPr>
        <w:t>▲（4）法定代表人（负责人）正反面身份证复印件；</w:t>
      </w:r>
    </w:p>
    <w:p>
      <w:pPr>
        <w:snapToGrid w:val="0"/>
        <w:spacing w:line="440" w:lineRule="exact"/>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rPr>
        <w:t>▲（5）有效的营业执照副本复印件，可三证合一；</w:t>
      </w:r>
    </w:p>
    <w:p>
      <w:pPr>
        <w:snapToGrid w:val="0"/>
        <w:spacing w:line="440" w:lineRule="exact"/>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rPr>
        <w:t>▲（9）商务响应表（格式见附件）；</w:t>
      </w:r>
    </w:p>
    <w:p>
      <w:pPr>
        <w:snapToGrid w:val="0"/>
        <w:spacing w:line="440" w:lineRule="exact"/>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rPr>
        <w:t>▲（10）无重大违法记录声明书（格式见附件）；</w:t>
      </w:r>
    </w:p>
    <w:p>
      <w:pPr>
        <w:snapToGrid w:val="0"/>
        <w:spacing w:line="440" w:lineRule="exact"/>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rPr>
        <w:t>▲（11）投标人进入“中国灾害防御协会公布的全国地震安全性评价名单或者进入广西地震局官网备案的地震安全性评价从业单位名单”截图。</w:t>
      </w:r>
    </w:p>
    <w:p>
      <w:pPr>
        <w:snapToGrid w:val="0"/>
        <w:spacing w:line="398" w:lineRule="exact"/>
        <w:ind w:firstLine="422" w:firstLineChars="200"/>
        <w:jc w:val="left"/>
        <w:rPr>
          <w:rFonts w:hint="eastAsia" w:ascii="宋体" w:hAnsi="宋体" w:eastAsia="宋体" w:cs="宋体"/>
          <w:color w:val="auto"/>
          <w:szCs w:val="21"/>
        </w:rPr>
      </w:pPr>
      <w:r>
        <w:rPr>
          <w:rFonts w:hint="eastAsia" w:ascii="宋体" w:hAnsi="宋体" w:eastAsia="宋体" w:cs="宋体"/>
          <w:b/>
          <w:color w:val="auto"/>
          <w:szCs w:val="21"/>
        </w:rPr>
        <w:t>可作为</w:t>
      </w:r>
      <w:r>
        <w:rPr>
          <w:rFonts w:hint="eastAsia" w:ascii="宋体" w:hAnsi="宋体" w:eastAsia="宋体" w:cs="宋体"/>
          <w:b/>
          <w:bCs/>
          <w:color w:val="auto"/>
          <w:szCs w:val="21"/>
        </w:rPr>
        <w:t>投标人资信评分的资质证明材料</w:t>
      </w:r>
      <w:r>
        <w:rPr>
          <w:rFonts w:hint="eastAsia" w:ascii="宋体" w:hAnsi="宋体" w:eastAsia="宋体" w:cs="宋体"/>
          <w:color w:val="auto"/>
          <w:szCs w:val="21"/>
        </w:rPr>
        <w:t>（可选）：</w:t>
      </w:r>
    </w:p>
    <w:p>
      <w:pPr>
        <w:snapToGrid w:val="0"/>
        <w:spacing w:line="398"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（12）投标人的类似成功案例的业绩证明文件（投标人同类项目的</w:t>
      </w:r>
      <w:r>
        <w:rPr>
          <w:rFonts w:hint="eastAsia" w:ascii="宋体" w:hAnsi="宋体" w:eastAsia="宋体" w:cs="宋体"/>
          <w:bCs/>
          <w:color w:val="auto"/>
          <w:szCs w:val="21"/>
        </w:rPr>
        <w:t>中标通知书复印件或合同复印件）</w:t>
      </w:r>
      <w:r>
        <w:rPr>
          <w:rFonts w:hint="eastAsia" w:ascii="宋体" w:hAnsi="宋体" w:eastAsia="宋体" w:cs="宋体"/>
          <w:color w:val="auto"/>
          <w:szCs w:val="21"/>
        </w:rPr>
        <w:t>；</w:t>
      </w:r>
    </w:p>
    <w:p>
      <w:pPr>
        <w:snapToGrid w:val="0"/>
        <w:spacing w:line="398"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（13）本地化服务能力证明（距采购人最近的服务网点情况表）；</w:t>
      </w:r>
    </w:p>
    <w:p>
      <w:pPr>
        <w:snapToGrid w:val="0"/>
        <w:spacing w:line="398"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（14）自主品牌投标人的信誉、荣誉证书或文件；</w:t>
      </w:r>
    </w:p>
    <w:p>
      <w:pPr>
        <w:snapToGrid w:val="0"/>
        <w:spacing w:line="398"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（15）投标人质量管理和环境认证体系等方面的资质证书或文件；</w:t>
      </w:r>
    </w:p>
    <w:p>
      <w:pPr>
        <w:snapToGrid w:val="0"/>
        <w:spacing w:line="398"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（16）投标人认为可以证明其能力或业绩的其它材料。</w:t>
      </w:r>
    </w:p>
    <w:p>
      <w:pPr>
        <w:spacing w:line="360" w:lineRule="auto"/>
        <w:ind w:left="105" w:firstLine="268" w:firstLineChars="127"/>
        <w:rPr>
          <w:rFonts w:hint="eastAsia" w:ascii="宋体" w:hAnsi="宋体" w:eastAsia="宋体" w:cs="宋体"/>
          <w:color w:val="auto"/>
        </w:rPr>
      </w:pPr>
      <w:r>
        <w:rPr>
          <w:rFonts w:hint="eastAsia" w:ascii="宋体" w:hAnsi="宋体" w:eastAsia="宋体" w:cs="宋体"/>
          <w:b/>
          <w:bCs/>
          <w:color w:val="auto"/>
          <w:szCs w:val="21"/>
        </w:rPr>
        <w:t>2.技术文件</w:t>
      </w:r>
    </w:p>
    <w:p>
      <w:pPr>
        <w:spacing w:line="360" w:lineRule="auto"/>
        <w:ind w:left="105" w:firstLine="266" w:firstLineChars="127"/>
        <w:rPr>
          <w:rFonts w:hint="eastAsia" w:ascii="宋体" w:hAnsi="宋体" w:eastAsia="宋体" w:cs="宋体"/>
          <w:color w:val="auto"/>
        </w:rPr>
      </w:pPr>
      <w:r>
        <w:rPr>
          <w:rFonts w:hint="eastAsia" w:ascii="宋体" w:hAnsi="宋体" w:eastAsia="宋体" w:cs="宋体"/>
          <w:color w:val="auto"/>
        </w:rPr>
        <w:t>（1）企业情况；</w:t>
      </w:r>
    </w:p>
    <w:p>
      <w:pPr>
        <w:spacing w:line="360" w:lineRule="auto"/>
        <w:ind w:left="105" w:firstLine="57"/>
        <w:rPr>
          <w:rFonts w:hint="eastAsia" w:ascii="宋体" w:hAnsi="宋体" w:eastAsia="宋体" w:cs="宋体"/>
          <w:color w:val="auto"/>
          <w:lang w:eastAsia="zh-CN"/>
        </w:rPr>
      </w:pPr>
      <w:r>
        <w:rPr>
          <w:rFonts w:hint="eastAsia" w:ascii="宋体" w:hAnsi="宋体" w:eastAsia="宋体" w:cs="宋体"/>
          <w:color w:val="auto"/>
        </w:rPr>
        <w:t>▲（2）</w:t>
      </w:r>
      <w:r>
        <w:rPr>
          <w:rFonts w:hint="eastAsia" w:ascii="宋体" w:hAnsi="宋体" w:eastAsia="宋体" w:cs="宋体"/>
          <w:color w:val="auto"/>
          <w:lang w:eastAsia="zh-CN"/>
        </w:rPr>
        <w:t>技术响应表；</w:t>
      </w:r>
      <w:r>
        <w:rPr>
          <w:rFonts w:hint="eastAsia" w:ascii="宋体" w:hAnsi="宋体" w:eastAsia="宋体" w:cs="宋体"/>
          <w:color w:val="auto"/>
          <w:szCs w:val="21"/>
        </w:rPr>
        <w:t>（格式见附件）</w:t>
      </w:r>
      <w:r>
        <w:rPr>
          <w:rFonts w:hint="eastAsia" w:ascii="宋体" w:hAnsi="宋体" w:eastAsia="宋体" w:cs="宋体"/>
          <w:color w:val="auto"/>
          <w:szCs w:val="21"/>
          <w:lang w:eastAsia="zh-CN"/>
        </w:rPr>
        <w:t>；</w:t>
      </w:r>
    </w:p>
    <w:p>
      <w:pPr>
        <w:spacing w:line="360" w:lineRule="auto"/>
        <w:ind w:left="105" w:firstLine="57"/>
        <w:rPr>
          <w:rFonts w:hint="eastAsia" w:ascii="宋体" w:hAnsi="宋体" w:eastAsia="宋体" w:cs="宋体"/>
          <w:color w:val="auto"/>
        </w:rPr>
      </w:pPr>
      <w:r>
        <w:rPr>
          <w:rFonts w:hint="eastAsia" w:ascii="宋体" w:hAnsi="宋体" w:eastAsia="宋体" w:cs="宋体"/>
          <w:color w:val="auto"/>
        </w:rPr>
        <w:t>▲（3）项目实施方案（必须包含但不限于质量保证措施、技术实施方案(包含拟投入本项目人员一览表)、项目进度计划和保证措施）；</w:t>
      </w:r>
    </w:p>
    <w:p>
      <w:pPr>
        <w:spacing w:line="360" w:lineRule="auto"/>
        <w:ind w:left="105" w:firstLine="57"/>
        <w:rPr>
          <w:rFonts w:hint="eastAsia" w:ascii="宋体" w:hAnsi="宋体" w:eastAsia="宋体" w:cs="宋体"/>
          <w:color w:val="auto"/>
        </w:rPr>
      </w:pPr>
      <w:r>
        <w:rPr>
          <w:rFonts w:hint="eastAsia" w:ascii="宋体" w:hAnsi="宋体" w:eastAsia="宋体" w:cs="宋体"/>
          <w:color w:val="auto"/>
        </w:rPr>
        <w:t>▲（4）投标人具有“与承担区域性地震安全性评价相适应的地震学、地震地质学、工程地震学3个相关专业背景的技术人员，每个专业具有高级专业技术职称人员不少于2人”的区域性地震安全性评价资格人员表，并提供所列人员</w:t>
      </w:r>
      <w:r>
        <w:rPr>
          <w:rFonts w:hint="eastAsia" w:ascii="宋体" w:hAnsi="宋体" w:eastAsia="宋体" w:cs="宋体"/>
          <w:color w:val="auto"/>
          <w:lang w:val="en-US" w:eastAsia="zh-CN"/>
        </w:rPr>
        <w:t>2020年度</w:t>
      </w:r>
      <w:r>
        <w:rPr>
          <w:rFonts w:hint="eastAsia" w:ascii="宋体" w:hAnsi="宋体" w:eastAsia="宋体" w:cs="宋体"/>
          <w:color w:val="auto"/>
        </w:rPr>
        <w:t>连续三个月在本单位购买社会保险的证明复印件（事业单位的出具单位证明材料，否则不予认可）；</w:t>
      </w:r>
    </w:p>
    <w:p>
      <w:pPr>
        <w:spacing w:line="360" w:lineRule="auto"/>
        <w:ind w:left="105" w:firstLine="57"/>
        <w:rPr>
          <w:rFonts w:hint="eastAsia" w:ascii="宋体" w:hAnsi="宋体" w:eastAsia="宋体" w:cs="宋体"/>
          <w:color w:val="auto"/>
        </w:rPr>
      </w:pPr>
      <w:r>
        <w:rPr>
          <w:rFonts w:hint="eastAsia" w:ascii="宋体" w:hAnsi="宋体" w:eastAsia="宋体" w:cs="宋体"/>
          <w:color w:val="auto"/>
        </w:rPr>
        <w:t>（5）提供项目服务承诺书；（格式自拟）；</w:t>
      </w:r>
    </w:p>
    <w:p>
      <w:pPr>
        <w:spacing w:line="360" w:lineRule="auto"/>
        <w:ind w:left="105" w:firstLine="57"/>
        <w:jc w:val="lef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6</w:t>
      </w:r>
      <w:r>
        <w:rPr>
          <w:rFonts w:hint="eastAsia" w:ascii="宋体" w:hAnsi="宋体" w:eastAsia="宋体" w:cs="宋体"/>
          <w:color w:val="auto"/>
          <w:lang w:eastAsia="zh-CN"/>
        </w:rPr>
        <w:t>）</w:t>
      </w:r>
      <w:r>
        <w:rPr>
          <w:rFonts w:hint="eastAsia" w:ascii="宋体" w:hAnsi="宋体" w:eastAsia="宋体" w:cs="宋体"/>
          <w:color w:val="auto"/>
        </w:rPr>
        <w:t>投标人</w:t>
      </w:r>
      <w:r>
        <w:rPr>
          <w:rFonts w:hint="eastAsia" w:ascii="宋体" w:hAnsi="宋体" w:eastAsia="宋体" w:cs="宋体"/>
          <w:color w:val="auto"/>
          <w:szCs w:val="21"/>
        </w:rPr>
        <w:t>业绩一览表</w:t>
      </w:r>
      <w:r>
        <w:rPr>
          <w:rFonts w:hint="eastAsia" w:ascii="宋体" w:hAnsi="宋体" w:eastAsia="宋体" w:cs="宋体"/>
          <w:color w:val="auto"/>
        </w:rPr>
        <w:t>；（格式自拟）；</w:t>
      </w:r>
    </w:p>
    <w:p>
      <w:pPr>
        <w:spacing w:line="360" w:lineRule="auto"/>
        <w:ind w:left="105" w:firstLine="57"/>
        <w:jc w:val="left"/>
        <w:rPr>
          <w:rFonts w:hint="eastAsia" w:ascii="宋体" w:hAnsi="宋体" w:eastAsia="宋体" w:cs="宋体"/>
          <w:color w:val="auto"/>
          <w:szCs w:val="21"/>
        </w:rPr>
      </w:pPr>
      <w:r>
        <w:rPr>
          <w:rFonts w:hint="eastAsia" w:ascii="宋体" w:hAnsi="宋体" w:eastAsia="宋体" w:cs="宋体"/>
          <w:color w:val="auto"/>
        </w:rPr>
        <w:t>（</w:t>
      </w:r>
      <w:r>
        <w:rPr>
          <w:rFonts w:hint="eastAsia" w:ascii="宋体" w:hAnsi="宋体" w:eastAsia="宋体" w:cs="宋体"/>
          <w:color w:val="auto"/>
          <w:lang w:val="en-US" w:eastAsia="zh-CN"/>
        </w:rPr>
        <w:t>7</w:t>
      </w:r>
      <w:r>
        <w:rPr>
          <w:rFonts w:hint="eastAsia" w:ascii="宋体" w:hAnsi="宋体" w:eastAsia="宋体" w:cs="宋体"/>
          <w:color w:val="auto"/>
        </w:rPr>
        <w:t>）</w:t>
      </w:r>
      <w:r>
        <w:rPr>
          <w:rFonts w:hint="eastAsia" w:ascii="宋体" w:hAnsi="宋体" w:eastAsia="宋体" w:cs="宋体"/>
          <w:color w:val="auto"/>
          <w:szCs w:val="21"/>
        </w:rPr>
        <w:t>投标人需要说明的其他文件和说明（结合投标人自身情况及招标文件其他要求和评分要素自行提供）。</w:t>
      </w:r>
    </w:p>
    <w:p>
      <w:pPr>
        <w:snapToGrid w:val="0"/>
        <w:spacing w:line="440" w:lineRule="exact"/>
        <w:ind w:firstLine="413" w:firstLineChars="196"/>
        <w:jc w:val="left"/>
        <w:rPr>
          <w:rFonts w:hint="eastAsia" w:ascii="宋体" w:hAnsi="宋体" w:eastAsia="宋体" w:cs="宋体"/>
          <w:b/>
          <w:color w:val="auto"/>
          <w:szCs w:val="21"/>
        </w:rPr>
      </w:pPr>
      <w:r>
        <w:rPr>
          <w:rFonts w:hint="eastAsia" w:ascii="宋体" w:hAnsi="宋体" w:eastAsia="宋体" w:cs="宋体"/>
          <w:b/>
          <w:color w:val="auto"/>
          <w:szCs w:val="21"/>
        </w:rPr>
        <w:t>3. 报价文件</w:t>
      </w:r>
    </w:p>
    <w:p>
      <w:pPr>
        <w:tabs>
          <w:tab w:val="left" w:pos="3870"/>
          <w:tab w:val="left" w:pos="4085"/>
        </w:tabs>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▲（1）投标函（格式见附件）；</w:t>
      </w:r>
    </w:p>
    <w:p>
      <w:pPr>
        <w:tabs>
          <w:tab w:val="left" w:pos="3870"/>
          <w:tab w:val="left" w:pos="4085"/>
        </w:tabs>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▲（2）开标一览表</w:t>
      </w:r>
      <w:r>
        <w:rPr>
          <w:rFonts w:hint="eastAsia" w:ascii="宋体" w:hAnsi="宋体" w:eastAsia="宋体" w:cs="宋体"/>
          <w:color w:val="auto"/>
        </w:rPr>
        <w:t>（格式见附件）</w:t>
      </w:r>
      <w:r>
        <w:rPr>
          <w:rFonts w:hint="eastAsia" w:ascii="宋体" w:hAnsi="宋体" w:eastAsia="宋体" w:cs="宋体"/>
          <w:color w:val="auto"/>
          <w:szCs w:val="21"/>
        </w:rPr>
        <w:t>；</w:t>
      </w:r>
    </w:p>
    <w:p>
      <w:pPr>
        <w:tabs>
          <w:tab w:val="left" w:pos="3870"/>
          <w:tab w:val="left" w:pos="4085"/>
        </w:tabs>
        <w:snapToGrid w:val="0"/>
        <w:spacing w:line="440" w:lineRule="exact"/>
        <w:ind w:firstLine="630" w:firstLineChars="300"/>
        <w:jc w:val="left"/>
        <w:rPr>
          <w:rFonts w:hint="eastAsia" w:ascii="宋体" w:hAnsi="宋体" w:eastAsia="宋体" w:cs="宋体"/>
          <w:color w:val="auto"/>
          <w:szCs w:val="21"/>
        </w:rPr>
      </w:pPr>
      <w:r>
        <w:rPr>
          <w:rFonts w:hint="eastAsia" w:ascii="宋体" w:hAnsi="宋体" w:eastAsia="宋体" w:cs="宋体"/>
          <w:color w:val="auto"/>
          <w:szCs w:val="21"/>
        </w:rPr>
        <w:t>（3）投标人针对报价需要说明的其他文件和说明（格式自拟）；</w:t>
      </w:r>
    </w:p>
    <w:p>
      <w:pPr>
        <w:snapToGrid w:val="0"/>
        <w:spacing w:line="440" w:lineRule="exact"/>
        <w:ind w:left="420"/>
        <w:jc w:val="left"/>
        <w:rPr>
          <w:rFonts w:hint="eastAsia" w:ascii="宋体" w:hAnsi="宋体" w:eastAsia="宋体" w:cs="宋体"/>
          <w:b/>
          <w:color w:val="auto"/>
          <w:szCs w:val="21"/>
        </w:rPr>
      </w:pPr>
      <w:r>
        <w:rPr>
          <w:rFonts w:hint="eastAsia" w:ascii="宋体" w:hAnsi="宋体" w:eastAsia="宋体" w:cs="宋体"/>
          <w:color w:val="auto"/>
          <w:szCs w:val="21"/>
        </w:rPr>
        <w:t>▲</w:t>
      </w:r>
      <w:r>
        <w:rPr>
          <w:rFonts w:hint="eastAsia" w:ascii="宋体" w:hAnsi="宋体" w:eastAsia="宋体" w:cs="宋体"/>
          <w:b/>
          <w:color w:val="auto"/>
          <w:szCs w:val="21"/>
        </w:rPr>
        <w:t>注：法定代表人（负责人）授权委托书、投标声明书、投标函、开标一览表必须由法定代表人（负责人）或授权代表签名并加盖单位公章。</w:t>
      </w:r>
    </w:p>
    <w:bookmarkEnd w:id="67"/>
    <w:bookmarkEnd w:id="68"/>
    <w:p>
      <w:pPr>
        <w:ind w:firstLine="211" w:firstLineChars="100"/>
        <w:jc w:val="left"/>
        <w:rPr>
          <w:rFonts w:hint="eastAsia" w:ascii="宋体" w:hAnsi="宋体" w:eastAsia="宋体" w:cs="宋体"/>
          <w:b/>
          <w:bCs/>
          <w:color w:val="auto"/>
        </w:rPr>
      </w:pPr>
      <w:bookmarkStart w:id="69" w:name="_Toc254970538"/>
      <w:bookmarkStart w:id="70" w:name="_Toc254970679"/>
      <w:r>
        <w:rPr>
          <w:rFonts w:hint="eastAsia" w:ascii="宋体" w:hAnsi="宋体" w:eastAsia="宋体" w:cs="宋体"/>
          <w:b/>
          <w:bCs/>
          <w:color w:val="auto"/>
        </w:rPr>
        <w:t>（三）投标报价</w:t>
      </w:r>
      <w:bookmarkEnd w:id="69"/>
      <w:bookmarkEnd w:id="70"/>
    </w:p>
    <w:p>
      <w:pPr>
        <w:pStyle w:val="25"/>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1、投标报价应按招标文件中相关附表格式填写。</w:t>
      </w:r>
    </w:p>
    <w:p>
      <w:pPr>
        <w:spacing w:line="380" w:lineRule="exact"/>
        <w:ind w:firstLine="409" w:firstLineChars="195"/>
        <w:rPr>
          <w:rFonts w:hint="eastAsia" w:ascii="宋体" w:hAnsi="宋体" w:eastAsia="宋体" w:cs="宋体"/>
          <w:color w:val="auto"/>
          <w:szCs w:val="21"/>
        </w:rPr>
      </w:pPr>
      <w:r>
        <w:rPr>
          <w:rFonts w:hint="eastAsia" w:ascii="宋体" w:hAnsi="宋体" w:eastAsia="宋体" w:cs="宋体"/>
          <w:color w:val="auto"/>
          <w:szCs w:val="21"/>
        </w:rPr>
        <w:t>▲2、投标报价是履行合同的最终价格，采用投标价格</w:t>
      </w:r>
      <w:r>
        <w:rPr>
          <w:rFonts w:hint="eastAsia" w:ascii="宋体" w:hAnsi="宋体" w:eastAsia="宋体" w:cs="宋体"/>
          <w:bCs/>
          <w:color w:val="auto"/>
          <w:szCs w:val="21"/>
        </w:rPr>
        <w:t>为</w:t>
      </w:r>
      <w:r>
        <w:rPr>
          <w:rFonts w:hint="eastAsia" w:ascii="宋体" w:hAnsi="宋体" w:eastAsia="宋体" w:cs="宋体"/>
          <w:b/>
          <w:bCs/>
          <w:color w:val="auto"/>
          <w:u w:val="single"/>
        </w:rPr>
        <w:t>固定价格，总价包干</w:t>
      </w:r>
      <w:r>
        <w:rPr>
          <w:rFonts w:hint="eastAsia" w:ascii="宋体" w:hAnsi="宋体" w:eastAsia="宋体" w:cs="宋体"/>
          <w:color w:val="auto"/>
          <w:szCs w:val="21"/>
        </w:rPr>
        <w:t>，合同单价在合同实施期间不因市场价格变化因素而变动。投标人在报价时应考虑各方面因素、各种风险和自己的承受能力。本项目设有上限价，如果投标人的投标报价超出招标人设定的上限价作无效标处理。</w:t>
      </w:r>
      <w:r>
        <w:rPr>
          <w:rFonts w:hint="eastAsia" w:ascii="宋体" w:hAnsi="宋体" w:eastAsia="宋体" w:cs="宋体"/>
          <w:b/>
          <w:color w:val="auto"/>
          <w:szCs w:val="21"/>
        </w:rPr>
        <w:t>经评标委员会审核严重不平衡的报价将不予接受</w:t>
      </w:r>
      <w:r>
        <w:rPr>
          <w:rFonts w:hint="eastAsia" w:ascii="宋体" w:hAnsi="宋体" w:eastAsia="宋体" w:cs="宋体"/>
          <w:color w:val="auto"/>
          <w:szCs w:val="21"/>
        </w:rPr>
        <w:t>。</w:t>
      </w:r>
    </w:p>
    <w:p>
      <w:pPr>
        <w:tabs>
          <w:tab w:val="left" w:pos="525"/>
        </w:tabs>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▲3、投标文件只允许有一个报价，有选择的或有条件的报价将不予接受。</w:t>
      </w:r>
    </w:p>
    <w:p>
      <w:pPr>
        <w:pStyle w:val="14"/>
        <w:numPr>
          <w:ilvl w:val="0"/>
          <w:numId w:val="4"/>
        </w:numPr>
        <w:snapToGrid w:val="0"/>
        <w:spacing w:before="120" w:beforeLines="50" w:line="440" w:lineRule="exact"/>
        <w:rPr>
          <w:rFonts w:hint="eastAsia" w:ascii="宋体" w:hAnsi="宋体" w:eastAsia="宋体" w:cs="宋体"/>
          <w:b/>
          <w:color w:val="auto"/>
          <w:szCs w:val="21"/>
        </w:rPr>
      </w:pPr>
      <w:r>
        <w:rPr>
          <w:rFonts w:hint="eastAsia" w:ascii="宋体" w:hAnsi="宋体" w:eastAsia="宋体" w:cs="宋体"/>
          <w:b/>
          <w:color w:val="auto"/>
          <w:szCs w:val="21"/>
        </w:rPr>
        <w:t>投标文件的有效期</w:t>
      </w:r>
    </w:p>
    <w:p>
      <w:pPr>
        <w:pStyle w:val="14"/>
        <w:snapToGrid w:val="0"/>
        <w:spacing w:before="120" w:beforeLines="50" w:line="440" w:lineRule="exact"/>
        <w:ind w:left="310" w:firstLine="0"/>
        <w:rPr>
          <w:rFonts w:hint="eastAsia" w:ascii="宋体" w:hAnsi="宋体" w:eastAsia="宋体" w:cs="宋体"/>
          <w:b/>
          <w:color w:val="auto"/>
          <w:szCs w:val="21"/>
        </w:rPr>
      </w:pPr>
      <w:r>
        <w:rPr>
          <w:rFonts w:hint="eastAsia" w:ascii="宋体" w:hAnsi="宋体" w:eastAsia="宋体" w:cs="宋体"/>
          <w:color w:val="auto"/>
          <w:szCs w:val="21"/>
        </w:rPr>
        <w:t>▲1、自投标截止日起</w:t>
      </w:r>
      <w:r>
        <w:rPr>
          <w:rFonts w:hint="eastAsia" w:ascii="宋体" w:hAnsi="宋体" w:eastAsia="宋体" w:cs="宋体"/>
          <w:color w:val="auto"/>
          <w:szCs w:val="21"/>
          <w:u w:val="single"/>
        </w:rPr>
        <w:t>90</w:t>
      </w:r>
      <w:r>
        <w:rPr>
          <w:rFonts w:hint="eastAsia" w:ascii="宋体" w:hAnsi="宋体" w:eastAsia="宋体" w:cs="宋体"/>
          <w:color w:val="auto"/>
          <w:szCs w:val="21"/>
        </w:rPr>
        <w:t>天投标文件应保持有效。有效期不足的投标文件将被拒绝。</w:t>
      </w:r>
    </w:p>
    <w:p>
      <w:pPr>
        <w:pStyle w:val="14"/>
        <w:numPr>
          <w:ilvl w:val="0"/>
          <w:numId w:val="5"/>
        </w:numPr>
        <w:snapToGrid w:val="0"/>
        <w:spacing w:line="440" w:lineRule="exact"/>
        <w:ind w:left="0" w:firstLine="525" w:firstLineChars="250"/>
        <w:rPr>
          <w:rFonts w:hint="eastAsia" w:ascii="宋体" w:hAnsi="宋体" w:eastAsia="宋体" w:cs="宋体"/>
          <w:color w:val="auto"/>
          <w:szCs w:val="21"/>
        </w:rPr>
      </w:pPr>
      <w:r>
        <w:rPr>
          <w:rFonts w:hint="eastAsia" w:ascii="宋体" w:hAnsi="宋体" w:eastAsia="宋体" w:cs="宋体"/>
          <w:color w:val="auto"/>
          <w:szCs w:val="21"/>
        </w:rPr>
        <w:t>在特殊情况下，招标人可与投标人协商延长投标书的有效期，这种要求和答复均以书面形式进行。</w:t>
      </w:r>
    </w:p>
    <w:p>
      <w:pPr>
        <w:pStyle w:val="14"/>
        <w:snapToGrid w:val="0"/>
        <w:spacing w:line="440" w:lineRule="exact"/>
        <w:ind w:left="0" w:firstLine="0"/>
        <w:rPr>
          <w:rFonts w:hint="eastAsia" w:ascii="宋体" w:hAnsi="宋体" w:eastAsia="宋体" w:cs="宋体"/>
          <w:color w:val="auto"/>
          <w:szCs w:val="21"/>
        </w:rPr>
      </w:pPr>
      <w:r>
        <w:rPr>
          <w:rFonts w:hint="eastAsia" w:ascii="宋体" w:hAnsi="宋体" w:eastAsia="宋体" w:cs="宋体"/>
          <w:color w:val="auto"/>
          <w:szCs w:val="21"/>
        </w:rPr>
        <w:t xml:space="preserve">     </w:t>
      </w:r>
      <w:bookmarkStart w:id="71" w:name="_Toc254970539"/>
      <w:bookmarkStart w:id="72" w:name="_Toc254970680"/>
      <w:r>
        <w:rPr>
          <w:rFonts w:hint="eastAsia" w:ascii="宋体" w:hAnsi="宋体" w:eastAsia="宋体" w:cs="宋体"/>
          <w:color w:val="auto"/>
          <w:szCs w:val="21"/>
        </w:rPr>
        <w:t>3、投标人可拒绝接受延期要求而不会导致投标保证金被没收。同意延长有效期的投标人需要相应延长投标保证金的有效期，但不能修改投标文件。</w:t>
      </w:r>
      <w:bookmarkEnd w:id="71"/>
      <w:bookmarkEnd w:id="72"/>
    </w:p>
    <w:p>
      <w:pPr>
        <w:spacing w:line="360" w:lineRule="auto"/>
        <w:ind w:firstLine="420" w:firstLineChars="200"/>
        <w:jc w:val="left"/>
        <w:rPr>
          <w:rFonts w:hint="eastAsia" w:ascii="宋体" w:hAnsi="宋体" w:eastAsia="宋体" w:cs="宋体"/>
          <w:color w:val="auto"/>
          <w:szCs w:val="21"/>
        </w:rPr>
      </w:pPr>
      <w:bookmarkStart w:id="73" w:name="_Toc254970540"/>
      <w:bookmarkStart w:id="74" w:name="_Toc254970681"/>
      <w:r>
        <w:rPr>
          <w:rFonts w:hint="eastAsia" w:ascii="宋体" w:hAnsi="宋体" w:eastAsia="宋体" w:cs="宋体"/>
          <w:color w:val="auto"/>
          <w:szCs w:val="21"/>
        </w:rPr>
        <w:t>4、中标人的投标文件自开标之日起至合同履行完毕止均应保持有效。</w:t>
      </w:r>
      <w:bookmarkEnd w:id="73"/>
      <w:bookmarkEnd w:id="74"/>
    </w:p>
    <w:p>
      <w:pPr>
        <w:ind w:firstLine="211" w:firstLineChars="100"/>
        <w:jc w:val="left"/>
        <w:rPr>
          <w:rFonts w:hint="eastAsia" w:ascii="宋体" w:hAnsi="宋体" w:eastAsia="宋体" w:cs="宋体"/>
          <w:b/>
          <w:bCs/>
          <w:color w:val="auto"/>
        </w:rPr>
      </w:pPr>
      <w:bookmarkStart w:id="75" w:name="_Toc254970682"/>
      <w:bookmarkStart w:id="76" w:name="_Toc254970541"/>
      <w:r>
        <w:rPr>
          <w:rFonts w:hint="eastAsia" w:ascii="宋体" w:hAnsi="宋体" w:eastAsia="宋体" w:cs="宋体"/>
          <w:b/>
          <w:bCs/>
          <w:color w:val="auto"/>
        </w:rPr>
        <w:t>（五）投标保证金</w:t>
      </w:r>
      <w:bookmarkEnd w:id="75"/>
      <w:bookmarkEnd w:id="76"/>
    </w:p>
    <w:p>
      <w:pPr>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▲1、投标人须按规定提交投标保证金。否则，其投标将被拒绝。</w:t>
      </w:r>
    </w:p>
    <w:p>
      <w:pPr>
        <w:snapToGrid w:val="0"/>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保证金交纳形式及要求：</w:t>
      </w:r>
      <w:r>
        <w:rPr>
          <w:rFonts w:hint="eastAsia" w:ascii="宋体" w:hAnsi="宋体" w:eastAsia="宋体" w:cs="宋体"/>
          <w:color w:val="auto"/>
          <w:szCs w:val="21"/>
          <w:u w:val="single"/>
        </w:rPr>
        <w:t>按照招标公告内容执行，过期不予受理，逾期自负。</w:t>
      </w:r>
    </w:p>
    <w:p>
      <w:pPr>
        <w:snapToGrid w:val="0"/>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    2、未中标人的投标保证金在中标通知书发出后5个工作日内退还。</w:t>
      </w:r>
    </w:p>
    <w:p>
      <w:pPr>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shd w:val="clear" w:color="auto" w:fill="FFFFFF"/>
        </w:rPr>
        <w:t>中标人的投标保证金在中标人与采购人签订合同并将合同送达代理机构处存档后五个工作日内退还。</w:t>
      </w:r>
    </w:p>
    <w:p>
      <w:pPr>
        <w:snapToGrid w:val="0"/>
        <w:spacing w:line="440" w:lineRule="exact"/>
        <w:ind w:firstLine="420" w:firstLineChars="200"/>
        <w:jc w:val="left"/>
        <w:rPr>
          <w:rFonts w:hint="eastAsia" w:ascii="宋体" w:hAnsi="宋体" w:eastAsia="宋体" w:cs="宋体"/>
          <w:b/>
          <w:color w:val="auto"/>
          <w:szCs w:val="21"/>
        </w:rPr>
      </w:pPr>
      <w:r>
        <w:rPr>
          <w:rFonts w:hint="eastAsia" w:ascii="宋体" w:hAnsi="宋体" w:eastAsia="宋体" w:cs="宋体"/>
          <w:color w:val="auto"/>
          <w:szCs w:val="21"/>
        </w:rPr>
        <w:t>4、保证金不计息。</w:t>
      </w:r>
    </w:p>
    <w:p>
      <w:pPr>
        <w:snapToGrid w:val="0"/>
        <w:spacing w:line="440" w:lineRule="exact"/>
        <w:ind w:firstLine="413" w:firstLineChars="196"/>
        <w:jc w:val="left"/>
        <w:rPr>
          <w:rFonts w:hint="eastAsia" w:ascii="宋体" w:hAnsi="宋体" w:eastAsia="宋体" w:cs="宋体"/>
          <w:b/>
          <w:bCs/>
          <w:color w:val="auto"/>
          <w:szCs w:val="21"/>
        </w:rPr>
      </w:pPr>
      <w:r>
        <w:rPr>
          <w:rFonts w:hint="eastAsia" w:ascii="宋体" w:hAnsi="宋体" w:eastAsia="宋体" w:cs="宋体"/>
          <w:b/>
          <w:bCs/>
          <w:color w:val="auto"/>
          <w:szCs w:val="21"/>
        </w:rPr>
        <w:t>5、投标人有下列情形之一的，投标保证金将不予退还：</w:t>
      </w:r>
    </w:p>
    <w:p>
      <w:pPr>
        <w:snapToGrid w:val="0"/>
        <w:spacing w:line="440" w:lineRule="exact"/>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rPr>
        <w:t>（1）投标人在投标有效期内撤回投标文件的；</w:t>
      </w:r>
    </w:p>
    <w:p>
      <w:pPr>
        <w:snapToGrid w:val="0"/>
        <w:spacing w:line="440" w:lineRule="exact"/>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rPr>
        <w:t>（2）未按规定提交履约保证金的；</w:t>
      </w:r>
    </w:p>
    <w:p>
      <w:pPr>
        <w:snapToGrid w:val="0"/>
        <w:spacing w:line="440" w:lineRule="exact"/>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rPr>
        <w:t>（3）投标人在投标过程中弄虚作假，提供虚假材料的；</w:t>
      </w:r>
    </w:p>
    <w:p>
      <w:pPr>
        <w:snapToGrid w:val="0"/>
        <w:spacing w:line="44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（4）中标人无正当理由不与采购人签订合同的；</w:t>
      </w:r>
    </w:p>
    <w:p>
      <w:pPr>
        <w:snapToGrid w:val="0"/>
        <w:spacing w:line="44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eastAsia="宋体" w:cs="宋体"/>
          <w:bCs/>
          <w:color w:val="auto"/>
          <w:szCs w:val="21"/>
        </w:rPr>
        <w:t>将中标项目转让给他人或者在投标文件中未说明且未经招标采购人同意，将中标项目分包给他人的；</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（6）拒绝履行合同义务的；</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（7）其他严重扰乱招投标程序的；</w:t>
      </w:r>
    </w:p>
    <w:p>
      <w:pPr>
        <w:ind w:firstLine="211" w:firstLineChars="100"/>
        <w:jc w:val="left"/>
        <w:rPr>
          <w:rFonts w:hint="eastAsia" w:ascii="宋体" w:hAnsi="宋体" w:eastAsia="宋体" w:cs="宋体"/>
          <w:b/>
          <w:bCs/>
          <w:color w:val="auto"/>
        </w:rPr>
      </w:pPr>
      <w:bookmarkStart w:id="77" w:name="_Toc254970542"/>
      <w:bookmarkStart w:id="78" w:name="_Toc254970683"/>
      <w:r>
        <w:rPr>
          <w:rFonts w:hint="eastAsia" w:ascii="宋体" w:hAnsi="宋体" w:eastAsia="宋体" w:cs="宋体"/>
          <w:b/>
          <w:bCs/>
          <w:color w:val="auto"/>
        </w:rPr>
        <w:t>（六）投标文件的签署和份数</w:t>
      </w:r>
      <w:bookmarkEnd w:id="77"/>
      <w:bookmarkEnd w:id="78"/>
    </w:p>
    <w:p>
      <w:pPr>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1、投标人应按本招标文件规定的格式和顺序编制、装订投标文件并标注页码，投标文件内容不完整、编排混乱导致投标文件被误读、漏读或者查找不到相关内容的，是投标人的责任。</w:t>
      </w:r>
    </w:p>
    <w:p>
      <w:pPr>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2、投标人将资格及商务文件、技术文件及报价文件按顺序装订成一本投标文件，正本1份，副本</w:t>
      </w:r>
      <w:r>
        <w:rPr>
          <w:rFonts w:hint="eastAsia" w:ascii="宋体" w:hAnsi="宋体" w:eastAsia="宋体" w:cs="宋体"/>
          <w:color w:val="auto"/>
          <w:szCs w:val="21"/>
          <w:u w:val="single"/>
        </w:rPr>
        <w:t>4</w:t>
      </w:r>
      <w:r>
        <w:rPr>
          <w:rFonts w:hint="eastAsia" w:ascii="宋体" w:hAnsi="宋体" w:eastAsia="宋体" w:cs="宋体"/>
          <w:color w:val="auto"/>
          <w:szCs w:val="21"/>
        </w:rPr>
        <w:t>份。投标文件的封面应注明“正本”、“副本”字样。活页装订的投标文件将被拒绝。</w:t>
      </w:r>
    </w:p>
    <w:p>
      <w:pPr>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3、投标文件的正本需打印或用不褪色的墨水填写，投标文件正本除本《投标人须知》中规定的可提供复印件外均须提供原件。副本可为正本的复印件。</w:t>
      </w:r>
    </w:p>
    <w:p>
      <w:pPr>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4、投标文件须由投标人在规定位置盖章并由法定代表人（负责人）或法定代表人（负责人）的授权委托人签署，投标人应写全称。</w:t>
      </w:r>
    </w:p>
    <w:p>
      <w:pPr>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5、投标文件不得涂改，若有修改错漏处，须加盖单位公章或者法定代表人（负责人）或授权委托人签字或盖章。投标文件因字迹潦草或表达不清所引起的后果由投标人负责。</w:t>
      </w:r>
    </w:p>
    <w:p>
      <w:pPr>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6、开标一览表如有跨页，每页必须有</w:t>
      </w:r>
      <w:r>
        <w:rPr>
          <w:rFonts w:hint="eastAsia" w:ascii="宋体" w:hAnsi="宋体" w:eastAsia="宋体" w:cs="宋体"/>
          <w:color w:val="auto"/>
          <w:szCs w:val="20"/>
        </w:rPr>
        <w:t>法定代表人（负责人）（负责人）或委托代理人签字并加盖投标人公章，否则投标无效。</w:t>
      </w:r>
    </w:p>
    <w:p>
      <w:pPr>
        <w:snapToGrid w:val="0"/>
        <w:spacing w:before="120" w:beforeLines="50" w:line="440" w:lineRule="exact"/>
        <w:ind w:firstLine="310" w:firstLineChars="147"/>
        <w:jc w:val="left"/>
        <w:rPr>
          <w:rFonts w:hint="eastAsia" w:ascii="宋体" w:hAnsi="宋体" w:eastAsia="宋体" w:cs="宋体"/>
          <w:b/>
          <w:color w:val="auto"/>
          <w:szCs w:val="21"/>
        </w:rPr>
      </w:pPr>
      <w:r>
        <w:rPr>
          <w:rFonts w:hint="eastAsia" w:ascii="宋体" w:hAnsi="宋体" w:eastAsia="宋体" w:cs="宋体"/>
          <w:b/>
          <w:color w:val="auto"/>
          <w:szCs w:val="21"/>
        </w:rPr>
        <w:t>（七）投标文件的包装、递交、修改和撤回</w:t>
      </w:r>
    </w:p>
    <w:p>
      <w:pPr>
        <w:snapToGrid w:val="0"/>
        <w:spacing w:line="440" w:lineRule="exact"/>
        <w:ind w:firstLine="420" w:firstLineChars="200"/>
        <w:jc w:val="left"/>
        <w:rPr>
          <w:rFonts w:hint="eastAsia" w:ascii="宋体" w:hAnsi="宋体" w:eastAsia="宋体" w:cs="宋体"/>
          <w:color w:val="auto"/>
          <w:szCs w:val="21"/>
        </w:rPr>
      </w:pPr>
      <w:bookmarkStart w:id="79" w:name="_Toc254970543"/>
      <w:bookmarkStart w:id="80" w:name="_Toc254970684"/>
      <w:r>
        <w:rPr>
          <w:rFonts w:hint="eastAsia" w:ascii="宋体" w:hAnsi="宋体" w:eastAsia="宋体" w:cs="宋体"/>
          <w:color w:val="auto"/>
          <w:szCs w:val="21"/>
        </w:rPr>
        <w:t>1、投标文件的正副本全部密封在一个投标文件袋（盒、箱），封口处必须加盖投标人单位公章。投标文件的的投标文件袋（盒、箱）的封面上应注明投标人名称、投标人地址、项目名称、项目编号、标项（如有）及“在  年  月  日  时  分之前不得启封”字样，并加盖投标人公章。</w:t>
      </w:r>
    </w:p>
    <w:p>
      <w:pPr>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snapToGrid w:val="0"/>
        <w:spacing w:before="120" w:beforeLines="50" w:line="44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3、未按规定密封或标记的投标文件将被拒绝，由此造成投标文件被误投、拒收或提前拆封的风险由投标人承担。</w:t>
      </w:r>
    </w:p>
    <w:p>
      <w:pPr>
        <w:ind w:firstLine="211" w:firstLineChars="100"/>
        <w:rPr>
          <w:rFonts w:hint="eastAsia" w:ascii="宋体" w:hAnsi="宋体" w:eastAsia="宋体" w:cs="宋体"/>
          <w:b/>
          <w:bCs/>
          <w:color w:val="auto"/>
        </w:rPr>
      </w:pPr>
      <w:r>
        <w:rPr>
          <w:rFonts w:hint="eastAsia" w:ascii="宋体" w:hAnsi="宋体" w:eastAsia="宋体" w:cs="宋体"/>
          <w:b/>
          <w:bCs/>
          <w:color w:val="auto"/>
        </w:rPr>
        <w:t>（八）投标无效的情形</w:t>
      </w:r>
      <w:bookmarkEnd w:id="79"/>
      <w:bookmarkEnd w:id="80"/>
    </w:p>
    <w:p>
      <w:pPr>
        <w:snapToGrid w:val="0"/>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实质上没有响应招标文件要求的投标将被视为无效投标。投标人不得通过修正或撤消不合要求的偏离或保留从而使其投标成为实质上响应的投标。</w:t>
      </w:r>
    </w:p>
    <w:p>
      <w:pPr>
        <w:snapToGrid w:val="0"/>
        <w:spacing w:line="440" w:lineRule="exact"/>
        <w:ind w:firstLine="413" w:firstLineChars="196"/>
        <w:rPr>
          <w:rFonts w:hint="eastAsia" w:ascii="宋体" w:hAnsi="宋体" w:eastAsia="宋体" w:cs="宋体"/>
          <w:b/>
          <w:color w:val="auto"/>
          <w:szCs w:val="21"/>
        </w:rPr>
      </w:pPr>
      <w:r>
        <w:rPr>
          <w:rFonts w:hint="eastAsia" w:ascii="宋体" w:hAnsi="宋体" w:eastAsia="宋体" w:cs="宋体"/>
          <w:b/>
          <w:bCs/>
          <w:color w:val="auto"/>
          <w:szCs w:val="21"/>
        </w:rPr>
        <w:t>1、投</w:t>
      </w:r>
      <w:r>
        <w:rPr>
          <w:rFonts w:hint="eastAsia" w:ascii="宋体" w:hAnsi="宋体" w:eastAsia="宋体" w:cs="宋体"/>
          <w:b/>
          <w:color w:val="auto"/>
          <w:szCs w:val="21"/>
        </w:rPr>
        <w:t>标文件未按照规定装订或密封的，或开标会上检查资料不完善的，其投标文件将被视为无效。</w:t>
      </w:r>
    </w:p>
    <w:p>
      <w:pPr>
        <w:snapToGrid w:val="0"/>
        <w:spacing w:line="440" w:lineRule="exact"/>
        <w:ind w:firstLine="413" w:firstLineChars="196"/>
        <w:rPr>
          <w:rFonts w:hint="eastAsia" w:ascii="宋体" w:hAnsi="宋体" w:eastAsia="宋体" w:cs="宋体"/>
          <w:b/>
          <w:bCs/>
          <w:color w:val="auto"/>
          <w:szCs w:val="21"/>
        </w:rPr>
      </w:pPr>
      <w:r>
        <w:rPr>
          <w:rFonts w:hint="eastAsia" w:ascii="宋体" w:hAnsi="宋体" w:eastAsia="宋体" w:cs="宋体"/>
          <w:b/>
          <w:bCs/>
          <w:color w:val="auto"/>
          <w:szCs w:val="21"/>
        </w:rPr>
        <w:t>2、在符合性审查和资格性审查时，如发现下列情形之一的，投标文件将被视为无效：</w:t>
      </w:r>
    </w:p>
    <w:p>
      <w:pPr>
        <w:snapToGrid w:val="0"/>
        <w:spacing w:line="44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（1）超越了按照法律法规规定必须获得行政许可或者行政审批的经营范围的；</w:t>
      </w:r>
    </w:p>
    <w:p>
      <w:pPr>
        <w:snapToGrid w:val="0"/>
        <w:spacing w:line="44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（2）资格证明文件不全的，或者不符合招标文件标明的资格要求的</w:t>
      </w:r>
    </w:p>
    <w:p>
      <w:pPr>
        <w:snapToGrid w:val="0"/>
        <w:spacing w:line="44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（3）投标文件无法定代表人（负责人）签字，或未提供法定代表人（负责人）授权委托书、投标声明书或者填写项目不齐全的；</w:t>
      </w:r>
    </w:p>
    <w:p>
      <w:pPr>
        <w:snapToGrid w:val="0"/>
        <w:spacing w:line="44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 xml:space="preserve">（4）投标代表人未能出具身份证明或与法定代表人（负责人）授权委托人身份不符的； </w:t>
      </w:r>
    </w:p>
    <w:p>
      <w:pPr>
        <w:pStyle w:val="21"/>
        <w:snapToGrid w:val="0"/>
        <w:spacing w:line="440" w:lineRule="exact"/>
        <w:ind w:firstLine="411" w:firstLineChars="19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（5）内容虚假的；</w:t>
      </w:r>
    </w:p>
    <w:p>
      <w:pPr>
        <w:pStyle w:val="21"/>
        <w:snapToGrid w:val="0"/>
        <w:spacing w:line="440" w:lineRule="exact"/>
        <w:ind w:firstLine="411" w:firstLineChars="19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（6）投标文件的实质性内容未使用中文表述、意思表述不明确、前后矛盾或者使用计量单位不符合招标文件要求的；</w:t>
      </w:r>
    </w:p>
    <w:p>
      <w:pPr>
        <w:pStyle w:val="21"/>
        <w:snapToGrid w:val="0"/>
        <w:spacing w:line="440" w:lineRule="exact"/>
        <w:ind w:firstLine="411" w:firstLineChars="19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（7）投标有效期、交付使用时间、质保期等商务条款不能满足招标文件要求的；</w:t>
      </w:r>
    </w:p>
    <w:p>
      <w:pPr>
        <w:pStyle w:val="21"/>
        <w:snapToGrid w:val="0"/>
        <w:spacing w:line="440" w:lineRule="exact"/>
        <w:ind w:firstLine="411" w:firstLineChars="196"/>
        <w:rPr>
          <w:rFonts w:hint="eastAsia" w:ascii="宋体" w:hAnsi="宋体" w:eastAsia="宋体" w:cs="宋体"/>
          <w:color w:val="auto"/>
          <w:sz w:val="21"/>
          <w:szCs w:val="21"/>
        </w:rPr>
      </w:pPr>
      <w:r>
        <w:rPr>
          <w:rFonts w:hint="eastAsia" w:ascii="宋体" w:hAnsi="宋体" w:eastAsia="宋体" w:cs="宋体"/>
          <w:color w:val="auto"/>
          <w:spacing w:val="0"/>
          <w:sz w:val="21"/>
          <w:szCs w:val="21"/>
        </w:rPr>
        <w:t>（8）未</w:t>
      </w:r>
      <w:r>
        <w:rPr>
          <w:rFonts w:hint="eastAsia" w:ascii="宋体" w:hAnsi="宋体" w:eastAsia="宋体" w:cs="宋体"/>
          <w:color w:val="auto"/>
          <w:sz w:val="21"/>
          <w:szCs w:val="21"/>
        </w:rPr>
        <w:t>实质性响应招标文件要求或者投标文件有采购人不能接受的附加条件的；</w:t>
      </w:r>
    </w:p>
    <w:p>
      <w:pPr>
        <w:pStyle w:val="21"/>
        <w:snapToGrid w:val="0"/>
        <w:spacing w:line="440" w:lineRule="exact"/>
        <w:ind w:firstLine="395" w:firstLineChars="196"/>
        <w:rPr>
          <w:rFonts w:hint="eastAsia" w:ascii="宋体" w:hAnsi="宋体" w:eastAsia="宋体" w:cs="宋体"/>
          <w:color w:val="auto"/>
          <w:sz w:val="21"/>
          <w:szCs w:val="21"/>
        </w:rPr>
      </w:pPr>
      <w:r>
        <w:rPr>
          <w:rFonts w:hint="eastAsia" w:ascii="宋体" w:hAnsi="宋体" w:eastAsia="宋体" w:cs="宋体"/>
          <w:color w:val="auto"/>
          <w:sz w:val="21"/>
          <w:szCs w:val="21"/>
        </w:rPr>
        <w:t>（9）未按招标文件要求签字盖章的。</w:t>
      </w:r>
    </w:p>
    <w:p>
      <w:pPr>
        <w:pStyle w:val="21"/>
        <w:snapToGrid w:val="0"/>
        <w:spacing w:line="440" w:lineRule="exact"/>
        <w:ind w:firstLine="398" w:firstLineChars="196"/>
        <w:rPr>
          <w:rFonts w:hint="eastAsia" w:ascii="宋体" w:hAnsi="宋体" w:eastAsia="宋体" w:cs="宋体"/>
          <w:b/>
          <w:bCs/>
          <w:color w:val="auto"/>
          <w:sz w:val="21"/>
          <w:szCs w:val="21"/>
        </w:rPr>
      </w:pPr>
      <w:r>
        <w:rPr>
          <w:rFonts w:hint="eastAsia" w:ascii="宋体" w:hAnsi="宋体" w:eastAsia="宋体" w:cs="宋体"/>
          <w:b/>
          <w:bCs/>
          <w:color w:val="auto"/>
          <w:sz w:val="21"/>
          <w:szCs w:val="21"/>
        </w:rPr>
        <w:t>2、在技术评审时，如发现下列情形之一的，投标文件将被视为无效：</w:t>
      </w:r>
    </w:p>
    <w:p>
      <w:pPr>
        <w:pStyle w:val="21"/>
        <w:snapToGrid w:val="0"/>
        <w:spacing w:line="440" w:lineRule="exact"/>
        <w:ind w:firstLine="395" w:firstLineChars="196"/>
        <w:rPr>
          <w:rFonts w:hint="eastAsia" w:ascii="宋体" w:hAnsi="宋体" w:eastAsia="宋体" w:cs="宋体"/>
          <w:color w:val="auto"/>
          <w:sz w:val="21"/>
          <w:szCs w:val="21"/>
        </w:rPr>
      </w:pPr>
      <w:r>
        <w:rPr>
          <w:rFonts w:hint="eastAsia" w:ascii="宋体" w:hAnsi="宋体" w:eastAsia="宋体" w:cs="宋体"/>
          <w:color w:val="auto"/>
          <w:sz w:val="21"/>
          <w:szCs w:val="21"/>
        </w:rPr>
        <w:t>（1）未提供售后服务实施方案或其方案不切实可行的；</w:t>
      </w:r>
    </w:p>
    <w:p>
      <w:pPr>
        <w:pStyle w:val="21"/>
        <w:snapToGrid w:val="0"/>
        <w:spacing w:line="440" w:lineRule="exact"/>
        <w:ind w:firstLine="0"/>
        <w:rPr>
          <w:rFonts w:hint="eastAsia" w:ascii="宋体" w:hAnsi="宋体" w:eastAsia="宋体" w:cs="宋体"/>
          <w:color w:val="auto"/>
          <w:sz w:val="21"/>
          <w:szCs w:val="21"/>
        </w:rPr>
      </w:pPr>
      <w:r>
        <w:rPr>
          <w:rFonts w:hint="eastAsia" w:ascii="宋体" w:hAnsi="宋体" w:eastAsia="宋体" w:cs="宋体"/>
          <w:color w:val="auto"/>
          <w:sz w:val="21"/>
          <w:szCs w:val="21"/>
        </w:rPr>
        <w:t xml:space="preserve">    （2）投标技术方案不明确，存在一个或一个以上备选（替代）投标方案的；</w:t>
      </w:r>
    </w:p>
    <w:p>
      <w:pPr>
        <w:pStyle w:val="21"/>
        <w:snapToGrid w:val="0"/>
        <w:spacing w:line="440" w:lineRule="exact"/>
        <w:ind w:firstLine="398" w:firstLineChars="196"/>
        <w:rPr>
          <w:rFonts w:hint="eastAsia" w:ascii="宋体" w:hAnsi="宋体" w:eastAsia="宋体" w:cs="宋体"/>
          <w:b/>
          <w:bCs/>
          <w:color w:val="auto"/>
          <w:sz w:val="21"/>
          <w:szCs w:val="21"/>
        </w:rPr>
      </w:pPr>
      <w:r>
        <w:rPr>
          <w:rFonts w:hint="eastAsia" w:ascii="宋体" w:hAnsi="宋体" w:eastAsia="宋体" w:cs="宋体"/>
          <w:b/>
          <w:bCs/>
          <w:color w:val="auto"/>
          <w:sz w:val="21"/>
          <w:szCs w:val="21"/>
        </w:rPr>
        <w:t>3、在报价评审时，如发现下列情形之一的，投标文件将被视为无效：</w:t>
      </w:r>
    </w:p>
    <w:p>
      <w:pPr>
        <w:pStyle w:val="21"/>
        <w:snapToGrid w:val="0"/>
        <w:spacing w:line="440" w:lineRule="exact"/>
        <w:ind w:firstLine="395" w:firstLineChars="196"/>
        <w:rPr>
          <w:rFonts w:hint="eastAsia" w:ascii="宋体" w:hAnsi="宋体" w:eastAsia="宋体" w:cs="宋体"/>
          <w:color w:val="auto"/>
          <w:sz w:val="21"/>
          <w:szCs w:val="21"/>
        </w:rPr>
      </w:pPr>
      <w:r>
        <w:rPr>
          <w:rFonts w:hint="eastAsia" w:ascii="宋体" w:hAnsi="宋体" w:eastAsia="宋体" w:cs="宋体"/>
          <w:bCs/>
          <w:color w:val="auto"/>
          <w:sz w:val="21"/>
          <w:szCs w:val="21"/>
        </w:rPr>
        <w:t>（</w:t>
      </w:r>
      <w:r>
        <w:rPr>
          <w:rFonts w:hint="eastAsia" w:ascii="宋体" w:hAnsi="宋体" w:eastAsia="宋体" w:cs="宋体"/>
          <w:color w:val="auto"/>
          <w:sz w:val="21"/>
          <w:szCs w:val="21"/>
        </w:rPr>
        <w:t>1）未采用人民币报价或者未按照招标文件标明的币种报价的；</w:t>
      </w:r>
    </w:p>
    <w:p>
      <w:pPr>
        <w:pStyle w:val="21"/>
        <w:snapToGrid w:val="0"/>
        <w:spacing w:line="440" w:lineRule="exact"/>
        <w:ind w:firstLine="395" w:firstLineChars="196"/>
        <w:rPr>
          <w:rFonts w:hint="eastAsia" w:ascii="宋体" w:hAnsi="宋体" w:eastAsia="宋体" w:cs="宋体"/>
          <w:color w:val="auto"/>
          <w:sz w:val="21"/>
          <w:szCs w:val="21"/>
        </w:rPr>
      </w:pPr>
      <w:r>
        <w:rPr>
          <w:rFonts w:hint="eastAsia" w:ascii="宋体" w:hAnsi="宋体" w:eastAsia="宋体" w:cs="宋体"/>
          <w:color w:val="auto"/>
          <w:sz w:val="21"/>
          <w:szCs w:val="21"/>
        </w:rPr>
        <w:t>（2）报价不符合招标文件要求，或者超出</w:t>
      </w:r>
      <w:bookmarkStart w:id="81" w:name="OLE_LINK2"/>
      <w:r>
        <w:rPr>
          <w:rFonts w:hint="eastAsia" w:ascii="宋体" w:hAnsi="宋体" w:eastAsia="宋体" w:cs="宋体"/>
          <w:color w:val="auto"/>
          <w:sz w:val="21"/>
          <w:szCs w:val="21"/>
        </w:rPr>
        <w:t>采购预算</w:t>
      </w:r>
      <w:bookmarkEnd w:id="81"/>
      <w:r>
        <w:rPr>
          <w:rFonts w:hint="eastAsia" w:ascii="宋体" w:hAnsi="宋体" w:eastAsia="宋体" w:cs="宋体"/>
          <w:color w:val="auto"/>
          <w:sz w:val="21"/>
          <w:szCs w:val="21"/>
        </w:rPr>
        <w:t>金额，采购人不能支付的；</w:t>
      </w:r>
    </w:p>
    <w:p>
      <w:pPr>
        <w:pStyle w:val="21"/>
        <w:snapToGrid w:val="0"/>
        <w:spacing w:line="440" w:lineRule="exact"/>
        <w:ind w:firstLine="404"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（3）投标报价具有选择性，或者开标价格与投标文件承诺的优惠（折扣）价格不一致的；</w:t>
      </w:r>
    </w:p>
    <w:p>
      <w:pPr>
        <w:pStyle w:val="21"/>
        <w:snapToGrid w:val="0"/>
        <w:spacing w:line="440" w:lineRule="exact"/>
        <w:ind w:firstLine="404" w:firstLineChars="200"/>
        <w:rPr>
          <w:rFonts w:hint="eastAsia" w:ascii="宋体" w:hAnsi="宋体" w:eastAsia="宋体" w:cs="宋体"/>
          <w:color w:val="auto"/>
          <w:sz w:val="21"/>
          <w:szCs w:val="21"/>
        </w:rPr>
      </w:pPr>
      <w:r>
        <w:rPr>
          <w:rFonts w:hint="eastAsia" w:ascii="宋体" w:hAnsi="宋体" w:eastAsia="宋体" w:cs="宋体"/>
          <w:color w:val="auto"/>
          <w:sz w:val="21"/>
          <w:szCs w:val="21"/>
        </w:rPr>
        <w:t>（4）为了保证本项目的完成质量，防止不能诚信履约，本项目报价低于（含）预算价的</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0%的，经评标委员会审核为严重不平衡、不合理报价的。</w:t>
      </w:r>
    </w:p>
    <w:p>
      <w:pPr>
        <w:pStyle w:val="21"/>
        <w:snapToGrid w:val="0"/>
        <w:spacing w:line="440" w:lineRule="exact"/>
        <w:ind w:firstLine="398" w:firstLineChars="196"/>
        <w:outlineLvl w:val="1"/>
        <w:rPr>
          <w:rFonts w:hint="eastAsia" w:ascii="宋体" w:hAnsi="宋体" w:eastAsia="宋体" w:cs="宋体"/>
          <w:b/>
          <w:snapToGrid w:val="0"/>
          <w:color w:val="auto"/>
          <w:sz w:val="21"/>
          <w:szCs w:val="21"/>
        </w:rPr>
      </w:pPr>
      <w:bookmarkStart w:id="82" w:name="_Toc254970685"/>
      <w:bookmarkStart w:id="83" w:name="_Toc254970544"/>
      <w:r>
        <w:rPr>
          <w:rFonts w:hint="eastAsia" w:ascii="宋体" w:hAnsi="宋体" w:eastAsia="宋体" w:cs="宋体"/>
          <w:b/>
          <w:color w:val="auto"/>
          <w:sz w:val="21"/>
          <w:szCs w:val="21"/>
        </w:rPr>
        <w:t>四、开标</w:t>
      </w:r>
      <w:bookmarkEnd w:id="82"/>
      <w:bookmarkEnd w:id="83"/>
    </w:p>
    <w:p>
      <w:pPr>
        <w:pStyle w:val="25"/>
        <w:snapToGrid w:val="0"/>
        <w:spacing w:line="440" w:lineRule="exact"/>
        <w:ind w:firstLine="413" w:firstLineChars="196"/>
        <w:rPr>
          <w:rFonts w:hint="eastAsia" w:ascii="宋体" w:hAnsi="宋体" w:eastAsia="宋体" w:cs="宋体"/>
          <w:b/>
          <w:color w:val="auto"/>
          <w:szCs w:val="21"/>
        </w:rPr>
      </w:pPr>
      <w:r>
        <w:rPr>
          <w:rFonts w:hint="eastAsia" w:ascii="宋体" w:hAnsi="宋体" w:eastAsia="宋体" w:cs="宋体"/>
          <w:b/>
          <w:color w:val="auto"/>
          <w:szCs w:val="21"/>
        </w:rPr>
        <w:t>（一）开标准备</w:t>
      </w:r>
    </w:p>
    <w:p>
      <w:pPr>
        <w:snapToGrid w:val="0"/>
        <w:spacing w:line="400" w:lineRule="exact"/>
        <w:rPr>
          <w:rFonts w:hint="eastAsia" w:ascii="宋体" w:hAnsi="宋体" w:eastAsia="宋体" w:cs="宋体"/>
          <w:color w:val="auto"/>
          <w:kern w:val="0"/>
          <w:szCs w:val="21"/>
        </w:rPr>
      </w:pPr>
      <w:r>
        <w:rPr>
          <w:rFonts w:hint="eastAsia" w:ascii="宋体" w:hAnsi="宋体" w:eastAsia="宋体" w:cs="宋体"/>
          <w:color w:val="auto"/>
          <w:spacing w:val="2"/>
        </w:rPr>
        <w:t>招标人将于招标文件规定的开标时间在</w:t>
      </w:r>
      <w:r>
        <w:rPr>
          <w:rFonts w:hint="eastAsia" w:ascii="宋体" w:hAnsi="宋体" w:eastAsia="宋体" w:cs="宋体"/>
          <w:color w:val="auto"/>
          <w:szCs w:val="21"/>
          <w:u w:val="single"/>
        </w:rPr>
        <w:t>贵港市公共资源交易中心开标厅（贵港市港北区金城商业步行街与金田路交叉口东南150米水利大厦）</w:t>
      </w:r>
      <w:r>
        <w:rPr>
          <w:rFonts w:hint="eastAsia" w:ascii="宋体" w:hAnsi="宋体" w:eastAsia="宋体" w:cs="宋体"/>
          <w:color w:val="auto"/>
          <w:spacing w:val="2"/>
        </w:rPr>
        <w:t>开标，</w:t>
      </w:r>
      <w:r>
        <w:rPr>
          <w:rFonts w:hint="eastAsia" w:ascii="宋体" w:hAnsi="宋体" w:eastAsia="宋体" w:cs="宋体"/>
          <w:color w:val="auto"/>
          <w:kern w:val="0"/>
          <w:szCs w:val="21"/>
        </w:rPr>
        <w:t>参加开标会的法定代表人（负责人）或委托代理人必须持以下证件：</w:t>
      </w:r>
      <w:r>
        <w:rPr>
          <w:rFonts w:hint="eastAsia" w:ascii="宋体" w:hAnsi="宋体" w:eastAsia="宋体" w:cs="宋体"/>
          <w:color w:val="auto"/>
          <w:szCs w:val="21"/>
        </w:rPr>
        <w:t>投标供应商的法定代表人（负责人）或被授权人必须持证件[</w:t>
      </w:r>
      <w:r>
        <w:rPr>
          <w:rFonts w:hint="eastAsia" w:ascii="宋体" w:hAnsi="宋体" w:eastAsia="宋体" w:cs="宋体"/>
          <w:color w:val="auto"/>
          <w:szCs w:val="21"/>
          <w:u w:val="single"/>
        </w:rPr>
        <w:t>法定代表人（负责人）出席</w:t>
      </w:r>
      <w:r>
        <w:rPr>
          <w:rFonts w:hint="eastAsia" w:ascii="宋体" w:hAnsi="宋体" w:eastAsia="宋体" w:cs="宋体"/>
          <w:color w:val="auto"/>
          <w:szCs w:val="21"/>
        </w:rPr>
        <w:t>须携带法人代表身份证原件、法人身份证明、有效的营业执照复印件（加盖公章）；</w:t>
      </w:r>
      <w:r>
        <w:rPr>
          <w:rFonts w:hint="eastAsia" w:ascii="宋体" w:hAnsi="宋体" w:eastAsia="宋体" w:cs="宋体"/>
          <w:color w:val="auto"/>
          <w:szCs w:val="21"/>
          <w:u w:val="single"/>
        </w:rPr>
        <w:t>被授权人出席</w:t>
      </w:r>
      <w:r>
        <w:rPr>
          <w:rFonts w:hint="eastAsia" w:ascii="宋体" w:hAnsi="宋体" w:eastAsia="宋体" w:cs="宋体"/>
          <w:color w:val="auto"/>
          <w:szCs w:val="21"/>
        </w:rPr>
        <w:t>须携带授权委托书原件及代理人身份证原件、有效的营业执照副本复印件（加盖公章），</w:t>
      </w:r>
      <w:r>
        <w:rPr>
          <w:rFonts w:hint="eastAsia" w:ascii="宋体" w:hAnsi="宋体" w:eastAsia="宋体" w:cs="宋体"/>
          <w:color w:val="auto"/>
          <w:kern w:val="0"/>
        </w:rPr>
        <w:t>准时出席。</w:t>
      </w:r>
      <w:r>
        <w:rPr>
          <w:rFonts w:hint="eastAsia" w:ascii="宋体" w:hAnsi="宋体" w:eastAsia="宋体" w:cs="宋体"/>
          <w:color w:val="auto"/>
          <w:kern w:val="0"/>
          <w:szCs w:val="21"/>
        </w:rPr>
        <w:t>如不按上述规定提交开标会检查的证件资料，投标文件将被拒收。由此带来的后果由投标人自行负责。</w:t>
      </w:r>
    </w:p>
    <w:p>
      <w:pPr>
        <w:pStyle w:val="25"/>
        <w:snapToGrid w:val="0"/>
        <w:spacing w:line="440" w:lineRule="exact"/>
        <w:ind w:firstLine="413" w:firstLineChars="196"/>
        <w:rPr>
          <w:rFonts w:hint="eastAsia" w:ascii="宋体" w:hAnsi="宋体" w:eastAsia="宋体" w:cs="宋体"/>
          <w:b/>
          <w:color w:val="auto"/>
          <w:szCs w:val="21"/>
        </w:rPr>
      </w:pPr>
      <w:r>
        <w:rPr>
          <w:rFonts w:hint="eastAsia" w:ascii="宋体" w:hAnsi="宋体" w:eastAsia="宋体" w:cs="宋体"/>
          <w:b/>
          <w:color w:val="auto"/>
          <w:szCs w:val="21"/>
        </w:rPr>
        <w:t>（二） 开标程序：</w:t>
      </w:r>
    </w:p>
    <w:p>
      <w:pPr>
        <w:pStyle w:val="25"/>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1、开标会由采购代理机构主持，主持人宣布开标会议开始；</w:t>
      </w:r>
    </w:p>
    <w:p>
      <w:pPr>
        <w:pStyle w:val="25"/>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2、主持人介绍参加开标会的人员名单； </w:t>
      </w:r>
    </w:p>
    <w:p>
      <w:pPr>
        <w:pStyle w:val="25"/>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3、主持人宣布评标期间的有关事项；告知应当回避的情形，提请有关人员回避。</w:t>
      </w:r>
    </w:p>
    <w:p>
      <w:pPr>
        <w:spacing w:line="420" w:lineRule="exact"/>
        <w:ind w:leftChars="-6" w:hanging="12" w:hangingChars="6"/>
        <w:rPr>
          <w:rFonts w:hint="eastAsia" w:ascii="宋体" w:hAnsi="宋体" w:eastAsia="宋体" w:cs="宋体"/>
          <w:b/>
          <w:color w:val="auto"/>
          <w:szCs w:val="21"/>
        </w:rPr>
      </w:pPr>
      <w:r>
        <w:rPr>
          <w:rFonts w:hint="eastAsia" w:ascii="宋体" w:hAnsi="宋体" w:eastAsia="宋体" w:cs="宋体"/>
          <w:bCs/>
          <w:color w:val="auto"/>
          <w:spacing w:val="2"/>
        </w:rPr>
        <w:t xml:space="preserve">    5、招标人或招标代理机构代表和监标人员一同检验参加开标会的各投标人法定代表人（负责人）或其授权代理人的资格证件。参加开标会的法定代表人（负责人）或委托代理人的开标资料证件。</w:t>
      </w:r>
    </w:p>
    <w:p>
      <w:pPr>
        <w:pStyle w:val="25"/>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6、投标人代表或者招标招标单位委托的公证机构检查投标文件密封的完整性并签字确认；</w:t>
      </w:r>
    </w:p>
    <w:p>
      <w:pPr>
        <w:pStyle w:val="25"/>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7、按各投标人提交投标文件时间的先后顺序或随机顺序打开资信/商务文件、技术文件外包装，清点投标文件正本、副本数量；</w:t>
      </w:r>
    </w:p>
    <w:p>
      <w:pPr>
        <w:pStyle w:val="25"/>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8、唱标；</w:t>
      </w:r>
    </w:p>
    <w:p>
      <w:pPr>
        <w:pStyle w:val="25"/>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9、采购代理机构做开标记录， 投标人代表对开标记录进行当场校核及勘误，并签字确认；同时由记录人、采购人代表当场签字确认。投标人代表未到场签字确认或者拒绝签字确认的，不影响评标过程。</w:t>
      </w:r>
    </w:p>
    <w:p>
      <w:pPr>
        <w:pStyle w:val="25"/>
        <w:snapToGrid w:val="0"/>
        <w:spacing w:line="440" w:lineRule="exact"/>
        <w:ind w:left="689" w:leftChars="228" w:hanging="210" w:hangingChars="100"/>
        <w:rPr>
          <w:rFonts w:hint="eastAsia" w:ascii="宋体" w:hAnsi="宋体" w:eastAsia="宋体" w:cs="宋体"/>
          <w:color w:val="auto"/>
          <w:szCs w:val="21"/>
        </w:rPr>
      </w:pPr>
      <w:r>
        <w:rPr>
          <w:rFonts w:hint="eastAsia" w:ascii="宋体" w:hAnsi="宋体" w:eastAsia="宋体" w:cs="宋体"/>
          <w:color w:val="auto"/>
          <w:szCs w:val="21"/>
        </w:rPr>
        <w:t>10、开标会议结束。</w:t>
      </w:r>
    </w:p>
    <w:p>
      <w:pPr>
        <w:pStyle w:val="25"/>
        <w:snapToGrid w:val="0"/>
        <w:spacing w:line="440" w:lineRule="exact"/>
        <w:ind w:left="772" w:leftChars="267" w:hanging="211" w:hangingChars="100"/>
        <w:outlineLvl w:val="1"/>
        <w:rPr>
          <w:rFonts w:hint="eastAsia" w:ascii="宋体" w:hAnsi="宋体" w:eastAsia="宋体" w:cs="宋体"/>
          <w:b/>
          <w:color w:val="auto"/>
          <w:szCs w:val="21"/>
        </w:rPr>
      </w:pPr>
      <w:bookmarkStart w:id="84" w:name="_Toc254970545"/>
      <w:bookmarkStart w:id="85" w:name="_Toc254970686"/>
      <w:r>
        <w:rPr>
          <w:rFonts w:hint="eastAsia" w:ascii="宋体" w:hAnsi="宋体" w:eastAsia="宋体" w:cs="宋体"/>
          <w:b/>
          <w:color w:val="auto"/>
          <w:szCs w:val="21"/>
        </w:rPr>
        <w:t>五、评标</w:t>
      </w:r>
      <w:bookmarkEnd w:id="84"/>
      <w:bookmarkEnd w:id="85"/>
    </w:p>
    <w:p>
      <w:pPr>
        <w:pStyle w:val="25"/>
        <w:snapToGrid w:val="0"/>
        <w:spacing w:line="440" w:lineRule="exact"/>
        <w:ind w:left="690" w:leftChars="228" w:hanging="211" w:hangingChars="100"/>
        <w:rPr>
          <w:rFonts w:hint="eastAsia" w:ascii="宋体" w:hAnsi="宋体" w:eastAsia="宋体" w:cs="宋体"/>
          <w:b/>
          <w:color w:val="auto"/>
          <w:szCs w:val="21"/>
        </w:rPr>
      </w:pPr>
      <w:r>
        <w:rPr>
          <w:rFonts w:hint="eastAsia" w:ascii="宋体" w:hAnsi="宋体" w:eastAsia="宋体" w:cs="宋体"/>
          <w:b/>
          <w:color w:val="auto"/>
          <w:szCs w:val="21"/>
        </w:rPr>
        <w:t>（一）组建评标委员会</w:t>
      </w:r>
    </w:p>
    <w:p>
      <w:pPr>
        <w:pStyle w:val="25"/>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本项目评标委员会由政府采购评审专家及采购人代表共</w:t>
      </w:r>
      <w:r>
        <w:rPr>
          <w:rFonts w:hint="eastAsia" w:ascii="宋体" w:hAnsi="宋体" w:eastAsia="宋体" w:cs="宋体"/>
          <w:color w:val="auto"/>
          <w:szCs w:val="21"/>
          <w:u w:val="single"/>
        </w:rPr>
        <w:t>5</w:t>
      </w:r>
      <w:r>
        <w:rPr>
          <w:rFonts w:hint="eastAsia" w:ascii="宋体" w:hAnsi="宋体" w:eastAsia="宋体" w:cs="宋体"/>
          <w:color w:val="auto"/>
          <w:szCs w:val="21"/>
        </w:rPr>
        <w:t>人组成。</w:t>
      </w:r>
    </w:p>
    <w:p>
      <w:pPr>
        <w:pStyle w:val="25"/>
        <w:snapToGrid w:val="0"/>
        <w:spacing w:line="440" w:lineRule="exact"/>
        <w:ind w:left="690" w:leftChars="228" w:hanging="211" w:hangingChars="100"/>
        <w:rPr>
          <w:rFonts w:hint="eastAsia" w:ascii="宋体" w:hAnsi="宋体" w:eastAsia="宋体" w:cs="宋体"/>
          <w:b/>
          <w:color w:val="auto"/>
          <w:szCs w:val="21"/>
        </w:rPr>
      </w:pPr>
      <w:r>
        <w:rPr>
          <w:rFonts w:hint="eastAsia" w:ascii="宋体" w:hAnsi="宋体" w:eastAsia="宋体" w:cs="宋体"/>
          <w:b/>
          <w:color w:val="auto"/>
          <w:szCs w:val="21"/>
        </w:rPr>
        <w:t>（二）评标的方式</w:t>
      </w:r>
    </w:p>
    <w:p>
      <w:pPr>
        <w:pStyle w:val="25"/>
        <w:snapToGrid w:val="0"/>
        <w:spacing w:line="440" w:lineRule="exact"/>
        <w:ind w:left="689" w:leftChars="228" w:hanging="210" w:hangingChars="100"/>
        <w:rPr>
          <w:rFonts w:hint="eastAsia" w:ascii="宋体" w:hAnsi="宋体" w:eastAsia="宋体" w:cs="宋体"/>
          <w:color w:val="auto"/>
          <w:szCs w:val="21"/>
        </w:rPr>
      </w:pPr>
      <w:r>
        <w:rPr>
          <w:rFonts w:hint="eastAsia" w:ascii="宋体" w:hAnsi="宋体" w:eastAsia="宋体" w:cs="宋体"/>
          <w:color w:val="auto"/>
          <w:szCs w:val="21"/>
        </w:rPr>
        <w:t>本项目采用不公开方式评标，评标的依据为招标文件和投标文件。</w:t>
      </w:r>
    </w:p>
    <w:p>
      <w:pPr>
        <w:pStyle w:val="25"/>
        <w:snapToGrid w:val="0"/>
        <w:spacing w:line="440" w:lineRule="exact"/>
        <w:ind w:left="690" w:leftChars="228" w:hanging="211" w:hangingChars="100"/>
        <w:rPr>
          <w:rFonts w:hint="eastAsia" w:ascii="宋体" w:hAnsi="宋体" w:eastAsia="宋体" w:cs="宋体"/>
          <w:b/>
          <w:color w:val="auto"/>
          <w:szCs w:val="21"/>
        </w:rPr>
      </w:pPr>
      <w:r>
        <w:rPr>
          <w:rFonts w:hint="eastAsia" w:ascii="宋体" w:hAnsi="宋体" w:eastAsia="宋体" w:cs="宋体"/>
          <w:b/>
          <w:color w:val="auto"/>
          <w:szCs w:val="21"/>
        </w:rPr>
        <w:t>（三）</w:t>
      </w:r>
      <w:r>
        <w:rPr>
          <w:rFonts w:hint="eastAsia" w:ascii="宋体" w:hAnsi="宋体" w:eastAsia="宋体" w:cs="宋体"/>
          <w:b/>
          <w:bCs/>
          <w:color w:val="auto"/>
          <w:szCs w:val="21"/>
        </w:rPr>
        <w:t>评标程序</w:t>
      </w:r>
    </w:p>
    <w:p>
      <w:pPr>
        <w:snapToGrid w:val="0"/>
        <w:spacing w:line="440" w:lineRule="exact"/>
        <w:ind w:firstLine="413" w:firstLineChars="196"/>
        <w:rPr>
          <w:rFonts w:hint="eastAsia" w:ascii="宋体" w:hAnsi="宋体" w:eastAsia="宋体" w:cs="宋体"/>
          <w:b/>
          <w:bCs/>
          <w:color w:val="auto"/>
          <w:szCs w:val="21"/>
        </w:rPr>
      </w:pPr>
      <w:r>
        <w:rPr>
          <w:rFonts w:hint="eastAsia" w:ascii="宋体" w:hAnsi="宋体" w:eastAsia="宋体" w:cs="宋体"/>
          <w:b/>
          <w:bCs/>
          <w:color w:val="auto"/>
          <w:szCs w:val="21"/>
        </w:rPr>
        <w:t>1.形式审查</w:t>
      </w:r>
    </w:p>
    <w:p>
      <w:pPr>
        <w:snapToGrid w:val="0"/>
        <w:spacing w:line="44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rPr>
        <w:t>采购人代表和采购代理机构工作人员协助评标委员会对投标人的资格和投标文件的完整性、合法性等进行审查。</w:t>
      </w:r>
    </w:p>
    <w:p>
      <w:pPr>
        <w:snapToGrid w:val="0"/>
        <w:spacing w:line="440" w:lineRule="exact"/>
        <w:ind w:firstLine="413" w:firstLineChars="196"/>
        <w:rPr>
          <w:rFonts w:hint="eastAsia" w:ascii="宋体" w:hAnsi="宋体" w:eastAsia="宋体" w:cs="宋体"/>
          <w:b/>
          <w:bCs/>
          <w:color w:val="auto"/>
          <w:szCs w:val="21"/>
        </w:rPr>
      </w:pPr>
      <w:r>
        <w:rPr>
          <w:rFonts w:hint="eastAsia" w:ascii="宋体" w:hAnsi="宋体" w:eastAsia="宋体" w:cs="宋体"/>
          <w:b/>
          <w:bCs/>
          <w:color w:val="auto"/>
          <w:szCs w:val="21"/>
        </w:rPr>
        <w:t>2.实质审查与比较</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（1）评标委员会审查投标文件的实质性内容是否符合招标文件的实质性要求。</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（2）评标委员会将根据投标人的投标文件进行审查、核对，如有疑问，将对投标人进行询标，投标人要向评标委员会澄清有关问题，并最终以书面形式进行答复。</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投标人代表未到场或者拒绝澄清或者澄清的内容改变了投标文件的实质性内容的，评标委员会有权视该投标文件无效。</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（3）各投标人的技术得分为所有评委的有效评分的算术平均数，由指定专人进行计算复核。</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（4）采购代理机构工作人员协助评标委员会根据本项目的评标标准计算各投标人的商务报价得分。</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（5）评标委员会完成评标后，评委对各部分得分汇总，计算出本项目最终得分、性价比、评标价等。评标委员会按评标原则推荐中标候选人同时起草评标报告。</w:t>
      </w:r>
    </w:p>
    <w:p>
      <w:pPr>
        <w:snapToGrid w:val="0"/>
        <w:spacing w:line="440" w:lineRule="exact"/>
        <w:ind w:firstLine="422" w:firstLineChars="200"/>
        <w:rPr>
          <w:rFonts w:hint="eastAsia" w:ascii="宋体" w:hAnsi="宋体" w:eastAsia="宋体" w:cs="宋体"/>
          <w:b/>
          <w:color w:val="auto"/>
          <w:szCs w:val="21"/>
        </w:rPr>
      </w:pPr>
      <w:r>
        <w:rPr>
          <w:rFonts w:hint="eastAsia" w:ascii="宋体" w:hAnsi="宋体" w:eastAsia="宋体" w:cs="宋体"/>
          <w:b/>
          <w:bCs/>
          <w:color w:val="auto"/>
          <w:szCs w:val="21"/>
        </w:rPr>
        <w:t>（四）澄</w:t>
      </w:r>
      <w:r>
        <w:rPr>
          <w:rFonts w:hint="eastAsia" w:ascii="宋体" w:hAnsi="宋体" w:eastAsia="宋体" w:cs="宋体"/>
          <w:b/>
          <w:color w:val="auto"/>
          <w:szCs w:val="21"/>
        </w:rPr>
        <w:t>清问题的形式</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25"/>
        <w:snapToGrid w:val="0"/>
        <w:spacing w:line="440" w:lineRule="exact"/>
        <w:ind w:left="690" w:leftChars="228" w:hanging="211" w:hangingChars="100"/>
        <w:rPr>
          <w:rFonts w:hint="eastAsia" w:ascii="宋体" w:hAnsi="宋体" w:eastAsia="宋体" w:cs="宋体"/>
          <w:b/>
          <w:color w:val="auto"/>
          <w:szCs w:val="21"/>
        </w:rPr>
      </w:pPr>
      <w:r>
        <w:rPr>
          <w:rFonts w:hint="eastAsia" w:ascii="宋体" w:hAnsi="宋体" w:eastAsia="宋体" w:cs="宋体"/>
          <w:b/>
          <w:bCs/>
          <w:color w:val="auto"/>
          <w:szCs w:val="21"/>
        </w:rPr>
        <w:t>（五）</w:t>
      </w:r>
      <w:r>
        <w:rPr>
          <w:rFonts w:hint="eastAsia" w:ascii="宋体" w:hAnsi="宋体" w:eastAsia="宋体" w:cs="宋体"/>
          <w:b/>
          <w:color w:val="auto"/>
          <w:szCs w:val="21"/>
        </w:rPr>
        <w:t>错误修正</w:t>
      </w:r>
    </w:p>
    <w:p>
      <w:pPr>
        <w:pStyle w:val="25"/>
        <w:snapToGrid w:val="0"/>
        <w:spacing w:line="440" w:lineRule="exact"/>
        <w:ind w:left="689" w:leftChars="228" w:hanging="210" w:hangingChars="100"/>
        <w:rPr>
          <w:rFonts w:hint="eastAsia" w:ascii="宋体" w:hAnsi="宋体" w:eastAsia="宋体" w:cs="宋体"/>
          <w:color w:val="auto"/>
          <w:szCs w:val="21"/>
        </w:rPr>
      </w:pPr>
      <w:r>
        <w:rPr>
          <w:rFonts w:hint="eastAsia" w:ascii="宋体" w:hAnsi="宋体" w:eastAsia="宋体" w:cs="宋体"/>
          <w:color w:val="auto"/>
          <w:szCs w:val="21"/>
        </w:rPr>
        <w:t>投标文件如果出现计算或表达上的错误，修正错误的原则如下：</w:t>
      </w:r>
    </w:p>
    <w:p>
      <w:pPr>
        <w:pStyle w:val="25"/>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1.投标文件的大写金额和小写金额不一致的，以大写金额为准；</w:t>
      </w:r>
    </w:p>
    <w:p>
      <w:pPr>
        <w:pStyle w:val="25"/>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2.总价金额与按单价汇总金额不一致的，以单价金额计算结果为准；</w:t>
      </w:r>
    </w:p>
    <w:p>
      <w:pPr>
        <w:pStyle w:val="25"/>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3.对不同文字文本投标文件的解释发生异议的，以中文文本为准。</w:t>
      </w:r>
    </w:p>
    <w:p>
      <w:pPr>
        <w:pStyle w:val="25"/>
        <w:snapToGrid w:val="0"/>
        <w:spacing w:line="44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25"/>
        <w:tabs>
          <w:tab w:val="left" w:pos="630"/>
        </w:tabs>
        <w:snapToGrid w:val="0"/>
        <w:spacing w:line="440" w:lineRule="exact"/>
        <w:ind w:firstLine="413" w:firstLineChars="196"/>
        <w:rPr>
          <w:rFonts w:hint="eastAsia" w:ascii="宋体" w:hAnsi="宋体" w:eastAsia="宋体" w:cs="宋体"/>
          <w:b/>
          <w:color w:val="auto"/>
          <w:szCs w:val="21"/>
        </w:rPr>
      </w:pPr>
      <w:r>
        <w:rPr>
          <w:rFonts w:hint="eastAsia" w:ascii="宋体" w:hAnsi="宋体" w:eastAsia="宋体" w:cs="宋体"/>
          <w:b/>
          <w:color w:val="auto"/>
          <w:szCs w:val="21"/>
        </w:rPr>
        <w:t>（六）评标原则和评标办法</w:t>
      </w:r>
    </w:p>
    <w:p>
      <w:pPr>
        <w:pStyle w:val="25"/>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5"/>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2.评标办法。本项目评标办法是</w:t>
      </w:r>
      <w:r>
        <w:rPr>
          <w:rFonts w:hint="eastAsia" w:ascii="宋体" w:hAnsi="宋体" w:eastAsia="宋体" w:cs="宋体"/>
          <w:color w:val="auto"/>
          <w:szCs w:val="21"/>
          <w:u w:val="single"/>
        </w:rPr>
        <w:t>综合评分法</w:t>
      </w:r>
      <w:r>
        <w:rPr>
          <w:rFonts w:hint="eastAsia" w:ascii="宋体" w:hAnsi="宋体" w:eastAsia="宋体" w:cs="宋体"/>
          <w:color w:val="auto"/>
          <w:szCs w:val="21"/>
        </w:rPr>
        <w:t>，具体评标内容及评标标准等详见《第四章：评标办法及评标标准》。</w:t>
      </w:r>
    </w:p>
    <w:p>
      <w:pPr>
        <w:pStyle w:val="25"/>
        <w:snapToGrid w:val="0"/>
        <w:spacing w:line="440" w:lineRule="exact"/>
        <w:ind w:firstLine="413" w:firstLineChars="196"/>
        <w:rPr>
          <w:rFonts w:hint="eastAsia" w:ascii="宋体" w:hAnsi="宋体" w:eastAsia="宋体" w:cs="宋体"/>
          <w:b/>
          <w:color w:val="auto"/>
          <w:szCs w:val="21"/>
        </w:rPr>
      </w:pPr>
      <w:r>
        <w:rPr>
          <w:rFonts w:hint="eastAsia" w:ascii="宋体" w:hAnsi="宋体" w:eastAsia="宋体" w:cs="宋体"/>
          <w:b/>
          <w:color w:val="auto"/>
          <w:szCs w:val="21"/>
        </w:rPr>
        <w:t>（七）评标过程的监控</w:t>
      </w:r>
    </w:p>
    <w:p>
      <w:pPr>
        <w:pStyle w:val="25"/>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本项目评标过程实行全程录音、录像监控，投标人在评标过程中所进行的试图影响评标结果的不公正活动，可能导致其投标被拒绝。</w:t>
      </w:r>
    </w:p>
    <w:p>
      <w:pPr>
        <w:pStyle w:val="25"/>
        <w:snapToGrid w:val="0"/>
        <w:spacing w:line="440" w:lineRule="exact"/>
        <w:ind w:firstLine="413" w:firstLineChars="196"/>
        <w:outlineLvl w:val="1"/>
        <w:rPr>
          <w:rFonts w:hint="eastAsia" w:ascii="宋体" w:hAnsi="宋体" w:eastAsia="宋体" w:cs="宋体"/>
          <w:b/>
          <w:color w:val="auto"/>
          <w:szCs w:val="21"/>
        </w:rPr>
      </w:pPr>
      <w:bookmarkStart w:id="86" w:name="_Toc254970546"/>
      <w:bookmarkStart w:id="87" w:name="_Toc254970687"/>
      <w:r>
        <w:rPr>
          <w:rFonts w:hint="eastAsia" w:ascii="宋体" w:hAnsi="宋体" w:eastAsia="宋体" w:cs="宋体"/>
          <w:b/>
          <w:color w:val="auto"/>
          <w:szCs w:val="21"/>
        </w:rPr>
        <w:t>六、评标结果</w:t>
      </w:r>
      <w:bookmarkEnd w:id="86"/>
      <w:bookmarkEnd w:id="87"/>
    </w:p>
    <w:p>
      <w:pPr>
        <w:pStyle w:val="25"/>
        <w:spacing w:line="440" w:lineRule="exact"/>
        <w:ind w:firstLine="420"/>
        <w:rPr>
          <w:rFonts w:hint="eastAsia" w:ascii="宋体" w:hAnsi="宋体" w:eastAsia="宋体" w:cs="宋体"/>
          <w:color w:val="auto"/>
          <w:szCs w:val="21"/>
        </w:rPr>
      </w:pPr>
      <w:r>
        <w:rPr>
          <w:rFonts w:hint="eastAsia" w:ascii="宋体" w:hAnsi="宋体" w:eastAsia="宋体" w:cs="宋体"/>
          <w:b/>
          <w:bCs/>
          <w:color w:val="auto"/>
          <w:szCs w:val="21"/>
        </w:rPr>
        <w:t>（一）</w:t>
      </w:r>
      <w:r>
        <w:rPr>
          <w:rFonts w:hint="eastAsia" w:ascii="宋体" w:hAnsi="宋体" w:eastAsia="宋体" w:cs="宋体"/>
          <w:color w:val="auto"/>
          <w:szCs w:val="21"/>
        </w:rPr>
        <w:t>采购代理机构将在评标结束后五个工作日内将评标报告送采购人，采购人在五个工作日内按照评标报告中推荐的中标候选供应商顺序确定中标供应商。采购人也可以事先授权评标委员会直接确定中标供应商。</w:t>
      </w:r>
    </w:p>
    <w:p>
      <w:pPr>
        <w:pStyle w:val="25"/>
        <w:spacing w:line="440" w:lineRule="exact"/>
        <w:ind w:firstLine="420"/>
        <w:rPr>
          <w:rFonts w:hint="eastAsia" w:ascii="宋体" w:hAnsi="宋体" w:eastAsia="宋体" w:cs="宋体"/>
          <w:color w:val="auto"/>
          <w:szCs w:val="21"/>
        </w:rPr>
      </w:pPr>
      <w:r>
        <w:rPr>
          <w:rFonts w:hint="eastAsia" w:ascii="宋体" w:hAnsi="宋体" w:eastAsia="宋体" w:cs="宋体"/>
          <w:color w:val="auto"/>
          <w:szCs w:val="21"/>
        </w:rPr>
        <w:t>（二）中标供应商确定后，采购代理机构在中国政府采购网、广西壮族自治区政府采购网、贵港市政府采购网发布中标公告，公示期为1个工作日。</w:t>
      </w:r>
    </w:p>
    <w:p>
      <w:pPr>
        <w:pStyle w:val="25"/>
        <w:spacing w:line="440" w:lineRule="exact"/>
        <w:ind w:firstLine="420"/>
        <w:rPr>
          <w:rFonts w:hint="eastAsia" w:ascii="宋体" w:hAnsi="宋体" w:eastAsia="宋体" w:cs="宋体"/>
          <w:color w:val="auto"/>
          <w:szCs w:val="21"/>
        </w:rPr>
      </w:pPr>
      <w:r>
        <w:rPr>
          <w:rFonts w:hint="eastAsia" w:ascii="宋体" w:hAnsi="宋体" w:eastAsia="宋体" w:cs="宋体"/>
          <w:color w:val="auto"/>
          <w:szCs w:val="21"/>
        </w:rPr>
        <w:t>（三）在发布中标公告的同时，采购代理机构向中标供应商发出中标通知书。</w:t>
      </w:r>
    </w:p>
    <w:p>
      <w:pPr>
        <w:pStyle w:val="25"/>
        <w:spacing w:line="440" w:lineRule="exact"/>
        <w:ind w:firstLine="420" w:firstLineChars="200"/>
        <w:rPr>
          <w:rFonts w:hint="eastAsia" w:ascii="宋体" w:hAnsi="宋体" w:eastAsia="宋体" w:cs="宋体"/>
          <w:bCs/>
          <w:color w:val="auto"/>
          <w:szCs w:val="21"/>
        </w:rPr>
      </w:pPr>
      <w:r>
        <w:rPr>
          <w:rFonts w:hint="eastAsia" w:ascii="宋体" w:hAnsi="宋体" w:eastAsia="宋体" w:cs="宋体"/>
          <w:color w:val="auto"/>
          <w:szCs w:val="21"/>
        </w:rPr>
        <w:t>（四）</w:t>
      </w:r>
      <w:r>
        <w:rPr>
          <w:rFonts w:hint="eastAsia" w:ascii="宋体" w:hAnsi="宋体" w:eastAsia="宋体" w:cs="宋体"/>
          <w:bCs/>
          <w:color w:val="auto"/>
          <w:szCs w:val="21"/>
        </w:rPr>
        <w:t>投标人认为招标文件、招标过程和中标结果使自己的权益受到损害的，可以在知道或者应知其权益受到损害之日起七个工作日内，以书面形式向采购代理机构提出质疑，并及时索要书面回执。</w:t>
      </w:r>
    </w:p>
    <w:p>
      <w:pPr>
        <w:pStyle w:val="25"/>
        <w:spacing w:line="440" w:lineRule="exact"/>
        <w:ind w:firstLine="420"/>
        <w:rPr>
          <w:rFonts w:hint="eastAsia" w:ascii="宋体" w:hAnsi="宋体" w:eastAsia="宋体" w:cs="宋体"/>
          <w:color w:val="auto"/>
          <w:szCs w:val="21"/>
        </w:rPr>
      </w:pPr>
      <w:r>
        <w:rPr>
          <w:rFonts w:hint="eastAsia" w:ascii="宋体" w:hAnsi="宋体" w:eastAsia="宋体" w:cs="宋体"/>
          <w:color w:val="auto"/>
          <w:szCs w:val="21"/>
        </w:rPr>
        <w:t>（五）</w:t>
      </w:r>
      <w:r>
        <w:rPr>
          <w:rFonts w:hint="eastAsia" w:ascii="宋体" w:hAnsi="宋体" w:eastAsia="宋体" w:cs="宋体"/>
          <w:bCs/>
          <w:color w:val="auto"/>
          <w:szCs w:val="21"/>
        </w:rPr>
        <w:t>采购代理机构应当按照有关规定就采购人委托授权范围内的事项在收到投标人的书面质疑后七个工作日内做出答复，但答复的内容不得涉及商业秘密。</w:t>
      </w:r>
    </w:p>
    <w:p>
      <w:pPr>
        <w:pStyle w:val="25"/>
        <w:spacing w:line="440" w:lineRule="exact"/>
        <w:ind w:firstLine="420"/>
        <w:rPr>
          <w:rFonts w:hint="eastAsia" w:ascii="宋体" w:hAnsi="宋体" w:eastAsia="宋体" w:cs="宋体"/>
          <w:color w:val="auto"/>
          <w:szCs w:val="21"/>
        </w:rPr>
      </w:pPr>
      <w:r>
        <w:rPr>
          <w:rFonts w:hint="eastAsia" w:ascii="宋体" w:hAnsi="宋体" w:eastAsia="宋体" w:cs="宋体"/>
          <w:color w:val="auto"/>
          <w:szCs w:val="21"/>
        </w:rPr>
        <w:t>（六）采购代理机构无义务向未中标的供应商解释未中标原因和退还投标文件。</w:t>
      </w:r>
    </w:p>
    <w:p>
      <w:pPr>
        <w:pStyle w:val="25"/>
        <w:spacing w:line="440" w:lineRule="exact"/>
        <w:rPr>
          <w:rFonts w:hint="eastAsia" w:ascii="宋体" w:hAnsi="宋体" w:eastAsia="宋体" w:cs="宋体"/>
          <w:b/>
          <w:color w:val="auto"/>
          <w:szCs w:val="21"/>
        </w:rPr>
      </w:pPr>
      <w:r>
        <w:rPr>
          <w:rFonts w:hint="eastAsia" w:ascii="宋体" w:hAnsi="宋体" w:eastAsia="宋体" w:cs="宋体"/>
          <w:b/>
          <w:color w:val="auto"/>
          <w:szCs w:val="21"/>
        </w:rPr>
        <w:t>七 、签订合同</w:t>
      </w:r>
    </w:p>
    <w:p>
      <w:pPr>
        <w:pStyle w:val="25"/>
        <w:spacing w:line="440" w:lineRule="exact"/>
        <w:rPr>
          <w:rFonts w:hint="eastAsia" w:ascii="宋体" w:hAnsi="宋体" w:eastAsia="宋体" w:cs="宋体"/>
          <w:b/>
          <w:color w:val="auto"/>
          <w:szCs w:val="21"/>
        </w:rPr>
      </w:pPr>
      <w:r>
        <w:rPr>
          <w:rFonts w:hint="eastAsia" w:ascii="宋体" w:hAnsi="宋体" w:eastAsia="宋体" w:cs="宋体"/>
          <w:b/>
          <w:color w:val="auto"/>
          <w:szCs w:val="21"/>
        </w:rPr>
        <w:t>（一）合同授予标准</w:t>
      </w:r>
    </w:p>
    <w:p>
      <w:pPr>
        <w:pStyle w:val="25"/>
        <w:spacing w:line="440" w:lineRule="exact"/>
        <w:ind w:firstLine="420"/>
        <w:rPr>
          <w:rFonts w:hint="eastAsia" w:ascii="宋体" w:hAnsi="宋体" w:eastAsia="宋体" w:cs="宋体"/>
          <w:color w:val="auto"/>
          <w:szCs w:val="21"/>
        </w:rPr>
      </w:pPr>
      <w:r>
        <w:rPr>
          <w:rFonts w:hint="eastAsia" w:ascii="宋体" w:hAnsi="宋体" w:eastAsia="宋体" w:cs="宋体"/>
          <w:color w:val="auto"/>
          <w:szCs w:val="21"/>
        </w:rPr>
        <w:t>合同将授予被确定实质上响应招标文件要求，具备履行合同能力，综合评分排名第一的投标人。</w:t>
      </w:r>
    </w:p>
    <w:p>
      <w:pPr>
        <w:pStyle w:val="25"/>
        <w:spacing w:line="440" w:lineRule="exact"/>
        <w:rPr>
          <w:rFonts w:hint="eastAsia" w:ascii="宋体" w:hAnsi="宋体" w:eastAsia="宋体" w:cs="宋体"/>
          <w:color w:val="auto"/>
          <w:szCs w:val="21"/>
        </w:rPr>
      </w:pPr>
      <w:r>
        <w:rPr>
          <w:rFonts w:hint="eastAsia" w:ascii="宋体" w:hAnsi="宋体" w:eastAsia="宋体" w:cs="宋体"/>
          <w:b/>
          <w:color w:val="auto"/>
          <w:szCs w:val="21"/>
        </w:rPr>
        <w:t>（二）签订合同</w:t>
      </w:r>
    </w:p>
    <w:p>
      <w:pPr>
        <w:pStyle w:val="25"/>
        <w:spacing w:line="440" w:lineRule="exact"/>
        <w:ind w:firstLine="420"/>
        <w:rPr>
          <w:rFonts w:hint="eastAsia" w:ascii="宋体" w:hAnsi="宋体" w:eastAsia="宋体" w:cs="宋体"/>
          <w:color w:val="auto"/>
          <w:szCs w:val="21"/>
        </w:rPr>
      </w:pPr>
      <w:r>
        <w:rPr>
          <w:rFonts w:hint="eastAsia" w:ascii="宋体" w:hAnsi="宋体" w:eastAsia="宋体" w:cs="宋体"/>
          <w:color w:val="auto"/>
          <w:szCs w:val="21"/>
        </w:rPr>
        <w:t>（1）投标人接到中标通知书后，应按中标通知书规定的时间、地点与招标采购使用单位签订合同。</w:t>
      </w:r>
    </w:p>
    <w:p>
      <w:pPr>
        <w:pStyle w:val="25"/>
        <w:spacing w:line="440" w:lineRule="exact"/>
        <w:ind w:firstLine="420"/>
        <w:rPr>
          <w:rFonts w:hint="eastAsia" w:ascii="宋体" w:hAnsi="宋体" w:eastAsia="宋体" w:cs="宋体"/>
          <w:color w:val="auto"/>
          <w:szCs w:val="21"/>
        </w:rPr>
      </w:pPr>
      <w:r>
        <w:rPr>
          <w:rFonts w:hint="eastAsia" w:ascii="宋体" w:hAnsi="宋体" w:eastAsia="宋体" w:cs="宋体"/>
          <w:color w:val="auto"/>
          <w:szCs w:val="21"/>
        </w:rPr>
        <w:t>（2）如中标供应商不按中标通知书的规定签订合同，则按中标供应商违约处理，采购代理机构将没收中标供应商投标的全部投标保证金并上缴同级财政国库。</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（3）中标供应商因不可抗力或者自身原因不能履行采购合同的，采购人可以确定招标采购使用单位与中标供应商之后排名第一的中标候选供应商签订采购合同，以此类推。</w:t>
      </w:r>
    </w:p>
    <w:p>
      <w:pPr>
        <w:pStyle w:val="25"/>
        <w:spacing w:line="440" w:lineRule="exact"/>
        <w:rPr>
          <w:rFonts w:hint="eastAsia" w:ascii="宋体" w:hAnsi="宋体" w:eastAsia="宋体" w:cs="宋体"/>
          <w:b/>
          <w:color w:val="auto"/>
          <w:szCs w:val="21"/>
        </w:rPr>
      </w:pPr>
      <w:r>
        <w:rPr>
          <w:rFonts w:hint="eastAsia" w:ascii="宋体" w:hAnsi="宋体" w:eastAsia="宋体" w:cs="宋体"/>
          <w:b/>
          <w:color w:val="auto"/>
          <w:szCs w:val="21"/>
        </w:rPr>
        <w:t>八、其他内容</w:t>
      </w:r>
    </w:p>
    <w:p>
      <w:pPr>
        <w:tabs>
          <w:tab w:val="left" w:pos="2835"/>
        </w:tabs>
        <w:spacing w:line="440" w:lineRule="atLeast"/>
        <w:ind w:firstLine="422" w:firstLineChars="201"/>
        <w:rPr>
          <w:rFonts w:hint="eastAsia" w:ascii="宋体" w:hAnsi="宋体" w:eastAsia="宋体" w:cs="宋体"/>
          <w:color w:val="auto"/>
          <w:szCs w:val="21"/>
        </w:rPr>
      </w:pPr>
      <w:r>
        <w:rPr>
          <w:rFonts w:hint="eastAsia" w:ascii="宋体" w:hAnsi="宋体" w:eastAsia="宋体" w:cs="宋体"/>
          <w:color w:val="auto"/>
          <w:szCs w:val="21"/>
        </w:rPr>
        <w:t xml:space="preserve"> 询问、质疑和投诉</w:t>
      </w:r>
    </w:p>
    <w:p>
      <w:pPr>
        <w:tabs>
          <w:tab w:val="left" w:pos="2835"/>
        </w:tabs>
        <w:spacing w:line="440" w:lineRule="atLeast"/>
        <w:ind w:firstLine="422" w:firstLineChars="201"/>
        <w:rPr>
          <w:rFonts w:hint="eastAsia" w:ascii="宋体" w:hAnsi="宋体" w:eastAsia="宋体" w:cs="宋体"/>
          <w:color w:val="auto"/>
          <w:szCs w:val="21"/>
        </w:rPr>
      </w:pPr>
      <w:r>
        <w:rPr>
          <w:rFonts w:hint="eastAsia" w:ascii="宋体" w:hAnsi="宋体" w:eastAsia="宋体" w:cs="宋体"/>
          <w:color w:val="auto"/>
          <w:szCs w:val="21"/>
        </w:rPr>
        <w:t>1.供应商对政府采购活动事项有疑问的，可以向采购人、采购代理机构提出询问。</w:t>
      </w:r>
    </w:p>
    <w:p>
      <w:pPr>
        <w:tabs>
          <w:tab w:val="left" w:pos="2835"/>
        </w:tabs>
        <w:spacing w:line="440" w:lineRule="atLeast"/>
        <w:ind w:firstLine="422" w:firstLineChars="201"/>
        <w:rPr>
          <w:rFonts w:hint="eastAsia" w:ascii="宋体" w:hAnsi="宋体" w:eastAsia="宋体" w:cs="宋体"/>
          <w:color w:val="auto"/>
          <w:szCs w:val="21"/>
        </w:rPr>
      </w:pPr>
      <w:r>
        <w:rPr>
          <w:rFonts w:hint="eastAsia" w:ascii="宋体" w:hAnsi="宋体" w:eastAsia="宋体" w:cs="宋体"/>
          <w:color w:val="auto"/>
          <w:szCs w:val="21"/>
        </w:rPr>
        <w:t>2.供应商认为采购文件、采购过程或成交结果使自己的合法权益受到损害的，应当在知道或者应知其权益受到损害之日起七个工作日内，以书面形式向采购人、采购代理机构提出质疑。具体计算时间如下：</w:t>
      </w:r>
    </w:p>
    <w:p>
      <w:pPr>
        <w:tabs>
          <w:tab w:val="left" w:pos="2835"/>
        </w:tabs>
        <w:spacing w:line="440" w:lineRule="atLeast"/>
        <w:ind w:firstLine="422" w:firstLineChars="201"/>
        <w:rPr>
          <w:rFonts w:hint="eastAsia" w:ascii="宋体" w:hAnsi="宋体" w:eastAsia="宋体" w:cs="宋体"/>
          <w:color w:val="auto"/>
          <w:szCs w:val="21"/>
        </w:rPr>
      </w:pPr>
      <w:r>
        <w:rPr>
          <w:rFonts w:hint="eastAsia" w:ascii="宋体" w:hAnsi="宋体" w:eastAsia="宋体" w:cs="宋体"/>
          <w:color w:val="auto"/>
          <w:szCs w:val="21"/>
        </w:rPr>
        <w:t>（1）对可以质疑的采购文件提出质疑的，为收到采购文件之日；</w:t>
      </w:r>
    </w:p>
    <w:p>
      <w:pPr>
        <w:tabs>
          <w:tab w:val="left" w:pos="2835"/>
        </w:tabs>
        <w:spacing w:line="440" w:lineRule="atLeast"/>
        <w:ind w:firstLine="422" w:firstLineChars="201"/>
        <w:rPr>
          <w:rFonts w:hint="eastAsia" w:ascii="宋体" w:hAnsi="宋体" w:eastAsia="宋体" w:cs="宋体"/>
          <w:color w:val="auto"/>
          <w:szCs w:val="21"/>
        </w:rPr>
      </w:pPr>
      <w:r>
        <w:rPr>
          <w:rFonts w:hint="eastAsia" w:ascii="宋体" w:hAnsi="宋体" w:eastAsia="宋体" w:cs="宋体"/>
          <w:color w:val="auto"/>
          <w:szCs w:val="21"/>
        </w:rPr>
        <w:t>（2）对采购过程提出质疑的，为各采购程序环节结束之日；</w:t>
      </w:r>
    </w:p>
    <w:p>
      <w:pPr>
        <w:tabs>
          <w:tab w:val="left" w:pos="2835"/>
        </w:tabs>
        <w:spacing w:line="440" w:lineRule="atLeast"/>
        <w:ind w:firstLine="422" w:firstLineChars="201"/>
        <w:rPr>
          <w:rFonts w:hint="eastAsia" w:ascii="宋体" w:hAnsi="宋体" w:eastAsia="宋体" w:cs="宋体"/>
          <w:color w:val="auto"/>
          <w:szCs w:val="21"/>
        </w:rPr>
      </w:pPr>
      <w:r>
        <w:rPr>
          <w:rFonts w:hint="eastAsia" w:ascii="宋体" w:hAnsi="宋体" w:eastAsia="宋体" w:cs="宋体"/>
          <w:color w:val="auto"/>
          <w:szCs w:val="21"/>
        </w:rPr>
        <w:t>（3）对成交结果提出质疑的，为成交结果公告期限届满之日。</w:t>
      </w:r>
    </w:p>
    <w:p>
      <w:pPr>
        <w:tabs>
          <w:tab w:val="left" w:pos="2835"/>
        </w:tabs>
        <w:spacing w:line="440" w:lineRule="atLeast"/>
        <w:ind w:firstLine="422" w:firstLineChars="201"/>
        <w:rPr>
          <w:rFonts w:hint="eastAsia" w:ascii="宋体" w:hAnsi="宋体" w:eastAsia="宋体" w:cs="宋体"/>
          <w:color w:val="auto"/>
          <w:szCs w:val="21"/>
        </w:rPr>
      </w:pPr>
      <w:r>
        <w:rPr>
          <w:rFonts w:hint="eastAsia" w:ascii="宋体" w:hAnsi="宋体" w:eastAsia="宋体" w:cs="宋体"/>
          <w:color w:val="auto"/>
          <w:szCs w:val="21"/>
        </w:rPr>
        <w:t>供应商对采购人或采购代理机构的质疑答复不满意或者采购人或采购代理机构未在规定时间内作出答复的，可以在答复期满后十五个工作日内向同级采购监管部门投诉。</w:t>
      </w:r>
    </w:p>
    <w:p>
      <w:pPr>
        <w:tabs>
          <w:tab w:val="left" w:pos="2835"/>
        </w:tabs>
        <w:spacing w:line="440" w:lineRule="atLeast"/>
        <w:ind w:firstLine="422" w:firstLineChars="201"/>
        <w:rPr>
          <w:rFonts w:hint="eastAsia" w:ascii="宋体" w:hAnsi="宋体" w:eastAsia="宋体" w:cs="宋体"/>
          <w:color w:val="auto"/>
          <w:szCs w:val="21"/>
        </w:rPr>
      </w:pPr>
      <w:r>
        <w:rPr>
          <w:rFonts w:hint="eastAsia" w:ascii="宋体" w:hAnsi="宋体" w:eastAsia="宋体" w:cs="宋体"/>
          <w:color w:val="auto"/>
          <w:szCs w:val="21"/>
        </w:rPr>
        <w:t>3.质疑、投诉应当采用书面形式，质疑书、投诉书均应明确阐述采购文件、采购过程、成交结果中使自己合法权益受到损害的实质性内容，提供相关事实、明确的请求、必要的证明材料，便于有关单位调查、答复和处理。</w:t>
      </w:r>
    </w:p>
    <w:p>
      <w:pPr>
        <w:tabs>
          <w:tab w:val="left" w:pos="2835"/>
        </w:tabs>
        <w:spacing w:line="440" w:lineRule="atLeast"/>
        <w:ind w:firstLine="422" w:firstLineChars="201"/>
        <w:rPr>
          <w:rFonts w:hint="eastAsia" w:ascii="宋体" w:hAnsi="宋体" w:eastAsia="宋体" w:cs="宋体"/>
          <w:color w:val="auto"/>
          <w:szCs w:val="21"/>
        </w:rPr>
      </w:pPr>
      <w:r>
        <w:rPr>
          <w:rFonts w:hint="eastAsia" w:ascii="宋体" w:hAnsi="宋体" w:eastAsia="宋体" w:cs="宋体"/>
          <w:color w:val="auto"/>
          <w:szCs w:val="21"/>
        </w:rPr>
        <w:t>供应商提出质疑应当提交质疑函和必要的证明材料。质疑函应当包括下列内容：</w:t>
      </w:r>
    </w:p>
    <w:p>
      <w:pPr>
        <w:tabs>
          <w:tab w:val="left" w:pos="2835"/>
        </w:tabs>
        <w:spacing w:line="440" w:lineRule="atLeast"/>
        <w:ind w:firstLine="422" w:firstLineChars="201"/>
        <w:rPr>
          <w:rFonts w:hint="eastAsia" w:ascii="宋体" w:hAnsi="宋体" w:eastAsia="宋体" w:cs="宋体"/>
          <w:color w:val="auto"/>
          <w:szCs w:val="21"/>
        </w:rPr>
      </w:pPr>
      <w:r>
        <w:rPr>
          <w:rFonts w:hint="eastAsia" w:ascii="宋体" w:hAnsi="宋体" w:eastAsia="宋体" w:cs="宋体"/>
          <w:color w:val="auto"/>
          <w:szCs w:val="21"/>
        </w:rPr>
        <w:t>（1）供应商的姓名或者名称、地址、邮编、联系人及联系电话；</w:t>
      </w:r>
    </w:p>
    <w:p>
      <w:pPr>
        <w:tabs>
          <w:tab w:val="left" w:pos="2835"/>
        </w:tabs>
        <w:spacing w:line="440" w:lineRule="atLeast"/>
        <w:ind w:firstLine="422" w:firstLineChars="201"/>
        <w:rPr>
          <w:rFonts w:hint="eastAsia" w:ascii="宋体" w:hAnsi="宋体" w:eastAsia="宋体" w:cs="宋体"/>
          <w:color w:val="auto"/>
          <w:szCs w:val="21"/>
        </w:rPr>
      </w:pPr>
      <w:r>
        <w:rPr>
          <w:rFonts w:hint="eastAsia" w:ascii="宋体" w:hAnsi="宋体" w:eastAsia="宋体" w:cs="宋体"/>
          <w:color w:val="auto"/>
          <w:szCs w:val="21"/>
        </w:rPr>
        <w:t>（2）质疑项目的名称、编号；</w:t>
      </w:r>
    </w:p>
    <w:p>
      <w:pPr>
        <w:tabs>
          <w:tab w:val="left" w:pos="2835"/>
        </w:tabs>
        <w:spacing w:line="440" w:lineRule="atLeast"/>
        <w:ind w:firstLine="422" w:firstLineChars="201"/>
        <w:rPr>
          <w:rFonts w:hint="eastAsia" w:ascii="宋体" w:hAnsi="宋体" w:eastAsia="宋体" w:cs="宋体"/>
          <w:color w:val="auto"/>
          <w:szCs w:val="21"/>
        </w:rPr>
      </w:pPr>
      <w:r>
        <w:rPr>
          <w:rFonts w:hint="eastAsia" w:ascii="宋体" w:hAnsi="宋体" w:eastAsia="宋体" w:cs="宋体"/>
          <w:color w:val="auto"/>
          <w:szCs w:val="21"/>
        </w:rPr>
        <w:t>（3）具体、明确的质疑事项和与质疑事项相关的请求；</w:t>
      </w:r>
    </w:p>
    <w:p>
      <w:pPr>
        <w:tabs>
          <w:tab w:val="left" w:pos="2835"/>
        </w:tabs>
        <w:spacing w:line="440" w:lineRule="atLeast"/>
        <w:ind w:firstLine="422" w:firstLineChars="201"/>
        <w:rPr>
          <w:rFonts w:hint="eastAsia" w:ascii="宋体" w:hAnsi="宋体" w:eastAsia="宋体" w:cs="宋体"/>
          <w:color w:val="auto"/>
          <w:szCs w:val="21"/>
        </w:rPr>
      </w:pPr>
      <w:r>
        <w:rPr>
          <w:rFonts w:hint="eastAsia" w:ascii="宋体" w:hAnsi="宋体" w:eastAsia="宋体" w:cs="宋体"/>
          <w:color w:val="auto"/>
          <w:szCs w:val="21"/>
        </w:rPr>
        <w:t>（4）事实依据；</w:t>
      </w:r>
    </w:p>
    <w:p>
      <w:pPr>
        <w:tabs>
          <w:tab w:val="left" w:pos="2835"/>
        </w:tabs>
        <w:spacing w:line="440" w:lineRule="atLeast"/>
        <w:ind w:firstLine="422" w:firstLineChars="201"/>
        <w:rPr>
          <w:rFonts w:hint="eastAsia" w:ascii="宋体" w:hAnsi="宋体" w:eastAsia="宋体" w:cs="宋体"/>
          <w:color w:val="auto"/>
          <w:szCs w:val="21"/>
        </w:rPr>
      </w:pPr>
      <w:r>
        <w:rPr>
          <w:rFonts w:hint="eastAsia" w:ascii="宋体" w:hAnsi="宋体" w:eastAsia="宋体" w:cs="宋体"/>
          <w:color w:val="auto"/>
          <w:szCs w:val="21"/>
        </w:rPr>
        <w:t>（5）必要的法律依据；</w:t>
      </w:r>
    </w:p>
    <w:p>
      <w:pPr>
        <w:tabs>
          <w:tab w:val="left" w:pos="2835"/>
        </w:tabs>
        <w:spacing w:line="440" w:lineRule="atLeast"/>
        <w:ind w:firstLine="422" w:firstLineChars="201"/>
        <w:rPr>
          <w:rFonts w:hint="eastAsia" w:ascii="宋体" w:hAnsi="宋体" w:eastAsia="宋体" w:cs="宋体"/>
          <w:color w:val="auto"/>
          <w:szCs w:val="21"/>
        </w:rPr>
      </w:pPr>
      <w:r>
        <w:rPr>
          <w:rFonts w:hint="eastAsia" w:ascii="宋体" w:hAnsi="宋体" w:eastAsia="宋体" w:cs="宋体"/>
          <w:color w:val="auto"/>
          <w:szCs w:val="21"/>
        </w:rPr>
        <w:t>（6）提出质疑的日期。</w:t>
      </w:r>
    </w:p>
    <w:p>
      <w:pPr>
        <w:pStyle w:val="25"/>
        <w:spacing w:line="440" w:lineRule="atLeast"/>
        <w:rPr>
          <w:rFonts w:hint="eastAsia" w:ascii="宋体" w:hAnsi="宋体" w:eastAsia="宋体" w:cs="宋体"/>
          <w:color w:val="auto"/>
          <w:szCs w:val="21"/>
        </w:rPr>
      </w:pPr>
      <w:r>
        <w:rPr>
          <w:rFonts w:hint="eastAsia" w:ascii="宋体" w:hAnsi="宋体" w:eastAsia="宋体" w:cs="宋体"/>
          <w:color w:val="auto"/>
          <w:szCs w:val="21"/>
        </w:rPr>
        <w:t>供应商为自然人的，应当由本人签字；供应商为法人或者其他组织的，应当由法定代表人、主要负责人，或者其授权代表签字或者盖章，并加盖公章。</w:t>
      </w:r>
    </w:p>
    <w:p>
      <w:pPr>
        <w:pStyle w:val="25"/>
        <w:snapToGrid w:val="0"/>
        <w:spacing w:before="120" w:after="120" w:line="360" w:lineRule="auto"/>
        <w:jc w:val="center"/>
        <w:rPr>
          <w:rFonts w:hint="eastAsia" w:ascii="宋体" w:hAnsi="宋体" w:eastAsia="宋体" w:cs="宋体"/>
          <w:b/>
          <w:color w:val="auto"/>
          <w:sz w:val="32"/>
          <w:szCs w:val="32"/>
        </w:rPr>
      </w:pPr>
      <w:bookmarkStart w:id="88" w:name="_Toc254970689"/>
      <w:bookmarkStart w:id="89" w:name="_Toc254970548"/>
      <w:r>
        <w:rPr>
          <w:rFonts w:hint="eastAsia" w:ascii="宋体" w:hAnsi="宋体" w:eastAsia="宋体" w:cs="宋体"/>
          <w:b/>
          <w:color w:val="auto"/>
          <w:sz w:val="32"/>
          <w:szCs w:val="32"/>
        </w:rPr>
        <w:br w:type="page"/>
      </w:r>
    </w:p>
    <w:p>
      <w:pPr>
        <w:pStyle w:val="3"/>
        <w:spacing w:line="360" w:lineRule="auto"/>
        <w:rPr>
          <w:rFonts w:hint="eastAsia" w:ascii="宋体" w:hAnsi="宋体" w:eastAsia="宋体" w:cs="宋体"/>
          <w:color w:val="auto"/>
        </w:rPr>
      </w:pPr>
      <w:bookmarkStart w:id="90" w:name="_Toc5268"/>
      <w:r>
        <w:rPr>
          <w:rFonts w:hint="eastAsia" w:ascii="宋体" w:hAnsi="宋体" w:eastAsia="宋体" w:cs="宋体"/>
          <w:color w:val="auto"/>
        </w:rPr>
        <w:t>第四章  评标办法及评标标准</w:t>
      </w:r>
      <w:bookmarkEnd w:id="88"/>
      <w:bookmarkEnd w:id="89"/>
      <w:bookmarkEnd w:id="90"/>
    </w:p>
    <w:p>
      <w:pPr>
        <w:pStyle w:val="25"/>
        <w:spacing w:line="360" w:lineRule="auto"/>
        <w:jc w:val="center"/>
        <w:rPr>
          <w:rFonts w:hint="eastAsia" w:ascii="宋体" w:hAnsi="宋体" w:eastAsia="宋体" w:cs="宋体"/>
          <w:b/>
          <w:bCs/>
          <w:color w:val="auto"/>
          <w:sz w:val="32"/>
          <w:szCs w:val="32"/>
        </w:rPr>
      </w:pPr>
      <w:bookmarkStart w:id="91" w:name="_Toc254970690"/>
      <w:bookmarkStart w:id="92" w:name="_Toc254970549"/>
      <w:r>
        <w:rPr>
          <w:rFonts w:hint="eastAsia" w:ascii="宋体" w:hAnsi="宋体" w:eastAsia="宋体" w:cs="宋体"/>
          <w:b/>
          <w:bCs/>
          <w:color w:val="auto"/>
          <w:sz w:val="32"/>
          <w:szCs w:val="32"/>
        </w:rPr>
        <w:t>综合评分法</w:t>
      </w:r>
    </w:p>
    <w:p>
      <w:pPr>
        <w:pStyle w:val="25"/>
        <w:spacing w:line="440" w:lineRule="exact"/>
        <w:ind w:firstLine="422"/>
        <w:rPr>
          <w:rFonts w:hint="eastAsia" w:ascii="宋体" w:hAnsi="宋体" w:eastAsia="宋体" w:cs="宋体"/>
          <w:b/>
          <w:color w:val="auto"/>
          <w:szCs w:val="21"/>
        </w:rPr>
      </w:pPr>
      <w:r>
        <w:rPr>
          <w:rFonts w:hint="eastAsia" w:ascii="宋体" w:hAnsi="宋体" w:eastAsia="宋体" w:cs="宋体"/>
          <w:b/>
          <w:color w:val="auto"/>
          <w:szCs w:val="21"/>
        </w:rPr>
        <w:t>一、评标原则</w:t>
      </w:r>
    </w:p>
    <w:p>
      <w:pPr>
        <w:pStyle w:val="25"/>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（一）评委构成：本招标采购项目的评委分别由政采云系统随机抽取的专家、采购单位代表（如有）共五人单数构成，其中专家人数不少于成员总数的三分之二。</w:t>
      </w:r>
    </w:p>
    <w:p>
      <w:pPr>
        <w:pStyle w:val="25"/>
        <w:spacing w:line="440" w:lineRule="exact"/>
        <w:ind w:firstLine="420" w:firstLineChars="200"/>
        <w:rPr>
          <w:rFonts w:hint="eastAsia" w:ascii="宋体" w:hAnsi="宋体" w:eastAsia="宋体" w:cs="宋体"/>
          <w:b/>
          <w:color w:val="auto"/>
          <w:szCs w:val="21"/>
        </w:rPr>
      </w:pPr>
      <w:r>
        <w:rPr>
          <w:rFonts w:hint="eastAsia" w:ascii="宋体" w:hAnsi="宋体" w:eastAsia="宋体" w:cs="宋体"/>
          <w:bCs/>
          <w:color w:val="auto"/>
          <w:szCs w:val="21"/>
        </w:rPr>
        <w:t>（二）评标依据：评委将以招投标文件为评标依据，对投标人的投标报价、</w:t>
      </w:r>
      <w:r>
        <w:rPr>
          <w:rFonts w:hint="eastAsia" w:ascii="宋体" w:hAnsi="宋体" w:eastAsia="宋体" w:cs="宋体"/>
          <w:color w:val="auto"/>
          <w:szCs w:val="21"/>
        </w:rPr>
        <w:t>技术、财务状况、信誉、业绩、售后服务、政策功能</w:t>
      </w:r>
      <w:r>
        <w:rPr>
          <w:rFonts w:hint="eastAsia" w:ascii="宋体" w:hAnsi="宋体" w:eastAsia="宋体" w:cs="宋体"/>
          <w:bCs/>
          <w:color w:val="auto"/>
          <w:szCs w:val="21"/>
        </w:rPr>
        <w:t>等方面内容按百分制打分</w:t>
      </w:r>
      <w:r>
        <w:rPr>
          <w:rFonts w:hint="eastAsia" w:ascii="宋体" w:hAnsi="宋体" w:eastAsia="宋体" w:cs="宋体"/>
          <w:color w:val="auto"/>
          <w:szCs w:val="21"/>
        </w:rPr>
        <w:t>。</w:t>
      </w:r>
    </w:p>
    <w:p>
      <w:pPr>
        <w:pStyle w:val="25"/>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（三）评标方式：百分制综合评分法。</w:t>
      </w:r>
    </w:p>
    <w:p>
      <w:pPr>
        <w:pStyle w:val="25"/>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（四）根据《</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"https://www.baidu.com/link?url=Z_2S3RpAo1swxH_g9QA8q3nJL62SEYOQkDGvSRK-BOAGRLR4iS4R7qCP2zMJ2R62fI1np2vQH2jYGIhPyGxBn9CTMhji2MVcWkIviC0Co7O&amp;wd=&amp;eqid=ecfe52eb00038c39000000055600de44" \t "_blank" </w:instrText>
      </w:r>
      <w:r>
        <w:rPr>
          <w:rFonts w:hint="eastAsia" w:ascii="宋体" w:hAnsi="宋体" w:eastAsia="宋体" w:cs="宋体"/>
          <w:color w:val="auto"/>
        </w:rPr>
        <w:fldChar w:fldCharType="separate"/>
      </w:r>
      <w:r>
        <w:rPr>
          <w:rStyle w:val="55"/>
          <w:rFonts w:hint="eastAsia" w:ascii="宋体" w:hAnsi="宋体" w:eastAsia="宋体" w:cs="宋体"/>
          <w:color w:val="auto"/>
          <w:sz w:val="21"/>
          <w:szCs w:val="21"/>
        </w:rPr>
        <w:t>政府采购货物和服务招标投标管理办法</w:t>
      </w:r>
      <w:r>
        <w:rPr>
          <w:rStyle w:val="55"/>
          <w:rFonts w:hint="eastAsia" w:ascii="宋体" w:hAnsi="宋体" w:eastAsia="宋体" w:cs="宋体"/>
          <w:color w:val="auto"/>
          <w:sz w:val="21"/>
          <w:szCs w:val="21"/>
        </w:rPr>
        <w:fldChar w:fldCharType="end"/>
      </w:r>
      <w:r>
        <w:rPr>
          <w:rFonts w:hint="eastAsia" w:ascii="宋体" w:hAnsi="宋体" w:eastAsia="宋体" w:cs="宋体"/>
          <w:bCs/>
          <w:color w:val="auto"/>
          <w:szCs w:val="21"/>
        </w:rPr>
        <w:t>》（第87号令）第六十条的规定，为防止有可能影响产品质量或者不能诚信履约，评标委员会认为投标人的报价明显低于其他通过符合性审查投标人的报价，应当要求其在评标现场合理的时间（30分钟）内提供书面说明，必要时提交相关证明材料；投标人不能证明其报价合理性的，评标委员会应当将其作为无效投标处理。</w:t>
      </w:r>
    </w:p>
    <w:p>
      <w:pPr>
        <w:pStyle w:val="25"/>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（五）根据财政部《关于印发&lt;政府采购促进中小企业发展暂行办法&gt;的通知》（财库[2011]181号）第五条的规定，对小型企业和微型企业产品的价格给予6%的扣除，用扣除后的价格参与评审。</w:t>
      </w:r>
    </w:p>
    <w:p>
      <w:pPr>
        <w:pStyle w:val="25"/>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即对投标人投标总价中的小型和微型企业产品的价格给予6%的扣除后加上原来未享受优惠政策的部分投标价格作为评标价计算价格分（投标人须按第六章格式如实填写中小企业声明函，在“投标报价表”备注栏注明小型和微型企业产品，否则不予价格扣除）。</w:t>
      </w:r>
    </w:p>
    <w:p>
      <w:pPr>
        <w:pStyle w:val="25"/>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根据财政部、司法部《关于政府采购支持监狱企业发展有关问题的通知》(财库[2014]68号)的规定，投标产品提供企业认定为监狱企业的，按在政府采购活动中，监狱企业视同小型、微型企业。监狱企业参加政府采购活动时，应当提供由省级以上监狱管理局、戒毒管理局(含新疆生产建设兵团)出具的属于监狱企业的证明文件。</w:t>
      </w:r>
    </w:p>
    <w:p>
      <w:pPr>
        <w:pStyle w:val="25"/>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根据《财政部民政部中国残疾人联合会关于促进残疾人就业政府采购政策的通知》（财库[2017]141号）的规定，投标产品提供企业认定为残疾人福利性单位的，按在政府采购活动中，残疾人福利性单位视同小型、微型企业。残疾人福利性单位参加政府采购活动时，应当提供《残疾人福利性单位声明函》，否则不予价格扣除。残疾人福利性单位属于小型、微型企业的，不重复享受政策。</w:t>
      </w:r>
    </w:p>
    <w:p>
      <w:pPr>
        <w:pStyle w:val="25"/>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（六）未享受优惠政策的投标人的投标报价即为评标价。</w:t>
      </w:r>
    </w:p>
    <w:p>
      <w:pPr>
        <w:pStyle w:val="25"/>
        <w:spacing w:line="440" w:lineRule="exact"/>
        <w:ind w:firstLine="420" w:firstLineChars="200"/>
        <w:rPr>
          <w:rFonts w:hint="eastAsia" w:ascii="宋体" w:hAnsi="宋体" w:eastAsia="宋体" w:cs="宋体"/>
          <w:bCs/>
          <w:color w:val="auto"/>
          <w:szCs w:val="21"/>
        </w:rPr>
      </w:pPr>
    </w:p>
    <w:p>
      <w:pPr>
        <w:pStyle w:val="25"/>
        <w:spacing w:line="440" w:lineRule="exact"/>
        <w:ind w:firstLine="420" w:firstLineChars="200"/>
        <w:rPr>
          <w:rFonts w:hint="eastAsia" w:ascii="宋体" w:hAnsi="宋体" w:eastAsia="宋体" w:cs="宋体"/>
          <w:bCs/>
          <w:color w:val="auto"/>
          <w:szCs w:val="21"/>
        </w:rPr>
      </w:pPr>
    </w:p>
    <w:p>
      <w:pPr>
        <w:pStyle w:val="25"/>
        <w:spacing w:line="440" w:lineRule="exact"/>
        <w:ind w:firstLine="420" w:firstLineChars="200"/>
        <w:rPr>
          <w:rFonts w:hint="eastAsia" w:ascii="宋体" w:hAnsi="宋体" w:eastAsia="宋体" w:cs="宋体"/>
          <w:bCs/>
          <w:color w:val="auto"/>
          <w:szCs w:val="21"/>
        </w:rPr>
      </w:pPr>
    </w:p>
    <w:p>
      <w:pPr>
        <w:pStyle w:val="25"/>
        <w:spacing w:line="400" w:lineRule="exact"/>
        <w:ind w:left="842" w:hanging="422"/>
        <w:rPr>
          <w:rFonts w:hint="eastAsia" w:ascii="宋体" w:hAnsi="宋体" w:eastAsia="宋体" w:cs="宋体"/>
          <w:b/>
          <w:color w:val="auto"/>
        </w:rPr>
      </w:pPr>
    </w:p>
    <w:p>
      <w:pPr>
        <w:pStyle w:val="25"/>
        <w:spacing w:line="400" w:lineRule="exact"/>
        <w:ind w:left="842" w:hanging="422"/>
        <w:rPr>
          <w:rFonts w:hint="eastAsia" w:ascii="宋体" w:hAnsi="宋体" w:eastAsia="宋体" w:cs="宋体"/>
          <w:b/>
          <w:color w:val="auto"/>
        </w:rPr>
      </w:pPr>
      <w:r>
        <w:rPr>
          <w:rFonts w:hint="eastAsia" w:ascii="宋体" w:hAnsi="宋体" w:eastAsia="宋体" w:cs="宋体"/>
          <w:b/>
          <w:color w:val="auto"/>
        </w:rPr>
        <w:br w:type="page"/>
      </w:r>
    </w:p>
    <w:p>
      <w:pPr>
        <w:jc w:val="left"/>
        <w:rPr>
          <w:rFonts w:hint="eastAsia" w:ascii="宋体" w:hAnsi="宋体" w:eastAsia="宋体" w:cs="宋体"/>
          <w:b/>
          <w:bCs/>
          <w:color w:val="auto"/>
        </w:rPr>
      </w:pPr>
      <w:r>
        <w:rPr>
          <w:rFonts w:hint="eastAsia" w:ascii="宋体" w:hAnsi="宋体" w:eastAsia="宋体" w:cs="宋体"/>
          <w:b/>
          <w:bCs/>
          <w:color w:val="auto"/>
        </w:rPr>
        <w:t>（二）投标文件的语言及计量</w:t>
      </w:r>
    </w:p>
    <w:p>
      <w:pPr>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▲1、投标文件以及投标方与招标方就有关投标事宜的所有来往函电，均应以中文汉语书写。除签名、盖章、专用名称等特殊情形外，以中文汉语以外的文字表述的投标文件视同未提供。</w:t>
      </w:r>
    </w:p>
    <w:p>
      <w:pPr>
        <w:snapToGrid w:val="0"/>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▲2、投标计量单位，招标文件已有明确规定的，使用招标文件规定的计量单位；招标文件没有规定的，应采用中华人民共和国法定计量单位（货币单位：人民币元），否则视同未响应。</w:t>
      </w:r>
    </w:p>
    <w:p>
      <w:pPr>
        <w:jc w:val="center"/>
        <w:rPr>
          <w:rFonts w:hint="eastAsia" w:ascii="宋体" w:hAnsi="宋体" w:eastAsia="宋体" w:cs="宋体"/>
          <w:b/>
          <w:bCs/>
          <w:color w:val="auto"/>
          <w:sz w:val="28"/>
          <w:szCs w:val="28"/>
        </w:rPr>
      </w:pPr>
    </w:p>
    <w:p>
      <w:pPr>
        <w:numPr>
          <w:ilvl w:val="0"/>
          <w:numId w:val="6"/>
        </w:numPr>
        <w:spacing w:line="360" w:lineRule="exact"/>
        <w:ind w:left="141" w:leftChars="67" w:right="141" w:rightChars="67"/>
        <w:rPr>
          <w:rFonts w:hint="eastAsia" w:ascii="宋体" w:hAnsi="宋体" w:eastAsia="宋体" w:cs="宋体"/>
          <w:color w:val="auto"/>
        </w:rPr>
      </w:pPr>
      <w:r>
        <w:rPr>
          <w:rFonts w:hint="eastAsia" w:ascii="宋体" w:hAnsi="宋体" w:eastAsia="宋体" w:cs="宋体"/>
          <w:b/>
          <w:bCs/>
          <w:color w:val="auto"/>
          <w:szCs w:val="20"/>
        </w:rPr>
        <w:t>评标方法（按四舍五入取至百分位）</w:t>
      </w:r>
    </w:p>
    <w:p>
      <w:pPr>
        <w:pStyle w:val="25"/>
        <w:spacing w:line="360" w:lineRule="exact"/>
        <w:rPr>
          <w:rFonts w:hint="eastAsia" w:ascii="宋体" w:hAnsi="宋体" w:eastAsia="宋体" w:cs="宋体"/>
          <w:b/>
          <w:bCs/>
          <w:color w:val="auto"/>
          <w:szCs w:val="21"/>
        </w:rPr>
      </w:pPr>
      <w:r>
        <w:rPr>
          <w:rFonts w:hint="eastAsia" w:ascii="宋体" w:hAnsi="宋体" w:eastAsia="宋体" w:cs="宋体"/>
          <w:b/>
          <w:bCs/>
          <w:color w:val="auto"/>
          <w:szCs w:val="21"/>
        </w:rPr>
        <w:t>根据“财政部令第87号”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jc w:val="left"/>
        <w:rPr>
          <w:rFonts w:hint="eastAsia" w:ascii="宋体" w:hAnsi="宋体" w:eastAsia="宋体" w:cs="宋体"/>
          <w:b/>
          <w:color w:val="auto"/>
        </w:rPr>
      </w:pPr>
    </w:p>
    <w:p>
      <w:pPr>
        <w:rPr>
          <w:rFonts w:hint="eastAsia" w:ascii="宋体" w:hAnsi="宋体" w:eastAsia="宋体" w:cs="宋体"/>
          <w:b/>
          <w:bCs/>
          <w:color w:val="auto"/>
        </w:rPr>
      </w:pPr>
      <w:r>
        <w:rPr>
          <w:rFonts w:hint="eastAsia" w:ascii="宋体" w:hAnsi="宋体" w:eastAsia="宋体" w:cs="宋体"/>
          <w:b/>
          <w:bCs/>
          <w:color w:val="auto"/>
        </w:rPr>
        <w:t xml:space="preserve"> (一) 价格分……………………………………………………………………………20分</w:t>
      </w:r>
    </w:p>
    <w:p>
      <w:pPr>
        <w:pStyle w:val="25"/>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价格分采用低价优先法计算，即满足招标文件要求且投标价格最低的投标报价为评标基准价，其价格分为满分。其他投标人的价格分统一按照下列公式计算：</w:t>
      </w:r>
    </w:p>
    <w:p>
      <w:pPr>
        <w:pStyle w:val="29"/>
        <w:spacing w:line="360" w:lineRule="auto"/>
        <w:ind w:firstLine="1680" w:firstLineChars="7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投标报价得分=(评标基准价／投标报价)×20</w:t>
      </w:r>
    </w:p>
    <w:p>
      <w:pPr>
        <w:rPr>
          <w:rFonts w:hint="eastAsia" w:ascii="宋体" w:hAnsi="宋体" w:eastAsia="宋体" w:cs="宋体"/>
          <w:b/>
          <w:bCs/>
          <w:color w:val="auto"/>
        </w:rPr>
      </w:pPr>
      <w:r>
        <w:rPr>
          <w:rFonts w:hint="eastAsia" w:ascii="宋体" w:hAnsi="宋体" w:eastAsia="宋体" w:cs="宋体"/>
          <w:b/>
          <w:bCs/>
          <w:color w:val="auto"/>
        </w:rPr>
        <w:t>(二)技术分………………………………………………………………………………</w:t>
      </w:r>
      <w:r>
        <w:rPr>
          <w:rFonts w:hint="eastAsia" w:ascii="宋体" w:hAnsi="宋体" w:eastAsia="宋体" w:cs="宋体"/>
          <w:b/>
          <w:bCs/>
          <w:color w:val="auto"/>
          <w:lang w:val="en-US" w:eastAsia="zh-CN"/>
        </w:rPr>
        <w:t>66</w:t>
      </w:r>
      <w:r>
        <w:rPr>
          <w:rFonts w:hint="eastAsia" w:ascii="宋体" w:hAnsi="宋体" w:eastAsia="宋体" w:cs="宋体"/>
          <w:b/>
          <w:bCs/>
          <w:color w:val="auto"/>
        </w:rPr>
        <w:t>分</w:t>
      </w:r>
    </w:p>
    <w:p>
      <w:pP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（1）质量保证措施分，满分15分。</w:t>
      </w:r>
    </w:p>
    <w:p>
      <w:pPr>
        <w:spacing w:line="440" w:lineRule="exac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一档（0-5分）：供应商能提供基本质量保证措施的，质量保证及质量承诺基本符合项目需求，承诺项目成果质量为合格或良好，无内部质量管理奖罚措施。</w:t>
      </w:r>
    </w:p>
    <w:p>
      <w:pPr>
        <w:spacing w:line="440" w:lineRule="exac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二档（5.1-10分）：供应商能提供具体质量保证措施的，且措施合理、操作性强的，质量保证及质量承诺基本符合项目需求，承诺项目成果质量为合格或良好，有内部质量管理奖罚措施。</w:t>
      </w:r>
    </w:p>
    <w:p>
      <w:pPr>
        <w:spacing w:line="440" w:lineRule="exac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三档（10.1-15分）：供应商能提供具体、详细的质量保证措施的，且措施合理、可控性强，有明确的质量管理体系，有内部质量管理奖罚措施，承诺项目成果质量为优秀。</w:t>
      </w:r>
    </w:p>
    <w:p>
      <w:pPr>
        <w:pStyle w:val="25"/>
        <w:spacing w:line="44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（2）技术实施方案分，满分</w:t>
      </w:r>
      <w:r>
        <w:rPr>
          <w:rFonts w:hint="eastAsia" w:ascii="宋体" w:hAnsi="宋体" w:eastAsia="宋体" w:cs="宋体"/>
          <w:b/>
          <w:color w:val="auto"/>
          <w:sz w:val="24"/>
          <w:szCs w:val="24"/>
          <w:lang w:val="en-US" w:eastAsia="zh-CN"/>
        </w:rPr>
        <w:t>30</w:t>
      </w:r>
      <w:r>
        <w:rPr>
          <w:rFonts w:hint="eastAsia" w:ascii="宋体" w:hAnsi="宋体" w:eastAsia="宋体" w:cs="宋体"/>
          <w:b/>
          <w:color w:val="auto"/>
          <w:sz w:val="24"/>
          <w:szCs w:val="24"/>
        </w:rPr>
        <w:t>分。</w:t>
      </w:r>
    </w:p>
    <w:p>
      <w:pPr>
        <w:pStyle w:val="25"/>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技术实施方案和质量保证措施的完整性、可行性、针对性是否能满足工程要求。</w:t>
      </w:r>
    </w:p>
    <w:p>
      <w:pPr>
        <w:pStyle w:val="25"/>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一档（0-</w:t>
      </w: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rPr>
        <w:t>分）：技术实施方案不全，技术路线设计不规范，技术方法没有针对性，技术措施不合理；投标人能提供简单的实施方案，基本阐述清楚实施方法。</w:t>
      </w:r>
    </w:p>
    <w:p>
      <w:pPr>
        <w:pStyle w:val="25"/>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二档（</w:t>
      </w: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20</w:t>
      </w:r>
      <w:r>
        <w:rPr>
          <w:rFonts w:hint="eastAsia" w:ascii="宋体" w:hAnsi="宋体" w:eastAsia="宋体" w:cs="宋体"/>
          <w:bCs/>
          <w:color w:val="auto"/>
          <w:sz w:val="24"/>
          <w:szCs w:val="24"/>
        </w:rPr>
        <w:t>分）：技术实施方案较全，技术路线设计较规范，技术方法较有针对性，技术措施较合理；投标人提供的整体实施方案有简单的项目管理组织机构图、工作安排能说明人员安排及规划进度安排</w:t>
      </w:r>
      <w:r>
        <w:rPr>
          <w:rFonts w:hint="eastAsia" w:ascii="宋体" w:hAnsi="宋体" w:eastAsia="宋体" w:cs="宋体"/>
          <w:color w:val="auto"/>
          <w:sz w:val="24"/>
          <w:szCs w:val="24"/>
        </w:rPr>
        <w:t>，</w:t>
      </w:r>
      <w:r>
        <w:rPr>
          <w:rFonts w:hint="eastAsia" w:ascii="宋体" w:hAnsi="宋体" w:eastAsia="宋体" w:cs="宋体"/>
          <w:bCs/>
          <w:color w:val="auto"/>
          <w:sz w:val="24"/>
          <w:szCs w:val="24"/>
        </w:rPr>
        <w:t>有一定的可操作性。</w:t>
      </w:r>
    </w:p>
    <w:p>
      <w:pPr>
        <w:pStyle w:val="25"/>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三档（</w:t>
      </w:r>
      <w:r>
        <w:rPr>
          <w:rFonts w:hint="eastAsia" w:ascii="宋体" w:hAnsi="宋体" w:eastAsia="宋体" w:cs="宋体"/>
          <w:bCs/>
          <w:color w:val="auto"/>
          <w:sz w:val="24"/>
          <w:szCs w:val="24"/>
          <w:lang w:val="en-US" w:eastAsia="zh-CN"/>
        </w:rPr>
        <w:t>20</w:t>
      </w: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30</w:t>
      </w:r>
      <w:r>
        <w:rPr>
          <w:rFonts w:hint="eastAsia" w:ascii="宋体" w:hAnsi="宋体" w:eastAsia="宋体" w:cs="宋体"/>
          <w:bCs/>
          <w:color w:val="auto"/>
          <w:sz w:val="24"/>
          <w:szCs w:val="24"/>
        </w:rPr>
        <w:t>分）：投标人提供详细、完整的实施方案，具有较完备的管理组织图，对项目实施过程中重点难点有详细分析，详细说明各个阶段工作、人员安排，阐述清楚实施组织办法，确保项目在计划工期内按时按质完成，技术路线设计规范有效，技术方法有很强的针对性，技术措施合理</w:t>
      </w:r>
      <w:r>
        <w:rPr>
          <w:rFonts w:hint="eastAsia" w:ascii="宋体" w:hAnsi="宋体" w:eastAsia="宋体" w:cs="宋体"/>
          <w:color w:val="auto"/>
          <w:sz w:val="24"/>
          <w:szCs w:val="24"/>
        </w:rPr>
        <w:t>，</w:t>
      </w:r>
      <w:r>
        <w:rPr>
          <w:rFonts w:hint="eastAsia" w:ascii="宋体" w:hAnsi="宋体" w:eastAsia="宋体" w:cs="宋体"/>
          <w:bCs/>
          <w:color w:val="auto"/>
          <w:sz w:val="24"/>
          <w:szCs w:val="24"/>
        </w:rPr>
        <w:t>方案表述清晰、完整、严谨、合理，可操作性强的。</w:t>
      </w:r>
    </w:p>
    <w:p>
      <w:pPr>
        <w:pStyle w:val="25"/>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注：拟投入人员提供（职业资格证书、职称证书、身份证等）复印件并加盖单位公章，提供项目上述人员</w:t>
      </w:r>
      <w:r>
        <w:rPr>
          <w:rFonts w:hint="eastAsia" w:ascii="宋体" w:hAnsi="宋体" w:eastAsia="宋体" w:cs="宋体"/>
          <w:bCs/>
          <w:color w:val="auto"/>
          <w:sz w:val="24"/>
          <w:szCs w:val="24"/>
          <w:lang w:val="en-US" w:eastAsia="zh-CN"/>
        </w:rPr>
        <w:t>2020年度</w:t>
      </w:r>
      <w:r>
        <w:rPr>
          <w:rFonts w:hint="eastAsia" w:ascii="宋体" w:hAnsi="宋体" w:eastAsia="宋体" w:cs="宋体"/>
          <w:bCs/>
          <w:color w:val="auto"/>
          <w:sz w:val="24"/>
          <w:szCs w:val="24"/>
        </w:rPr>
        <w:t>连续三个月在本单位购买社会保险的证明复印件，事业单位的出具单位证明材料；否则不予计分。</w:t>
      </w:r>
    </w:p>
    <w:p>
      <w:pPr>
        <w:pStyle w:val="25"/>
        <w:spacing w:line="44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（3）项目进度计划和保证措施分，满分</w:t>
      </w:r>
      <w:r>
        <w:rPr>
          <w:rFonts w:hint="eastAsia" w:ascii="宋体" w:hAnsi="宋体" w:eastAsia="宋体" w:cs="宋体"/>
          <w:b/>
          <w:color w:val="auto"/>
          <w:sz w:val="24"/>
          <w:szCs w:val="24"/>
          <w:lang w:val="en-US" w:eastAsia="zh-CN"/>
        </w:rPr>
        <w:t>21</w:t>
      </w:r>
      <w:r>
        <w:rPr>
          <w:rFonts w:hint="eastAsia" w:ascii="宋体" w:hAnsi="宋体" w:eastAsia="宋体" w:cs="宋体"/>
          <w:b/>
          <w:color w:val="auto"/>
          <w:sz w:val="24"/>
          <w:szCs w:val="24"/>
        </w:rPr>
        <w:t>分。</w:t>
      </w:r>
    </w:p>
    <w:p>
      <w:pPr>
        <w:pStyle w:val="25"/>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一档（0-</w:t>
      </w: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分）：项目工期及各主要阶段进度安排基本满足招标文件的要求，有简单的保证工期的措施，</w:t>
      </w:r>
      <w:r>
        <w:rPr>
          <w:rFonts w:hint="eastAsia" w:ascii="宋体" w:hAnsi="宋体" w:eastAsia="宋体" w:cs="宋体"/>
          <w:color w:val="auto"/>
          <w:sz w:val="24"/>
          <w:szCs w:val="24"/>
        </w:rPr>
        <w:t>应急预案一般</w:t>
      </w:r>
      <w:r>
        <w:rPr>
          <w:rFonts w:hint="eastAsia" w:ascii="宋体" w:hAnsi="宋体" w:eastAsia="宋体" w:cs="宋体"/>
          <w:bCs/>
          <w:color w:val="auto"/>
          <w:sz w:val="24"/>
          <w:szCs w:val="24"/>
        </w:rPr>
        <w:t>。</w:t>
      </w:r>
    </w:p>
    <w:p>
      <w:pPr>
        <w:pStyle w:val="25"/>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二档（</w:t>
      </w: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.1-1</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分）：项目进度安排满足招标文件中工期要求，制定较为明确的进度计划表，项目进度保障措施较为合理，具有较为明确的作业快报制度，</w:t>
      </w:r>
      <w:r>
        <w:rPr>
          <w:rFonts w:hint="eastAsia" w:ascii="宋体" w:hAnsi="宋体" w:eastAsia="宋体" w:cs="宋体"/>
          <w:color w:val="auto"/>
          <w:sz w:val="24"/>
          <w:szCs w:val="24"/>
        </w:rPr>
        <w:t>应急预案较为详细、合理，针对性较强</w:t>
      </w:r>
      <w:r>
        <w:rPr>
          <w:rFonts w:hint="eastAsia" w:ascii="宋体" w:hAnsi="宋体" w:eastAsia="宋体" w:cs="宋体"/>
          <w:bCs/>
          <w:color w:val="auto"/>
          <w:sz w:val="24"/>
          <w:szCs w:val="24"/>
        </w:rPr>
        <w:t>，能基本满足本项目总体要求。</w:t>
      </w:r>
    </w:p>
    <w:p>
      <w:pPr>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bCs/>
          <w:color w:val="auto"/>
          <w:sz w:val="24"/>
        </w:rPr>
        <w:t>三档（1</w:t>
      </w:r>
      <w:r>
        <w:rPr>
          <w:rFonts w:hint="eastAsia" w:ascii="宋体" w:hAnsi="宋体" w:eastAsia="宋体" w:cs="宋体"/>
          <w:bCs/>
          <w:color w:val="auto"/>
          <w:sz w:val="24"/>
          <w:lang w:val="en-US" w:eastAsia="zh-CN"/>
        </w:rPr>
        <w:t>4</w:t>
      </w:r>
      <w:r>
        <w:rPr>
          <w:rFonts w:hint="eastAsia" w:ascii="宋体" w:hAnsi="宋体" w:eastAsia="宋体" w:cs="宋体"/>
          <w:bCs/>
          <w:color w:val="auto"/>
          <w:sz w:val="24"/>
        </w:rPr>
        <w:t>.1-</w:t>
      </w:r>
      <w:r>
        <w:rPr>
          <w:rFonts w:hint="eastAsia" w:ascii="宋体" w:hAnsi="宋体" w:eastAsia="宋体" w:cs="宋体"/>
          <w:bCs/>
          <w:color w:val="auto"/>
          <w:sz w:val="24"/>
          <w:lang w:val="en-US" w:eastAsia="zh-CN"/>
        </w:rPr>
        <w:t>21</w:t>
      </w:r>
      <w:r>
        <w:rPr>
          <w:rFonts w:hint="eastAsia" w:ascii="宋体" w:hAnsi="宋体" w:eastAsia="宋体" w:cs="宋体"/>
          <w:bCs/>
          <w:color w:val="auto"/>
          <w:sz w:val="24"/>
        </w:rPr>
        <w:t>分）：项目进度安排满足招标文件中工期要求，制定详细的明确的进度计划表，项目进度保障措施合理，科学有效，具有明确的作业快报制度，</w:t>
      </w:r>
      <w:r>
        <w:rPr>
          <w:rFonts w:hint="eastAsia" w:ascii="宋体" w:hAnsi="宋体" w:eastAsia="宋体" w:cs="宋体"/>
          <w:color w:val="auto"/>
          <w:sz w:val="24"/>
        </w:rPr>
        <w:t>应急预案详细、全面、合理，可行性及针对性强</w:t>
      </w:r>
      <w:r>
        <w:rPr>
          <w:rFonts w:hint="eastAsia" w:ascii="宋体" w:hAnsi="宋体" w:eastAsia="宋体" w:cs="宋体"/>
          <w:bCs/>
          <w:color w:val="auto"/>
          <w:sz w:val="24"/>
        </w:rPr>
        <w:t>，完全满足本项目总体要求。</w:t>
      </w:r>
    </w:p>
    <w:p>
      <w:pPr>
        <w:spacing w:line="360" w:lineRule="auto"/>
        <w:rPr>
          <w:rFonts w:hint="eastAsia" w:ascii="宋体" w:hAnsi="宋体" w:eastAsia="宋体" w:cs="宋体"/>
          <w:b/>
          <w:bCs/>
          <w:color w:val="auto"/>
        </w:rPr>
      </w:pPr>
      <w:r>
        <w:rPr>
          <w:rFonts w:hint="eastAsia" w:ascii="宋体" w:hAnsi="宋体" w:eastAsia="宋体" w:cs="宋体"/>
          <w:b/>
          <w:bCs/>
          <w:color w:val="auto"/>
        </w:rPr>
        <w:t>(三) 商务分……………………………………………………………………………</w:t>
      </w:r>
      <w:r>
        <w:rPr>
          <w:rFonts w:hint="eastAsia" w:ascii="宋体" w:hAnsi="宋体" w:eastAsia="宋体" w:cs="宋体"/>
          <w:b/>
          <w:bCs/>
          <w:color w:val="auto"/>
          <w:lang w:val="en-US" w:eastAsia="zh-CN"/>
        </w:rPr>
        <w:t>14</w:t>
      </w:r>
      <w:r>
        <w:rPr>
          <w:rFonts w:hint="eastAsia" w:ascii="宋体" w:hAnsi="宋体" w:eastAsia="宋体" w:cs="宋体"/>
          <w:b/>
          <w:bCs/>
          <w:color w:val="auto"/>
        </w:rPr>
        <w:t>分</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 1 \* GB3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①</w:t>
      </w:r>
      <w:r>
        <w:rPr>
          <w:rFonts w:hint="eastAsia" w:ascii="宋体" w:hAnsi="宋体" w:eastAsia="宋体" w:cs="宋体"/>
          <w:bCs/>
          <w:color w:val="auto"/>
          <w:sz w:val="24"/>
        </w:rPr>
        <w:fldChar w:fldCharType="end"/>
      </w:r>
      <w:r>
        <w:rPr>
          <w:rFonts w:hint="eastAsia" w:ascii="宋体" w:hAnsi="宋体" w:eastAsia="宋体" w:cs="宋体"/>
          <w:bCs/>
          <w:color w:val="auto"/>
          <w:sz w:val="24"/>
        </w:rPr>
        <w:t>自201</w:t>
      </w:r>
      <w:r>
        <w:rPr>
          <w:rFonts w:hint="eastAsia" w:ascii="宋体" w:hAnsi="宋体" w:eastAsia="宋体" w:cs="宋体"/>
          <w:bCs/>
          <w:color w:val="auto"/>
          <w:sz w:val="24"/>
          <w:lang w:val="en-US" w:eastAsia="zh-CN"/>
        </w:rPr>
        <w:t>7</w:t>
      </w:r>
      <w:r>
        <w:rPr>
          <w:rFonts w:hint="eastAsia" w:ascii="宋体" w:hAnsi="宋体" w:eastAsia="宋体" w:cs="宋体"/>
          <w:bCs/>
          <w:color w:val="auto"/>
          <w:sz w:val="24"/>
        </w:rPr>
        <w:t>年1月1日至</w:t>
      </w:r>
      <w:r>
        <w:rPr>
          <w:rFonts w:hint="eastAsia" w:ascii="宋体" w:hAnsi="宋体" w:eastAsia="宋体" w:cs="宋体"/>
          <w:bCs/>
          <w:color w:val="auto"/>
          <w:sz w:val="24"/>
          <w:lang w:eastAsia="zh-CN"/>
        </w:rPr>
        <w:t>截标时间</w:t>
      </w:r>
      <w:r>
        <w:rPr>
          <w:rFonts w:hint="eastAsia" w:ascii="宋体" w:hAnsi="宋体" w:eastAsia="宋体" w:cs="宋体"/>
          <w:bCs/>
          <w:color w:val="auto"/>
          <w:sz w:val="24"/>
        </w:rPr>
        <w:t>，供应商承接或完成过区域性地震安全性评价业绩的；承接或完成过城市活动断层探测业绩的</w:t>
      </w:r>
      <w:r>
        <w:rPr>
          <w:rFonts w:hint="eastAsia" w:ascii="宋体" w:hAnsi="宋体" w:eastAsia="宋体" w:cs="宋体"/>
          <w:bCs/>
          <w:color w:val="auto"/>
          <w:sz w:val="24"/>
          <w:lang w:eastAsia="zh-CN"/>
        </w:rPr>
        <w:t>；</w:t>
      </w:r>
      <w:r>
        <w:rPr>
          <w:rFonts w:hint="eastAsia" w:ascii="宋体" w:hAnsi="宋体" w:eastAsia="宋体" w:cs="宋体"/>
          <w:bCs/>
          <w:color w:val="auto"/>
          <w:sz w:val="24"/>
          <w:szCs w:val="24"/>
        </w:rPr>
        <w:t>承接或完成过地震小区划或地震动参数区划业绩的</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每</w:t>
      </w:r>
      <w:r>
        <w:rPr>
          <w:rFonts w:hint="eastAsia" w:ascii="宋体" w:hAnsi="宋体" w:eastAsia="宋体" w:cs="宋体"/>
          <w:bCs/>
          <w:color w:val="auto"/>
          <w:sz w:val="24"/>
          <w:szCs w:val="24"/>
          <w:lang w:eastAsia="zh-CN"/>
        </w:rPr>
        <w:t>个</w:t>
      </w:r>
      <w:r>
        <w:rPr>
          <w:rFonts w:hint="eastAsia" w:ascii="宋体" w:hAnsi="宋体" w:eastAsia="宋体" w:cs="宋体"/>
          <w:bCs/>
          <w:color w:val="auto"/>
          <w:sz w:val="24"/>
          <w:szCs w:val="24"/>
        </w:rPr>
        <w:t>得</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分，满分</w:t>
      </w: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rPr>
        <w:t>分（提供合同复印件）。</w:t>
      </w:r>
    </w:p>
    <w:p>
      <w:pPr>
        <w:pStyle w:val="25"/>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Cs/>
          <w:color w:val="auto"/>
          <w:sz w:val="24"/>
        </w:rPr>
        <w:t>②</w:t>
      </w:r>
      <w:r>
        <w:rPr>
          <w:rFonts w:hint="eastAsia" w:ascii="宋体" w:hAnsi="宋体" w:eastAsia="宋体" w:cs="宋体"/>
          <w:b w:val="0"/>
          <w:bCs/>
          <w:color w:val="auto"/>
          <w:sz w:val="24"/>
          <w:szCs w:val="24"/>
        </w:rPr>
        <w:t>供应商自2017年1月1日</w:t>
      </w:r>
      <w:r>
        <w:rPr>
          <w:rFonts w:hint="eastAsia" w:ascii="宋体" w:hAnsi="宋体" w:eastAsia="宋体" w:cs="宋体"/>
          <w:bCs/>
          <w:color w:val="auto"/>
          <w:sz w:val="24"/>
          <w:lang w:eastAsia="zh-CN"/>
        </w:rPr>
        <w:t>截标时间</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eastAsia="zh-CN"/>
        </w:rPr>
        <w:t>完成的项目属于</w:t>
      </w:r>
      <w:r>
        <w:rPr>
          <w:rFonts w:hint="eastAsia" w:ascii="宋体" w:hAnsi="宋体" w:eastAsia="宋体" w:cs="宋体"/>
          <w:b w:val="0"/>
          <w:bCs/>
          <w:color w:val="auto"/>
          <w:sz w:val="24"/>
          <w:szCs w:val="24"/>
        </w:rPr>
        <w:t>国家重大</w:t>
      </w:r>
      <w:r>
        <w:rPr>
          <w:rFonts w:hint="eastAsia" w:ascii="宋体" w:hAnsi="宋体" w:eastAsia="宋体" w:cs="宋体"/>
          <w:bCs/>
          <w:color w:val="auto"/>
          <w:sz w:val="24"/>
          <w:szCs w:val="24"/>
        </w:rPr>
        <w:t>战略</w:t>
      </w:r>
      <w:r>
        <w:rPr>
          <w:rFonts w:hint="eastAsia" w:ascii="宋体" w:hAnsi="宋体" w:eastAsia="宋体" w:cs="宋体"/>
          <w:b w:val="0"/>
          <w:bCs/>
          <w:color w:val="auto"/>
          <w:sz w:val="24"/>
          <w:szCs w:val="24"/>
        </w:rPr>
        <w:t>工程地震安全性评价相关业绩的，每项得</w:t>
      </w:r>
      <w:r>
        <w:rPr>
          <w:rFonts w:hint="eastAsia" w:ascii="宋体" w:hAnsi="宋体" w:eastAsia="宋体" w:cs="宋体"/>
          <w:bCs/>
          <w:color w:val="auto"/>
          <w:sz w:val="24"/>
          <w:szCs w:val="24"/>
          <w:lang w:val="en-US" w:eastAsia="zh-CN"/>
        </w:rPr>
        <w:t>5</w:t>
      </w:r>
      <w:r>
        <w:rPr>
          <w:rFonts w:hint="eastAsia" w:ascii="宋体" w:hAnsi="宋体" w:eastAsia="宋体" w:cs="宋体"/>
          <w:b w:val="0"/>
          <w:bCs/>
          <w:color w:val="auto"/>
          <w:sz w:val="24"/>
          <w:szCs w:val="24"/>
        </w:rPr>
        <w:t>分，满分</w:t>
      </w:r>
      <w:r>
        <w:rPr>
          <w:rFonts w:hint="eastAsia" w:ascii="宋体" w:hAnsi="宋体" w:eastAsia="宋体" w:cs="宋体"/>
          <w:bCs/>
          <w:color w:val="auto"/>
          <w:sz w:val="24"/>
          <w:szCs w:val="24"/>
          <w:lang w:val="en-US" w:eastAsia="zh-CN"/>
        </w:rPr>
        <w:t>5</w:t>
      </w:r>
      <w:r>
        <w:rPr>
          <w:rFonts w:hint="eastAsia" w:ascii="宋体" w:hAnsi="宋体" w:eastAsia="宋体" w:cs="宋体"/>
          <w:b w:val="0"/>
          <w:bCs/>
          <w:color w:val="auto"/>
          <w:sz w:val="24"/>
          <w:szCs w:val="24"/>
        </w:rPr>
        <w:t>分</w:t>
      </w:r>
      <w:r>
        <w:rPr>
          <w:rFonts w:hint="eastAsia" w:ascii="宋体" w:hAnsi="宋体" w:eastAsia="宋体" w:cs="宋体"/>
          <w:bCs/>
          <w:color w:val="auto"/>
          <w:sz w:val="24"/>
          <w:szCs w:val="24"/>
        </w:rPr>
        <w:t>（提供合同复印件）。</w:t>
      </w:r>
    </w:p>
    <w:p>
      <w:pPr>
        <w:rPr>
          <w:rFonts w:hint="eastAsia" w:ascii="宋体" w:hAnsi="宋体" w:eastAsia="宋体" w:cs="宋体"/>
          <w:b/>
          <w:bCs/>
          <w:color w:val="auto"/>
        </w:rPr>
      </w:pPr>
      <w:r>
        <w:rPr>
          <w:rFonts w:hint="eastAsia" w:ascii="宋体" w:hAnsi="宋体" w:eastAsia="宋体" w:cs="宋体"/>
          <w:b/>
          <w:bCs/>
          <w:color w:val="auto"/>
        </w:rPr>
        <w:t>（四）总得分 =（一）+（二）+（三）</w:t>
      </w:r>
    </w:p>
    <w:p>
      <w:pPr>
        <w:rPr>
          <w:rFonts w:hint="eastAsia" w:ascii="宋体" w:hAnsi="宋体" w:eastAsia="宋体" w:cs="宋体"/>
          <w:color w:val="auto"/>
        </w:rPr>
      </w:pPr>
    </w:p>
    <w:p>
      <w:pPr>
        <w:pStyle w:val="25"/>
        <w:spacing w:line="360" w:lineRule="auto"/>
        <w:ind w:firstLine="211" w:firstLineChars="100"/>
        <w:jc w:val="left"/>
        <w:rPr>
          <w:rFonts w:hint="eastAsia" w:ascii="宋体" w:hAnsi="宋体" w:eastAsia="宋体" w:cs="宋体"/>
          <w:b/>
          <w:color w:val="auto"/>
        </w:rPr>
      </w:pPr>
      <w:r>
        <w:rPr>
          <w:rFonts w:hint="eastAsia" w:ascii="宋体" w:hAnsi="宋体" w:eastAsia="宋体" w:cs="宋体"/>
          <w:b/>
          <w:color w:val="auto"/>
        </w:rPr>
        <w:t>三、推荐中标候选供应商原则</w:t>
      </w:r>
    </w:p>
    <w:p>
      <w:pPr>
        <w:pStyle w:val="25"/>
        <w:tabs>
          <w:tab w:val="left" w:pos="4214"/>
        </w:tabs>
        <w:spacing w:line="500" w:lineRule="exact"/>
        <w:jc w:val="left"/>
        <w:rPr>
          <w:rFonts w:hint="eastAsia" w:ascii="宋体" w:hAnsi="宋体" w:eastAsia="宋体" w:cs="宋体"/>
          <w:color w:val="auto"/>
        </w:rPr>
      </w:pPr>
      <w:r>
        <w:rPr>
          <w:rFonts w:hint="eastAsia" w:ascii="宋体" w:hAnsi="宋体" w:eastAsia="宋体" w:cs="宋体"/>
          <w:color w:val="auto"/>
        </w:rPr>
        <w:t>（1）评标委员会根据综合得分由高到低排列次序，若得分相同时，以评标报价由低到高顺序排列；若得分相同且评标报价相同的，以投标报价由低到高顺序排列；若仍相同的，按综合性能分由高到低顺序排列并推荐中标候选供应商。</w:t>
      </w:r>
    </w:p>
    <w:p>
      <w:pPr>
        <w:pStyle w:val="25"/>
        <w:tabs>
          <w:tab w:val="left" w:pos="4214"/>
        </w:tabs>
        <w:spacing w:line="500" w:lineRule="exact"/>
        <w:jc w:val="left"/>
        <w:rPr>
          <w:rFonts w:hint="eastAsia" w:ascii="宋体" w:hAnsi="宋体" w:eastAsia="宋体" w:cs="宋体"/>
          <w:color w:val="auto"/>
        </w:rPr>
      </w:pPr>
      <w:r>
        <w:rPr>
          <w:rFonts w:hint="eastAsia" w:ascii="宋体" w:hAnsi="宋体" w:eastAsia="宋体" w:cs="宋体"/>
          <w:color w:val="auto"/>
        </w:rPr>
        <w:t>（2）进入详评的投标人为五家以上(含五家)的，可推荐前三名为中标候选供应商，进入详评的投标人为四家以下(含四家)的，可推荐前两名为中标候选供应商。招标采购单位应当确定评审委员会推荐排名第一的中标候选供应商为中标供应商。</w:t>
      </w:r>
    </w:p>
    <w:p>
      <w:pPr>
        <w:pStyle w:val="25"/>
        <w:spacing w:line="500" w:lineRule="exact"/>
        <w:jc w:val="left"/>
        <w:rPr>
          <w:rFonts w:hint="eastAsia" w:ascii="宋体" w:hAnsi="宋体" w:eastAsia="宋体" w:cs="宋体"/>
          <w:color w:val="auto"/>
        </w:rPr>
      </w:pPr>
      <w:r>
        <w:rPr>
          <w:rFonts w:hint="eastAsia" w:ascii="宋体" w:hAnsi="宋体" w:eastAsia="宋体" w:cs="宋体"/>
          <w:color w:val="auto"/>
        </w:rPr>
        <w:t>（3）排名第一的中标候选供应商放弃中标、因不可抗力提出不能履行合同的，招标采购单位可以确定排名第二的中标候选供应商为中标供应商，以此类推；或重新招标。</w:t>
      </w:r>
    </w:p>
    <w:p>
      <w:pPr>
        <w:pStyle w:val="25"/>
        <w:spacing w:line="500" w:lineRule="exact"/>
        <w:jc w:val="left"/>
        <w:rPr>
          <w:rFonts w:hint="eastAsia" w:ascii="宋体" w:hAnsi="宋体" w:eastAsia="宋体" w:cs="宋体"/>
          <w:color w:val="auto"/>
        </w:rPr>
      </w:pPr>
      <w:r>
        <w:rPr>
          <w:rFonts w:hint="eastAsia" w:ascii="宋体" w:hAnsi="宋体" w:eastAsia="宋体" w:cs="宋体"/>
          <w:color w:val="auto"/>
        </w:rPr>
        <w:t>（4）评标委员会认为，某投标人的最低投标价或者某些分项报价明显不合理或者低于成本，有可能影响货物质量和不能诚信履约的，应当要求其在规定的期限内提供书面文件予以解释说明，并提交相关证明材料，否则，评标委员会可以取消该投标人的中标候选供应商资格，按顺序由排在后面的中标候选供应商递补，以此类推。</w:t>
      </w:r>
    </w:p>
    <w:p>
      <w:pPr>
        <w:rPr>
          <w:rFonts w:hint="eastAsia" w:ascii="宋体" w:hAnsi="宋体" w:eastAsia="宋体" w:cs="宋体"/>
          <w:color w:val="auto"/>
        </w:rPr>
      </w:pPr>
      <w:r>
        <w:rPr>
          <w:rFonts w:hint="eastAsia" w:ascii="宋体" w:hAnsi="宋体" w:eastAsia="宋体" w:cs="宋体"/>
          <w:color w:val="auto"/>
        </w:rPr>
        <w:br w:type="page"/>
      </w:r>
    </w:p>
    <w:bookmarkEnd w:id="91"/>
    <w:bookmarkEnd w:id="92"/>
    <w:p>
      <w:pPr>
        <w:pStyle w:val="3"/>
        <w:numPr>
          <w:ilvl w:val="0"/>
          <w:numId w:val="7"/>
        </w:numPr>
        <w:spacing w:line="360" w:lineRule="auto"/>
        <w:rPr>
          <w:rFonts w:hint="eastAsia" w:ascii="宋体" w:hAnsi="宋体" w:eastAsia="宋体" w:cs="宋体"/>
          <w:color w:val="auto"/>
        </w:rPr>
      </w:pPr>
      <w:bookmarkStart w:id="93" w:name="_Toc31287"/>
      <w:r>
        <w:rPr>
          <w:rFonts w:hint="eastAsia" w:ascii="宋体" w:hAnsi="宋体" w:eastAsia="宋体" w:cs="宋体"/>
          <w:color w:val="auto"/>
        </w:rPr>
        <w:t>合同主要条款格式</w:t>
      </w:r>
      <w:bookmarkEnd w:id="93"/>
      <w:r>
        <w:rPr>
          <w:rFonts w:hint="eastAsia" w:ascii="宋体" w:hAnsi="宋体" w:eastAsia="宋体" w:cs="宋体"/>
          <w:color w:val="auto"/>
        </w:rPr>
        <w:t xml:space="preserve"> </w:t>
      </w:r>
    </w:p>
    <w:p>
      <w:pPr>
        <w:rPr>
          <w:rFonts w:hint="eastAsia" w:ascii="宋体" w:hAnsi="宋体" w:eastAsia="宋体" w:cs="宋体"/>
          <w:color w:val="auto"/>
          <w:sz w:val="28"/>
          <w:szCs w:val="28"/>
        </w:rPr>
      </w:pPr>
      <w:r>
        <w:rPr>
          <w:rFonts w:hint="eastAsia" w:ascii="宋体" w:hAnsi="宋体" w:eastAsia="宋体" w:cs="宋体"/>
          <w:color w:val="auto"/>
          <w:sz w:val="28"/>
          <w:szCs w:val="28"/>
        </w:rPr>
        <w:t xml:space="preserve">（仅供参考，具体以实际签订内容为准，但不得偏离实质性内容）                         </w:t>
      </w:r>
    </w:p>
    <w:p>
      <w:pPr>
        <w:snapToGrid w:val="0"/>
        <w:spacing w:line="400" w:lineRule="exact"/>
        <w:ind w:right="480"/>
        <w:rPr>
          <w:rFonts w:hint="eastAsia" w:ascii="宋体" w:hAnsi="宋体" w:eastAsia="宋体" w:cs="宋体"/>
          <w:color w:val="auto"/>
          <w:u w:val="single"/>
        </w:rPr>
      </w:pPr>
      <w:r>
        <w:rPr>
          <w:rFonts w:hint="eastAsia" w:ascii="宋体" w:hAnsi="宋体" w:eastAsia="宋体" w:cs="宋体"/>
          <w:color w:val="auto"/>
        </w:rPr>
        <w:t>合同编号：</w:t>
      </w:r>
    </w:p>
    <w:p>
      <w:pPr>
        <w:snapToGrid w:val="0"/>
        <w:spacing w:line="400" w:lineRule="exact"/>
        <w:rPr>
          <w:rFonts w:hint="eastAsia" w:ascii="宋体" w:hAnsi="宋体" w:eastAsia="宋体" w:cs="宋体"/>
          <w:color w:val="auto"/>
          <w:u w:val="single"/>
        </w:rPr>
      </w:pPr>
      <w:r>
        <w:rPr>
          <w:rFonts w:hint="eastAsia" w:ascii="宋体" w:hAnsi="宋体" w:eastAsia="宋体" w:cs="宋体"/>
          <w:color w:val="auto"/>
        </w:rPr>
        <w:t>招标编号：</w:t>
      </w:r>
    </w:p>
    <w:p>
      <w:pPr>
        <w:snapToGrid w:val="0"/>
        <w:spacing w:line="400" w:lineRule="exact"/>
        <w:rPr>
          <w:rFonts w:hint="eastAsia" w:ascii="宋体" w:hAnsi="宋体" w:eastAsia="宋体" w:cs="宋体"/>
          <w:color w:val="auto"/>
        </w:rPr>
      </w:pPr>
    </w:p>
    <w:p>
      <w:pPr>
        <w:snapToGrid w:val="0"/>
        <w:spacing w:line="400" w:lineRule="exact"/>
        <w:rPr>
          <w:rFonts w:hint="eastAsia" w:ascii="宋体" w:hAnsi="宋体" w:eastAsia="宋体" w:cs="宋体"/>
          <w:color w:val="auto"/>
        </w:rPr>
      </w:pPr>
      <w:r>
        <w:rPr>
          <w:rFonts w:hint="eastAsia" w:ascii="宋体" w:hAnsi="宋体" w:eastAsia="宋体" w:cs="宋体"/>
          <w:color w:val="auto"/>
        </w:rPr>
        <w:t xml:space="preserve">采购单位（甲方）： </w:t>
      </w:r>
    </w:p>
    <w:p>
      <w:pPr>
        <w:snapToGrid w:val="0"/>
        <w:spacing w:line="400" w:lineRule="exact"/>
        <w:rPr>
          <w:rFonts w:hint="eastAsia" w:ascii="宋体" w:hAnsi="宋体" w:eastAsia="宋体" w:cs="宋体"/>
          <w:color w:val="auto"/>
        </w:rPr>
      </w:pPr>
      <w:r>
        <w:rPr>
          <w:rFonts w:hint="eastAsia" w:ascii="宋体" w:hAnsi="宋体" w:eastAsia="宋体" w:cs="宋体"/>
          <w:color w:val="auto"/>
        </w:rPr>
        <w:t>供 货 商（乙方）：</w:t>
      </w:r>
    </w:p>
    <w:p>
      <w:pPr>
        <w:snapToGrid w:val="0"/>
        <w:spacing w:line="400" w:lineRule="exact"/>
        <w:rPr>
          <w:rFonts w:hint="eastAsia" w:ascii="宋体" w:hAnsi="宋体" w:eastAsia="宋体" w:cs="宋体"/>
          <w:color w:val="auto"/>
          <w:u w:val="single"/>
        </w:rPr>
      </w:pPr>
      <w:r>
        <w:rPr>
          <w:rFonts w:hint="eastAsia" w:ascii="宋体" w:hAnsi="宋体" w:eastAsia="宋体" w:cs="宋体"/>
          <w:color w:val="auto"/>
        </w:rPr>
        <w:t xml:space="preserve">签 订 地 点  ：   贵港市            </w:t>
      </w:r>
    </w:p>
    <w:p>
      <w:pPr>
        <w:snapToGrid w:val="0"/>
        <w:spacing w:line="400" w:lineRule="exact"/>
        <w:rPr>
          <w:rFonts w:hint="eastAsia" w:ascii="宋体" w:hAnsi="宋体" w:eastAsia="宋体" w:cs="宋体"/>
          <w:color w:val="auto"/>
          <w:u w:val="single"/>
        </w:rPr>
      </w:pPr>
      <w:r>
        <w:rPr>
          <w:rFonts w:hint="eastAsia" w:ascii="宋体" w:hAnsi="宋体" w:eastAsia="宋体" w:cs="宋体"/>
          <w:color w:val="auto"/>
        </w:rPr>
        <w:t>签 订 时 间</w:t>
      </w:r>
    </w:p>
    <w:p>
      <w:pPr>
        <w:snapToGrid w:val="0"/>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根据《中华人民共和国政府采购法》、《中华人民共和国合同法》等法律、法规规定，甲乙双方就有关货物采购事宜，签订本合同。</w:t>
      </w:r>
    </w:p>
    <w:p>
      <w:pPr>
        <w:snapToGrid w:val="0"/>
        <w:spacing w:line="400" w:lineRule="exact"/>
        <w:ind w:firstLine="422" w:firstLineChars="200"/>
        <w:rPr>
          <w:rFonts w:hint="eastAsia" w:ascii="宋体" w:hAnsi="宋体" w:eastAsia="宋体" w:cs="宋体"/>
          <w:b/>
          <w:color w:val="auto"/>
        </w:rPr>
      </w:pPr>
      <w:r>
        <w:rPr>
          <w:rFonts w:hint="eastAsia" w:ascii="宋体" w:hAnsi="宋体" w:eastAsia="宋体" w:cs="宋体"/>
          <w:b/>
          <w:color w:val="auto"/>
        </w:rPr>
        <w:t>第一条　合同标的</w:t>
      </w:r>
    </w:p>
    <w:p>
      <w:pPr>
        <w:snapToGrid w:val="0"/>
        <w:spacing w:line="400" w:lineRule="exact"/>
        <w:ind w:firstLine="480" w:firstLineChars="200"/>
        <w:rPr>
          <w:rFonts w:hint="eastAsia" w:ascii="宋体" w:hAnsi="宋体" w:eastAsia="宋体" w:cs="宋体"/>
          <w:color w:val="auto"/>
          <w:kern w:val="0"/>
          <w:sz w:val="24"/>
          <w:highlight w:val="none"/>
        </w:rPr>
      </w:pPr>
      <w:bookmarkStart w:id="94" w:name="_Toc15622_WPSOffice_Level1"/>
      <w:r>
        <w:rPr>
          <w:rFonts w:hint="eastAsia" w:ascii="宋体" w:hAnsi="宋体" w:eastAsia="宋体" w:cs="宋体"/>
          <w:color w:val="auto"/>
          <w:kern w:val="0"/>
          <w:sz w:val="24"/>
          <w:highlight w:val="none"/>
        </w:rPr>
        <w:t>1、服务内容一览表</w:t>
      </w:r>
      <w:bookmarkEnd w:id="94"/>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024"/>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96" w:type="dxa"/>
            <w:noWrap w:val="0"/>
            <w:vAlign w:val="center"/>
          </w:tcPr>
          <w:p>
            <w:pPr>
              <w:snapToGri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2024" w:type="dxa"/>
            <w:noWrap w:val="0"/>
            <w:vAlign w:val="center"/>
          </w:tcPr>
          <w:p>
            <w:pPr>
              <w:snapToGri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服务名称</w:t>
            </w:r>
          </w:p>
        </w:tc>
        <w:tc>
          <w:tcPr>
            <w:tcW w:w="6375" w:type="dxa"/>
            <w:noWrap w:val="0"/>
            <w:vAlign w:val="center"/>
          </w:tcPr>
          <w:p>
            <w:pPr>
              <w:snapToGri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人民币合计金额（大写）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96" w:type="dxa"/>
            <w:noWrap w:val="0"/>
            <w:vAlign w:val="center"/>
          </w:tcPr>
          <w:p>
            <w:pPr>
              <w:snapToGri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024" w:type="dxa"/>
            <w:noWrap w:val="0"/>
            <w:vAlign w:val="center"/>
          </w:tcPr>
          <w:p>
            <w:pPr>
              <w:snapToGrid w:val="0"/>
              <w:spacing w:line="400" w:lineRule="exact"/>
              <w:jc w:val="center"/>
              <w:rPr>
                <w:rFonts w:hint="eastAsia" w:ascii="宋体" w:hAnsi="宋体" w:eastAsia="宋体" w:cs="宋体"/>
                <w:color w:val="auto"/>
                <w:kern w:val="0"/>
                <w:sz w:val="24"/>
                <w:highlight w:val="none"/>
              </w:rPr>
            </w:pPr>
          </w:p>
        </w:tc>
        <w:tc>
          <w:tcPr>
            <w:tcW w:w="6375" w:type="dxa"/>
            <w:noWrap w:val="0"/>
            <w:vAlign w:val="center"/>
          </w:tcPr>
          <w:p>
            <w:pPr>
              <w:snapToGrid w:val="0"/>
              <w:spacing w:line="400" w:lineRule="exact"/>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895" w:type="dxa"/>
            <w:gridSpan w:val="3"/>
            <w:noWrap w:val="0"/>
            <w:vAlign w:val="center"/>
          </w:tcPr>
          <w:p>
            <w:pPr>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服务期限：</w:t>
            </w:r>
          </w:p>
        </w:tc>
      </w:tr>
    </w:tbl>
    <w:p>
      <w:pPr>
        <w:snapToGrid w:val="0"/>
        <w:spacing w:line="40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第二条</w:t>
      </w:r>
      <w:r>
        <w:rPr>
          <w:rFonts w:hint="eastAsia" w:ascii="宋体" w:hAnsi="宋体" w:eastAsia="宋体" w:cs="宋体"/>
          <w:color w:val="auto"/>
          <w:kern w:val="0"/>
          <w:sz w:val="24"/>
          <w:highlight w:val="none"/>
        </w:rPr>
        <w:t xml:space="preserve"> </w:t>
      </w:r>
    </w:p>
    <w:p>
      <w:pPr>
        <w:snapToGrid w:val="0"/>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具体服务内容细目见本项目招标文件中《项目需求和说明》。</w:t>
      </w:r>
    </w:p>
    <w:p>
      <w:pPr>
        <w:snapToGrid w:val="0"/>
        <w:spacing w:line="40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第三条</w:t>
      </w:r>
      <w:r>
        <w:rPr>
          <w:rFonts w:hint="eastAsia" w:ascii="宋体" w:hAnsi="宋体" w:eastAsia="宋体" w:cs="宋体"/>
          <w:color w:val="auto"/>
          <w:kern w:val="0"/>
          <w:sz w:val="24"/>
          <w:highlight w:val="none"/>
        </w:rPr>
        <w:t xml:space="preserve"> 乙方提供的服务内容包括以下内容： </w:t>
      </w:r>
    </w:p>
    <w:p>
      <w:pPr>
        <w:snapToGrid w:val="0"/>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具体采购内容包含招标文件的《项目需求和说明》、投标文件的《磋商报价表》和乙方的所有承诺服务内容。</w:t>
      </w:r>
    </w:p>
    <w:p>
      <w:pPr>
        <w:snapToGrid w:val="0"/>
        <w:spacing w:line="40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第四条</w:t>
      </w:r>
      <w:r>
        <w:rPr>
          <w:rFonts w:hint="eastAsia" w:ascii="宋体" w:hAnsi="宋体" w:eastAsia="宋体" w:cs="宋体"/>
          <w:color w:val="auto"/>
          <w:kern w:val="0"/>
          <w:sz w:val="24"/>
          <w:highlight w:val="none"/>
        </w:rPr>
        <w:t xml:space="preserve"> 乙方提供的服务质量标准按国家和地方政府的规定和本合同约定的服务质量要求执行。</w:t>
      </w:r>
    </w:p>
    <w:p>
      <w:pPr>
        <w:snapToGrid w:val="0"/>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本合同约定的服务质量要求见本项目招标文件中《项目需求和说明》。</w:t>
      </w:r>
    </w:p>
    <w:p>
      <w:pPr>
        <w:numPr>
          <w:ilvl w:val="0"/>
          <w:numId w:val="8"/>
        </w:numPr>
        <w:snapToGrid w:val="0"/>
        <w:spacing w:line="400" w:lineRule="exact"/>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付款方式：</w:t>
      </w:r>
      <w:r>
        <w:rPr>
          <w:rFonts w:hint="eastAsia" w:ascii="宋体" w:hAnsi="宋体" w:eastAsia="宋体" w:cs="宋体"/>
          <w:color w:val="auto"/>
          <w:kern w:val="0"/>
          <w:sz w:val="24"/>
          <w:highlight w:val="none"/>
          <w:u w:val="single"/>
        </w:rPr>
        <w:t xml:space="preserve">                                         </w:t>
      </w:r>
    </w:p>
    <w:p>
      <w:pPr>
        <w:snapToGrid w:val="0"/>
        <w:spacing w:line="40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第六条</w:t>
      </w:r>
      <w:r>
        <w:rPr>
          <w:rFonts w:hint="eastAsia" w:ascii="宋体" w:hAnsi="宋体" w:eastAsia="宋体" w:cs="宋体"/>
          <w:color w:val="auto"/>
          <w:kern w:val="0"/>
          <w:sz w:val="24"/>
          <w:highlight w:val="none"/>
        </w:rPr>
        <w:t xml:space="preserve"> 甲方权利义务</w:t>
      </w:r>
    </w:p>
    <w:p>
      <w:pPr>
        <w:snapToGrid w:val="0"/>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（一）审定乙方管理服务方案和工作计划，听取乙方管理情况报告，监督检查乙方各项方案和计划的实施。</w:t>
      </w:r>
    </w:p>
    <w:p>
      <w:pPr>
        <w:snapToGrid w:val="0"/>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（二）协调、处理本合同生效前发生的遗留问题。</w:t>
      </w:r>
    </w:p>
    <w:p>
      <w:pPr>
        <w:snapToGrid w:val="0"/>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（三）负责处理非成交供应商管理原因而产生的各种纠纷和协调工作。</w:t>
      </w:r>
    </w:p>
    <w:p>
      <w:pPr>
        <w:snapToGrid w:val="0"/>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（四）指导、监督并配合成交供应商管理服务工作的实施及制度的执行，并组织相关部门人员对成交供应商的安全服务情况进行考核、评议。</w:t>
      </w:r>
    </w:p>
    <w:p>
      <w:pPr>
        <w:snapToGrid w:val="0"/>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（五）有权要求成交供应商及时更换不合格的保安/保洁人员。</w:t>
      </w:r>
    </w:p>
    <w:p>
      <w:pPr>
        <w:snapToGrid w:val="0"/>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（六）负责按本合同规定核实服务内容后，按时支付乙方合同价款。</w:t>
      </w:r>
    </w:p>
    <w:p>
      <w:pPr>
        <w:snapToGrid w:val="0"/>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（七）法律、法规、政策规定的其他权利、义务。</w:t>
      </w:r>
    </w:p>
    <w:p>
      <w:pPr>
        <w:pStyle w:val="151"/>
        <w:ind w:firstLine="520" w:firstLineChars="200"/>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八</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如遇国家政策调整，则最低工资及社保基数应随国家政策的调整而进行相应调整。如因工作需要需增减人员时，则按照人均单价进行费用增减。</w:t>
      </w:r>
    </w:p>
    <w:p>
      <w:pPr>
        <w:snapToGrid w:val="0"/>
        <w:spacing w:line="40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第七条</w:t>
      </w:r>
      <w:r>
        <w:rPr>
          <w:rFonts w:hint="eastAsia" w:ascii="宋体" w:hAnsi="宋体" w:eastAsia="宋体" w:cs="宋体"/>
          <w:color w:val="auto"/>
          <w:kern w:val="0"/>
          <w:sz w:val="24"/>
          <w:highlight w:val="none"/>
        </w:rPr>
        <w:t xml:space="preserve"> 乙方权利义务</w:t>
      </w:r>
    </w:p>
    <w:p>
      <w:pPr>
        <w:snapToGrid w:val="0"/>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（一）依照甲方有关规定和合同约定，提供服务内容。</w:t>
      </w:r>
    </w:p>
    <w:p>
      <w:pPr>
        <w:snapToGrid w:val="0"/>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（二）按照甲方拟定的服务内容按时提供。</w:t>
      </w:r>
    </w:p>
    <w:p>
      <w:pPr>
        <w:snapToGrid w:val="0"/>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（三）法律、法规、政策规定的其他权利、义务。</w:t>
      </w:r>
    </w:p>
    <w:p>
      <w:pPr>
        <w:snapToGrid w:val="0"/>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（四）其他要求：</w:t>
      </w:r>
    </w:p>
    <w:p>
      <w:pPr>
        <w:snapToGrid w:val="0"/>
        <w:spacing w:line="40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第八条</w:t>
      </w:r>
      <w:r>
        <w:rPr>
          <w:rFonts w:hint="eastAsia" w:ascii="宋体" w:hAnsi="宋体" w:eastAsia="宋体" w:cs="宋体"/>
          <w:color w:val="auto"/>
          <w:kern w:val="0"/>
          <w:sz w:val="24"/>
          <w:highlight w:val="none"/>
        </w:rPr>
        <w:t xml:space="preserve">  违约责任</w:t>
      </w:r>
    </w:p>
    <w:p>
      <w:pPr>
        <w:pStyle w:val="17"/>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（一）服务人员工作过失或乙方未尽管理责任导致甲方或其他人受损失的，应承担责任； </w:t>
      </w:r>
    </w:p>
    <w:p>
      <w:pPr>
        <w:snapToGrid w:val="0"/>
        <w:spacing w:line="400" w:lineRule="exact"/>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（二）双方约定的其他违约责任：</w:t>
      </w:r>
    </w:p>
    <w:p>
      <w:pPr>
        <w:snapToGrid w:val="0"/>
        <w:spacing w:line="40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第九条</w:t>
      </w:r>
      <w:r>
        <w:rPr>
          <w:rFonts w:hint="eastAsia" w:ascii="宋体" w:hAnsi="宋体" w:eastAsia="宋体" w:cs="宋体"/>
          <w:color w:val="auto"/>
          <w:kern w:val="0"/>
          <w:sz w:val="24"/>
          <w:highlight w:val="none"/>
        </w:rPr>
        <w:t xml:space="preserve"> 双方在履行合同中所发生的一切争议，应通过协商解决。如协商不成，按合同事先约定的条款，向仲裁委员会申请仲裁。</w:t>
      </w:r>
    </w:p>
    <w:p>
      <w:pPr>
        <w:snapToGrid w:val="0"/>
        <w:spacing w:line="40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第十条</w:t>
      </w:r>
      <w:r>
        <w:rPr>
          <w:rFonts w:hint="eastAsia" w:ascii="宋体" w:hAnsi="宋体" w:eastAsia="宋体" w:cs="宋体"/>
          <w:color w:val="auto"/>
          <w:kern w:val="0"/>
          <w:sz w:val="24"/>
          <w:highlight w:val="none"/>
        </w:rPr>
        <w:t xml:space="preserve"> 在合同有效期限内，任何一方因不可抗力事件导致不能按时履行合同，则合同履行期可延长，其延长期与不可抗力影响期相同。由于不可抗力事件导致合同的根本目的不能实现时，一方可解除合同。</w:t>
      </w:r>
    </w:p>
    <w:p>
      <w:pPr>
        <w:snapToGrid w:val="0"/>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不可抗力事件发生后，应立即通知对方，并寄送有关权威机构出具的证明。</w:t>
      </w:r>
    </w:p>
    <w:p>
      <w:pPr>
        <w:snapToGrid w:val="0"/>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不可抗力事件延续120天以上，双方应通过友好协商，确定是否继续履行合同。</w:t>
      </w:r>
    </w:p>
    <w:p>
      <w:pPr>
        <w:snapToGrid w:val="0"/>
        <w:spacing w:line="40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第十一条</w:t>
      </w:r>
      <w:r>
        <w:rPr>
          <w:rFonts w:hint="eastAsia" w:ascii="宋体" w:hAnsi="宋体" w:eastAsia="宋体" w:cs="宋体"/>
          <w:color w:val="auto"/>
          <w:kern w:val="0"/>
          <w:sz w:val="24"/>
          <w:highlight w:val="none"/>
        </w:rPr>
        <w:t xml:space="preserve"> 本合同附件为合同有效组成部分。凡本合同及附件未规定的事宜以及合同词语，均以有关法律、法规、政策规定为准。</w:t>
      </w:r>
    </w:p>
    <w:p>
      <w:pPr>
        <w:snapToGrid w:val="0"/>
        <w:spacing w:line="40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第十二条</w:t>
      </w:r>
      <w:r>
        <w:rPr>
          <w:rFonts w:hint="eastAsia" w:ascii="宋体" w:hAnsi="宋体" w:eastAsia="宋体" w:cs="宋体"/>
          <w:color w:val="auto"/>
          <w:kern w:val="0"/>
          <w:sz w:val="24"/>
          <w:highlight w:val="none"/>
        </w:rPr>
        <w:t xml:space="preserve"> 本合同未尽事宜由甲、乙方双方另行协商签订补充协议，补充协议与本合同具有同等效力。</w:t>
      </w:r>
    </w:p>
    <w:p>
      <w:pPr>
        <w:snapToGrid w:val="0"/>
        <w:spacing w:line="40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第十三条</w:t>
      </w:r>
      <w:r>
        <w:rPr>
          <w:rFonts w:hint="eastAsia" w:ascii="宋体" w:hAnsi="宋体" w:eastAsia="宋体" w:cs="宋体"/>
          <w:b/>
          <w:color w:val="auto"/>
          <w:kern w:val="0"/>
          <w:sz w:val="24"/>
          <w:highlight w:val="none"/>
          <w:lang w:val="en-US" w:eastAsia="zh-CN"/>
        </w:rPr>
        <w:t xml:space="preserve"> </w:t>
      </w:r>
      <w:r>
        <w:rPr>
          <w:rFonts w:hint="eastAsia" w:ascii="宋体" w:hAnsi="宋体" w:eastAsia="宋体" w:cs="宋体"/>
          <w:b w:val="0"/>
          <w:bCs/>
          <w:color w:val="auto"/>
          <w:kern w:val="0"/>
          <w:sz w:val="24"/>
          <w:highlight w:val="none"/>
        </w:rPr>
        <w:t>本合同一式</w:t>
      </w:r>
      <w:r>
        <w:rPr>
          <w:rFonts w:hint="eastAsia" w:ascii="宋体" w:hAnsi="宋体" w:eastAsia="宋体" w:cs="宋体"/>
          <w:b w:val="0"/>
          <w:bCs/>
          <w:color w:val="auto"/>
          <w:kern w:val="0"/>
          <w:sz w:val="24"/>
          <w:highlight w:val="none"/>
          <w:lang w:eastAsia="zh-CN"/>
        </w:rPr>
        <w:t>五</w:t>
      </w:r>
      <w:r>
        <w:rPr>
          <w:rFonts w:hint="eastAsia" w:ascii="宋体" w:hAnsi="宋体" w:eastAsia="宋体" w:cs="宋体"/>
          <w:b w:val="0"/>
          <w:bCs/>
          <w:color w:val="auto"/>
          <w:kern w:val="0"/>
          <w:sz w:val="24"/>
          <w:highlight w:val="none"/>
        </w:rPr>
        <w:t>份，具有同等法律效力，甲乙双方各</w:t>
      </w:r>
      <w:r>
        <w:rPr>
          <w:rFonts w:hint="eastAsia" w:ascii="宋体" w:hAnsi="宋体" w:eastAsia="宋体" w:cs="宋体"/>
          <w:b w:val="0"/>
          <w:bCs/>
          <w:color w:val="auto"/>
          <w:kern w:val="0"/>
          <w:sz w:val="24"/>
          <w:highlight w:val="none"/>
          <w:lang w:eastAsia="zh-CN"/>
        </w:rPr>
        <w:t>两</w:t>
      </w:r>
      <w:r>
        <w:rPr>
          <w:rFonts w:hint="eastAsia" w:ascii="宋体" w:hAnsi="宋体" w:eastAsia="宋体" w:cs="宋体"/>
          <w:b w:val="0"/>
          <w:bCs/>
          <w:color w:val="auto"/>
          <w:kern w:val="0"/>
          <w:sz w:val="24"/>
          <w:highlight w:val="none"/>
        </w:rPr>
        <w:t>份</w:t>
      </w:r>
      <w:r>
        <w:rPr>
          <w:rFonts w:hint="eastAsia" w:ascii="宋体" w:hAnsi="宋体" w:eastAsia="宋体" w:cs="宋体"/>
          <w:b w:val="0"/>
          <w:bCs/>
          <w:color w:val="auto"/>
          <w:kern w:val="0"/>
          <w:sz w:val="24"/>
          <w:highlight w:val="none"/>
          <w:lang w:eastAsia="zh-CN"/>
        </w:rPr>
        <w:t>，</w:t>
      </w:r>
      <w:r>
        <w:rPr>
          <w:rFonts w:hint="eastAsia" w:ascii="宋体" w:hAnsi="宋体" w:eastAsia="宋体" w:cs="宋体"/>
          <w:b w:val="0"/>
          <w:bCs/>
          <w:color w:val="auto"/>
          <w:kern w:val="0"/>
          <w:sz w:val="24"/>
          <w:highlight w:val="none"/>
        </w:rPr>
        <w:t>采购代理机构一份，（可根据需要另增加）。</w:t>
      </w:r>
    </w:p>
    <w:p>
      <w:pPr>
        <w:snapToGrid w:val="0"/>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本合同甲乙双方签字盖章后生效，自签订之日起七个工作日内，采购人或采购代理机构应当将合同副本报同级财政部门备案。</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4516" w:type="dxa"/>
            <w:noWrap w:val="0"/>
            <w:vAlign w:val="center"/>
          </w:tcPr>
          <w:p>
            <w:pPr>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甲方（章）           </w:t>
            </w:r>
          </w:p>
          <w:p>
            <w:pPr>
              <w:snapToGrid w:val="0"/>
              <w:spacing w:line="400" w:lineRule="exact"/>
              <w:rPr>
                <w:rFonts w:hint="eastAsia" w:ascii="宋体" w:hAnsi="宋体" w:eastAsia="宋体" w:cs="宋体"/>
                <w:color w:val="auto"/>
                <w:kern w:val="0"/>
                <w:sz w:val="24"/>
                <w:highlight w:val="none"/>
              </w:rPr>
            </w:pPr>
          </w:p>
          <w:p>
            <w:pPr>
              <w:snapToGrid w:val="0"/>
              <w:spacing w:line="400" w:lineRule="exact"/>
              <w:ind w:firstLine="1080" w:firstLineChars="45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tc>
        <w:tc>
          <w:tcPr>
            <w:tcW w:w="4517" w:type="dxa"/>
            <w:noWrap w:val="0"/>
            <w:vAlign w:val="center"/>
          </w:tcPr>
          <w:p>
            <w:pPr>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乙方（章）              </w:t>
            </w:r>
          </w:p>
          <w:p>
            <w:pPr>
              <w:snapToGrid w:val="0"/>
              <w:spacing w:line="400" w:lineRule="exact"/>
              <w:rPr>
                <w:rFonts w:hint="eastAsia" w:ascii="宋体" w:hAnsi="宋体" w:eastAsia="宋体" w:cs="宋体"/>
                <w:color w:val="auto"/>
                <w:kern w:val="0"/>
                <w:sz w:val="24"/>
                <w:highlight w:val="none"/>
              </w:rPr>
            </w:pPr>
          </w:p>
          <w:p>
            <w:pPr>
              <w:snapToGrid w:val="0"/>
              <w:spacing w:line="400" w:lineRule="exact"/>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noWrap w:val="0"/>
            <w:vAlign w:val="center"/>
          </w:tcPr>
          <w:p>
            <w:pPr>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单位地址：</w:t>
            </w:r>
          </w:p>
        </w:tc>
        <w:tc>
          <w:tcPr>
            <w:tcW w:w="4517" w:type="dxa"/>
            <w:noWrap w:val="0"/>
            <w:vAlign w:val="center"/>
          </w:tcPr>
          <w:p>
            <w:pPr>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516" w:type="dxa"/>
            <w:noWrap w:val="0"/>
            <w:vAlign w:val="center"/>
          </w:tcPr>
          <w:p>
            <w:pPr>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w:t>
            </w:r>
          </w:p>
        </w:tc>
        <w:tc>
          <w:tcPr>
            <w:tcW w:w="4517" w:type="dxa"/>
            <w:noWrap w:val="0"/>
            <w:vAlign w:val="center"/>
          </w:tcPr>
          <w:p>
            <w:pPr>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516" w:type="dxa"/>
            <w:noWrap w:val="0"/>
            <w:vAlign w:val="center"/>
          </w:tcPr>
          <w:p>
            <w:pPr>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w:t>
            </w:r>
          </w:p>
        </w:tc>
        <w:tc>
          <w:tcPr>
            <w:tcW w:w="4517" w:type="dxa"/>
            <w:noWrap w:val="0"/>
            <w:vAlign w:val="center"/>
          </w:tcPr>
          <w:p>
            <w:pPr>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noWrap w:val="0"/>
            <w:vAlign w:val="center"/>
          </w:tcPr>
          <w:p>
            <w:pPr>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电话：</w:t>
            </w:r>
          </w:p>
        </w:tc>
        <w:tc>
          <w:tcPr>
            <w:tcW w:w="4517" w:type="dxa"/>
            <w:noWrap w:val="0"/>
            <w:vAlign w:val="center"/>
          </w:tcPr>
          <w:p>
            <w:pPr>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noWrap w:val="0"/>
            <w:vAlign w:val="center"/>
          </w:tcPr>
          <w:p>
            <w:pPr>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电子邮箱：</w:t>
            </w:r>
          </w:p>
        </w:tc>
        <w:tc>
          <w:tcPr>
            <w:tcW w:w="4517" w:type="dxa"/>
            <w:noWrap w:val="0"/>
            <w:vAlign w:val="center"/>
          </w:tcPr>
          <w:p>
            <w:pPr>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4516" w:type="dxa"/>
            <w:noWrap w:val="0"/>
            <w:vAlign w:val="center"/>
          </w:tcPr>
          <w:p>
            <w:pPr>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开户银行：</w:t>
            </w:r>
          </w:p>
        </w:tc>
        <w:tc>
          <w:tcPr>
            <w:tcW w:w="4517" w:type="dxa"/>
            <w:noWrap w:val="0"/>
            <w:vAlign w:val="center"/>
          </w:tcPr>
          <w:p>
            <w:pPr>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noWrap w:val="0"/>
            <w:vAlign w:val="center"/>
          </w:tcPr>
          <w:p>
            <w:pPr>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账号：</w:t>
            </w:r>
          </w:p>
        </w:tc>
        <w:tc>
          <w:tcPr>
            <w:tcW w:w="4517" w:type="dxa"/>
            <w:noWrap w:val="0"/>
            <w:vAlign w:val="center"/>
          </w:tcPr>
          <w:p>
            <w:pPr>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noWrap w:val="0"/>
            <w:vAlign w:val="center"/>
          </w:tcPr>
          <w:p>
            <w:pPr>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邮政编码：</w:t>
            </w:r>
          </w:p>
        </w:tc>
        <w:tc>
          <w:tcPr>
            <w:tcW w:w="4517" w:type="dxa"/>
            <w:noWrap w:val="0"/>
            <w:vAlign w:val="center"/>
          </w:tcPr>
          <w:p>
            <w:pPr>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9033" w:type="dxa"/>
            <w:gridSpan w:val="2"/>
            <w:noWrap w:val="0"/>
            <w:vAlign w:val="top"/>
          </w:tcPr>
          <w:p>
            <w:pPr>
              <w:snapToGrid w:val="0"/>
              <w:spacing w:line="400" w:lineRule="exact"/>
              <w:ind w:right="24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经办人：                                                 年    月    日</w:t>
            </w:r>
          </w:p>
        </w:tc>
      </w:tr>
    </w:tbl>
    <w:p>
      <w:pPr>
        <w:snapToGrid w:val="0"/>
        <w:spacing w:line="400" w:lineRule="exact"/>
        <w:rPr>
          <w:rFonts w:hint="eastAsia" w:ascii="宋体" w:hAnsi="宋体" w:eastAsia="宋体" w:cs="宋体"/>
          <w:b/>
          <w:color w:val="auto"/>
          <w:kern w:val="0"/>
          <w:sz w:val="24"/>
          <w:highlight w:val="none"/>
        </w:rPr>
      </w:pPr>
    </w:p>
    <w:p>
      <w:pPr>
        <w:snapToGri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合 同 附 件</w:t>
      </w:r>
    </w:p>
    <w:tbl>
      <w:tblPr>
        <w:tblStyle w:val="47"/>
        <w:tblW w:w="0" w:type="auto"/>
        <w:tblInd w:w="0" w:type="dxa"/>
        <w:tblLayout w:type="fixed"/>
        <w:tblCellMar>
          <w:top w:w="0" w:type="dxa"/>
          <w:left w:w="108" w:type="dxa"/>
          <w:bottom w:w="0" w:type="dxa"/>
          <w:right w:w="108" w:type="dxa"/>
        </w:tblCellMar>
      </w:tblPr>
      <w:tblGrid>
        <w:gridCol w:w="4219"/>
        <w:gridCol w:w="4826"/>
      </w:tblGrid>
      <w:tr>
        <w:tblPrEx>
          <w:tblCellMar>
            <w:top w:w="0" w:type="dxa"/>
            <w:left w:w="108" w:type="dxa"/>
            <w:bottom w:w="0" w:type="dxa"/>
            <w:right w:w="108" w:type="dxa"/>
          </w:tblCellMar>
        </w:tblPrEx>
        <w:trPr>
          <w:trHeight w:val="628" w:hRule="exact"/>
        </w:trPr>
        <w:tc>
          <w:tcPr>
            <w:tcW w:w="9045" w:type="dxa"/>
            <w:gridSpan w:val="2"/>
            <w:tcBorders>
              <w:top w:val="single" w:color="auto" w:sz="4" w:space="0"/>
              <w:left w:val="single" w:color="auto" w:sz="4" w:space="0"/>
              <w:right w:val="single" w:color="auto" w:sz="4" w:space="0"/>
            </w:tcBorders>
            <w:noWrap w:val="0"/>
            <w:vAlign w:val="center"/>
          </w:tcPr>
          <w:p>
            <w:pPr>
              <w:snapToGrid w:val="0"/>
              <w:spacing w:line="400" w:lineRule="exact"/>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1、供应商承诺具体事项：</w:t>
            </w:r>
          </w:p>
        </w:tc>
      </w:tr>
      <w:tr>
        <w:tblPrEx>
          <w:tblCellMar>
            <w:top w:w="0" w:type="dxa"/>
            <w:left w:w="108" w:type="dxa"/>
            <w:bottom w:w="0" w:type="dxa"/>
            <w:right w:w="108" w:type="dxa"/>
          </w:tblCellMar>
        </w:tblPrEx>
        <w:trPr>
          <w:trHeight w:val="447" w:hRule="atLeast"/>
        </w:trPr>
        <w:tc>
          <w:tcPr>
            <w:tcW w:w="9045" w:type="dxa"/>
            <w:gridSpan w:val="2"/>
            <w:tcBorders>
              <w:left w:val="single" w:color="auto" w:sz="4" w:space="0"/>
              <w:right w:val="single" w:color="auto" w:sz="4" w:space="0"/>
            </w:tcBorders>
            <w:noWrap w:val="0"/>
            <w:vAlign w:val="center"/>
          </w:tcPr>
          <w:p>
            <w:pPr>
              <w:snapToGrid w:val="0"/>
              <w:spacing w:line="400" w:lineRule="exact"/>
              <w:ind w:firstLine="482"/>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628" w:hRule="exact"/>
        </w:trPr>
        <w:tc>
          <w:tcPr>
            <w:tcW w:w="9045" w:type="dxa"/>
            <w:gridSpan w:val="2"/>
            <w:tcBorders>
              <w:top w:val="single" w:color="auto" w:sz="4" w:space="0"/>
              <w:left w:val="single" w:color="auto" w:sz="4" w:space="0"/>
              <w:right w:val="single" w:color="auto" w:sz="4" w:space="0"/>
            </w:tcBorders>
            <w:noWrap w:val="0"/>
            <w:vAlign w:val="center"/>
          </w:tcPr>
          <w:p>
            <w:pPr>
              <w:snapToGrid w:val="0"/>
              <w:spacing w:line="400" w:lineRule="exact"/>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2、售后服务具体事项：</w:t>
            </w:r>
          </w:p>
        </w:tc>
      </w:tr>
      <w:tr>
        <w:tblPrEx>
          <w:tblCellMar>
            <w:top w:w="0" w:type="dxa"/>
            <w:left w:w="108" w:type="dxa"/>
            <w:bottom w:w="0" w:type="dxa"/>
            <w:right w:w="108" w:type="dxa"/>
          </w:tblCellMar>
        </w:tblPrEx>
        <w:trPr>
          <w:trHeight w:val="541" w:hRule="atLeast"/>
        </w:trPr>
        <w:tc>
          <w:tcPr>
            <w:tcW w:w="9045" w:type="dxa"/>
            <w:gridSpan w:val="2"/>
            <w:tcBorders>
              <w:left w:val="single" w:color="auto" w:sz="4" w:space="0"/>
              <w:bottom w:val="single" w:color="auto" w:sz="4" w:space="0"/>
              <w:right w:val="single" w:color="auto" w:sz="4" w:space="0"/>
            </w:tcBorders>
            <w:noWrap w:val="0"/>
            <w:vAlign w:val="center"/>
          </w:tcPr>
          <w:p>
            <w:pPr>
              <w:snapToGrid w:val="0"/>
              <w:spacing w:line="400" w:lineRule="exact"/>
              <w:ind w:firstLine="482"/>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612" w:hRule="atLeast"/>
        </w:trPr>
        <w:tc>
          <w:tcPr>
            <w:tcW w:w="9045" w:type="dxa"/>
            <w:gridSpan w:val="2"/>
            <w:tcBorders>
              <w:top w:val="single" w:color="auto" w:sz="4" w:space="0"/>
              <w:left w:val="single" w:color="auto" w:sz="4" w:space="0"/>
              <w:right w:val="single" w:color="auto" w:sz="4" w:space="0"/>
            </w:tcBorders>
            <w:noWrap w:val="0"/>
            <w:vAlign w:val="center"/>
          </w:tcPr>
          <w:p>
            <w:pPr>
              <w:snapToGrid w:val="0"/>
              <w:spacing w:line="400" w:lineRule="exact"/>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3、服务期责任：</w:t>
            </w:r>
          </w:p>
        </w:tc>
      </w:tr>
      <w:tr>
        <w:tblPrEx>
          <w:tblCellMar>
            <w:top w:w="0" w:type="dxa"/>
            <w:left w:w="108" w:type="dxa"/>
            <w:bottom w:w="0" w:type="dxa"/>
            <w:right w:w="108" w:type="dxa"/>
          </w:tblCellMar>
        </w:tblPrEx>
        <w:trPr>
          <w:trHeight w:val="646" w:hRule="atLeast"/>
        </w:trPr>
        <w:tc>
          <w:tcPr>
            <w:tcW w:w="9045" w:type="dxa"/>
            <w:gridSpan w:val="2"/>
            <w:tcBorders>
              <w:left w:val="single" w:color="auto" w:sz="4" w:space="0"/>
              <w:bottom w:val="single" w:color="auto" w:sz="4" w:space="0"/>
              <w:right w:val="single" w:color="auto" w:sz="4" w:space="0"/>
            </w:tcBorders>
            <w:noWrap w:val="0"/>
            <w:vAlign w:val="center"/>
          </w:tcPr>
          <w:p>
            <w:pPr>
              <w:snapToGrid w:val="0"/>
              <w:spacing w:line="400" w:lineRule="exact"/>
              <w:ind w:firstLine="482"/>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628" w:hRule="exact"/>
        </w:trPr>
        <w:tc>
          <w:tcPr>
            <w:tcW w:w="9045" w:type="dxa"/>
            <w:gridSpan w:val="2"/>
            <w:tcBorders>
              <w:top w:val="single" w:color="auto" w:sz="4" w:space="0"/>
              <w:left w:val="single" w:color="auto" w:sz="4" w:space="0"/>
              <w:right w:val="single" w:color="auto" w:sz="4" w:space="0"/>
            </w:tcBorders>
            <w:noWrap w:val="0"/>
            <w:vAlign w:val="center"/>
          </w:tcPr>
          <w:p>
            <w:pPr>
              <w:snapToGrid w:val="0"/>
              <w:spacing w:line="400" w:lineRule="exact"/>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4、其他具体事项：</w:t>
            </w:r>
          </w:p>
        </w:tc>
      </w:tr>
      <w:tr>
        <w:tblPrEx>
          <w:tblCellMar>
            <w:top w:w="0" w:type="dxa"/>
            <w:left w:w="108" w:type="dxa"/>
            <w:bottom w:w="0" w:type="dxa"/>
            <w:right w:w="108" w:type="dxa"/>
          </w:tblCellMar>
        </w:tblPrEx>
        <w:trPr>
          <w:trHeight w:val="690" w:hRule="atLeast"/>
        </w:trPr>
        <w:tc>
          <w:tcPr>
            <w:tcW w:w="9045" w:type="dxa"/>
            <w:gridSpan w:val="2"/>
            <w:tcBorders>
              <w:left w:val="single" w:color="auto" w:sz="4" w:space="0"/>
              <w:right w:val="single" w:color="auto" w:sz="4" w:space="0"/>
            </w:tcBorders>
            <w:noWrap w:val="0"/>
            <w:vAlign w:val="center"/>
          </w:tcPr>
          <w:p>
            <w:pPr>
              <w:snapToGrid w:val="0"/>
              <w:spacing w:line="400" w:lineRule="exact"/>
              <w:ind w:firstLine="482"/>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3566" w:hRule="atLeast"/>
        </w:trPr>
        <w:tc>
          <w:tcPr>
            <w:tcW w:w="421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甲方（章）</w:t>
            </w:r>
          </w:p>
          <w:p>
            <w:pPr>
              <w:snapToGrid w:val="0"/>
              <w:spacing w:line="400" w:lineRule="exact"/>
              <w:ind w:firstLine="482"/>
              <w:rPr>
                <w:rFonts w:hint="eastAsia" w:ascii="宋体" w:hAnsi="宋体" w:eastAsia="宋体" w:cs="宋体"/>
                <w:color w:val="auto"/>
                <w:kern w:val="0"/>
                <w:sz w:val="24"/>
                <w:highlight w:val="none"/>
              </w:rPr>
            </w:pPr>
          </w:p>
          <w:p>
            <w:pPr>
              <w:snapToGrid w:val="0"/>
              <w:spacing w:line="400" w:lineRule="exact"/>
              <w:ind w:firstLine="482"/>
              <w:rPr>
                <w:rFonts w:hint="eastAsia" w:ascii="宋体" w:hAnsi="宋体" w:eastAsia="宋体" w:cs="宋体"/>
                <w:color w:val="auto"/>
                <w:kern w:val="0"/>
                <w:sz w:val="24"/>
                <w:highlight w:val="none"/>
              </w:rPr>
            </w:pPr>
          </w:p>
          <w:p>
            <w:pPr>
              <w:snapToGrid w:val="0"/>
              <w:spacing w:line="400" w:lineRule="exact"/>
              <w:ind w:firstLine="482"/>
              <w:rPr>
                <w:rFonts w:hint="eastAsia" w:ascii="宋体" w:hAnsi="宋体" w:eastAsia="宋体" w:cs="宋体"/>
                <w:color w:val="auto"/>
                <w:kern w:val="0"/>
                <w:sz w:val="24"/>
                <w:highlight w:val="none"/>
              </w:rPr>
            </w:pPr>
          </w:p>
          <w:p>
            <w:pPr>
              <w:snapToGrid w:val="0"/>
              <w:spacing w:line="400" w:lineRule="exact"/>
              <w:ind w:firstLine="482"/>
              <w:rPr>
                <w:rFonts w:hint="eastAsia" w:ascii="宋体" w:hAnsi="宋体" w:eastAsia="宋体" w:cs="宋体"/>
                <w:color w:val="auto"/>
                <w:kern w:val="0"/>
                <w:sz w:val="24"/>
                <w:highlight w:val="none"/>
              </w:rPr>
            </w:pPr>
          </w:p>
          <w:p>
            <w:pPr>
              <w:snapToGrid w:val="0"/>
              <w:spacing w:line="400" w:lineRule="exact"/>
              <w:ind w:firstLine="482"/>
              <w:rPr>
                <w:rFonts w:hint="eastAsia" w:ascii="宋体" w:hAnsi="宋体" w:eastAsia="宋体" w:cs="宋体"/>
                <w:color w:val="auto"/>
                <w:kern w:val="0"/>
                <w:sz w:val="24"/>
                <w:highlight w:val="none"/>
              </w:rPr>
            </w:pPr>
          </w:p>
          <w:p>
            <w:pPr>
              <w:snapToGrid w:val="0"/>
              <w:spacing w:line="400" w:lineRule="exact"/>
              <w:ind w:firstLine="482"/>
              <w:rPr>
                <w:rFonts w:hint="eastAsia" w:ascii="宋体" w:hAnsi="宋体" w:eastAsia="宋体" w:cs="宋体"/>
                <w:color w:val="auto"/>
                <w:kern w:val="0"/>
                <w:sz w:val="24"/>
                <w:highlight w:val="none"/>
              </w:rPr>
            </w:pPr>
          </w:p>
          <w:p>
            <w:pPr>
              <w:snapToGrid w:val="0"/>
              <w:spacing w:line="400" w:lineRule="exact"/>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年   月   日 </w:t>
            </w:r>
          </w:p>
        </w:tc>
        <w:tc>
          <w:tcPr>
            <w:tcW w:w="482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乙方（章）</w:t>
            </w:r>
          </w:p>
          <w:p>
            <w:pPr>
              <w:snapToGrid w:val="0"/>
              <w:spacing w:line="400" w:lineRule="exact"/>
              <w:ind w:firstLine="482"/>
              <w:rPr>
                <w:rFonts w:hint="eastAsia" w:ascii="宋体" w:hAnsi="宋体" w:eastAsia="宋体" w:cs="宋体"/>
                <w:color w:val="auto"/>
                <w:kern w:val="0"/>
                <w:sz w:val="24"/>
                <w:highlight w:val="none"/>
              </w:rPr>
            </w:pPr>
          </w:p>
          <w:p>
            <w:pPr>
              <w:snapToGrid w:val="0"/>
              <w:spacing w:line="400" w:lineRule="exact"/>
              <w:ind w:firstLine="482"/>
              <w:rPr>
                <w:rFonts w:hint="eastAsia" w:ascii="宋体" w:hAnsi="宋体" w:eastAsia="宋体" w:cs="宋体"/>
                <w:color w:val="auto"/>
                <w:kern w:val="0"/>
                <w:sz w:val="24"/>
                <w:highlight w:val="none"/>
              </w:rPr>
            </w:pPr>
          </w:p>
          <w:p>
            <w:pPr>
              <w:snapToGrid w:val="0"/>
              <w:spacing w:line="400" w:lineRule="exact"/>
              <w:ind w:firstLine="482"/>
              <w:rPr>
                <w:rFonts w:hint="eastAsia" w:ascii="宋体" w:hAnsi="宋体" w:eastAsia="宋体" w:cs="宋体"/>
                <w:color w:val="auto"/>
                <w:kern w:val="0"/>
                <w:sz w:val="24"/>
                <w:highlight w:val="none"/>
              </w:rPr>
            </w:pPr>
          </w:p>
          <w:p>
            <w:pPr>
              <w:snapToGrid w:val="0"/>
              <w:spacing w:line="400" w:lineRule="exact"/>
              <w:ind w:firstLine="482"/>
              <w:rPr>
                <w:rFonts w:hint="eastAsia" w:ascii="宋体" w:hAnsi="宋体" w:eastAsia="宋体" w:cs="宋体"/>
                <w:color w:val="auto"/>
                <w:kern w:val="0"/>
                <w:sz w:val="24"/>
                <w:highlight w:val="none"/>
              </w:rPr>
            </w:pPr>
          </w:p>
          <w:p>
            <w:pPr>
              <w:snapToGrid w:val="0"/>
              <w:spacing w:line="400" w:lineRule="exact"/>
              <w:ind w:firstLine="482"/>
              <w:rPr>
                <w:rFonts w:hint="eastAsia" w:ascii="宋体" w:hAnsi="宋体" w:eastAsia="宋体" w:cs="宋体"/>
                <w:color w:val="auto"/>
                <w:kern w:val="0"/>
                <w:sz w:val="24"/>
                <w:highlight w:val="none"/>
              </w:rPr>
            </w:pPr>
          </w:p>
          <w:p>
            <w:pPr>
              <w:snapToGrid w:val="0"/>
              <w:spacing w:line="400" w:lineRule="exact"/>
              <w:ind w:firstLine="482"/>
              <w:rPr>
                <w:rFonts w:hint="eastAsia" w:ascii="宋体" w:hAnsi="宋体" w:eastAsia="宋体" w:cs="宋体"/>
                <w:color w:val="auto"/>
                <w:kern w:val="0"/>
                <w:sz w:val="24"/>
                <w:highlight w:val="none"/>
              </w:rPr>
            </w:pPr>
          </w:p>
          <w:p>
            <w:pPr>
              <w:snapToGrid w:val="0"/>
              <w:spacing w:line="400" w:lineRule="exact"/>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年   月   日</w:t>
            </w:r>
          </w:p>
        </w:tc>
      </w:tr>
    </w:tbl>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注：售后服务事项填不下时可另加附页</w:t>
      </w:r>
    </w:p>
    <w:p>
      <w:pPr>
        <w:pStyle w:val="3"/>
        <w:spacing w:line="360" w:lineRule="auto"/>
        <w:rPr>
          <w:rFonts w:hint="eastAsia" w:ascii="宋体" w:hAnsi="宋体" w:eastAsia="宋体" w:cs="宋体"/>
          <w:color w:val="auto"/>
        </w:rPr>
      </w:pPr>
      <w:r>
        <w:rPr>
          <w:rFonts w:hint="eastAsia" w:ascii="宋体" w:hAnsi="宋体" w:eastAsia="宋体" w:cs="宋体"/>
          <w:color w:val="auto"/>
          <w:szCs w:val="21"/>
        </w:rPr>
        <w:br w:type="page"/>
      </w:r>
      <w:bookmarkStart w:id="95" w:name="_Toc12511"/>
      <w:bookmarkStart w:id="96" w:name="_Toc13355"/>
      <w:bookmarkStart w:id="97" w:name="_Toc432155780"/>
      <w:bookmarkStart w:id="98" w:name="_Toc30570"/>
      <w:bookmarkStart w:id="99" w:name="_Toc23903"/>
      <w:r>
        <w:rPr>
          <w:rFonts w:hint="eastAsia" w:ascii="宋体" w:hAnsi="宋体" w:eastAsia="宋体" w:cs="宋体"/>
          <w:color w:val="auto"/>
        </w:rPr>
        <w:t>第六章　投标文件格式</w:t>
      </w:r>
      <w:bookmarkEnd w:id="95"/>
      <w:bookmarkEnd w:id="96"/>
      <w:bookmarkEnd w:id="97"/>
      <w:bookmarkEnd w:id="98"/>
      <w:bookmarkEnd w:id="99"/>
    </w:p>
    <w:p>
      <w:pPr>
        <w:pStyle w:val="25"/>
        <w:snapToGrid w:val="0"/>
        <w:spacing w:before="120" w:after="120"/>
        <w:rPr>
          <w:rFonts w:hint="eastAsia" w:ascii="宋体" w:hAnsi="宋体" w:eastAsia="宋体" w:cs="宋体"/>
          <w:b/>
          <w:color w:val="auto"/>
        </w:rPr>
      </w:pPr>
    </w:p>
    <w:p>
      <w:pPr>
        <w:pStyle w:val="25"/>
        <w:snapToGrid w:val="0"/>
        <w:spacing w:before="120" w:after="120"/>
        <w:rPr>
          <w:rFonts w:hint="eastAsia" w:ascii="宋体" w:hAnsi="宋体" w:eastAsia="宋体" w:cs="宋体"/>
          <w:b/>
          <w:color w:val="auto"/>
        </w:rPr>
      </w:pPr>
      <w:r>
        <w:rPr>
          <w:rFonts w:hint="eastAsia" w:ascii="宋体" w:hAnsi="宋体" w:eastAsia="宋体" w:cs="宋体"/>
          <w:b/>
          <w:color w:val="auto"/>
        </w:rPr>
        <w:t>一、投标文件外层包装封面及投标文件外封面格式</w:t>
      </w:r>
    </w:p>
    <w:p>
      <w:pPr>
        <w:pStyle w:val="25"/>
        <w:snapToGrid w:val="0"/>
        <w:spacing w:before="120" w:after="120"/>
        <w:rPr>
          <w:rFonts w:hint="eastAsia" w:ascii="宋体" w:hAnsi="宋体" w:eastAsia="宋体" w:cs="宋体"/>
          <w:b/>
          <w:color w:val="auto"/>
        </w:rPr>
      </w:pPr>
      <w:r>
        <w:rPr>
          <w:rFonts w:hint="eastAsia" w:ascii="宋体" w:hAnsi="宋体" w:eastAsia="宋体" w:cs="宋体"/>
          <w:b/>
          <w:color w:val="auto"/>
        </w:rPr>
        <w:t>1.1 所有投标文件的外包装封面格式：</w:t>
      </w:r>
    </w:p>
    <w:p>
      <w:pPr>
        <w:snapToGrid w:val="0"/>
        <w:spacing w:before="120" w:beforeLines="50" w:after="50"/>
        <w:rPr>
          <w:rFonts w:hint="eastAsia" w:ascii="宋体" w:hAnsi="宋体" w:eastAsia="宋体" w:cs="宋体"/>
          <w:color w:val="auto"/>
          <w:szCs w:val="21"/>
        </w:rPr>
      </w:pPr>
    </w:p>
    <w:p>
      <w:pPr>
        <w:snapToGrid w:val="0"/>
        <w:spacing w:before="120" w:beforeLines="50" w:after="50"/>
        <w:jc w:val="center"/>
        <w:rPr>
          <w:rFonts w:hint="eastAsia" w:ascii="宋体" w:hAnsi="宋体" w:eastAsia="宋体" w:cs="宋体"/>
          <w:bCs/>
          <w:color w:val="auto"/>
          <w:sz w:val="24"/>
          <w:szCs w:val="20"/>
        </w:rPr>
      </w:pPr>
    </w:p>
    <w:p>
      <w:pPr>
        <w:snapToGrid w:val="0"/>
        <w:spacing w:before="120" w:beforeLines="50" w:after="50"/>
        <w:jc w:val="center"/>
        <w:rPr>
          <w:rFonts w:hint="eastAsia" w:ascii="宋体" w:hAnsi="宋体" w:eastAsia="宋体" w:cs="宋体"/>
          <w:b/>
          <w:bCs/>
          <w:color w:val="auto"/>
          <w:sz w:val="52"/>
          <w:szCs w:val="52"/>
        </w:rPr>
      </w:pPr>
      <w:r>
        <w:rPr>
          <w:rFonts w:hint="eastAsia" w:ascii="宋体" w:hAnsi="宋体" w:eastAsia="宋体" w:cs="宋体"/>
          <w:b/>
          <w:bCs/>
          <w:color w:val="auto"/>
          <w:sz w:val="52"/>
          <w:szCs w:val="52"/>
        </w:rPr>
        <w:t>投 标 文 件</w:t>
      </w:r>
    </w:p>
    <w:p>
      <w:pPr>
        <w:snapToGrid w:val="0"/>
        <w:spacing w:before="120" w:beforeLines="50" w:after="50" w:line="360" w:lineRule="auto"/>
        <w:rPr>
          <w:rFonts w:hint="eastAsia" w:ascii="宋体" w:hAnsi="宋体" w:eastAsia="宋体" w:cs="宋体"/>
          <w:bCs/>
          <w:color w:val="auto"/>
          <w:sz w:val="24"/>
          <w:szCs w:val="20"/>
        </w:rPr>
      </w:pPr>
    </w:p>
    <w:p>
      <w:pPr>
        <w:snapToGrid w:val="0"/>
        <w:spacing w:before="120" w:beforeLines="50" w:after="50" w:line="360" w:lineRule="auto"/>
        <w:ind w:firstLine="943" w:firstLineChars="393"/>
        <w:rPr>
          <w:rFonts w:hint="eastAsia" w:ascii="宋体" w:hAnsi="宋体" w:eastAsia="宋体" w:cs="宋体"/>
          <w:bCs/>
          <w:color w:val="auto"/>
          <w:sz w:val="24"/>
          <w:szCs w:val="20"/>
        </w:rPr>
      </w:pPr>
      <w:r>
        <w:rPr>
          <w:rFonts w:hint="eastAsia" w:ascii="宋体" w:hAnsi="宋体" w:eastAsia="宋体" w:cs="宋体"/>
          <w:bCs/>
          <w:color w:val="auto"/>
          <w:sz w:val="24"/>
        </w:rPr>
        <w:t>项目名称：</w:t>
      </w:r>
    </w:p>
    <w:p>
      <w:pPr>
        <w:snapToGrid w:val="0"/>
        <w:spacing w:before="120" w:beforeLines="50" w:after="50" w:line="360" w:lineRule="auto"/>
        <w:ind w:firstLine="943" w:firstLineChars="393"/>
        <w:rPr>
          <w:rFonts w:hint="eastAsia" w:ascii="宋体" w:hAnsi="宋体" w:eastAsia="宋体" w:cs="宋体"/>
          <w:bCs/>
          <w:color w:val="auto"/>
          <w:sz w:val="24"/>
        </w:rPr>
      </w:pPr>
    </w:p>
    <w:p>
      <w:pPr>
        <w:snapToGrid w:val="0"/>
        <w:spacing w:before="120" w:beforeLines="50" w:after="50" w:line="360" w:lineRule="auto"/>
        <w:ind w:firstLine="943" w:firstLineChars="393"/>
        <w:rPr>
          <w:rFonts w:hint="eastAsia" w:ascii="宋体" w:hAnsi="宋体" w:eastAsia="宋体" w:cs="宋体"/>
          <w:bCs/>
          <w:color w:val="auto"/>
          <w:sz w:val="24"/>
        </w:rPr>
      </w:pPr>
      <w:r>
        <w:rPr>
          <w:rFonts w:hint="eastAsia" w:ascii="宋体" w:hAnsi="宋体" w:eastAsia="宋体" w:cs="宋体"/>
          <w:bCs/>
          <w:color w:val="auto"/>
          <w:sz w:val="24"/>
        </w:rPr>
        <w:t xml:space="preserve">项目编号： </w:t>
      </w:r>
    </w:p>
    <w:p>
      <w:pPr>
        <w:snapToGrid w:val="0"/>
        <w:spacing w:before="120" w:beforeLines="50" w:after="50" w:line="360" w:lineRule="auto"/>
        <w:ind w:firstLine="943" w:firstLineChars="393"/>
        <w:rPr>
          <w:rFonts w:hint="eastAsia" w:ascii="宋体" w:hAnsi="宋体" w:eastAsia="宋体" w:cs="宋体"/>
          <w:bCs/>
          <w:color w:val="auto"/>
          <w:sz w:val="24"/>
        </w:rPr>
      </w:pPr>
    </w:p>
    <w:p>
      <w:pPr>
        <w:snapToGrid w:val="0"/>
        <w:spacing w:before="120" w:beforeLines="50" w:after="50" w:line="360" w:lineRule="auto"/>
        <w:ind w:firstLine="943" w:firstLineChars="393"/>
        <w:rPr>
          <w:rFonts w:hint="eastAsia" w:ascii="宋体" w:hAnsi="宋体" w:eastAsia="宋体" w:cs="宋体"/>
          <w:color w:val="auto"/>
        </w:rPr>
      </w:pPr>
      <w:r>
        <w:rPr>
          <w:rFonts w:hint="eastAsia" w:ascii="宋体" w:hAnsi="宋体" w:eastAsia="宋体" w:cs="宋体"/>
          <w:bCs/>
          <w:color w:val="auto"/>
          <w:sz w:val="24"/>
        </w:rPr>
        <w:t>分标（如有）：</w:t>
      </w:r>
    </w:p>
    <w:p>
      <w:pPr>
        <w:snapToGrid w:val="0"/>
        <w:spacing w:before="120" w:beforeLines="50" w:after="50" w:line="360" w:lineRule="auto"/>
        <w:ind w:firstLine="943" w:firstLineChars="393"/>
        <w:rPr>
          <w:rFonts w:hint="eastAsia" w:ascii="宋体" w:hAnsi="宋体" w:eastAsia="宋体" w:cs="宋体"/>
          <w:bCs/>
          <w:color w:val="auto"/>
          <w:sz w:val="24"/>
        </w:rPr>
      </w:pPr>
    </w:p>
    <w:p>
      <w:pPr>
        <w:snapToGrid w:val="0"/>
        <w:spacing w:before="120" w:beforeLines="50" w:after="50" w:line="360" w:lineRule="auto"/>
        <w:ind w:firstLine="943" w:firstLineChars="393"/>
        <w:rPr>
          <w:rFonts w:hint="eastAsia" w:ascii="宋体" w:hAnsi="宋体" w:eastAsia="宋体" w:cs="宋体"/>
          <w:bCs/>
          <w:color w:val="auto"/>
          <w:sz w:val="24"/>
        </w:rPr>
      </w:pPr>
      <w:r>
        <w:rPr>
          <w:rFonts w:hint="eastAsia" w:ascii="宋体" w:hAnsi="宋体" w:eastAsia="宋体" w:cs="宋体"/>
          <w:bCs/>
          <w:color w:val="auto"/>
          <w:sz w:val="24"/>
        </w:rPr>
        <w:t>投标人名称：</w:t>
      </w:r>
    </w:p>
    <w:p>
      <w:pPr>
        <w:pStyle w:val="10"/>
        <w:snapToGrid w:val="0"/>
        <w:spacing w:before="50" w:after="50" w:line="360" w:lineRule="auto"/>
        <w:ind w:firstLine="0" w:firstLineChars="0"/>
        <w:rPr>
          <w:rFonts w:hint="eastAsia" w:ascii="宋体" w:hAnsi="宋体" w:eastAsia="宋体" w:cs="宋体"/>
          <w:bCs/>
          <w:color w:val="auto"/>
          <w:sz w:val="24"/>
        </w:rPr>
      </w:pPr>
    </w:p>
    <w:p>
      <w:pPr>
        <w:pStyle w:val="10"/>
        <w:snapToGrid w:val="0"/>
        <w:spacing w:before="50" w:after="50" w:line="360" w:lineRule="auto"/>
        <w:ind w:firstLine="960" w:firstLineChars="400"/>
        <w:rPr>
          <w:rFonts w:hint="eastAsia" w:ascii="宋体" w:hAnsi="宋体" w:eastAsia="宋体" w:cs="宋体"/>
          <w:bCs/>
          <w:color w:val="auto"/>
          <w:sz w:val="24"/>
        </w:rPr>
      </w:pPr>
      <w:r>
        <w:rPr>
          <w:rFonts w:hint="eastAsia" w:ascii="宋体" w:hAnsi="宋体" w:eastAsia="宋体" w:cs="宋体"/>
          <w:bCs/>
          <w:color w:val="auto"/>
          <w:sz w:val="24"/>
        </w:rPr>
        <w:t>投标人地址：</w:t>
      </w:r>
    </w:p>
    <w:p>
      <w:pPr>
        <w:pStyle w:val="10"/>
        <w:snapToGrid w:val="0"/>
        <w:spacing w:before="50" w:after="50" w:line="360" w:lineRule="auto"/>
        <w:ind w:firstLine="960" w:firstLineChars="400"/>
        <w:rPr>
          <w:rFonts w:hint="eastAsia" w:ascii="宋体" w:hAnsi="宋体" w:eastAsia="宋体" w:cs="宋体"/>
          <w:bCs/>
          <w:color w:val="auto"/>
          <w:sz w:val="24"/>
        </w:rPr>
      </w:pPr>
    </w:p>
    <w:p>
      <w:pPr>
        <w:snapToGrid w:val="0"/>
        <w:spacing w:before="120" w:beforeLines="50" w:after="50" w:line="360" w:lineRule="auto"/>
        <w:ind w:firstLine="4080" w:firstLineChars="1700"/>
        <w:rPr>
          <w:rFonts w:hint="eastAsia" w:ascii="宋体" w:hAnsi="宋体" w:eastAsia="宋体" w:cs="宋体"/>
          <w:bCs/>
          <w:color w:val="auto"/>
          <w:sz w:val="24"/>
          <w:szCs w:val="20"/>
        </w:rPr>
      </w:pPr>
      <w:r>
        <w:rPr>
          <w:rFonts w:hint="eastAsia" w:ascii="宋体" w:hAnsi="宋体" w:eastAsia="宋体" w:cs="宋体"/>
          <w:bCs/>
          <w:color w:val="auto"/>
          <w:sz w:val="24"/>
        </w:rPr>
        <w:t>在  年  月  日  时  分之前不得启封</w:t>
      </w:r>
    </w:p>
    <w:p>
      <w:pPr>
        <w:snapToGrid w:val="0"/>
        <w:spacing w:before="120" w:beforeLines="50" w:after="50" w:line="360" w:lineRule="auto"/>
        <w:ind w:firstLine="645"/>
        <w:jc w:val="center"/>
        <w:rPr>
          <w:rFonts w:hint="eastAsia" w:ascii="宋体" w:hAnsi="宋体" w:eastAsia="宋体" w:cs="宋体"/>
          <w:bCs/>
          <w:color w:val="auto"/>
          <w:sz w:val="24"/>
        </w:rPr>
      </w:pPr>
      <w:r>
        <w:rPr>
          <w:rFonts w:hint="eastAsia" w:ascii="宋体" w:hAnsi="宋体" w:eastAsia="宋体" w:cs="宋体"/>
          <w:bCs/>
          <w:color w:val="auto"/>
          <w:sz w:val="24"/>
        </w:rPr>
        <w:t xml:space="preserve">                     </w:t>
      </w:r>
    </w:p>
    <w:p>
      <w:pPr>
        <w:rPr>
          <w:rFonts w:hint="eastAsia" w:ascii="宋体" w:hAnsi="宋体" w:eastAsia="宋体" w:cs="宋体"/>
          <w:b/>
          <w:color w:val="auto"/>
        </w:rPr>
      </w:pPr>
      <w:r>
        <w:rPr>
          <w:rFonts w:hint="eastAsia" w:ascii="宋体" w:hAnsi="宋体" w:eastAsia="宋体" w:cs="宋体"/>
          <w:color w:val="auto"/>
        </w:rPr>
        <w:br w:type="page"/>
      </w:r>
      <w:r>
        <w:rPr>
          <w:rFonts w:hint="eastAsia" w:ascii="宋体" w:hAnsi="宋体" w:eastAsia="宋体" w:cs="宋体"/>
          <w:b/>
          <w:color w:val="auto"/>
        </w:rPr>
        <w:t>1.2投标文件外封面格式：</w:t>
      </w:r>
    </w:p>
    <w:p>
      <w:pPr>
        <w:rPr>
          <w:rFonts w:hint="eastAsia" w:ascii="宋体" w:hAnsi="宋体" w:eastAsia="宋体" w:cs="宋体"/>
          <w:color w:val="auto"/>
          <w:szCs w:val="21"/>
        </w:rPr>
      </w:pPr>
    </w:p>
    <w:p>
      <w:pPr>
        <w:snapToGrid w:val="0"/>
        <w:spacing w:before="120" w:beforeLines="50" w:after="50" w:line="360" w:lineRule="auto"/>
        <w:ind w:right="630"/>
        <w:jc w:val="right"/>
        <w:rPr>
          <w:rFonts w:hint="eastAsia" w:ascii="宋体" w:hAnsi="宋体" w:eastAsia="宋体" w:cs="宋体"/>
          <w:color w:val="auto"/>
          <w:sz w:val="24"/>
          <w:szCs w:val="20"/>
        </w:rPr>
      </w:pPr>
      <w:r>
        <w:rPr>
          <w:rFonts w:hint="eastAsia" w:ascii="宋体" w:hAnsi="宋体" w:eastAsia="宋体" w:cs="宋体"/>
          <w:bCs/>
          <w:color w:val="auto"/>
        </w:rPr>
        <w:t>正本/或副本</w:t>
      </w:r>
    </w:p>
    <w:p>
      <w:pPr>
        <w:snapToGrid w:val="0"/>
        <w:spacing w:before="120" w:beforeLines="50" w:after="50" w:line="360" w:lineRule="auto"/>
        <w:jc w:val="center"/>
        <w:rPr>
          <w:rFonts w:hint="eastAsia" w:ascii="宋体" w:hAnsi="宋体" w:eastAsia="宋体" w:cs="宋体"/>
          <w:bCs/>
          <w:color w:val="auto"/>
          <w:sz w:val="24"/>
          <w:szCs w:val="20"/>
        </w:rPr>
      </w:pPr>
    </w:p>
    <w:p>
      <w:pPr>
        <w:snapToGrid w:val="0"/>
        <w:spacing w:before="120" w:beforeLines="50" w:after="50"/>
        <w:jc w:val="center"/>
        <w:rPr>
          <w:rFonts w:hint="eastAsia" w:ascii="宋体" w:hAnsi="宋体" w:eastAsia="宋体" w:cs="宋体"/>
          <w:b/>
          <w:bCs/>
          <w:color w:val="auto"/>
          <w:sz w:val="52"/>
          <w:szCs w:val="52"/>
        </w:rPr>
      </w:pPr>
      <w:r>
        <w:rPr>
          <w:rFonts w:hint="eastAsia" w:ascii="宋体" w:hAnsi="宋体" w:eastAsia="宋体" w:cs="宋体"/>
          <w:b/>
          <w:bCs/>
          <w:color w:val="auto"/>
          <w:sz w:val="52"/>
          <w:szCs w:val="52"/>
        </w:rPr>
        <w:t>投 标 文 件</w:t>
      </w:r>
    </w:p>
    <w:p>
      <w:pPr>
        <w:snapToGrid w:val="0"/>
        <w:spacing w:before="120" w:beforeLines="50" w:after="50" w:line="360" w:lineRule="auto"/>
        <w:rPr>
          <w:rFonts w:hint="eastAsia" w:ascii="宋体" w:hAnsi="宋体" w:eastAsia="宋体" w:cs="宋体"/>
          <w:bCs/>
          <w:color w:val="auto"/>
          <w:sz w:val="24"/>
          <w:szCs w:val="20"/>
        </w:rPr>
      </w:pP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项目名称：</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项目编号： </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分标（如有）：</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投标人名称：</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投标人地址：</w:t>
      </w: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                        年    月   日</w:t>
      </w:r>
    </w:p>
    <w:p>
      <w:pPr>
        <w:snapToGrid w:val="0"/>
        <w:spacing w:before="120" w:beforeLines="50" w:after="50"/>
        <w:rPr>
          <w:rFonts w:hint="eastAsia" w:ascii="宋体" w:hAnsi="宋体" w:eastAsia="宋体" w:cs="宋体"/>
          <w:b/>
          <w:bCs/>
          <w:color w:val="auto"/>
          <w:szCs w:val="21"/>
        </w:rPr>
      </w:pPr>
    </w:p>
    <w:p>
      <w:pPr>
        <w:snapToGrid w:val="0"/>
        <w:spacing w:before="120" w:beforeLines="50" w:after="50"/>
        <w:rPr>
          <w:rFonts w:hint="eastAsia" w:ascii="宋体" w:hAnsi="宋体" w:eastAsia="宋体" w:cs="宋体"/>
          <w:b/>
          <w:bCs/>
          <w:color w:val="auto"/>
          <w:szCs w:val="21"/>
        </w:rPr>
      </w:pPr>
    </w:p>
    <w:p>
      <w:pPr>
        <w:snapToGrid w:val="0"/>
        <w:spacing w:before="120" w:beforeLines="50" w:after="50"/>
        <w:rPr>
          <w:rFonts w:hint="eastAsia" w:ascii="宋体" w:hAnsi="宋体" w:eastAsia="宋体" w:cs="宋体"/>
          <w:b/>
          <w:bCs/>
          <w:color w:val="auto"/>
          <w:szCs w:val="21"/>
        </w:rPr>
      </w:pPr>
    </w:p>
    <w:p>
      <w:pPr>
        <w:snapToGrid w:val="0"/>
        <w:spacing w:before="120" w:beforeLines="50" w:after="50"/>
        <w:rPr>
          <w:rFonts w:hint="eastAsia" w:ascii="宋体" w:hAnsi="宋体" w:eastAsia="宋体" w:cs="宋体"/>
          <w:b/>
          <w:bCs/>
          <w:color w:val="auto"/>
          <w:szCs w:val="21"/>
        </w:rPr>
      </w:pPr>
    </w:p>
    <w:p>
      <w:pPr>
        <w:snapToGrid w:val="0"/>
        <w:spacing w:before="120" w:beforeLines="50" w:after="50"/>
        <w:rPr>
          <w:rFonts w:hint="eastAsia" w:ascii="宋体" w:hAnsi="宋体" w:eastAsia="宋体" w:cs="宋体"/>
          <w:b/>
          <w:bCs/>
          <w:color w:val="auto"/>
          <w:szCs w:val="21"/>
        </w:rPr>
      </w:pPr>
    </w:p>
    <w:p>
      <w:pPr>
        <w:snapToGrid w:val="0"/>
        <w:spacing w:before="120" w:beforeLines="50" w:after="50"/>
        <w:rPr>
          <w:rFonts w:hint="eastAsia" w:ascii="宋体" w:hAnsi="宋体" w:eastAsia="宋体" w:cs="宋体"/>
          <w:b/>
          <w:bCs/>
          <w:color w:val="auto"/>
          <w:szCs w:val="21"/>
        </w:rPr>
      </w:pPr>
    </w:p>
    <w:p>
      <w:pPr>
        <w:snapToGrid w:val="0"/>
        <w:spacing w:before="50" w:after="120" w:afterLines="50" w:line="400" w:lineRule="exact"/>
        <w:jc w:val="left"/>
        <w:rPr>
          <w:rFonts w:hint="eastAsia" w:ascii="宋体" w:hAnsi="宋体" w:eastAsia="宋体" w:cs="宋体"/>
          <w:b/>
          <w:color w:val="auto"/>
          <w:szCs w:val="21"/>
        </w:rPr>
      </w:pPr>
    </w:p>
    <w:p>
      <w:pPr>
        <w:jc w:val="left"/>
        <w:rPr>
          <w:rFonts w:hint="eastAsia" w:ascii="宋体" w:hAnsi="宋体" w:eastAsia="宋体" w:cs="宋体"/>
          <w:b/>
          <w:color w:val="auto"/>
          <w:szCs w:val="21"/>
        </w:rPr>
      </w:pPr>
      <w:r>
        <w:rPr>
          <w:rFonts w:hint="eastAsia" w:ascii="宋体" w:hAnsi="宋体" w:eastAsia="宋体" w:cs="宋体"/>
          <w:b/>
          <w:color w:val="auto"/>
          <w:szCs w:val="21"/>
        </w:rPr>
        <w:br w:type="page"/>
      </w:r>
    </w:p>
    <w:p>
      <w:pPr>
        <w:pStyle w:val="4"/>
        <w:rPr>
          <w:rFonts w:hint="eastAsia" w:ascii="宋体" w:hAnsi="宋体" w:eastAsia="宋体" w:cs="宋体"/>
          <w:color w:val="auto"/>
        </w:rPr>
      </w:pPr>
      <w:r>
        <w:rPr>
          <w:rFonts w:hint="eastAsia" w:ascii="宋体" w:hAnsi="宋体" w:eastAsia="宋体" w:cs="宋体"/>
          <w:color w:val="auto"/>
        </w:rPr>
        <w:t>投标声明书（格式）</w:t>
      </w:r>
    </w:p>
    <w:p>
      <w:pPr>
        <w:snapToGrid w:val="0"/>
        <w:spacing w:before="120" w:beforeLines="50" w:after="50" w:line="360" w:lineRule="exact"/>
        <w:jc w:val="center"/>
        <w:rPr>
          <w:rFonts w:hint="eastAsia" w:ascii="宋体" w:hAnsi="宋体" w:eastAsia="宋体" w:cs="宋体"/>
          <w:color w:val="auto"/>
          <w:szCs w:val="21"/>
        </w:rPr>
      </w:pPr>
    </w:p>
    <w:p>
      <w:pPr>
        <w:snapToGrid w:val="0"/>
        <w:spacing w:before="120" w:beforeLines="50" w:after="50" w:line="360" w:lineRule="exact"/>
        <w:rPr>
          <w:rFonts w:hint="eastAsia" w:ascii="宋体" w:hAnsi="宋体" w:eastAsia="宋体" w:cs="宋体"/>
          <w:color w:val="auto"/>
          <w:szCs w:val="21"/>
        </w:rPr>
      </w:pPr>
      <w:r>
        <w:rPr>
          <w:rFonts w:hint="eastAsia" w:ascii="宋体" w:hAnsi="宋体" w:eastAsia="宋体" w:cs="宋体"/>
          <w:color w:val="auto"/>
          <w:szCs w:val="21"/>
        </w:rPr>
        <w:t>致：（招标采购单位名称）：</w:t>
      </w:r>
    </w:p>
    <w:p>
      <w:pPr>
        <w:snapToGrid w:val="0"/>
        <w:spacing w:before="120" w:beforeLines="50" w:after="50" w:line="360" w:lineRule="exact"/>
        <w:ind w:firstLine="630" w:firstLineChars="300"/>
        <w:jc w:val="left"/>
        <w:rPr>
          <w:rFonts w:hint="eastAsia" w:ascii="宋体" w:hAnsi="宋体" w:eastAsia="宋体" w:cs="宋体"/>
          <w:color w:val="auto"/>
          <w:szCs w:val="21"/>
        </w:rPr>
      </w:pPr>
      <w:r>
        <w:rPr>
          <w:rFonts w:hint="eastAsia" w:ascii="宋体" w:hAnsi="宋体" w:eastAsia="宋体" w:cs="宋体"/>
          <w:color w:val="auto"/>
          <w:szCs w:val="21"/>
          <w:u w:val="single"/>
        </w:rPr>
        <w:t>（投标人名称）</w:t>
      </w:r>
      <w:r>
        <w:rPr>
          <w:rFonts w:hint="eastAsia" w:ascii="宋体" w:hAnsi="宋体" w:eastAsia="宋体" w:cs="宋体"/>
          <w:color w:val="auto"/>
          <w:szCs w:val="21"/>
        </w:rPr>
        <w:t>系中华人民共和国合法企业，经营地址。</w:t>
      </w:r>
    </w:p>
    <w:p>
      <w:pPr>
        <w:snapToGrid w:val="0"/>
        <w:spacing w:before="120" w:beforeLines="50" w:after="50" w:line="360" w:lineRule="exact"/>
        <w:ind w:firstLine="645"/>
        <w:rPr>
          <w:rFonts w:hint="eastAsia" w:ascii="宋体" w:hAnsi="宋体" w:eastAsia="宋体" w:cs="宋体"/>
          <w:color w:val="auto"/>
          <w:szCs w:val="21"/>
        </w:rPr>
      </w:pPr>
      <w:r>
        <w:rPr>
          <w:rFonts w:hint="eastAsia" w:ascii="宋体" w:hAnsi="宋体" w:eastAsia="宋体" w:cs="宋体"/>
          <w:color w:val="auto"/>
          <w:szCs w:val="21"/>
        </w:rPr>
        <w:t>我</w:t>
      </w:r>
      <w:r>
        <w:rPr>
          <w:rFonts w:hint="eastAsia" w:ascii="宋体" w:hAnsi="宋体" w:eastAsia="宋体" w:cs="宋体"/>
          <w:color w:val="auto"/>
          <w:szCs w:val="21"/>
          <w:u w:val="single"/>
        </w:rPr>
        <w:t>（姓名）</w:t>
      </w:r>
      <w:r>
        <w:rPr>
          <w:rFonts w:hint="eastAsia" w:ascii="宋体" w:hAnsi="宋体" w:eastAsia="宋体" w:cs="宋体"/>
          <w:color w:val="auto"/>
          <w:szCs w:val="21"/>
        </w:rPr>
        <w:t>系</w:t>
      </w:r>
      <w:r>
        <w:rPr>
          <w:rFonts w:hint="eastAsia" w:ascii="宋体" w:hAnsi="宋体" w:eastAsia="宋体" w:cs="宋体"/>
          <w:color w:val="auto"/>
          <w:szCs w:val="21"/>
          <w:u w:val="single"/>
        </w:rPr>
        <w:t>（投标人名称）</w:t>
      </w:r>
      <w:r>
        <w:rPr>
          <w:rFonts w:hint="eastAsia" w:ascii="宋体" w:hAnsi="宋体" w:eastAsia="宋体" w:cs="宋体"/>
          <w:color w:val="auto"/>
          <w:szCs w:val="21"/>
        </w:rPr>
        <w:t xml:space="preserve">的法定代表人/负责人，我方愿意参加贵方组织的 </w:t>
      </w:r>
      <w:r>
        <w:rPr>
          <w:rFonts w:hint="eastAsia" w:ascii="宋体" w:hAnsi="宋体" w:eastAsia="宋体" w:cs="宋体"/>
          <w:color w:val="auto"/>
          <w:szCs w:val="21"/>
          <w:u w:val="single"/>
        </w:rPr>
        <w:t>（项目名称）</w:t>
      </w:r>
      <w:r>
        <w:rPr>
          <w:rFonts w:hint="eastAsia" w:ascii="宋体" w:hAnsi="宋体" w:eastAsia="宋体" w:cs="宋体"/>
          <w:color w:val="auto"/>
          <w:szCs w:val="21"/>
        </w:rPr>
        <w:t>的投标，为便于贵方公正、择优地确定中标人及其投标产品和服务，我方就本次投标有关事项郑重声明如下：</w:t>
      </w:r>
    </w:p>
    <w:p>
      <w:pPr>
        <w:numPr>
          <w:ilvl w:val="255"/>
          <w:numId w:val="0"/>
        </w:numPr>
        <w:snapToGrid w:val="0"/>
        <w:spacing w:before="120" w:beforeLines="50" w:after="50" w:line="360" w:lineRule="exact"/>
        <w:ind w:firstLine="645"/>
        <w:jc w:val="left"/>
        <w:rPr>
          <w:rFonts w:hint="eastAsia" w:ascii="宋体" w:hAnsi="宋体" w:eastAsia="宋体" w:cs="宋体"/>
          <w:color w:val="auto"/>
          <w:szCs w:val="21"/>
        </w:rPr>
      </w:pPr>
      <w:r>
        <w:rPr>
          <w:rFonts w:hint="eastAsia" w:ascii="宋体" w:hAnsi="宋体" w:eastAsia="宋体" w:cs="宋体"/>
          <w:color w:val="auto"/>
          <w:szCs w:val="21"/>
        </w:rPr>
        <w:t xml:space="preserve">1.我方向贵方提交的所有投标文件、资料都是准确的和真实的。 </w:t>
      </w:r>
    </w:p>
    <w:p>
      <w:pPr>
        <w:numPr>
          <w:ilvl w:val="255"/>
          <w:numId w:val="0"/>
        </w:numPr>
        <w:snapToGrid w:val="0"/>
        <w:spacing w:before="120" w:beforeLines="50" w:after="50" w:line="360" w:lineRule="exact"/>
        <w:ind w:firstLine="645"/>
        <w:jc w:val="left"/>
        <w:rPr>
          <w:rFonts w:hint="eastAsia" w:ascii="宋体" w:hAnsi="宋体" w:eastAsia="宋体" w:cs="宋体"/>
          <w:color w:val="auto"/>
          <w:szCs w:val="21"/>
        </w:rPr>
      </w:pPr>
      <w:r>
        <w:rPr>
          <w:rFonts w:hint="eastAsia" w:ascii="宋体" w:hAnsi="宋体" w:eastAsia="宋体" w:cs="宋体"/>
          <w:color w:val="auto"/>
          <w:szCs w:val="21"/>
        </w:rPr>
        <w:t xml:space="preserve">2.我方不是招标人的附属机构；在获知本项目招标人信息后，与招标人聘请的为此项目提供咨询服务的 公 司及其附属机构没有任何联系。 </w:t>
      </w:r>
    </w:p>
    <w:p>
      <w:pPr>
        <w:numPr>
          <w:ilvl w:val="255"/>
          <w:numId w:val="0"/>
        </w:numPr>
        <w:snapToGrid w:val="0"/>
        <w:spacing w:before="120" w:beforeLines="50" w:after="50" w:line="360" w:lineRule="exact"/>
        <w:ind w:firstLine="630" w:firstLineChars="300"/>
        <w:jc w:val="left"/>
        <w:rPr>
          <w:rFonts w:hint="eastAsia" w:ascii="宋体" w:hAnsi="宋体" w:eastAsia="宋体" w:cs="宋体"/>
          <w:color w:val="auto"/>
          <w:szCs w:val="21"/>
        </w:rPr>
      </w:pPr>
      <w:r>
        <w:rPr>
          <w:rFonts w:hint="eastAsia" w:ascii="宋体" w:hAnsi="宋体" w:eastAsia="宋体" w:cs="宋体"/>
          <w:color w:val="auto"/>
          <w:szCs w:val="21"/>
        </w:rPr>
        <w:t xml:space="preserve">3.我方及由本人担任法定代表人的其他机构最近三年内被通报或者被处罚的违法行为有： </w:t>
      </w:r>
    </w:p>
    <w:p>
      <w:pPr>
        <w:rPr>
          <w:rFonts w:hint="eastAsia" w:ascii="宋体" w:hAnsi="宋体" w:eastAsia="宋体" w:cs="宋体"/>
          <w:color w:val="auto"/>
          <w:u w:val="single"/>
        </w:rPr>
      </w:pPr>
      <w:r>
        <w:rPr>
          <w:rFonts w:hint="eastAsia" w:ascii="宋体" w:hAnsi="宋体" w:eastAsia="宋体" w:cs="宋体"/>
          <w:color w:val="auto"/>
        </w:rPr>
        <w:t xml:space="preserve">      </w:t>
      </w:r>
      <w:r>
        <w:rPr>
          <w:rFonts w:hint="eastAsia" w:ascii="宋体" w:hAnsi="宋体" w:eastAsia="宋体" w:cs="宋体"/>
          <w:color w:val="auto"/>
          <w:u w:val="single"/>
        </w:rPr>
        <w:t xml:space="preserve">                                                                            </w:t>
      </w:r>
    </w:p>
    <w:p>
      <w:pPr>
        <w:snapToGrid w:val="0"/>
        <w:spacing w:before="120" w:beforeLines="50" w:after="50" w:line="360" w:lineRule="exact"/>
        <w:ind w:firstLine="645"/>
        <w:rPr>
          <w:rFonts w:hint="eastAsia" w:ascii="宋体" w:hAnsi="宋体" w:eastAsia="宋体" w:cs="宋体"/>
          <w:color w:val="auto"/>
          <w:szCs w:val="21"/>
        </w:rPr>
      </w:pPr>
      <w:r>
        <w:rPr>
          <w:rFonts w:hint="eastAsia" w:ascii="宋体" w:hAnsi="宋体" w:eastAsia="宋体" w:cs="宋体"/>
          <w:color w:val="auto"/>
          <w:szCs w:val="21"/>
        </w:rPr>
        <w:t>4.以上事项如有虚假或隐瞒，我方愿意承担一切后果，并不再寻求任何旨在减轻或免除法律责任的辩解。</w:t>
      </w:r>
    </w:p>
    <w:p>
      <w:pPr>
        <w:snapToGrid w:val="0"/>
        <w:spacing w:before="120" w:beforeLines="50" w:after="50" w:line="360" w:lineRule="exact"/>
        <w:ind w:firstLine="645"/>
        <w:rPr>
          <w:rFonts w:hint="eastAsia" w:ascii="宋体" w:hAnsi="宋体" w:eastAsia="宋体" w:cs="宋体"/>
          <w:color w:val="auto"/>
          <w:szCs w:val="21"/>
        </w:rPr>
      </w:pPr>
    </w:p>
    <w:p>
      <w:pPr>
        <w:snapToGrid w:val="0"/>
        <w:spacing w:before="120" w:beforeLines="50" w:after="50" w:line="360" w:lineRule="exact"/>
        <w:ind w:firstLine="645"/>
        <w:rPr>
          <w:rFonts w:hint="eastAsia" w:ascii="宋体" w:hAnsi="宋体" w:eastAsia="宋体" w:cs="宋体"/>
          <w:color w:val="auto"/>
          <w:szCs w:val="21"/>
        </w:rPr>
      </w:pPr>
    </w:p>
    <w:p>
      <w:pPr>
        <w:snapToGrid w:val="0"/>
        <w:spacing w:before="120" w:beforeLines="50" w:after="50" w:line="360" w:lineRule="exact"/>
        <w:ind w:firstLine="645"/>
        <w:rPr>
          <w:rFonts w:hint="eastAsia" w:ascii="宋体" w:hAnsi="宋体" w:eastAsia="宋体" w:cs="宋体"/>
          <w:color w:val="auto"/>
          <w:szCs w:val="21"/>
        </w:rPr>
      </w:pPr>
      <w:r>
        <w:rPr>
          <w:rFonts w:hint="eastAsia" w:ascii="宋体" w:hAnsi="宋体" w:eastAsia="宋体" w:cs="宋体"/>
          <w:color w:val="auto"/>
          <w:szCs w:val="21"/>
        </w:rPr>
        <w:t>投标人（盖单位公章）：</w:t>
      </w:r>
    </w:p>
    <w:p>
      <w:pPr>
        <w:snapToGrid w:val="0"/>
        <w:spacing w:before="120" w:beforeLines="50" w:after="50" w:line="360" w:lineRule="exact"/>
        <w:ind w:firstLine="645"/>
        <w:rPr>
          <w:rFonts w:hint="eastAsia" w:ascii="宋体" w:hAnsi="宋体" w:eastAsia="宋体" w:cs="宋体"/>
          <w:color w:val="auto"/>
          <w:szCs w:val="21"/>
        </w:rPr>
      </w:pPr>
      <w:r>
        <w:rPr>
          <w:rFonts w:hint="eastAsia" w:ascii="宋体" w:hAnsi="宋体" w:eastAsia="宋体" w:cs="宋体"/>
          <w:color w:val="auto"/>
          <w:szCs w:val="21"/>
        </w:rPr>
        <w:t>法定代表人或委托代理人签名：</w:t>
      </w:r>
    </w:p>
    <w:p>
      <w:pPr>
        <w:snapToGrid w:val="0"/>
        <w:spacing w:before="120" w:beforeLines="50" w:after="50" w:line="360" w:lineRule="exact"/>
        <w:ind w:firstLine="645"/>
        <w:rPr>
          <w:rFonts w:hint="eastAsia" w:ascii="宋体" w:hAnsi="宋体" w:eastAsia="宋体" w:cs="宋体"/>
          <w:color w:val="auto"/>
          <w:szCs w:val="21"/>
        </w:rPr>
      </w:pPr>
      <w:r>
        <w:rPr>
          <w:rFonts w:hint="eastAsia" w:ascii="宋体" w:hAnsi="宋体" w:eastAsia="宋体" w:cs="宋体"/>
          <w:color w:val="auto"/>
          <w:szCs w:val="21"/>
        </w:rPr>
        <w:t>日期：    年    月    日</w:t>
      </w:r>
    </w:p>
    <w:p>
      <w:pPr>
        <w:snapToGrid w:val="0"/>
        <w:spacing w:before="50" w:after="120" w:afterLines="50" w:line="440" w:lineRule="exact"/>
        <w:jc w:val="left"/>
        <w:rPr>
          <w:rFonts w:hint="eastAsia" w:ascii="宋体" w:hAnsi="宋体" w:eastAsia="宋体" w:cs="宋体"/>
          <w:b/>
          <w:color w:val="auto"/>
          <w:szCs w:val="21"/>
        </w:rPr>
      </w:pPr>
    </w:p>
    <w:p>
      <w:pPr>
        <w:snapToGrid w:val="0"/>
        <w:spacing w:before="50" w:after="120" w:afterLines="50" w:line="440" w:lineRule="exact"/>
        <w:jc w:val="left"/>
        <w:rPr>
          <w:rFonts w:hint="eastAsia" w:ascii="宋体" w:hAnsi="宋体" w:eastAsia="宋体" w:cs="宋体"/>
          <w:b/>
          <w:color w:val="auto"/>
          <w:szCs w:val="21"/>
        </w:rPr>
      </w:pPr>
      <w:r>
        <w:rPr>
          <w:rFonts w:hint="eastAsia" w:ascii="宋体" w:hAnsi="宋体" w:eastAsia="宋体" w:cs="宋体"/>
          <w:b/>
          <w:color w:val="auto"/>
          <w:szCs w:val="21"/>
        </w:rPr>
        <w:br w:type="page"/>
      </w:r>
    </w:p>
    <w:p>
      <w:pPr>
        <w:pStyle w:val="4"/>
        <w:rPr>
          <w:rFonts w:hint="eastAsia" w:ascii="宋体" w:hAnsi="宋体" w:eastAsia="宋体" w:cs="宋体"/>
          <w:color w:val="auto"/>
        </w:rPr>
      </w:pPr>
      <w:r>
        <w:rPr>
          <w:rFonts w:hint="eastAsia" w:ascii="宋体" w:hAnsi="宋体" w:eastAsia="宋体" w:cs="宋体"/>
          <w:color w:val="auto"/>
        </w:rPr>
        <w:t>《贵港市政府采购项目投标资格承诺函》（格式）</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本公司郑重承诺，根据《中华人民共和国政府采购法》第二十二条的规定，本公司为参加政府采购活动的合格供应商。即本公司同时满足以下条件： </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1.具有独立承担民事责任的能力。 </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2.具有良好的商业信誉和健全的财务会计制度。 </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3.具有履行合同所必需的设备和专业技术能力。 </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4.有依法缴纳税收和社会保障资金的良好记录。 </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5.提交投标文件截止日期前三年内，在经营活动中没有重大违法记录。 </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本公司对上述承诺的真实性负责，并接受政府采购、税务、社会保障等监督管理部门、采购文件规定的资格审查机构、社会公众的监督和检查。如有虚假，将依法承担相应责任。 </w:t>
      </w:r>
    </w:p>
    <w:p>
      <w:pPr>
        <w:spacing w:line="360" w:lineRule="auto"/>
        <w:ind w:firstLine="420" w:firstLineChars="200"/>
        <w:rPr>
          <w:rFonts w:hint="eastAsia" w:ascii="宋体" w:hAnsi="宋体" w:eastAsia="宋体" w:cs="宋体"/>
          <w:color w:val="auto"/>
          <w:szCs w:val="21"/>
        </w:rPr>
      </w:pPr>
    </w:p>
    <w:p>
      <w:pPr>
        <w:spacing w:line="360" w:lineRule="auto"/>
        <w:ind w:firstLine="420" w:firstLineChars="200"/>
        <w:rPr>
          <w:rFonts w:hint="eastAsia" w:ascii="宋体" w:hAnsi="宋体" w:eastAsia="宋体" w:cs="宋体"/>
          <w:color w:val="auto"/>
          <w:szCs w:val="21"/>
        </w:rPr>
      </w:pP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企业名称（盖章）： </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法定代表人（签名）： </w:t>
      </w:r>
    </w:p>
    <w:p>
      <w:pPr>
        <w:spacing w:line="420" w:lineRule="exact"/>
        <w:ind w:firstLine="105" w:firstLineChars="50"/>
        <w:rPr>
          <w:rFonts w:hint="eastAsia" w:ascii="宋体" w:hAnsi="宋体" w:eastAsia="宋体" w:cs="宋体"/>
          <w:color w:val="auto"/>
          <w:szCs w:val="21"/>
        </w:rPr>
      </w:pPr>
      <w:r>
        <w:rPr>
          <w:rFonts w:hint="eastAsia" w:ascii="宋体" w:hAnsi="宋体" w:eastAsia="宋体" w:cs="宋体"/>
          <w:color w:val="auto"/>
          <w:szCs w:val="21"/>
        </w:rPr>
        <w:t>日期： 年 月 日</w:t>
      </w:r>
    </w:p>
    <w:p>
      <w:pPr>
        <w:snapToGrid w:val="0"/>
        <w:spacing w:before="50" w:after="120" w:afterLines="50" w:line="440" w:lineRule="exact"/>
        <w:jc w:val="left"/>
        <w:rPr>
          <w:rFonts w:hint="eastAsia" w:ascii="宋体" w:hAnsi="宋体" w:eastAsia="宋体" w:cs="宋体"/>
          <w:b/>
          <w:color w:val="auto"/>
          <w:szCs w:val="21"/>
        </w:rPr>
        <w:sectPr>
          <w:headerReference r:id="rId3" w:type="default"/>
          <w:footerReference r:id="rId4" w:type="default"/>
          <w:pgSz w:w="11906" w:h="16838"/>
          <w:pgMar w:top="1000" w:right="1000" w:bottom="1000" w:left="1000" w:header="720" w:footer="720" w:gutter="0"/>
          <w:cols w:space="0" w:num="1"/>
          <w:docGrid w:linePitch="312" w:charSpace="0"/>
        </w:sectPr>
      </w:pPr>
    </w:p>
    <w:p>
      <w:pPr>
        <w:pStyle w:val="4"/>
        <w:rPr>
          <w:rFonts w:hint="eastAsia" w:ascii="宋体" w:hAnsi="宋体" w:eastAsia="宋体" w:cs="宋体"/>
          <w:color w:val="auto"/>
        </w:rPr>
      </w:pPr>
      <w:r>
        <w:rPr>
          <w:rFonts w:hint="eastAsia" w:ascii="宋体" w:hAnsi="宋体" w:eastAsia="宋体" w:cs="宋体"/>
          <w:color w:val="auto"/>
        </w:rPr>
        <w:t>法定代表人（负责人）授权委托书和委托代理人正反面身份证复印件（委托代理时需要提供）(格式)：</w:t>
      </w:r>
    </w:p>
    <w:p>
      <w:pPr>
        <w:snapToGrid w:val="0"/>
        <w:spacing w:before="120" w:beforeLines="50" w:after="50" w:line="440" w:lineRule="exact"/>
        <w:rPr>
          <w:rFonts w:hint="eastAsia" w:ascii="宋体" w:hAnsi="宋体" w:eastAsia="宋体" w:cs="宋体"/>
          <w:b/>
          <w:bCs/>
          <w:color w:val="auto"/>
          <w:szCs w:val="21"/>
        </w:rPr>
      </w:pPr>
      <w:r>
        <w:rPr>
          <w:rFonts w:hint="eastAsia" w:ascii="宋体" w:hAnsi="宋体" w:eastAsia="宋体" w:cs="宋体"/>
          <w:bCs/>
          <w:color w:val="auto"/>
          <w:szCs w:val="21"/>
        </w:rPr>
        <w:t>致：</w:t>
      </w:r>
      <w:r>
        <w:rPr>
          <w:rFonts w:hint="eastAsia" w:ascii="宋体" w:hAnsi="宋体" w:eastAsia="宋体" w:cs="宋体"/>
          <w:color w:val="auto"/>
          <w:szCs w:val="21"/>
        </w:rPr>
        <w:t>（招标采购单位名称）：</w:t>
      </w:r>
    </w:p>
    <w:p>
      <w:pPr>
        <w:snapToGrid w:val="0"/>
        <w:spacing w:before="120" w:beforeLines="50" w:after="50" w:line="44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我</w:t>
      </w:r>
      <w:r>
        <w:rPr>
          <w:rFonts w:hint="eastAsia" w:ascii="宋体" w:hAnsi="宋体" w:eastAsia="宋体" w:cs="宋体"/>
          <w:color w:val="auto"/>
          <w:szCs w:val="21"/>
          <w:u w:val="single"/>
        </w:rPr>
        <w:t>（姓名）</w:t>
      </w:r>
      <w:r>
        <w:rPr>
          <w:rFonts w:hint="eastAsia" w:ascii="宋体" w:hAnsi="宋体" w:eastAsia="宋体" w:cs="宋体"/>
          <w:color w:val="auto"/>
          <w:szCs w:val="21"/>
        </w:rPr>
        <w:t>系</w:t>
      </w:r>
      <w:r>
        <w:rPr>
          <w:rFonts w:hint="eastAsia" w:ascii="宋体" w:hAnsi="宋体" w:eastAsia="宋体" w:cs="宋体"/>
          <w:color w:val="auto"/>
          <w:szCs w:val="21"/>
          <w:u w:val="single"/>
        </w:rPr>
        <w:t>（投标人名称）</w:t>
      </w:r>
      <w:r>
        <w:rPr>
          <w:rFonts w:hint="eastAsia" w:ascii="宋体" w:hAnsi="宋体" w:eastAsia="宋体" w:cs="宋体"/>
          <w:color w:val="auto"/>
          <w:szCs w:val="21"/>
        </w:rPr>
        <w:t>的法定代表人/负责人，现授权委托本单位在职职工</w:t>
      </w:r>
      <w:r>
        <w:rPr>
          <w:rFonts w:hint="eastAsia" w:ascii="宋体" w:hAnsi="宋体" w:eastAsia="宋体" w:cs="宋体"/>
          <w:color w:val="auto"/>
          <w:szCs w:val="21"/>
          <w:u w:val="single"/>
        </w:rPr>
        <w:t xml:space="preserve"> （姓名）</w:t>
      </w:r>
      <w:r>
        <w:rPr>
          <w:rFonts w:hint="eastAsia" w:ascii="宋体" w:hAnsi="宋体" w:eastAsia="宋体" w:cs="宋体"/>
          <w:color w:val="auto"/>
          <w:szCs w:val="21"/>
        </w:rPr>
        <w:t>以我方的名义参加</w:t>
      </w:r>
      <w:r>
        <w:rPr>
          <w:rFonts w:hint="eastAsia" w:ascii="宋体" w:hAnsi="宋体" w:eastAsia="宋体" w:cs="宋体"/>
          <w:color w:val="auto"/>
          <w:szCs w:val="21"/>
          <w:u w:val="single"/>
        </w:rPr>
        <w:t xml:space="preserve"> （项目名称、项目编号） </w:t>
      </w:r>
      <w:r>
        <w:rPr>
          <w:rFonts w:hint="eastAsia" w:ascii="宋体" w:hAnsi="宋体" w:eastAsia="宋体" w:cs="宋体"/>
          <w:color w:val="auto"/>
          <w:szCs w:val="21"/>
        </w:rPr>
        <w:t>项目的投标活动，并代表我方全权办理针对上述项目的投标、开标、评标、签约等具体事务和签署相关文件。</w:t>
      </w:r>
    </w:p>
    <w:p>
      <w:pPr>
        <w:snapToGrid w:val="0"/>
        <w:spacing w:before="120" w:beforeLines="50" w:after="50" w:line="440" w:lineRule="exact"/>
        <w:rPr>
          <w:rFonts w:hint="eastAsia" w:ascii="宋体" w:hAnsi="宋体" w:eastAsia="宋体" w:cs="宋体"/>
          <w:color w:val="auto"/>
          <w:szCs w:val="21"/>
        </w:rPr>
      </w:pPr>
      <w:r>
        <w:rPr>
          <w:rFonts w:hint="eastAsia" w:ascii="宋体" w:hAnsi="宋体" w:eastAsia="宋体" w:cs="宋体"/>
          <w:color w:val="auto"/>
          <w:szCs w:val="21"/>
        </w:rPr>
        <w:t xml:space="preserve">    我方对被授权人的签名事项负全部责任。</w:t>
      </w:r>
    </w:p>
    <w:p>
      <w:pPr>
        <w:snapToGrid w:val="0"/>
        <w:spacing w:before="120" w:beforeLines="50" w:after="50" w:line="440" w:lineRule="exact"/>
        <w:ind w:firstLine="480"/>
        <w:rPr>
          <w:rFonts w:hint="eastAsia" w:ascii="宋体" w:hAnsi="宋体" w:eastAsia="宋体" w:cs="宋体"/>
          <w:color w:val="auto"/>
          <w:szCs w:val="21"/>
        </w:rPr>
      </w:pPr>
      <w:r>
        <w:rPr>
          <w:rFonts w:hint="eastAsia" w:ascii="宋体" w:hAnsi="宋体" w:eastAsia="宋体" w:cs="宋体"/>
          <w:color w:val="auto"/>
          <w:szCs w:val="21"/>
          <w:u w:val="single"/>
        </w:rPr>
        <w:t>在撤销授权的书面通知以前，本授权书一直有效。</w:t>
      </w:r>
      <w:r>
        <w:rPr>
          <w:rFonts w:hint="eastAsia" w:ascii="宋体" w:hAnsi="宋体" w:eastAsia="宋体" w:cs="宋体"/>
          <w:color w:val="auto"/>
          <w:szCs w:val="21"/>
        </w:rPr>
        <w:t>被授权人在授权书有效期内签署的所有文件不因授权的撤销而失效。</w:t>
      </w:r>
    </w:p>
    <w:p>
      <w:pPr>
        <w:snapToGrid w:val="0"/>
        <w:spacing w:before="120" w:beforeLines="50" w:after="50" w:line="440" w:lineRule="exact"/>
        <w:ind w:firstLine="480"/>
        <w:rPr>
          <w:rFonts w:hint="eastAsia" w:ascii="宋体" w:hAnsi="宋体" w:eastAsia="宋体" w:cs="宋体"/>
          <w:color w:val="auto"/>
          <w:szCs w:val="21"/>
        </w:rPr>
      </w:pPr>
      <w:r>
        <w:rPr>
          <w:rFonts w:hint="eastAsia" w:ascii="宋体" w:hAnsi="宋体" w:eastAsia="宋体" w:cs="宋体"/>
          <w:color w:val="auto"/>
          <w:szCs w:val="21"/>
        </w:rPr>
        <w:t>被授权人无转委托权，特此委托。</w:t>
      </w:r>
    </w:p>
    <w:p>
      <w:pPr>
        <w:snapToGrid w:val="0"/>
        <w:spacing w:before="120" w:beforeLines="50" w:after="50" w:line="440" w:lineRule="exact"/>
        <w:rPr>
          <w:rFonts w:hint="eastAsia" w:ascii="宋体" w:hAnsi="宋体" w:eastAsia="宋体" w:cs="宋体"/>
          <w:color w:val="auto"/>
          <w:szCs w:val="21"/>
        </w:rPr>
      </w:pPr>
      <w:r>
        <w:rPr>
          <w:rFonts w:hint="eastAsia" w:ascii="宋体" w:hAnsi="宋体" w:eastAsia="宋体" w:cs="宋体"/>
          <w:color w:val="auto"/>
          <w:szCs w:val="21"/>
        </w:rPr>
        <w:t>被授权人姓名：          性别：             年龄：           职务：</w:t>
      </w:r>
    </w:p>
    <w:p>
      <w:pPr>
        <w:rPr>
          <w:rFonts w:hint="eastAsia" w:ascii="宋体" w:hAnsi="宋体" w:eastAsia="宋体" w:cs="宋体"/>
          <w:color w:val="auto"/>
        </w:rPr>
      </w:pPr>
    </w:p>
    <w:p>
      <w:pPr>
        <w:snapToGrid w:val="0"/>
        <w:spacing w:before="120" w:beforeLines="50" w:after="50" w:line="440" w:lineRule="exact"/>
        <w:rPr>
          <w:rFonts w:hint="eastAsia" w:ascii="宋体" w:hAnsi="宋体" w:eastAsia="宋体" w:cs="宋体"/>
          <w:color w:val="auto"/>
          <w:szCs w:val="21"/>
        </w:rPr>
      </w:pPr>
      <w:r>
        <w:rPr>
          <w:rFonts w:hint="eastAsia" w:ascii="宋体" w:hAnsi="宋体" w:eastAsia="宋体" w:cs="宋体"/>
          <w:color w:val="auto"/>
          <w:szCs w:val="21"/>
        </w:rPr>
        <w:t>被授权人身份证号码：</w:t>
      </w:r>
    </w:p>
    <w:p>
      <w:pPr>
        <w:rPr>
          <w:rFonts w:hint="eastAsia" w:ascii="宋体" w:hAnsi="宋体" w:eastAsia="宋体" w:cs="宋体"/>
          <w:color w:val="auto"/>
        </w:rPr>
      </w:pPr>
    </w:p>
    <w:p>
      <w:pPr>
        <w:snapToGrid w:val="0"/>
        <w:spacing w:before="120" w:beforeLines="50" w:after="50" w:line="440" w:lineRule="exact"/>
        <w:rPr>
          <w:rFonts w:hint="eastAsia" w:ascii="宋体" w:hAnsi="宋体" w:eastAsia="宋体" w:cs="宋体"/>
          <w:color w:val="auto"/>
          <w:szCs w:val="21"/>
          <w:u w:val="single"/>
        </w:rPr>
      </w:pPr>
      <w:r>
        <w:rPr>
          <w:rFonts w:hint="eastAsia" w:ascii="宋体" w:hAnsi="宋体" w:eastAsia="宋体" w:cs="宋体"/>
          <w:color w:val="auto"/>
          <w:szCs w:val="21"/>
        </w:rPr>
        <w:t>被授权人签名：                                   法定代表人/负责人签名：</w:t>
      </w:r>
    </w:p>
    <w:p>
      <w:pPr>
        <w:snapToGrid w:val="0"/>
        <w:spacing w:before="120" w:beforeLines="50" w:after="50" w:line="440" w:lineRule="exact"/>
        <w:rPr>
          <w:rFonts w:hint="eastAsia" w:ascii="宋体" w:hAnsi="宋体" w:eastAsia="宋体" w:cs="宋体"/>
          <w:color w:val="auto"/>
          <w:szCs w:val="21"/>
        </w:rPr>
      </w:pPr>
    </w:p>
    <w:p>
      <w:pPr>
        <w:snapToGrid w:val="0"/>
        <w:spacing w:before="120" w:beforeLines="50" w:after="50" w:line="440" w:lineRule="exact"/>
        <w:rPr>
          <w:rFonts w:hint="eastAsia" w:ascii="宋体" w:hAnsi="宋体" w:eastAsia="宋体" w:cs="宋体"/>
          <w:color w:val="auto"/>
          <w:szCs w:val="21"/>
        </w:rPr>
      </w:pPr>
    </w:p>
    <w:p>
      <w:pPr>
        <w:snapToGrid w:val="0"/>
        <w:spacing w:before="120" w:beforeLines="50" w:after="50" w:line="440" w:lineRule="exact"/>
        <w:ind w:firstLine="4620" w:firstLineChars="2200"/>
        <w:jc w:val="right"/>
        <w:rPr>
          <w:rFonts w:hint="eastAsia" w:ascii="宋体" w:hAnsi="宋体" w:eastAsia="宋体" w:cs="宋体"/>
          <w:color w:val="auto"/>
          <w:szCs w:val="21"/>
        </w:rPr>
      </w:pPr>
      <w:r>
        <w:rPr>
          <w:rFonts w:hint="eastAsia" w:ascii="宋体" w:hAnsi="宋体" w:eastAsia="宋体" w:cs="宋体"/>
          <w:color w:val="auto"/>
          <w:szCs w:val="21"/>
        </w:rPr>
        <w:t xml:space="preserve">  投标人公章：</w:t>
      </w:r>
    </w:p>
    <w:p>
      <w:pPr>
        <w:snapToGrid w:val="0"/>
        <w:spacing w:before="120" w:beforeLines="50" w:after="50" w:line="440" w:lineRule="exact"/>
        <w:jc w:val="right"/>
        <w:rPr>
          <w:rFonts w:hint="eastAsia" w:ascii="宋体" w:hAnsi="宋体" w:eastAsia="宋体" w:cs="宋体"/>
          <w:color w:val="auto"/>
          <w:szCs w:val="21"/>
        </w:rPr>
      </w:pPr>
      <w:r>
        <w:rPr>
          <w:rFonts w:hint="eastAsia" w:ascii="宋体" w:hAnsi="宋体" w:eastAsia="宋体" w:cs="宋体"/>
          <w:color w:val="auto"/>
          <w:szCs w:val="21"/>
        </w:rPr>
        <w:t xml:space="preserve">                                        年    月    日</w:t>
      </w:r>
    </w:p>
    <w:p>
      <w:pPr>
        <w:snapToGrid w:val="0"/>
        <w:spacing w:before="120" w:beforeLines="50" w:after="50" w:line="440" w:lineRule="exact"/>
        <w:rPr>
          <w:rFonts w:hint="eastAsia" w:ascii="宋体" w:hAnsi="宋体" w:eastAsia="宋体" w:cs="宋体"/>
          <w:color w:val="auto"/>
          <w:szCs w:val="21"/>
        </w:rPr>
      </w:pPr>
    </w:p>
    <w:p>
      <w:pPr>
        <w:snapToGrid w:val="0"/>
        <w:spacing w:before="120" w:beforeLines="50" w:after="50" w:line="440" w:lineRule="exact"/>
        <w:rPr>
          <w:rFonts w:hint="eastAsia" w:ascii="宋体" w:hAnsi="宋体" w:eastAsia="宋体" w:cs="宋体"/>
          <w:color w:val="auto"/>
          <w:szCs w:val="21"/>
        </w:rPr>
      </w:pPr>
    </w:p>
    <w:p>
      <w:pPr>
        <w:snapToGrid w:val="0"/>
        <w:spacing w:before="120" w:beforeLines="50" w:after="50" w:line="440" w:lineRule="exact"/>
        <w:rPr>
          <w:rFonts w:hint="eastAsia" w:ascii="宋体" w:hAnsi="宋体" w:eastAsia="宋体" w:cs="宋体"/>
          <w:b/>
          <w:color w:val="auto"/>
          <w:szCs w:val="21"/>
        </w:rPr>
      </w:pPr>
      <w:r>
        <w:rPr>
          <w:rFonts w:hint="eastAsia" w:ascii="宋体" w:hAnsi="宋体" w:eastAsia="宋体" w:cs="宋体"/>
          <w:b/>
          <w:color w:val="auto"/>
          <w:szCs w:val="21"/>
        </w:rPr>
        <w:t>附：法定代表人（负责人）及委托代理人正反面身份证复印件。</w:t>
      </w:r>
    </w:p>
    <w:p>
      <w:pPr>
        <w:snapToGrid w:val="0"/>
        <w:spacing w:before="120" w:beforeLines="50" w:after="50" w:line="440" w:lineRule="exact"/>
        <w:rPr>
          <w:rFonts w:hint="eastAsia" w:ascii="宋体" w:hAnsi="宋体" w:eastAsia="宋体" w:cs="宋体"/>
          <w:b/>
          <w:color w:val="auto"/>
          <w:szCs w:val="21"/>
        </w:rPr>
        <w:sectPr>
          <w:pgSz w:w="11906" w:h="16838"/>
          <w:pgMar w:top="1000" w:right="1000" w:bottom="1000" w:left="1000" w:header="720" w:footer="720" w:gutter="0"/>
          <w:cols w:space="0" w:num="1"/>
          <w:docGrid w:linePitch="312" w:charSpace="0"/>
        </w:sectPr>
      </w:pPr>
    </w:p>
    <w:p>
      <w:pPr>
        <w:pStyle w:val="4"/>
        <w:rPr>
          <w:rFonts w:hint="eastAsia" w:ascii="宋体" w:hAnsi="宋体" w:eastAsia="宋体" w:cs="宋体"/>
          <w:color w:val="auto"/>
        </w:rPr>
      </w:pPr>
      <w:r>
        <w:rPr>
          <w:rFonts w:hint="eastAsia" w:ascii="宋体" w:hAnsi="宋体" w:eastAsia="宋体" w:cs="宋体"/>
          <w:color w:val="auto"/>
        </w:rPr>
        <w:t>商务响应表（格式）</w:t>
      </w:r>
    </w:p>
    <w:p>
      <w:pPr>
        <w:rPr>
          <w:rFonts w:hint="eastAsia" w:ascii="宋体" w:hAnsi="宋体" w:eastAsia="宋体" w:cs="宋体"/>
          <w:color w:val="auto"/>
        </w:rPr>
      </w:pPr>
    </w:p>
    <w:p>
      <w:pPr>
        <w:ind w:firstLine="632" w:firstLineChars="300"/>
        <w:rPr>
          <w:rFonts w:hint="eastAsia" w:ascii="宋体" w:hAnsi="宋体" w:eastAsia="宋体" w:cs="宋体"/>
          <w:b/>
          <w:color w:val="auto"/>
          <w:szCs w:val="21"/>
        </w:rPr>
      </w:pPr>
      <w:r>
        <w:rPr>
          <w:rFonts w:hint="eastAsia" w:ascii="宋体" w:hAnsi="宋体" w:eastAsia="宋体" w:cs="宋体"/>
          <w:b/>
          <w:color w:val="auto"/>
          <w:szCs w:val="21"/>
        </w:rPr>
        <w:t>项目名称：</w:t>
      </w:r>
    </w:p>
    <w:p>
      <w:pPr>
        <w:ind w:firstLine="632" w:firstLineChars="300"/>
        <w:rPr>
          <w:rFonts w:hint="eastAsia" w:ascii="宋体" w:hAnsi="宋体" w:eastAsia="宋体" w:cs="宋体"/>
          <w:b/>
          <w:color w:val="auto"/>
          <w:szCs w:val="21"/>
        </w:rPr>
      </w:pPr>
      <w:r>
        <w:rPr>
          <w:rFonts w:hint="eastAsia" w:ascii="宋体" w:hAnsi="宋体" w:eastAsia="宋体" w:cs="宋体"/>
          <w:b/>
          <w:color w:val="auto"/>
          <w:szCs w:val="21"/>
        </w:rPr>
        <w:t>项目编号：</w:t>
      </w:r>
    </w:p>
    <w:tbl>
      <w:tblPr>
        <w:tblStyle w:val="47"/>
        <w:tblW w:w="10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2063"/>
        <w:gridCol w:w="2246"/>
        <w:gridCol w:w="2043"/>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632" w:type="dxa"/>
            <w:vAlign w:val="center"/>
          </w:tcPr>
          <w:p>
            <w:pPr>
              <w:pStyle w:val="25"/>
              <w:snapToGrid w:val="0"/>
              <w:spacing w:line="20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2063" w:type="dxa"/>
          </w:tcPr>
          <w:p>
            <w:pPr>
              <w:pStyle w:val="143"/>
              <w:spacing w:line="334" w:lineRule="exact"/>
              <w:ind w:left="230" w:right="196"/>
              <w:jc w:val="center"/>
              <w:rPr>
                <w:rFonts w:hint="eastAsia" w:ascii="宋体" w:hAnsi="宋体" w:eastAsia="宋体" w:cs="宋体"/>
                <w:color w:val="auto"/>
                <w:sz w:val="24"/>
                <w:lang w:val="en-US" w:bidi="ar-SA"/>
              </w:rPr>
            </w:pPr>
            <w:r>
              <w:rPr>
                <w:rFonts w:hint="eastAsia" w:ascii="宋体" w:hAnsi="宋体" w:eastAsia="宋体" w:cs="宋体"/>
                <w:color w:val="auto"/>
                <w:sz w:val="24"/>
                <w:lang w:val="en-US" w:bidi="ar-SA"/>
              </w:rPr>
              <w:t>公开招标采</w:t>
            </w:r>
          </w:p>
          <w:p>
            <w:pPr>
              <w:pStyle w:val="143"/>
              <w:spacing w:before="106"/>
              <w:ind w:left="214" w:right="196"/>
              <w:jc w:val="center"/>
              <w:rPr>
                <w:rFonts w:hint="eastAsia" w:ascii="宋体" w:hAnsi="宋体" w:eastAsia="宋体" w:cs="宋体"/>
                <w:color w:val="auto"/>
                <w:sz w:val="24"/>
                <w:lang w:val="en-US" w:bidi="ar-SA"/>
              </w:rPr>
            </w:pPr>
            <w:r>
              <w:rPr>
                <w:rFonts w:hint="eastAsia" w:ascii="宋体" w:hAnsi="宋体" w:eastAsia="宋体" w:cs="宋体"/>
                <w:color w:val="auto"/>
                <w:sz w:val="24"/>
                <w:lang w:val="en-US" w:bidi="ar-SA"/>
              </w:rPr>
              <w:t>购文件要求</w:t>
            </w:r>
          </w:p>
        </w:tc>
        <w:tc>
          <w:tcPr>
            <w:tcW w:w="2246" w:type="dxa"/>
          </w:tcPr>
          <w:p>
            <w:pPr>
              <w:pStyle w:val="143"/>
              <w:spacing w:line="334" w:lineRule="exact"/>
              <w:ind w:left="188" w:right="168"/>
              <w:jc w:val="center"/>
              <w:rPr>
                <w:rFonts w:hint="eastAsia" w:ascii="宋体" w:hAnsi="宋体" w:eastAsia="宋体" w:cs="宋体"/>
                <w:color w:val="auto"/>
                <w:sz w:val="24"/>
                <w:lang w:val="en-US" w:bidi="ar-SA"/>
              </w:rPr>
            </w:pPr>
            <w:r>
              <w:rPr>
                <w:rFonts w:hint="eastAsia" w:ascii="宋体" w:hAnsi="宋体" w:eastAsia="宋体" w:cs="宋体"/>
                <w:color w:val="auto"/>
                <w:sz w:val="24"/>
                <w:lang w:val="en-US" w:bidi="ar-SA"/>
              </w:rPr>
              <w:t>响应文件</w:t>
            </w:r>
          </w:p>
          <w:p>
            <w:pPr>
              <w:pStyle w:val="143"/>
              <w:spacing w:line="334" w:lineRule="exact"/>
              <w:ind w:left="188" w:right="168"/>
              <w:jc w:val="center"/>
              <w:rPr>
                <w:rFonts w:hint="eastAsia" w:ascii="宋体" w:hAnsi="宋体" w:eastAsia="宋体" w:cs="宋体"/>
                <w:color w:val="auto"/>
                <w:sz w:val="24"/>
                <w:lang w:val="en-US" w:bidi="ar-SA"/>
              </w:rPr>
            </w:pPr>
            <w:r>
              <w:rPr>
                <w:rFonts w:hint="eastAsia" w:ascii="宋体" w:hAnsi="宋体" w:eastAsia="宋体" w:cs="宋体"/>
                <w:color w:val="auto"/>
                <w:sz w:val="24"/>
                <w:lang w:val="en-US" w:bidi="ar-SA"/>
              </w:rPr>
              <w:t>具体响应</w:t>
            </w:r>
          </w:p>
        </w:tc>
        <w:tc>
          <w:tcPr>
            <w:tcW w:w="2043" w:type="dxa"/>
            <w:vAlign w:val="center"/>
          </w:tcPr>
          <w:p>
            <w:pPr>
              <w:pStyle w:val="25"/>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是否响应</w:t>
            </w:r>
          </w:p>
        </w:tc>
        <w:tc>
          <w:tcPr>
            <w:tcW w:w="2034" w:type="dxa"/>
            <w:vAlign w:val="center"/>
          </w:tcPr>
          <w:p>
            <w:pPr>
              <w:pStyle w:val="25"/>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632" w:type="dxa"/>
            <w:vAlign w:val="center"/>
          </w:tcPr>
          <w:p>
            <w:pPr>
              <w:pStyle w:val="25"/>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质保期</w:t>
            </w:r>
          </w:p>
        </w:tc>
        <w:tc>
          <w:tcPr>
            <w:tcW w:w="2063" w:type="dxa"/>
            <w:vAlign w:val="center"/>
          </w:tcPr>
          <w:p>
            <w:pPr>
              <w:pStyle w:val="25"/>
              <w:spacing w:line="600" w:lineRule="exact"/>
              <w:jc w:val="center"/>
              <w:rPr>
                <w:rFonts w:hint="eastAsia" w:ascii="宋体" w:hAnsi="宋体" w:eastAsia="宋体" w:cs="宋体"/>
                <w:color w:val="auto"/>
                <w:sz w:val="24"/>
                <w:szCs w:val="24"/>
              </w:rPr>
            </w:pPr>
          </w:p>
        </w:tc>
        <w:tc>
          <w:tcPr>
            <w:tcW w:w="2246" w:type="dxa"/>
            <w:vAlign w:val="center"/>
          </w:tcPr>
          <w:p>
            <w:pPr>
              <w:pStyle w:val="25"/>
              <w:spacing w:line="600" w:lineRule="exact"/>
              <w:ind w:left="110" w:hanging="110" w:hangingChars="46"/>
              <w:jc w:val="center"/>
              <w:rPr>
                <w:rFonts w:hint="eastAsia" w:ascii="宋体" w:hAnsi="宋体" w:eastAsia="宋体" w:cs="宋体"/>
                <w:color w:val="auto"/>
                <w:sz w:val="24"/>
                <w:szCs w:val="24"/>
              </w:rPr>
            </w:pPr>
          </w:p>
        </w:tc>
        <w:tc>
          <w:tcPr>
            <w:tcW w:w="2043" w:type="dxa"/>
            <w:vAlign w:val="center"/>
          </w:tcPr>
          <w:p>
            <w:pPr>
              <w:pStyle w:val="25"/>
              <w:spacing w:line="600" w:lineRule="exact"/>
              <w:jc w:val="center"/>
              <w:rPr>
                <w:rFonts w:hint="eastAsia" w:ascii="宋体" w:hAnsi="宋体" w:eastAsia="宋体" w:cs="宋体"/>
                <w:color w:val="auto"/>
                <w:sz w:val="24"/>
                <w:szCs w:val="24"/>
              </w:rPr>
            </w:pPr>
          </w:p>
        </w:tc>
        <w:tc>
          <w:tcPr>
            <w:tcW w:w="2034" w:type="dxa"/>
            <w:vAlign w:val="center"/>
          </w:tcPr>
          <w:p>
            <w:pPr>
              <w:pStyle w:val="25"/>
              <w:spacing w:line="6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632" w:type="dxa"/>
            <w:vAlign w:val="center"/>
          </w:tcPr>
          <w:p>
            <w:pPr>
              <w:pStyle w:val="25"/>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售后服务要求</w:t>
            </w:r>
          </w:p>
        </w:tc>
        <w:tc>
          <w:tcPr>
            <w:tcW w:w="2063" w:type="dxa"/>
            <w:vAlign w:val="center"/>
          </w:tcPr>
          <w:p>
            <w:pPr>
              <w:pStyle w:val="25"/>
              <w:spacing w:line="600" w:lineRule="exact"/>
              <w:jc w:val="center"/>
              <w:rPr>
                <w:rFonts w:hint="eastAsia" w:ascii="宋体" w:hAnsi="宋体" w:eastAsia="宋体" w:cs="宋体"/>
                <w:color w:val="auto"/>
                <w:sz w:val="24"/>
                <w:szCs w:val="24"/>
              </w:rPr>
            </w:pPr>
          </w:p>
        </w:tc>
        <w:tc>
          <w:tcPr>
            <w:tcW w:w="2246" w:type="dxa"/>
            <w:vAlign w:val="center"/>
          </w:tcPr>
          <w:p>
            <w:pPr>
              <w:pStyle w:val="25"/>
              <w:spacing w:line="600" w:lineRule="exact"/>
              <w:jc w:val="center"/>
              <w:rPr>
                <w:rFonts w:hint="eastAsia" w:ascii="宋体" w:hAnsi="宋体" w:eastAsia="宋体" w:cs="宋体"/>
                <w:color w:val="auto"/>
                <w:sz w:val="24"/>
                <w:szCs w:val="24"/>
              </w:rPr>
            </w:pPr>
          </w:p>
        </w:tc>
        <w:tc>
          <w:tcPr>
            <w:tcW w:w="2043" w:type="dxa"/>
            <w:vAlign w:val="center"/>
          </w:tcPr>
          <w:p>
            <w:pPr>
              <w:pStyle w:val="25"/>
              <w:spacing w:line="600" w:lineRule="exact"/>
              <w:jc w:val="center"/>
              <w:rPr>
                <w:rFonts w:hint="eastAsia" w:ascii="宋体" w:hAnsi="宋体" w:eastAsia="宋体" w:cs="宋体"/>
                <w:color w:val="auto"/>
                <w:sz w:val="24"/>
                <w:szCs w:val="24"/>
              </w:rPr>
            </w:pPr>
          </w:p>
        </w:tc>
        <w:tc>
          <w:tcPr>
            <w:tcW w:w="2034" w:type="dxa"/>
            <w:vAlign w:val="center"/>
          </w:tcPr>
          <w:p>
            <w:pPr>
              <w:pStyle w:val="25"/>
              <w:spacing w:line="6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632" w:type="dxa"/>
            <w:vAlign w:val="center"/>
          </w:tcPr>
          <w:p>
            <w:pPr>
              <w:pStyle w:val="25"/>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服务期限</w:t>
            </w:r>
          </w:p>
          <w:p>
            <w:pPr>
              <w:pStyle w:val="25"/>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及服务地点</w:t>
            </w:r>
          </w:p>
        </w:tc>
        <w:tc>
          <w:tcPr>
            <w:tcW w:w="2063" w:type="dxa"/>
            <w:vAlign w:val="center"/>
          </w:tcPr>
          <w:p>
            <w:pPr>
              <w:pStyle w:val="25"/>
              <w:spacing w:line="600" w:lineRule="exact"/>
              <w:jc w:val="center"/>
              <w:rPr>
                <w:rFonts w:hint="eastAsia" w:ascii="宋体" w:hAnsi="宋体" w:eastAsia="宋体" w:cs="宋体"/>
                <w:color w:val="auto"/>
                <w:sz w:val="24"/>
                <w:szCs w:val="24"/>
              </w:rPr>
            </w:pPr>
          </w:p>
        </w:tc>
        <w:tc>
          <w:tcPr>
            <w:tcW w:w="2246" w:type="dxa"/>
            <w:vAlign w:val="center"/>
          </w:tcPr>
          <w:p>
            <w:pPr>
              <w:pStyle w:val="25"/>
              <w:spacing w:line="600" w:lineRule="exact"/>
              <w:jc w:val="center"/>
              <w:rPr>
                <w:rFonts w:hint="eastAsia" w:ascii="宋体" w:hAnsi="宋体" w:eastAsia="宋体" w:cs="宋体"/>
                <w:color w:val="auto"/>
                <w:sz w:val="24"/>
                <w:szCs w:val="24"/>
              </w:rPr>
            </w:pPr>
          </w:p>
        </w:tc>
        <w:tc>
          <w:tcPr>
            <w:tcW w:w="2043" w:type="dxa"/>
            <w:vAlign w:val="center"/>
          </w:tcPr>
          <w:p>
            <w:pPr>
              <w:pStyle w:val="25"/>
              <w:spacing w:line="600" w:lineRule="exact"/>
              <w:jc w:val="center"/>
              <w:rPr>
                <w:rFonts w:hint="eastAsia" w:ascii="宋体" w:hAnsi="宋体" w:eastAsia="宋体" w:cs="宋体"/>
                <w:color w:val="auto"/>
                <w:sz w:val="24"/>
                <w:szCs w:val="24"/>
              </w:rPr>
            </w:pPr>
          </w:p>
        </w:tc>
        <w:tc>
          <w:tcPr>
            <w:tcW w:w="2034" w:type="dxa"/>
            <w:vAlign w:val="center"/>
          </w:tcPr>
          <w:p>
            <w:pPr>
              <w:pStyle w:val="25"/>
              <w:spacing w:line="6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632" w:type="dxa"/>
            <w:vAlign w:val="center"/>
          </w:tcPr>
          <w:p>
            <w:pPr>
              <w:pStyle w:val="25"/>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付款方式</w:t>
            </w:r>
          </w:p>
        </w:tc>
        <w:tc>
          <w:tcPr>
            <w:tcW w:w="2063" w:type="dxa"/>
            <w:vAlign w:val="center"/>
          </w:tcPr>
          <w:p>
            <w:pPr>
              <w:pStyle w:val="25"/>
              <w:spacing w:line="600" w:lineRule="exact"/>
              <w:jc w:val="center"/>
              <w:rPr>
                <w:rFonts w:hint="eastAsia" w:ascii="宋体" w:hAnsi="宋体" w:eastAsia="宋体" w:cs="宋体"/>
                <w:color w:val="auto"/>
                <w:sz w:val="24"/>
                <w:szCs w:val="24"/>
              </w:rPr>
            </w:pPr>
          </w:p>
        </w:tc>
        <w:tc>
          <w:tcPr>
            <w:tcW w:w="2246" w:type="dxa"/>
            <w:vAlign w:val="center"/>
          </w:tcPr>
          <w:p>
            <w:pPr>
              <w:pStyle w:val="25"/>
              <w:spacing w:line="600" w:lineRule="exact"/>
              <w:jc w:val="center"/>
              <w:rPr>
                <w:rFonts w:hint="eastAsia" w:ascii="宋体" w:hAnsi="宋体" w:eastAsia="宋体" w:cs="宋体"/>
                <w:color w:val="auto"/>
                <w:sz w:val="24"/>
                <w:szCs w:val="24"/>
              </w:rPr>
            </w:pPr>
          </w:p>
        </w:tc>
        <w:tc>
          <w:tcPr>
            <w:tcW w:w="2043" w:type="dxa"/>
            <w:vAlign w:val="center"/>
          </w:tcPr>
          <w:p>
            <w:pPr>
              <w:pStyle w:val="25"/>
              <w:spacing w:line="600" w:lineRule="exact"/>
              <w:jc w:val="center"/>
              <w:rPr>
                <w:rFonts w:hint="eastAsia" w:ascii="宋体" w:hAnsi="宋体" w:eastAsia="宋体" w:cs="宋体"/>
                <w:color w:val="auto"/>
                <w:sz w:val="24"/>
                <w:szCs w:val="24"/>
              </w:rPr>
            </w:pPr>
          </w:p>
        </w:tc>
        <w:tc>
          <w:tcPr>
            <w:tcW w:w="2034" w:type="dxa"/>
            <w:vAlign w:val="center"/>
          </w:tcPr>
          <w:p>
            <w:pPr>
              <w:pStyle w:val="25"/>
              <w:spacing w:line="6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632" w:type="dxa"/>
            <w:vAlign w:val="center"/>
          </w:tcPr>
          <w:p>
            <w:pPr>
              <w:pStyle w:val="25"/>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063" w:type="dxa"/>
            <w:vAlign w:val="center"/>
          </w:tcPr>
          <w:p>
            <w:pPr>
              <w:pStyle w:val="25"/>
              <w:spacing w:line="600" w:lineRule="exact"/>
              <w:jc w:val="center"/>
              <w:rPr>
                <w:rFonts w:hint="eastAsia" w:ascii="宋体" w:hAnsi="宋体" w:eastAsia="宋体" w:cs="宋体"/>
                <w:color w:val="auto"/>
                <w:sz w:val="24"/>
                <w:szCs w:val="24"/>
              </w:rPr>
            </w:pPr>
          </w:p>
        </w:tc>
        <w:tc>
          <w:tcPr>
            <w:tcW w:w="2246" w:type="dxa"/>
            <w:vAlign w:val="center"/>
          </w:tcPr>
          <w:p>
            <w:pPr>
              <w:pStyle w:val="25"/>
              <w:spacing w:line="600" w:lineRule="exact"/>
              <w:jc w:val="center"/>
              <w:rPr>
                <w:rFonts w:hint="eastAsia" w:ascii="宋体" w:hAnsi="宋体" w:eastAsia="宋体" w:cs="宋体"/>
                <w:color w:val="auto"/>
                <w:sz w:val="24"/>
                <w:szCs w:val="24"/>
              </w:rPr>
            </w:pPr>
          </w:p>
        </w:tc>
        <w:tc>
          <w:tcPr>
            <w:tcW w:w="2043" w:type="dxa"/>
            <w:vAlign w:val="center"/>
          </w:tcPr>
          <w:p>
            <w:pPr>
              <w:pStyle w:val="25"/>
              <w:spacing w:line="600" w:lineRule="exact"/>
              <w:jc w:val="center"/>
              <w:rPr>
                <w:rFonts w:hint="eastAsia" w:ascii="宋体" w:hAnsi="宋体" w:eastAsia="宋体" w:cs="宋体"/>
                <w:color w:val="auto"/>
                <w:sz w:val="24"/>
                <w:szCs w:val="24"/>
              </w:rPr>
            </w:pPr>
          </w:p>
        </w:tc>
        <w:tc>
          <w:tcPr>
            <w:tcW w:w="2034" w:type="dxa"/>
            <w:vAlign w:val="center"/>
          </w:tcPr>
          <w:p>
            <w:pPr>
              <w:pStyle w:val="25"/>
              <w:spacing w:line="6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632" w:type="dxa"/>
            <w:vAlign w:val="center"/>
          </w:tcPr>
          <w:p>
            <w:pPr>
              <w:pStyle w:val="25"/>
              <w:spacing w:line="600" w:lineRule="exact"/>
              <w:jc w:val="center"/>
              <w:rPr>
                <w:rFonts w:hint="eastAsia" w:ascii="宋体" w:hAnsi="宋体" w:eastAsia="宋体" w:cs="宋体"/>
                <w:color w:val="auto"/>
                <w:sz w:val="24"/>
                <w:szCs w:val="24"/>
              </w:rPr>
            </w:pPr>
          </w:p>
        </w:tc>
        <w:tc>
          <w:tcPr>
            <w:tcW w:w="2063" w:type="dxa"/>
            <w:vAlign w:val="center"/>
          </w:tcPr>
          <w:p>
            <w:pPr>
              <w:pStyle w:val="25"/>
              <w:spacing w:line="600" w:lineRule="exact"/>
              <w:jc w:val="center"/>
              <w:rPr>
                <w:rFonts w:hint="eastAsia" w:ascii="宋体" w:hAnsi="宋体" w:eastAsia="宋体" w:cs="宋体"/>
                <w:color w:val="auto"/>
                <w:sz w:val="24"/>
                <w:szCs w:val="24"/>
              </w:rPr>
            </w:pPr>
          </w:p>
        </w:tc>
        <w:tc>
          <w:tcPr>
            <w:tcW w:w="2246" w:type="dxa"/>
            <w:vAlign w:val="center"/>
          </w:tcPr>
          <w:p>
            <w:pPr>
              <w:pStyle w:val="25"/>
              <w:spacing w:line="600" w:lineRule="exact"/>
              <w:jc w:val="center"/>
              <w:rPr>
                <w:rFonts w:hint="eastAsia" w:ascii="宋体" w:hAnsi="宋体" w:eastAsia="宋体" w:cs="宋体"/>
                <w:color w:val="auto"/>
                <w:sz w:val="24"/>
                <w:szCs w:val="24"/>
              </w:rPr>
            </w:pPr>
          </w:p>
        </w:tc>
        <w:tc>
          <w:tcPr>
            <w:tcW w:w="2043" w:type="dxa"/>
            <w:vAlign w:val="center"/>
          </w:tcPr>
          <w:p>
            <w:pPr>
              <w:pStyle w:val="25"/>
              <w:spacing w:line="600" w:lineRule="exact"/>
              <w:jc w:val="center"/>
              <w:rPr>
                <w:rFonts w:hint="eastAsia" w:ascii="宋体" w:hAnsi="宋体" w:eastAsia="宋体" w:cs="宋体"/>
                <w:color w:val="auto"/>
                <w:sz w:val="24"/>
                <w:szCs w:val="24"/>
              </w:rPr>
            </w:pPr>
          </w:p>
        </w:tc>
        <w:tc>
          <w:tcPr>
            <w:tcW w:w="2034" w:type="dxa"/>
            <w:vAlign w:val="center"/>
          </w:tcPr>
          <w:p>
            <w:pPr>
              <w:pStyle w:val="25"/>
              <w:spacing w:line="6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632" w:type="dxa"/>
            <w:vAlign w:val="center"/>
          </w:tcPr>
          <w:p>
            <w:pPr>
              <w:pStyle w:val="25"/>
              <w:spacing w:line="600" w:lineRule="exact"/>
              <w:jc w:val="center"/>
              <w:rPr>
                <w:rFonts w:hint="eastAsia" w:ascii="宋体" w:hAnsi="宋体" w:eastAsia="宋体" w:cs="宋体"/>
                <w:color w:val="auto"/>
                <w:sz w:val="24"/>
                <w:szCs w:val="24"/>
              </w:rPr>
            </w:pPr>
          </w:p>
        </w:tc>
        <w:tc>
          <w:tcPr>
            <w:tcW w:w="2063" w:type="dxa"/>
            <w:vAlign w:val="center"/>
          </w:tcPr>
          <w:p>
            <w:pPr>
              <w:pStyle w:val="25"/>
              <w:spacing w:line="600" w:lineRule="exact"/>
              <w:jc w:val="center"/>
              <w:rPr>
                <w:rFonts w:hint="eastAsia" w:ascii="宋体" w:hAnsi="宋体" w:eastAsia="宋体" w:cs="宋体"/>
                <w:color w:val="auto"/>
                <w:sz w:val="24"/>
                <w:szCs w:val="24"/>
              </w:rPr>
            </w:pPr>
          </w:p>
        </w:tc>
        <w:tc>
          <w:tcPr>
            <w:tcW w:w="2246" w:type="dxa"/>
            <w:vAlign w:val="center"/>
          </w:tcPr>
          <w:p>
            <w:pPr>
              <w:pStyle w:val="25"/>
              <w:spacing w:line="600" w:lineRule="exact"/>
              <w:jc w:val="center"/>
              <w:rPr>
                <w:rFonts w:hint="eastAsia" w:ascii="宋体" w:hAnsi="宋体" w:eastAsia="宋体" w:cs="宋体"/>
                <w:color w:val="auto"/>
                <w:sz w:val="24"/>
                <w:szCs w:val="24"/>
              </w:rPr>
            </w:pPr>
          </w:p>
        </w:tc>
        <w:tc>
          <w:tcPr>
            <w:tcW w:w="2043" w:type="dxa"/>
            <w:vAlign w:val="center"/>
          </w:tcPr>
          <w:p>
            <w:pPr>
              <w:pStyle w:val="25"/>
              <w:spacing w:line="600" w:lineRule="exact"/>
              <w:jc w:val="center"/>
              <w:rPr>
                <w:rFonts w:hint="eastAsia" w:ascii="宋体" w:hAnsi="宋体" w:eastAsia="宋体" w:cs="宋体"/>
                <w:color w:val="auto"/>
                <w:sz w:val="24"/>
                <w:szCs w:val="24"/>
              </w:rPr>
            </w:pPr>
          </w:p>
        </w:tc>
        <w:tc>
          <w:tcPr>
            <w:tcW w:w="2034" w:type="dxa"/>
            <w:vAlign w:val="center"/>
          </w:tcPr>
          <w:p>
            <w:pPr>
              <w:pStyle w:val="25"/>
              <w:spacing w:line="600" w:lineRule="exact"/>
              <w:jc w:val="center"/>
              <w:rPr>
                <w:rFonts w:hint="eastAsia" w:ascii="宋体" w:hAnsi="宋体" w:eastAsia="宋体" w:cs="宋体"/>
                <w:color w:val="auto"/>
                <w:sz w:val="24"/>
                <w:szCs w:val="24"/>
              </w:rPr>
            </w:pPr>
          </w:p>
        </w:tc>
      </w:tr>
    </w:tbl>
    <w:p>
      <w:pPr>
        <w:snapToGrid w:val="0"/>
        <w:spacing w:before="50"/>
        <w:jc w:val="left"/>
        <w:rPr>
          <w:rFonts w:hint="eastAsia" w:ascii="宋体" w:hAnsi="宋体" w:eastAsia="宋体" w:cs="宋体"/>
          <w:b/>
          <w:color w:val="auto"/>
          <w:szCs w:val="21"/>
        </w:rPr>
      </w:pPr>
    </w:p>
    <w:p>
      <w:pPr>
        <w:snapToGrid w:val="0"/>
        <w:spacing w:before="50"/>
        <w:jc w:val="left"/>
        <w:rPr>
          <w:rFonts w:hint="eastAsia" w:ascii="宋体" w:hAnsi="宋体" w:eastAsia="宋体" w:cs="宋体"/>
          <w:b/>
          <w:color w:val="auto"/>
          <w:szCs w:val="21"/>
        </w:rPr>
      </w:pPr>
      <w:r>
        <w:rPr>
          <w:rFonts w:hint="eastAsia" w:ascii="宋体" w:hAnsi="宋体" w:eastAsia="宋体" w:cs="宋体"/>
          <w:b/>
          <w:color w:val="auto"/>
          <w:szCs w:val="21"/>
        </w:rPr>
        <w:t>说明：应对照采购文件的商务要求，逐条说明所提供服务已对公开招标采购文件的服务做出了实质性的响应，并申明与服务条文的响应和偏离。</w:t>
      </w:r>
    </w:p>
    <w:p>
      <w:pPr>
        <w:snapToGrid w:val="0"/>
        <w:spacing w:before="50"/>
        <w:jc w:val="left"/>
        <w:rPr>
          <w:rFonts w:hint="eastAsia" w:ascii="宋体" w:hAnsi="宋体" w:eastAsia="宋体" w:cs="宋体"/>
          <w:b/>
          <w:color w:val="auto"/>
          <w:szCs w:val="21"/>
        </w:rPr>
      </w:pPr>
    </w:p>
    <w:p>
      <w:pPr>
        <w:snapToGrid w:val="0"/>
        <w:spacing w:before="50" w:after="50" w:line="320" w:lineRule="exact"/>
        <w:ind w:left="-2" w:leftChars="-1" w:right="-817" w:rightChars="-389"/>
        <w:rPr>
          <w:rFonts w:hint="eastAsia" w:ascii="宋体" w:hAnsi="宋体" w:eastAsia="宋体" w:cs="宋体"/>
          <w:color w:val="auto"/>
          <w:szCs w:val="21"/>
          <w:u w:val="single"/>
        </w:rPr>
      </w:pPr>
      <w:r>
        <w:rPr>
          <w:rFonts w:hint="eastAsia" w:ascii="宋体" w:hAnsi="宋体" w:eastAsia="宋体" w:cs="宋体"/>
          <w:color w:val="auto"/>
          <w:szCs w:val="21"/>
        </w:rPr>
        <w:t xml:space="preserve">法定代表人/负责人或授权委托代理人（签字）： </w:t>
      </w:r>
    </w:p>
    <w:p>
      <w:pPr>
        <w:snapToGrid w:val="0"/>
        <w:spacing w:before="50" w:after="50" w:line="360" w:lineRule="exact"/>
        <w:ind w:right="-817" w:rightChars="-389"/>
        <w:rPr>
          <w:rFonts w:hint="eastAsia" w:ascii="宋体" w:hAnsi="宋体" w:eastAsia="宋体" w:cs="宋体"/>
          <w:color w:val="auto"/>
          <w:szCs w:val="21"/>
          <w:u w:val="single"/>
        </w:rPr>
      </w:pPr>
      <w:r>
        <w:rPr>
          <w:rFonts w:hint="eastAsia" w:ascii="宋体" w:hAnsi="宋体" w:eastAsia="宋体" w:cs="宋体"/>
          <w:color w:val="auto"/>
          <w:szCs w:val="21"/>
        </w:rPr>
        <w:t>投标人名称（公章）：</w:t>
      </w:r>
    </w:p>
    <w:p>
      <w:pPr>
        <w:snapToGrid w:val="0"/>
        <w:spacing w:before="50"/>
        <w:jc w:val="left"/>
        <w:rPr>
          <w:rFonts w:hint="eastAsia" w:ascii="宋体" w:hAnsi="宋体" w:eastAsia="宋体" w:cs="宋体"/>
          <w:color w:val="auto"/>
          <w:szCs w:val="21"/>
          <w:u w:val="single"/>
        </w:rPr>
        <w:sectPr>
          <w:pgSz w:w="11906" w:h="16838"/>
          <w:pgMar w:top="1000" w:right="1000" w:bottom="1000" w:left="1000" w:header="720" w:footer="720" w:gutter="0"/>
          <w:cols w:space="0" w:num="1"/>
          <w:docGrid w:linePitch="312" w:charSpace="0"/>
        </w:sect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年   月   日</w:t>
      </w:r>
    </w:p>
    <w:p>
      <w:pPr>
        <w:pStyle w:val="4"/>
        <w:jc w:val="left"/>
        <w:rPr>
          <w:rFonts w:hint="eastAsia" w:ascii="宋体" w:hAnsi="宋体" w:eastAsia="宋体" w:cs="宋体"/>
          <w:color w:val="auto"/>
        </w:rPr>
      </w:pPr>
      <w:r>
        <w:rPr>
          <w:rFonts w:hint="eastAsia" w:ascii="宋体" w:hAnsi="宋体" w:eastAsia="宋体" w:cs="宋体"/>
          <w:color w:val="auto"/>
        </w:rPr>
        <w:t>无重大违法记录声明书；（格式）</w:t>
      </w:r>
    </w:p>
    <w:p>
      <w:pPr>
        <w:rPr>
          <w:rFonts w:hint="eastAsia" w:ascii="宋体" w:hAnsi="宋体" w:eastAsia="宋体" w:cs="宋体"/>
          <w:color w:val="auto"/>
        </w:rPr>
      </w:pPr>
    </w:p>
    <w:p>
      <w:pPr>
        <w:spacing w:line="480" w:lineRule="auto"/>
        <w:rPr>
          <w:rFonts w:hint="eastAsia" w:ascii="宋体" w:hAnsi="宋体" w:eastAsia="宋体" w:cs="宋体"/>
          <w:color w:val="auto"/>
          <w:szCs w:val="21"/>
        </w:rPr>
      </w:pPr>
      <w:r>
        <w:rPr>
          <w:rFonts w:hint="eastAsia" w:ascii="宋体" w:hAnsi="宋体" w:eastAsia="宋体" w:cs="宋体"/>
          <w:color w:val="auto"/>
          <w:szCs w:val="21"/>
        </w:rPr>
        <w:t>（招标单位）：</w:t>
      </w:r>
    </w:p>
    <w:p>
      <w:pPr>
        <w:widowControl/>
        <w:spacing w:line="48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我公司参加贵公司组织的</w:t>
      </w:r>
      <w:r>
        <w:rPr>
          <w:rFonts w:hint="eastAsia" w:ascii="宋体" w:hAnsi="宋体" w:eastAsia="宋体" w:cs="宋体"/>
          <w:color w:val="auto"/>
          <w:szCs w:val="21"/>
          <w:u w:val="single"/>
        </w:rPr>
        <w:t xml:space="preserve">   （项目名称）  </w:t>
      </w:r>
      <w:r>
        <w:rPr>
          <w:rFonts w:hint="eastAsia" w:ascii="宋体" w:hAnsi="宋体" w:eastAsia="宋体" w:cs="宋体"/>
          <w:color w:val="auto"/>
          <w:szCs w:val="21"/>
        </w:rPr>
        <w:t>政府采购活动。我公司在此郑重声明，我公司参加本项目的政府采购活动前三年内在经营活动中没有重大违法记录，符合《中华人民共和国政府采购法》及《中华人民共和国政府采购实施条例》规定的供应商条件，我公司对此声明负全部法律责任。</w:t>
      </w:r>
    </w:p>
    <w:p>
      <w:pPr>
        <w:spacing w:line="48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特此承诺。</w:t>
      </w:r>
    </w:p>
    <w:p>
      <w:pPr>
        <w:pStyle w:val="25"/>
        <w:spacing w:line="560" w:lineRule="exact"/>
        <w:jc w:val="center"/>
        <w:rPr>
          <w:rFonts w:hint="eastAsia" w:ascii="宋体" w:hAnsi="宋体" w:eastAsia="宋体" w:cs="宋体"/>
          <w:b/>
          <w:color w:val="auto"/>
          <w:sz w:val="30"/>
          <w:szCs w:val="30"/>
        </w:rPr>
      </w:pPr>
    </w:p>
    <w:p>
      <w:pPr>
        <w:pStyle w:val="25"/>
        <w:spacing w:line="360" w:lineRule="auto"/>
        <w:jc w:val="left"/>
        <w:rPr>
          <w:rFonts w:hint="eastAsia" w:ascii="宋体" w:hAnsi="宋体" w:eastAsia="宋体" w:cs="宋体"/>
          <w:color w:val="auto"/>
          <w:u w:val="single"/>
        </w:rPr>
      </w:pPr>
      <w:r>
        <w:rPr>
          <w:rFonts w:hint="eastAsia" w:ascii="宋体" w:hAnsi="宋体" w:eastAsia="宋体" w:cs="宋体"/>
          <w:color w:val="auto"/>
        </w:rPr>
        <w:t>投标人（公章）：</w:t>
      </w:r>
    </w:p>
    <w:p>
      <w:pPr>
        <w:spacing w:line="360" w:lineRule="auto"/>
        <w:jc w:val="left"/>
        <w:rPr>
          <w:rFonts w:hint="eastAsia" w:ascii="宋体" w:hAnsi="宋体" w:eastAsia="宋体" w:cs="宋体"/>
          <w:color w:val="auto"/>
        </w:rPr>
      </w:pPr>
      <w:r>
        <w:rPr>
          <w:rFonts w:hint="eastAsia" w:ascii="宋体" w:hAnsi="宋体" w:eastAsia="宋体" w:cs="宋体"/>
          <w:color w:val="auto"/>
        </w:rPr>
        <w:t>法定代表人（或负责人）或委托代理人签名 ：</w:t>
      </w:r>
    </w:p>
    <w:p>
      <w:pPr>
        <w:pStyle w:val="2"/>
        <w:rPr>
          <w:rFonts w:hint="eastAsia" w:ascii="宋体" w:hAnsi="宋体" w:eastAsia="宋体" w:cs="宋体"/>
          <w:color w:val="auto"/>
          <w:lang w:eastAsia="zh-CN"/>
        </w:rPr>
        <w:sectPr>
          <w:pgSz w:w="11906" w:h="16838"/>
          <w:pgMar w:top="1000" w:right="1000" w:bottom="1000" w:left="1000" w:header="720" w:footer="720" w:gutter="0"/>
          <w:cols w:space="0" w:num="1"/>
          <w:docGrid w:linePitch="312" w:charSpace="0"/>
        </w:sectPr>
      </w:pPr>
      <w:r>
        <w:rPr>
          <w:rFonts w:hint="eastAsia" w:ascii="宋体" w:hAnsi="宋体" w:eastAsia="宋体" w:cs="宋体"/>
          <w:color w:val="auto"/>
        </w:rPr>
        <w:t>日期</w:t>
      </w:r>
      <w:r>
        <w:rPr>
          <w:rFonts w:hint="eastAsia" w:ascii="宋体" w:hAnsi="宋体" w:eastAsia="宋体" w:cs="宋体"/>
          <w:color w:val="auto"/>
          <w:lang w:eastAsia="zh-CN"/>
        </w:rPr>
        <w:t>：</w:t>
      </w:r>
    </w:p>
    <w:p>
      <w:pPr>
        <w:pStyle w:val="4"/>
        <w:rPr>
          <w:rFonts w:hint="eastAsia" w:ascii="宋体" w:hAnsi="宋体" w:eastAsia="宋体" w:cs="宋体"/>
          <w:b/>
          <w:color w:val="auto"/>
          <w:szCs w:val="32"/>
        </w:rPr>
      </w:pPr>
      <w:r>
        <w:rPr>
          <w:rFonts w:hint="eastAsia" w:ascii="宋体" w:hAnsi="宋体" w:eastAsia="宋体" w:cs="宋体"/>
          <w:b/>
          <w:color w:val="auto"/>
          <w:szCs w:val="32"/>
        </w:rPr>
        <w:t>技术响应表（格式）；</w:t>
      </w:r>
    </w:p>
    <w:p>
      <w:pPr>
        <w:snapToGrid/>
        <w:spacing w:before="0"/>
        <w:jc w:val="left"/>
        <w:rPr>
          <w:rFonts w:hint="eastAsia" w:ascii="宋体" w:hAnsi="宋体" w:eastAsia="宋体" w:cs="宋体"/>
          <w:color w:val="auto"/>
        </w:rPr>
      </w:pPr>
    </w:p>
    <w:p>
      <w:pPr>
        <w:rPr>
          <w:rFonts w:hint="eastAsia" w:ascii="宋体" w:hAnsi="宋体" w:eastAsia="宋体" w:cs="宋体"/>
          <w:color w:val="auto"/>
        </w:rPr>
      </w:pPr>
    </w:p>
    <w:p>
      <w:pPr>
        <w:ind w:firstLine="632" w:firstLineChars="300"/>
        <w:rPr>
          <w:rFonts w:hint="eastAsia" w:ascii="宋体" w:hAnsi="宋体" w:eastAsia="宋体" w:cs="宋体"/>
          <w:b/>
          <w:color w:val="auto"/>
          <w:szCs w:val="21"/>
        </w:rPr>
      </w:pPr>
      <w:r>
        <w:rPr>
          <w:rFonts w:hint="eastAsia" w:ascii="宋体" w:hAnsi="宋体" w:eastAsia="宋体" w:cs="宋体"/>
          <w:b/>
          <w:color w:val="auto"/>
          <w:szCs w:val="21"/>
        </w:rPr>
        <w:t>项目名称：</w:t>
      </w:r>
    </w:p>
    <w:p>
      <w:pPr>
        <w:ind w:firstLine="632" w:firstLineChars="300"/>
        <w:rPr>
          <w:rFonts w:hint="eastAsia" w:ascii="宋体" w:hAnsi="宋体" w:eastAsia="宋体" w:cs="宋体"/>
          <w:b/>
          <w:color w:val="auto"/>
          <w:szCs w:val="21"/>
        </w:rPr>
      </w:pPr>
      <w:r>
        <w:rPr>
          <w:rFonts w:hint="eastAsia" w:ascii="宋体" w:hAnsi="宋体" w:eastAsia="宋体" w:cs="宋体"/>
          <w:b/>
          <w:color w:val="auto"/>
          <w:szCs w:val="21"/>
        </w:rPr>
        <w:t>项目编号：</w:t>
      </w:r>
    </w:p>
    <w:tbl>
      <w:tblPr>
        <w:tblStyle w:val="47"/>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252"/>
        <w:gridCol w:w="2252"/>
        <w:gridCol w:w="2451"/>
        <w:gridCol w:w="118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24" w:type="dxa"/>
            <w:vAlign w:val="center"/>
          </w:tcPr>
          <w:p>
            <w:pPr>
              <w:pStyle w:val="25"/>
              <w:snapToGrid w:val="0"/>
              <w:spacing w:line="20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252" w:type="dxa"/>
            <w:vAlign w:val="center"/>
          </w:tcPr>
          <w:p>
            <w:pPr>
              <w:pStyle w:val="143"/>
              <w:spacing w:before="106"/>
              <w:ind w:left="214" w:right="196"/>
              <w:jc w:val="center"/>
              <w:rPr>
                <w:rFonts w:hint="eastAsia" w:ascii="宋体" w:hAnsi="宋体" w:eastAsia="宋体" w:cs="宋体"/>
                <w:color w:val="auto"/>
                <w:sz w:val="24"/>
                <w:lang w:val="en-US" w:bidi="ar-SA"/>
              </w:rPr>
            </w:pPr>
            <w:r>
              <w:rPr>
                <w:rFonts w:hint="eastAsia" w:ascii="宋体" w:hAnsi="宋体" w:eastAsia="宋体" w:cs="宋体"/>
                <w:color w:val="auto"/>
                <w:sz w:val="24"/>
                <w:lang w:val="en-US" w:eastAsia="zh-CN" w:bidi="ar-SA"/>
              </w:rPr>
              <w:t>服务</w:t>
            </w:r>
            <w:r>
              <w:rPr>
                <w:rFonts w:hint="eastAsia" w:ascii="宋体" w:hAnsi="宋体" w:eastAsia="宋体" w:cs="宋体"/>
                <w:color w:val="auto"/>
                <w:sz w:val="24"/>
                <w:lang w:val="en-US" w:bidi="ar-SA"/>
              </w:rPr>
              <w:t>名称</w:t>
            </w:r>
          </w:p>
        </w:tc>
        <w:tc>
          <w:tcPr>
            <w:tcW w:w="2252" w:type="dxa"/>
          </w:tcPr>
          <w:p>
            <w:pPr>
              <w:pStyle w:val="143"/>
              <w:spacing w:line="334" w:lineRule="exact"/>
              <w:ind w:left="230" w:right="196"/>
              <w:jc w:val="center"/>
              <w:rPr>
                <w:rFonts w:hint="eastAsia" w:ascii="宋体" w:hAnsi="宋体" w:eastAsia="宋体" w:cs="宋体"/>
                <w:color w:val="auto"/>
                <w:sz w:val="24"/>
                <w:lang w:val="en-US" w:bidi="ar-SA"/>
              </w:rPr>
            </w:pPr>
            <w:r>
              <w:rPr>
                <w:rFonts w:hint="eastAsia" w:ascii="宋体" w:hAnsi="宋体" w:eastAsia="宋体" w:cs="宋体"/>
                <w:color w:val="auto"/>
                <w:sz w:val="24"/>
                <w:lang w:val="en-US" w:bidi="ar-SA"/>
              </w:rPr>
              <w:t>公开招标采</w:t>
            </w:r>
          </w:p>
          <w:p>
            <w:pPr>
              <w:pStyle w:val="143"/>
              <w:spacing w:before="106"/>
              <w:ind w:left="214" w:right="196"/>
              <w:jc w:val="center"/>
              <w:rPr>
                <w:rFonts w:hint="eastAsia" w:ascii="宋体" w:hAnsi="宋体" w:eastAsia="宋体" w:cs="宋体"/>
                <w:color w:val="auto"/>
                <w:sz w:val="24"/>
                <w:lang w:val="en-US" w:bidi="ar-SA"/>
              </w:rPr>
            </w:pPr>
            <w:r>
              <w:rPr>
                <w:rFonts w:hint="eastAsia" w:ascii="宋体" w:hAnsi="宋体" w:eastAsia="宋体" w:cs="宋体"/>
                <w:color w:val="auto"/>
                <w:sz w:val="24"/>
                <w:lang w:val="en-US" w:bidi="ar-SA"/>
              </w:rPr>
              <w:t>购文件要求</w:t>
            </w:r>
          </w:p>
        </w:tc>
        <w:tc>
          <w:tcPr>
            <w:tcW w:w="2451" w:type="dxa"/>
          </w:tcPr>
          <w:p>
            <w:pPr>
              <w:pStyle w:val="143"/>
              <w:spacing w:line="334" w:lineRule="exact"/>
              <w:ind w:left="188" w:right="168"/>
              <w:jc w:val="center"/>
              <w:rPr>
                <w:rFonts w:hint="eastAsia" w:ascii="宋体" w:hAnsi="宋体" w:eastAsia="宋体" w:cs="宋体"/>
                <w:color w:val="auto"/>
                <w:sz w:val="24"/>
                <w:lang w:val="en-US" w:bidi="ar-SA"/>
              </w:rPr>
            </w:pPr>
            <w:r>
              <w:rPr>
                <w:rFonts w:hint="eastAsia" w:ascii="宋体" w:hAnsi="宋体" w:eastAsia="宋体" w:cs="宋体"/>
                <w:color w:val="auto"/>
                <w:sz w:val="24"/>
                <w:lang w:val="en-US" w:bidi="ar-SA"/>
              </w:rPr>
              <w:t>响应文件</w:t>
            </w:r>
          </w:p>
          <w:p>
            <w:pPr>
              <w:pStyle w:val="143"/>
              <w:spacing w:line="334" w:lineRule="exact"/>
              <w:ind w:left="188" w:right="168"/>
              <w:jc w:val="center"/>
              <w:rPr>
                <w:rFonts w:hint="eastAsia" w:ascii="宋体" w:hAnsi="宋体" w:eastAsia="宋体" w:cs="宋体"/>
                <w:color w:val="auto"/>
                <w:sz w:val="24"/>
                <w:lang w:val="en-US" w:bidi="ar-SA"/>
              </w:rPr>
            </w:pPr>
            <w:r>
              <w:rPr>
                <w:rFonts w:hint="eastAsia" w:ascii="宋体" w:hAnsi="宋体" w:eastAsia="宋体" w:cs="宋体"/>
                <w:color w:val="auto"/>
                <w:sz w:val="24"/>
                <w:lang w:val="en-US" w:bidi="ar-SA"/>
              </w:rPr>
              <w:t>具体响应</w:t>
            </w:r>
          </w:p>
        </w:tc>
        <w:tc>
          <w:tcPr>
            <w:tcW w:w="1187" w:type="dxa"/>
            <w:vAlign w:val="center"/>
          </w:tcPr>
          <w:p>
            <w:pPr>
              <w:pStyle w:val="25"/>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是否响应</w:t>
            </w:r>
          </w:p>
        </w:tc>
        <w:tc>
          <w:tcPr>
            <w:tcW w:w="1273" w:type="dxa"/>
            <w:vAlign w:val="center"/>
          </w:tcPr>
          <w:p>
            <w:pPr>
              <w:pStyle w:val="25"/>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24" w:type="dxa"/>
            <w:vAlign w:val="center"/>
          </w:tcPr>
          <w:p>
            <w:pPr>
              <w:pStyle w:val="25"/>
              <w:spacing w:line="6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252" w:type="dxa"/>
            <w:vAlign w:val="center"/>
          </w:tcPr>
          <w:p>
            <w:pPr>
              <w:pStyle w:val="25"/>
              <w:spacing w:line="600" w:lineRule="exact"/>
              <w:jc w:val="center"/>
              <w:rPr>
                <w:rFonts w:hint="eastAsia" w:ascii="宋体" w:hAnsi="宋体" w:eastAsia="宋体" w:cs="宋体"/>
                <w:color w:val="auto"/>
                <w:sz w:val="24"/>
                <w:szCs w:val="24"/>
              </w:rPr>
            </w:pPr>
          </w:p>
        </w:tc>
        <w:tc>
          <w:tcPr>
            <w:tcW w:w="2252" w:type="dxa"/>
            <w:vAlign w:val="center"/>
          </w:tcPr>
          <w:p>
            <w:pPr>
              <w:pStyle w:val="25"/>
              <w:spacing w:line="600" w:lineRule="exact"/>
              <w:jc w:val="center"/>
              <w:rPr>
                <w:rFonts w:hint="eastAsia" w:ascii="宋体" w:hAnsi="宋体" w:eastAsia="宋体" w:cs="宋体"/>
                <w:color w:val="auto"/>
                <w:sz w:val="24"/>
                <w:szCs w:val="24"/>
              </w:rPr>
            </w:pPr>
          </w:p>
        </w:tc>
        <w:tc>
          <w:tcPr>
            <w:tcW w:w="2451" w:type="dxa"/>
            <w:vAlign w:val="center"/>
          </w:tcPr>
          <w:p>
            <w:pPr>
              <w:pStyle w:val="25"/>
              <w:spacing w:line="600" w:lineRule="exact"/>
              <w:ind w:left="110" w:hanging="110" w:hangingChars="46"/>
              <w:jc w:val="center"/>
              <w:rPr>
                <w:rFonts w:hint="eastAsia" w:ascii="宋体" w:hAnsi="宋体" w:eastAsia="宋体" w:cs="宋体"/>
                <w:color w:val="auto"/>
                <w:sz w:val="24"/>
                <w:szCs w:val="24"/>
              </w:rPr>
            </w:pPr>
          </w:p>
        </w:tc>
        <w:tc>
          <w:tcPr>
            <w:tcW w:w="1187" w:type="dxa"/>
            <w:vAlign w:val="center"/>
          </w:tcPr>
          <w:p>
            <w:pPr>
              <w:pStyle w:val="25"/>
              <w:spacing w:line="600" w:lineRule="exact"/>
              <w:jc w:val="center"/>
              <w:rPr>
                <w:rFonts w:hint="eastAsia" w:ascii="宋体" w:hAnsi="宋体" w:eastAsia="宋体" w:cs="宋体"/>
                <w:color w:val="auto"/>
                <w:sz w:val="24"/>
                <w:szCs w:val="24"/>
              </w:rPr>
            </w:pPr>
          </w:p>
        </w:tc>
        <w:tc>
          <w:tcPr>
            <w:tcW w:w="1273" w:type="dxa"/>
            <w:vAlign w:val="center"/>
          </w:tcPr>
          <w:p>
            <w:pPr>
              <w:pStyle w:val="25"/>
              <w:spacing w:line="6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24" w:type="dxa"/>
            <w:vAlign w:val="center"/>
          </w:tcPr>
          <w:p>
            <w:pPr>
              <w:pStyle w:val="25"/>
              <w:spacing w:line="60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p>
        </w:tc>
        <w:tc>
          <w:tcPr>
            <w:tcW w:w="2252" w:type="dxa"/>
            <w:vAlign w:val="center"/>
          </w:tcPr>
          <w:p>
            <w:pPr>
              <w:pStyle w:val="25"/>
              <w:spacing w:line="600" w:lineRule="exact"/>
              <w:jc w:val="center"/>
              <w:rPr>
                <w:rFonts w:hint="eastAsia" w:ascii="宋体" w:hAnsi="宋体" w:eastAsia="宋体" w:cs="宋体"/>
                <w:color w:val="auto"/>
                <w:sz w:val="24"/>
                <w:szCs w:val="24"/>
              </w:rPr>
            </w:pPr>
          </w:p>
        </w:tc>
        <w:tc>
          <w:tcPr>
            <w:tcW w:w="2252" w:type="dxa"/>
            <w:vAlign w:val="center"/>
          </w:tcPr>
          <w:p>
            <w:pPr>
              <w:pStyle w:val="25"/>
              <w:spacing w:line="600" w:lineRule="exact"/>
              <w:jc w:val="center"/>
              <w:rPr>
                <w:rFonts w:hint="eastAsia" w:ascii="宋体" w:hAnsi="宋体" w:eastAsia="宋体" w:cs="宋体"/>
                <w:color w:val="auto"/>
                <w:sz w:val="24"/>
                <w:szCs w:val="24"/>
              </w:rPr>
            </w:pPr>
          </w:p>
        </w:tc>
        <w:tc>
          <w:tcPr>
            <w:tcW w:w="2451" w:type="dxa"/>
            <w:vAlign w:val="center"/>
          </w:tcPr>
          <w:p>
            <w:pPr>
              <w:pStyle w:val="25"/>
              <w:spacing w:line="600" w:lineRule="exact"/>
              <w:jc w:val="center"/>
              <w:rPr>
                <w:rFonts w:hint="eastAsia" w:ascii="宋体" w:hAnsi="宋体" w:eastAsia="宋体" w:cs="宋体"/>
                <w:color w:val="auto"/>
                <w:sz w:val="24"/>
                <w:szCs w:val="24"/>
              </w:rPr>
            </w:pPr>
          </w:p>
        </w:tc>
        <w:tc>
          <w:tcPr>
            <w:tcW w:w="1187" w:type="dxa"/>
            <w:vAlign w:val="center"/>
          </w:tcPr>
          <w:p>
            <w:pPr>
              <w:pStyle w:val="25"/>
              <w:spacing w:line="600" w:lineRule="exact"/>
              <w:jc w:val="center"/>
              <w:rPr>
                <w:rFonts w:hint="eastAsia" w:ascii="宋体" w:hAnsi="宋体" w:eastAsia="宋体" w:cs="宋体"/>
                <w:color w:val="auto"/>
                <w:sz w:val="24"/>
                <w:szCs w:val="24"/>
              </w:rPr>
            </w:pPr>
          </w:p>
        </w:tc>
        <w:tc>
          <w:tcPr>
            <w:tcW w:w="1273" w:type="dxa"/>
            <w:vAlign w:val="center"/>
          </w:tcPr>
          <w:p>
            <w:pPr>
              <w:pStyle w:val="25"/>
              <w:spacing w:line="600" w:lineRule="exact"/>
              <w:jc w:val="center"/>
              <w:rPr>
                <w:rFonts w:hint="eastAsia" w:ascii="宋体" w:hAnsi="宋体" w:eastAsia="宋体" w:cs="宋体"/>
                <w:color w:val="auto"/>
                <w:sz w:val="24"/>
                <w:szCs w:val="24"/>
              </w:rPr>
            </w:pPr>
          </w:p>
        </w:tc>
      </w:tr>
    </w:tbl>
    <w:p>
      <w:pPr>
        <w:snapToGrid w:val="0"/>
        <w:spacing w:before="50"/>
        <w:jc w:val="left"/>
        <w:rPr>
          <w:rFonts w:hint="eastAsia" w:ascii="宋体" w:hAnsi="宋体" w:eastAsia="宋体" w:cs="宋体"/>
          <w:b/>
          <w:color w:val="auto"/>
          <w:szCs w:val="21"/>
        </w:rPr>
      </w:pPr>
    </w:p>
    <w:p>
      <w:pPr>
        <w:snapToGrid w:val="0"/>
        <w:spacing w:before="50"/>
        <w:jc w:val="left"/>
        <w:rPr>
          <w:rFonts w:hint="eastAsia" w:ascii="宋体" w:hAnsi="宋体" w:eastAsia="宋体" w:cs="宋体"/>
          <w:b/>
          <w:color w:val="auto"/>
          <w:szCs w:val="21"/>
        </w:rPr>
      </w:pPr>
      <w:r>
        <w:rPr>
          <w:rFonts w:hint="eastAsia" w:ascii="宋体" w:hAnsi="宋体" w:eastAsia="宋体" w:cs="宋体"/>
          <w:b/>
          <w:color w:val="auto"/>
          <w:szCs w:val="21"/>
        </w:rPr>
        <w:t>说明：应对照招标文件“采购需求一览表”中“</w:t>
      </w:r>
      <w:r>
        <w:rPr>
          <w:rFonts w:hint="eastAsia" w:ascii="宋体" w:hAnsi="宋体" w:eastAsia="宋体" w:cs="宋体"/>
          <w:b/>
          <w:color w:val="auto"/>
          <w:kern w:val="0"/>
          <w:szCs w:val="21"/>
        </w:rPr>
        <w:t>技术要求</w:t>
      </w:r>
      <w:r>
        <w:rPr>
          <w:rFonts w:hint="eastAsia" w:ascii="宋体" w:hAnsi="宋体" w:eastAsia="宋体" w:cs="宋体"/>
          <w:b/>
          <w:color w:val="auto"/>
          <w:szCs w:val="21"/>
        </w:rPr>
        <w:t>”逐条说明投标人所提供</w:t>
      </w:r>
      <w:r>
        <w:rPr>
          <w:rFonts w:hint="eastAsia" w:ascii="宋体" w:hAnsi="宋体" w:eastAsia="宋体" w:cs="宋体"/>
          <w:b/>
          <w:color w:val="auto"/>
          <w:szCs w:val="21"/>
          <w:lang w:eastAsia="zh-CN"/>
        </w:rPr>
        <w:t>服务</w:t>
      </w:r>
      <w:r>
        <w:rPr>
          <w:rFonts w:hint="eastAsia" w:ascii="宋体" w:hAnsi="宋体" w:eastAsia="宋体" w:cs="宋体"/>
          <w:b/>
          <w:color w:val="auto"/>
          <w:szCs w:val="21"/>
        </w:rPr>
        <w:t>已对公开招标采购文件的</w:t>
      </w:r>
      <w:r>
        <w:rPr>
          <w:rFonts w:hint="eastAsia" w:ascii="宋体" w:hAnsi="宋体" w:eastAsia="宋体" w:cs="宋体"/>
          <w:b/>
          <w:color w:val="auto"/>
          <w:szCs w:val="21"/>
          <w:lang w:eastAsia="zh-CN"/>
        </w:rPr>
        <w:t>技术要求</w:t>
      </w:r>
      <w:r>
        <w:rPr>
          <w:rFonts w:hint="eastAsia" w:ascii="宋体" w:hAnsi="宋体" w:eastAsia="宋体" w:cs="宋体"/>
          <w:b/>
          <w:color w:val="auto"/>
          <w:szCs w:val="21"/>
        </w:rPr>
        <w:t>做出了实质性的响应，并申明与技术参数条文的响应和偏离。</w:t>
      </w:r>
    </w:p>
    <w:p>
      <w:pPr>
        <w:snapToGrid w:val="0"/>
        <w:spacing w:before="50"/>
        <w:jc w:val="left"/>
        <w:rPr>
          <w:rFonts w:hint="eastAsia" w:ascii="宋体" w:hAnsi="宋体" w:eastAsia="宋体" w:cs="宋体"/>
          <w:b/>
          <w:color w:val="auto"/>
          <w:szCs w:val="21"/>
        </w:rPr>
      </w:pPr>
    </w:p>
    <w:p>
      <w:pPr>
        <w:snapToGrid w:val="0"/>
        <w:spacing w:before="50" w:after="50" w:line="320" w:lineRule="exact"/>
        <w:ind w:left="-2" w:leftChars="-1" w:right="-817" w:rightChars="-389"/>
        <w:rPr>
          <w:rFonts w:hint="eastAsia" w:ascii="宋体" w:hAnsi="宋体" w:eastAsia="宋体" w:cs="宋体"/>
          <w:color w:val="auto"/>
          <w:szCs w:val="21"/>
          <w:u w:val="single"/>
        </w:rPr>
      </w:pPr>
      <w:r>
        <w:rPr>
          <w:rFonts w:hint="eastAsia" w:ascii="宋体" w:hAnsi="宋体" w:eastAsia="宋体" w:cs="宋体"/>
          <w:color w:val="auto"/>
          <w:szCs w:val="21"/>
        </w:rPr>
        <w:t xml:space="preserve">法定代表人/负责人或授权委托代理人（签字）： </w:t>
      </w:r>
    </w:p>
    <w:p>
      <w:pPr>
        <w:snapToGrid w:val="0"/>
        <w:spacing w:before="50" w:after="50" w:line="360" w:lineRule="exact"/>
        <w:ind w:right="-817" w:rightChars="-389"/>
        <w:rPr>
          <w:rFonts w:hint="eastAsia" w:ascii="宋体" w:hAnsi="宋体" w:eastAsia="宋体" w:cs="宋体"/>
          <w:color w:val="auto"/>
          <w:szCs w:val="21"/>
          <w:u w:val="single"/>
        </w:rPr>
      </w:pPr>
      <w:r>
        <w:rPr>
          <w:rFonts w:hint="eastAsia" w:ascii="宋体" w:hAnsi="宋体" w:eastAsia="宋体" w:cs="宋体"/>
          <w:color w:val="auto"/>
          <w:szCs w:val="21"/>
        </w:rPr>
        <w:t>投标人名称（公章）：</w:t>
      </w:r>
    </w:p>
    <w:p>
      <w:pPr>
        <w:snapToGrid w:val="0"/>
        <w:spacing w:before="50"/>
        <w:jc w:val="left"/>
        <w:rPr>
          <w:rFonts w:hint="eastAsia" w:ascii="宋体" w:hAnsi="宋体" w:eastAsia="宋体" w:cs="宋体"/>
          <w:color w:val="auto"/>
          <w:szCs w:val="21"/>
          <w:u w:val="single"/>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年   月   日</w:t>
      </w:r>
    </w:p>
    <w:p>
      <w:pPr>
        <w:snapToGrid w:val="0"/>
        <w:spacing w:before="50"/>
        <w:jc w:val="left"/>
        <w:rPr>
          <w:rFonts w:hint="eastAsia" w:ascii="宋体" w:hAnsi="宋体" w:eastAsia="宋体" w:cs="宋体"/>
          <w:color w:val="auto"/>
          <w:szCs w:val="21"/>
          <w:u w:val="single"/>
        </w:rPr>
      </w:pPr>
    </w:p>
    <w:p>
      <w:pPr>
        <w:snapToGrid w:val="0"/>
        <w:spacing w:before="50"/>
        <w:jc w:val="left"/>
        <w:rPr>
          <w:rFonts w:hint="eastAsia" w:ascii="宋体" w:hAnsi="宋体" w:eastAsia="宋体" w:cs="宋体"/>
          <w:color w:val="auto"/>
          <w:szCs w:val="21"/>
          <w:u w:val="single"/>
        </w:rPr>
      </w:pPr>
    </w:p>
    <w:p>
      <w:pPr>
        <w:snapToGrid w:val="0"/>
        <w:spacing w:before="50"/>
        <w:jc w:val="left"/>
        <w:rPr>
          <w:rFonts w:hint="eastAsia" w:ascii="宋体" w:hAnsi="宋体" w:eastAsia="宋体" w:cs="宋体"/>
          <w:color w:val="auto"/>
          <w:szCs w:val="21"/>
          <w:u w:val="single"/>
        </w:rPr>
      </w:pPr>
    </w:p>
    <w:p>
      <w:pPr>
        <w:pStyle w:val="6"/>
        <w:rPr>
          <w:rFonts w:hint="eastAsia" w:ascii="宋体" w:hAnsi="宋体" w:eastAsia="宋体" w:cs="宋体"/>
          <w:color w:val="auto"/>
          <w:szCs w:val="21"/>
          <w:u w:val="single"/>
        </w:rPr>
        <w:sectPr>
          <w:pgSz w:w="11906" w:h="16838"/>
          <w:pgMar w:top="1000" w:right="1000" w:bottom="1000" w:left="1000" w:header="720" w:footer="720" w:gutter="0"/>
          <w:cols w:space="0" w:num="1"/>
          <w:docGrid w:linePitch="312" w:charSpace="0"/>
        </w:sectPr>
      </w:pPr>
    </w:p>
    <w:p>
      <w:pPr>
        <w:pStyle w:val="4"/>
        <w:rPr>
          <w:rFonts w:hint="eastAsia" w:ascii="宋体" w:hAnsi="宋体" w:eastAsia="宋体" w:cs="宋体"/>
          <w:color w:val="auto"/>
        </w:rPr>
      </w:pPr>
      <w:r>
        <w:rPr>
          <w:rFonts w:hint="eastAsia" w:ascii="宋体" w:hAnsi="宋体" w:eastAsia="宋体" w:cs="宋体"/>
          <w:color w:val="auto"/>
        </w:rPr>
        <w:t>投标函（格式）</w:t>
      </w:r>
    </w:p>
    <w:p>
      <w:pPr>
        <w:snapToGrid w:val="0"/>
        <w:spacing w:before="120" w:beforeLines="50" w:after="50" w:line="460" w:lineRule="exact"/>
        <w:jc w:val="center"/>
        <w:rPr>
          <w:rFonts w:hint="eastAsia" w:ascii="宋体" w:hAnsi="宋体" w:eastAsia="宋体" w:cs="宋体"/>
          <w:b/>
          <w:color w:val="auto"/>
          <w:szCs w:val="21"/>
        </w:rPr>
      </w:pPr>
    </w:p>
    <w:p>
      <w:pPr>
        <w:snapToGrid w:val="0"/>
        <w:spacing w:line="460" w:lineRule="exact"/>
        <w:rPr>
          <w:rFonts w:hint="eastAsia" w:ascii="宋体" w:hAnsi="宋体" w:eastAsia="宋体" w:cs="宋体"/>
          <w:color w:val="auto"/>
          <w:szCs w:val="21"/>
        </w:rPr>
      </w:pPr>
      <w:r>
        <w:rPr>
          <w:rFonts w:hint="eastAsia" w:ascii="宋体" w:hAnsi="宋体" w:eastAsia="宋体" w:cs="宋体"/>
          <w:color w:val="auto"/>
          <w:szCs w:val="21"/>
        </w:rPr>
        <w:t>致：（招标采购单位名称）：</w:t>
      </w:r>
    </w:p>
    <w:p>
      <w:pPr>
        <w:snapToGrid w:val="0"/>
        <w:spacing w:line="460" w:lineRule="exact"/>
        <w:ind w:firstLine="480"/>
        <w:rPr>
          <w:rFonts w:hint="eastAsia" w:ascii="宋体" w:hAnsi="宋体" w:eastAsia="宋体" w:cs="宋体"/>
          <w:color w:val="auto"/>
          <w:szCs w:val="21"/>
        </w:rPr>
      </w:pPr>
      <w:r>
        <w:rPr>
          <w:rFonts w:hint="eastAsia" w:ascii="宋体" w:hAnsi="宋体" w:eastAsia="宋体" w:cs="宋体"/>
          <w:color w:val="auto"/>
          <w:szCs w:val="21"/>
        </w:rPr>
        <w:t>根据贵方</w:t>
      </w:r>
      <w:r>
        <w:rPr>
          <w:rFonts w:hint="eastAsia" w:ascii="宋体" w:hAnsi="宋体" w:eastAsia="宋体" w:cs="宋体"/>
          <w:color w:val="auto"/>
          <w:szCs w:val="21"/>
          <w:u w:val="single"/>
        </w:rPr>
        <w:t xml:space="preserve">  （项目名称）  </w:t>
      </w:r>
      <w:r>
        <w:rPr>
          <w:rFonts w:hint="eastAsia" w:ascii="宋体" w:hAnsi="宋体" w:eastAsia="宋体" w:cs="宋体"/>
          <w:color w:val="auto"/>
          <w:szCs w:val="21"/>
        </w:rPr>
        <w:t>的招标公告（项目编号：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），签字代表</w:t>
      </w:r>
      <w:r>
        <w:rPr>
          <w:rFonts w:hint="eastAsia" w:ascii="宋体" w:hAnsi="宋体" w:eastAsia="宋体" w:cs="宋体"/>
          <w:color w:val="auto"/>
          <w:szCs w:val="21"/>
          <w:u w:val="single"/>
        </w:rPr>
        <w:t>（姓名）</w:t>
      </w:r>
      <w:r>
        <w:rPr>
          <w:rFonts w:hint="eastAsia" w:ascii="宋体" w:hAnsi="宋体" w:eastAsia="宋体" w:cs="宋体"/>
          <w:color w:val="auto"/>
          <w:szCs w:val="21"/>
        </w:rPr>
        <w:t>经正式授权并代表投标人</w:t>
      </w:r>
      <w:r>
        <w:rPr>
          <w:rFonts w:hint="eastAsia" w:ascii="宋体" w:hAnsi="宋体" w:eastAsia="宋体" w:cs="宋体"/>
          <w:color w:val="auto"/>
          <w:szCs w:val="21"/>
          <w:u w:val="single"/>
        </w:rPr>
        <w:t>（投标人名称）</w:t>
      </w:r>
      <w:r>
        <w:rPr>
          <w:rFonts w:hint="eastAsia" w:ascii="宋体" w:hAnsi="宋体" w:eastAsia="宋体" w:cs="宋体"/>
          <w:color w:val="auto"/>
          <w:szCs w:val="21"/>
        </w:rPr>
        <w:t>提交资信/商务文件、技术文件、报价文件正本各一份、副本</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w:t>
      </w:r>
    </w:p>
    <w:p>
      <w:pPr>
        <w:snapToGrid w:val="0"/>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据此函，签字代表宣布同意如下：</w:t>
      </w:r>
    </w:p>
    <w:p>
      <w:pPr>
        <w:snapToGrid w:val="0"/>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2.投标人在投标之前已经与贵方进行了充分的沟通，完全理解并接受招标文件的各项规定和要求，对招标文件的合理性、合法性不再有异议。</w:t>
      </w:r>
    </w:p>
    <w:p>
      <w:pPr>
        <w:snapToGrid w:val="0"/>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3.本投标文件有效期自开标之日起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napToGrid w:val="0"/>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4.如中标，本投标文件至本项目合同履行完毕止均保持有效，本投标人将按“招标文件”及政府采购法律、法规的规定履行合同责任和义务。</w:t>
      </w:r>
    </w:p>
    <w:p>
      <w:pPr>
        <w:snapToGrid w:val="0"/>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5.投标人同意按照贵方要求提供与投标有关的一切数据或资料。</w:t>
      </w:r>
    </w:p>
    <w:p>
      <w:pPr>
        <w:snapToGrid w:val="0"/>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6.与本投标有关的一切正式往来信函请寄：</w:t>
      </w:r>
    </w:p>
    <w:p>
      <w:pPr>
        <w:snapToGrid w:val="0"/>
        <w:spacing w:line="460" w:lineRule="exact"/>
        <w:rPr>
          <w:rFonts w:hint="eastAsia" w:ascii="宋体" w:hAnsi="宋体" w:eastAsia="宋体" w:cs="宋体"/>
          <w:color w:val="auto"/>
          <w:szCs w:val="21"/>
        </w:rPr>
      </w:pPr>
    </w:p>
    <w:p>
      <w:pPr>
        <w:snapToGrid w:val="0"/>
        <w:spacing w:line="460" w:lineRule="exact"/>
        <w:rPr>
          <w:rFonts w:hint="eastAsia" w:ascii="宋体" w:hAnsi="宋体" w:eastAsia="宋体" w:cs="宋体"/>
          <w:color w:val="auto"/>
          <w:szCs w:val="21"/>
        </w:rPr>
      </w:pPr>
      <w:r>
        <w:rPr>
          <w:rFonts w:hint="eastAsia" w:ascii="宋体" w:hAnsi="宋体" w:eastAsia="宋体" w:cs="宋体"/>
          <w:color w:val="auto"/>
          <w:szCs w:val="21"/>
        </w:rPr>
        <w:t>地址：</w:t>
      </w:r>
    </w:p>
    <w:p>
      <w:pPr>
        <w:snapToGrid w:val="0"/>
        <w:spacing w:line="460" w:lineRule="exact"/>
        <w:rPr>
          <w:rFonts w:hint="eastAsia" w:ascii="宋体" w:hAnsi="宋体" w:eastAsia="宋体" w:cs="宋体"/>
          <w:color w:val="auto"/>
          <w:szCs w:val="21"/>
        </w:rPr>
      </w:pPr>
      <w:r>
        <w:rPr>
          <w:rFonts w:hint="eastAsia" w:ascii="宋体" w:hAnsi="宋体" w:eastAsia="宋体" w:cs="宋体"/>
          <w:color w:val="auto"/>
          <w:szCs w:val="21"/>
        </w:rPr>
        <w:t xml:space="preserve">邮编： </w:t>
      </w:r>
    </w:p>
    <w:p>
      <w:pPr>
        <w:snapToGrid w:val="0"/>
        <w:spacing w:line="460" w:lineRule="exact"/>
        <w:rPr>
          <w:rFonts w:hint="eastAsia" w:ascii="宋体" w:hAnsi="宋体" w:eastAsia="宋体" w:cs="宋体"/>
          <w:color w:val="auto"/>
          <w:szCs w:val="21"/>
        </w:rPr>
      </w:pPr>
      <w:r>
        <w:rPr>
          <w:rFonts w:hint="eastAsia" w:ascii="宋体" w:hAnsi="宋体" w:eastAsia="宋体" w:cs="宋体"/>
          <w:color w:val="auto"/>
          <w:szCs w:val="21"/>
        </w:rPr>
        <w:t>电话：</w:t>
      </w:r>
    </w:p>
    <w:p>
      <w:pPr>
        <w:snapToGrid w:val="0"/>
        <w:spacing w:line="460" w:lineRule="exact"/>
        <w:rPr>
          <w:rFonts w:hint="eastAsia" w:ascii="宋体" w:hAnsi="宋体" w:eastAsia="宋体" w:cs="宋体"/>
          <w:color w:val="auto"/>
          <w:szCs w:val="21"/>
        </w:rPr>
      </w:pPr>
      <w:r>
        <w:rPr>
          <w:rFonts w:hint="eastAsia" w:ascii="宋体" w:hAnsi="宋体" w:eastAsia="宋体" w:cs="宋体"/>
          <w:color w:val="auto"/>
          <w:szCs w:val="21"/>
        </w:rPr>
        <w:t xml:space="preserve">传真：  </w:t>
      </w:r>
    </w:p>
    <w:p>
      <w:pPr>
        <w:snapToGrid w:val="0"/>
        <w:spacing w:line="460" w:lineRule="exact"/>
        <w:rPr>
          <w:rFonts w:hint="eastAsia" w:ascii="宋体" w:hAnsi="宋体" w:eastAsia="宋体" w:cs="宋体"/>
          <w:color w:val="auto"/>
          <w:szCs w:val="21"/>
        </w:rPr>
      </w:pPr>
      <w:r>
        <w:rPr>
          <w:rFonts w:hint="eastAsia" w:ascii="宋体" w:hAnsi="宋体" w:eastAsia="宋体" w:cs="宋体"/>
          <w:color w:val="auto"/>
          <w:szCs w:val="21"/>
        </w:rPr>
        <w:t xml:space="preserve">投标人代表姓名：  </w:t>
      </w:r>
    </w:p>
    <w:p>
      <w:pPr>
        <w:snapToGrid w:val="0"/>
        <w:spacing w:line="460" w:lineRule="exact"/>
        <w:rPr>
          <w:rFonts w:hint="eastAsia" w:ascii="宋体" w:hAnsi="宋体" w:eastAsia="宋体" w:cs="宋体"/>
          <w:color w:val="auto"/>
          <w:szCs w:val="21"/>
        </w:rPr>
      </w:pPr>
      <w:r>
        <w:rPr>
          <w:rFonts w:hint="eastAsia" w:ascii="宋体" w:hAnsi="宋体" w:eastAsia="宋体" w:cs="宋体"/>
          <w:color w:val="auto"/>
          <w:szCs w:val="21"/>
        </w:rPr>
        <w:t>职务：</w:t>
      </w:r>
    </w:p>
    <w:p>
      <w:pPr>
        <w:snapToGrid w:val="0"/>
        <w:spacing w:line="460" w:lineRule="exact"/>
        <w:rPr>
          <w:rFonts w:hint="eastAsia" w:ascii="宋体" w:hAnsi="宋体" w:eastAsia="宋体" w:cs="宋体"/>
          <w:color w:val="auto"/>
          <w:szCs w:val="21"/>
        </w:rPr>
      </w:pPr>
      <w:r>
        <w:rPr>
          <w:rFonts w:hint="eastAsia" w:ascii="宋体" w:hAnsi="宋体" w:eastAsia="宋体" w:cs="宋体"/>
          <w:color w:val="auto"/>
          <w:szCs w:val="21"/>
        </w:rPr>
        <w:t>投标人名称(公章)：</w:t>
      </w:r>
    </w:p>
    <w:p>
      <w:pPr>
        <w:snapToGrid w:val="0"/>
        <w:spacing w:line="460" w:lineRule="exact"/>
        <w:rPr>
          <w:rFonts w:hint="eastAsia" w:ascii="宋体" w:hAnsi="宋体" w:eastAsia="宋体" w:cs="宋体"/>
          <w:color w:val="auto"/>
          <w:szCs w:val="21"/>
        </w:rPr>
      </w:pPr>
      <w:r>
        <w:rPr>
          <w:rFonts w:hint="eastAsia" w:ascii="宋体" w:hAnsi="宋体" w:eastAsia="宋体" w:cs="宋体"/>
          <w:color w:val="auto"/>
          <w:szCs w:val="21"/>
        </w:rPr>
        <w:t xml:space="preserve">开户银行：   </w:t>
      </w:r>
    </w:p>
    <w:p>
      <w:pPr>
        <w:snapToGrid w:val="0"/>
        <w:spacing w:line="460" w:lineRule="exact"/>
        <w:rPr>
          <w:rFonts w:hint="eastAsia" w:ascii="宋体" w:hAnsi="宋体" w:eastAsia="宋体" w:cs="宋体"/>
          <w:color w:val="auto"/>
          <w:szCs w:val="21"/>
        </w:rPr>
      </w:pPr>
      <w:r>
        <w:rPr>
          <w:rFonts w:hint="eastAsia" w:ascii="宋体" w:hAnsi="宋体" w:eastAsia="宋体" w:cs="宋体"/>
          <w:color w:val="auto"/>
          <w:szCs w:val="21"/>
        </w:rPr>
        <w:t>银行帐号：</w:t>
      </w:r>
    </w:p>
    <w:p>
      <w:pPr>
        <w:snapToGrid w:val="0"/>
        <w:spacing w:before="50" w:after="50" w:line="320" w:lineRule="exact"/>
        <w:ind w:left="-2" w:leftChars="-1" w:right="-817" w:rightChars="-389"/>
        <w:rPr>
          <w:rFonts w:hint="eastAsia" w:ascii="宋体" w:hAnsi="宋体" w:eastAsia="宋体" w:cs="宋体"/>
          <w:color w:val="auto"/>
          <w:szCs w:val="21"/>
          <w:u w:val="single"/>
        </w:rPr>
      </w:pPr>
      <w:r>
        <w:rPr>
          <w:rFonts w:hint="eastAsia" w:ascii="宋体" w:hAnsi="宋体" w:eastAsia="宋体" w:cs="宋体"/>
          <w:color w:val="auto"/>
          <w:szCs w:val="21"/>
        </w:rPr>
        <w:t xml:space="preserve">法定代表人/负责人或授权委托代理人（签字）： </w:t>
      </w:r>
    </w:p>
    <w:p>
      <w:pPr>
        <w:snapToGrid w:val="0"/>
        <w:spacing w:line="460" w:lineRule="exact"/>
        <w:rPr>
          <w:rFonts w:hint="eastAsia" w:ascii="宋体" w:hAnsi="宋体" w:eastAsia="宋体" w:cs="宋体"/>
          <w:color w:val="auto"/>
          <w:szCs w:val="21"/>
        </w:rPr>
      </w:pPr>
      <w:r>
        <w:rPr>
          <w:rFonts w:hint="eastAsia" w:ascii="宋体" w:hAnsi="宋体" w:eastAsia="宋体" w:cs="宋体"/>
          <w:color w:val="auto"/>
          <w:szCs w:val="21"/>
        </w:rPr>
        <w:t>日 期： 年 月 日</w:t>
      </w:r>
    </w:p>
    <w:p>
      <w:pPr>
        <w:pStyle w:val="25"/>
        <w:snapToGrid w:val="0"/>
        <w:spacing w:before="295" w:after="295" w:line="400" w:lineRule="exact"/>
        <w:rPr>
          <w:rFonts w:hint="eastAsia" w:ascii="宋体" w:hAnsi="宋体" w:eastAsia="宋体" w:cs="宋体"/>
          <w:color w:val="auto"/>
          <w:szCs w:val="21"/>
        </w:rPr>
      </w:pPr>
    </w:p>
    <w:p>
      <w:pPr>
        <w:pStyle w:val="25"/>
        <w:snapToGrid w:val="0"/>
        <w:spacing w:before="295" w:after="295" w:line="400" w:lineRule="exact"/>
        <w:rPr>
          <w:rFonts w:hint="eastAsia" w:ascii="宋体" w:hAnsi="宋体" w:eastAsia="宋体" w:cs="宋体"/>
          <w:color w:val="auto"/>
          <w:szCs w:val="21"/>
        </w:rPr>
      </w:pPr>
    </w:p>
    <w:p>
      <w:pPr>
        <w:pStyle w:val="4"/>
        <w:rPr>
          <w:rFonts w:hint="eastAsia" w:ascii="宋体" w:hAnsi="宋体" w:eastAsia="宋体" w:cs="宋体"/>
          <w:color w:val="auto"/>
        </w:rPr>
      </w:pPr>
      <w:r>
        <w:rPr>
          <w:rFonts w:hint="eastAsia" w:ascii="宋体" w:hAnsi="宋体" w:eastAsia="宋体" w:cs="宋体"/>
          <w:color w:val="auto"/>
        </w:rPr>
        <w:t>开标一览表（格式）</w:t>
      </w:r>
    </w:p>
    <w:p>
      <w:pPr>
        <w:snapToGrid w:val="0"/>
        <w:spacing w:before="50" w:after="50"/>
        <w:rPr>
          <w:rFonts w:hint="eastAsia" w:ascii="宋体" w:hAnsi="宋体" w:eastAsia="宋体" w:cs="宋体"/>
          <w:color w:val="auto"/>
          <w:szCs w:val="21"/>
        </w:rPr>
      </w:pPr>
      <w:r>
        <w:rPr>
          <w:rFonts w:hint="eastAsia" w:ascii="宋体" w:hAnsi="宋体" w:eastAsia="宋体" w:cs="宋体"/>
          <w:color w:val="auto"/>
          <w:szCs w:val="21"/>
        </w:rPr>
        <w:t>项目名称：</w:t>
      </w:r>
    </w:p>
    <w:p>
      <w:pPr>
        <w:snapToGrid w:val="0"/>
        <w:spacing w:before="50" w:after="50"/>
        <w:rPr>
          <w:rFonts w:hint="eastAsia" w:ascii="宋体" w:hAnsi="宋体" w:eastAsia="宋体" w:cs="宋体"/>
          <w:color w:val="auto"/>
          <w:szCs w:val="21"/>
        </w:rPr>
      </w:pPr>
      <w:r>
        <w:rPr>
          <w:rFonts w:hint="eastAsia" w:ascii="宋体" w:hAnsi="宋体" w:eastAsia="宋体" w:cs="宋体"/>
          <w:color w:val="auto"/>
          <w:szCs w:val="21"/>
        </w:rPr>
        <w:t>项目编号：</w:t>
      </w:r>
    </w:p>
    <w:p>
      <w:pPr>
        <w:snapToGrid w:val="0"/>
        <w:spacing w:before="50" w:after="50"/>
        <w:jc w:val="right"/>
        <w:rPr>
          <w:rFonts w:hint="eastAsia" w:ascii="宋体" w:hAnsi="宋体" w:eastAsia="宋体" w:cs="宋体"/>
          <w:color w:val="auto"/>
          <w:szCs w:val="21"/>
        </w:rPr>
      </w:pPr>
      <w:r>
        <w:rPr>
          <w:rFonts w:hint="eastAsia" w:ascii="宋体" w:hAnsi="宋体" w:eastAsia="宋体" w:cs="宋体"/>
          <w:color w:val="auto"/>
        </w:rPr>
        <w:t>金额单位：人民币（元）</w:t>
      </w:r>
    </w:p>
    <w:tbl>
      <w:tblPr>
        <w:tblStyle w:val="47"/>
        <w:tblW w:w="9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518" w:type="dxa"/>
            <w:vAlign w:val="center"/>
          </w:tcPr>
          <w:p>
            <w:pPr>
              <w:spacing w:line="440" w:lineRule="exact"/>
              <w:ind w:firstLine="482"/>
              <w:rPr>
                <w:rFonts w:hint="eastAsia" w:ascii="宋体" w:hAnsi="宋体" w:eastAsia="宋体" w:cs="宋体"/>
                <w:b/>
                <w:color w:val="auto"/>
                <w:sz w:val="24"/>
              </w:rPr>
            </w:pPr>
            <w:r>
              <w:rPr>
                <w:rFonts w:hint="eastAsia" w:ascii="宋体" w:hAnsi="宋体" w:eastAsia="宋体" w:cs="宋体"/>
                <w:b/>
                <w:color w:val="auto"/>
                <w:sz w:val="24"/>
              </w:rPr>
              <w:t>项目名称</w:t>
            </w:r>
          </w:p>
        </w:tc>
        <w:tc>
          <w:tcPr>
            <w:tcW w:w="7165" w:type="dxa"/>
            <w:vAlign w:val="center"/>
          </w:tcPr>
          <w:p>
            <w:pPr>
              <w:spacing w:line="440" w:lineRule="exact"/>
              <w:rPr>
                <w:rFonts w:hint="eastAsia" w:ascii="宋体" w:hAnsi="宋体" w:eastAsia="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518" w:type="dxa"/>
            <w:vAlign w:val="center"/>
          </w:tcPr>
          <w:p>
            <w:pPr>
              <w:spacing w:line="440" w:lineRule="exact"/>
              <w:ind w:firstLine="482"/>
              <w:rPr>
                <w:rFonts w:hint="eastAsia" w:ascii="宋体" w:hAnsi="宋体" w:eastAsia="宋体" w:cs="宋体"/>
                <w:b/>
                <w:color w:val="auto"/>
                <w:sz w:val="24"/>
              </w:rPr>
            </w:pPr>
            <w:r>
              <w:rPr>
                <w:rFonts w:hint="eastAsia" w:ascii="宋体" w:hAnsi="宋体" w:eastAsia="宋体" w:cs="宋体"/>
                <w:b/>
                <w:color w:val="auto"/>
                <w:sz w:val="24"/>
              </w:rPr>
              <w:t>采购编号</w:t>
            </w:r>
          </w:p>
        </w:tc>
        <w:tc>
          <w:tcPr>
            <w:tcW w:w="7165" w:type="dxa"/>
            <w:vAlign w:val="center"/>
          </w:tcPr>
          <w:p>
            <w:pPr>
              <w:spacing w:line="440" w:lineRule="exact"/>
              <w:ind w:firstLine="482"/>
              <w:rPr>
                <w:rFonts w:hint="eastAsia" w:ascii="宋体" w:hAnsi="宋体" w:eastAsia="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518" w:type="dxa"/>
            <w:vAlign w:val="center"/>
          </w:tcPr>
          <w:p>
            <w:pPr>
              <w:spacing w:line="440" w:lineRule="exact"/>
              <w:ind w:firstLine="482"/>
              <w:rPr>
                <w:rFonts w:hint="eastAsia" w:ascii="宋体" w:hAnsi="宋体" w:eastAsia="宋体" w:cs="宋体"/>
                <w:b/>
                <w:color w:val="auto"/>
                <w:sz w:val="24"/>
              </w:rPr>
            </w:pPr>
            <w:r>
              <w:rPr>
                <w:rFonts w:hint="eastAsia" w:ascii="宋体" w:hAnsi="宋体" w:eastAsia="宋体" w:cs="宋体"/>
                <w:b/>
                <w:color w:val="auto"/>
                <w:sz w:val="24"/>
              </w:rPr>
              <w:t>投标报价</w:t>
            </w:r>
          </w:p>
        </w:tc>
        <w:tc>
          <w:tcPr>
            <w:tcW w:w="7165" w:type="dxa"/>
            <w:vAlign w:val="center"/>
          </w:tcPr>
          <w:p>
            <w:pPr>
              <w:spacing w:line="440" w:lineRule="exact"/>
              <w:rPr>
                <w:rFonts w:hint="eastAsia" w:ascii="宋体" w:hAnsi="宋体" w:eastAsia="宋体" w:cs="宋体"/>
                <w:b/>
                <w:color w:val="auto"/>
                <w:sz w:val="24"/>
              </w:rPr>
            </w:pPr>
            <w:r>
              <w:rPr>
                <w:rFonts w:hint="eastAsia" w:ascii="宋体" w:hAnsi="宋体" w:eastAsia="宋体" w:cs="宋体"/>
                <w:b/>
                <w:color w:val="auto"/>
                <w:sz w:val="24"/>
              </w:rPr>
              <w:t>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518" w:type="dxa"/>
            <w:vAlign w:val="center"/>
          </w:tcPr>
          <w:p>
            <w:pPr>
              <w:spacing w:line="440" w:lineRule="exact"/>
              <w:jc w:val="center"/>
              <w:rPr>
                <w:rFonts w:hint="eastAsia" w:ascii="宋体" w:hAnsi="宋体" w:eastAsia="宋体" w:cs="宋体"/>
                <w:b/>
                <w:color w:val="auto"/>
                <w:sz w:val="24"/>
              </w:rPr>
            </w:pPr>
            <w:r>
              <w:rPr>
                <w:rFonts w:hint="eastAsia" w:ascii="宋体" w:hAnsi="宋体" w:eastAsia="宋体" w:cs="宋体"/>
                <w:b/>
                <w:color w:val="auto"/>
                <w:sz w:val="24"/>
              </w:rPr>
              <w:t>提交服务成果时间</w:t>
            </w:r>
          </w:p>
        </w:tc>
        <w:tc>
          <w:tcPr>
            <w:tcW w:w="7165" w:type="dxa"/>
            <w:vAlign w:val="center"/>
          </w:tcPr>
          <w:p>
            <w:pPr>
              <w:spacing w:line="440" w:lineRule="exact"/>
              <w:rPr>
                <w:rFonts w:hint="eastAsia" w:ascii="宋体" w:hAnsi="宋体" w:eastAsia="宋体" w:cs="宋体"/>
                <w:b/>
                <w:color w:val="auto"/>
                <w:sz w:val="24"/>
              </w:rPr>
            </w:pPr>
            <w:r>
              <w:rPr>
                <w:rFonts w:hint="eastAsia" w:ascii="宋体" w:hAnsi="宋体" w:eastAsia="宋体" w:cs="宋体"/>
                <w:b/>
                <w:color w:val="auto"/>
                <w:sz w:val="24"/>
              </w:rPr>
              <w:t>合同签订之日起</w:t>
            </w:r>
            <w:r>
              <w:rPr>
                <w:rFonts w:hint="eastAsia" w:ascii="宋体" w:hAnsi="宋体" w:eastAsia="宋体" w:cs="宋体"/>
                <w:b/>
                <w:color w:val="auto"/>
                <w:sz w:val="24"/>
                <w:u w:val="single"/>
              </w:rPr>
              <w:t xml:space="preserve">     </w:t>
            </w:r>
            <w:r>
              <w:rPr>
                <w:rFonts w:hint="eastAsia" w:ascii="宋体" w:hAnsi="宋体" w:eastAsia="宋体" w:cs="宋体"/>
                <w:b/>
                <w:color w:val="auto"/>
                <w:sz w:val="24"/>
              </w:rPr>
              <w:t>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518" w:type="dxa"/>
            <w:vAlign w:val="center"/>
          </w:tcPr>
          <w:p>
            <w:pPr>
              <w:spacing w:line="440" w:lineRule="exact"/>
              <w:jc w:val="center"/>
              <w:rPr>
                <w:rFonts w:hint="eastAsia" w:ascii="宋体" w:hAnsi="宋体" w:eastAsia="宋体" w:cs="宋体"/>
                <w:b/>
                <w:color w:val="auto"/>
                <w:sz w:val="24"/>
              </w:rPr>
            </w:pPr>
            <w:r>
              <w:rPr>
                <w:rFonts w:hint="eastAsia" w:ascii="宋体" w:hAnsi="宋体" w:eastAsia="宋体" w:cs="宋体"/>
                <w:b/>
                <w:color w:val="auto"/>
                <w:sz w:val="24"/>
              </w:rPr>
              <w:t>服务地点</w:t>
            </w:r>
          </w:p>
        </w:tc>
        <w:tc>
          <w:tcPr>
            <w:tcW w:w="7165" w:type="dxa"/>
            <w:vAlign w:val="center"/>
          </w:tcPr>
          <w:p>
            <w:pPr>
              <w:spacing w:line="440" w:lineRule="exact"/>
              <w:rPr>
                <w:rFonts w:hint="eastAsia" w:ascii="宋体" w:hAnsi="宋体" w:eastAsia="宋体" w:cs="宋体"/>
                <w:b/>
                <w:color w:val="auto"/>
                <w:sz w:val="24"/>
              </w:rPr>
            </w:pPr>
            <w:r>
              <w:rPr>
                <w:rFonts w:hint="eastAsia" w:ascii="宋体" w:hAnsi="宋体" w:eastAsia="宋体" w:cs="宋体"/>
                <w:b/>
                <w:color w:val="auto"/>
                <w:sz w:val="24"/>
              </w:rPr>
              <w:t>广西省贵港市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518" w:type="dxa"/>
            <w:vAlign w:val="center"/>
          </w:tcPr>
          <w:p>
            <w:pPr>
              <w:spacing w:line="440" w:lineRule="exact"/>
              <w:jc w:val="center"/>
              <w:rPr>
                <w:rFonts w:hint="eastAsia" w:ascii="宋体" w:hAnsi="宋体" w:eastAsia="宋体" w:cs="宋体"/>
                <w:b/>
                <w:color w:val="auto"/>
                <w:sz w:val="24"/>
              </w:rPr>
            </w:pPr>
            <w:r>
              <w:rPr>
                <w:rFonts w:hint="eastAsia" w:ascii="宋体" w:hAnsi="宋体" w:eastAsia="宋体" w:cs="宋体"/>
                <w:b/>
                <w:color w:val="auto"/>
                <w:sz w:val="24"/>
              </w:rPr>
              <w:t>技术服务质量要求</w:t>
            </w:r>
          </w:p>
        </w:tc>
        <w:tc>
          <w:tcPr>
            <w:tcW w:w="7165" w:type="dxa"/>
            <w:vAlign w:val="center"/>
          </w:tcPr>
          <w:p>
            <w:pPr>
              <w:spacing w:line="440" w:lineRule="exact"/>
              <w:rPr>
                <w:rFonts w:hint="eastAsia" w:ascii="宋体" w:hAnsi="宋体" w:eastAsia="宋体" w:cs="宋体"/>
                <w:b/>
                <w:color w:val="auto"/>
                <w:sz w:val="24"/>
              </w:rPr>
            </w:pPr>
          </w:p>
        </w:tc>
      </w:tr>
    </w:tbl>
    <w:p>
      <w:pPr>
        <w:snapToGrid w:val="0"/>
        <w:spacing w:before="50" w:after="50"/>
        <w:rPr>
          <w:rFonts w:hint="eastAsia" w:ascii="宋体" w:hAnsi="宋体" w:eastAsia="宋体" w:cs="宋体"/>
          <w:color w:val="auto"/>
          <w:szCs w:val="21"/>
        </w:rPr>
      </w:pP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注:</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1、报价一经涂改，应在涂改处加盖单位公章或者由法定代表人（负责人）或授权委托人签字或盖章，否则其投标作无效标处理。</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2、投标总报价包括项目实施所需的人工费、服务费、工具购买费、税费及其他一切与本项目有关的费用总和。</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3、表格空格不够时，投标人可自行扩展。</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4、此表请另外单独封装一份于信封密封放入投标文件袋，信封封面请注明投标人名称、投标人地址、项目名称、项目编号及“开标一览表”字样。</w:t>
      </w:r>
    </w:p>
    <w:p>
      <w:pPr>
        <w:spacing w:line="360" w:lineRule="auto"/>
        <w:jc w:val="left"/>
        <w:rPr>
          <w:rFonts w:hint="eastAsia" w:ascii="宋体" w:hAnsi="宋体" w:eastAsia="宋体" w:cs="宋体"/>
          <w:color w:val="auto"/>
          <w:sz w:val="24"/>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投标人（盖单位公章）</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法定代表人（负责人）或委托代理人（签字）：</w:t>
      </w:r>
    </w:p>
    <w:p>
      <w:pPr>
        <w:spacing w:line="360" w:lineRule="auto"/>
        <w:jc w:val="left"/>
        <w:rPr>
          <w:rFonts w:hint="eastAsia" w:ascii="宋体" w:hAnsi="宋体" w:eastAsia="宋体" w:cs="宋体"/>
          <w:color w:val="auto"/>
          <w:sz w:val="24"/>
        </w:rPr>
        <w:sectPr>
          <w:pgSz w:w="11906" w:h="16838"/>
          <w:pgMar w:top="1000" w:right="1000" w:bottom="1000" w:left="1000" w:header="720" w:footer="720" w:gutter="0"/>
          <w:pgNumType w:start="46"/>
          <w:cols w:space="0" w:num="1"/>
          <w:docGrid w:linePitch="312" w:charSpace="0"/>
        </w:sectPr>
      </w:pPr>
      <w:r>
        <w:rPr>
          <w:rFonts w:hint="eastAsia" w:ascii="宋体" w:hAnsi="宋体" w:eastAsia="宋体" w:cs="宋体"/>
          <w:color w:val="auto"/>
          <w:sz w:val="24"/>
        </w:rPr>
        <w:t>日   期：</w:t>
      </w:r>
    </w:p>
    <w:p>
      <w:pPr>
        <w:pStyle w:val="4"/>
        <w:rPr>
          <w:rFonts w:hint="eastAsia" w:ascii="宋体" w:hAnsi="宋体" w:eastAsia="宋体" w:cs="宋体"/>
          <w:color w:val="auto"/>
        </w:rPr>
      </w:pPr>
      <w:r>
        <w:rPr>
          <w:rFonts w:hint="eastAsia" w:ascii="宋体" w:hAnsi="宋体" w:eastAsia="宋体" w:cs="宋体"/>
          <w:color w:val="auto"/>
        </w:rPr>
        <w:t>中小企业声明函（格式）</w:t>
      </w: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本公司郑重声明，根据《政府采购促进中小企业发展暂行办法》（财库〔2011〕181 号） 的规定，本公司为______（请填写：中型、小型、微型）企业。即，本公司同时满足以下条件：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1.根据《工业和信息化部、国家统计局、国家发展和改革委员会、财政部关于印发中小企业划型标准规定的通知》（工信部联企业〔2011〕300 号）规定的划分标准，本公司为 ______（请填写：中型、小型、微型）企业。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2.本公司参加______单位的______项目采购活动提供本企业制造的货物，由本企业承担工程、提供服务，或者提供其他______（请填写：中型、小型、微型）企业制造的货物。本条所称货物不包括使用大型企业注册商标的货物。 本公司对上述声明的真实性负责。如有虚假，将依法承担相应责任。 </w:t>
      </w: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企业名称（盖章）：</w:t>
      </w:r>
    </w:p>
    <w:p>
      <w:pPr>
        <w:pStyle w:val="2"/>
        <w:rPr>
          <w:rFonts w:hint="eastAsia" w:ascii="宋体" w:hAnsi="宋体" w:eastAsia="宋体" w:cs="宋体"/>
          <w:color w:val="auto"/>
          <w:lang w:val="en-GB"/>
        </w:rPr>
      </w:pPr>
      <w:r>
        <w:rPr>
          <w:rFonts w:hint="eastAsia" w:ascii="宋体" w:hAnsi="宋体" w:eastAsia="宋体" w:cs="宋体"/>
          <w:color w:val="auto"/>
        </w:rPr>
        <w:t>日 期：</w:t>
      </w:r>
    </w:p>
    <w:sectPr>
      <w:pgSz w:w="11906" w:h="16838"/>
      <w:pgMar w:top="1000" w:right="1000" w:bottom="1000" w:left="1000" w:header="720" w:footer="720" w:gutter="0"/>
      <w:pgNumType w:start="46"/>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宋体-18030">
    <w:altName w:val="宋体"/>
    <w:panose1 w:val="00000000000000000000"/>
    <w:charset w:val="7A"/>
    <w:family w:val="modern"/>
    <w:pitch w:val="default"/>
    <w:sig w:usb0="00000000" w:usb1="00000000" w:usb2="000A005E" w:usb3="00000000" w:csb0="00040001" w:csb1="00000000"/>
  </w:font>
  <w:font w:name="Arial Narrow">
    <w:panose1 w:val="020B0606020202030204"/>
    <w:charset w:val="00"/>
    <w:family w:val="swiss"/>
    <w:pitch w:val="default"/>
    <w:sig w:usb0="00000287" w:usb1="00000800" w:usb2="00000000" w:usb3="00000000" w:csb0="2000009F" w:csb1="DFD7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rPr>
        <w:rFonts w:ascii="宋体" w:hAnsi="宋体" w:cs="宋体"/>
        <w:bCs/>
      </w:rPr>
    </w:pPr>
    <w:r>
      <w:rPr>
        <w:rFonts w:hint="eastAsia" w:ascii="宋体" w:hAnsi="宋体" w:cs="宋体"/>
      </w:rPr>
      <w:t>贵港市产业园区区域性地震安全评价服务（GGZC2020-G3-03912-GXDC）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02A922"/>
    <w:multiLevelType w:val="singleLevel"/>
    <w:tmpl w:val="D102A922"/>
    <w:lvl w:ilvl="0" w:tentative="0">
      <w:start w:val="2"/>
      <w:numFmt w:val="decimal"/>
      <w:suff w:val="nothing"/>
      <w:lvlText w:val="%1、"/>
      <w:lvlJc w:val="left"/>
    </w:lvl>
  </w:abstractNum>
  <w:abstractNum w:abstractNumId="1">
    <w:nsid w:val="DC94D707"/>
    <w:multiLevelType w:val="singleLevel"/>
    <w:tmpl w:val="DC94D707"/>
    <w:lvl w:ilvl="0" w:tentative="0">
      <w:start w:val="2"/>
      <w:numFmt w:val="chineseCounting"/>
      <w:suff w:val="nothing"/>
      <w:lvlText w:val="%1、"/>
      <w:lvlJc w:val="left"/>
      <w:rPr>
        <w:rFonts w:hint="eastAsia"/>
      </w:rPr>
    </w:lvl>
  </w:abstractNum>
  <w:abstractNum w:abstractNumId="2">
    <w:nsid w:val="00000009"/>
    <w:multiLevelType w:val="singleLevel"/>
    <w:tmpl w:val="00000009"/>
    <w:lvl w:ilvl="0" w:tentative="0">
      <w:start w:val="6"/>
      <w:numFmt w:val="chineseCounting"/>
      <w:suff w:val="nothing"/>
      <w:lvlText w:val="（%1）"/>
      <w:lvlJc w:val="left"/>
    </w:lvl>
  </w:abstractNum>
  <w:abstractNum w:abstractNumId="3">
    <w:nsid w:val="0000000C"/>
    <w:multiLevelType w:val="multilevel"/>
    <w:tmpl w:val="0000000C"/>
    <w:lvl w:ilvl="0" w:tentative="0">
      <w:start w:val="4"/>
      <w:numFmt w:val="japaneseCounting"/>
      <w:lvlText w:val="（%1）"/>
      <w:lvlJc w:val="left"/>
      <w:pPr>
        <w:tabs>
          <w:tab w:val="left" w:pos="1030"/>
        </w:tabs>
        <w:ind w:left="1030" w:hanging="720"/>
      </w:pPr>
      <w:rPr>
        <w:rFonts w:hint="default"/>
      </w:rPr>
    </w:lvl>
    <w:lvl w:ilvl="1" w:tentative="0">
      <w:start w:val="1"/>
      <w:numFmt w:val="lowerLetter"/>
      <w:lvlText w:val="%2)"/>
      <w:lvlJc w:val="left"/>
      <w:pPr>
        <w:tabs>
          <w:tab w:val="left" w:pos="1150"/>
        </w:tabs>
        <w:ind w:left="1150" w:hanging="420"/>
      </w:pPr>
    </w:lvl>
    <w:lvl w:ilvl="2" w:tentative="0">
      <w:start w:val="1"/>
      <w:numFmt w:val="lowerRoman"/>
      <w:lvlText w:val="%3."/>
      <w:lvlJc w:val="right"/>
      <w:pPr>
        <w:tabs>
          <w:tab w:val="left" w:pos="1570"/>
        </w:tabs>
        <w:ind w:left="1570" w:hanging="420"/>
      </w:pPr>
    </w:lvl>
    <w:lvl w:ilvl="3" w:tentative="0">
      <w:start w:val="1"/>
      <w:numFmt w:val="decimal"/>
      <w:lvlText w:val="%4."/>
      <w:lvlJc w:val="left"/>
      <w:pPr>
        <w:tabs>
          <w:tab w:val="left" w:pos="1990"/>
        </w:tabs>
        <w:ind w:left="1990" w:hanging="420"/>
      </w:pPr>
    </w:lvl>
    <w:lvl w:ilvl="4" w:tentative="0">
      <w:start w:val="1"/>
      <w:numFmt w:val="lowerLetter"/>
      <w:lvlText w:val="%5)"/>
      <w:lvlJc w:val="left"/>
      <w:pPr>
        <w:tabs>
          <w:tab w:val="left" w:pos="2410"/>
        </w:tabs>
        <w:ind w:left="2410" w:hanging="420"/>
      </w:pPr>
    </w:lvl>
    <w:lvl w:ilvl="5" w:tentative="0">
      <w:start w:val="1"/>
      <w:numFmt w:val="lowerRoman"/>
      <w:lvlText w:val="%6."/>
      <w:lvlJc w:val="right"/>
      <w:pPr>
        <w:tabs>
          <w:tab w:val="left" w:pos="2830"/>
        </w:tabs>
        <w:ind w:left="2830" w:hanging="420"/>
      </w:pPr>
    </w:lvl>
    <w:lvl w:ilvl="6" w:tentative="0">
      <w:start w:val="1"/>
      <w:numFmt w:val="decimal"/>
      <w:lvlText w:val="%7."/>
      <w:lvlJc w:val="left"/>
      <w:pPr>
        <w:tabs>
          <w:tab w:val="left" w:pos="3250"/>
        </w:tabs>
        <w:ind w:left="3250" w:hanging="420"/>
      </w:pPr>
    </w:lvl>
    <w:lvl w:ilvl="7" w:tentative="0">
      <w:start w:val="1"/>
      <w:numFmt w:val="lowerLetter"/>
      <w:lvlText w:val="%8)"/>
      <w:lvlJc w:val="left"/>
      <w:pPr>
        <w:tabs>
          <w:tab w:val="left" w:pos="3670"/>
        </w:tabs>
        <w:ind w:left="3670" w:hanging="420"/>
      </w:pPr>
    </w:lvl>
    <w:lvl w:ilvl="8" w:tentative="0">
      <w:start w:val="1"/>
      <w:numFmt w:val="lowerRoman"/>
      <w:lvlText w:val="%9."/>
      <w:lvlJc w:val="right"/>
      <w:pPr>
        <w:tabs>
          <w:tab w:val="left" w:pos="4090"/>
        </w:tabs>
        <w:ind w:left="4090" w:hanging="420"/>
      </w:pPr>
    </w:lvl>
  </w:abstractNum>
  <w:abstractNum w:abstractNumId="4">
    <w:nsid w:val="52C02CCF"/>
    <w:multiLevelType w:val="singleLevel"/>
    <w:tmpl w:val="52C02CCF"/>
    <w:lvl w:ilvl="0" w:tentative="0">
      <w:start w:val="5"/>
      <w:numFmt w:val="chineseCounting"/>
      <w:suff w:val="space"/>
      <w:lvlText w:val="第%1条"/>
      <w:lvlJc w:val="left"/>
      <w:rPr>
        <w:rFonts w:hint="eastAsia"/>
      </w:rPr>
    </w:lvl>
  </w:abstractNum>
  <w:abstractNum w:abstractNumId="5">
    <w:nsid w:val="54EEDE23"/>
    <w:multiLevelType w:val="singleLevel"/>
    <w:tmpl w:val="54EEDE23"/>
    <w:lvl w:ilvl="0" w:tentative="0">
      <w:start w:val="5"/>
      <w:numFmt w:val="chineseCounting"/>
      <w:suff w:val="space"/>
      <w:lvlText w:val="第%1章"/>
      <w:lvlJc w:val="left"/>
    </w:lvl>
  </w:abstractNum>
  <w:abstractNum w:abstractNumId="6">
    <w:nsid w:val="5536839A"/>
    <w:multiLevelType w:val="singleLevel"/>
    <w:tmpl w:val="5536839A"/>
    <w:lvl w:ilvl="0" w:tentative="0">
      <w:start w:val="2"/>
      <w:numFmt w:val="decimal"/>
      <w:suff w:val="nothing"/>
      <w:lvlText w:val="%1."/>
      <w:lvlJc w:val="left"/>
    </w:lvl>
  </w:abstractNum>
  <w:abstractNum w:abstractNumId="7">
    <w:nsid w:val="5A03B6C7"/>
    <w:multiLevelType w:val="singleLevel"/>
    <w:tmpl w:val="5A03B6C7"/>
    <w:lvl w:ilvl="0" w:tentative="0">
      <w:start w:val="1"/>
      <w:numFmt w:val="chineseCounting"/>
      <w:suff w:val="space"/>
      <w:lvlText w:val="第%1章"/>
      <w:lvlJc w:val="left"/>
    </w:lvl>
  </w:abstractNum>
  <w:num w:numId="1">
    <w:abstractNumId w:val="7"/>
  </w:num>
  <w:num w:numId="2">
    <w:abstractNumId w:val="2"/>
  </w:num>
  <w:num w:numId="3">
    <w:abstractNumId w:val="6"/>
  </w:num>
  <w:num w:numId="4">
    <w:abstractNumId w:val="3"/>
  </w:num>
  <w:num w:numId="5">
    <w:abstractNumId w:val="0"/>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20"/>
    <w:rsid w:val="000043C0"/>
    <w:rsid w:val="00006626"/>
    <w:rsid w:val="00007906"/>
    <w:rsid w:val="0001184E"/>
    <w:rsid w:val="00011B69"/>
    <w:rsid w:val="00015C35"/>
    <w:rsid w:val="000274E7"/>
    <w:rsid w:val="00030FFF"/>
    <w:rsid w:val="00034579"/>
    <w:rsid w:val="0003750F"/>
    <w:rsid w:val="00037F81"/>
    <w:rsid w:val="00040A37"/>
    <w:rsid w:val="00041A96"/>
    <w:rsid w:val="00043638"/>
    <w:rsid w:val="000441A3"/>
    <w:rsid w:val="0005282D"/>
    <w:rsid w:val="00054488"/>
    <w:rsid w:val="0006049D"/>
    <w:rsid w:val="000609A6"/>
    <w:rsid w:val="00062CB6"/>
    <w:rsid w:val="000706D6"/>
    <w:rsid w:val="000709B4"/>
    <w:rsid w:val="00070AE8"/>
    <w:rsid w:val="00072A8B"/>
    <w:rsid w:val="00076513"/>
    <w:rsid w:val="00077E1C"/>
    <w:rsid w:val="000806F8"/>
    <w:rsid w:val="00080FB0"/>
    <w:rsid w:val="0008173C"/>
    <w:rsid w:val="00084B38"/>
    <w:rsid w:val="00085A6D"/>
    <w:rsid w:val="00097A1E"/>
    <w:rsid w:val="000A0B70"/>
    <w:rsid w:val="000A1FA1"/>
    <w:rsid w:val="000B416C"/>
    <w:rsid w:val="000B5EE1"/>
    <w:rsid w:val="000B617D"/>
    <w:rsid w:val="000B7D30"/>
    <w:rsid w:val="000C4FAC"/>
    <w:rsid w:val="000D12A0"/>
    <w:rsid w:val="000D4740"/>
    <w:rsid w:val="000E0424"/>
    <w:rsid w:val="000E3992"/>
    <w:rsid w:val="000E4AD6"/>
    <w:rsid w:val="000F78EF"/>
    <w:rsid w:val="00100770"/>
    <w:rsid w:val="00106E50"/>
    <w:rsid w:val="001075EE"/>
    <w:rsid w:val="00113715"/>
    <w:rsid w:val="00122908"/>
    <w:rsid w:val="001370B6"/>
    <w:rsid w:val="00137C1A"/>
    <w:rsid w:val="0015057B"/>
    <w:rsid w:val="00155FE2"/>
    <w:rsid w:val="001568F1"/>
    <w:rsid w:val="00160AFD"/>
    <w:rsid w:val="00162B09"/>
    <w:rsid w:val="0016449B"/>
    <w:rsid w:val="001667AA"/>
    <w:rsid w:val="001724B0"/>
    <w:rsid w:val="00172A27"/>
    <w:rsid w:val="00173E0A"/>
    <w:rsid w:val="0018220A"/>
    <w:rsid w:val="00183740"/>
    <w:rsid w:val="00187E5C"/>
    <w:rsid w:val="001A0207"/>
    <w:rsid w:val="001B5083"/>
    <w:rsid w:val="001C294A"/>
    <w:rsid w:val="001D30A1"/>
    <w:rsid w:val="001D3B05"/>
    <w:rsid w:val="001D5D1E"/>
    <w:rsid w:val="001D5EAE"/>
    <w:rsid w:val="001D784A"/>
    <w:rsid w:val="001E14BA"/>
    <w:rsid w:val="001E5474"/>
    <w:rsid w:val="001F4682"/>
    <w:rsid w:val="001F5108"/>
    <w:rsid w:val="001F5A1F"/>
    <w:rsid w:val="001F7E05"/>
    <w:rsid w:val="002121B8"/>
    <w:rsid w:val="00222570"/>
    <w:rsid w:val="00222887"/>
    <w:rsid w:val="002231DA"/>
    <w:rsid w:val="00224E53"/>
    <w:rsid w:val="00230D6B"/>
    <w:rsid w:val="00231773"/>
    <w:rsid w:val="0024154D"/>
    <w:rsid w:val="0024295E"/>
    <w:rsid w:val="002457E1"/>
    <w:rsid w:val="00255714"/>
    <w:rsid w:val="00260589"/>
    <w:rsid w:val="00264004"/>
    <w:rsid w:val="002673EB"/>
    <w:rsid w:val="00267DC8"/>
    <w:rsid w:val="00270DA8"/>
    <w:rsid w:val="00272BD8"/>
    <w:rsid w:val="00272CDB"/>
    <w:rsid w:val="00280C25"/>
    <w:rsid w:val="00281B7B"/>
    <w:rsid w:val="00292FEC"/>
    <w:rsid w:val="0029570E"/>
    <w:rsid w:val="002A1659"/>
    <w:rsid w:val="002A54D6"/>
    <w:rsid w:val="002A725C"/>
    <w:rsid w:val="002B1340"/>
    <w:rsid w:val="002B326E"/>
    <w:rsid w:val="002B766A"/>
    <w:rsid w:val="002C46D7"/>
    <w:rsid w:val="002C5053"/>
    <w:rsid w:val="002F2730"/>
    <w:rsid w:val="00304620"/>
    <w:rsid w:val="00312C81"/>
    <w:rsid w:val="00313A97"/>
    <w:rsid w:val="003140A3"/>
    <w:rsid w:val="003216DE"/>
    <w:rsid w:val="0032518A"/>
    <w:rsid w:val="0032716F"/>
    <w:rsid w:val="00331F65"/>
    <w:rsid w:val="00335B44"/>
    <w:rsid w:val="003369C5"/>
    <w:rsid w:val="0034330F"/>
    <w:rsid w:val="00347B52"/>
    <w:rsid w:val="00347F05"/>
    <w:rsid w:val="00353502"/>
    <w:rsid w:val="00354975"/>
    <w:rsid w:val="00362FA6"/>
    <w:rsid w:val="00364A92"/>
    <w:rsid w:val="00364FF4"/>
    <w:rsid w:val="003652BA"/>
    <w:rsid w:val="00365C54"/>
    <w:rsid w:val="00370E36"/>
    <w:rsid w:val="00382547"/>
    <w:rsid w:val="00386860"/>
    <w:rsid w:val="00390794"/>
    <w:rsid w:val="00391F4F"/>
    <w:rsid w:val="00397BAE"/>
    <w:rsid w:val="003A226A"/>
    <w:rsid w:val="003A69CB"/>
    <w:rsid w:val="003A781B"/>
    <w:rsid w:val="003B2403"/>
    <w:rsid w:val="003B6E7F"/>
    <w:rsid w:val="003C155C"/>
    <w:rsid w:val="003C585F"/>
    <w:rsid w:val="003E2DD9"/>
    <w:rsid w:val="003E4449"/>
    <w:rsid w:val="003E7E60"/>
    <w:rsid w:val="00403535"/>
    <w:rsid w:val="004076F4"/>
    <w:rsid w:val="00410DE3"/>
    <w:rsid w:val="004201AB"/>
    <w:rsid w:val="004205A6"/>
    <w:rsid w:val="00424B7D"/>
    <w:rsid w:val="004254CA"/>
    <w:rsid w:val="0042689E"/>
    <w:rsid w:val="00430F94"/>
    <w:rsid w:val="00430FFA"/>
    <w:rsid w:val="00431402"/>
    <w:rsid w:val="00452915"/>
    <w:rsid w:val="00452D42"/>
    <w:rsid w:val="00453E0E"/>
    <w:rsid w:val="0045706A"/>
    <w:rsid w:val="004570AB"/>
    <w:rsid w:val="0046004B"/>
    <w:rsid w:val="004641A0"/>
    <w:rsid w:val="00466F87"/>
    <w:rsid w:val="004741D0"/>
    <w:rsid w:val="00474E0C"/>
    <w:rsid w:val="00481184"/>
    <w:rsid w:val="00481C3D"/>
    <w:rsid w:val="00481D68"/>
    <w:rsid w:val="00484703"/>
    <w:rsid w:val="004863B8"/>
    <w:rsid w:val="00492537"/>
    <w:rsid w:val="004946A4"/>
    <w:rsid w:val="00495210"/>
    <w:rsid w:val="004A2B32"/>
    <w:rsid w:val="004A4152"/>
    <w:rsid w:val="004A604A"/>
    <w:rsid w:val="004B1026"/>
    <w:rsid w:val="004B54AB"/>
    <w:rsid w:val="004B5CC7"/>
    <w:rsid w:val="004C30E5"/>
    <w:rsid w:val="004C3475"/>
    <w:rsid w:val="004D2A71"/>
    <w:rsid w:val="004D2B06"/>
    <w:rsid w:val="004D3D8A"/>
    <w:rsid w:val="004D3DA9"/>
    <w:rsid w:val="004D4E8D"/>
    <w:rsid w:val="004D7B45"/>
    <w:rsid w:val="004E1CA5"/>
    <w:rsid w:val="004E565B"/>
    <w:rsid w:val="004E591D"/>
    <w:rsid w:val="004E7911"/>
    <w:rsid w:val="004E7C10"/>
    <w:rsid w:val="004F3046"/>
    <w:rsid w:val="004F63CE"/>
    <w:rsid w:val="004F6ED4"/>
    <w:rsid w:val="00500DB4"/>
    <w:rsid w:val="005019EB"/>
    <w:rsid w:val="00502185"/>
    <w:rsid w:val="00505DAA"/>
    <w:rsid w:val="005148E3"/>
    <w:rsid w:val="005150EC"/>
    <w:rsid w:val="00515EF5"/>
    <w:rsid w:val="00517A13"/>
    <w:rsid w:val="0052161B"/>
    <w:rsid w:val="005226A5"/>
    <w:rsid w:val="00526822"/>
    <w:rsid w:val="005322EF"/>
    <w:rsid w:val="005349FA"/>
    <w:rsid w:val="00535E82"/>
    <w:rsid w:val="0053761C"/>
    <w:rsid w:val="00544CE9"/>
    <w:rsid w:val="00545FDD"/>
    <w:rsid w:val="00555541"/>
    <w:rsid w:val="00555B36"/>
    <w:rsid w:val="00560156"/>
    <w:rsid w:val="00562437"/>
    <w:rsid w:val="005673F6"/>
    <w:rsid w:val="00570D85"/>
    <w:rsid w:val="00571D32"/>
    <w:rsid w:val="00572311"/>
    <w:rsid w:val="00573B3C"/>
    <w:rsid w:val="005755BD"/>
    <w:rsid w:val="00576B95"/>
    <w:rsid w:val="00581440"/>
    <w:rsid w:val="0058353D"/>
    <w:rsid w:val="00583D81"/>
    <w:rsid w:val="00593382"/>
    <w:rsid w:val="00597756"/>
    <w:rsid w:val="005B41D6"/>
    <w:rsid w:val="005B4B1E"/>
    <w:rsid w:val="005B7477"/>
    <w:rsid w:val="005C19E6"/>
    <w:rsid w:val="005D1AEE"/>
    <w:rsid w:val="005D5755"/>
    <w:rsid w:val="005E15F1"/>
    <w:rsid w:val="005E1BA2"/>
    <w:rsid w:val="005E2681"/>
    <w:rsid w:val="005F2C07"/>
    <w:rsid w:val="005F6322"/>
    <w:rsid w:val="00601AB7"/>
    <w:rsid w:val="0060330F"/>
    <w:rsid w:val="0060665E"/>
    <w:rsid w:val="00606D19"/>
    <w:rsid w:val="00607AA9"/>
    <w:rsid w:val="00610F17"/>
    <w:rsid w:val="00616569"/>
    <w:rsid w:val="00620A2A"/>
    <w:rsid w:val="00620B05"/>
    <w:rsid w:val="00625404"/>
    <w:rsid w:val="006329E8"/>
    <w:rsid w:val="006369D4"/>
    <w:rsid w:val="00636DA4"/>
    <w:rsid w:val="0064276C"/>
    <w:rsid w:val="00643DE3"/>
    <w:rsid w:val="006513B7"/>
    <w:rsid w:val="0065176F"/>
    <w:rsid w:val="00662BD5"/>
    <w:rsid w:val="00664258"/>
    <w:rsid w:val="0067408F"/>
    <w:rsid w:val="006834C0"/>
    <w:rsid w:val="00683D8D"/>
    <w:rsid w:val="00685598"/>
    <w:rsid w:val="0068560C"/>
    <w:rsid w:val="006874C0"/>
    <w:rsid w:val="006879CD"/>
    <w:rsid w:val="0069363D"/>
    <w:rsid w:val="006A0A50"/>
    <w:rsid w:val="006A34BE"/>
    <w:rsid w:val="006A48F1"/>
    <w:rsid w:val="006B3FAE"/>
    <w:rsid w:val="006C33C2"/>
    <w:rsid w:val="006C3C94"/>
    <w:rsid w:val="006C6B44"/>
    <w:rsid w:val="006C7C78"/>
    <w:rsid w:val="006D2FC0"/>
    <w:rsid w:val="006D43EA"/>
    <w:rsid w:val="006D5D1B"/>
    <w:rsid w:val="006E22FB"/>
    <w:rsid w:val="006E52D6"/>
    <w:rsid w:val="006E622F"/>
    <w:rsid w:val="006E7331"/>
    <w:rsid w:val="006E7C3C"/>
    <w:rsid w:val="006F49D5"/>
    <w:rsid w:val="0071010B"/>
    <w:rsid w:val="00712E3E"/>
    <w:rsid w:val="00715DB8"/>
    <w:rsid w:val="00716623"/>
    <w:rsid w:val="0071730C"/>
    <w:rsid w:val="00722AD7"/>
    <w:rsid w:val="00725B3D"/>
    <w:rsid w:val="0073620A"/>
    <w:rsid w:val="00736EF3"/>
    <w:rsid w:val="00740B09"/>
    <w:rsid w:val="00744523"/>
    <w:rsid w:val="00751A99"/>
    <w:rsid w:val="00752F80"/>
    <w:rsid w:val="00754061"/>
    <w:rsid w:val="00761492"/>
    <w:rsid w:val="0076290A"/>
    <w:rsid w:val="00764232"/>
    <w:rsid w:val="00765B8F"/>
    <w:rsid w:val="0076663B"/>
    <w:rsid w:val="007703E9"/>
    <w:rsid w:val="007728D2"/>
    <w:rsid w:val="00783128"/>
    <w:rsid w:val="00785223"/>
    <w:rsid w:val="00791D4C"/>
    <w:rsid w:val="00793C68"/>
    <w:rsid w:val="00795084"/>
    <w:rsid w:val="007953CB"/>
    <w:rsid w:val="007A1D33"/>
    <w:rsid w:val="007A702E"/>
    <w:rsid w:val="007B1743"/>
    <w:rsid w:val="007B68EF"/>
    <w:rsid w:val="007C05A6"/>
    <w:rsid w:val="007C0F96"/>
    <w:rsid w:val="007C232D"/>
    <w:rsid w:val="007C4121"/>
    <w:rsid w:val="007C4B54"/>
    <w:rsid w:val="007D4E64"/>
    <w:rsid w:val="007E2E9E"/>
    <w:rsid w:val="007E32A7"/>
    <w:rsid w:val="007F31F3"/>
    <w:rsid w:val="007F3652"/>
    <w:rsid w:val="007F4B32"/>
    <w:rsid w:val="007F5ED6"/>
    <w:rsid w:val="007F632F"/>
    <w:rsid w:val="008143FE"/>
    <w:rsid w:val="00817259"/>
    <w:rsid w:val="00821BFA"/>
    <w:rsid w:val="0085360D"/>
    <w:rsid w:val="00854934"/>
    <w:rsid w:val="00855114"/>
    <w:rsid w:val="0085552E"/>
    <w:rsid w:val="00860E2F"/>
    <w:rsid w:val="00871DE7"/>
    <w:rsid w:val="00872BB8"/>
    <w:rsid w:val="0087432D"/>
    <w:rsid w:val="00877D2F"/>
    <w:rsid w:val="00892FC8"/>
    <w:rsid w:val="008A710C"/>
    <w:rsid w:val="008B1783"/>
    <w:rsid w:val="008B4270"/>
    <w:rsid w:val="008C2233"/>
    <w:rsid w:val="008C649B"/>
    <w:rsid w:val="008C6EB1"/>
    <w:rsid w:val="008C7528"/>
    <w:rsid w:val="008E3CAF"/>
    <w:rsid w:val="008E4867"/>
    <w:rsid w:val="008E7E7D"/>
    <w:rsid w:val="008F12FD"/>
    <w:rsid w:val="008F1E95"/>
    <w:rsid w:val="00900F0F"/>
    <w:rsid w:val="009024EF"/>
    <w:rsid w:val="009038EA"/>
    <w:rsid w:val="009171C8"/>
    <w:rsid w:val="00921AA8"/>
    <w:rsid w:val="009222D3"/>
    <w:rsid w:val="00923083"/>
    <w:rsid w:val="00925032"/>
    <w:rsid w:val="00930BAF"/>
    <w:rsid w:val="00932ACF"/>
    <w:rsid w:val="00932AEC"/>
    <w:rsid w:val="00940EEE"/>
    <w:rsid w:val="00944C82"/>
    <w:rsid w:val="00950411"/>
    <w:rsid w:val="00953F56"/>
    <w:rsid w:val="00963C01"/>
    <w:rsid w:val="00967CD4"/>
    <w:rsid w:val="00970B39"/>
    <w:rsid w:val="009749A4"/>
    <w:rsid w:val="009821C7"/>
    <w:rsid w:val="009908C5"/>
    <w:rsid w:val="00991303"/>
    <w:rsid w:val="00994F33"/>
    <w:rsid w:val="0099507E"/>
    <w:rsid w:val="009A0740"/>
    <w:rsid w:val="009A5DBD"/>
    <w:rsid w:val="009A626E"/>
    <w:rsid w:val="009A72C0"/>
    <w:rsid w:val="009A7693"/>
    <w:rsid w:val="009B2D05"/>
    <w:rsid w:val="009B6A6A"/>
    <w:rsid w:val="009C4652"/>
    <w:rsid w:val="009C6B78"/>
    <w:rsid w:val="009C788A"/>
    <w:rsid w:val="009D6529"/>
    <w:rsid w:val="009D6F9B"/>
    <w:rsid w:val="009E0CC3"/>
    <w:rsid w:val="009E140B"/>
    <w:rsid w:val="009E3607"/>
    <w:rsid w:val="009E3A4A"/>
    <w:rsid w:val="009E3E95"/>
    <w:rsid w:val="009E6687"/>
    <w:rsid w:val="009E6F54"/>
    <w:rsid w:val="009F1D5C"/>
    <w:rsid w:val="009F3642"/>
    <w:rsid w:val="009F467A"/>
    <w:rsid w:val="00A055CD"/>
    <w:rsid w:val="00A21709"/>
    <w:rsid w:val="00A232AD"/>
    <w:rsid w:val="00A32558"/>
    <w:rsid w:val="00A41DB9"/>
    <w:rsid w:val="00A475FF"/>
    <w:rsid w:val="00A51010"/>
    <w:rsid w:val="00A56BB3"/>
    <w:rsid w:val="00A61000"/>
    <w:rsid w:val="00A6448C"/>
    <w:rsid w:val="00A64F20"/>
    <w:rsid w:val="00A675ED"/>
    <w:rsid w:val="00A70776"/>
    <w:rsid w:val="00A70FBF"/>
    <w:rsid w:val="00A92295"/>
    <w:rsid w:val="00A94CDD"/>
    <w:rsid w:val="00AA2D06"/>
    <w:rsid w:val="00AA4793"/>
    <w:rsid w:val="00AA6223"/>
    <w:rsid w:val="00AA66E9"/>
    <w:rsid w:val="00AC3717"/>
    <w:rsid w:val="00AC54D6"/>
    <w:rsid w:val="00AD120B"/>
    <w:rsid w:val="00AD256C"/>
    <w:rsid w:val="00AD5514"/>
    <w:rsid w:val="00AE2541"/>
    <w:rsid w:val="00AE25A5"/>
    <w:rsid w:val="00AE6E0F"/>
    <w:rsid w:val="00AF00CF"/>
    <w:rsid w:val="00AF17B5"/>
    <w:rsid w:val="00AF3147"/>
    <w:rsid w:val="00B147F3"/>
    <w:rsid w:val="00B1605B"/>
    <w:rsid w:val="00B2496F"/>
    <w:rsid w:val="00B32C92"/>
    <w:rsid w:val="00B35C25"/>
    <w:rsid w:val="00B456BD"/>
    <w:rsid w:val="00B45D5D"/>
    <w:rsid w:val="00B50D39"/>
    <w:rsid w:val="00B51D05"/>
    <w:rsid w:val="00B52BAB"/>
    <w:rsid w:val="00B57951"/>
    <w:rsid w:val="00B67CF7"/>
    <w:rsid w:val="00B75761"/>
    <w:rsid w:val="00B807D3"/>
    <w:rsid w:val="00B80E71"/>
    <w:rsid w:val="00B857C6"/>
    <w:rsid w:val="00B963A3"/>
    <w:rsid w:val="00B97437"/>
    <w:rsid w:val="00BA0252"/>
    <w:rsid w:val="00BA545E"/>
    <w:rsid w:val="00BA6A1F"/>
    <w:rsid w:val="00BA6C08"/>
    <w:rsid w:val="00BB078D"/>
    <w:rsid w:val="00BB3541"/>
    <w:rsid w:val="00BB44B0"/>
    <w:rsid w:val="00BB5199"/>
    <w:rsid w:val="00BB5CF0"/>
    <w:rsid w:val="00BB7435"/>
    <w:rsid w:val="00BD195B"/>
    <w:rsid w:val="00BE3B4F"/>
    <w:rsid w:val="00BF0818"/>
    <w:rsid w:val="00BF40B2"/>
    <w:rsid w:val="00C03A9E"/>
    <w:rsid w:val="00C03EF6"/>
    <w:rsid w:val="00C10D9B"/>
    <w:rsid w:val="00C32F8B"/>
    <w:rsid w:val="00C36818"/>
    <w:rsid w:val="00C77E52"/>
    <w:rsid w:val="00C81F22"/>
    <w:rsid w:val="00C8532D"/>
    <w:rsid w:val="00C91D22"/>
    <w:rsid w:val="00C962AC"/>
    <w:rsid w:val="00C96F8B"/>
    <w:rsid w:val="00CA0F9B"/>
    <w:rsid w:val="00CA1AF7"/>
    <w:rsid w:val="00CA410C"/>
    <w:rsid w:val="00CA4A4F"/>
    <w:rsid w:val="00CB3E3B"/>
    <w:rsid w:val="00CB7D0F"/>
    <w:rsid w:val="00CC5C9E"/>
    <w:rsid w:val="00CE0240"/>
    <w:rsid w:val="00CE12C5"/>
    <w:rsid w:val="00CE1DCE"/>
    <w:rsid w:val="00CE37F3"/>
    <w:rsid w:val="00CE663C"/>
    <w:rsid w:val="00CF1602"/>
    <w:rsid w:val="00CF3FC1"/>
    <w:rsid w:val="00D01907"/>
    <w:rsid w:val="00D01F97"/>
    <w:rsid w:val="00D02E50"/>
    <w:rsid w:val="00D13D6B"/>
    <w:rsid w:val="00D304C5"/>
    <w:rsid w:val="00D31AB4"/>
    <w:rsid w:val="00D33945"/>
    <w:rsid w:val="00D3681A"/>
    <w:rsid w:val="00D372E7"/>
    <w:rsid w:val="00D37403"/>
    <w:rsid w:val="00D40531"/>
    <w:rsid w:val="00D4062F"/>
    <w:rsid w:val="00D41645"/>
    <w:rsid w:val="00D4251A"/>
    <w:rsid w:val="00D42FEA"/>
    <w:rsid w:val="00D47457"/>
    <w:rsid w:val="00D55743"/>
    <w:rsid w:val="00D578F1"/>
    <w:rsid w:val="00D61F00"/>
    <w:rsid w:val="00D679CE"/>
    <w:rsid w:val="00D7007A"/>
    <w:rsid w:val="00D708FA"/>
    <w:rsid w:val="00D719B7"/>
    <w:rsid w:val="00D74456"/>
    <w:rsid w:val="00D7553A"/>
    <w:rsid w:val="00D81F18"/>
    <w:rsid w:val="00D91004"/>
    <w:rsid w:val="00D93FE5"/>
    <w:rsid w:val="00D968DA"/>
    <w:rsid w:val="00D979B9"/>
    <w:rsid w:val="00DA01F6"/>
    <w:rsid w:val="00DA2454"/>
    <w:rsid w:val="00DB0D71"/>
    <w:rsid w:val="00DB3AD1"/>
    <w:rsid w:val="00DB4C3F"/>
    <w:rsid w:val="00DC6F9C"/>
    <w:rsid w:val="00DD21E6"/>
    <w:rsid w:val="00DD47A7"/>
    <w:rsid w:val="00DE2721"/>
    <w:rsid w:val="00DE3F33"/>
    <w:rsid w:val="00DE458A"/>
    <w:rsid w:val="00DE5EE3"/>
    <w:rsid w:val="00DE7129"/>
    <w:rsid w:val="00DF4F58"/>
    <w:rsid w:val="00DF505C"/>
    <w:rsid w:val="00DF6FC1"/>
    <w:rsid w:val="00E02634"/>
    <w:rsid w:val="00E07587"/>
    <w:rsid w:val="00E168C9"/>
    <w:rsid w:val="00E21E51"/>
    <w:rsid w:val="00E229AB"/>
    <w:rsid w:val="00E27F69"/>
    <w:rsid w:val="00E30AB9"/>
    <w:rsid w:val="00E33993"/>
    <w:rsid w:val="00E3798F"/>
    <w:rsid w:val="00E425DC"/>
    <w:rsid w:val="00E47E89"/>
    <w:rsid w:val="00E53131"/>
    <w:rsid w:val="00E5741A"/>
    <w:rsid w:val="00E638CC"/>
    <w:rsid w:val="00E65C94"/>
    <w:rsid w:val="00E70D0B"/>
    <w:rsid w:val="00E71C01"/>
    <w:rsid w:val="00E72853"/>
    <w:rsid w:val="00E80B21"/>
    <w:rsid w:val="00E916C4"/>
    <w:rsid w:val="00E93632"/>
    <w:rsid w:val="00E97C1B"/>
    <w:rsid w:val="00EA13B2"/>
    <w:rsid w:val="00EA1D6C"/>
    <w:rsid w:val="00EA4151"/>
    <w:rsid w:val="00EA681C"/>
    <w:rsid w:val="00EB0BAC"/>
    <w:rsid w:val="00EB2F54"/>
    <w:rsid w:val="00EC1811"/>
    <w:rsid w:val="00EC4406"/>
    <w:rsid w:val="00EC68E5"/>
    <w:rsid w:val="00ED0585"/>
    <w:rsid w:val="00ED0BA1"/>
    <w:rsid w:val="00ED25A1"/>
    <w:rsid w:val="00ED5369"/>
    <w:rsid w:val="00ED607C"/>
    <w:rsid w:val="00EE26D6"/>
    <w:rsid w:val="00EF580D"/>
    <w:rsid w:val="00F112D6"/>
    <w:rsid w:val="00F11990"/>
    <w:rsid w:val="00F130A1"/>
    <w:rsid w:val="00F2618E"/>
    <w:rsid w:val="00F3029B"/>
    <w:rsid w:val="00F31FAB"/>
    <w:rsid w:val="00F3597D"/>
    <w:rsid w:val="00F3770F"/>
    <w:rsid w:val="00F41BEF"/>
    <w:rsid w:val="00F4556B"/>
    <w:rsid w:val="00F53F05"/>
    <w:rsid w:val="00F5537F"/>
    <w:rsid w:val="00F5539C"/>
    <w:rsid w:val="00F57972"/>
    <w:rsid w:val="00F675F2"/>
    <w:rsid w:val="00F80CC7"/>
    <w:rsid w:val="00F81FA7"/>
    <w:rsid w:val="00F85210"/>
    <w:rsid w:val="00F85BA1"/>
    <w:rsid w:val="00F90103"/>
    <w:rsid w:val="00F95A0C"/>
    <w:rsid w:val="00F9689D"/>
    <w:rsid w:val="00FA21AF"/>
    <w:rsid w:val="00FA5A47"/>
    <w:rsid w:val="00FB2860"/>
    <w:rsid w:val="00FC0007"/>
    <w:rsid w:val="00FC06FB"/>
    <w:rsid w:val="00FC1F12"/>
    <w:rsid w:val="00FC26BD"/>
    <w:rsid w:val="00FC3146"/>
    <w:rsid w:val="00FC7602"/>
    <w:rsid w:val="00FD0D80"/>
    <w:rsid w:val="00FE672C"/>
    <w:rsid w:val="00FF46DB"/>
    <w:rsid w:val="00FF4E39"/>
    <w:rsid w:val="00FF555A"/>
    <w:rsid w:val="010454E1"/>
    <w:rsid w:val="01156DB3"/>
    <w:rsid w:val="013A5EA0"/>
    <w:rsid w:val="01891193"/>
    <w:rsid w:val="01D211F5"/>
    <w:rsid w:val="01FC1D29"/>
    <w:rsid w:val="022723C3"/>
    <w:rsid w:val="022F47E9"/>
    <w:rsid w:val="023006A7"/>
    <w:rsid w:val="024441B5"/>
    <w:rsid w:val="024702CC"/>
    <w:rsid w:val="02474A49"/>
    <w:rsid w:val="025E7273"/>
    <w:rsid w:val="02623074"/>
    <w:rsid w:val="026D10C4"/>
    <w:rsid w:val="02942E78"/>
    <w:rsid w:val="02B0199C"/>
    <w:rsid w:val="032417F5"/>
    <w:rsid w:val="03867E4F"/>
    <w:rsid w:val="03D43687"/>
    <w:rsid w:val="03D84740"/>
    <w:rsid w:val="03F641E7"/>
    <w:rsid w:val="04702AFB"/>
    <w:rsid w:val="04BA14C3"/>
    <w:rsid w:val="05332CBE"/>
    <w:rsid w:val="053B641B"/>
    <w:rsid w:val="054B7E02"/>
    <w:rsid w:val="055344E4"/>
    <w:rsid w:val="0562721A"/>
    <w:rsid w:val="057551DE"/>
    <w:rsid w:val="05952F37"/>
    <w:rsid w:val="05BA439E"/>
    <w:rsid w:val="05BB3177"/>
    <w:rsid w:val="05EC3946"/>
    <w:rsid w:val="05F81957"/>
    <w:rsid w:val="06782FFB"/>
    <w:rsid w:val="06AA3560"/>
    <w:rsid w:val="06B912F7"/>
    <w:rsid w:val="06C45AEF"/>
    <w:rsid w:val="06DC3A84"/>
    <w:rsid w:val="06EE3BE3"/>
    <w:rsid w:val="0742313E"/>
    <w:rsid w:val="075A4AD4"/>
    <w:rsid w:val="078C4DBF"/>
    <w:rsid w:val="080C13C2"/>
    <w:rsid w:val="081E6E31"/>
    <w:rsid w:val="083167B4"/>
    <w:rsid w:val="08791E9B"/>
    <w:rsid w:val="08EF7436"/>
    <w:rsid w:val="09137E8C"/>
    <w:rsid w:val="09960283"/>
    <w:rsid w:val="09DE1BC3"/>
    <w:rsid w:val="0A2552B4"/>
    <w:rsid w:val="0A5D79E7"/>
    <w:rsid w:val="0A8C26DA"/>
    <w:rsid w:val="0AD17092"/>
    <w:rsid w:val="0AF01802"/>
    <w:rsid w:val="0B0211E8"/>
    <w:rsid w:val="0B6039B7"/>
    <w:rsid w:val="0B65092C"/>
    <w:rsid w:val="0B8A00DC"/>
    <w:rsid w:val="0B8D0E91"/>
    <w:rsid w:val="0BB71C5E"/>
    <w:rsid w:val="0C033089"/>
    <w:rsid w:val="0C4C26BB"/>
    <w:rsid w:val="0C4F583E"/>
    <w:rsid w:val="0C507FD4"/>
    <w:rsid w:val="0C89471E"/>
    <w:rsid w:val="0CDE5EFC"/>
    <w:rsid w:val="0D8B6E57"/>
    <w:rsid w:val="0D942F1E"/>
    <w:rsid w:val="0DD82FF8"/>
    <w:rsid w:val="0E3740B7"/>
    <w:rsid w:val="0E52758D"/>
    <w:rsid w:val="0E722040"/>
    <w:rsid w:val="0E8E2CA6"/>
    <w:rsid w:val="0E9D23C7"/>
    <w:rsid w:val="0E9E12C8"/>
    <w:rsid w:val="0F1A7B20"/>
    <w:rsid w:val="0F61774B"/>
    <w:rsid w:val="0FA3070A"/>
    <w:rsid w:val="0FAB3042"/>
    <w:rsid w:val="0FBD430D"/>
    <w:rsid w:val="0FE20F9D"/>
    <w:rsid w:val="105F06F2"/>
    <w:rsid w:val="10634DC8"/>
    <w:rsid w:val="10F80D2E"/>
    <w:rsid w:val="110E0EDA"/>
    <w:rsid w:val="118A10F7"/>
    <w:rsid w:val="11D10EA0"/>
    <w:rsid w:val="11DB6B5A"/>
    <w:rsid w:val="11DC6D79"/>
    <w:rsid w:val="1208249A"/>
    <w:rsid w:val="12160802"/>
    <w:rsid w:val="12317569"/>
    <w:rsid w:val="12601CB9"/>
    <w:rsid w:val="12662ABE"/>
    <w:rsid w:val="12963914"/>
    <w:rsid w:val="12C617B3"/>
    <w:rsid w:val="12F12F9A"/>
    <w:rsid w:val="12FB4A33"/>
    <w:rsid w:val="13292762"/>
    <w:rsid w:val="1337164D"/>
    <w:rsid w:val="13A61A3D"/>
    <w:rsid w:val="13FF061E"/>
    <w:rsid w:val="14093FFA"/>
    <w:rsid w:val="142B2BA6"/>
    <w:rsid w:val="144846D5"/>
    <w:rsid w:val="146C3610"/>
    <w:rsid w:val="14CC7928"/>
    <w:rsid w:val="150A0CC0"/>
    <w:rsid w:val="150E179D"/>
    <w:rsid w:val="15107850"/>
    <w:rsid w:val="15182C6A"/>
    <w:rsid w:val="15907C7B"/>
    <w:rsid w:val="161B3592"/>
    <w:rsid w:val="16613362"/>
    <w:rsid w:val="168345F3"/>
    <w:rsid w:val="16857503"/>
    <w:rsid w:val="16D74ECF"/>
    <w:rsid w:val="171C0B07"/>
    <w:rsid w:val="17417B36"/>
    <w:rsid w:val="17BC33DE"/>
    <w:rsid w:val="17F026D4"/>
    <w:rsid w:val="17FB0AEC"/>
    <w:rsid w:val="182B6909"/>
    <w:rsid w:val="1839378D"/>
    <w:rsid w:val="18854A4A"/>
    <w:rsid w:val="18CD5675"/>
    <w:rsid w:val="194B52F9"/>
    <w:rsid w:val="196D1144"/>
    <w:rsid w:val="1984229C"/>
    <w:rsid w:val="19873937"/>
    <w:rsid w:val="199A0D0F"/>
    <w:rsid w:val="19B04613"/>
    <w:rsid w:val="1A097FF5"/>
    <w:rsid w:val="1A66450F"/>
    <w:rsid w:val="1A6B2BD6"/>
    <w:rsid w:val="1A8719C8"/>
    <w:rsid w:val="1A96572E"/>
    <w:rsid w:val="1AB24E07"/>
    <w:rsid w:val="1AC3720F"/>
    <w:rsid w:val="1ADB2D16"/>
    <w:rsid w:val="1AFB5453"/>
    <w:rsid w:val="1B604DF7"/>
    <w:rsid w:val="1B6B3188"/>
    <w:rsid w:val="1B764D9C"/>
    <w:rsid w:val="1B7777CC"/>
    <w:rsid w:val="1B8947FD"/>
    <w:rsid w:val="1BAC5276"/>
    <w:rsid w:val="1BB34C01"/>
    <w:rsid w:val="1BD06F81"/>
    <w:rsid w:val="1BD3767E"/>
    <w:rsid w:val="1C274BC0"/>
    <w:rsid w:val="1C2A4D90"/>
    <w:rsid w:val="1C8A35E0"/>
    <w:rsid w:val="1CB512EB"/>
    <w:rsid w:val="1D1656D5"/>
    <w:rsid w:val="1D3C3382"/>
    <w:rsid w:val="1D627412"/>
    <w:rsid w:val="1D7C38A4"/>
    <w:rsid w:val="1DC95940"/>
    <w:rsid w:val="1DE7131E"/>
    <w:rsid w:val="1DF63B37"/>
    <w:rsid w:val="1E387E23"/>
    <w:rsid w:val="1E5D13E7"/>
    <w:rsid w:val="1E7957DA"/>
    <w:rsid w:val="1E836102"/>
    <w:rsid w:val="1EBD46EF"/>
    <w:rsid w:val="1F6F0987"/>
    <w:rsid w:val="20416D12"/>
    <w:rsid w:val="208F0F58"/>
    <w:rsid w:val="2104652A"/>
    <w:rsid w:val="2164104F"/>
    <w:rsid w:val="216869DA"/>
    <w:rsid w:val="21927BED"/>
    <w:rsid w:val="21E914AE"/>
    <w:rsid w:val="227F6529"/>
    <w:rsid w:val="22A472BC"/>
    <w:rsid w:val="22CE0A0F"/>
    <w:rsid w:val="234F21E9"/>
    <w:rsid w:val="23667900"/>
    <w:rsid w:val="23BA71AA"/>
    <w:rsid w:val="2422639A"/>
    <w:rsid w:val="24377872"/>
    <w:rsid w:val="243C6989"/>
    <w:rsid w:val="244E3303"/>
    <w:rsid w:val="2455040C"/>
    <w:rsid w:val="24553A0A"/>
    <w:rsid w:val="24645C43"/>
    <w:rsid w:val="2482607A"/>
    <w:rsid w:val="24A63930"/>
    <w:rsid w:val="24A94E1A"/>
    <w:rsid w:val="24EA6EF4"/>
    <w:rsid w:val="24FA3CF6"/>
    <w:rsid w:val="252D6C7C"/>
    <w:rsid w:val="25A669FA"/>
    <w:rsid w:val="25B00867"/>
    <w:rsid w:val="25B76FF0"/>
    <w:rsid w:val="25BB57B6"/>
    <w:rsid w:val="25DB38EA"/>
    <w:rsid w:val="26247566"/>
    <w:rsid w:val="262B06D1"/>
    <w:rsid w:val="26471277"/>
    <w:rsid w:val="26621687"/>
    <w:rsid w:val="26F206FB"/>
    <w:rsid w:val="270A5318"/>
    <w:rsid w:val="27156F2D"/>
    <w:rsid w:val="275F7409"/>
    <w:rsid w:val="27840079"/>
    <w:rsid w:val="27C6112F"/>
    <w:rsid w:val="28343B01"/>
    <w:rsid w:val="28472414"/>
    <w:rsid w:val="2851778C"/>
    <w:rsid w:val="285A1EE2"/>
    <w:rsid w:val="286914F8"/>
    <w:rsid w:val="288C3296"/>
    <w:rsid w:val="28A57773"/>
    <w:rsid w:val="28A668CA"/>
    <w:rsid w:val="28B121D1"/>
    <w:rsid w:val="28B4181B"/>
    <w:rsid w:val="28B47638"/>
    <w:rsid w:val="28F6079E"/>
    <w:rsid w:val="2907735C"/>
    <w:rsid w:val="2915027E"/>
    <w:rsid w:val="2920145A"/>
    <w:rsid w:val="29231A29"/>
    <w:rsid w:val="29772BEF"/>
    <w:rsid w:val="29811F68"/>
    <w:rsid w:val="29895406"/>
    <w:rsid w:val="299F1B81"/>
    <w:rsid w:val="2A1D3D7A"/>
    <w:rsid w:val="2A506870"/>
    <w:rsid w:val="2A593E07"/>
    <w:rsid w:val="2A8A1A57"/>
    <w:rsid w:val="2AAA3857"/>
    <w:rsid w:val="2ABE278D"/>
    <w:rsid w:val="2AF04C7E"/>
    <w:rsid w:val="2B297441"/>
    <w:rsid w:val="2B7319D4"/>
    <w:rsid w:val="2B8B37EE"/>
    <w:rsid w:val="2C1820F2"/>
    <w:rsid w:val="2CC324C7"/>
    <w:rsid w:val="2D2F2FAF"/>
    <w:rsid w:val="2D66449D"/>
    <w:rsid w:val="2D9106B0"/>
    <w:rsid w:val="2DF74F43"/>
    <w:rsid w:val="2E855843"/>
    <w:rsid w:val="2E8E24BF"/>
    <w:rsid w:val="2F0D6CBD"/>
    <w:rsid w:val="2F2D0876"/>
    <w:rsid w:val="2FAE2486"/>
    <w:rsid w:val="2FE56807"/>
    <w:rsid w:val="2FF93922"/>
    <w:rsid w:val="3000532E"/>
    <w:rsid w:val="30176275"/>
    <w:rsid w:val="302239AA"/>
    <w:rsid w:val="302C47DC"/>
    <w:rsid w:val="305C6ABD"/>
    <w:rsid w:val="30F23A0C"/>
    <w:rsid w:val="310B4584"/>
    <w:rsid w:val="311733DD"/>
    <w:rsid w:val="31357551"/>
    <w:rsid w:val="319847F2"/>
    <w:rsid w:val="319D2DC0"/>
    <w:rsid w:val="31CA360D"/>
    <w:rsid w:val="31D27D93"/>
    <w:rsid w:val="31E52231"/>
    <w:rsid w:val="321543DB"/>
    <w:rsid w:val="32190EBE"/>
    <w:rsid w:val="321F5C8E"/>
    <w:rsid w:val="32963595"/>
    <w:rsid w:val="329F4BB8"/>
    <w:rsid w:val="32A63AE9"/>
    <w:rsid w:val="32F443BE"/>
    <w:rsid w:val="335460C7"/>
    <w:rsid w:val="3359033A"/>
    <w:rsid w:val="33B1521C"/>
    <w:rsid w:val="33BF02F5"/>
    <w:rsid w:val="33C95646"/>
    <w:rsid w:val="33D72119"/>
    <w:rsid w:val="34211701"/>
    <w:rsid w:val="34257AB7"/>
    <w:rsid w:val="34261DF5"/>
    <w:rsid w:val="342A79A4"/>
    <w:rsid w:val="346836D0"/>
    <w:rsid w:val="347F4284"/>
    <w:rsid w:val="348F514A"/>
    <w:rsid w:val="34A30568"/>
    <w:rsid w:val="34AA3776"/>
    <w:rsid w:val="34DF294B"/>
    <w:rsid w:val="350D030F"/>
    <w:rsid w:val="352765C3"/>
    <w:rsid w:val="35710C4F"/>
    <w:rsid w:val="35E07149"/>
    <w:rsid w:val="35E3265E"/>
    <w:rsid w:val="35F21AD4"/>
    <w:rsid w:val="36320AC6"/>
    <w:rsid w:val="366F291A"/>
    <w:rsid w:val="368F06C4"/>
    <w:rsid w:val="36AC6086"/>
    <w:rsid w:val="36B909EF"/>
    <w:rsid w:val="36CE6C6A"/>
    <w:rsid w:val="36DF0CCA"/>
    <w:rsid w:val="370D5F4D"/>
    <w:rsid w:val="375D03F8"/>
    <w:rsid w:val="37765981"/>
    <w:rsid w:val="377707E7"/>
    <w:rsid w:val="37CA38E3"/>
    <w:rsid w:val="384E63A9"/>
    <w:rsid w:val="387A6008"/>
    <w:rsid w:val="38B5345E"/>
    <w:rsid w:val="38BB0C69"/>
    <w:rsid w:val="38E31861"/>
    <w:rsid w:val="391E1008"/>
    <w:rsid w:val="39996DB1"/>
    <w:rsid w:val="39BB7346"/>
    <w:rsid w:val="39CB3713"/>
    <w:rsid w:val="39D64BDE"/>
    <w:rsid w:val="3A0740ED"/>
    <w:rsid w:val="3A160959"/>
    <w:rsid w:val="3A2F770E"/>
    <w:rsid w:val="3A7929F4"/>
    <w:rsid w:val="3ACF5DF6"/>
    <w:rsid w:val="3AF6384B"/>
    <w:rsid w:val="3B387B37"/>
    <w:rsid w:val="3B451ED6"/>
    <w:rsid w:val="3B7706C3"/>
    <w:rsid w:val="3BCB196C"/>
    <w:rsid w:val="3BCC0D2F"/>
    <w:rsid w:val="3BD47509"/>
    <w:rsid w:val="3BFA4D59"/>
    <w:rsid w:val="3C111A19"/>
    <w:rsid w:val="3C145452"/>
    <w:rsid w:val="3C221971"/>
    <w:rsid w:val="3C2B62F6"/>
    <w:rsid w:val="3C412894"/>
    <w:rsid w:val="3C511C67"/>
    <w:rsid w:val="3CCA2FCD"/>
    <w:rsid w:val="3CE245F1"/>
    <w:rsid w:val="3D52013F"/>
    <w:rsid w:val="3D896471"/>
    <w:rsid w:val="3DAD5422"/>
    <w:rsid w:val="3DF32DC3"/>
    <w:rsid w:val="3E1D323E"/>
    <w:rsid w:val="3E4035A6"/>
    <w:rsid w:val="3E7E148D"/>
    <w:rsid w:val="3EA14040"/>
    <w:rsid w:val="3FCD4CB7"/>
    <w:rsid w:val="3FF03EE2"/>
    <w:rsid w:val="400A7DED"/>
    <w:rsid w:val="403B3270"/>
    <w:rsid w:val="404C72E2"/>
    <w:rsid w:val="414548A4"/>
    <w:rsid w:val="41596CF5"/>
    <w:rsid w:val="418C38D8"/>
    <w:rsid w:val="41BD2804"/>
    <w:rsid w:val="41EA3C8A"/>
    <w:rsid w:val="420726D3"/>
    <w:rsid w:val="421B65D5"/>
    <w:rsid w:val="423C656C"/>
    <w:rsid w:val="424B58A7"/>
    <w:rsid w:val="427D26F5"/>
    <w:rsid w:val="436315AE"/>
    <w:rsid w:val="437C1F45"/>
    <w:rsid w:val="43A632A0"/>
    <w:rsid w:val="43BE6232"/>
    <w:rsid w:val="43E929A6"/>
    <w:rsid w:val="44583C54"/>
    <w:rsid w:val="446866CB"/>
    <w:rsid w:val="44C36B37"/>
    <w:rsid w:val="450042C0"/>
    <w:rsid w:val="4501269C"/>
    <w:rsid w:val="45845B9E"/>
    <w:rsid w:val="459D5443"/>
    <w:rsid w:val="45C52540"/>
    <w:rsid w:val="45DE1F7C"/>
    <w:rsid w:val="45FA4F68"/>
    <w:rsid w:val="460A6928"/>
    <w:rsid w:val="462C3A2D"/>
    <w:rsid w:val="463A3E2D"/>
    <w:rsid w:val="46607F37"/>
    <w:rsid w:val="469D2D89"/>
    <w:rsid w:val="47361CE9"/>
    <w:rsid w:val="47515D8E"/>
    <w:rsid w:val="47616465"/>
    <w:rsid w:val="47834F9B"/>
    <w:rsid w:val="47B875E2"/>
    <w:rsid w:val="480745B8"/>
    <w:rsid w:val="486F6C49"/>
    <w:rsid w:val="48722E83"/>
    <w:rsid w:val="489A4E2B"/>
    <w:rsid w:val="48C2408E"/>
    <w:rsid w:val="48EE59D1"/>
    <w:rsid w:val="48F30006"/>
    <w:rsid w:val="48FB3BCB"/>
    <w:rsid w:val="490F6E20"/>
    <w:rsid w:val="49383A30"/>
    <w:rsid w:val="494B1AD2"/>
    <w:rsid w:val="494D25E7"/>
    <w:rsid w:val="4979560B"/>
    <w:rsid w:val="49841E7C"/>
    <w:rsid w:val="49877032"/>
    <w:rsid w:val="4997184B"/>
    <w:rsid w:val="49AA4F02"/>
    <w:rsid w:val="49BB3614"/>
    <w:rsid w:val="49EF45D3"/>
    <w:rsid w:val="4A53045F"/>
    <w:rsid w:val="4A6428A0"/>
    <w:rsid w:val="4A7143C9"/>
    <w:rsid w:val="4AC36821"/>
    <w:rsid w:val="4ADF1452"/>
    <w:rsid w:val="4AE338C9"/>
    <w:rsid w:val="4B120387"/>
    <w:rsid w:val="4B871230"/>
    <w:rsid w:val="4BBA244A"/>
    <w:rsid w:val="4BD4624C"/>
    <w:rsid w:val="4BD7721C"/>
    <w:rsid w:val="4BF722AF"/>
    <w:rsid w:val="4C0024D7"/>
    <w:rsid w:val="4C1737A8"/>
    <w:rsid w:val="4C1F0183"/>
    <w:rsid w:val="4C275942"/>
    <w:rsid w:val="4C3A7621"/>
    <w:rsid w:val="4C3C2E05"/>
    <w:rsid w:val="4C73336D"/>
    <w:rsid w:val="4C765E3B"/>
    <w:rsid w:val="4D395EE2"/>
    <w:rsid w:val="4D4B249E"/>
    <w:rsid w:val="4D5D4CE0"/>
    <w:rsid w:val="4D5D5CCA"/>
    <w:rsid w:val="4D935553"/>
    <w:rsid w:val="4D9E38E4"/>
    <w:rsid w:val="4DA5106B"/>
    <w:rsid w:val="4DAE08DD"/>
    <w:rsid w:val="4E42715B"/>
    <w:rsid w:val="4E730444"/>
    <w:rsid w:val="4E9916F8"/>
    <w:rsid w:val="4EA31B27"/>
    <w:rsid w:val="4EA45AE5"/>
    <w:rsid w:val="4F7A0AF0"/>
    <w:rsid w:val="4F7C2E75"/>
    <w:rsid w:val="4F8F2DB4"/>
    <w:rsid w:val="505E6BA4"/>
    <w:rsid w:val="50601A47"/>
    <w:rsid w:val="506E33F1"/>
    <w:rsid w:val="507409D8"/>
    <w:rsid w:val="5074515D"/>
    <w:rsid w:val="50D51A1A"/>
    <w:rsid w:val="50FA595D"/>
    <w:rsid w:val="511212F3"/>
    <w:rsid w:val="5119199D"/>
    <w:rsid w:val="514C546E"/>
    <w:rsid w:val="51B92C8B"/>
    <w:rsid w:val="51BA0EA2"/>
    <w:rsid w:val="51C371B5"/>
    <w:rsid w:val="51D61C53"/>
    <w:rsid w:val="51E35755"/>
    <w:rsid w:val="51F11680"/>
    <w:rsid w:val="51F45B5E"/>
    <w:rsid w:val="51FC1C0F"/>
    <w:rsid w:val="52241ACF"/>
    <w:rsid w:val="527645F7"/>
    <w:rsid w:val="52A670F0"/>
    <w:rsid w:val="52B941C6"/>
    <w:rsid w:val="534A17A8"/>
    <w:rsid w:val="53546780"/>
    <w:rsid w:val="537202E8"/>
    <w:rsid w:val="53850C24"/>
    <w:rsid w:val="53D64D18"/>
    <w:rsid w:val="54171005"/>
    <w:rsid w:val="5440782C"/>
    <w:rsid w:val="544620D7"/>
    <w:rsid w:val="54705BC3"/>
    <w:rsid w:val="5476460A"/>
    <w:rsid w:val="548E44C7"/>
    <w:rsid w:val="54C16CDA"/>
    <w:rsid w:val="54C829E3"/>
    <w:rsid w:val="54F8550E"/>
    <w:rsid w:val="54FF5684"/>
    <w:rsid w:val="552D32DE"/>
    <w:rsid w:val="55756707"/>
    <w:rsid w:val="55890E97"/>
    <w:rsid w:val="558A726A"/>
    <w:rsid w:val="55901BAB"/>
    <w:rsid w:val="565B7F3A"/>
    <w:rsid w:val="566F4A79"/>
    <w:rsid w:val="56864602"/>
    <w:rsid w:val="56934101"/>
    <w:rsid w:val="56A16948"/>
    <w:rsid w:val="56B41EDB"/>
    <w:rsid w:val="56C86370"/>
    <w:rsid w:val="573E3DB0"/>
    <w:rsid w:val="57AD27CE"/>
    <w:rsid w:val="57BE4844"/>
    <w:rsid w:val="583629B5"/>
    <w:rsid w:val="58542098"/>
    <w:rsid w:val="5863030F"/>
    <w:rsid w:val="587C0533"/>
    <w:rsid w:val="58CF0CC3"/>
    <w:rsid w:val="58D7284D"/>
    <w:rsid w:val="58EF5CEF"/>
    <w:rsid w:val="5908689F"/>
    <w:rsid w:val="592616D2"/>
    <w:rsid w:val="59384E70"/>
    <w:rsid w:val="595A260E"/>
    <w:rsid w:val="5964350D"/>
    <w:rsid w:val="59AD0BC7"/>
    <w:rsid w:val="59FF35B4"/>
    <w:rsid w:val="5A0A6156"/>
    <w:rsid w:val="5A36150F"/>
    <w:rsid w:val="5A376545"/>
    <w:rsid w:val="5A403CCF"/>
    <w:rsid w:val="5A4325D4"/>
    <w:rsid w:val="5A9F1F2C"/>
    <w:rsid w:val="5AB05334"/>
    <w:rsid w:val="5ABD001D"/>
    <w:rsid w:val="5AFA4046"/>
    <w:rsid w:val="5B5A5DEF"/>
    <w:rsid w:val="5BAA1C06"/>
    <w:rsid w:val="5C0D7DCF"/>
    <w:rsid w:val="5C1E2111"/>
    <w:rsid w:val="5C3D3CC9"/>
    <w:rsid w:val="5CB12A67"/>
    <w:rsid w:val="5CBE3F7E"/>
    <w:rsid w:val="5CD074DA"/>
    <w:rsid w:val="5D122F42"/>
    <w:rsid w:val="5D262020"/>
    <w:rsid w:val="5D2B3CE3"/>
    <w:rsid w:val="5D710EB1"/>
    <w:rsid w:val="5DBB20D6"/>
    <w:rsid w:val="5DEA4247"/>
    <w:rsid w:val="5E6B55B4"/>
    <w:rsid w:val="5E714C2A"/>
    <w:rsid w:val="5F0B2CFC"/>
    <w:rsid w:val="5F4E4C46"/>
    <w:rsid w:val="5F6155E1"/>
    <w:rsid w:val="5F9408B9"/>
    <w:rsid w:val="5FB414C4"/>
    <w:rsid w:val="5FC77DA1"/>
    <w:rsid w:val="5FE06CE0"/>
    <w:rsid w:val="5FFD1096"/>
    <w:rsid w:val="601D05BB"/>
    <w:rsid w:val="60AD5CAC"/>
    <w:rsid w:val="60E6375A"/>
    <w:rsid w:val="615D47CA"/>
    <w:rsid w:val="61787398"/>
    <w:rsid w:val="61B454B5"/>
    <w:rsid w:val="62061295"/>
    <w:rsid w:val="620D6B6D"/>
    <w:rsid w:val="622034DD"/>
    <w:rsid w:val="62315098"/>
    <w:rsid w:val="62357D8E"/>
    <w:rsid w:val="625B7004"/>
    <w:rsid w:val="625C5F34"/>
    <w:rsid w:val="627B391D"/>
    <w:rsid w:val="6296584C"/>
    <w:rsid w:val="62A82E8C"/>
    <w:rsid w:val="62B527FD"/>
    <w:rsid w:val="62BC7C0A"/>
    <w:rsid w:val="62E34099"/>
    <w:rsid w:val="62E624D3"/>
    <w:rsid w:val="63B71D64"/>
    <w:rsid w:val="63D776DD"/>
    <w:rsid w:val="63EB7A9F"/>
    <w:rsid w:val="640A6A69"/>
    <w:rsid w:val="64397A7C"/>
    <w:rsid w:val="64462F57"/>
    <w:rsid w:val="644C4E9D"/>
    <w:rsid w:val="64AC4EB7"/>
    <w:rsid w:val="64AD178A"/>
    <w:rsid w:val="64C81B92"/>
    <w:rsid w:val="6500668C"/>
    <w:rsid w:val="6521420E"/>
    <w:rsid w:val="655D77A4"/>
    <w:rsid w:val="657D3011"/>
    <w:rsid w:val="65863842"/>
    <w:rsid w:val="65C63B2C"/>
    <w:rsid w:val="65DA33AA"/>
    <w:rsid w:val="660776F2"/>
    <w:rsid w:val="669E5607"/>
    <w:rsid w:val="673D5BED"/>
    <w:rsid w:val="676C1CE5"/>
    <w:rsid w:val="67860E67"/>
    <w:rsid w:val="67BE44CD"/>
    <w:rsid w:val="681857D2"/>
    <w:rsid w:val="68525177"/>
    <w:rsid w:val="685A3E4A"/>
    <w:rsid w:val="68627F12"/>
    <w:rsid w:val="68696EDC"/>
    <w:rsid w:val="68916D9B"/>
    <w:rsid w:val="68E1357B"/>
    <w:rsid w:val="68E92CAD"/>
    <w:rsid w:val="694061AD"/>
    <w:rsid w:val="694734E2"/>
    <w:rsid w:val="6959079B"/>
    <w:rsid w:val="6968142D"/>
    <w:rsid w:val="699D3B52"/>
    <w:rsid w:val="69B30178"/>
    <w:rsid w:val="69C83E1B"/>
    <w:rsid w:val="69D85F90"/>
    <w:rsid w:val="69FA3128"/>
    <w:rsid w:val="6A6D2E29"/>
    <w:rsid w:val="6ABF73B0"/>
    <w:rsid w:val="6B3E1679"/>
    <w:rsid w:val="6B845E74"/>
    <w:rsid w:val="6BD23585"/>
    <w:rsid w:val="6BDC62F3"/>
    <w:rsid w:val="6C105A58"/>
    <w:rsid w:val="6C144793"/>
    <w:rsid w:val="6C221ECE"/>
    <w:rsid w:val="6C954CA6"/>
    <w:rsid w:val="6CE8030D"/>
    <w:rsid w:val="6D49436A"/>
    <w:rsid w:val="6D940AB3"/>
    <w:rsid w:val="6DF8337A"/>
    <w:rsid w:val="6E03170B"/>
    <w:rsid w:val="6E7D7E23"/>
    <w:rsid w:val="6ECB4786"/>
    <w:rsid w:val="6EE76793"/>
    <w:rsid w:val="6F073538"/>
    <w:rsid w:val="6F4D4F71"/>
    <w:rsid w:val="6FEB702D"/>
    <w:rsid w:val="70022E98"/>
    <w:rsid w:val="703323EF"/>
    <w:rsid w:val="70370521"/>
    <w:rsid w:val="709E529E"/>
    <w:rsid w:val="70CA76FF"/>
    <w:rsid w:val="70DF208F"/>
    <w:rsid w:val="70FA5A6E"/>
    <w:rsid w:val="71181AC9"/>
    <w:rsid w:val="711C0132"/>
    <w:rsid w:val="71506F21"/>
    <w:rsid w:val="7166466E"/>
    <w:rsid w:val="717C76A4"/>
    <w:rsid w:val="71C46215"/>
    <w:rsid w:val="71E13073"/>
    <w:rsid w:val="723348C6"/>
    <w:rsid w:val="72DE2883"/>
    <w:rsid w:val="72F8122F"/>
    <w:rsid w:val="7311543B"/>
    <w:rsid w:val="73D31E97"/>
    <w:rsid w:val="73D913D9"/>
    <w:rsid w:val="73EF2F70"/>
    <w:rsid w:val="740D2AB8"/>
    <w:rsid w:val="742C2E91"/>
    <w:rsid w:val="74561A77"/>
    <w:rsid w:val="74602F39"/>
    <w:rsid w:val="746A093F"/>
    <w:rsid w:val="74801F2C"/>
    <w:rsid w:val="748D33A7"/>
    <w:rsid w:val="74CF457A"/>
    <w:rsid w:val="74F33F13"/>
    <w:rsid w:val="74F50F30"/>
    <w:rsid w:val="74FA3E77"/>
    <w:rsid w:val="750E637C"/>
    <w:rsid w:val="75104F24"/>
    <w:rsid w:val="7515743C"/>
    <w:rsid w:val="757A3911"/>
    <w:rsid w:val="75B01ACA"/>
    <w:rsid w:val="75CB3370"/>
    <w:rsid w:val="75EF1428"/>
    <w:rsid w:val="76375E44"/>
    <w:rsid w:val="765A0A6B"/>
    <w:rsid w:val="76695639"/>
    <w:rsid w:val="76957FED"/>
    <w:rsid w:val="76A766DD"/>
    <w:rsid w:val="775C2B88"/>
    <w:rsid w:val="77A47532"/>
    <w:rsid w:val="77A87FFF"/>
    <w:rsid w:val="77D74194"/>
    <w:rsid w:val="77DC6E50"/>
    <w:rsid w:val="786C2085"/>
    <w:rsid w:val="78A51A60"/>
    <w:rsid w:val="78D0265C"/>
    <w:rsid w:val="79510D69"/>
    <w:rsid w:val="797047F9"/>
    <w:rsid w:val="79CB6040"/>
    <w:rsid w:val="79D011E0"/>
    <w:rsid w:val="79DE1C0A"/>
    <w:rsid w:val="79E14685"/>
    <w:rsid w:val="79F66608"/>
    <w:rsid w:val="7A10280E"/>
    <w:rsid w:val="7A6413DB"/>
    <w:rsid w:val="7B4A22AE"/>
    <w:rsid w:val="7BB42002"/>
    <w:rsid w:val="7C182B59"/>
    <w:rsid w:val="7CB30BB1"/>
    <w:rsid w:val="7CE12918"/>
    <w:rsid w:val="7D033419"/>
    <w:rsid w:val="7D08766D"/>
    <w:rsid w:val="7D2269AE"/>
    <w:rsid w:val="7D2D6FB7"/>
    <w:rsid w:val="7D510DF9"/>
    <w:rsid w:val="7D6B5FA5"/>
    <w:rsid w:val="7DB00264"/>
    <w:rsid w:val="7E6150E3"/>
    <w:rsid w:val="7E6B3474"/>
    <w:rsid w:val="7E8212A7"/>
    <w:rsid w:val="7E8C502E"/>
    <w:rsid w:val="7E947EBC"/>
    <w:rsid w:val="7ED676EB"/>
    <w:rsid w:val="7EDE7675"/>
    <w:rsid w:val="7EE87D8E"/>
    <w:rsid w:val="7F007821"/>
    <w:rsid w:val="7F105C3C"/>
    <w:rsid w:val="7F392656"/>
    <w:rsid w:val="7F80434A"/>
    <w:rsid w:val="7FC65CAF"/>
    <w:rsid w:val="7FDC1C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0"/>
    <w:pPr>
      <w:keepNext/>
      <w:keepLines/>
      <w:spacing w:line="576" w:lineRule="auto"/>
      <w:jc w:val="center"/>
      <w:outlineLvl w:val="0"/>
    </w:pPr>
    <w:rPr>
      <w:b/>
      <w:bCs/>
      <w:kern w:val="44"/>
      <w:sz w:val="44"/>
      <w:szCs w:val="44"/>
    </w:rPr>
  </w:style>
  <w:style w:type="paragraph" w:styleId="4">
    <w:name w:val="heading 2"/>
    <w:basedOn w:val="1"/>
    <w:next w:val="1"/>
    <w:link w:val="149"/>
    <w:qFormat/>
    <w:uiPriority w:val="0"/>
    <w:pPr>
      <w:keepNext/>
      <w:keepLines/>
      <w:spacing w:line="413" w:lineRule="auto"/>
      <w:outlineLvl w:val="1"/>
    </w:pPr>
    <w:rPr>
      <w:rFonts w:ascii="Arial" w:hAnsi="Arial" w:eastAsia="黑体"/>
      <w:b/>
      <w:bCs/>
      <w:sz w:val="32"/>
      <w:szCs w:val="32"/>
    </w:rPr>
  </w:style>
  <w:style w:type="paragraph" w:styleId="5">
    <w:name w:val="heading 3"/>
    <w:basedOn w:val="1"/>
    <w:next w:val="1"/>
    <w:qFormat/>
    <w:uiPriority w:val="0"/>
    <w:pPr>
      <w:autoSpaceDE w:val="0"/>
      <w:autoSpaceDN w:val="0"/>
      <w:adjustRightInd w:val="0"/>
      <w:spacing w:before="142" w:line="320" w:lineRule="exact"/>
      <w:ind w:left="-4" w:firstLine="2"/>
      <w:jc w:val="center"/>
      <w:outlineLvl w:val="2"/>
    </w:pPr>
    <w:rPr>
      <w:rFonts w:ascii="宋体" w:hAnsi="宋体"/>
      <w:b/>
      <w:color w:val="000000"/>
      <w:kern w:val="0"/>
      <w:szCs w:val="20"/>
      <w:lang w:val="en-GB"/>
    </w:rPr>
  </w:style>
  <w:style w:type="paragraph" w:styleId="6">
    <w:name w:val="heading 4"/>
    <w:basedOn w:val="1"/>
    <w:next w:val="1"/>
    <w:qFormat/>
    <w:uiPriority w:val="0"/>
    <w:pPr>
      <w:ind w:firstLine="680"/>
      <w:outlineLvl w:val="3"/>
    </w:pPr>
    <w:rPr>
      <w:rFonts w:ascii="宋体"/>
      <w:sz w:val="28"/>
      <w:szCs w:val="20"/>
    </w:rPr>
  </w:style>
  <w:style w:type="paragraph" w:styleId="7">
    <w:name w:val="heading 5"/>
    <w:basedOn w:val="1"/>
    <w:next w:val="1"/>
    <w:qFormat/>
    <w:uiPriority w:val="0"/>
    <w:pPr>
      <w:spacing w:before="120"/>
      <w:ind w:firstLine="540"/>
      <w:outlineLvl w:val="4"/>
    </w:pPr>
    <w:rPr>
      <w:rFonts w:ascii="宋体"/>
      <w:b/>
      <w:sz w:val="28"/>
      <w:szCs w:val="20"/>
    </w:rPr>
  </w:style>
  <w:style w:type="paragraph" w:styleId="8">
    <w:name w:val="heading 6"/>
    <w:basedOn w:val="1"/>
    <w:next w:val="1"/>
    <w:qFormat/>
    <w:uiPriority w:val="0"/>
    <w:pPr>
      <w:ind w:firstLine="680"/>
      <w:outlineLvl w:val="5"/>
    </w:pPr>
    <w:rPr>
      <w:sz w:val="28"/>
      <w:szCs w:val="20"/>
    </w:rPr>
  </w:style>
  <w:style w:type="paragraph" w:styleId="9">
    <w:name w:val="heading 7"/>
    <w:basedOn w:val="1"/>
    <w:next w:val="10"/>
    <w:qFormat/>
    <w:uiPriority w:val="0"/>
    <w:pPr>
      <w:keepNext/>
      <w:keepLines/>
      <w:spacing w:line="317" w:lineRule="auto"/>
      <w:outlineLvl w:val="6"/>
    </w:pPr>
    <w:rPr>
      <w:b/>
      <w:sz w:val="24"/>
    </w:rPr>
  </w:style>
  <w:style w:type="paragraph" w:styleId="11">
    <w:name w:val="heading 8"/>
    <w:basedOn w:val="1"/>
    <w:next w:val="10"/>
    <w:qFormat/>
    <w:uiPriority w:val="0"/>
    <w:pPr>
      <w:keepNext/>
      <w:keepLines/>
      <w:spacing w:line="317" w:lineRule="auto"/>
      <w:outlineLvl w:val="7"/>
    </w:pPr>
    <w:rPr>
      <w:rFonts w:ascii="Arial" w:hAnsi="Arial" w:eastAsia="黑体"/>
      <w:sz w:val="24"/>
    </w:rPr>
  </w:style>
  <w:style w:type="paragraph" w:styleId="12">
    <w:name w:val="heading 9"/>
    <w:basedOn w:val="1"/>
    <w:next w:val="10"/>
    <w:qFormat/>
    <w:uiPriority w:val="0"/>
    <w:pPr>
      <w:keepNext/>
      <w:keepLines/>
      <w:spacing w:line="317" w:lineRule="auto"/>
      <w:outlineLvl w:val="8"/>
    </w:pPr>
    <w:rPr>
      <w:rFonts w:ascii="Arial" w:hAnsi="Arial" w:eastAsia="黑体"/>
    </w:rPr>
  </w:style>
  <w:style w:type="character" w:default="1" w:styleId="50">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Normal Indent"/>
    <w:basedOn w:val="1"/>
    <w:qFormat/>
    <w:uiPriority w:val="0"/>
    <w:pPr>
      <w:ind w:firstLine="420" w:firstLineChars="200"/>
    </w:pPr>
  </w:style>
  <w:style w:type="paragraph" w:styleId="13">
    <w:name w:val="List 3"/>
    <w:basedOn w:val="1"/>
    <w:qFormat/>
    <w:uiPriority w:val="0"/>
    <w:pPr>
      <w:ind w:left="100" w:leftChars="400" w:hanging="200" w:hangingChars="200"/>
    </w:pPr>
  </w:style>
  <w:style w:type="paragraph" w:styleId="14">
    <w:name w:val="List Number"/>
    <w:basedOn w:val="1"/>
    <w:qFormat/>
    <w:uiPriority w:val="0"/>
    <w:pPr>
      <w:tabs>
        <w:tab w:val="left" w:pos="1080"/>
      </w:tabs>
      <w:ind w:left="1080" w:hanging="360"/>
    </w:pPr>
  </w:style>
  <w:style w:type="paragraph" w:styleId="15">
    <w:name w:val="caption"/>
    <w:basedOn w:val="1"/>
    <w:next w:val="1"/>
    <w:qFormat/>
    <w:uiPriority w:val="0"/>
    <w:rPr>
      <w:rFonts w:ascii="Arial" w:hAnsi="Arial" w:eastAsia="黑体" w:cs="Arial"/>
      <w:sz w:val="20"/>
      <w:szCs w:val="20"/>
    </w:rPr>
  </w:style>
  <w:style w:type="paragraph" w:styleId="16">
    <w:name w:val="Document Map"/>
    <w:basedOn w:val="1"/>
    <w:qFormat/>
    <w:uiPriority w:val="0"/>
    <w:pPr>
      <w:shd w:val="clear" w:color="auto" w:fill="000080"/>
    </w:pPr>
  </w:style>
  <w:style w:type="paragraph" w:styleId="17">
    <w:name w:val="annotation text"/>
    <w:basedOn w:val="1"/>
    <w:link w:val="140"/>
    <w:qFormat/>
    <w:uiPriority w:val="99"/>
    <w:pPr>
      <w:jc w:val="left"/>
    </w:pPr>
  </w:style>
  <w:style w:type="paragraph" w:styleId="18">
    <w:name w:val="Salutation"/>
    <w:basedOn w:val="1"/>
    <w:next w:val="1"/>
    <w:qFormat/>
    <w:uiPriority w:val="0"/>
    <w:pPr>
      <w:widowControl/>
      <w:ind w:right="-1090" w:firstLine="285"/>
    </w:pPr>
    <w:rPr>
      <w:rFonts w:ascii="Garamond" w:hAnsi="Garamond"/>
      <w:kern w:val="18"/>
      <w:szCs w:val="20"/>
    </w:rPr>
  </w:style>
  <w:style w:type="paragraph" w:styleId="19">
    <w:name w:val="Body Text 3"/>
    <w:basedOn w:val="1"/>
    <w:qFormat/>
    <w:uiPriority w:val="0"/>
    <w:pPr>
      <w:spacing w:line="500" w:lineRule="exact"/>
    </w:pPr>
    <w:rPr>
      <w:b/>
      <w:bCs/>
      <w:sz w:val="24"/>
    </w:rPr>
  </w:style>
  <w:style w:type="paragraph" w:styleId="20">
    <w:name w:val="Body Text"/>
    <w:basedOn w:val="1"/>
    <w:next w:val="1"/>
    <w:link w:val="111"/>
    <w:qFormat/>
    <w:uiPriority w:val="0"/>
    <w:pPr>
      <w:adjustRightInd w:val="0"/>
      <w:snapToGrid w:val="0"/>
      <w:spacing w:line="240" w:lineRule="atLeast"/>
      <w:jc w:val="center"/>
    </w:pPr>
    <w:rPr>
      <w:rFonts w:ascii="宋体" w:hAnsi="宋体"/>
      <w:color w:val="FF00FF"/>
      <w:szCs w:val="21"/>
    </w:rPr>
  </w:style>
  <w:style w:type="paragraph" w:styleId="21">
    <w:name w:val="Body Text Indent"/>
    <w:basedOn w:val="1"/>
    <w:qFormat/>
    <w:uiPriority w:val="0"/>
    <w:pPr>
      <w:spacing w:line="200" w:lineRule="exact"/>
      <w:ind w:firstLine="301"/>
    </w:pPr>
    <w:rPr>
      <w:rFonts w:ascii="宋体" w:hAnsi="Courier New"/>
      <w:spacing w:val="-4"/>
      <w:sz w:val="18"/>
      <w:szCs w:val="20"/>
    </w:rPr>
  </w:style>
  <w:style w:type="paragraph" w:styleId="22">
    <w:name w:val="List Number 3"/>
    <w:basedOn w:val="1"/>
    <w:qFormat/>
    <w:uiPriority w:val="0"/>
    <w:pPr>
      <w:tabs>
        <w:tab w:val="left" w:pos="1200"/>
      </w:tabs>
      <w:ind w:left="1200" w:hanging="360"/>
    </w:pPr>
  </w:style>
  <w:style w:type="paragraph" w:styleId="23">
    <w:name w:val="List 2"/>
    <w:basedOn w:val="1"/>
    <w:qFormat/>
    <w:uiPriority w:val="0"/>
    <w:pPr>
      <w:ind w:left="100" w:leftChars="200" w:hanging="200" w:hangingChars="200"/>
    </w:p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Plain Text"/>
    <w:basedOn w:val="1"/>
    <w:link w:val="114"/>
    <w:qFormat/>
    <w:uiPriority w:val="0"/>
    <w:rPr>
      <w:rFonts w:ascii="宋体" w:hAnsi="Courier New"/>
      <w:szCs w:val="20"/>
    </w:rPr>
  </w:style>
  <w:style w:type="paragraph" w:styleId="26">
    <w:name w:val="Date"/>
    <w:basedOn w:val="1"/>
    <w:next w:val="1"/>
    <w:link w:val="121"/>
    <w:qFormat/>
    <w:uiPriority w:val="0"/>
    <w:pPr>
      <w:ind w:left="100" w:leftChars="2500"/>
    </w:pPr>
    <w:rPr>
      <w:rFonts w:ascii="Tahoma" w:hAnsi="Tahoma"/>
      <w:spacing w:val="30"/>
      <w:sz w:val="28"/>
    </w:rPr>
  </w:style>
  <w:style w:type="paragraph" w:styleId="27">
    <w:name w:val="Body Text Indent 2"/>
    <w:basedOn w:val="1"/>
    <w:qFormat/>
    <w:uiPriority w:val="0"/>
    <w:pPr>
      <w:spacing w:line="400" w:lineRule="exact"/>
      <w:ind w:left="75"/>
    </w:pPr>
    <w:rPr>
      <w:rFonts w:ascii="宋体" w:hAnsi="宋体"/>
    </w:rPr>
  </w:style>
  <w:style w:type="paragraph" w:styleId="28">
    <w:name w:val="Balloon Text"/>
    <w:basedOn w:val="1"/>
    <w:qFormat/>
    <w:uiPriority w:val="0"/>
    <w:rPr>
      <w:sz w:val="18"/>
      <w:szCs w:val="18"/>
    </w:rPr>
  </w:style>
  <w:style w:type="paragraph" w:styleId="29">
    <w:name w:val="footer"/>
    <w:basedOn w:val="1"/>
    <w:link w:val="125"/>
    <w:qFormat/>
    <w:uiPriority w:val="99"/>
    <w:pPr>
      <w:tabs>
        <w:tab w:val="center" w:pos="4153"/>
        <w:tab w:val="right" w:pos="8306"/>
      </w:tabs>
      <w:snapToGrid w:val="0"/>
      <w:jc w:val="left"/>
    </w:pPr>
    <w:rPr>
      <w:rFonts w:ascii="宋体" w:hAnsi="Courier New"/>
      <w:sz w:val="18"/>
      <w:szCs w:val="20"/>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pPr>
      <w:tabs>
        <w:tab w:val="right" w:leader="dot" w:pos="9628"/>
      </w:tabs>
    </w:pPr>
    <w:rPr>
      <w:rFonts w:ascii="Calibri Light" w:hAnsi="Calibri Light"/>
      <w:b/>
      <w:color w:val="000000"/>
      <w:sz w:val="32"/>
      <w:szCs w:val="32"/>
    </w:rPr>
  </w:style>
  <w:style w:type="paragraph" w:styleId="32">
    <w:name w:val="List"/>
    <w:basedOn w:val="1"/>
    <w:qFormat/>
    <w:uiPriority w:val="0"/>
    <w:pPr>
      <w:ind w:left="200" w:hanging="200" w:hangingChars="200"/>
    </w:pPr>
  </w:style>
  <w:style w:type="paragraph" w:styleId="33">
    <w:name w:val="List 5"/>
    <w:basedOn w:val="1"/>
    <w:qFormat/>
    <w:uiPriority w:val="0"/>
    <w:pPr>
      <w:ind w:left="2100" w:hanging="420"/>
    </w:pPr>
    <w:rPr>
      <w:szCs w:val="20"/>
    </w:rPr>
  </w:style>
  <w:style w:type="paragraph" w:styleId="34">
    <w:name w:val="Body Text Indent 3"/>
    <w:basedOn w:val="1"/>
    <w:qFormat/>
    <w:uiPriority w:val="0"/>
    <w:pPr>
      <w:ind w:left="420" w:leftChars="200"/>
    </w:pPr>
    <w:rPr>
      <w:sz w:val="16"/>
      <w:szCs w:val="16"/>
    </w:rPr>
  </w:style>
  <w:style w:type="paragraph" w:styleId="35">
    <w:name w:val="index 9"/>
    <w:basedOn w:val="1"/>
    <w:next w:val="1"/>
    <w:qFormat/>
    <w:uiPriority w:val="0"/>
    <w:pPr>
      <w:ind w:left="1600" w:leftChars="1600"/>
    </w:pPr>
  </w:style>
  <w:style w:type="paragraph" w:styleId="36">
    <w:name w:val="toc 2"/>
    <w:basedOn w:val="1"/>
    <w:next w:val="1"/>
    <w:qFormat/>
    <w:uiPriority w:val="0"/>
    <w:pPr>
      <w:tabs>
        <w:tab w:val="right" w:leader="dot" w:pos="9061"/>
      </w:tabs>
      <w:ind w:left="300" w:leftChars="143"/>
      <w:jc w:val="center"/>
    </w:pPr>
    <w:rPr>
      <w:rFonts w:ascii="宋体" w:hAnsi="宋体"/>
      <w:b/>
      <w:smallCaps/>
      <w:color w:val="000000"/>
      <w:kern w:val="0"/>
      <w:sz w:val="24"/>
    </w:rPr>
  </w:style>
  <w:style w:type="paragraph" w:styleId="37">
    <w:name w:val="Body Text 2"/>
    <w:basedOn w:val="1"/>
    <w:qFormat/>
    <w:uiPriority w:val="0"/>
    <w:pPr>
      <w:spacing w:line="320" w:lineRule="exact"/>
    </w:pPr>
    <w:rPr>
      <w:rFonts w:ascii="宋体" w:hAnsi="宋体"/>
      <w:b/>
      <w:bCs/>
      <w:szCs w:val="21"/>
    </w:rPr>
  </w:style>
  <w:style w:type="paragraph" w:styleId="38">
    <w:name w:val="List 4"/>
    <w:basedOn w:val="1"/>
    <w:qFormat/>
    <w:uiPriority w:val="0"/>
    <w:pPr>
      <w:ind w:left="100" w:leftChars="600" w:hanging="200" w:hangingChars="200"/>
    </w:pPr>
  </w:style>
  <w:style w:type="paragraph" w:styleId="39">
    <w:name w:val="List Continue 2"/>
    <w:basedOn w:val="1"/>
    <w:qFormat/>
    <w:uiPriority w:val="0"/>
    <w:pPr>
      <w:ind w:left="840" w:leftChars="400"/>
    </w:pPr>
  </w:style>
  <w:style w:type="paragraph" w:styleId="4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1">
    <w:name w:val="Normal (Web)"/>
    <w:basedOn w:val="1"/>
    <w:qFormat/>
    <w:uiPriority w:val="0"/>
    <w:pPr>
      <w:widowControl/>
      <w:spacing w:beforeAutospacing="1" w:afterAutospacing="1"/>
      <w:jc w:val="left"/>
    </w:pPr>
    <w:rPr>
      <w:rFonts w:ascii="宋体" w:hAnsi="宋体"/>
      <w:color w:val="000000"/>
      <w:kern w:val="0"/>
      <w:sz w:val="24"/>
    </w:rPr>
  </w:style>
  <w:style w:type="paragraph" w:styleId="42">
    <w:name w:val="index 1"/>
    <w:basedOn w:val="1"/>
    <w:next w:val="1"/>
    <w:qFormat/>
    <w:uiPriority w:val="0"/>
    <w:pPr>
      <w:spacing w:line="400" w:lineRule="exact"/>
      <w:ind w:firstLine="420" w:firstLineChars="200"/>
    </w:pPr>
    <w:rPr>
      <w:rFonts w:ascii="宋体" w:hAnsi="Courier New"/>
      <w:b/>
      <w:szCs w:val="20"/>
    </w:rPr>
  </w:style>
  <w:style w:type="paragraph" w:styleId="43">
    <w:name w:val="Title"/>
    <w:basedOn w:val="1"/>
    <w:next w:val="1"/>
    <w:qFormat/>
    <w:uiPriority w:val="10"/>
    <w:pPr>
      <w:spacing w:before="240" w:after="60"/>
      <w:jc w:val="center"/>
      <w:outlineLvl w:val="0"/>
    </w:pPr>
    <w:rPr>
      <w:rFonts w:ascii="Cambria" w:hAnsi="Cambria"/>
      <w:b/>
      <w:bCs/>
      <w:sz w:val="32"/>
      <w:szCs w:val="32"/>
    </w:rPr>
  </w:style>
  <w:style w:type="paragraph" w:styleId="44">
    <w:name w:val="annotation subject"/>
    <w:basedOn w:val="17"/>
    <w:next w:val="17"/>
    <w:link w:val="141"/>
    <w:qFormat/>
    <w:uiPriority w:val="0"/>
    <w:rPr>
      <w:b/>
      <w:bCs/>
    </w:rPr>
  </w:style>
  <w:style w:type="paragraph" w:styleId="45">
    <w:name w:val="Body Text First Indent"/>
    <w:basedOn w:val="20"/>
    <w:qFormat/>
    <w:uiPriority w:val="0"/>
    <w:pPr>
      <w:adjustRightInd/>
      <w:snapToGrid/>
      <w:spacing w:line="240" w:lineRule="auto"/>
      <w:ind w:firstLine="420" w:firstLineChars="100"/>
      <w:jc w:val="both"/>
    </w:pPr>
    <w:rPr>
      <w:rFonts w:ascii="Times New Roman" w:hAnsi="Times New Roman"/>
      <w:color w:val="auto"/>
      <w:szCs w:val="24"/>
    </w:rPr>
  </w:style>
  <w:style w:type="paragraph" w:styleId="46">
    <w:name w:val="Body Text First Indent 2"/>
    <w:basedOn w:val="21"/>
    <w:qFormat/>
    <w:uiPriority w:val="0"/>
    <w:pPr>
      <w:spacing w:line="240" w:lineRule="auto"/>
      <w:ind w:left="420" w:leftChars="200" w:firstLine="420" w:firstLineChars="200"/>
    </w:pPr>
    <w:rPr>
      <w:rFonts w:ascii="Times New Roman" w:hAnsi="Times New Roman"/>
      <w:spacing w:val="0"/>
      <w:sz w:val="21"/>
      <w:szCs w:val="24"/>
    </w:rPr>
  </w:style>
  <w:style w:type="table" w:styleId="48">
    <w:name w:val="Table Grid"/>
    <w:basedOn w:val="4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9">
    <w:name w:val="Table Theme"/>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rFonts w:ascii="Tahoma" w:hAnsi="Tahoma"/>
      <w:b/>
      <w:bCs/>
      <w:sz w:val="24"/>
      <w:szCs w:val="24"/>
    </w:rPr>
  </w:style>
  <w:style w:type="character" w:styleId="52">
    <w:name w:val="page number"/>
    <w:basedOn w:val="50"/>
    <w:qFormat/>
    <w:uiPriority w:val="0"/>
  </w:style>
  <w:style w:type="character" w:styleId="53">
    <w:name w:val="FollowedHyperlink"/>
    <w:qFormat/>
    <w:uiPriority w:val="0"/>
    <w:rPr>
      <w:rFonts w:ascii="Tahoma" w:hAnsi="Tahoma"/>
      <w:color w:val="800080"/>
      <w:sz w:val="24"/>
      <w:szCs w:val="24"/>
      <w:u w:val="single"/>
    </w:rPr>
  </w:style>
  <w:style w:type="character" w:styleId="54">
    <w:name w:val="Emphasis"/>
    <w:qFormat/>
    <w:uiPriority w:val="0"/>
    <w:rPr>
      <w:rFonts w:ascii="Tahoma" w:hAnsi="Tahoma"/>
      <w:i/>
      <w:iCs/>
      <w:sz w:val="24"/>
      <w:szCs w:val="24"/>
    </w:rPr>
  </w:style>
  <w:style w:type="character" w:styleId="55">
    <w:name w:val="Hyperlink"/>
    <w:qFormat/>
    <w:uiPriority w:val="0"/>
    <w:rPr>
      <w:rFonts w:ascii="Tahoma" w:hAnsi="Tahoma"/>
      <w:color w:val="0000FF"/>
      <w:sz w:val="24"/>
      <w:szCs w:val="24"/>
      <w:u w:val="single"/>
    </w:rPr>
  </w:style>
  <w:style w:type="character" w:styleId="56">
    <w:name w:val="annotation reference"/>
    <w:basedOn w:val="50"/>
    <w:qFormat/>
    <w:uiPriority w:val="99"/>
    <w:rPr>
      <w:sz w:val="21"/>
      <w:szCs w:val="21"/>
    </w:rPr>
  </w:style>
  <w:style w:type="paragraph" w:customStyle="1" w:styleId="57">
    <w:name w:val="样式 正文缩进正文（首行缩进两字）首行缩进两字 + 首行缩进:  2 字符1"/>
    <w:basedOn w:val="10"/>
    <w:qFormat/>
    <w:uiPriority w:val="0"/>
    <w:pPr>
      <w:spacing w:before="156" w:beforeLines="50" w:after="156" w:afterLines="50" w:line="500" w:lineRule="exact"/>
      <w:ind w:firstLine="200"/>
    </w:pPr>
    <w:rPr>
      <w:color w:val="000000"/>
      <w:sz w:val="28"/>
    </w:rPr>
  </w:style>
  <w:style w:type="character" w:customStyle="1" w:styleId="58">
    <w:name w:val="标题 1 Char"/>
    <w:link w:val="3"/>
    <w:qFormat/>
    <w:uiPriority w:val="0"/>
    <w:rPr>
      <w:b/>
      <w:bCs/>
      <w:kern w:val="44"/>
      <w:sz w:val="44"/>
      <w:szCs w:val="44"/>
    </w:rPr>
  </w:style>
  <w:style w:type="paragraph" w:customStyle="1" w:styleId="59">
    <w:name w:val="默认段落字体 Para Char"/>
    <w:basedOn w:val="1"/>
    <w:qFormat/>
    <w:uiPriority w:val="0"/>
    <w:pPr>
      <w:adjustRightInd w:val="0"/>
      <w:spacing w:line="360" w:lineRule="auto"/>
    </w:pPr>
    <w:rPr>
      <w:kern w:val="0"/>
      <w:sz w:val="24"/>
      <w:szCs w:val="20"/>
    </w:rPr>
  </w:style>
  <w:style w:type="paragraph" w:customStyle="1" w:styleId="60">
    <w:name w:val="缺省文本"/>
    <w:basedOn w:val="1"/>
    <w:qFormat/>
    <w:uiPriority w:val="0"/>
    <w:pPr>
      <w:autoSpaceDE w:val="0"/>
      <w:autoSpaceDN w:val="0"/>
      <w:adjustRightInd w:val="0"/>
      <w:spacing w:line="360" w:lineRule="auto"/>
      <w:jc w:val="left"/>
    </w:pPr>
    <w:rPr>
      <w:kern w:val="0"/>
      <w:sz w:val="24"/>
      <w:szCs w:val="20"/>
    </w:rPr>
  </w:style>
  <w:style w:type="paragraph" w:customStyle="1" w:styleId="61">
    <w:name w:val="样式 首行缩进:  2 字符"/>
    <w:basedOn w:val="1"/>
    <w:qFormat/>
    <w:uiPriority w:val="0"/>
    <w:pPr>
      <w:spacing w:line="400" w:lineRule="exact"/>
      <w:ind w:firstLine="200" w:firstLineChars="200"/>
    </w:pPr>
    <w:rPr>
      <w:rFonts w:cs="宋体"/>
      <w:sz w:val="24"/>
    </w:rPr>
  </w:style>
  <w:style w:type="paragraph" w:customStyle="1" w:styleId="62">
    <w:name w:val="_Style 9"/>
    <w:basedOn w:val="1"/>
    <w:qFormat/>
    <w:uiPriority w:val="0"/>
    <w:rPr>
      <w:rFonts w:ascii="Tahoma" w:hAnsi="Tahoma"/>
      <w:sz w:val="24"/>
    </w:rPr>
  </w:style>
  <w:style w:type="paragraph" w:customStyle="1" w:styleId="63">
    <w:name w:val="列出段落1"/>
    <w:basedOn w:val="1"/>
    <w:qFormat/>
    <w:uiPriority w:val="0"/>
    <w:pPr>
      <w:ind w:firstLine="420" w:firstLineChars="200"/>
    </w:pPr>
    <w:rPr>
      <w:sz w:val="18"/>
      <w:szCs w:val="22"/>
    </w:rPr>
  </w:style>
  <w:style w:type="paragraph" w:customStyle="1" w:styleId="64">
    <w:name w:val="默认段落字体 Para Char Char Char Char Char Char Char Char Char1 Char Char Char Char"/>
    <w:basedOn w:val="1"/>
    <w:qFormat/>
    <w:uiPriority w:val="0"/>
    <w:rPr>
      <w:rFonts w:ascii="Tahoma" w:hAnsi="Tahoma"/>
      <w:sz w:val="24"/>
      <w:szCs w:val="20"/>
    </w:rPr>
  </w:style>
  <w:style w:type="paragraph" w:customStyle="1" w:styleId="65">
    <w:name w:val="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66">
    <w:name w:val="Char1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7">
    <w:name w:val="Char2"/>
    <w:basedOn w:val="1"/>
    <w:qFormat/>
    <w:uiPriority w:val="0"/>
    <w:pPr>
      <w:widowControl/>
      <w:spacing w:line="240" w:lineRule="exact"/>
      <w:jc w:val="left"/>
    </w:pPr>
    <w:rPr>
      <w:rFonts w:ascii="Verdana" w:hAnsi="Verdana"/>
      <w:kern w:val="0"/>
      <w:szCs w:val="20"/>
      <w:lang w:eastAsia="en-US"/>
    </w:rPr>
  </w:style>
  <w:style w:type="paragraph" w:customStyle="1" w:styleId="68">
    <w:name w:val="Char Char Char Char1"/>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69">
    <w:name w:val="样式 标题 3 + (中文) 黑体 小四 非加粗 段前: 7.8 磅 段后: 0 磅 行距: 固定值 20 磅"/>
    <w:basedOn w:val="5"/>
    <w:qFormat/>
    <w:uiPriority w:val="0"/>
    <w:pPr>
      <w:keepNext/>
      <w:keepLines/>
      <w:autoSpaceDE/>
      <w:autoSpaceDN/>
      <w:adjustRightInd/>
      <w:spacing w:line="400" w:lineRule="exact"/>
      <w:jc w:val="both"/>
    </w:pPr>
    <w:rPr>
      <w:rFonts w:ascii="Times New Roman" w:hAnsi="Times New Roman" w:eastAsia="黑体" w:cs="宋体"/>
      <w:b w:val="0"/>
      <w:color w:val="auto"/>
      <w:kern w:val="2"/>
      <w:sz w:val="24"/>
      <w:lang w:val="en-US"/>
    </w:rPr>
  </w:style>
  <w:style w:type="paragraph" w:customStyle="1" w:styleId="70">
    <w:name w:val="a9"/>
    <w:basedOn w:val="1"/>
    <w:qFormat/>
    <w:uiPriority w:val="0"/>
    <w:pPr>
      <w:widowControl/>
      <w:spacing w:beforeAutospacing="1" w:afterAutospacing="1"/>
      <w:jc w:val="left"/>
    </w:pPr>
    <w:rPr>
      <w:rFonts w:ascii="宋体" w:hAnsi="宋体" w:cs="宋体"/>
      <w:kern w:val="0"/>
      <w:sz w:val="24"/>
    </w:rPr>
  </w:style>
  <w:style w:type="paragraph" w:customStyle="1" w:styleId="71">
    <w:name w:val="样式1"/>
    <w:basedOn w:val="1"/>
    <w:qFormat/>
    <w:uiPriority w:val="0"/>
    <w:pPr>
      <w:spacing w:line="300" w:lineRule="auto"/>
    </w:pPr>
    <w:rPr>
      <w:rFonts w:ascii="宋体" w:hAnsi="宋体"/>
      <w:b/>
      <w:sz w:val="24"/>
      <w:szCs w:val="20"/>
    </w:rPr>
  </w:style>
  <w:style w:type="paragraph" w:customStyle="1" w:styleId="72">
    <w:name w:val="_Style 61"/>
    <w:basedOn w:val="1"/>
    <w:qFormat/>
    <w:uiPriority w:val="0"/>
    <w:pPr>
      <w:ind w:firstLine="420" w:firstLineChars="200"/>
    </w:pPr>
    <w:rPr>
      <w:rFonts w:ascii="Calibri" w:hAnsi="Calibri"/>
      <w:szCs w:val="22"/>
    </w:rPr>
  </w:style>
  <w:style w:type="paragraph" w:customStyle="1" w:styleId="73">
    <w:name w:val="p20"/>
    <w:basedOn w:val="1"/>
    <w:qFormat/>
    <w:uiPriority w:val="0"/>
    <w:rPr>
      <w:rFonts w:hint="eastAsia" w:ascii="宋体" w:hAnsi="宋体" w:cs="宋体"/>
      <w:kern w:val="0"/>
      <w:szCs w:val="21"/>
    </w:rPr>
  </w:style>
  <w:style w:type="paragraph" w:customStyle="1" w:styleId="74">
    <w:name w:val="次小点说明 Char"/>
    <w:basedOn w:val="10"/>
    <w:qFormat/>
    <w:uiPriority w:val="0"/>
    <w:pPr>
      <w:ind w:firstLine="0" w:firstLineChars="0"/>
    </w:pPr>
    <w:rPr>
      <w:sz w:val="24"/>
    </w:rPr>
  </w:style>
  <w:style w:type="paragraph" w:customStyle="1" w:styleId="75">
    <w:name w:val="p19"/>
    <w:basedOn w:val="1"/>
    <w:qFormat/>
    <w:uiPriority w:val="0"/>
    <w:pPr>
      <w:ind w:firstLine="420"/>
    </w:pPr>
    <w:rPr>
      <w:kern w:val="0"/>
      <w:szCs w:val="21"/>
    </w:rPr>
  </w:style>
  <w:style w:type="paragraph" w:customStyle="1" w:styleId="76">
    <w:name w:val="表内文字"/>
    <w:basedOn w:val="1"/>
    <w:qFormat/>
    <w:uiPriority w:val="0"/>
    <w:pPr>
      <w:snapToGrid w:val="0"/>
      <w:jc w:val="center"/>
    </w:pPr>
    <w:rPr>
      <w:rFonts w:ascii="仿宋_GB2312" w:hAnsi="宋体" w:eastAsia="仿宋_GB2312"/>
      <w:b/>
      <w:color w:val="000000"/>
      <w:sz w:val="32"/>
      <w:szCs w:val="32"/>
    </w:rPr>
  </w:style>
  <w:style w:type="paragraph" w:customStyle="1" w:styleId="77">
    <w:name w:val="样式"/>
    <w:link w:val="120"/>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8">
    <w:name w:val="Char1 Char Char Char"/>
    <w:basedOn w:val="1"/>
    <w:qFormat/>
    <w:uiPriority w:val="0"/>
  </w:style>
  <w:style w:type="paragraph" w:customStyle="1" w:styleId="79">
    <w:name w:val="Char Char Char Char Char Char Char Char Char Char Char Char Char Char Char Char"/>
    <w:basedOn w:val="1"/>
    <w:qFormat/>
    <w:uiPriority w:val="0"/>
    <w:pPr>
      <w:tabs>
        <w:tab w:val="left" w:pos="360"/>
      </w:tabs>
      <w:adjustRightInd w:val="0"/>
      <w:spacing w:line="360" w:lineRule="auto"/>
      <w:ind w:firstLine="360" w:firstLineChars="150"/>
      <w:textAlignment w:val="baseline"/>
    </w:pPr>
    <w:rPr>
      <w:rFonts w:ascii="宋体" w:hAnsi="宋体"/>
      <w:color w:val="000000"/>
      <w:kern w:val="0"/>
      <w:sz w:val="24"/>
      <w:szCs w:val="20"/>
    </w:rPr>
  </w:style>
  <w:style w:type="paragraph" w:customStyle="1" w:styleId="80">
    <w:name w:val="Char Char Char Char Char Char Char"/>
    <w:basedOn w:val="1"/>
    <w:qFormat/>
    <w:uiPriority w:val="0"/>
  </w:style>
  <w:style w:type="paragraph" w:customStyle="1" w:styleId="81">
    <w:name w:val="_Style 11"/>
    <w:basedOn w:val="1"/>
    <w:qFormat/>
    <w:uiPriority w:val="0"/>
    <w:rPr>
      <w:rFonts w:ascii="Tahoma" w:hAnsi="Tahoma"/>
      <w:sz w:val="24"/>
    </w:rPr>
  </w:style>
  <w:style w:type="paragraph" w:customStyle="1" w:styleId="82">
    <w:name w:val="Char1"/>
    <w:basedOn w:val="1"/>
    <w:qFormat/>
    <w:uiPriority w:val="0"/>
    <w:rPr>
      <w:szCs w:val="21"/>
    </w:rPr>
  </w:style>
  <w:style w:type="paragraph" w:customStyle="1" w:styleId="83">
    <w:name w:val="xl21"/>
    <w:basedOn w:val="1"/>
    <w:qFormat/>
    <w:uiPriority w:val="0"/>
    <w:pPr>
      <w:widowControl/>
      <w:spacing w:beforeAutospacing="1" w:afterAutospacing="1"/>
      <w:jc w:val="center"/>
    </w:pPr>
    <w:rPr>
      <w:rFonts w:ascii="宋体" w:hAnsi="宋体"/>
      <w:b/>
      <w:bCs/>
      <w:kern w:val="0"/>
      <w:sz w:val="28"/>
      <w:szCs w:val="28"/>
    </w:rPr>
  </w:style>
  <w:style w:type="paragraph" w:customStyle="1" w:styleId="84">
    <w:name w:val="p0"/>
    <w:basedOn w:val="1"/>
    <w:qFormat/>
    <w:uiPriority w:val="0"/>
    <w:pPr>
      <w:widowControl/>
    </w:pPr>
    <w:rPr>
      <w:kern w:val="0"/>
      <w:szCs w:val="21"/>
    </w:rPr>
  </w:style>
  <w:style w:type="paragraph" w:customStyle="1" w:styleId="85">
    <w:name w:val="Char Char Char Char Char Char1 Char"/>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86">
    <w:name w:val="Char"/>
    <w:basedOn w:val="1"/>
    <w:qFormat/>
    <w:uiPriority w:val="0"/>
    <w:pPr>
      <w:tabs>
        <w:tab w:val="left" w:pos="360"/>
      </w:tabs>
      <w:ind w:left="252" w:hanging="252" w:hangingChars="140"/>
    </w:pPr>
    <w:rPr>
      <w:rFonts w:ascii="宋体"/>
      <w:sz w:val="18"/>
      <w:szCs w:val="18"/>
    </w:rPr>
  </w:style>
  <w:style w:type="paragraph" w:customStyle="1" w:styleId="87">
    <w:name w:val="样式 标题 2 + Times New Roman 四号 非加粗 段前: 5 磅 段后: 0 磅 行距: 固定值 20..."/>
    <w:basedOn w:val="4"/>
    <w:qFormat/>
    <w:uiPriority w:val="0"/>
    <w:pPr>
      <w:spacing w:line="400" w:lineRule="exact"/>
    </w:pPr>
    <w:rPr>
      <w:rFonts w:ascii="Times New Roman" w:hAnsi="Times New Roman" w:cs="宋体"/>
      <w:b w:val="0"/>
      <w:bCs w:val="0"/>
      <w:sz w:val="28"/>
      <w:szCs w:val="20"/>
    </w:rPr>
  </w:style>
  <w:style w:type="paragraph" w:customStyle="1" w:styleId="88">
    <w:name w:val="p18"/>
    <w:basedOn w:val="1"/>
    <w:qFormat/>
    <w:uiPriority w:val="0"/>
    <w:pPr>
      <w:spacing w:line="280" w:lineRule="atLeast"/>
      <w:ind w:left="420"/>
      <w:jc w:val="left"/>
    </w:pPr>
    <w:rPr>
      <w:rFonts w:hint="eastAsia" w:ascii="宋体" w:hAnsi="宋体" w:cs="宋体"/>
      <w:spacing w:val="20"/>
      <w:kern w:val="0"/>
      <w:szCs w:val="21"/>
    </w:rPr>
  </w:style>
  <w:style w:type="paragraph" w:customStyle="1" w:styleId="89">
    <w:name w:val="2ji"/>
    <w:basedOn w:val="4"/>
    <w:qFormat/>
    <w:uiPriority w:val="0"/>
    <w:pPr>
      <w:adjustRightInd w:val="0"/>
      <w:spacing w:line="360" w:lineRule="auto"/>
      <w:textAlignment w:val="baseline"/>
    </w:pPr>
    <w:rPr>
      <w:rFonts w:ascii="宋体" w:hAnsi="宋体" w:eastAsia="宋体"/>
      <w:kern w:val="0"/>
      <w:sz w:val="21"/>
      <w:szCs w:val="21"/>
    </w:rPr>
  </w:style>
  <w:style w:type="paragraph" w:customStyle="1" w:styleId="90">
    <w:name w:val="正文段"/>
    <w:basedOn w:val="1"/>
    <w:qFormat/>
    <w:uiPriority w:val="0"/>
    <w:pPr>
      <w:widowControl/>
      <w:snapToGrid w:val="0"/>
      <w:spacing w:afterLines="50"/>
      <w:ind w:firstLine="200" w:firstLineChars="200"/>
    </w:pPr>
    <w:rPr>
      <w:kern w:val="0"/>
      <w:sz w:val="24"/>
      <w:szCs w:val="20"/>
    </w:rPr>
  </w:style>
  <w:style w:type="paragraph" w:customStyle="1" w:styleId="9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1"/>
    <w:basedOn w:val="1"/>
    <w:next w:val="25"/>
    <w:qFormat/>
    <w:uiPriority w:val="0"/>
    <w:rPr>
      <w:rFonts w:ascii="宋体" w:hAnsi="Courier New"/>
      <w:szCs w:val="20"/>
    </w:rPr>
  </w:style>
  <w:style w:type="paragraph" w:customStyle="1" w:styleId="93">
    <w:name w:val="p16"/>
    <w:basedOn w:val="1"/>
    <w:qFormat/>
    <w:uiPriority w:val="0"/>
    <w:pPr>
      <w:spacing w:line="360" w:lineRule="auto"/>
      <w:ind w:left="142"/>
    </w:pPr>
    <w:rPr>
      <w:rFonts w:hint="eastAsia" w:ascii="宋体" w:hAnsi="宋体" w:cs="宋体"/>
      <w:b/>
      <w:smallCaps/>
      <w:color w:val="000000"/>
      <w:spacing w:val="20"/>
      <w:kern w:val="0"/>
      <w:sz w:val="24"/>
    </w:rPr>
  </w:style>
  <w:style w:type="paragraph" w:customStyle="1" w:styleId="94">
    <w:name w:val="Char Char Char"/>
    <w:basedOn w:val="1"/>
    <w:qFormat/>
    <w:uiPriority w:val="0"/>
    <w:rPr>
      <w:rFonts w:ascii="Tahoma" w:hAnsi="Tahoma"/>
      <w:sz w:val="24"/>
      <w:szCs w:val="20"/>
    </w:rPr>
  </w:style>
  <w:style w:type="paragraph" w:customStyle="1" w:styleId="95">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96">
    <w:name w:val="Char3"/>
    <w:basedOn w:val="1"/>
    <w:qFormat/>
    <w:uiPriority w:val="0"/>
    <w:pPr>
      <w:snapToGrid w:val="0"/>
      <w:jc w:val="center"/>
      <w:outlineLvl w:val="0"/>
    </w:pPr>
    <w:rPr>
      <w:rFonts w:ascii="宋体" w:hAnsi="宋体"/>
      <w:szCs w:val="21"/>
    </w:rPr>
  </w:style>
  <w:style w:type="paragraph" w:customStyle="1" w:styleId="97">
    <w:name w:val="444"/>
    <w:basedOn w:val="1"/>
    <w:qFormat/>
    <w:uiPriority w:val="0"/>
    <w:pPr>
      <w:adjustRightInd w:val="0"/>
      <w:spacing w:line="312" w:lineRule="atLeast"/>
      <w:jc w:val="center"/>
      <w:textAlignment w:val="baseline"/>
    </w:pPr>
    <w:rPr>
      <w:b/>
      <w:kern w:val="0"/>
      <w:sz w:val="36"/>
      <w:szCs w:val="36"/>
    </w:rPr>
  </w:style>
  <w:style w:type="paragraph" w:customStyle="1" w:styleId="98">
    <w:name w:val="Char Char Char Char Char Char Char1"/>
    <w:basedOn w:val="1"/>
    <w:qFormat/>
    <w:uiPriority w:val="0"/>
    <w:pPr>
      <w:widowControl/>
      <w:jc w:val="left"/>
    </w:pPr>
    <w:rPr>
      <w:rFonts w:ascii="Tahoma" w:hAnsi="Tahoma"/>
      <w:sz w:val="24"/>
    </w:rPr>
  </w:style>
  <w:style w:type="paragraph" w:customStyle="1" w:styleId="99">
    <w:name w:val="表格"/>
    <w:basedOn w:val="1"/>
    <w:qFormat/>
    <w:uiPriority w:val="0"/>
    <w:pPr>
      <w:spacing w:line="400" w:lineRule="exact"/>
    </w:pPr>
    <w:rPr>
      <w:sz w:val="24"/>
    </w:rPr>
  </w:style>
  <w:style w:type="paragraph" w:customStyle="1" w:styleId="100">
    <w:name w:val="xl26"/>
    <w:basedOn w:val="1"/>
    <w:qFormat/>
    <w:uiPriority w:val="0"/>
    <w:pPr>
      <w:widowControl/>
      <w:pBdr>
        <w:left w:val="single" w:color="auto" w:sz="4" w:space="0"/>
        <w:bottom w:val="single" w:color="auto" w:sz="4" w:space="0"/>
        <w:right w:val="single" w:color="auto" w:sz="4" w:space="0"/>
      </w:pBdr>
      <w:spacing w:beforeAutospacing="1" w:afterAutospacing="1"/>
    </w:pPr>
    <w:rPr>
      <w:kern w:val="0"/>
      <w:szCs w:val="21"/>
    </w:rPr>
  </w:style>
  <w:style w:type="paragraph" w:customStyle="1" w:styleId="101">
    <w:name w:val="正文首行缩进两字符"/>
    <w:basedOn w:val="1"/>
    <w:qFormat/>
    <w:uiPriority w:val="0"/>
    <w:pPr>
      <w:spacing w:line="360" w:lineRule="auto"/>
      <w:ind w:firstLine="200" w:firstLineChars="200"/>
    </w:pPr>
  </w:style>
  <w:style w:type="paragraph" w:customStyle="1" w:styleId="102">
    <w:name w:val="1ji"/>
    <w:basedOn w:val="3"/>
    <w:link w:val="133"/>
    <w:qFormat/>
    <w:uiPriority w:val="0"/>
    <w:pPr>
      <w:keepLines w:val="0"/>
      <w:widowControl/>
      <w:spacing w:line="240" w:lineRule="auto"/>
    </w:pPr>
    <w:rPr>
      <w:rFonts w:ascii="宋体" w:hAnsi="宋体"/>
      <w:sz w:val="36"/>
    </w:rPr>
  </w:style>
  <w:style w:type="paragraph" w:customStyle="1" w:styleId="103">
    <w:name w:val="图"/>
    <w:basedOn w:val="1"/>
    <w:qFormat/>
    <w:uiPriority w:val="0"/>
    <w:pPr>
      <w:keepNext/>
      <w:adjustRightInd w:val="0"/>
      <w:snapToGrid w:val="0"/>
      <w:spacing w:line="300" w:lineRule="auto"/>
      <w:jc w:val="center"/>
    </w:pPr>
    <w:rPr>
      <w:spacing w:val="20"/>
      <w:kern w:val="0"/>
      <w:sz w:val="24"/>
      <w:szCs w:val="20"/>
    </w:rPr>
  </w:style>
  <w:style w:type="paragraph" w:customStyle="1" w:styleId="104">
    <w:name w:val="2-2ji"/>
    <w:basedOn w:val="4"/>
    <w:qFormat/>
    <w:uiPriority w:val="0"/>
    <w:pPr>
      <w:adjustRightInd w:val="0"/>
      <w:spacing w:line="360" w:lineRule="auto"/>
      <w:jc w:val="center"/>
      <w:textAlignment w:val="baseline"/>
    </w:pPr>
    <w:rPr>
      <w:rFonts w:ascii="宋体" w:hAnsi="宋体" w:eastAsia="宋体"/>
      <w:bCs w:val="0"/>
      <w:kern w:val="0"/>
      <w:sz w:val="36"/>
    </w:rPr>
  </w:style>
  <w:style w:type="paragraph" w:customStyle="1" w:styleId="10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06">
    <w:name w:val="_Style 20"/>
    <w:basedOn w:val="16"/>
    <w:qFormat/>
    <w:uiPriority w:val="0"/>
    <w:rPr>
      <w:rFonts w:ascii="Tahoma" w:hAnsi="Tahoma"/>
      <w:sz w:val="24"/>
    </w:rPr>
  </w:style>
  <w:style w:type="character" w:customStyle="1" w:styleId="107">
    <w:name w:val="10"/>
    <w:qFormat/>
    <w:uiPriority w:val="0"/>
    <w:rPr>
      <w:rFonts w:hint="default" w:ascii="Times New Roman" w:hAnsi="Times New Roman" w:cs="Times New Roman"/>
      <w:sz w:val="24"/>
      <w:szCs w:val="24"/>
    </w:rPr>
  </w:style>
  <w:style w:type="character" w:customStyle="1" w:styleId="108">
    <w:name w:val="font11"/>
    <w:qFormat/>
    <w:uiPriority w:val="0"/>
    <w:rPr>
      <w:rFonts w:hint="eastAsia" w:ascii="宋体" w:hAnsi="宋体" w:eastAsia="宋体" w:cs="宋体"/>
      <w:color w:val="000000"/>
      <w:sz w:val="20"/>
      <w:szCs w:val="20"/>
    </w:rPr>
  </w:style>
  <w:style w:type="character" w:customStyle="1" w:styleId="109">
    <w:name w:val="text11"/>
    <w:qFormat/>
    <w:uiPriority w:val="0"/>
    <w:rPr>
      <w:rFonts w:hint="default" w:ascii="Verdana" w:hAnsi="Verdana"/>
      <w:color w:val="4E4E4E"/>
      <w:sz w:val="18"/>
      <w:szCs w:val="18"/>
    </w:rPr>
  </w:style>
  <w:style w:type="character" w:customStyle="1" w:styleId="110">
    <w:name w:val="页眉 Char Char"/>
    <w:qFormat/>
    <w:uiPriority w:val="0"/>
    <w:rPr>
      <w:rFonts w:ascii="Tahoma" w:hAnsi="Tahoma"/>
      <w:sz w:val="18"/>
      <w:szCs w:val="18"/>
    </w:rPr>
  </w:style>
  <w:style w:type="character" w:customStyle="1" w:styleId="111">
    <w:name w:val="正文文本 Char"/>
    <w:link w:val="20"/>
    <w:qFormat/>
    <w:uiPriority w:val="0"/>
    <w:rPr>
      <w:rFonts w:ascii="宋体" w:hAnsi="宋体"/>
      <w:color w:val="FF00FF"/>
      <w:kern w:val="2"/>
      <w:sz w:val="21"/>
      <w:szCs w:val="21"/>
    </w:rPr>
  </w:style>
  <w:style w:type="character" w:customStyle="1" w:styleId="112">
    <w:name w:val="graytext1"/>
    <w:qFormat/>
    <w:uiPriority w:val="0"/>
    <w:rPr>
      <w:rFonts w:ascii="Tahoma" w:hAnsi="Tahoma"/>
      <w:color w:val="666666"/>
      <w:sz w:val="24"/>
      <w:szCs w:val="24"/>
    </w:rPr>
  </w:style>
  <w:style w:type="character" w:customStyle="1" w:styleId="113">
    <w:name w:val="062"/>
    <w:qFormat/>
    <w:uiPriority w:val="0"/>
    <w:rPr>
      <w:rFonts w:ascii="宋体" w:hAnsi="宋体"/>
      <w:b/>
      <w:bCs/>
      <w:sz w:val="32"/>
      <w:szCs w:val="24"/>
    </w:rPr>
  </w:style>
  <w:style w:type="character" w:customStyle="1" w:styleId="114">
    <w:name w:val="纯文本 Char"/>
    <w:link w:val="25"/>
    <w:qFormat/>
    <w:uiPriority w:val="0"/>
    <w:rPr>
      <w:rFonts w:ascii="宋体" w:hAnsi="Courier New"/>
      <w:kern w:val="2"/>
      <w:sz w:val="21"/>
    </w:rPr>
  </w:style>
  <w:style w:type="character" w:customStyle="1" w:styleId="115">
    <w:name w:val="1051"/>
    <w:qFormat/>
    <w:uiPriority w:val="0"/>
    <w:rPr>
      <w:rFonts w:ascii="Tahoma" w:hAnsi="Tahoma"/>
      <w:sz w:val="21"/>
      <w:szCs w:val="21"/>
    </w:rPr>
  </w:style>
  <w:style w:type="character" w:customStyle="1" w:styleId="116">
    <w:name w:val="gray12"/>
    <w:basedOn w:val="50"/>
    <w:qFormat/>
    <w:uiPriority w:val="0"/>
  </w:style>
  <w:style w:type="character" w:customStyle="1" w:styleId="117">
    <w:name w:val="small"/>
    <w:basedOn w:val="50"/>
    <w:qFormat/>
    <w:uiPriority w:val="0"/>
  </w:style>
  <w:style w:type="character" w:customStyle="1" w:styleId="118">
    <w:name w:val="style81"/>
    <w:qFormat/>
    <w:uiPriority w:val="0"/>
    <w:rPr>
      <w:rFonts w:ascii="Tahoma" w:hAnsi="Tahoma"/>
      <w:sz w:val="21"/>
      <w:szCs w:val="21"/>
    </w:rPr>
  </w:style>
  <w:style w:type="character" w:customStyle="1" w:styleId="119">
    <w:name w:val="15"/>
    <w:qFormat/>
    <w:uiPriority w:val="0"/>
    <w:rPr>
      <w:rFonts w:hint="default" w:ascii="Times New Roman" w:hAnsi="Times New Roman" w:cs="Times New Roman"/>
      <w:sz w:val="24"/>
      <w:szCs w:val="24"/>
    </w:rPr>
  </w:style>
  <w:style w:type="character" w:customStyle="1" w:styleId="120">
    <w:name w:val="样式 Char"/>
    <w:link w:val="77"/>
    <w:qFormat/>
    <w:uiPriority w:val="0"/>
    <w:rPr>
      <w:rFonts w:ascii="宋体" w:hAnsi="宋体" w:cs="宋体"/>
      <w:sz w:val="24"/>
      <w:szCs w:val="24"/>
      <w:lang w:val="en-US" w:eastAsia="zh-CN" w:bidi="ar-SA"/>
    </w:rPr>
  </w:style>
  <w:style w:type="character" w:customStyle="1" w:styleId="121">
    <w:name w:val="日期 Char"/>
    <w:link w:val="26"/>
    <w:qFormat/>
    <w:uiPriority w:val="0"/>
    <w:rPr>
      <w:rFonts w:ascii="Tahoma" w:hAnsi="Tahoma" w:eastAsia="宋体"/>
      <w:spacing w:val="30"/>
      <w:kern w:val="2"/>
      <w:sz w:val="28"/>
      <w:szCs w:val="24"/>
      <w:lang w:val="en-US" w:eastAsia="zh-CN" w:bidi="ar-SA"/>
    </w:rPr>
  </w:style>
  <w:style w:type="character" w:customStyle="1" w:styleId="122">
    <w:name w:val="white"/>
    <w:basedOn w:val="50"/>
    <w:qFormat/>
    <w:uiPriority w:val="0"/>
  </w:style>
  <w:style w:type="character" w:customStyle="1" w:styleId="123">
    <w:name w:val="case31"/>
    <w:qFormat/>
    <w:uiPriority w:val="0"/>
    <w:rPr>
      <w:rFonts w:hint="default" w:ascii="_x000B__x000C_" w:hAnsi="_x000B__x000C_"/>
      <w:sz w:val="21"/>
      <w:szCs w:val="21"/>
    </w:rPr>
  </w:style>
  <w:style w:type="character" w:customStyle="1" w:styleId="124">
    <w:name w:val="mark"/>
    <w:basedOn w:val="50"/>
    <w:qFormat/>
    <w:uiPriority w:val="0"/>
  </w:style>
  <w:style w:type="character" w:customStyle="1" w:styleId="125">
    <w:name w:val="页脚 Char"/>
    <w:link w:val="29"/>
    <w:qFormat/>
    <w:uiPriority w:val="99"/>
    <w:rPr>
      <w:rFonts w:ascii="宋体" w:hAnsi="Courier New"/>
      <w:kern w:val="2"/>
      <w:sz w:val="18"/>
    </w:rPr>
  </w:style>
  <w:style w:type="character" w:customStyle="1" w:styleId="126">
    <w:name w:val="ca-21"/>
    <w:qFormat/>
    <w:uiPriority w:val="0"/>
    <w:rPr>
      <w:rFonts w:hint="eastAsia" w:ascii="宋体-18030" w:hAnsi="宋体-18030" w:eastAsia="宋体-18030" w:cs="宋体-18030"/>
      <w:sz w:val="24"/>
      <w:szCs w:val="24"/>
    </w:rPr>
  </w:style>
  <w:style w:type="character" w:customStyle="1" w:styleId="127">
    <w:name w:val="search_content1"/>
    <w:qFormat/>
    <w:uiPriority w:val="0"/>
    <w:rPr>
      <w:rFonts w:ascii="Tahoma" w:hAnsi="Tahoma"/>
      <w:sz w:val="20"/>
      <w:szCs w:val="20"/>
    </w:rPr>
  </w:style>
  <w:style w:type="character" w:customStyle="1" w:styleId="128">
    <w:name w:val="ca-11"/>
    <w:qFormat/>
    <w:uiPriority w:val="0"/>
    <w:rPr>
      <w:rFonts w:hint="eastAsia" w:ascii="宋体" w:hAnsi="宋体" w:eastAsia="宋体"/>
      <w:sz w:val="24"/>
      <w:szCs w:val="24"/>
    </w:rPr>
  </w:style>
  <w:style w:type="character" w:customStyle="1" w:styleId="129">
    <w:name w:val="纯文本 Char1"/>
    <w:qFormat/>
    <w:uiPriority w:val="0"/>
    <w:rPr>
      <w:rFonts w:ascii="宋体" w:hAnsi="Courier New" w:eastAsia="宋体"/>
      <w:kern w:val="2"/>
      <w:sz w:val="21"/>
      <w:szCs w:val="24"/>
      <w:lang w:val="en-US" w:eastAsia="zh-CN" w:bidi="ar-SA"/>
    </w:rPr>
  </w:style>
  <w:style w:type="character" w:customStyle="1" w:styleId="130">
    <w:name w:val="font01"/>
    <w:qFormat/>
    <w:uiPriority w:val="0"/>
    <w:rPr>
      <w:rFonts w:hint="default" w:ascii="Arial" w:hAnsi="Arial" w:cs="Arial"/>
      <w:color w:val="000000"/>
      <w:sz w:val="24"/>
      <w:szCs w:val="24"/>
      <w:u w:val="none"/>
    </w:rPr>
  </w:style>
  <w:style w:type="character" w:customStyle="1" w:styleId="131">
    <w:name w:val="页脚 Char Char"/>
    <w:qFormat/>
    <w:uiPriority w:val="0"/>
    <w:rPr>
      <w:rFonts w:ascii="Tahoma" w:hAnsi="Tahoma"/>
      <w:sz w:val="18"/>
      <w:szCs w:val="18"/>
    </w:rPr>
  </w:style>
  <w:style w:type="character" w:customStyle="1" w:styleId="132">
    <w:name w:val="style11"/>
    <w:qFormat/>
    <w:uiPriority w:val="0"/>
    <w:rPr>
      <w:rFonts w:hint="default" w:ascii="Arial" w:hAnsi="Arial" w:cs="Arial"/>
      <w:sz w:val="24"/>
      <w:szCs w:val="24"/>
    </w:rPr>
  </w:style>
  <w:style w:type="character" w:customStyle="1" w:styleId="133">
    <w:name w:val="1ji Char Char"/>
    <w:link w:val="102"/>
    <w:qFormat/>
    <w:uiPriority w:val="0"/>
    <w:rPr>
      <w:rFonts w:ascii="宋体" w:hAnsi="宋体" w:eastAsia="宋体"/>
      <w:b/>
      <w:bCs/>
      <w:kern w:val="44"/>
      <w:sz w:val="36"/>
      <w:szCs w:val="44"/>
      <w:lang w:val="en-US" w:eastAsia="zh-CN" w:bidi="ar-SA"/>
    </w:rPr>
  </w:style>
  <w:style w:type="character" w:customStyle="1" w:styleId="134">
    <w:name w:val="font21"/>
    <w:basedOn w:val="50"/>
    <w:qFormat/>
    <w:uiPriority w:val="0"/>
    <w:rPr>
      <w:rFonts w:hint="eastAsia" w:ascii="宋体" w:hAnsi="宋体" w:eastAsia="宋体"/>
      <w:color w:val="000000"/>
      <w:sz w:val="24"/>
      <w:szCs w:val="24"/>
      <w:u w:val="none"/>
    </w:rPr>
  </w:style>
  <w:style w:type="character" w:customStyle="1" w:styleId="135">
    <w:name w:val="批注框文本 Char Char"/>
    <w:qFormat/>
    <w:uiPriority w:val="0"/>
    <w:rPr>
      <w:rFonts w:ascii="Tahoma" w:hAnsi="Tahoma"/>
      <w:sz w:val="18"/>
      <w:szCs w:val="18"/>
    </w:rPr>
  </w:style>
  <w:style w:type="paragraph" w:customStyle="1" w:styleId="136">
    <w:name w:val="列出段落21"/>
    <w:basedOn w:val="1"/>
    <w:qFormat/>
    <w:uiPriority w:val="99"/>
    <w:pPr>
      <w:ind w:firstLine="420" w:firstLineChars="200"/>
    </w:pPr>
  </w:style>
  <w:style w:type="paragraph" w:customStyle="1" w:styleId="137">
    <w:name w:val="潘"/>
    <w:basedOn w:val="1"/>
    <w:qFormat/>
    <w:uiPriority w:val="0"/>
    <w:pPr>
      <w:spacing w:line="240" w:lineRule="atLeast"/>
    </w:pPr>
    <w:rPr>
      <w:rFonts w:ascii="Arial" w:hAnsi="Arial" w:cs="Arial"/>
      <w:b/>
      <w:bCs/>
      <w:szCs w:val="21"/>
    </w:rPr>
  </w:style>
  <w:style w:type="paragraph" w:styleId="138">
    <w:name w:val="List Paragraph"/>
    <w:basedOn w:val="1"/>
    <w:link w:val="145"/>
    <w:qFormat/>
    <w:uiPriority w:val="34"/>
    <w:pPr>
      <w:ind w:firstLine="420" w:firstLineChars="200"/>
    </w:pPr>
    <w:rPr>
      <w:rFonts w:ascii="Calibri" w:hAnsi="Calibri"/>
    </w:rPr>
  </w:style>
  <w:style w:type="paragraph" w:customStyle="1" w:styleId="139">
    <w:name w:val="正文(首行缩进)"/>
    <w:basedOn w:val="1"/>
    <w:qFormat/>
    <w:uiPriority w:val="0"/>
    <w:pPr>
      <w:spacing w:line="360" w:lineRule="auto"/>
      <w:ind w:firstLine="200"/>
    </w:pPr>
    <w:rPr>
      <w:rFonts w:ascii="Arial Narrow" w:hAnsi="Arial Narrow"/>
      <w:sz w:val="24"/>
    </w:rPr>
  </w:style>
  <w:style w:type="character" w:customStyle="1" w:styleId="140">
    <w:name w:val="批注文字 Char"/>
    <w:basedOn w:val="50"/>
    <w:link w:val="17"/>
    <w:qFormat/>
    <w:uiPriority w:val="99"/>
    <w:rPr>
      <w:rFonts w:ascii="Times New Roman" w:hAnsi="Times New Roman" w:eastAsia="宋体" w:cs="Times New Roman"/>
      <w:kern w:val="2"/>
      <w:sz w:val="21"/>
      <w:szCs w:val="24"/>
    </w:rPr>
  </w:style>
  <w:style w:type="character" w:customStyle="1" w:styleId="141">
    <w:name w:val="批注主题 Char"/>
    <w:basedOn w:val="140"/>
    <w:link w:val="44"/>
    <w:qFormat/>
    <w:uiPriority w:val="0"/>
    <w:rPr>
      <w:rFonts w:ascii="Times New Roman" w:hAnsi="Times New Roman" w:eastAsia="宋体" w:cs="Times New Roman"/>
      <w:b/>
      <w:bCs/>
      <w:kern w:val="2"/>
      <w:sz w:val="21"/>
      <w:szCs w:val="24"/>
    </w:rPr>
  </w:style>
  <w:style w:type="character" w:customStyle="1" w:styleId="142">
    <w:name w:val="纯文本 字符1"/>
    <w:qFormat/>
    <w:uiPriority w:val="0"/>
    <w:rPr>
      <w:rFonts w:ascii="宋体" w:hAnsi="Courier New" w:eastAsia="宋体"/>
    </w:rPr>
  </w:style>
  <w:style w:type="paragraph" w:customStyle="1" w:styleId="143">
    <w:name w:val="Table Paragraph"/>
    <w:basedOn w:val="1"/>
    <w:qFormat/>
    <w:uiPriority w:val="1"/>
    <w:rPr>
      <w:rFonts w:ascii="宋体" w:hAnsi="宋体" w:cs="宋体"/>
      <w:lang w:val="zh-CN" w:bidi="zh-CN"/>
    </w:rPr>
  </w:style>
  <w:style w:type="paragraph" w:customStyle="1" w:styleId="144">
    <w:name w:val="图片"/>
    <w:basedOn w:val="139"/>
    <w:qFormat/>
    <w:uiPriority w:val="0"/>
    <w:pPr>
      <w:ind w:right="21" w:rightChars="10" w:firstLine="480"/>
    </w:pPr>
    <w:rPr>
      <w:rFonts w:ascii="Times New Roman" w:hAnsi="Times New Roman"/>
    </w:rPr>
  </w:style>
  <w:style w:type="character" w:customStyle="1" w:styleId="145">
    <w:name w:val="列出段落 Char"/>
    <w:link w:val="138"/>
    <w:qFormat/>
    <w:locked/>
    <w:uiPriority w:val="34"/>
    <w:rPr>
      <w:rFonts w:ascii="Calibri" w:hAnsi="Calibri"/>
      <w:kern w:val="2"/>
      <w:sz w:val="21"/>
      <w:szCs w:val="24"/>
    </w:rPr>
  </w:style>
  <w:style w:type="character" w:customStyle="1" w:styleId="146">
    <w:name w:val="fontstyle01"/>
    <w:basedOn w:val="50"/>
    <w:qFormat/>
    <w:uiPriority w:val="0"/>
    <w:rPr>
      <w:rFonts w:hint="eastAsia" w:ascii="宋体" w:hAnsi="宋体" w:eastAsia="宋体"/>
      <w:color w:val="000000"/>
      <w:sz w:val="22"/>
      <w:szCs w:val="22"/>
    </w:rPr>
  </w:style>
  <w:style w:type="paragraph" w:customStyle="1" w:styleId="14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48">
    <w:name w:val="明显引用1"/>
    <w:basedOn w:val="1"/>
    <w:next w:val="1"/>
    <w:qFormat/>
    <w:uiPriority w:val="0"/>
    <w:pPr>
      <w:spacing w:line="360" w:lineRule="auto"/>
      <w:jc w:val="center"/>
    </w:pPr>
    <w:rPr>
      <w:rFonts w:ascii="宋体" w:hAnsi="华文细黑"/>
      <w:bCs/>
      <w:iCs/>
      <w:color w:val="000000"/>
    </w:rPr>
  </w:style>
  <w:style w:type="character" w:customStyle="1" w:styleId="149">
    <w:name w:val="标题 2 Char"/>
    <w:link w:val="4"/>
    <w:qFormat/>
    <w:uiPriority w:val="0"/>
    <w:rPr>
      <w:rFonts w:ascii="Arial" w:hAnsi="Arial" w:eastAsia="黑体"/>
      <w:b/>
      <w:bCs/>
      <w:sz w:val="32"/>
      <w:szCs w:val="32"/>
    </w:rPr>
  </w:style>
  <w:style w:type="paragraph" w:customStyle="1" w:styleId="150">
    <w:name w:val="WPSOffice手动目录 1"/>
    <w:qFormat/>
    <w:uiPriority w:val="0"/>
    <w:rPr>
      <w:rFonts w:ascii="Times New Roman" w:hAnsi="Times New Roman" w:eastAsia="宋体" w:cs="Times New Roman"/>
      <w:lang w:val="en-US" w:eastAsia="zh-CN" w:bidi="ar-SA"/>
    </w:rPr>
  </w:style>
  <w:style w:type="paragraph" w:customStyle="1" w:styleId="151">
    <w:name w:val="表格文字"/>
    <w:basedOn w:val="1"/>
    <w:qFormat/>
    <w:uiPriority w:val="99"/>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xp</Company>
  <Pages>39</Pages>
  <Words>3606</Words>
  <Characters>20559</Characters>
  <Lines>171</Lines>
  <Paragraphs>48</Paragraphs>
  <TotalTime>0</TotalTime>
  <ScaleCrop>false</ScaleCrop>
  <LinksUpToDate>false</LinksUpToDate>
  <CharactersWithSpaces>24117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2018-09-26T02:19:00Z</dcterms:created>
  <dc:creator>weimei ge</dc:creator>
  <cp:lastModifiedBy> 爱吃の芹菜菜"</cp:lastModifiedBy>
  <cp:lastPrinted>2018-10-21T09:37:00Z</cp:lastPrinted>
  <dcterms:modified xsi:type="dcterms:W3CDTF">2020-10-24T02:37:31Z</dcterms:modified>
  <dc:title>鑫磐</dc:title>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