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bCs/>
          <w:color w:val="auto"/>
          <w:sz w:val="84"/>
          <w:szCs w:val="84"/>
          <w:highlight w:val="none"/>
        </w:rPr>
      </w:pPr>
      <w:bookmarkStart w:id="1784" w:name="_GoBack"/>
      <w:bookmarkEnd w:id="1784"/>
      <w:r>
        <w:rPr>
          <w:color w:val="auto"/>
          <w:highlight w:val="none"/>
        </w:rPr>
        <w:drawing>
          <wp:anchor distT="0" distB="0" distL="114300" distR="114300" simplePos="0" relativeHeight="251659264" behindDoc="0" locked="0" layoutInCell="1" allowOverlap="1">
            <wp:simplePos x="0" y="0"/>
            <wp:positionH relativeFrom="column">
              <wp:posOffset>-311150</wp:posOffset>
            </wp:positionH>
            <wp:positionV relativeFrom="paragraph">
              <wp:posOffset>401955</wp:posOffset>
            </wp:positionV>
            <wp:extent cx="6496685" cy="8543925"/>
            <wp:effectExtent l="0" t="0" r="1841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496685" cy="8543925"/>
                    </a:xfrm>
                    <a:prstGeom prst="rect">
                      <a:avLst/>
                    </a:prstGeom>
                    <a:noFill/>
                    <a:ln>
                      <a:noFill/>
                    </a:ln>
                  </pic:spPr>
                </pic:pic>
              </a:graphicData>
            </a:graphic>
          </wp:anchor>
        </w:drawing>
      </w:r>
    </w:p>
    <w:p>
      <w:pPr>
        <w:rPr>
          <w:rFonts w:ascii="宋体" w:hAnsi="宋体" w:eastAsia="宋体" w:cs="宋体"/>
          <w:b/>
          <w:bCs/>
          <w:caps/>
          <w:color w:val="auto"/>
          <w:sz w:val="24"/>
          <w:szCs w:val="24"/>
          <w:highlight w:val="none"/>
        </w:rPr>
      </w:pPr>
    </w:p>
    <w:p>
      <w:pPr>
        <w:pStyle w:val="17"/>
        <w:rPr>
          <w:color w:val="auto"/>
          <w:highlight w:val="none"/>
        </w:rPr>
      </w:pPr>
    </w:p>
    <w:sdt>
      <w:sdtPr>
        <w:rPr>
          <w:color w:val="auto"/>
          <w:highlight w:val="none"/>
          <w:lang w:val="zh-CN"/>
        </w:rPr>
        <w:id w:val="6834326"/>
        <w:docPartObj>
          <w:docPartGallery w:val="Table of Contents"/>
          <w:docPartUnique/>
        </w:docPartObj>
      </w:sdtPr>
      <w:sdtEndPr>
        <w:rPr>
          <w:color w:val="auto"/>
          <w:highlight w:val="none"/>
          <w:lang w:val="en-US"/>
        </w:rPr>
      </w:sdtEndPr>
      <w:sdtContent>
        <w:p>
          <w:pPr>
            <w:widowControl/>
            <w:jc w:val="center"/>
            <w:rPr>
              <w:color w:val="auto"/>
              <w:sz w:val="44"/>
              <w:szCs w:val="44"/>
              <w:highlight w:val="none"/>
              <w:lang w:val="zh-CN"/>
            </w:rPr>
          </w:pPr>
          <w:r>
            <w:rPr>
              <w:color w:val="auto"/>
              <w:sz w:val="44"/>
              <w:szCs w:val="44"/>
              <w:highlight w:val="none"/>
              <w:lang w:val="zh-CN"/>
            </w:rPr>
            <w:t>目</w:t>
          </w:r>
          <w:r>
            <w:rPr>
              <w:rFonts w:hint="eastAsia"/>
              <w:color w:val="auto"/>
              <w:sz w:val="44"/>
              <w:szCs w:val="44"/>
              <w:highlight w:val="none"/>
              <w:lang w:val="zh-CN"/>
            </w:rPr>
            <w:t xml:space="preserve">  </w:t>
          </w:r>
          <w:r>
            <w:rPr>
              <w:color w:val="auto"/>
              <w:sz w:val="44"/>
              <w:szCs w:val="44"/>
              <w:highlight w:val="none"/>
              <w:lang w:val="zh-CN"/>
            </w:rPr>
            <w:t>录</w:t>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TOC \o "1-3" \h \z \u </w:instrText>
          </w:r>
          <w:r>
            <w:rPr>
              <w:rFonts w:asciiTheme="minorEastAsia" w:hAnsiTheme="minorEastAsia" w:eastAsia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"_Toc89333211"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第一章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竞争性磋商公告</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_Toc89333211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"_Toc89333212"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第二章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供应商单位须知及前附表</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_Toc89333212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"_Toc89333213"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供应商须知前附表</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_Toc89333213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Style w:val="54"/>
              <w:color w:val="auto"/>
              <w:highlight w:val="none"/>
            </w:rPr>
          </w:pPr>
          <w:r>
            <w:rPr>
              <w:color w:val="auto"/>
              <w:highlight w:val="none"/>
            </w:rPr>
            <w:fldChar w:fldCharType="begin"/>
          </w:r>
          <w:r>
            <w:rPr>
              <w:color w:val="auto"/>
              <w:highlight w:val="none"/>
            </w:rPr>
            <w:instrText xml:space="preserve"> HYPERLINK \l "_Toc89333214"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一</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总</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则</w:t>
          </w:r>
          <w:r>
            <w:rPr>
              <w:rStyle w:val="54"/>
              <w:color w:val="auto"/>
              <w:highlight w:val="none"/>
            </w:rPr>
            <w:tab/>
          </w:r>
          <w:r>
            <w:rPr>
              <w:rStyle w:val="54"/>
              <w:color w:val="auto"/>
              <w:highlight w:val="none"/>
            </w:rPr>
            <w:fldChar w:fldCharType="begin"/>
          </w:r>
          <w:r>
            <w:rPr>
              <w:rStyle w:val="54"/>
              <w:color w:val="auto"/>
              <w:highlight w:val="none"/>
            </w:rPr>
            <w:instrText xml:space="preserve"> PAGEREF _Toc89333214 \h </w:instrText>
          </w:r>
          <w:r>
            <w:rPr>
              <w:rStyle w:val="54"/>
              <w:color w:val="auto"/>
              <w:highlight w:val="none"/>
            </w:rPr>
            <w:fldChar w:fldCharType="separate"/>
          </w:r>
          <w:r>
            <w:rPr>
              <w:rStyle w:val="54"/>
              <w:color w:val="auto"/>
              <w:highlight w:val="none"/>
            </w:rPr>
            <w:t>10</w:t>
          </w:r>
          <w:r>
            <w:rPr>
              <w:rStyle w:val="54"/>
              <w:color w:val="auto"/>
              <w:highlight w:val="none"/>
            </w:rPr>
            <w:fldChar w:fldCharType="end"/>
          </w:r>
          <w:r>
            <w:rPr>
              <w:rStyle w:val="54"/>
              <w:color w:val="auto"/>
              <w:highlight w:val="none"/>
            </w:rPr>
            <w:fldChar w:fldCharType="end"/>
          </w:r>
        </w:p>
        <w:p>
          <w:pPr>
            <w:pStyle w:val="30"/>
            <w:spacing w:line="480" w:lineRule="auto"/>
            <w:ind w:leftChars="257" w:firstLine="413" w:firstLineChars="196"/>
            <w:rPr>
              <w:rStyle w:val="54"/>
              <w:color w:val="auto"/>
              <w:highlight w:val="none"/>
            </w:rPr>
          </w:pPr>
          <w:r>
            <w:rPr>
              <w:color w:val="auto"/>
              <w:highlight w:val="none"/>
            </w:rPr>
            <w:fldChar w:fldCharType="begin"/>
          </w:r>
          <w:r>
            <w:rPr>
              <w:color w:val="auto"/>
              <w:highlight w:val="none"/>
            </w:rPr>
            <w:instrText xml:space="preserve"> HYPERLINK \l "_Toc89333220"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二</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竞争性磋商文件（简称磋商文件或采购文件）</w:t>
          </w:r>
          <w:r>
            <w:rPr>
              <w:rStyle w:val="54"/>
              <w:color w:val="auto"/>
              <w:highlight w:val="none"/>
            </w:rPr>
            <w:tab/>
          </w:r>
          <w:r>
            <w:rPr>
              <w:rStyle w:val="54"/>
              <w:color w:val="auto"/>
              <w:highlight w:val="none"/>
            </w:rPr>
            <w:fldChar w:fldCharType="begin"/>
          </w:r>
          <w:r>
            <w:rPr>
              <w:rStyle w:val="54"/>
              <w:color w:val="auto"/>
              <w:highlight w:val="none"/>
            </w:rPr>
            <w:instrText xml:space="preserve"> PAGEREF _Toc89333220 \h </w:instrText>
          </w:r>
          <w:r>
            <w:rPr>
              <w:rStyle w:val="54"/>
              <w:color w:val="auto"/>
              <w:highlight w:val="none"/>
            </w:rPr>
            <w:fldChar w:fldCharType="separate"/>
          </w:r>
          <w:r>
            <w:rPr>
              <w:rStyle w:val="54"/>
              <w:color w:val="auto"/>
              <w:highlight w:val="none"/>
            </w:rPr>
            <w:t>12</w:t>
          </w:r>
          <w:r>
            <w:rPr>
              <w:rStyle w:val="54"/>
              <w:color w:val="auto"/>
              <w:highlight w:val="none"/>
            </w:rPr>
            <w:fldChar w:fldCharType="end"/>
          </w:r>
          <w:r>
            <w:rPr>
              <w:rStyle w:val="54"/>
              <w:color w:val="auto"/>
              <w:highlight w:val="none"/>
            </w:rPr>
            <w:fldChar w:fldCharType="end"/>
          </w:r>
        </w:p>
        <w:p>
          <w:pPr>
            <w:pStyle w:val="30"/>
            <w:spacing w:line="480" w:lineRule="auto"/>
            <w:ind w:leftChars="257" w:firstLine="413" w:firstLineChars="196"/>
            <w:rPr>
              <w:rStyle w:val="54"/>
              <w:color w:val="auto"/>
              <w:highlight w:val="none"/>
            </w:rPr>
          </w:pPr>
          <w:r>
            <w:rPr>
              <w:color w:val="auto"/>
              <w:highlight w:val="none"/>
            </w:rPr>
            <w:fldChar w:fldCharType="begin"/>
          </w:r>
          <w:r>
            <w:rPr>
              <w:color w:val="auto"/>
              <w:highlight w:val="none"/>
            </w:rPr>
            <w:instrText xml:space="preserve"> HYPERLINK \l "_Toc89333223"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三</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响应文件的编制</w:t>
          </w:r>
          <w:r>
            <w:rPr>
              <w:rStyle w:val="54"/>
              <w:color w:val="auto"/>
              <w:highlight w:val="none"/>
            </w:rPr>
            <w:tab/>
          </w:r>
          <w:r>
            <w:rPr>
              <w:rStyle w:val="54"/>
              <w:color w:val="auto"/>
              <w:highlight w:val="none"/>
            </w:rPr>
            <w:fldChar w:fldCharType="begin"/>
          </w:r>
          <w:r>
            <w:rPr>
              <w:rStyle w:val="54"/>
              <w:color w:val="auto"/>
              <w:highlight w:val="none"/>
            </w:rPr>
            <w:instrText xml:space="preserve"> PAGEREF _Toc89333223 \h </w:instrText>
          </w:r>
          <w:r>
            <w:rPr>
              <w:rStyle w:val="54"/>
              <w:color w:val="auto"/>
              <w:highlight w:val="none"/>
            </w:rPr>
            <w:fldChar w:fldCharType="separate"/>
          </w:r>
          <w:r>
            <w:rPr>
              <w:rStyle w:val="54"/>
              <w:color w:val="auto"/>
              <w:highlight w:val="none"/>
            </w:rPr>
            <w:t>13</w:t>
          </w:r>
          <w:r>
            <w:rPr>
              <w:rStyle w:val="54"/>
              <w:color w:val="auto"/>
              <w:highlight w:val="none"/>
            </w:rPr>
            <w:fldChar w:fldCharType="end"/>
          </w:r>
          <w:r>
            <w:rPr>
              <w:rStyle w:val="54"/>
              <w:color w:val="auto"/>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"_Toc89333232"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四</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响应文件的递交</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_Toc89333232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18</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"_Toc89333236"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五</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竞争性磋商（简称磋商）与评审</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_Toc89333236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"_Toc89333239"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六</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确定成交供应商</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_Toc89333239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24</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"_Toc89333241"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七</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成交公告</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_Toc89333241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24</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"_Toc89333243"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八</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签订合同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_Toc89333243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24</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Chars="257" w:firstLine="413" w:firstLineChars="196"/>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"_Toc89333246"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九</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其他事项</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_Toc89333246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25</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"_Toc89333250"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第三章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项目内容及要求</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_Toc89333250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26</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"_Toc89333251"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第四章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工程量清单（另册）</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_Toc89333251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27</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"_Toc89333252"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第五章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采购合同（格式）</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_Toc89333252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28</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"_Toc89333344"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第六章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评标办法</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_Toc89333344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pStyle w:val="30"/>
            <w:spacing w:line="480" w:lineRule="auto"/>
            <w:ind w:left="539"/>
            <w:rPr>
              <w:rFonts w:asciiTheme="minorEastAsia" w:hAnsiTheme="minorEastAsia" w:eastAsiaTheme="minorEastAsia"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"_Toc89333345" </w:instrText>
          </w:r>
          <w:r>
            <w:rPr>
              <w:color w:val="auto"/>
              <w:highlight w:val="none"/>
            </w:rPr>
            <w:fldChar w:fldCharType="separate"/>
          </w:r>
          <w:r>
            <w:rPr>
              <w:rStyle w:val="54"/>
              <w:rFonts w:hint="eastAsia" w:asciiTheme="minorEastAsia" w:hAnsiTheme="minorEastAsia" w:eastAsiaTheme="minorEastAsia"/>
              <w:color w:val="auto"/>
              <w:sz w:val="24"/>
              <w:szCs w:val="24"/>
              <w:highlight w:val="none"/>
            </w:rPr>
            <w:t>第七章</w:t>
          </w:r>
          <w:r>
            <w:rPr>
              <w:rStyle w:val="54"/>
              <w:rFonts w:asciiTheme="minorEastAsia" w:hAnsiTheme="minorEastAsia" w:eastAsiaTheme="minorEastAsia"/>
              <w:color w:val="auto"/>
              <w:sz w:val="24"/>
              <w:szCs w:val="24"/>
              <w:highlight w:val="none"/>
            </w:rPr>
            <w:t xml:space="preserve">   </w:t>
          </w:r>
          <w:r>
            <w:rPr>
              <w:rStyle w:val="54"/>
              <w:rFonts w:hint="eastAsia" w:asciiTheme="minorEastAsia" w:hAnsiTheme="minorEastAsia" w:eastAsiaTheme="minorEastAsia"/>
              <w:color w:val="auto"/>
              <w:sz w:val="24"/>
              <w:szCs w:val="24"/>
              <w:highlight w:val="none"/>
            </w:rPr>
            <w:t>响应文件（格式）</w:t>
          </w:r>
          <w:r>
            <w:rPr>
              <w:rFonts w:asciiTheme="minorEastAsia" w:hAnsiTheme="minorEastAsia" w:eastAsiaTheme="minorEastAsia"/>
              <w:color w:val="auto"/>
              <w:sz w:val="24"/>
              <w:szCs w:val="24"/>
              <w:highlight w:val="none"/>
            </w:rPr>
            <w:tab/>
          </w: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PAGEREF _Toc89333345 \h </w:instrText>
          </w:r>
          <w:r>
            <w:rPr>
              <w:rFonts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68</w:t>
          </w:r>
          <w:r>
            <w:rPr>
              <w:rFonts w:asciiTheme="minorEastAsia" w:hAnsiTheme="minorEastAsia" w:eastAsiaTheme="minorEastAsia"/>
              <w:color w:val="auto"/>
              <w:sz w:val="24"/>
              <w:szCs w:val="24"/>
              <w:highlight w:val="none"/>
            </w:rPr>
            <w:fldChar w:fldCharType="end"/>
          </w:r>
          <w:r>
            <w:rPr>
              <w:rFonts w:asciiTheme="minorEastAsia" w:hAnsiTheme="minorEastAsia" w:eastAsiaTheme="minorEastAsia"/>
              <w:color w:val="auto"/>
              <w:sz w:val="24"/>
              <w:szCs w:val="24"/>
              <w:highlight w:val="none"/>
            </w:rPr>
            <w:fldChar w:fldCharType="end"/>
          </w:r>
        </w:p>
        <w:p>
          <w:pPr>
            <w:spacing w:line="480" w:lineRule="auto"/>
            <w:rPr>
              <w:color w:val="auto"/>
              <w:highlight w:val="none"/>
            </w:rPr>
          </w:pPr>
          <w:r>
            <w:rPr>
              <w:rFonts w:asciiTheme="minorEastAsia" w:hAnsiTheme="minorEastAsia"/>
              <w:color w:val="auto"/>
              <w:sz w:val="24"/>
              <w:szCs w:val="24"/>
              <w:highlight w:val="none"/>
            </w:rPr>
            <w:fldChar w:fldCharType="end"/>
          </w:r>
        </w:p>
      </w:sdtContent>
    </w:sdt>
    <w:p>
      <w:pPr>
        <w:tabs>
          <w:tab w:val="right" w:leader="dot" w:pos="8820"/>
        </w:tabs>
        <w:jc w:val="center"/>
        <w:rPr>
          <w:rFonts w:ascii="宋体" w:hAnsi="宋体" w:eastAsia="宋体" w:cs="宋体"/>
          <w:b/>
          <w:bCs/>
          <w:caps/>
          <w:color w:val="auto"/>
          <w:sz w:val="44"/>
          <w:szCs w:val="44"/>
          <w:highlight w:val="none"/>
        </w:rPr>
      </w:pPr>
    </w:p>
    <w:p>
      <w:pPr>
        <w:rPr>
          <w:rFonts w:ascii="宋体" w:hAnsi="宋体" w:eastAsia="宋体" w:cs="宋体"/>
          <w:color w:val="auto"/>
          <w:szCs w:val="24"/>
          <w:highlight w:val="none"/>
        </w:rPr>
      </w:pPr>
    </w:p>
    <w:p>
      <w:pPr>
        <w:widowControl/>
        <w:jc w:val="left"/>
        <w:rPr>
          <w:rFonts w:ascii="Times New Roman" w:hAnsi="Times New Roman" w:eastAsia="宋体" w:cs="宋体"/>
          <w:color w:val="auto"/>
          <w:sz w:val="28"/>
          <w:szCs w:val="28"/>
          <w:highlight w:val="none"/>
        </w:rPr>
      </w:pPr>
      <w:r>
        <w:rPr>
          <w:rFonts w:ascii="Times New Roman" w:hAnsi="Times New Roman" w:eastAsia="宋体" w:cs="宋体"/>
          <w:color w:val="auto"/>
          <w:sz w:val="28"/>
          <w:szCs w:val="28"/>
          <w:highlight w:val="none"/>
        </w:rPr>
        <w:br w:type="page"/>
      </w:r>
    </w:p>
    <w:p>
      <w:pPr>
        <w:keepNext/>
        <w:spacing w:line="560" w:lineRule="exact"/>
        <w:jc w:val="center"/>
        <w:outlineLvl w:val="0"/>
        <w:rPr>
          <w:rFonts w:ascii="方正隶书简体" w:hAnsi="宋体" w:eastAsia="方正隶书简体" w:cs="Times New Roman"/>
          <w:b/>
          <w:bCs/>
          <w:color w:val="auto"/>
          <w:sz w:val="36"/>
          <w:szCs w:val="36"/>
          <w:highlight w:val="none"/>
        </w:rPr>
      </w:pPr>
      <w:bookmarkStart w:id="0" w:name="_Toc88065547"/>
      <w:bookmarkStart w:id="1" w:name="_Toc89333211"/>
      <w:r>
        <w:rPr>
          <w:rFonts w:hint="eastAsia" w:ascii="方正隶书简体" w:hAnsi="宋体" w:eastAsia="方正隶书简体" w:cs="Times New Roman"/>
          <w:b/>
          <w:bCs/>
          <w:color w:val="auto"/>
          <w:sz w:val="36"/>
          <w:szCs w:val="36"/>
          <w:highlight w:val="none"/>
        </w:rPr>
        <w:t>第一章   竞争性磋商公告</w:t>
      </w:r>
      <w:bookmarkEnd w:id="0"/>
      <w:bookmarkEnd w:id="1"/>
    </w:p>
    <w:p>
      <w:pPr>
        <w:jc w:val="center"/>
        <w:rPr>
          <w:rFonts w:ascii="宋体" w:hAnsi="宋体" w:eastAsia="宋体" w:cs="Times New Roman"/>
          <w:b/>
          <w:bCs/>
          <w:color w:val="auto"/>
          <w:sz w:val="30"/>
          <w:szCs w:val="30"/>
          <w:highlight w:val="none"/>
        </w:rPr>
      </w:pPr>
      <w:r>
        <w:rPr>
          <w:rFonts w:hint="eastAsia" w:ascii="宋体" w:hAnsi="宋体" w:eastAsia="宋体" w:cs="宋体"/>
          <w:b/>
          <w:color w:val="auto"/>
          <w:sz w:val="30"/>
          <w:szCs w:val="30"/>
          <w:highlight w:val="none"/>
        </w:rPr>
        <w:t xml:space="preserve">  广西宏腾招标代理有限公司</w:t>
      </w:r>
    </w:p>
    <w:p>
      <w:pPr>
        <w:jc w:val="center"/>
        <w:rPr>
          <w:rFonts w:hint="eastAsia" w:ascii="宋体" w:hAnsi="宋体" w:eastAsia="宋体" w:cs="Times New Roman"/>
          <w:b/>
          <w:color w:val="auto"/>
          <w:sz w:val="30"/>
          <w:szCs w:val="30"/>
          <w:highlight w:val="none"/>
          <w:lang w:eastAsia="zh-CN"/>
        </w:rPr>
      </w:pPr>
      <w:r>
        <w:rPr>
          <w:rFonts w:hint="eastAsia" w:ascii="宋体" w:hAnsi="宋体" w:eastAsia="宋体" w:cs="Times New Roman"/>
          <w:b/>
          <w:color w:val="auto"/>
          <w:sz w:val="30"/>
          <w:szCs w:val="30"/>
          <w:highlight w:val="none"/>
          <w:lang w:val="en-US" w:eastAsia="zh-CN"/>
        </w:rPr>
        <w:t>关于</w:t>
      </w:r>
      <w:r>
        <w:rPr>
          <w:rFonts w:hint="eastAsia" w:ascii="宋体" w:hAnsi="宋体" w:eastAsia="宋体" w:cs="Times New Roman"/>
          <w:b/>
          <w:color w:val="auto"/>
          <w:sz w:val="30"/>
          <w:szCs w:val="30"/>
          <w:highlight w:val="none"/>
          <w:lang w:eastAsia="zh-CN"/>
        </w:rPr>
        <w:t>北流市六靖镇茶山村沉香产业示范带危桥拆除重建工程</w:t>
      </w:r>
    </w:p>
    <w:p>
      <w:pPr>
        <w:jc w:val="center"/>
        <w:rPr>
          <w:rFonts w:ascii="宋体" w:hAnsi="宋体" w:eastAsia="宋体" w:cs="Times New Roman"/>
          <w:color w:val="auto"/>
          <w:spacing w:val="-2"/>
          <w:szCs w:val="21"/>
          <w:highlight w:val="none"/>
        </w:rPr>
      </w:pPr>
      <w:r>
        <w:rPr>
          <w:rFonts w:hint="eastAsia" w:ascii="宋体" w:hAnsi="宋体" w:eastAsia="宋体" w:cs="Times New Roman"/>
          <w:b/>
          <w:color w:val="auto"/>
          <w:sz w:val="30"/>
          <w:szCs w:val="30"/>
          <w:highlight w:val="none"/>
        </w:rPr>
        <w:t xml:space="preserve">（项目编号: </w:t>
      </w:r>
      <w:r>
        <w:rPr>
          <w:rFonts w:hint="eastAsia" w:ascii="宋体" w:hAnsi="宋体" w:eastAsia="宋体" w:cs="Times New Roman"/>
          <w:b/>
          <w:color w:val="auto"/>
          <w:sz w:val="30"/>
          <w:szCs w:val="30"/>
          <w:highlight w:val="none"/>
          <w:lang w:eastAsia="zh-CN"/>
        </w:rPr>
        <w:t>YLZC2023-C2-82170-HTZB</w:t>
      </w:r>
      <w:r>
        <w:rPr>
          <w:rFonts w:hint="eastAsia" w:ascii="宋体" w:hAnsi="宋体" w:eastAsia="宋体" w:cs="Times New Roman"/>
          <w:b/>
          <w:color w:val="auto"/>
          <w:sz w:val="30"/>
          <w:szCs w:val="30"/>
          <w:highlight w:val="none"/>
        </w:rPr>
        <w:t>）竞争性磋商公告</w:t>
      </w:r>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北流市六靖镇茶山村沉香产业示范带危桥拆除重建工程</w:t>
      </w:r>
      <w:r>
        <w:rPr>
          <w:rFonts w:hint="eastAsia" w:ascii="宋体" w:hAnsi="宋体" w:eastAsia="宋体" w:cs="宋体"/>
          <w:color w:val="auto"/>
          <w:sz w:val="24"/>
          <w:szCs w:val="24"/>
          <w:highlight w:val="none"/>
        </w:rPr>
        <w:t>项目的潜在供应商应在政采云平台（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文件，并于 </w:t>
      </w:r>
      <w:r>
        <w:rPr>
          <w:rFonts w:hint="eastAsia" w:ascii="宋体" w:hAnsi="宋体" w:eastAsia="宋体" w:cs="宋体"/>
          <w:color w:val="auto"/>
          <w:sz w:val="24"/>
          <w:szCs w:val="24"/>
          <w:highlight w:val="none"/>
          <w:lang w:eastAsia="zh-CN"/>
        </w:rPr>
        <w:t xml:space="preserve">2023年8月11日 </w:t>
      </w:r>
      <w:r>
        <w:rPr>
          <w:rFonts w:hint="eastAsia" w:ascii="宋体" w:hAnsi="宋体" w:eastAsia="宋体" w:cs="宋体"/>
          <w:color w:val="auto"/>
          <w:sz w:val="24"/>
          <w:szCs w:val="24"/>
          <w:highlight w:val="none"/>
          <w:lang w:val="en-US" w:eastAsia="zh-CN"/>
        </w:rPr>
        <w:t>09时00分</w:t>
      </w:r>
      <w:r>
        <w:rPr>
          <w:rFonts w:hint="eastAsia" w:ascii="宋体" w:hAnsi="宋体" w:eastAsia="宋体" w:cs="宋体"/>
          <w:color w:val="auto"/>
          <w:sz w:val="24"/>
          <w:szCs w:val="24"/>
          <w:highlight w:val="none"/>
        </w:rPr>
        <w:t>（北京时间）前提交响应文件。             </w:t>
      </w:r>
    </w:p>
    <w:p>
      <w:pPr>
        <w:spacing w:line="360" w:lineRule="exact"/>
        <w:rPr>
          <w:rFonts w:ascii="宋体" w:hAnsi="宋体" w:eastAsia="宋体" w:cs="宋体"/>
          <w:b/>
          <w:bCs/>
          <w:color w:val="auto"/>
          <w:sz w:val="24"/>
          <w:szCs w:val="24"/>
          <w:highlight w:val="none"/>
        </w:rPr>
      </w:pPr>
      <w:bookmarkStart w:id="2" w:name="_Toc35393798"/>
      <w:bookmarkStart w:id="3" w:name="_Toc28359089"/>
      <w:bookmarkStart w:id="4" w:name="_Toc35393629"/>
      <w:bookmarkStart w:id="5" w:name="_Toc28359012"/>
      <w:r>
        <w:rPr>
          <w:rFonts w:hint="eastAsia" w:ascii="宋体" w:hAnsi="宋体" w:eastAsia="宋体" w:cs="宋体"/>
          <w:b/>
          <w:bCs/>
          <w:color w:val="auto"/>
          <w:sz w:val="24"/>
          <w:szCs w:val="24"/>
          <w:highlight w:val="none"/>
        </w:rPr>
        <w:t>一、项目基本情况</w:t>
      </w:r>
      <w:bookmarkEnd w:id="2"/>
      <w:bookmarkEnd w:id="3"/>
      <w:bookmarkEnd w:id="4"/>
      <w:bookmarkEnd w:id="5"/>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YLZC2023-C2-82170-HTZB</w:t>
      </w:r>
    </w:p>
    <w:p>
      <w:pPr>
        <w:spacing w:line="36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北流市六靖镇茶山村沉香产业示范带危桥拆除重建工程</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spacing w:line="360" w:lineRule="exact"/>
        <w:ind w:firstLine="480" w:firstLineChars="200"/>
        <w:rPr>
          <w:rFonts w:hint="default"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金额（元）：</w:t>
      </w:r>
      <w:r>
        <w:rPr>
          <w:rFonts w:hint="default" w:ascii="宋体" w:hAnsi="宋体" w:eastAsia="宋体" w:cs="宋体"/>
          <w:b/>
          <w:bCs/>
          <w:color w:val="auto"/>
          <w:sz w:val="24"/>
          <w:szCs w:val="24"/>
          <w:highlight w:val="none"/>
          <w:lang w:eastAsia="zh-CN"/>
        </w:rPr>
        <w:t>700089.68</w:t>
      </w:r>
    </w:p>
    <w:p>
      <w:pPr>
        <w:pStyle w:val="17"/>
        <w:rPr>
          <w:rFonts w:hint="default"/>
          <w:color w:val="auto"/>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采购需求：</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标项名称：北流市六靖镇茶山村沉香产业示范带危桥拆除重建工程</w:t>
      </w:r>
    </w:p>
    <w:p>
      <w:pPr>
        <w:spacing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w:t>
      </w:r>
    </w:p>
    <w:p>
      <w:pPr>
        <w:spacing w:line="360" w:lineRule="exact"/>
        <w:ind w:firstLine="480" w:firstLineChars="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default" w:ascii="宋体" w:hAnsi="宋体" w:eastAsia="宋体" w:cs="宋体"/>
          <w:b/>
          <w:bCs/>
          <w:color w:val="auto"/>
          <w:sz w:val="24"/>
          <w:szCs w:val="24"/>
          <w:highlight w:val="none"/>
          <w:lang w:eastAsia="zh-CN"/>
        </w:rPr>
        <w:t>700089.68</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eastAsia="zh-CN"/>
        </w:rPr>
        <w:t>北流市六靖镇茶山村沉香产业示范带危桥拆除重建工程，主要建设内容包括：拆除旧桥,并新建桥梁。附带建设15cm厚级配碎石底基层，20cm厚水泥混凝土面层，新建挡土墙一16m长、2.4m高，新建挡土墙二111m长、3m高，大理石护栏24m，新建涵洞总长8m等。</w:t>
      </w:r>
      <w:r>
        <w:rPr>
          <w:rFonts w:hint="eastAsia" w:ascii="宋体" w:hAnsi="宋体" w:eastAsia="宋体" w:cs="宋体"/>
          <w:color w:val="auto"/>
          <w:sz w:val="24"/>
          <w:szCs w:val="24"/>
          <w:highlight w:val="none"/>
        </w:rPr>
        <w:t>如需进一步了解详细内容，详见竞争性磋商文件、工程量清单和工程建设相关资料。</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lang w:val="en-US" w:eastAsia="zh-CN"/>
        </w:rPr>
        <w:t>75日历天</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pPr>
        <w:spacing w:line="3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备注：</w:t>
      </w:r>
      <w:bookmarkStart w:id="6" w:name="_Toc35393630"/>
      <w:bookmarkStart w:id="7" w:name="_Toc35393799"/>
      <w:bookmarkStart w:id="8" w:name="_Toc28359013"/>
      <w:bookmarkStart w:id="9" w:name="_Toc28359090"/>
    </w:p>
    <w:p>
      <w:pPr>
        <w:spacing w:line="36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6"/>
      <w:bookmarkEnd w:id="7"/>
      <w:bookmarkEnd w:id="8"/>
      <w:bookmarkEnd w:id="9"/>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2.落实政府采购政策需满足的资格要求：本项目属于专门面向中小企业采购的项目,供应商应为中小微企业</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监狱企业</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残疾人福利性单位。</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供应商具备</w:t>
      </w:r>
      <w:r>
        <w:rPr>
          <w:rFonts w:hint="eastAsia" w:ascii="宋体" w:hAnsi="宋体" w:eastAsia="宋体" w:cs="宋体"/>
          <w:color w:val="auto"/>
          <w:sz w:val="24"/>
          <w:szCs w:val="24"/>
          <w:highlight w:val="none"/>
          <w:lang w:eastAsia="zh-CN"/>
        </w:rPr>
        <w:t>市政公用工程施工总承包叁级以上（含叁级）资质</w:t>
      </w:r>
      <w:r>
        <w:rPr>
          <w:rFonts w:hint="eastAsia" w:ascii="宋体" w:hAnsi="宋体" w:eastAsia="宋体" w:cs="宋体"/>
          <w:color w:val="auto"/>
          <w:sz w:val="24"/>
          <w:szCs w:val="24"/>
          <w:highlight w:val="none"/>
        </w:rPr>
        <w:t>，具有有效的安全生产许可证，并在人员、设备、资金等方面具备相应的履约能力。</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拟派驻本工程的项目经理必须具备市政公用工程贰级以上（含贰级）注册建造师执业资格及有效的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pPr>
        <w:widowControl/>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时间: </w:t>
      </w:r>
      <w:r>
        <w:rPr>
          <w:rFonts w:hint="eastAsia" w:ascii="宋体" w:hAnsi="宋体" w:eastAsia="宋体" w:cs="宋体"/>
          <w:color w:val="auto"/>
          <w:kern w:val="0"/>
          <w:sz w:val="24"/>
          <w:szCs w:val="24"/>
          <w:highlight w:val="none"/>
          <w:lang w:eastAsia="zh-CN"/>
        </w:rPr>
        <w:t>2023年</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lang w:eastAsia="zh-CN"/>
        </w:rPr>
        <w:t>日至2023年8月</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，每天上午08:00至12:00，下午15:00 至 18:00（北京时间，法定节假日除外）</w:t>
      </w:r>
    </w:p>
    <w:p>
      <w:pPr>
        <w:widowControl/>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地点（网址）：“政采云”平台（https://www.zcygov.cn）。 </w:t>
      </w:r>
    </w:p>
    <w:p>
      <w:pPr>
        <w:widowControl/>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方式：供应商登录政采云平台https://www.zcygov.cn/在线申请获取采购文件（进入“项目采购”应用，在获取采购文件菜单中选择项目，申请获取采购文件）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w:t>
      </w:r>
    </w:p>
    <w:p>
      <w:pPr>
        <w:widowControl/>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售价（元）：0 </w:t>
      </w:r>
    </w:p>
    <w:p>
      <w:pPr>
        <w:spacing w:line="36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四、响应文件提交</w:t>
      </w:r>
    </w:p>
    <w:p>
      <w:pPr>
        <w:widowControl/>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截止时间：</w:t>
      </w:r>
      <w:r>
        <w:rPr>
          <w:rFonts w:hint="eastAsia" w:ascii="宋体" w:hAnsi="宋体" w:eastAsia="宋体" w:cs="宋体"/>
          <w:color w:val="auto"/>
          <w:kern w:val="0"/>
          <w:sz w:val="24"/>
          <w:szCs w:val="24"/>
          <w:highlight w:val="none"/>
          <w:lang w:eastAsia="zh-CN"/>
        </w:rPr>
        <w:t xml:space="preserve">2023年8月11日 </w:t>
      </w:r>
      <w:r>
        <w:rPr>
          <w:rFonts w:hint="eastAsia" w:ascii="宋体" w:hAnsi="宋体" w:eastAsia="宋体" w:cs="宋体"/>
          <w:color w:val="auto"/>
          <w:kern w:val="0"/>
          <w:sz w:val="24"/>
          <w:szCs w:val="24"/>
          <w:highlight w:val="none"/>
          <w:lang w:val="en-US" w:eastAsia="zh-CN"/>
        </w:rPr>
        <w:t>09时00分</w:t>
      </w:r>
      <w:r>
        <w:rPr>
          <w:rFonts w:hint="eastAsia" w:ascii="宋体" w:hAnsi="宋体" w:eastAsia="宋体" w:cs="宋体"/>
          <w:color w:val="auto"/>
          <w:kern w:val="0"/>
          <w:sz w:val="24"/>
          <w:szCs w:val="24"/>
          <w:highlight w:val="none"/>
        </w:rPr>
        <w:t>（北京时间）</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w:t>
      </w:r>
      <w:r>
        <w:rPr>
          <w:rFonts w:hint="eastAsia" w:ascii="宋体" w:hAnsi="宋体" w:eastAsia="宋体" w:cs="宋体"/>
          <w:color w:val="auto"/>
          <w:kern w:val="0"/>
          <w:sz w:val="24"/>
          <w:szCs w:val="24"/>
          <w:highlight w:val="none"/>
        </w:rPr>
        <w:t>“政采云”平台（https://www.zcygov.cn）</w:t>
      </w:r>
    </w:p>
    <w:p>
      <w:pPr>
        <w:spacing w:line="36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ascii="宋体" w:hAnsi="宋体" w:eastAsia="宋体" w:cs="宋体"/>
          <w:color w:val="auto"/>
          <w:kern w:val="0"/>
          <w:sz w:val="24"/>
          <w:szCs w:val="24"/>
          <w:highlight w:val="none"/>
          <w:lang w:eastAsia="zh-CN"/>
        </w:rPr>
        <w:t xml:space="preserve">2023年8月11日 </w:t>
      </w:r>
      <w:r>
        <w:rPr>
          <w:rFonts w:hint="eastAsia" w:ascii="宋体" w:hAnsi="宋体" w:eastAsia="宋体" w:cs="宋体"/>
          <w:color w:val="auto"/>
          <w:kern w:val="0"/>
          <w:sz w:val="24"/>
          <w:szCs w:val="24"/>
          <w:highlight w:val="none"/>
          <w:lang w:val="en-US" w:eastAsia="zh-CN"/>
        </w:rPr>
        <w:t>09时00分</w:t>
      </w:r>
      <w:r>
        <w:rPr>
          <w:rFonts w:hint="eastAsia" w:ascii="宋体" w:hAnsi="宋体" w:eastAsia="宋体" w:cs="宋体"/>
          <w:bCs/>
          <w:color w:val="auto"/>
          <w:sz w:val="24"/>
          <w:szCs w:val="24"/>
          <w:highlight w:val="none"/>
        </w:rPr>
        <w:t>（北京时间）</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地点：网上开标大厅网上开标大厅</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 </w:t>
      </w:r>
    </w:p>
    <w:p>
      <w:pPr>
        <w:spacing w:line="36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六、公告期限</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pPr>
        <w:spacing w:line="36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七、其他补充事宜</w:t>
      </w:r>
    </w:p>
    <w:p>
      <w:pPr>
        <w:spacing w:line="360" w:lineRule="exact"/>
        <w:ind w:firstLine="480" w:firstLineChars="200"/>
        <w:rPr>
          <w:rFonts w:ascii="宋体" w:hAnsi="宋体" w:eastAsia="宋体" w:cs="Arial"/>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Arial"/>
          <w:color w:val="auto"/>
          <w:kern w:val="0"/>
          <w:sz w:val="24"/>
          <w:szCs w:val="24"/>
          <w:highlight w:val="none"/>
        </w:rPr>
        <w:t>网上查询（网址）：中国政府采购网（www.ccgp.gov.cn）、</w:t>
      </w:r>
      <w:r>
        <w:rPr>
          <w:rFonts w:hint="eastAsia" w:ascii="宋体" w:hAnsi="宋体" w:eastAsia="宋体" w:cs="宋体"/>
          <w:color w:val="auto"/>
          <w:sz w:val="24"/>
          <w:szCs w:val="24"/>
          <w:highlight w:val="none"/>
        </w:rPr>
        <w:t>广西壮族自治区政府采购网（http://zfcg.gxzf.gov.cn/）、全国公共资源交易平台（广西·玉林）</w:t>
      </w:r>
      <w:r>
        <w:rPr>
          <w:rFonts w:hint="eastAsia" w:ascii="宋体" w:hAnsi="宋体" w:eastAsia="宋体" w:cs="Arial"/>
          <w:color w:val="auto"/>
          <w:kern w:val="0"/>
          <w:sz w:val="24"/>
          <w:szCs w:val="24"/>
          <w:highlight w:val="none"/>
        </w:rPr>
        <w:t>（ggzy.yulin.gov.cn）。</w:t>
      </w:r>
    </w:p>
    <w:p>
      <w:pPr>
        <w:spacing w:line="360" w:lineRule="exact"/>
        <w:ind w:left="599" w:leftChars="228" w:hanging="120" w:hangingChars="50"/>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rPr>
        <w:t>2.</w:t>
      </w:r>
      <w:r>
        <w:rPr>
          <w:rFonts w:hint="eastAsia" w:ascii="宋体" w:hAnsi="宋体" w:eastAsia="宋体" w:cs="Arial"/>
          <w:color w:val="auto"/>
          <w:kern w:val="0"/>
          <w:sz w:val="24"/>
          <w:szCs w:val="24"/>
          <w:highlight w:val="none"/>
        </w:rPr>
        <w:t>.本项目需要落实的政府采购政策</w:t>
      </w:r>
    </w:p>
    <w:p>
      <w:pPr>
        <w:spacing w:line="360" w:lineRule="exact"/>
        <w:ind w:left="599" w:leftChars="228" w:hanging="120" w:hangingChars="50"/>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rPr>
        <w:t>（1）政府采购促进中小企业发展。</w:t>
      </w:r>
    </w:p>
    <w:p>
      <w:pPr>
        <w:spacing w:line="360" w:lineRule="exact"/>
        <w:ind w:left="599" w:leftChars="228" w:hanging="120" w:hangingChars="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（2）政府采购促进残疾人就业政策。</w:t>
      </w:r>
    </w:p>
    <w:p>
      <w:pPr>
        <w:spacing w:line="360" w:lineRule="exact"/>
        <w:ind w:left="599" w:leftChars="228" w:hanging="120" w:hangingChars="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（3）政府采购支持监狱企业发展。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3.投标人投标注意事项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（3）CA证书在线解密：投标人投标时，需凭制作投标文件时用来加密的有效数字证书（CA认证）登录“政采云”平台电子开标大厅现场按规定时间对加密的投标文件进行解密，否则后果自负。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36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北流市六靖镇人民政府</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地址：北流市六靖镇镇西街0008号</w:t>
      </w:r>
    </w:p>
    <w:p>
      <w:pPr>
        <w:spacing w:line="360" w:lineRule="exact"/>
        <w:ind w:firstLine="516" w:firstLineChars="215"/>
        <w:rPr>
          <w:rFonts w:hint="eastAsia" w:ascii="Times New Roman" w:hAnsi="宋体" w:eastAsia="宋体" w:cs="宋体"/>
          <w:color w:val="auto"/>
          <w:sz w:val="24"/>
          <w:szCs w:val="24"/>
          <w:highlight w:val="none"/>
          <w:lang w:eastAsia="zh-CN"/>
        </w:rPr>
      </w:pPr>
      <w:r>
        <w:rPr>
          <w:rFonts w:hint="eastAsia" w:ascii="Times New Roman" w:hAnsi="宋体" w:eastAsia="宋体" w:cs="宋体"/>
          <w:color w:val="auto"/>
          <w:sz w:val="24"/>
          <w:szCs w:val="24"/>
          <w:highlight w:val="none"/>
        </w:rPr>
        <w:t>项目联系人：</w:t>
      </w:r>
      <w:r>
        <w:rPr>
          <w:rFonts w:hint="eastAsia" w:ascii="Times New Roman" w:hAnsi="宋体" w:eastAsia="宋体" w:cs="宋体"/>
          <w:color w:val="auto"/>
          <w:sz w:val="24"/>
          <w:szCs w:val="24"/>
          <w:highlight w:val="none"/>
          <w:lang w:eastAsia="zh-CN"/>
        </w:rPr>
        <w:t>覃勇</w:t>
      </w:r>
    </w:p>
    <w:p>
      <w:pPr>
        <w:spacing w:line="360" w:lineRule="exact"/>
        <w:ind w:firstLine="516" w:firstLineChars="21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0775-6561528</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名称：广西宏腾招标代理有限公司  </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地址：北流市永顺别墅七区0023号</w:t>
      </w:r>
    </w:p>
    <w:p>
      <w:pPr>
        <w:spacing w:line="360" w:lineRule="exact"/>
        <w:ind w:firstLine="520" w:firstLineChars="200"/>
        <w:jc w:val="left"/>
        <w:rPr>
          <w:rFonts w:ascii="Times New Roman" w:hAnsi="Times New Roman" w:eastAsia="宋体" w:cs="Times New Roman"/>
          <w:bCs/>
          <w:color w:val="auto"/>
          <w:spacing w:val="10"/>
          <w:sz w:val="24"/>
          <w:szCs w:val="24"/>
          <w:highlight w:val="none"/>
        </w:rPr>
      </w:pPr>
      <w:r>
        <w:rPr>
          <w:rFonts w:hint="eastAsia" w:ascii="Times New Roman" w:hAnsi="宋体" w:eastAsia="宋体" w:cs="宋体"/>
          <w:bCs/>
          <w:color w:val="auto"/>
          <w:spacing w:val="10"/>
          <w:sz w:val="24"/>
          <w:szCs w:val="24"/>
          <w:highlight w:val="none"/>
        </w:rPr>
        <w:t>项目联系人：</w:t>
      </w:r>
      <w:r>
        <w:rPr>
          <w:rFonts w:hint="eastAsia" w:ascii="Times New Roman" w:hAnsi="宋体" w:eastAsia="宋体" w:cs="宋体"/>
          <w:bCs/>
          <w:color w:val="auto"/>
          <w:spacing w:val="10"/>
          <w:sz w:val="24"/>
          <w:szCs w:val="24"/>
          <w:highlight w:val="none"/>
          <w:lang w:eastAsia="zh-CN"/>
        </w:rPr>
        <w:t>胡玲</w:t>
      </w:r>
      <w:r>
        <w:rPr>
          <w:rFonts w:hint="eastAsia" w:ascii="Times New Roman" w:hAnsi="宋体" w:eastAsia="宋体" w:cs="宋体"/>
          <w:bCs/>
          <w:color w:val="auto"/>
          <w:spacing w:val="10"/>
          <w:sz w:val="24"/>
          <w:szCs w:val="24"/>
          <w:highlight w:val="none"/>
        </w:rPr>
        <w:t xml:space="preserve">   </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联系方式：0775-2710889</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3.监督部门</w:t>
      </w:r>
    </w:p>
    <w:p>
      <w:pPr>
        <w:spacing w:line="360" w:lineRule="exact"/>
        <w:ind w:firstLine="516" w:firstLineChars="2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北流市财政局                联系电话：0775-6235685</w:t>
      </w:r>
    </w:p>
    <w:p>
      <w:pPr>
        <w:spacing w:line="360" w:lineRule="exact"/>
        <w:ind w:firstLine="720" w:firstLineChars="300"/>
        <w:jc w:val="left"/>
        <w:rPr>
          <w:rFonts w:ascii="宋体" w:hAnsi="宋体" w:eastAsia="宋体" w:cs="宋体"/>
          <w:color w:val="auto"/>
          <w:sz w:val="24"/>
          <w:szCs w:val="24"/>
          <w:highlight w:val="none"/>
        </w:rPr>
      </w:pPr>
    </w:p>
    <w:p>
      <w:pPr>
        <w:spacing w:line="360" w:lineRule="exact"/>
        <w:jc w:val="right"/>
        <w:rPr>
          <w:rFonts w:ascii="宋体" w:hAnsi="宋体" w:eastAsia="宋体" w:cs="宋体"/>
          <w:color w:val="auto"/>
          <w:sz w:val="24"/>
          <w:szCs w:val="24"/>
          <w:highlight w:val="none"/>
        </w:rPr>
      </w:pPr>
    </w:p>
    <w:p>
      <w:pPr>
        <w:pStyle w:val="57"/>
        <w:rPr>
          <w:color w:val="auto"/>
          <w:highlight w:val="none"/>
        </w:rPr>
      </w:pPr>
    </w:p>
    <w:p>
      <w:pPr>
        <w:spacing w:line="360" w:lineRule="exact"/>
        <w:jc w:val="right"/>
        <w:rPr>
          <w:rFonts w:ascii="宋体" w:hAnsi="宋体" w:eastAsia="宋体" w:cs="宋体"/>
          <w:color w:val="auto"/>
          <w:sz w:val="24"/>
          <w:szCs w:val="24"/>
          <w:highlight w:val="none"/>
        </w:rPr>
      </w:pPr>
    </w:p>
    <w:p>
      <w:pPr>
        <w:spacing w:line="36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采购代理机构：广西宏腾招标代理有限公司</w:t>
      </w:r>
    </w:p>
    <w:p>
      <w:pPr>
        <w:spacing w:line="360" w:lineRule="exact"/>
        <w:ind w:firstLine="6960" w:firstLineChars="2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2023年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p>
    <w:p>
      <w:pPr>
        <w:widowControl/>
        <w:jc w:val="left"/>
        <w:rPr>
          <w:color w:val="auto"/>
          <w:highlight w:val="none"/>
        </w:rPr>
      </w:pPr>
      <w:r>
        <w:rPr>
          <w:color w:val="auto"/>
          <w:highlight w:val="none"/>
        </w:rPr>
        <w:br w:type="page"/>
      </w:r>
    </w:p>
    <w:p>
      <w:pPr>
        <w:keepNext/>
        <w:spacing w:line="560" w:lineRule="exact"/>
        <w:jc w:val="center"/>
        <w:outlineLvl w:val="0"/>
        <w:rPr>
          <w:rFonts w:ascii="方正隶书简体" w:hAnsi="宋体" w:eastAsia="方正隶书简体" w:cs="Times New Roman"/>
          <w:b/>
          <w:bCs/>
          <w:color w:val="auto"/>
          <w:sz w:val="36"/>
          <w:szCs w:val="36"/>
          <w:highlight w:val="none"/>
        </w:rPr>
      </w:pPr>
      <w:bookmarkStart w:id="10" w:name="_Toc89333212"/>
      <w:bookmarkStart w:id="11" w:name="_Toc88065548"/>
      <w:r>
        <w:rPr>
          <w:rFonts w:hint="eastAsia" w:ascii="方正隶书简体" w:hAnsi="宋体" w:eastAsia="方正隶书简体" w:cs="Times New Roman"/>
          <w:b/>
          <w:bCs/>
          <w:color w:val="auto"/>
          <w:sz w:val="36"/>
          <w:szCs w:val="36"/>
          <w:highlight w:val="none"/>
        </w:rPr>
        <w:t>第二章 供应商单位须知及前附表</w:t>
      </w:r>
      <w:bookmarkEnd w:id="10"/>
      <w:bookmarkEnd w:id="11"/>
    </w:p>
    <w:p>
      <w:pPr>
        <w:keepNext/>
        <w:spacing w:line="560" w:lineRule="exact"/>
        <w:jc w:val="center"/>
        <w:outlineLvl w:val="0"/>
        <w:rPr>
          <w:rFonts w:ascii="宋体" w:hAnsi="宋体" w:eastAsia="宋体" w:cs="Times New Roman"/>
          <w:b/>
          <w:bCs/>
          <w:color w:val="auto"/>
          <w:sz w:val="32"/>
          <w:szCs w:val="24"/>
          <w:highlight w:val="none"/>
        </w:rPr>
      </w:pPr>
      <w:bookmarkStart w:id="12" w:name="_Toc88065549"/>
      <w:bookmarkStart w:id="13" w:name="_Toc89333213"/>
      <w:r>
        <w:rPr>
          <w:rFonts w:hint="eastAsia" w:ascii="宋体" w:hAnsi="宋体" w:eastAsia="宋体" w:cs="Times New Roman"/>
          <w:b/>
          <w:bCs/>
          <w:color w:val="auto"/>
          <w:sz w:val="32"/>
          <w:szCs w:val="24"/>
          <w:highlight w:val="none"/>
        </w:rPr>
        <w:t>供应商须知前附表</w:t>
      </w:r>
      <w:bookmarkEnd w:id="12"/>
      <w:bookmarkEnd w:id="13"/>
    </w:p>
    <w:tbl>
      <w:tblPr>
        <w:tblStyle w:val="4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96"/>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vAlign w:val="center"/>
          </w:tcPr>
          <w:p>
            <w:pPr>
              <w:snapToGrid w:val="0"/>
              <w:ind w:left="-105" w:leftChars="-50" w:right="-105" w:rightChar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796" w:type="dxa"/>
            <w:vAlign w:val="center"/>
          </w:tcPr>
          <w:p>
            <w:pPr>
              <w:snapToGrid w:val="0"/>
              <w:ind w:left="-105" w:leftChars="-50" w:right="-105" w:rightChar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w:t>
            </w:r>
          </w:p>
        </w:tc>
        <w:tc>
          <w:tcPr>
            <w:tcW w:w="827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w:t>
            </w:r>
          </w:p>
        </w:tc>
        <w:tc>
          <w:tcPr>
            <w:tcW w:w="8276" w:type="dxa"/>
            <w:vAlign w:val="center"/>
          </w:tcPr>
          <w:p>
            <w:pPr>
              <w:snapToGrid w:val="0"/>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eastAsia="zh-CN"/>
              </w:rPr>
              <w:t>北流市六靖镇茶山村沉香产业示范带危桥拆除重建工程</w:t>
            </w:r>
          </w:p>
          <w:p>
            <w:pPr>
              <w:spacing w:line="360" w:lineRule="auto"/>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lang w:eastAsia="zh-CN"/>
              </w:rPr>
              <w:t>YLZC2023-C2-82170-HTZB</w:t>
            </w:r>
          </w:p>
          <w:p>
            <w:pPr>
              <w:spacing w:line="360" w:lineRule="auto"/>
              <w:rPr>
                <w:rFonts w:hint="eastAsia" w:ascii="宋体" w:hAnsi="宋体" w:eastAsia="宋体" w:cs="宋体"/>
                <w:color w:val="auto"/>
                <w:sz w:val="24"/>
                <w:szCs w:val="24"/>
                <w:highlight w:val="none"/>
              </w:rPr>
            </w:pPr>
            <w:r>
              <w:rPr>
                <w:rFonts w:ascii="Calibri" w:hAnsi="Calibri" w:eastAsia="宋体" w:cs="Times New Roman"/>
                <w:color w:val="auto"/>
                <w:sz w:val="24"/>
                <w:szCs w:val="24"/>
                <w:highlight w:val="none"/>
              </w:rPr>
              <w:t>项目概况：</w:t>
            </w:r>
            <w:r>
              <w:rPr>
                <w:rFonts w:hint="eastAsia" w:ascii="宋体" w:hAnsi="宋体" w:eastAsia="宋体" w:cs="宋体"/>
                <w:color w:val="auto"/>
                <w:sz w:val="24"/>
                <w:szCs w:val="24"/>
                <w:highlight w:val="none"/>
                <w:lang w:eastAsia="zh-CN"/>
              </w:rPr>
              <w:t>北流市六靖镇茶山村沉香产业示范带危桥拆除重建工程，主要建设内容包括：拆除旧桥,并新建桥梁。附带建设15cm厚级配碎石底基层，20cm厚水泥混凝土面层，新建挡土墙一16m长、2.4m高，新建挡土墙二111m长、3m高，大理石护栏24m，新建涵洞总长8m等。</w:t>
            </w:r>
            <w:r>
              <w:rPr>
                <w:rFonts w:hint="eastAsia" w:ascii="宋体" w:hAnsi="宋体" w:eastAsia="宋体" w:cs="宋体"/>
                <w:color w:val="auto"/>
                <w:sz w:val="24"/>
                <w:szCs w:val="24"/>
                <w:highlight w:val="none"/>
              </w:rPr>
              <w:t>如需进一步了解详细内容，详见竞争性磋商文件、工程量清单和工程建设相关资料。</w:t>
            </w:r>
          </w:p>
          <w:p>
            <w:pPr>
              <w:spacing w:line="360" w:lineRule="auto"/>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采购方式：竞争性磋商</w:t>
            </w:r>
          </w:p>
          <w:p>
            <w:pPr>
              <w:spacing w:line="360" w:lineRule="auto"/>
              <w:rPr>
                <w:rFonts w:ascii="宋体" w:hAnsi="宋体" w:eastAsia="宋体" w:cs="宋体"/>
                <w:b/>
                <w:bCs/>
                <w:color w:val="auto"/>
                <w:sz w:val="24"/>
                <w:szCs w:val="24"/>
                <w:highlight w:val="none"/>
              </w:rPr>
            </w:pPr>
            <w:r>
              <w:rPr>
                <w:rFonts w:hint="eastAsia" w:ascii="宋体" w:hAnsi="Courier New" w:eastAsia="宋体" w:cs="Times New Roman"/>
                <w:b/>
                <w:bCs/>
                <w:color w:val="auto"/>
                <w:sz w:val="24"/>
                <w:szCs w:val="24"/>
                <w:highlight w:val="none"/>
              </w:rPr>
              <w:t>预算金额（元）：</w:t>
            </w:r>
            <w:r>
              <w:rPr>
                <w:rFonts w:hint="eastAsia" w:ascii="宋体" w:hAnsi="宋体" w:eastAsia="宋体" w:cs="宋体"/>
                <w:b/>
                <w:bCs/>
                <w:color w:val="auto"/>
                <w:sz w:val="24"/>
                <w:szCs w:val="24"/>
                <w:highlight w:val="none"/>
              </w:rPr>
              <w:t>人民币</w:t>
            </w:r>
            <w:r>
              <w:rPr>
                <w:rFonts w:hint="default" w:ascii="宋体" w:hAnsi="宋体" w:eastAsia="宋体" w:cs="宋体"/>
                <w:color w:val="auto"/>
                <w:sz w:val="24"/>
                <w:szCs w:val="24"/>
                <w:highlight w:val="none"/>
              </w:rPr>
              <w:t>柒拾万零捌拾玖元陆角捌分</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700089.68</w:t>
            </w:r>
            <w:r>
              <w:rPr>
                <w:rFonts w:hint="eastAsia" w:ascii="宋体" w:hAnsi="宋体" w:eastAsia="宋体" w:cs="宋体"/>
                <w:color w:val="auto"/>
                <w:sz w:val="24"/>
                <w:szCs w:val="24"/>
                <w:highlight w:val="none"/>
              </w:rPr>
              <w:t>）</w:t>
            </w:r>
          </w:p>
          <w:p>
            <w:pPr>
              <w:spacing w:line="360" w:lineRule="auto"/>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（1）本项目采用工程量清单报价，</w:t>
            </w:r>
            <w:r>
              <w:rPr>
                <w:rFonts w:hint="eastAsia" w:ascii="宋体" w:hAnsi="Courier New" w:eastAsia="宋体" w:cs="Times New Roman"/>
                <w:color w:val="auto"/>
                <w:sz w:val="24"/>
                <w:szCs w:val="24"/>
                <w:highlight w:val="none"/>
              </w:rPr>
              <w:t>供应商</w:t>
            </w:r>
            <w:r>
              <w:rPr>
                <w:rFonts w:ascii="宋体" w:hAnsi="Courier New" w:eastAsia="宋体" w:cs="Times New Roman"/>
                <w:color w:val="auto"/>
                <w:sz w:val="24"/>
                <w:szCs w:val="24"/>
                <w:highlight w:val="none"/>
              </w:rPr>
              <w:t>根据采购人提供的工程项目预算书进行自主报价，不得超过上限控制价。</w:t>
            </w:r>
          </w:p>
          <w:p>
            <w:pPr>
              <w:spacing w:line="360" w:lineRule="auto"/>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（2）供应商的磋商报价均包括完成该工程项目的成本、利润、增值税、技术措施费、大型机械进出场费、风险费、政策性文件规定费用等所有费用。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w:t>
            </w:r>
          </w:p>
        </w:tc>
        <w:tc>
          <w:tcPr>
            <w:tcW w:w="8276" w:type="dxa"/>
            <w:vAlign w:val="center"/>
          </w:tcPr>
          <w:p>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北流市六靖镇人民政府</w:t>
            </w:r>
          </w:p>
          <w:p>
            <w:pPr>
              <w:snapToGrid w:val="0"/>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址：北流市六靖镇镇西街0008号</w:t>
            </w:r>
          </w:p>
          <w:p>
            <w:pPr>
              <w:snapToGrid w:val="0"/>
              <w:spacing w:line="400" w:lineRule="exact"/>
              <w:rPr>
                <w:rFonts w:hint="eastAsia" w:ascii="宋体" w:hAnsi="宋体" w:eastAsia="宋体" w:cs="Times New Roman"/>
                <w:color w:val="auto"/>
                <w:sz w:val="24"/>
                <w:szCs w:val="24"/>
                <w:highlight w:val="none"/>
                <w:lang w:eastAsia="zh-CN"/>
              </w:rPr>
            </w:pPr>
            <w:r>
              <w:rPr>
                <w:rFonts w:hint="eastAsia" w:ascii="宋体" w:hAnsi="宋体" w:eastAsia="宋体" w:cs="宋体"/>
                <w:color w:val="auto"/>
                <w:sz w:val="24"/>
                <w:szCs w:val="24"/>
                <w:highlight w:val="none"/>
              </w:rPr>
              <w:t>联系人及电话：</w:t>
            </w:r>
            <w:r>
              <w:rPr>
                <w:rFonts w:hint="eastAsia" w:ascii="宋体" w:hAnsi="宋体" w:eastAsia="宋体" w:cs="宋体"/>
                <w:color w:val="auto"/>
                <w:sz w:val="24"/>
                <w:szCs w:val="24"/>
                <w:highlight w:val="none"/>
                <w:lang w:eastAsia="zh-CN"/>
              </w:rPr>
              <w:t>覃勇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0775-6561528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8276" w:type="dxa"/>
            <w:vAlign w:val="center"/>
          </w:tcPr>
          <w:p>
            <w:pPr>
              <w:snapToGrid w:val="0"/>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采购代理机构：广西宏腾招标代理有限公司</w:t>
            </w:r>
          </w:p>
          <w:p>
            <w:pPr>
              <w:snapToGrid w:val="0"/>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本项目联系地址：北流市永顺别墅七区0023号</w:t>
            </w:r>
          </w:p>
          <w:p>
            <w:pPr>
              <w:snapToGrid w:val="0"/>
              <w:spacing w:line="400" w:lineRule="exac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联系人及电话：</w:t>
            </w:r>
            <w:r>
              <w:rPr>
                <w:rFonts w:hint="eastAsia" w:ascii="宋体" w:hAnsi="宋体" w:eastAsia="宋体" w:cs="宋体"/>
                <w:color w:val="auto"/>
                <w:sz w:val="24"/>
                <w:szCs w:val="24"/>
                <w:highlight w:val="none"/>
                <w:lang w:eastAsia="zh-CN"/>
              </w:rPr>
              <w:t>胡玲</w:t>
            </w:r>
            <w:r>
              <w:rPr>
                <w:rFonts w:hint="eastAsia" w:ascii="宋体" w:hAnsi="宋体" w:eastAsia="宋体" w:cs="宋体"/>
                <w:color w:val="auto"/>
                <w:sz w:val="24"/>
                <w:szCs w:val="24"/>
                <w:highlight w:val="none"/>
              </w:rPr>
              <w:t xml:space="preserve">  0775-2710889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w:t>
            </w:r>
          </w:p>
        </w:tc>
        <w:tc>
          <w:tcPr>
            <w:tcW w:w="8276" w:type="dxa"/>
            <w:vAlign w:val="center"/>
          </w:tcPr>
          <w:p>
            <w:pPr>
              <w:spacing w:line="360" w:lineRule="exact"/>
              <w:rPr>
                <w:rFonts w:ascii="Tahoma" w:hAnsi="Tahoma" w:eastAsia="宋体" w:cs="Times New Roman"/>
                <w:bCs/>
                <w:color w:val="auto"/>
                <w:spacing w:val="10"/>
                <w:sz w:val="24"/>
                <w:szCs w:val="20"/>
                <w:highlight w:val="none"/>
              </w:rPr>
            </w:pPr>
            <w:r>
              <w:rPr>
                <w:rFonts w:hint="eastAsia" w:ascii="宋体" w:hAnsi="宋体" w:eastAsia="宋体" w:cs="Times New Roman"/>
                <w:color w:val="auto"/>
                <w:sz w:val="24"/>
                <w:szCs w:val="24"/>
                <w:highlight w:val="none"/>
              </w:rPr>
              <w:t>监督部门：北流市财政局      联系电话：0775-6235685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p>
        </w:tc>
        <w:tc>
          <w:tcPr>
            <w:tcW w:w="8276" w:type="dxa"/>
          </w:tcPr>
          <w:p>
            <w:pPr>
              <w:spacing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申请人的资格要求：</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2.落实政府采购政策需满足的资格要求：本项目属于专门面向中小企业采购的项目,供应商应为中小微企业</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监狱企业</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残疾人福利性单位。</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spacing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3.1供应商具备</w:t>
            </w:r>
            <w:r>
              <w:rPr>
                <w:rFonts w:hint="eastAsia" w:ascii="宋体" w:hAnsi="宋体" w:eastAsia="宋体" w:cs="宋体"/>
                <w:color w:val="auto"/>
                <w:sz w:val="24"/>
                <w:szCs w:val="24"/>
                <w:highlight w:val="none"/>
                <w:lang w:eastAsia="zh-CN"/>
              </w:rPr>
              <w:t>市政公用工程施工总承包叁级以上（含叁级）资质</w:t>
            </w:r>
            <w:r>
              <w:rPr>
                <w:rFonts w:hint="eastAsia" w:ascii="宋体" w:hAnsi="宋体" w:eastAsia="宋体" w:cs="宋体"/>
                <w:color w:val="auto"/>
                <w:sz w:val="24"/>
                <w:szCs w:val="24"/>
                <w:highlight w:val="none"/>
              </w:rPr>
              <w:t>，具有有效的安全生产许可证，并在人员、设备、资金等方面具备相应的履约能力。</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拟派驻本工程的项目经理必须具备市政公用工程贰级以上（含贰级）注册建造师执业资格及有效的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3.3对在“ 信用中国” 网站(www.creditchina.gov.cn) 、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w:t>
            </w:r>
          </w:p>
        </w:tc>
        <w:tc>
          <w:tcPr>
            <w:tcW w:w="827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磋商报价：报价方案是唯一确定的，否则将被视为无效磋商。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w:t>
            </w:r>
          </w:p>
        </w:tc>
        <w:tc>
          <w:tcPr>
            <w:tcW w:w="827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1186" w:hanging="1185" w:hangingChars="494"/>
              <w:jc w:val="both"/>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磋商有效期：磋商截止日起60天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827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响应文件：加密标书一份（用于供应商投标上传），按照磋商文件的要求视情况使用。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w:t>
            </w:r>
          </w:p>
        </w:tc>
        <w:tc>
          <w:tcPr>
            <w:tcW w:w="827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36" w:type="dxa"/>
            <w:vMerge w:val="restart"/>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w:t>
            </w:r>
          </w:p>
        </w:tc>
        <w:tc>
          <w:tcPr>
            <w:tcW w:w="8276" w:type="dxa"/>
            <w:vAlign w:val="center"/>
          </w:tcPr>
          <w:p>
            <w:pPr>
              <w:spacing w:beforeLines="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1、响应文件递交截止时间：</w:t>
            </w:r>
            <w:r>
              <w:rPr>
                <w:rFonts w:hint="eastAsia" w:ascii="宋体" w:hAnsi="宋体" w:eastAsia="宋体" w:cs="宋体"/>
                <w:color w:val="auto"/>
                <w:sz w:val="24"/>
                <w:szCs w:val="24"/>
                <w:highlight w:val="none"/>
                <w:lang w:eastAsia="zh-CN"/>
              </w:rPr>
              <w:t xml:space="preserve">2023年8月11日 </w:t>
            </w:r>
            <w:r>
              <w:rPr>
                <w:rFonts w:hint="eastAsia" w:ascii="宋体" w:hAnsi="宋体" w:eastAsia="宋体" w:cs="宋体"/>
                <w:color w:val="auto"/>
                <w:sz w:val="24"/>
                <w:szCs w:val="24"/>
                <w:highlight w:val="none"/>
                <w:lang w:val="en-US" w:eastAsia="zh-CN"/>
              </w:rPr>
              <w:t>09时00分</w:t>
            </w:r>
            <w:r>
              <w:rPr>
                <w:rFonts w:hint="eastAsia" w:ascii="宋体" w:hAnsi="宋体" w:eastAsia="宋体" w:cs="宋体"/>
                <w:color w:val="auto"/>
                <w:sz w:val="24"/>
                <w:szCs w:val="24"/>
                <w:highlight w:val="none"/>
              </w:rPr>
              <w:t>（北京时间）</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2、响应文件递交地点：“政采云”平台（https://www.zcygov.cn）</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所有响应文件必须在规定的时间前提交到指定的地点，且供应商需要提交电子响应文件，电子响应文件必须用数字证书CA锁加密后在响应文件提交截止时间前，通过网络上传至玉林市北流市“政采云”平台。供应商在“政采云”平台提交电子版响应文件时，请填写参加远程采购活动经办人联系方式。</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4、响应文件电子版要求：按照本磋商响应文件“第七章 响应文件格式”编写（第七章未附格式的，由供应商自行拟定），不可涂改否则响应文件按无效响应处理。</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5、响应文件电子版密封方式：电子响应文件通过平台有效CA加密后在“政采云”平台投送。（操作方式见公告附件“电子投标文件制作与投送教程”）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36" w:type="dxa"/>
            <w:vMerge w:val="continue"/>
            <w:vAlign w:val="center"/>
          </w:tcPr>
          <w:p>
            <w:pPr>
              <w:snapToGrid w:val="0"/>
              <w:jc w:val="center"/>
              <w:rPr>
                <w:rFonts w:ascii="宋体" w:hAnsi="宋体" w:eastAsia="宋体" w:cs="Times New Roman"/>
                <w:color w:val="auto"/>
                <w:sz w:val="24"/>
                <w:szCs w:val="24"/>
                <w:highlight w:val="none"/>
              </w:rPr>
            </w:pP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15.6</w:t>
            </w:r>
          </w:p>
        </w:tc>
        <w:tc>
          <w:tcPr>
            <w:tcW w:w="8276" w:type="dxa"/>
            <w:vAlign w:val="center"/>
          </w:tcPr>
          <w:p>
            <w:pPr>
              <w:spacing w:line="288" w:lineRule="auto"/>
              <w:rPr>
                <w:rFonts w:ascii="宋体" w:hAnsi="宋体" w:eastAsia="宋体" w:cs="宋体"/>
                <w:color w:val="auto"/>
                <w:sz w:val="24"/>
                <w:szCs w:val="24"/>
                <w:highlight w:val="none"/>
              </w:rPr>
            </w:pPr>
            <w:r>
              <w:rPr>
                <w:rFonts w:hint="eastAsia" w:ascii="宋体" w:hAnsi="宋体" w:cs="宋体"/>
                <w:color w:val="auto"/>
                <w:sz w:val="24"/>
                <w:szCs w:val="24"/>
                <w:highlight w:val="none"/>
              </w:rPr>
              <w:t>备份响应文件：</w:t>
            </w:r>
            <w:r>
              <w:rPr>
                <w:rFonts w:hint="eastAsia" w:ascii="宋体" w:hAnsi="宋体"/>
                <w:color w:val="auto"/>
                <w:sz w:val="24"/>
                <w:szCs w:val="24"/>
                <w:highlight w:val="none"/>
              </w:rPr>
              <w:t>本项目不接受备份响应文件。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p>
        </w:tc>
        <w:tc>
          <w:tcPr>
            <w:tcW w:w="8276" w:type="dxa"/>
            <w:vAlign w:val="center"/>
          </w:tcPr>
          <w:p>
            <w:pPr>
              <w:spacing w:line="288" w:lineRule="auto"/>
              <w:rPr>
                <w:rFonts w:ascii="宋体" w:hAnsi="宋体" w:eastAsia="宋体" w:cs="宋体"/>
                <w:color w:val="auto"/>
                <w:sz w:val="24"/>
                <w:szCs w:val="24"/>
                <w:highlight w:val="none"/>
              </w:rPr>
            </w:pPr>
            <w:r>
              <w:rPr>
                <w:rFonts w:hint="eastAsia" w:ascii="宋体" w:hAnsi="宋体"/>
                <w:color w:val="auto"/>
                <w:sz w:val="24"/>
                <w:szCs w:val="24"/>
                <w:highlight w:val="none"/>
              </w:rPr>
              <w:t>响应文件的退回：供应商应当在首次响应文件提交截止时间前完成电子响应文件的上传、提交，响应文件提交截止时间前可以补充、修改或者撤回响应文件。补充或者修改响应文件的，应当先行撤回原文件，补充、修改后重新上传、提交。响应截止时间前未完成上传、提交的，视为撤回响应文件。响应文件提交截止时间以后上传提交的响应文件的，“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19.2</w:t>
            </w:r>
          </w:p>
        </w:tc>
        <w:tc>
          <w:tcPr>
            <w:tcW w:w="8276" w:type="dxa"/>
            <w:vAlign w:val="center"/>
          </w:tcPr>
          <w:p>
            <w:pPr>
              <w:snapToGrid w:val="0"/>
              <w:ind w:left="1186" w:hanging="1185" w:hangingChars="494"/>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评标办法：综合评分法（详见第五章）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796" w:type="dxa"/>
            <w:vAlign w:val="center"/>
          </w:tcPr>
          <w:p>
            <w:pPr>
              <w:snapToGrid w:val="0"/>
              <w:ind w:left="1186" w:hanging="1185" w:hangingChars="494"/>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p>
        </w:tc>
        <w:tc>
          <w:tcPr>
            <w:tcW w:w="8276" w:type="dxa"/>
            <w:vAlign w:val="center"/>
          </w:tcPr>
          <w:p>
            <w:pPr>
              <w:rPr>
                <w:rFonts w:ascii="宋体" w:hAnsi="Courier New" w:eastAsia="宋体" w:cs="Times New Roman"/>
                <w:color w:val="auto"/>
                <w:sz w:val="24"/>
                <w:szCs w:val="24"/>
                <w:highlight w:val="none"/>
              </w:rPr>
            </w:pPr>
            <w:r>
              <w:rPr>
                <w:rFonts w:ascii="宋体" w:hAnsi="宋体" w:eastAsia="宋体" w:cs="Times New Roman"/>
                <w:bCs/>
                <w:color w:val="auto"/>
                <w:sz w:val="24"/>
                <w:szCs w:val="24"/>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w:t>
            </w:r>
          </w:p>
        </w:tc>
        <w:tc>
          <w:tcPr>
            <w:tcW w:w="796" w:type="dxa"/>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8276" w:type="dxa"/>
            <w:vAlign w:val="center"/>
          </w:tcPr>
          <w:p>
            <w:pPr>
              <w:snapToGrid w:val="0"/>
              <w:spacing w:line="400" w:lineRule="exact"/>
              <w:ind w:left="11" w:hanging="11"/>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签订合同：自成交通知书发出之日起25日历天内凭成交通知书与采购人签订政府采购合同，延期自误。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w:t>
            </w:r>
          </w:p>
        </w:tc>
        <w:tc>
          <w:tcPr>
            <w:tcW w:w="796" w:type="dxa"/>
            <w:vAlign w:val="center"/>
          </w:tcPr>
          <w:p>
            <w:pPr>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8276" w:type="dxa"/>
            <w:vAlign w:val="center"/>
          </w:tcPr>
          <w:p>
            <w:pPr>
              <w:adjustRightInd w:val="0"/>
              <w:snapToGrid w:val="0"/>
              <w:spacing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1、代理服务费：本项目采购代理服务费按以下方式计算（成交价100万元内部分，按 1.0 % 计算，成交价100万～500万内，按0.7%计算，按差额定率累进法计算后即为代理服务费）。由成交供应商在领取成交通知书前向采购代理机构一次性付清代理服务费，否则不给予成交通知书。</w:t>
            </w:r>
          </w:p>
          <w:p>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2、上述款项，请现金现存或转账电汇转入下列银行帐户。</w:t>
            </w:r>
          </w:p>
          <w:p>
            <w:pPr>
              <w:spacing w:beforeLines="30" w:line="3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开户名称：广西宏腾招标代理有限公司</w:t>
            </w:r>
          </w:p>
          <w:p>
            <w:pPr>
              <w:spacing w:beforeLines="30" w:line="3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开户银行：广西北流柳银村镇银行股份有限公司</w:t>
            </w:r>
          </w:p>
          <w:p>
            <w:pPr>
              <w:spacing w:beforeLines="3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开户账号: 85200500000000007947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29.1</w:t>
            </w:r>
          </w:p>
        </w:tc>
        <w:tc>
          <w:tcPr>
            <w:tcW w:w="8276" w:type="dxa"/>
            <w:vAlign w:val="center"/>
          </w:tcPr>
          <w:p>
            <w:pPr>
              <w:pStyle w:val="23"/>
              <w:snapToGrid w:val="0"/>
              <w:spacing w:line="360" w:lineRule="exact"/>
              <w:rPr>
                <w:rFonts w:hint="default" w:hAnsi="宋体" w:cs="宋体"/>
                <w:color w:val="auto"/>
                <w:kern w:val="0"/>
                <w:sz w:val="24"/>
                <w:szCs w:val="24"/>
                <w:highlight w:val="none"/>
              </w:rPr>
            </w:pPr>
            <w:r>
              <w:rPr>
                <w:rFonts w:hAnsi="宋体" w:cs="宋体"/>
                <w:b/>
                <w:color w:val="auto"/>
                <w:sz w:val="24"/>
                <w:szCs w:val="24"/>
                <w:highlight w:val="none"/>
              </w:rPr>
              <w:t>本项目需要落实的政府采购政策：</w:t>
            </w:r>
          </w:p>
          <w:p>
            <w:pPr>
              <w:pStyle w:val="23"/>
              <w:snapToGrid w:val="0"/>
              <w:spacing w:line="360" w:lineRule="exact"/>
              <w:rPr>
                <w:rFonts w:hint="default"/>
                <w:color w:val="auto"/>
                <w:sz w:val="24"/>
                <w:szCs w:val="24"/>
                <w:highlight w:val="none"/>
              </w:rPr>
            </w:pPr>
            <w:r>
              <w:rPr>
                <w:color w:val="auto"/>
                <w:sz w:val="24"/>
                <w:szCs w:val="24"/>
                <w:highlight w:val="none"/>
              </w:rPr>
              <w:t>1.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pStyle w:val="23"/>
              <w:snapToGrid w:val="0"/>
              <w:spacing w:line="360" w:lineRule="exact"/>
              <w:rPr>
                <w:rFonts w:hint="default"/>
                <w:color w:val="auto"/>
                <w:sz w:val="24"/>
                <w:szCs w:val="24"/>
                <w:highlight w:val="none"/>
              </w:rPr>
            </w:pPr>
            <w:r>
              <w:rPr>
                <w:color w:val="auto"/>
                <w:sz w:val="24"/>
                <w:szCs w:val="24"/>
                <w:highlight w:val="none"/>
              </w:rPr>
              <w:t>2.标的的名称：</w:t>
            </w:r>
            <w:r>
              <w:rPr>
                <w:rFonts w:hint="eastAsia"/>
                <w:color w:val="auto"/>
                <w:sz w:val="24"/>
                <w:szCs w:val="24"/>
                <w:highlight w:val="none"/>
                <w:lang w:eastAsia="zh-CN"/>
              </w:rPr>
              <w:t>北流市六靖镇茶山村沉香产业示范带危桥拆除重建工程</w:t>
            </w:r>
            <w:r>
              <w:rPr>
                <w:color w:val="auto"/>
                <w:sz w:val="24"/>
                <w:szCs w:val="24"/>
                <w:highlight w:val="none"/>
              </w:rPr>
              <w:t>；</w:t>
            </w:r>
          </w:p>
          <w:p>
            <w:pPr>
              <w:pStyle w:val="23"/>
              <w:snapToGrid w:val="0"/>
              <w:spacing w:line="360" w:lineRule="exact"/>
              <w:rPr>
                <w:rFonts w:hint="default"/>
                <w:color w:val="auto"/>
                <w:sz w:val="24"/>
                <w:szCs w:val="24"/>
                <w:highlight w:val="none"/>
              </w:rPr>
            </w:pPr>
            <w:r>
              <w:rPr>
                <w:color w:val="auto"/>
                <w:sz w:val="24"/>
                <w:szCs w:val="24"/>
                <w:highlight w:val="none"/>
              </w:rPr>
              <w:t>3.</w:t>
            </w:r>
            <w:r>
              <w:rPr>
                <w:b/>
                <w:bCs/>
                <w:color w:val="auto"/>
                <w:sz w:val="24"/>
                <w:szCs w:val="24"/>
                <w:highlight w:val="none"/>
              </w:rPr>
              <w:t>专门面向中小企业预留金额为：人民币</w:t>
            </w:r>
            <w:r>
              <w:rPr>
                <w:rFonts w:hint="default" w:hAnsi="宋体" w:cs="宋体"/>
                <w:color w:val="auto"/>
                <w:kern w:val="2"/>
                <w:sz w:val="24"/>
                <w:szCs w:val="24"/>
                <w:highlight w:val="none"/>
                <w:lang w:eastAsia="zh-CN" w:bidi="ar-SA"/>
              </w:rPr>
              <w:t>700089.68</w:t>
            </w:r>
            <w:r>
              <w:rPr>
                <w:rFonts w:hint="eastAsia" w:ascii="宋体" w:hAnsi="宋体" w:eastAsia="宋体" w:cs="宋体"/>
                <w:color w:val="auto"/>
                <w:kern w:val="2"/>
                <w:sz w:val="24"/>
                <w:szCs w:val="24"/>
                <w:highlight w:val="none"/>
                <w:lang w:val="en-US" w:eastAsia="zh-CN" w:bidi="ar-SA"/>
              </w:rPr>
              <w:t>元，</w:t>
            </w:r>
            <w:r>
              <w:rPr>
                <w:b/>
                <w:bCs/>
                <w:color w:val="auto"/>
                <w:sz w:val="24"/>
                <w:szCs w:val="24"/>
                <w:highlight w:val="none"/>
              </w:rPr>
              <w:t>即项目预算金额；</w:t>
            </w:r>
          </w:p>
          <w:p>
            <w:pPr>
              <w:pStyle w:val="23"/>
              <w:snapToGrid w:val="0"/>
              <w:spacing w:line="360" w:lineRule="exact"/>
              <w:rPr>
                <w:rFonts w:hint="default"/>
                <w:color w:val="auto"/>
                <w:sz w:val="24"/>
                <w:szCs w:val="24"/>
                <w:highlight w:val="none"/>
              </w:rPr>
            </w:pPr>
            <w:r>
              <w:rPr>
                <w:color w:val="auto"/>
                <w:sz w:val="24"/>
                <w:szCs w:val="24"/>
                <w:highlight w:val="none"/>
              </w:rPr>
              <w:t>4.</w:t>
            </w:r>
            <w:r>
              <w:rPr>
                <w:b/>
                <w:bCs/>
                <w:color w:val="auto"/>
                <w:sz w:val="24"/>
                <w:szCs w:val="24"/>
                <w:highlight w:val="none"/>
              </w:rPr>
              <w:t>专门面向中小企业预留份额为：100%；</w:t>
            </w:r>
          </w:p>
          <w:p>
            <w:pPr>
              <w:pStyle w:val="23"/>
              <w:snapToGrid w:val="0"/>
              <w:spacing w:line="360" w:lineRule="exact"/>
              <w:rPr>
                <w:rFonts w:hint="default"/>
                <w:color w:val="auto"/>
                <w:sz w:val="24"/>
                <w:szCs w:val="24"/>
                <w:highlight w:val="none"/>
              </w:rPr>
            </w:pPr>
            <w:r>
              <w:rPr>
                <w:color w:val="auto"/>
                <w:sz w:val="24"/>
                <w:szCs w:val="24"/>
                <w:highlight w:val="none"/>
              </w:rPr>
              <w:t>5.本项目不接受联合体竞标，本项目不允许分包；</w:t>
            </w:r>
          </w:p>
          <w:p>
            <w:pPr>
              <w:pStyle w:val="23"/>
              <w:snapToGrid w:val="0"/>
              <w:spacing w:line="360" w:lineRule="exact"/>
              <w:rPr>
                <w:rFonts w:hint="default"/>
                <w:color w:val="auto"/>
                <w:sz w:val="24"/>
                <w:szCs w:val="24"/>
                <w:highlight w:val="none"/>
              </w:rPr>
            </w:pPr>
            <w:r>
              <w:rPr>
                <w:color w:val="auto"/>
                <w:sz w:val="24"/>
                <w:szCs w:val="24"/>
                <w:highlight w:val="none"/>
              </w:rPr>
              <w:t>6.本项目属于专门面向中小企业采购的项目，按照《政府采购促进中小企业发展管理办法》（财库〔2020〕46号）的规定，不再对供应商最后报价进行政策性扣除；</w:t>
            </w:r>
          </w:p>
          <w:p>
            <w:pPr>
              <w:pStyle w:val="23"/>
              <w:spacing w:line="400" w:lineRule="exact"/>
              <w:rPr>
                <w:rFonts w:hint="default"/>
                <w:color w:val="auto"/>
                <w:sz w:val="24"/>
                <w:szCs w:val="24"/>
                <w:highlight w:val="none"/>
              </w:rPr>
            </w:pPr>
            <w:r>
              <w:rPr>
                <w:color w:val="auto"/>
                <w:sz w:val="24"/>
                <w:szCs w:val="24"/>
                <w:highlight w:val="none"/>
              </w:rPr>
              <w:t>7.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pPr>
              <w:snapToGrid w:val="0"/>
              <w:spacing w:line="360" w:lineRule="auto"/>
              <w:jc w:val="left"/>
              <w:rPr>
                <w:rFonts w:ascii="宋体" w:hAnsi="宋体" w:eastAsia="宋体" w:cs="宋体"/>
                <w:color w:val="auto"/>
                <w:sz w:val="24"/>
                <w:szCs w:val="24"/>
                <w:highlight w:val="none"/>
              </w:rPr>
            </w:pPr>
            <w:r>
              <w:rPr>
                <w:rFonts w:hint="eastAsia" w:ascii="宋体" w:hAnsi="Courier New" w:eastAsia="宋体" w:cs="宋体"/>
                <w:color w:val="auto"/>
                <w:sz w:val="24"/>
                <w:szCs w:val="24"/>
                <w:highlight w:val="none"/>
              </w:rPr>
              <w:t>8.本项目采购标的对应的中小企业划分标准所属行业为：</w:t>
            </w:r>
            <w:r>
              <w:rPr>
                <w:rFonts w:hint="eastAsia" w:ascii="宋体" w:hAnsi="Courier New" w:eastAsia="宋体" w:cs="宋体"/>
                <w:b/>
                <w:bCs/>
                <w:color w:val="auto"/>
                <w:sz w:val="24"/>
                <w:szCs w:val="24"/>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Align w:val="center"/>
          </w:tcPr>
          <w:p>
            <w:pPr>
              <w:snapToGrid w:val="0"/>
              <w:jc w:val="center"/>
              <w:rPr>
                <w:rFonts w:ascii="宋体" w:hAnsi="宋体" w:eastAsia="宋体" w:cs="Times New Roman"/>
                <w:color w:val="auto"/>
                <w:sz w:val="24"/>
                <w:szCs w:val="24"/>
                <w:highlight w:val="none"/>
              </w:rPr>
            </w:pPr>
          </w:p>
        </w:tc>
        <w:tc>
          <w:tcPr>
            <w:tcW w:w="796" w:type="dxa"/>
            <w:vAlign w:val="center"/>
          </w:tcPr>
          <w:p>
            <w:pPr>
              <w:snapToGrid w:val="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29.2</w:t>
            </w:r>
          </w:p>
        </w:tc>
        <w:tc>
          <w:tcPr>
            <w:tcW w:w="8276" w:type="dxa"/>
            <w:vAlign w:val="center"/>
          </w:tcPr>
          <w:p>
            <w:pPr>
              <w:snapToGrid w:val="0"/>
              <w:spacing w:line="360" w:lineRule="auto"/>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政府采购合同审核、备案：</w:t>
            </w:r>
          </w:p>
          <w:p>
            <w:pPr>
              <w:snapToGrid w:val="0"/>
              <w:spacing w:line="360" w:lineRule="auto"/>
              <w:jc w:val="left"/>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政府采购合同自签订之日起2个工作日内，中标人必须将政府采购合同送本采购代理机构审核盖章确认。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本工程增值税计税方法</w:t>
            </w:r>
          </w:p>
        </w:tc>
        <w:tc>
          <w:tcPr>
            <w:tcW w:w="8276" w:type="dxa"/>
            <w:vAlign w:val="center"/>
          </w:tcPr>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一般计税法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备注：按照《关于全面推开营业税改征增值税试点的通知》（财税〔2016〕36号）、《关于落实政府补助类建设工程项目增值税相关政策的通知》（桂国税发〔2016〕147号）、《关于建筑服务等营改增试点政策的通知》（财税〔2017〕58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Calibri" w:hAnsi="宋体" w:eastAsia="宋体" w:cs="Times New Roman"/>
                <w:color w:val="auto"/>
                <w:sz w:val="24"/>
                <w:szCs w:val="24"/>
                <w:highlight w:val="none"/>
              </w:rPr>
              <w:t>开标前准备</w:t>
            </w:r>
          </w:p>
        </w:tc>
        <w:tc>
          <w:tcPr>
            <w:tcW w:w="8276" w:type="dxa"/>
            <w:vAlign w:val="center"/>
          </w:tcPr>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1、本项目实行网上开标，采用电子磋商响应文件。</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2、各供应商应在截标前应确保成为政采云平台正式注册入库供应商，并完成CA数字证书申领。如因未注册入库、未办理CA数字证书等原因造成无法磋商或磋商失败等后果由供应商自行承担。</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3、供应商将政采云电子交易客户端下载、安装完成后，可通过账号密码或CA登录客户端进行响应文件制作。客户端请至网站下载专区查看，如有问题可拨打政采云客户服务热线：400-881-7190进行咨询。</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磋商响应文件解密时间：</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截标时间后30分钟内（</w:t>
            </w:r>
            <w:r>
              <w:rPr>
                <w:rFonts w:hint="eastAsia" w:ascii="宋体" w:hAnsi="宋体" w:eastAsia="宋体" w:cs="宋体"/>
                <w:color w:val="auto"/>
                <w:sz w:val="24"/>
                <w:szCs w:val="24"/>
                <w:highlight w:val="none"/>
                <w:lang w:eastAsia="zh-CN"/>
              </w:rPr>
              <w:t xml:space="preserve">2023年8月11日 </w:t>
            </w:r>
            <w:r>
              <w:rPr>
                <w:rFonts w:hint="eastAsia" w:ascii="宋体" w:hAnsi="宋体" w:eastAsia="宋体" w:cs="宋体"/>
                <w:color w:val="auto"/>
                <w:sz w:val="24"/>
                <w:szCs w:val="24"/>
                <w:highlight w:val="none"/>
                <w:lang w:val="en-US" w:eastAsia="zh-CN"/>
              </w:rPr>
              <w:t>09</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00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09</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30</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供应商可以登录政采云平台，用“项目采购-开标评标”功能进行解密磋商响应文件。若供应商在规定时间内无法解密或解密失败，可以以提交的电子备份磋商响应文件作为依据，如若电子备份磋商响应文件与政采云平台上传的电子磋商响应文件被识别为不一致的，以电子备份磋商响应文件作为评审依据；供应商按时在线解密响应文件的，以在线解密的响应文件作为评审依据。若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36" w:type="dxa"/>
            <w:vAlign w:val="center"/>
          </w:tcPr>
          <w:p>
            <w:pPr>
              <w:snapToGrid w:val="0"/>
              <w:spacing w:line="4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p>
        </w:tc>
        <w:tc>
          <w:tcPr>
            <w:tcW w:w="796" w:type="dxa"/>
            <w:vAlign w:val="center"/>
          </w:tcPr>
          <w:p>
            <w:pPr>
              <w:snapToGrid w:val="0"/>
              <w:spacing w:line="4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信用查询</w:t>
            </w:r>
          </w:p>
        </w:tc>
        <w:tc>
          <w:tcPr>
            <w:tcW w:w="8276" w:type="dxa"/>
            <w:vAlign w:val="center"/>
          </w:tcPr>
          <w:p>
            <w:pPr>
              <w:spacing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在资格审查结束前，对供应商进行信用查询。</w:t>
            </w:r>
          </w:p>
          <w:p>
            <w:pPr>
              <w:spacing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查询渠道：“信用中国”网站(www.creditchina.gov.cn) 、中国政府采购网(www.ccgp.gov.cn)。</w:t>
            </w:r>
          </w:p>
          <w:p>
            <w:pPr>
              <w:spacing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信用查询截止时点：资格审查结束前。</w:t>
            </w:r>
          </w:p>
          <w:p>
            <w:pPr>
              <w:spacing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查询记录和证据留存方式：在查询网站中直接打印查询记录，打印材料作为评审资料保存。</w:t>
            </w:r>
          </w:p>
          <w:p>
            <w:pPr>
              <w:spacing w:line="44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3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w:t>
            </w:r>
          </w:p>
        </w:tc>
        <w:tc>
          <w:tcPr>
            <w:tcW w:w="796" w:type="dxa"/>
            <w:vAlign w:val="center"/>
          </w:tcPr>
          <w:p>
            <w:pPr>
              <w:snapToGrid w:val="0"/>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其他</w:t>
            </w:r>
          </w:p>
        </w:tc>
        <w:tc>
          <w:tcPr>
            <w:tcW w:w="8276" w:type="dxa"/>
            <w:vAlign w:val="center"/>
          </w:tcPr>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1.本磋商文件中描述供应商的“公章”是指供应商通过指定电子化政府采购平台办理数字证书（CA认证）获得的以法定主体行为名称制作的电子印章。</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2.本磋商文件中描述供应商的“签字或盖章”是指供应商通过指定电子化政府采购平台办理数字证书（CA认证）获得的以供应商法定代表人或者委托代理人姓名制作的电子印章或手写签字。（</w:t>
            </w:r>
            <w:r>
              <w:rPr>
                <w:rFonts w:ascii="宋体" w:hAnsi="Courier New" w:eastAsia="宋体" w:cs="Times New Roman"/>
                <w:color w:val="auto"/>
                <w:sz w:val="24"/>
                <w:szCs w:val="24"/>
                <w:highlight w:val="none"/>
              </w:rPr>
              <w:t>如果供应商没办理有姓名制作的电子印章的，可在磋商响应文件中涉及到签字的位置线下签好字然后扫描做成PDF的格式即可。</w:t>
            </w:r>
            <w:r>
              <w:rPr>
                <w:rFonts w:ascii="宋体" w:hAnsi="宋体" w:eastAsia="宋体" w:cs="Times New Roman"/>
                <w:color w:val="auto"/>
                <w:sz w:val="24"/>
                <w:szCs w:val="24"/>
                <w:highlight w:val="none"/>
              </w:rPr>
              <w:t>）</w:t>
            </w:r>
          </w:p>
        </w:tc>
      </w:tr>
    </w:tbl>
    <w:p>
      <w:pPr>
        <w:rPr>
          <w:color w:val="auto"/>
          <w:highlight w:val="none"/>
        </w:rPr>
      </w:pPr>
    </w:p>
    <w:p>
      <w:pPr>
        <w:widowControl/>
        <w:jc w:val="left"/>
        <w:rPr>
          <w:color w:val="auto"/>
          <w:highlight w:val="none"/>
        </w:rPr>
      </w:pPr>
      <w:r>
        <w:rPr>
          <w:color w:val="auto"/>
          <w:highlight w:val="none"/>
        </w:rPr>
        <w:br w:type="page"/>
      </w:r>
    </w:p>
    <w:p>
      <w:pPr>
        <w:spacing w:line="400" w:lineRule="exact"/>
        <w:jc w:val="center"/>
        <w:rPr>
          <w:rFonts w:ascii="宋体" w:hAnsi="宋体" w:eastAsia="宋体" w:cs="Times New Roman"/>
          <w:color w:val="auto"/>
          <w:szCs w:val="20"/>
          <w:highlight w:val="none"/>
        </w:rPr>
      </w:pPr>
      <w:r>
        <w:rPr>
          <w:rFonts w:ascii="宋体" w:hAnsi="宋体" w:eastAsia="宋体" w:cs="Times New Roman"/>
          <w:b/>
          <w:color w:val="auto"/>
          <w:sz w:val="32"/>
          <w:szCs w:val="20"/>
          <w:highlight w:val="none"/>
        </w:rPr>
        <w:t>供应商须知</w:t>
      </w:r>
    </w:p>
    <w:p>
      <w:pPr>
        <w:keepNext/>
        <w:spacing w:line="400" w:lineRule="exact"/>
        <w:jc w:val="center"/>
        <w:outlineLvl w:val="0"/>
        <w:rPr>
          <w:rFonts w:ascii="宋体" w:hAnsi="宋体" w:eastAsia="宋体" w:cs="Times New Roman"/>
          <w:b/>
          <w:color w:val="auto"/>
          <w:sz w:val="24"/>
          <w:szCs w:val="24"/>
          <w:highlight w:val="none"/>
        </w:rPr>
      </w:pPr>
      <w:bookmarkStart w:id="14" w:name="_Toc207770834"/>
      <w:bookmarkStart w:id="15" w:name="_Toc206525681"/>
      <w:bookmarkStart w:id="16" w:name="_Toc486922954"/>
      <w:bookmarkStart w:id="17" w:name="_Toc239839862"/>
      <w:bookmarkStart w:id="18" w:name="_Toc88065550"/>
      <w:bookmarkStart w:id="19" w:name="_Toc185702548"/>
      <w:bookmarkStart w:id="20" w:name="_Toc89333214"/>
      <w:bookmarkStart w:id="21" w:name="_Toc486196137"/>
      <w:bookmarkStart w:id="22" w:name="_Toc230578056"/>
      <w:r>
        <w:rPr>
          <w:rFonts w:hint="eastAsia" w:ascii="宋体" w:hAnsi="宋体" w:eastAsia="宋体" w:cs="Times New Roman"/>
          <w:b/>
          <w:color w:val="auto"/>
          <w:sz w:val="24"/>
          <w:szCs w:val="24"/>
          <w:highlight w:val="none"/>
        </w:rPr>
        <w:t>一   总  则</w:t>
      </w:r>
      <w:bookmarkEnd w:id="14"/>
      <w:bookmarkEnd w:id="15"/>
      <w:bookmarkEnd w:id="16"/>
      <w:bookmarkEnd w:id="17"/>
      <w:bookmarkEnd w:id="18"/>
      <w:bookmarkEnd w:id="19"/>
      <w:bookmarkEnd w:id="20"/>
      <w:bookmarkEnd w:id="21"/>
      <w:bookmarkEnd w:id="22"/>
    </w:p>
    <w:p>
      <w:pPr>
        <w:keepNext/>
        <w:keepLines/>
        <w:spacing w:line="400" w:lineRule="exact"/>
        <w:outlineLvl w:val="1"/>
        <w:rPr>
          <w:rFonts w:ascii="宋体" w:hAnsi="宋体" w:eastAsia="宋体" w:cs="Times New Roman"/>
          <w:b/>
          <w:bCs/>
          <w:color w:val="auto"/>
          <w:sz w:val="24"/>
          <w:szCs w:val="24"/>
          <w:highlight w:val="none"/>
        </w:rPr>
      </w:pPr>
      <w:bookmarkStart w:id="23" w:name="_Toc185702549"/>
      <w:bookmarkStart w:id="24" w:name="_Toc239839863"/>
      <w:bookmarkStart w:id="25" w:name="_Toc230578057"/>
      <w:bookmarkStart w:id="26" w:name="_Toc207770835"/>
      <w:bookmarkStart w:id="27" w:name="_Toc206525682"/>
      <w:bookmarkStart w:id="28" w:name="_Toc486922955"/>
      <w:bookmarkStart w:id="29" w:name="_Toc88065551"/>
      <w:bookmarkStart w:id="30" w:name="_Toc89332967"/>
      <w:bookmarkStart w:id="31" w:name="_Toc486196138"/>
      <w:bookmarkStart w:id="32" w:name="_Toc89333215"/>
      <w:r>
        <w:rPr>
          <w:rFonts w:hint="eastAsia" w:ascii="宋体" w:hAnsi="宋体" w:eastAsia="宋体" w:cs="Times New Roman"/>
          <w:b/>
          <w:bCs/>
          <w:color w:val="auto"/>
          <w:sz w:val="24"/>
          <w:szCs w:val="24"/>
          <w:highlight w:val="none"/>
        </w:rPr>
        <w:t>1</w:t>
      </w:r>
      <w:bookmarkEnd w:id="23"/>
      <w:bookmarkEnd w:id="24"/>
      <w:bookmarkEnd w:id="25"/>
      <w:bookmarkEnd w:id="26"/>
      <w:bookmarkEnd w:id="27"/>
      <w:r>
        <w:rPr>
          <w:rFonts w:hint="eastAsia" w:ascii="宋体" w:hAnsi="宋体" w:eastAsia="宋体" w:cs="Times New Roman"/>
          <w:b/>
          <w:bCs/>
          <w:color w:val="auto"/>
          <w:sz w:val="24"/>
          <w:szCs w:val="24"/>
          <w:highlight w:val="none"/>
        </w:rPr>
        <w:t>．项目基本情况、适用范围及定义</w:t>
      </w:r>
      <w:bookmarkEnd w:id="28"/>
      <w:bookmarkEnd w:id="29"/>
      <w:bookmarkEnd w:id="30"/>
      <w:bookmarkEnd w:id="31"/>
      <w:bookmarkEnd w:id="32"/>
    </w:p>
    <w:p>
      <w:pPr>
        <w:spacing w:line="400" w:lineRule="exact"/>
        <w:ind w:firstLine="480" w:firstLineChars="200"/>
        <w:rPr>
          <w:rFonts w:ascii="宋体" w:hAnsi="宋体" w:eastAsia="宋体" w:cs="Times New Roman"/>
          <w:color w:val="auto"/>
          <w:sz w:val="24"/>
          <w:szCs w:val="24"/>
          <w:highlight w:val="none"/>
        </w:rPr>
      </w:pPr>
      <w:bookmarkStart w:id="33" w:name="_Toc230578058"/>
      <w:bookmarkStart w:id="34" w:name="_Toc207770836"/>
      <w:bookmarkStart w:id="35" w:name="_Toc185702550"/>
      <w:bookmarkStart w:id="36" w:name="_Toc206525683"/>
      <w:bookmarkStart w:id="37" w:name="_Toc239839864"/>
      <w:r>
        <w:rPr>
          <w:rFonts w:ascii="宋体" w:hAnsi="宋体" w:eastAsia="宋体" w:cs="Times New Roman"/>
          <w:color w:val="auto"/>
          <w:sz w:val="24"/>
          <w:szCs w:val="24"/>
          <w:highlight w:val="none"/>
        </w:rPr>
        <w:t>1.1项目基本情况：见须知前附表。</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1.2采购人：见须知前附表。</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1.3采购代理机构：见须知前附表。</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1.4监督部门：见须知前附表。</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1.5适用范围：本竞争性磋商文件仅适用于本次招标中所述项目的工程、货物、服务类政府采购项目。</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1.6定义：</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1.6.1“招标采购单位”系指采购人、采购代理机构。</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1.6.2“采购人”系指本次采购项目的业主方或买方。</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1.6.3“采购代理机构”系指本次采购项目活动组织方。</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1.6.4“供应商”系指按要求</w:t>
      </w:r>
      <w:r>
        <w:rPr>
          <w:rFonts w:hint="eastAsia" w:ascii="宋体" w:hAnsi="宋体" w:eastAsia="宋体" w:cs="Times New Roman"/>
          <w:color w:val="auto"/>
          <w:sz w:val="24"/>
          <w:szCs w:val="24"/>
          <w:highlight w:val="none"/>
          <w:lang w:eastAsia="zh-CN"/>
        </w:rPr>
        <w:t>在</w:t>
      </w:r>
      <w:r>
        <w:rPr>
          <w:rFonts w:ascii="宋体" w:hAnsi="宋体" w:eastAsia="宋体" w:cs="Times New Roman"/>
          <w:color w:val="auto"/>
          <w:sz w:val="24"/>
          <w:szCs w:val="24"/>
          <w:highlight w:val="none"/>
        </w:rPr>
        <w:t>“政采云”平台（http：//www.zcygov.cn）下载竞争性磋商文件且提交“响应文件”参加采购活动的单位。在磋商阶段称为潜在供应商；在签订和履行合同阶段称为成交人。</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1.6.5“响应文件”是指供应商根据竞争性磋商文件要求，编制包含报价、技术和服务等所有内容的文件。</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1.6.6“公章”系指供应商通过指定电子化政府采购平台办理数字证书（CA认证）获得的以法定主体行为名称制作的电子印章。</w:t>
      </w:r>
    </w:p>
    <w:p>
      <w:pPr>
        <w:spacing w:line="400" w:lineRule="exact"/>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1.6.7“财政部门指定的政府采购信息发布媒体”系指</w:t>
      </w:r>
      <w:r>
        <w:rPr>
          <w:rFonts w:ascii="宋体" w:hAnsi="宋体" w:eastAsia="宋体" w:cs="宋体"/>
          <w:color w:val="auto"/>
          <w:sz w:val="24"/>
          <w:szCs w:val="24"/>
          <w:highlight w:val="none"/>
          <w:u w:val="single"/>
        </w:rPr>
        <w:t>中国政府采购网（www.ccgp.gov.cn）、广西壮族自治区政府采购网（http://zfcg.gxzf.gov.cn/）、全国公共资源交易平台（广西·玉林）（ggzy.yulin.gov.cn）。</w:t>
      </w:r>
    </w:p>
    <w:p>
      <w:pPr>
        <w:keepNext/>
        <w:keepLines/>
        <w:spacing w:line="400" w:lineRule="exact"/>
        <w:outlineLvl w:val="1"/>
        <w:rPr>
          <w:rFonts w:ascii="宋体" w:hAnsi="宋体" w:eastAsia="宋体" w:cs="Times New Roman"/>
          <w:b/>
          <w:bCs/>
          <w:color w:val="auto"/>
          <w:sz w:val="24"/>
          <w:szCs w:val="24"/>
          <w:highlight w:val="none"/>
        </w:rPr>
      </w:pPr>
      <w:bookmarkStart w:id="38" w:name="_Toc486196139"/>
      <w:bookmarkStart w:id="39" w:name="_Toc486922956"/>
      <w:bookmarkStart w:id="40" w:name="_Toc89332968"/>
      <w:bookmarkStart w:id="41" w:name="_Toc89333216"/>
      <w:bookmarkStart w:id="42" w:name="_Toc88065552"/>
      <w:r>
        <w:rPr>
          <w:rFonts w:hint="eastAsia" w:ascii="宋体" w:hAnsi="宋体" w:eastAsia="宋体" w:cs="Times New Roman"/>
          <w:b/>
          <w:bCs/>
          <w:color w:val="auto"/>
          <w:sz w:val="24"/>
          <w:szCs w:val="24"/>
          <w:highlight w:val="none"/>
        </w:rPr>
        <w:t>2</w:t>
      </w:r>
      <w:bookmarkEnd w:id="33"/>
      <w:bookmarkEnd w:id="34"/>
      <w:bookmarkEnd w:id="35"/>
      <w:bookmarkEnd w:id="36"/>
      <w:bookmarkEnd w:id="37"/>
      <w:r>
        <w:rPr>
          <w:rFonts w:hint="eastAsia" w:ascii="宋体" w:hAnsi="宋体" w:eastAsia="宋体" w:cs="Times New Roman"/>
          <w:b/>
          <w:bCs/>
          <w:color w:val="auto"/>
          <w:sz w:val="24"/>
          <w:szCs w:val="24"/>
          <w:highlight w:val="none"/>
        </w:rPr>
        <w:t>．合格的</w:t>
      </w:r>
      <w:bookmarkEnd w:id="38"/>
      <w:bookmarkEnd w:id="39"/>
      <w:r>
        <w:rPr>
          <w:rFonts w:hint="eastAsia" w:ascii="宋体" w:hAnsi="宋体" w:eastAsia="宋体" w:cs="Times New Roman"/>
          <w:b/>
          <w:bCs/>
          <w:color w:val="auto"/>
          <w:sz w:val="24"/>
          <w:szCs w:val="24"/>
          <w:highlight w:val="none"/>
        </w:rPr>
        <w:t>供应商</w:t>
      </w:r>
      <w:bookmarkEnd w:id="40"/>
      <w:bookmarkEnd w:id="41"/>
      <w:bookmarkEnd w:id="42"/>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Times New Roman" w:hAnsi="宋体" w:eastAsia="宋体" w:cs="Times New Roman"/>
          <w:color w:val="auto"/>
          <w:sz w:val="24"/>
          <w:szCs w:val="24"/>
          <w:highlight w:val="none"/>
        </w:rPr>
        <w:t>供应商</w:t>
      </w:r>
      <w:r>
        <w:rPr>
          <w:rFonts w:hint="eastAsia" w:ascii="宋体" w:hAnsi="宋体" w:eastAsia="宋体" w:cs="宋体"/>
          <w:color w:val="auto"/>
          <w:sz w:val="24"/>
          <w:szCs w:val="24"/>
          <w:highlight w:val="none"/>
        </w:rPr>
        <w:t>应符合《中华人民共和国政府采购法》第二十二条规定条件，并符合采购文件规定的资格要求及特殊条件要求。</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2.2对在“信用中国”网站(www.creditchina.gov.cn)、中国政府采购网(www.ccgp.gov.cn)列入失信被执行人、重大税收违法案件当事人名单、政府采购严重违法失信行为记录名单的</w:t>
      </w:r>
      <w:r>
        <w:rPr>
          <w:rFonts w:hint="eastAsia" w:ascii="Times New Roman" w:hAnsi="宋体" w:eastAsia="宋体" w:cs="Times New Roman"/>
          <w:color w:val="auto"/>
          <w:sz w:val="24"/>
          <w:szCs w:val="24"/>
          <w:highlight w:val="none"/>
        </w:rPr>
        <w:t>供应商</w:t>
      </w:r>
      <w:r>
        <w:rPr>
          <w:rFonts w:hint="eastAsia" w:ascii="宋体" w:hAnsi="宋体" w:eastAsia="宋体" w:cs="宋体"/>
          <w:color w:val="auto"/>
          <w:sz w:val="24"/>
          <w:szCs w:val="24"/>
          <w:highlight w:val="none"/>
        </w:rPr>
        <w:t>，不得参与政府采购活动。</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Times New Roman" w:hAnsi="宋体" w:eastAsia="宋体" w:cs="Times New Roman"/>
          <w:color w:val="auto"/>
          <w:sz w:val="24"/>
          <w:szCs w:val="24"/>
          <w:highlight w:val="none"/>
        </w:rPr>
        <w:t>供应商</w:t>
      </w:r>
      <w:r>
        <w:rPr>
          <w:rFonts w:hint="eastAsia" w:ascii="宋体" w:hAnsi="宋体" w:eastAsia="宋体" w:cs="宋体"/>
          <w:color w:val="auto"/>
          <w:sz w:val="24"/>
          <w:szCs w:val="24"/>
          <w:highlight w:val="none"/>
        </w:rPr>
        <w:t>不得直接或间接地与为本次采购的项目内容进行设计、编制规范和其他文件的咨询公司、采购代理机构或其附属机构有任何关联。</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Times New Roman" w:hAnsi="宋体" w:eastAsia="宋体" w:cs="Times New Roman"/>
          <w:color w:val="auto"/>
          <w:sz w:val="24"/>
          <w:szCs w:val="24"/>
          <w:highlight w:val="none"/>
        </w:rPr>
        <w:t>供应商</w:t>
      </w:r>
      <w:r>
        <w:rPr>
          <w:rFonts w:hint="eastAsia" w:ascii="宋体" w:hAnsi="宋体" w:eastAsia="宋体" w:cs="宋体"/>
          <w:color w:val="auto"/>
          <w:sz w:val="24"/>
          <w:szCs w:val="24"/>
          <w:highlight w:val="none"/>
        </w:rPr>
        <w:t>应在响应文件中须主动填报参加政府采购活动前三年内在经营活动中有无重大违法记录（含其授权服务的子公司、分公司等）。</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 符合</w:t>
      </w:r>
      <w:r>
        <w:rPr>
          <w:rFonts w:hint="eastAsia" w:ascii="Times New Roman" w:hAnsi="宋体" w:eastAsia="宋体" w:cs="Times New Roman"/>
          <w:color w:val="auto"/>
          <w:sz w:val="24"/>
          <w:szCs w:val="24"/>
          <w:highlight w:val="none"/>
        </w:rPr>
        <w:t>供应商</w:t>
      </w:r>
      <w:r>
        <w:rPr>
          <w:rFonts w:hint="eastAsia" w:ascii="宋体" w:hAnsi="宋体" w:eastAsia="宋体" w:cs="宋体"/>
          <w:color w:val="auto"/>
          <w:sz w:val="24"/>
          <w:szCs w:val="24"/>
          <w:highlight w:val="none"/>
        </w:rPr>
        <w:t>资格的供应商应承担磋商及履约中应承担的全部责任与义务。</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2.6 凡两家或以上供应商参加同一项目采购，有如下情形的，一经发现，将视为串标处理：</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（1）为同一法人代表的；</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（2）为同一股东控股的；</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（3）其中一家公司为其他公司最大股东的。</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（4）不同供应商的响应文件由同一单位或者个人编制；</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（5）不同供应商委托同一单位或者个人办理磋商事宜；</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（6）不同供应商的响应文件载明的项目管理成员（项目经办人）为同一人；</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（7）不同供应商的响应文件异常一致或者磋商报价呈规律性差异；</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（8）不同供应商的响应文件相互混装；</w:t>
      </w:r>
    </w:p>
    <w:p>
      <w:pPr>
        <w:keepNext/>
        <w:keepLines/>
        <w:spacing w:line="400" w:lineRule="exact"/>
        <w:outlineLvl w:val="1"/>
        <w:rPr>
          <w:rFonts w:ascii="宋体" w:hAnsi="宋体" w:eastAsia="宋体" w:cs="Times New Roman"/>
          <w:b/>
          <w:bCs/>
          <w:color w:val="auto"/>
          <w:sz w:val="24"/>
          <w:szCs w:val="24"/>
          <w:highlight w:val="none"/>
        </w:rPr>
      </w:pPr>
      <w:bookmarkStart w:id="43" w:name="_Toc207770837"/>
      <w:bookmarkStart w:id="44" w:name="_Toc89332969"/>
      <w:bookmarkStart w:id="45" w:name="_Toc239839865"/>
      <w:bookmarkStart w:id="46" w:name="_Toc185702551"/>
      <w:bookmarkStart w:id="47" w:name="_Toc486922957"/>
      <w:bookmarkStart w:id="48" w:name="_Toc206525684"/>
      <w:bookmarkStart w:id="49" w:name="_Toc230578059"/>
      <w:bookmarkStart w:id="50" w:name="_Toc89333217"/>
      <w:bookmarkStart w:id="51" w:name="_Toc88065553"/>
      <w:bookmarkStart w:id="52" w:name="_Toc486196140"/>
      <w:bookmarkStart w:id="53" w:name="OLE_LINK4"/>
      <w:r>
        <w:rPr>
          <w:rFonts w:hint="eastAsia" w:ascii="宋体" w:hAnsi="宋体" w:eastAsia="宋体" w:cs="Times New Roman"/>
          <w:b/>
          <w:bCs/>
          <w:color w:val="auto"/>
          <w:sz w:val="24"/>
          <w:szCs w:val="24"/>
          <w:highlight w:val="none"/>
        </w:rPr>
        <w:t>3．磋商费用</w:t>
      </w:r>
      <w:bookmarkEnd w:id="43"/>
      <w:bookmarkEnd w:id="44"/>
      <w:bookmarkEnd w:id="45"/>
      <w:bookmarkEnd w:id="46"/>
      <w:bookmarkEnd w:id="47"/>
      <w:bookmarkEnd w:id="48"/>
      <w:bookmarkEnd w:id="49"/>
      <w:bookmarkEnd w:id="50"/>
      <w:bookmarkEnd w:id="51"/>
      <w:bookmarkEnd w:id="52"/>
    </w:p>
    <w:bookmarkEnd w:id="53"/>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3.1供应商应承担所有与准备和参加政府采购活动有关的费用。不论磋商的结果如何，采购人和采购代理机构在任何情况下均无义务和责任承担此类费用。</w:t>
      </w:r>
    </w:p>
    <w:p>
      <w:pPr>
        <w:keepNext/>
        <w:keepLines/>
        <w:spacing w:line="400" w:lineRule="exact"/>
        <w:outlineLvl w:val="1"/>
        <w:rPr>
          <w:rFonts w:ascii="宋体" w:hAnsi="宋体" w:eastAsia="宋体" w:cs="Times New Roman"/>
          <w:b/>
          <w:bCs/>
          <w:color w:val="auto"/>
          <w:sz w:val="24"/>
          <w:szCs w:val="24"/>
          <w:highlight w:val="none"/>
        </w:rPr>
      </w:pPr>
      <w:bookmarkStart w:id="54" w:name="_Toc89333218"/>
      <w:bookmarkStart w:id="55" w:name="_Toc486196141"/>
      <w:bookmarkStart w:id="56" w:name="_Toc89332970"/>
      <w:bookmarkStart w:id="57" w:name="_Toc486922958"/>
      <w:bookmarkStart w:id="58" w:name="_Toc88065554"/>
      <w:r>
        <w:rPr>
          <w:rFonts w:hint="eastAsia" w:ascii="宋体" w:hAnsi="宋体" w:eastAsia="宋体" w:cs="Times New Roman"/>
          <w:b/>
          <w:bCs/>
          <w:color w:val="auto"/>
          <w:sz w:val="24"/>
          <w:szCs w:val="24"/>
          <w:highlight w:val="none"/>
        </w:rPr>
        <w:t>4．特别说明</w:t>
      </w:r>
      <w:bookmarkEnd w:id="54"/>
      <w:bookmarkEnd w:id="55"/>
      <w:bookmarkEnd w:id="56"/>
      <w:bookmarkEnd w:id="57"/>
      <w:bookmarkEnd w:id="58"/>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4.1关联供应商不得参加同一合同项下政府采购活动，否则响应文件将被视为无效。单位负责人为同一人或者存在直接控股、管理关系的不同的供应商，不得参加同一合同项下的政府采购活动</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4.2供应商磋商所使用的资格、信誉、荣誉、业绩与企业认证必须为本法人所拥有。供应商投入所使用的采购项目实施人员必须为本法人员工（或必须为本法人或控股公司正式员工）。</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4.3供应商应仔细阅读磋商文件的所有内容，按照磋商文件的要求提交响应文件，并对所提供的全部资料的真实性承担法律责任。</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4.4供应商在政府采购活动中提供任何虚假材料，其磋商无效，并报政府采购监管部门查处；中标后发现的，供应商须依照《中华人民共和国消费者权益保护法》第49条之规定双倍赔偿采购人，且民事赔偿并不免除违法供应商的行政与刑事责任。</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4.5本项目不允许转包、分包。如成交供应商出现转包或分包情形，采购单位有权取消其成交资格。</w:t>
      </w:r>
    </w:p>
    <w:p>
      <w:pPr>
        <w:keepNext/>
        <w:keepLines/>
        <w:spacing w:line="400" w:lineRule="exact"/>
        <w:outlineLvl w:val="1"/>
        <w:rPr>
          <w:rFonts w:ascii="宋体" w:hAnsi="宋体" w:eastAsia="宋体" w:cs="Times New Roman"/>
          <w:b/>
          <w:bCs/>
          <w:color w:val="auto"/>
          <w:sz w:val="24"/>
          <w:szCs w:val="24"/>
          <w:highlight w:val="none"/>
        </w:rPr>
      </w:pPr>
      <w:bookmarkStart w:id="59" w:name="_Toc486196142"/>
      <w:bookmarkStart w:id="60" w:name="_Toc89332971"/>
      <w:bookmarkStart w:id="61" w:name="_Toc88065555"/>
      <w:bookmarkStart w:id="62" w:name="_Toc486922959"/>
      <w:bookmarkStart w:id="63" w:name="_Toc89333219"/>
      <w:r>
        <w:rPr>
          <w:rFonts w:hint="eastAsia" w:ascii="宋体" w:hAnsi="宋体" w:eastAsia="宋体" w:cs="Times New Roman"/>
          <w:b/>
          <w:bCs/>
          <w:color w:val="auto"/>
          <w:sz w:val="24"/>
          <w:szCs w:val="24"/>
          <w:highlight w:val="none"/>
        </w:rPr>
        <w:t>5．询问、质疑和投诉</w:t>
      </w:r>
      <w:bookmarkEnd w:id="59"/>
      <w:bookmarkEnd w:id="60"/>
      <w:bookmarkEnd w:id="61"/>
      <w:bookmarkEnd w:id="62"/>
      <w:bookmarkEnd w:id="63"/>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5.1询问。</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供应商如发现内容有误或对政府采购活动事项有疑问的，应在磋商截止日期3日前的正常工作时间以书面形式向采购人或采购代理机构提出询问、澄清。采购人或采购代理机构自收到之日起3个工作日内对供应商依法提出的询问作出答复，但答复的内容不得涉及商业秘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5.2质疑。</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5.2.1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5.2.2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5.2.3供应商提出质疑应当提交质疑函和必要的证明材料。质疑函应当包括下列内容：</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（1）供应商的姓名或者名称、地址、邮编、联系人及联系电话；</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（2）质疑项目的名称、编号；</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（3）具体、明确的质疑事项和与质疑事项相关的请求；</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（4）事实依据；</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（5）必要的法律依据；</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（6）提出质疑的日期。</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质疑书应当署名。质疑供应商为自然人的，应当由本人签字；质疑供应商为法人或者其他组织的，应当由法定代表人或者主要负责人签字和盖章，并加盖公章。</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5.2.4供应商可以委托代理人进行质疑。其授权委托书应当载明代理人的姓名或者名称、代理事项、具体权限、期限和相关事项。供应商为自然人的，应当由本人签字；供应商为法人或者其他组织的，应当由法定代表人、主要负责人签字和盖章，并加盖公章。代理人提出质疑，应当提交供应商签署的授权委托书。</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5.2.5质疑函应明确阐述采购文件、采购过程、中标或者成交结果中使自己合法权益受到损害的实质性内容，提供相关事实、依据和证据及其来源或线索，便于有关单位调查、答复和处理。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5.2.6本项目只接受纸质材料形式的质疑，不接受电子送达的质疑材料，即不接受以传真、电子邮件、移动通信等即时收悉的特定系统作为送达媒介的质疑材料。供应商应在法定时间向采购人或采购代理机构提出质疑，接收质疑函的联系部门、联系电话和通讯地址见招标公告。不满足要求的质疑将不予受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5.2.7采购人、采购代理机构在收到供应商的质疑函后7个工作日内作出答复，并以书面形式通知质疑供应商和其他有关供应商。但答复的内容不得涉及商业秘密。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5.3投诉。</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质疑供应商对采购人、采购代理机构的答复不满意，或者采购人、采购代理机构未在规定时间内作出答复的，可以在答复期满后15个工作日内向同级财政部门提起投诉。</w:t>
      </w:r>
    </w:p>
    <w:p>
      <w:pPr>
        <w:spacing w:line="400" w:lineRule="exact"/>
        <w:ind w:firstLine="420"/>
        <w:rPr>
          <w:rFonts w:ascii="宋体" w:hAnsi="宋体" w:eastAsia="宋体" w:cs="Times New Roman"/>
          <w:color w:val="auto"/>
          <w:szCs w:val="21"/>
          <w:highlight w:val="none"/>
        </w:rPr>
      </w:pPr>
    </w:p>
    <w:p>
      <w:pPr>
        <w:keepNext/>
        <w:spacing w:line="400" w:lineRule="exact"/>
        <w:jc w:val="center"/>
        <w:outlineLvl w:val="0"/>
        <w:rPr>
          <w:rFonts w:ascii="宋体" w:hAnsi="宋体" w:eastAsia="宋体" w:cs="Times New Roman"/>
          <w:b/>
          <w:color w:val="auto"/>
          <w:sz w:val="32"/>
          <w:szCs w:val="32"/>
          <w:highlight w:val="none"/>
        </w:rPr>
      </w:pPr>
      <w:bookmarkStart w:id="64" w:name="_Toc185702552"/>
      <w:bookmarkStart w:id="65" w:name="_Toc207770838"/>
      <w:bookmarkStart w:id="66" w:name="_Toc206525685"/>
      <w:bookmarkStart w:id="67" w:name="_Toc486922960"/>
      <w:bookmarkStart w:id="68" w:name="_Toc230578060"/>
      <w:bookmarkStart w:id="69" w:name="_Toc89333220"/>
      <w:bookmarkStart w:id="70" w:name="_Toc88065556"/>
      <w:bookmarkStart w:id="71" w:name="_Toc486196143"/>
      <w:bookmarkStart w:id="72" w:name="_Toc239839866"/>
      <w:r>
        <w:rPr>
          <w:rFonts w:hint="eastAsia" w:ascii="宋体" w:hAnsi="宋体" w:eastAsia="宋体" w:cs="Times New Roman"/>
          <w:b/>
          <w:color w:val="auto"/>
          <w:sz w:val="32"/>
          <w:szCs w:val="32"/>
          <w:highlight w:val="none"/>
        </w:rPr>
        <w:t>二   竞争性磋商文件（简称磋商文件或采购文件）</w:t>
      </w:r>
      <w:bookmarkEnd w:id="64"/>
      <w:bookmarkEnd w:id="65"/>
      <w:bookmarkEnd w:id="66"/>
      <w:bookmarkEnd w:id="67"/>
      <w:bookmarkEnd w:id="68"/>
      <w:bookmarkEnd w:id="69"/>
      <w:bookmarkEnd w:id="70"/>
      <w:bookmarkEnd w:id="71"/>
      <w:bookmarkEnd w:id="72"/>
    </w:p>
    <w:p>
      <w:pPr>
        <w:keepNext/>
        <w:keepLines/>
        <w:spacing w:line="400" w:lineRule="exact"/>
        <w:outlineLvl w:val="1"/>
        <w:rPr>
          <w:rFonts w:ascii="宋体" w:hAnsi="宋体" w:eastAsia="宋体" w:cs="Times New Roman"/>
          <w:b/>
          <w:bCs/>
          <w:color w:val="auto"/>
          <w:sz w:val="24"/>
          <w:szCs w:val="24"/>
          <w:highlight w:val="none"/>
        </w:rPr>
      </w:pPr>
      <w:bookmarkStart w:id="73" w:name="_Toc230578061"/>
      <w:bookmarkStart w:id="74" w:name="_Toc185702553"/>
      <w:bookmarkStart w:id="75" w:name="_Toc88065557"/>
      <w:bookmarkStart w:id="76" w:name="_Toc89333221"/>
      <w:bookmarkStart w:id="77" w:name="_Toc206525686"/>
      <w:bookmarkStart w:id="78" w:name="_Toc239839867"/>
      <w:bookmarkStart w:id="79" w:name="_Toc89332973"/>
      <w:bookmarkStart w:id="80" w:name="_Toc207770839"/>
      <w:bookmarkStart w:id="81" w:name="_Toc486196144"/>
      <w:bookmarkStart w:id="82" w:name="_Toc486922961"/>
      <w:r>
        <w:rPr>
          <w:rFonts w:hint="eastAsia" w:ascii="宋体" w:hAnsi="宋体" w:eastAsia="宋体" w:cs="Times New Roman"/>
          <w:b/>
          <w:bCs/>
          <w:color w:val="auto"/>
          <w:sz w:val="24"/>
          <w:szCs w:val="24"/>
          <w:highlight w:val="none"/>
        </w:rPr>
        <w:t>6．磋商文件的构成</w:t>
      </w:r>
      <w:bookmarkEnd w:id="73"/>
      <w:bookmarkEnd w:id="74"/>
      <w:bookmarkEnd w:id="75"/>
      <w:bookmarkEnd w:id="76"/>
      <w:bookmarkEnd w:id="77"/>
      <w:bookmarkEnd w:id="78"/>
      <w:bookmarkEnd w:id="79"/>
      <w:bookmarkEnd w:id="80"/>
      <w:bookmarkEnd w:id="81"/>
      <w:bookmarkEnd w:id="82"/>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6.1磋商文件</w:t>
      </w:r>
      <w:r>
        <w:rPr>
          <w:rFonts w:ascii="宋体" w:hAnsi="宋体" w:eastAsia="宋体" w:cs="宋体"/>
          <w:color w:val="auto"/>
          <w:sz w:val="24"/>
          <w:szCs w:val="24"/>
          <w:highlight w:val="none"/>
        </w:rPr>
        <w:t>由下列</w:t>
      </w:r>
      <w:r>
        <w:rPr>
          <w:rFonts w:ascii="宋体" w:hAnsi="宋体" w:eastAsia="宋体" w:cs="Times New Roman"/>
          <w:color w:val="auto"/>
          <w:sz w:val="24"/>
          <w:szCs w:val="24"/>
          <w:highlight w:val="none"/>
        </w:rPr>
        <w:t>文件</w:t>
      </w:r>
      <w:r>
        <w:rPr>
          <w:rFonts w:ascii="宋体" w:hAnsi="宋体" w:eastAsia="宋体" w:cs="宋体"/>
          <w:color w:val="auto"/>
          <w:sz w:val="24"/>
          <w:szCs w:val="24"/>
          <w:highlight w:val="none"/>
        </w:rPr>
        <w:t>以及在采购过程中发出的更改、修正和补充文件组成</w:t>
      </w:r>
      <w:r>
        <w:rPr>
          <w:rFonts w:ascii="宋体" w:hAnsi="宋体" w:eastAsia="宋体" w:cs="Times New Roman"/>
          <w:color w:val="auto"/>
          <w:sz w:val="24"/>
          <w:szCs w:val="24"/>
          <w:highlight w:val="none"/>
        </w:rPr>
        <w:t>：</w:t>
      </w:r>
    </w:p>
    <w:p>
      <w:pPr>
        <w:spacing w:line="400" w:lineRule="exact"/>
        <w:ind w:firstLine="42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第一章  竞争性磋商公告</w:t>
      </w:r>
    </w:p>
    <w:p>
      <w:pPr>
        <w:spacing w:line="400" w:lineRule="exact"/>
        <w:ind w:firstLine="42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第二章  供应商须知及前附表</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第三章  项目内容及要求</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第四章  </w:t>
      </w:r>
      <w:r>
        <w:rPr>
          <w:rFonts w:ascii="宋体" w:hAnsi="宋体" w:eastAsia="宋体" w:cs="宋体"/>
          <w:color w:val="auto"/>
          <w:spacing w:val="2"/>
          <w:sz w:val="24"/>
          <w:szCs w:val="24"/>
          <w:highlight w:val="none"/>
        </w:rPr>
        <w:t>工程量清单</w:t>
      </w:r>
    </w:p>
    <w:p>
      <w:pPr>
        <w:spacing w:line="400" w:lineRule="exact"/>
        <w:ind w:firstLine="420"/>
        <w:rPr>
          <w:rFonts w:ascii="宋体" w:hAnsi="宋体" w:eastAsia="宋体" w:cs="Times New Roman"/>
          <w:strike/>
          <w:color w:val="auto"/>
          <w:sz w:val="24"/>
          <w:szCs w:val="24"/>
          <w:highlight w:val="none"/>
        </w:rPr>
      </w:pPr>
      <w:r>
        <w:rPr>
          <w:rFonts w:ascii="宋体" w:hAnsi="宋体" w:eastAsia="宋体" w:cs="Times New Roman"/>
          <w:color w:val="auto"/>
          <w:sz w:val="24"/>
          <w:szCs w:val="24"/>
          <w:highlight w:val="none"/>
        </w:rPr>
        <w:t xml:space="preserve">第五章  </w:t>
      </w:r>
      <w:r>
        <w:rPr>
          <w:rFonts w:ascii="宋体" w:hAnsi="宋体" w:eastAsia="宋体" w:cs="宋体"/>
          <w:color w:val="auto"/>
          <w:sz w:val="24"/>
          <w:szCs w:val="24"/>
          <w:highlight w:val="none"/>
        </w:rPr>
        <w:t>采购合同（格式）</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第六章  评标办法</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第七章  响应文件（格式）</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响应文件被拒绝，或被认定为无效响应文件或被确定为响应无效。</w:t>
      </w:r>
    </w:p>
    <w:p>
      <w:pPr>
        <w:keepNext/>
        <w:keepLines/>
        <w:spacing w:line="400" w:lineRule="exact"/>
        <w:outlineLvl w:val="1"/>
        <w:rPr>
          <w:rFonts w:ascii="宋体" w:hAnsi="宋体" w:eastAsia="宋体" w:cs="Times New Roman"/>
          <w:b/>
          <w:bCs/>
          <w:color w:val="auto"/>
          <w:sz w:val="24"/>
          <w:szCs w:val="24"/>
          <w:highlight w:val="none"/>
        </w:rPr>
      </w:pPr>
      <w:bookmarkStart w:id="83" w:name="_Toc89333222"/>
      <w:bookmarkStart w:id="84" w:name="_Toc230578062"/>
      <w:bookmarkStart w:id="85" w:name="_Toc207770840"/>
      <w:bookmarkStart w:id="86" w:name="_Toc206525687"/>
      <w:bookmarkStart w:id="87" w:name="_Toc185702554"/>
      <w:bookmarkStart w:id="88" w:name="_Toc239839868"/>
      <w:bookmarkStart w:id="89" w:name="_Toc88065558"/>
      <w:bookmarkStart w:id="90" w:name="_Toc89332974"/>
      <w:bookmarkStart w:id="91" w:name="_Toc486196145"/>
      <w:bookmarkStart w:id="92" w:name="_Toc486922962"/>
      <w:r>
        <w:rPr>
          <w:rFonts w:hint="eastAsia" w:ascii="宋体" w:hAnsi="宋体" w:eastAsia="宋体" w:cs="Times New Roman"/>
          <w:b/>
          <w:bCs/>
          <w:color w:val="auto"/>
          <w:sz w:val="24"/>
          <w:szCs w:val="24"/>
          <w:highlight w:val="none"/>
        </w:rPr>
        <w:t>7．磋商文件的澄清和修改</w:t>
      </w:r>
      <w:bookmarkEnd w:id="83"/>
      <w:bookmarkEnd w:id="84"/>
      <w:bookmarkEnd w:id="85"/>
      <w:bookmarkEnd w:id="86"/>
      <w:bookmarkEnd w:id="87"/>
      <w:bookmarkEnd w:id="88"/>
      <w:bookmarkEnd w:id="89"/>
      <w:bookmarkEnd w:id="90"/>
      <w:bookmarkEnd w:id="91"/>
      <w:bookmarkEnd w:id="92"/>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7.1供应商如发现采购文件内容有误或对</w:t>
      </w:r>
      <w:r>
        <w:rPr>
          <w:rFonts w:ascii="宋体" w:hAnsi="宋体" w:eastAsia="宋体" w:cs="宋体"/>
          <w:color w:val="auto"/>
          <w:kern w:val="0"/>
          <w:sz w:val="24"/>
          <w:szCs w:val="24"/>
          <w:highlight w:val="none"/>
        </w:rPr>
        <w:t>政府采购活动事项有疑问</w:t>
      </w:r>
      <w:r>
        <w:rPr>
          <w:rFonts w:ascii="宋体" w:hAnsi="宋体" w:eastAsia="宋体" w:cs="Times New Roman"/>
          <w:color w:val="auto"/>
          <w:sz w:val="24"/>
          <w:szCs w:val="24"/>
          <w:highlight w:val="none"/>
        </w:rPr>
        <w:t>的，应在提交首次响应文件截止时间5日前以书面形式向采购人或采购代理机构提出澄清或者询问。采购人、采购代理机构将</w:t>
      </w:r>
      <w:r>
        <w:rPr>
          <w:rFonts w:ascii="宋体" w:hAnsi="宋体" w:eastAsia="宋体" w:cs="宋体"/>
          <w:color w:val="auto"/>
          <w:kern w:val="0"/>
          <w:sz w:val="24"/>
          <w:szCs w:val="24"/>
          <w:highlight w:val="none"/>
        </w:rPr>
        <w:t>在3个工作日内对供应商依法提出的询问作出答复。</w:t>
      </w:r>
    </w:p>
    <w:p>
      <w:pPr>
        <w:spacing w:line="400" w:lineRule="exact"/>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7.2提交首次响应文件截止之日前，采购人、采购代理机构对已发出的磋商文件进行必要的澄清或者修改</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澄清或者修改的内容作为磋商文件的组成部分</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如澄清或者修改的内容可能影响响应文件编制的，采购人、采购代理机构在提交首次响应文件截止之日</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日前，以书面形式</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在政府采购信息发布媒体上发布变更公告</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通知所有</w:t>
      </w:r>
      <w:r>
        <w:rPr>
          <w:rFonts w:hint="eastAsia" w:ascii="宋体" w:hAnsi="宋体" w:eastAsia="宋体" w:cs="Times New Roman"/>
          <w:color w:val="auto"/>
          <w:sz w:val="24"/>
          <w:szCs w:val="24"/>
          <w:highlight w:val="none"/>
        </w:rPr>
        <w:t>获取</w:t>
      </w:r>
      <w:r>
        <w:rPr>
          <w:rFonts w:ascii="宋体" w:hAnsi="宋体" w:eastAsia="宋体" w:cs="Times New Roman"/>
          <w:color w:val="auto"/>
          <w:sz w:val="24"/>
          <w:szCs w:val="24"/>
          <w:highlight w:val="none"/>
        </w:rPr>
        <w:t>磋商文件的供应商，不足</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日的，应当顺延提交首次响应文件截止</w:t>
      </w:r>
      <w:r>
        <w:rPr>
          <w:rFonts w:hint="eastAsia" w:ascii="宋体" w:hAnsi="宋体" w:eastAsia="宋体" w:cs="Times New Roman"/>
          <w:color w:val="auto"/>
          <w:sz w:val="24"/>
          <w:szCs w:val="24"/>
          <w:highlight w:val="none"/>
          <w:lang w:eastAsia="zh-CN"/>
        </w:rPr>
        <w:t>时间</w:t>
      </w:r>
      <w:r>
        <w:rPr>
          <w:rFonts w:ascii="宋体" w:hAnsi="宋体" w:eastAsia="宋体" w:cs="Times New Roman"/>
          <w:color w:val="auto"/>
          <w:sz w:val="24"/>
          <w:szCs w:val="24"/>
          <w:highlight w:val="none"/>
        </w:rPr>
        <w:t>。</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所有与本项目相关的澄清、修改、补遗的内容作为磋商文件的组成部分。该所有通知文件在政府采购信息媒体发布之日起，视为供应商已收到该通知。供应商未及时关注网站上发布的通知文件造成的损失，由供应商负责。</w:t>
      </w:r>
    </w:p>
    <w:p>
      <w:pPr>
        <w:spacing w:line="400" w:lineRule="exact"/>
        <w:ind w:firstLine="420"/>
        <w:rPr>
          <w:rFonts w:ascii="宋体" w:hAnsi="宋体" w:eastAsia="宋体" w:cs="Times New Roman"/>
          <w:color w:val="auto"/>
          <w:sz w:val="24"/>
          <w:szCs w:val="24"/>
          <w:highlight w:val="none"/>
        </w:rPr>
      </w:pPr>
    </w:p>
    <w:p>
      <w:pPr>
        <w:keepNext/>
        <w:spacing w:line="400" w:lineRule="exact"/>
        <w:jc w:val="center"/>
        <w:outlineLvl w:val="0"/>
        <w:rPr>
          <w:rFonts w:ascii="宋体" w:hAnsi="宋体" w:eastAsia="宋体" w:cs="Times New Roman"/>
          <w:b/>
          <w:color w:val="auto"/>
          <w:sz w:val="32"/>
          <w:szCs w:val="32"/>
          <w:highlight w:val="none"/>
        </w:rPr>
      </w:pPr>
      <w:bookmarkStart w:id="93" w:name="_Toc185702555"/>
      <w:bookmarkStart w:id="94" w:name="_Toc486922963"/>
      <w:bookmarkStart w:id="95" w:name="_Toc486196146"/>
      <w:bookmarkStart w:id="96" w:name="_Toc239839869"/>
      <w:bookmarkStart w:id="97" w:name="_Toc88065559"/>
      <w:bookmarkStart w:id="98" w:name="_Toc206525688"/>
      <w:bookmarkStart w:id="99" w:name="_Toc230578063"/>
      <w:bookmarkStart w:id="100" w:name="_Toc207770841"/>
      <w:bookmarkStart w:id="101" w:name="_Toc89333223"/>
      <w:r>
        <w:rPr>
          <w:rFonts w:hint="eastAsia" w:ascii="宋体" w:hAnsi="宋体" w:eastAsia="宋体" w:cs="Times New Roman"/>
          <w:b/>
          <w:color w:val="auto"/>
          <w:sz w:val="32"/>
          <w:szCs w:val="32"/>
          <w:highlight w:val="none"/>
        </w:rPr>
        <w:t>三   响应文件的编制</w:t>
      </w:r>
      <w:bookmarkEnd w:id="93"/>
      <w:bookmarkEnd w:id="94"/>
      <w:bookmarkEnd w:id="95"/>
      <w:bookmarkEnd w:id="96"/>
      <w:bookmarkEnd w:id="97"/>
      <w:bookmarkEnd w:id="98"/>
      <w:bookmarkEnd w:id="99"/>
      <w:bookmarkEnd w:id="100"/>
      <w:bookmarkEnd w:id="101"/>
    </w:p>
    <w:p>
      <w:pPr>
        <w:keepNext/>
        <w:keepLines/>
        <w:spacing w:line="400" w:lineRule="exact"/>
        <w:outlineLvl w:val="1"/>
        <w:rPr>
          <w:rFonts w:ascii="宋体" w:hAnsi="宋体" w:eastAsia="宋体" w:cs="Times New Roman"/>
          <w:b/>
          <w:bCs/>
          <w:color w:val="auto"/>
          <w:sz w:val="24"/>
          <w:szCs w:val="24"/>
          <w:highlight w:val="none"/>
        </w:rPr>
      </w:pPr>
      <w:bookmarkStart w:id="102" w:name="_Toc185702556"/>
      <w:bookmarkStart w:id="103" w:name="_Toc206525689"/>
      <w:bookmarkStart w:id="104" w:name="_Toc230578064"/>
      <w:bookmarkStart w:id="105" w:name="_Toc239839870"/>
      <w:bookmarkStart w:id="106" w:name="_Toc207770842"/>
      <w:bookmarkStart w:id="107" w:name="_Toc486922964"/>
      <w:bookmarkStart w:id="108" w:name="_Toc88065560"/>
      <w:bookmarkStart w:id="109" w:name="_Toc89333224"/>
      <w:bookmarkStart w:id="110" w:name="_Toc89332976"/>
      <w:bookmarkStart w:id="111" w:name="_Toc486196147"/>
      <w:r>
        <w:rPr>
          <w:rFonts w:hint="eastAsia" w:ascii="宋体" w:hAnsi="宋体" w:eastAsia="宋体" w:cs="Times New Roman"/>
          <w:b/>
          <w:bCs/>
          <w:color w:val="auto"/>
          <w:sz w:val="24"/>
          <w:szCs w:val="24"/>
          <w:highlight w:val="none"/>
        </w:rPr>
        <w:t>8．响应文件编</w:t>
      </w:r>
      <w:bookmarkEnd w:id="102"/>
      <w:bookmarkEnd w:id="103"/>
      <w:bookmarkEnd w:id="104"/>
      <w:bookmarkEnd w:id="105"/>
      <w:bookmarkEnd w:id="106"/>
      <w:r>
        <w:rPr>
          <w:rFonts w:hint="eastAsia" w:ascii="宋体" w:hAnsi="宋体" w:eastAsia="宋体" w:cs="Times New Roman"/>
          <w:b/>
          <w:bCs/>
          <w:color w:val="auto"/>
          <w:sz w:val="24"/>
          <w:szCs w:val="24"/>
          <w:highlight w:val="none"/>
        </w:rPr>
        <w:t>制</w:t>
      </w:r>
      <w:bookmarkEnd w:id="107"/>
      <w:bookmarkEnd w:id="108"/>
      <w:bookmarkEnd w:id="109"/>
      <w:bookmarkEnd w:id="110"/>
      <w:bookmarkEnd w:id="111"/>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8.1本项目只接收电子版响应文件,供应商应仔细阅读磋商文件，按磋商文件的要求编制响应文件。如果没有按磋商文件要求提交响应文件，没有对磋商文件提出的实质性要求和条件作出响应，其响应文件无效。</w:t>
      </w:r>
    </w:p>
    <w:p>
      <w:pPr>
        <w:spacing w:line="400" w:lineRule="exact"/>
        <w:ind w:firstLine="472" w:firstLineChars="200"/>
        <w:rPr>
          <w:rFonts w:ascii="宋体" w:hAnsi="宋体" w:eastAsia="宋体" w:cs="Times New Roman"/>
          <w:color w:val="auto"/>
          <w:spacing w:val="-2"/>
          <w:sz w:val="24"/>
          <w:szCs w:val="24"/>
          <w:highlight w:val="none"/>
        </w:rPr>
      </w:pPr>
      <w:r>
        <w:rPr>
          <w:rFonts w:ascii="宋体" w:hAnsi="宋体" w:eastAsia="宋体" w:cs="Times New Roman"/>
          <w:color w:val="auto"/>
          <w:spacing w:val="-2"/>
          <w:sz w:val="24"/>
          <w:szCs w:val="24"/>
          <w:highlight w:val="none"/>
        </w:rPr>
        <w:t>8.2对磋商文件提出的实质性要求和条件作出响应是指供应商必须对磋商文件中涉及磋商项目的价格、技术要求、数量、售后服务及其它要求、合同主要条款等内容作出满足或者优于原要求和条件的承诺。</w:t>
      </w:r>
    </w:p>
    <w:p>
      <w:pPr>
        <w:spacing w:line="400" w:lineRule="exact"/>
        <w:ind w:left="479" w:leftChars="228"/>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8.3在磋商报价表中，供应商必须按格式文件完整填写，不能自行修改格式内容。</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宋体"/>
          <w:color w:val="auto"/>
          <w:sz w:val="24"/>
          <w:szCs w:val="24"/>
          <w:highlight w:val="none"/>
        </w:rPr>
        <w:t>8.4供应商</w:t>
      </w:r>
      <w:r>
        <w:rPr>
          <w:rFonts w:hint="eastAsia" w:ascii="Times New Roman" w:hAnsi="宋体" w:eastAsia="宋体" w:cs="Times New Roman"/>
          <w:color w:val="auto"/>
          <w:sz w:val="24"/>
          <w:szCs w:val="24"/>
          <w:highlight w:val="none"/>
        </w:rPr>
        <w:t>应仔细阅读竞争性磋商文件，在充分了解招标的内容、工程量清单和实质性要求条件后，编写响应文件。</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8.5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8.6供应商应认真阅读、并充分理解本文件的全部内容（包括所有的补充、修改内容），承诺并履行本文件中各项条款规定及要求。</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8.7 响应文件必须按本文件的全部内容，包括所有的补充通知及附件进行编制。</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8.8 如因供应商只填写和提供了本文件要求的部分内容和附件，而给评审造成困难，其可能导致的结果和责任由供应商自行承担。</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8.9 响应文件中</w:t>
      </w:r>
      <w:r>
        <w:rPr>
          <w:rFonts w:hint="eastAsia" w:ascii="宋体" w:hAnsi="Times New Roman" w:eastAsia="宋体" w:cs="Times New Roman"/>
          <w:b/>
          <w:bCs/>
          <w:color w:val="auto"/>
          <w:sz w:val="24"/>
          <w:szCs w:val="24"/>
          <w:highlight w:val="none"/>
        </w:rPr>
        <w:t>所须加盖公章位置均采用CA签章</w:t>
      </w:r>
      <w:r>
        <w:rPr>
          <w:rFonts w:hint="eastAsia" w:ascii="宋体" w:hAnsi="Times New Roman" w:eastAsia="宋体" w:cs="Times New Roman"/>
          <w:color w:val="auto"/>
          <w:sz w:val="24"/>
          <w:szCs w:val="24"/>
          <w:highlight w:val="none"/>
        </w:rPr>
        <w:t>。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8.10 竞争性磋商采购文件</w:t>
      </w:r>
      <w:r>
        <w:rPr>
          <w:rFonts w:hint="eastAsia" w:ascii="宋体" w:hAnsi="Times New Roman" w:eastAsia="宋体" w:cs="Times New Roman"/>
          <w:b/>
          <w:bCs/>
          <w:color w:val="auto"/>
          <w:sz w:val="24"/>
          <w:szCs w:val="24"/>
          <w:highlight w:val="none"/>
        </w:rPr>
        <w:t>要求提供的各种复印件，须加盖供应商CA签章</w:t>
      </w:r>
      <w:r>
        <w:rPr>
          <w:rFonts w:hint="eastAsia" w:ascii="宋体" w:hAnsi="Times New Roman" w:eastAsia="宋体" w:cs="Times New Roman"/>
          <w:color w:val="auto"/>
          <w:sz w:val="24"/>
          <w:szCs w:val="24"/>
          <w:highlight w:val="none"/>
        </w:rPr>
        <w:t>，否则其磋商无效。</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8.11 竞争性磋商采购文件要求“必须提供”的证明等材料，供应商必须全部提供，缺一不可，否则磋商无效。</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8.12 响应文件应用不褪色的材料书写或打印，保证其清楚、工整，相关材料的复印件应清晰可辨认。响应文件字迹潦草、表达不清、模糊无法辨认而导致非唯一理解是供应商的风险，很可能导致该磋商无效。</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8.13 第五章“响应文件格式”中规定了响应文件格式的，应按相应格式要求编写。</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8.14 响应文件应由供应商的法定代表人或其委托代理人在凡规定签章处逐一签字或盖章并加盖单位公章。响应文件应尽量避免涂改、行间插字或删除。如果出现上述情况，改动之处应加盖单位公章或由供应商的法定代表人或其委托代理人签字或盖章确认。</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8.15 响应文件应编制目录，且页码清晰准确。</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宋体"/>
          <w:color w:val="auto"/>
          <w:sz w:val="24"/>
          <w:szCs w:val="24"/>
          <w:highlight w:val="none"/>
        </w:rPr>
        <w:t>8.16 供应商</w:t>
      </w:r>
      <w:r>
        <w:rPr>
          <w:rFonts w:hint="eastAsia" w:ascii="Times New Roman" w:hAnsi="宋体" w:eastAsia="宋体" w:cs="Times New Roman"/>
          <w:color w:val="auto"/>
          <w:sz w:val="24"/>
          <w:szCs w:val="24"/>
          <w:highlight w:val="none"/>
        </w:rPr>
        <w:t>应仔细阅读竞争性磋商文件，在充分了解招标的内容、工程量清单和实质性要求条件后，编写响应文件。</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Times New Roman" w:eastAsia="宋体" w:cs="Times New Roman"/>
          <w:color w:val="auto"/>
          <w:sz w:val="24"/>
          <w:szCs w:val="24"/>
          <w:highlight w:val="none"/>
        </w:rPr>
        <w:t>8.17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bookmarkStart w:id="112" w:name="_Toc239839871"/>
      <w:bookmarkStart w:id="113" w:name="_Toc185702557"/>
      <w:bookmarkStart w:id="114" w:name="_Toc486196148"/>
      <w:bookmarkStart w:id="115" w:name="_Toc230578065"/>
      <w:bookmarkStart w:id="116" w:name="_Toc207770843"/>
      <w:bookmarkStart w:id="117" w:name="_Toc486922965"/>
      <w:bookmarkStart w:id="118" w:name="_Toc206525690"/>
    </w:p>
    <w:p>
      <w:pPr>
        <w:keepNext/>
        <w:keepLines/>
        <w:spacing w:line="400" w:lineRule="exact"/>
        <w:outlineLvl w:val="1"/>
        <w:rPr>
          <w:rFonts w:ascii="宋体" w:hAnsi="宋体" w:eastAsia="宋体" w:cs="Times New Roman"/>
          <w:b/>
          <w:bCs/>
          <w:color w:val="auto"/>
          <w:sz w:val="24"/>
          <w:szCs w:val="24"/>
          <w:highlight w:val="none"/>
        </w:rPr>
      </w:pPr>
      <w:bookmarkStart w:id="119" w:name="_Toc88065561"/>
      <w:bookmarkStart w:id="120" w:name="_Toc89333225"/>
      <w:bookmarkStart w:id="121" w:name="_Toc89332977"/>
      <w:r>
        <w:rPr>
          <w:rFonts w:hint="eastAsia" w:ascii="宋体" w:hAnsi="宋体" w:eastAsia="宋体" w:cs="Times New Roman"/>
          <w:b/>
          <w:bCs/>
          <w:color w:val="auto"/>
          <w:sz w:val="24"/>
          <w:szCs w:val="24"/>
          <w:highlight w:val="none"/>
        </w:rPr>
        <w:t>9．响应文件的文字及计量单位</w:t>
      </w:r>
      <w:bookmarkEnd w:id="112"/>
      <w:bookmarkEnd w:id="113"/>
      <w:bookmarkEnd w:id="114"/>
      <w:bookmarkEnd w:id="115"/>
      <w:bookmarkEnd w:id="116"/>
      <w:bookmarkEnd w:id="117"/>
      <w:bookmarkEnd w:id="118"/>
      <w:bookmarkEnd w:id="119"/>
      <w:bookmarkEnd w:id="120"/>
      <w:bookmarkEnd w:id="121"/>
    </w:p>
    <w:p>
      <w:pPr>
        <w:spacing w:line="400" w:lineRule="exact"/>
        <w:ind w:firstLine="464" w:firstLineChars="200"/>
        <w:rPr>
          <w:rFonts w:ascii="宋体" w:hAnsi="宋体" w:eastAsia="宋体" w:cs="Times New Roman"/>
          <w:color w:val="auto"/>
          <w:spacing w:val="-4"/>
          <w:sz w:val="24"/>
          <w:szCs w:val="24"/>
          <w:highlight w:val="none"/>
        </w:rPr>
      </w:pPr>
      <w:r>
        <w:rPr>
          <w:rFonts w:ascii="宋体" w:hAnsi="宋体" w:eastAsia="宋体" w:cs="Times New Roman"/>
          <w:color w:val="auto"/>
          <w:spacing w:val="-4"/>
          <w:sz w:val="24"/>
          <w:szCs w:val="24"/>
          <w:highlight w:val="none"/>
        </w:rPr>
        <w:t>9.1供应商提交的响应文件以及供应商与采购人、采购代理机构就有关磋商的所有来往函电均应使用中文（另有规定的除外）。</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9.2响应文件使用的计量单位除磋商文件中有特殊规定外，一律使用法定计量单位。</w:t>
      </w:r>
    </w:p>
    <w:p>
      <w:pPr>
        <w:keepNext/>
        <w:keepLines/>
        <w:spacing w:line="400" w:lineRule="exact"/>
        <w:outlineLvl w:val="1"/>
        <w:rPr>
          <w:rFonts w:ascii="宋体" w:hAnsi="宋体" w:eastAsia="宋体" w:cs="Times New Roman"/>
          <w:b/>
          <w:bCs/>
          <w:color w:val="auto"/>
          <w:sz w:val="24"/>
          <w:szCs w:val="24"/>
          <w:highlight w:val="none"/>
        </w:rPr>
      </w:pPr>
      <w:bookmarkStart w:id="122" w:name="_Toc230578066"/>
      <w:bookmarkStart w:id="123" w:name="_Toc206525691"/>
      <w:bookmarkStart w:id="124" w:name="_Toc207770844"/>
      <w:bookmarkStart w:id="125" w:name="_Toc185702558"/>
      <w:bookmarkStart w:id="126" w:name="_Toc486196149"/>
      <w:bookmarkStart w:id="127" w:name="_Toc89333226"/>
      <w:bookmarkStart w:id="128" w:name="_Toc486922966"/>
      <w:bookmarkStart w:id="129" w:name="_Toc239839872"/>
      <w:bookmarkStart w:id="130" w:name="_Toc89332978"/>
      <w:bookmarkStart w:id="131" w:name="_Toc88065562"/>
      <w:r>
        <w:rPr>
          <w:rFonts w:hint="eastAsia" w:ascii="宋体" w:hAnsi="宋体" w:eastAsia="宋体" w:cs="Times New Roman"/>
          <w:b/>
          <w:bCs/>
          <w:color w:val="auto"/>
          <w:sz w:val="24"/>
          <w:szCs w:val="24"/>
          <w:highlight w:val="none"/>
        </w:rPr>
        <w:t>10．响应文件的构成</w:t>
      </w:r>
      <w:bookmarkEnd w:id="122"/>
      <w:bookmarkEnd w:id="123"/>
      <w:bookmarkEnd w:id="124"/>
      <w:bookmarkEnd w:id="125"/>
      <w:r>
        <w:rPr>
          <w:rFonts w:hint="eastAsia" w:ascii="宋体" w:hAnsi="宋体" w:eastAsia="宋体" w:cs="Times New Roman"/>
          <w:b/>
          <w:bCs/>
          <w:color w:val="auto"/>
          <w:sz w:val="24"/>
          <w:szCs w:val="24"/>
          <w:highlight w:val="none"/>
        </w:rPr>
        <w:t>及要求</w:t>
      </w:r>
      <w:bookmarkEnd w:id="126"/>
      <w:bookmarkEnd w:id="127"/>
      <w:bookmarkEnd w:id="128"/>
      <w:bookmarkEnd w:id="129"/>
      <w:bookmarkEnd w:id="130"/>
      <w:bookmarkEnd w:id="131"/>
    </w:p>
    <w:p>
      <w:pPr>
        <w:spacing w:line="400" w:lineRule="exact"/>
        <w:ind w:firstLine="472" w:firstLineChars="200"/>
        <w:rPr>
          <w:rFonts w:ascii="宋体" w:hAnsi="宋体" w:eastAsia="宋体" w:cs="Times New Roman"/>
          <w:color w:val="auto"/>
          <w:spacing w:val="-2"/>
          <w:sz w:val="24"/>
          <w:szCs w:val="24"/>
          <w:highlight w:val="none"/>
        </w:rPr>
      </w:pPr>
      <w:r>
        <w:rPr>
          <w:rFonts w:ascii="宋体" w:hAnsi="宋体" w:eastAsia="宋体" w:cs="Times New Roman"/>
          <w:color w:val="auto"/>
          <w:spacing w:val="-2"/>
          <w:sz w:val="24"/>
          <w:szCs w:val="24"/>
          <w:highlight w:val="none"/>
        </w:rPr>
        <w:t>10.1</w:t>
      </w:r>
      <w:r>
        <w:rPr>
          <w:rFonts w:ascii="宋体" w:hAnsi="宋体" w:eastAsia="宋体" w:cs="Times New Roman"/>
          <w:color w:val="auto"/>
          <w:sz w:val="24"/>
          <w:szCs w:val="24"/>
          <w:highlight w:val="none"/>
        </w:rPr>
        <w:t>响应文件由</w:t>
      </w:r>
      <w:r>
        <w:rPr>
          <w:rFonts w:hint="eastAsia" w:ascii="宋体" w:hAnsi="宋体" w:eastAsia="宋体" w:cs="Times New Roman"/>
          <w:color w:val="auto"/>
          <w:sz w:val="24"/>
          <w:szCs w:val="24"/>
          <w:highlight w:val="none"/>
        </w:rPr>
        <w:t>报价文件、</w:t>
      </w:r>
      <w:r>
        <w:rPr>
          <w:rFonts w:ascii="宋体" w:hAnsi="宋体" w:eastAsia="宋体" w:cs="Times New Roman"/>
          <w:color w:val="auto"/>
          <w:sz w:val="24"/>
          <w:szCs w:val="24"/>
          <w:highlight w:val="none"/>
        </w:rPr>
        <w:t>资格</w:t>
      </w:r>
      <w:r>
        <w:rPr>
          <w:rFonts w:hint="eastAsia" w:ascii="宋体" w:hAnsi="宋体" w:eastAsia="宋体" w:cs="Times New Roman"/>
          <w:color w:val="auto"/>
          <w:sz w:val="24"/>
          <w:szCs w:val="24"/>
          <w:highlight w:val="none"/>
        </w:rPr>
        <w:t>文件</w:t>
      </w:r>
      <w:r>
        <w:rPr>
          <w:rFonts w:ascii="宋体" w:hAnsi="宋体" w:eastAsia="宋体" w:cs="Times New Roman"/>
          <w:color w:val="auto"/>
          <w:sz w:val="24"/>
          <w:szCs w:val="24"/>
          <w:highlight w:val="none"/>
        </w:rPr>
        <w:t>、商务技术文件组成，供应商应按下列说明及第七章响应文件格式要求编写和提供。以下所有文件必须加盖供应商公章，带▲的必须提供，否则磋商无效。</w:t>
      </w:r>
    </w:p>
    <w:p>
      <w:pPr>
        <w:spacing w:line="400" w:lineRule="exact"/>
        <w:ind w:firstLine="420"/>
        <w:rPr>
          <w:rFonts w:ascii="宋体" w:hAnsi="宋体" w:eastAsia="宋体" w:cs="Times New Roman"/>
          <w:b/>
          <w:bCs/>
          <w:color w:val="auto"/>
          <w:sz w:val="24"/>
          <w:szCs w:val="24"/>
          <w:highlight w:val="none"/>
        </w:rPr>
      </w:pPr>
      <w:r>
        <w:rPr>
          <w:rFonts w:hint="eastAsia" w:ascii="宋体" w:hAnsi="宋体" w:eastAsia="宋体" w:cs="Times New Roman"/>
          <w:bCs/>
          <w:color w:val="auto"/>
          <w:sz w:val="24"/>
          <w:szCs w:val="24"/>
          <w:highlight w:val="none"/>
          <w:lang w:eastAsia="zh-CN"/>
        </w:rPr>
        <w:t>一</w:t>
      </w:r>
      <w:r>
        <w:rPr>
          <w:rFonts w:ascii="宋体" w:hAnsi="宋体" w:eastAsia="宋体" w:cs="Times New Roman"/>
          <w:bCs/>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b/>
          <w:bCs/>
          <w:color w:val="auto"/>
          <w:sz w:val="24"/>
          <w:szCs w:val="24"/>
          <w:highlight w:val="none"/>
        </w:rPr>
        <w:t>资格</w:t>
      </w:r>
      <w:r>
        <w:rPr>
          <w:rFonts w:hint="eastAsia" w:ascii="宋体" w:hAnsi="宋体" w:eastAsia="宋体" w:cs="Times New Roman"/>
          <w:b/>
          <w:bCs/>
          <w:color w:val="auto"/>
          <w:sz w:val="24"/>
          <w:szCs w:val="24"/>
          <w:highlight w:val="none"/>
          <w:lang w:eastAsia="zh-CN"/>
        </w:rPr>
        <w:t>证明</w:t>
      </w:r>
      <w:r>
        <w:rPr>
          <w:rFonts w:ascii="宋体" w:hAnsi="宋体" w:eastAsia="宋体" w:cs="Times New Roman"/>
          <w:b/>
          <w:bCs/>
          <w:color w:val="auto"/>
          <w:sz w:val="24"/>
          <w:szCs w:val="24"/>
          <w:highlight w:val="none"/>
        </w:rPr>
        <w:t>文件（1-</w:t>
      </w:r>
      <w:r>
        <w:rPr>
          <w:rFonts w:hint="eastAsia" w:ascii="宋体" w:hAnsi="宋体" w:eastAsia="宋体" w:cs="Times New Roman"/>
          <w:b/>
          <w:bCs/>
          <w:color w:val="auto"/>
          <w:sz w:val="24"/>
          <w:szCs w:val="24"/>
          <w:highlight w:val="none"/>
          <w:lang w:val="en-US" w:eastAsia="zh-CN"/>
        </w:rPr>
        <w:t>10</w:t>
      </w:r>
      <w:r>
        <w:rPr>
          <w:rFonts w:ascii="宋体" w:hAnsi="宋体" w:eastAsia="宋体" w:cs="Times New Roman"/>
          <w:b/>
          <w:bCs/>
          <w:color w:val="auto"/>
          <w:sz w:val="24"/>
          <w:szCs w:val="24"/>
          <w:highlight w:val="none"/>
        </w:rPr>
        <w:t>项必须提供）</w:t>
      </w:r>
    </w:p>
    <w:p>
      <w:pPr>
        <w:snapToGrid w:val="0"/>
        <w:spacing w:line="400" w:lineRule="exact"/>
        <w:ind w:firstLine="566" w:firstLineChars="236"/>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）供应商基本情况表（附有效的企业营业执照、企业资质证书副本和安全生产许可证副本复印件）；</w:t>
      </w:r>
    </w:p>
    <w:p>
      <w:pPr>
        <w:snapToGrid w:val="0"/>
        <w:spacing w:line="400" w:lineRule="exact"/>
        <w:ind w:firstLine="566" w:firstLineChars="236"/>
        <w:jc w:val="left"/>
        <w:rPr>
          <w:rFonts w:hint="eastAsia" w:ascii="宋体" w:hAnsi="宋体" w:cs="宋体"/>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w:t>
      </w:r>
      <w:r>
        <w:rPr>
          <w:rFonts w:hint="eastAsia" w:ascii="宋体" w:hAnsi="宋体" w:cs="宋体"/>
          <w:color w:val="auto"/>
          <w:sz w:val="24"/>
          <w:szCs w:val="24"/>
          <w:highlight w:val="none"/>
        </w:rPr>
        <w:t>供应商依法缴纳税收的相关材料（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月内</w:t>
      </w:r>
      <w:r>
        <w:rPr>
          <w:rFonts w:hint="eastAsia" w:ascii="宋体" w:hAnsi="宋体" w:cs="宋体"/>
          <w:color w:val="auto"/>
          <w:sz w:val="24"/>
          <w:szCs w:val="24"/>
          <w:highlight w:val="none"/>
          <w:lang w:eastAsia="zh-CN"/>
        </w:rPr>
        <w:t>任意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个月的依法缴纳税收的凭据复印件；</w:t>
      </w:r>
      <w:r>
        <w:rPr>
          <w:rFonts w:hint="eastAsia"/>
          <w:color w:val="auto"/>
          <w:sz w:val="24"/>
          <w:szCs w:val="24"/>
          <w:highlight w:val="none"/>
        </w:rPr>
        <w:t>依法免税的，必须提供相应文件证明其依法免税。</w:t>
      </w:r>
      <w:r>
        <w:rPr>
          <w:rFonts w:hint="eastAsia" w:ascii="宋体" w:hAnsi="宋体" w:cs="宋体"/>
          <w:color w:val="auto"/>
          <w:sz w:val="24"/>
          <w:szCs w:val="24"/>
          <w:highlight w:val="none"/>
        </w:rPr>
        <w:t>从</w:t>
      </w:r>
      <w:r>
        <w:rPr>
          <w:color w:val="auto"/>
          <w:sz w:val="24"/>
          <w:szCs w:val="24"/>
          <w:highlight w:val="none"/>
        </w:rPr>
        <w:t>成立</w:t>
      </w:r>
      <w:r>
        <w:rPr>
          <w:rFonts w:hint="eastAsia"/>
          <w:color w:val="auto"/>
          <w:sz w:val="24"/>
          <w:szCs w:val="24"/>
          <w:highlight w:val="none"/>
        </w:rPr>
        <w:t>之日起</w:t>
      </w:r>
      <w:r>
        <w:rPr>
          <w:rFonts w:hint="eastAsia" w:ascii="宋体" w:hAnsi="宋体" w:cs="宋体"/>
          <w:color w:val="auto"/>
          <w:sz w:val="24"/>
          <w:szCs w:val="24"/>
          <w:highlight w:val="none"/>
        </w:rPr>
        <w:t>到响应文件提交截止时间止不足要求月数的，只需提供从</w:t>
      </w:r>
      <w:r>
        <w:rPr>
          <w:color w:val="auto"/>
          <w:sz w:val="24"/>
          <w:szCs w:val="24"/>
          <w:highlight w:val="none"/>
        </w:rPr>
        <w:t>成立</w:t>
      </w:r>
      <w:r>
        <w:rPr>
          <w:rFonts w:hint="eastAsia"/>
          <w:color w:val="auto"/>
          <w:sz w:val="24"/>
          <w:szCs w:val="24"/>
          <w:highlight w:val="none"/>
        </w:rPr>
        <w:t>之日起</w:t>
      </w:r>
      <w:r>
        <w:rPr>
          <w:rFonts w:hint="eastAsia" w:ascii="宋体" w:hAnsi="宋体" w:cs="宋体"/>
          <w:color w:val="auto"/>
          <w:sz w:val="24"/>
          <w:szCs w:val="24"/>
          <w:highlight w:val="none"/>
        </w:rPr>
        <w:t>的依法缴纳税收</w:t>
      </w:r>
      <w:r>
        <w:rPr>
          <w:rFonts w:hint="eastAsia"/>
          <w:color w:val="auto"/>
          <w:sz w:val="24"/>
          <w:szCs w:val="24"/>
          <w:highlight w:val="none"/>
        </w:rPr>
        <w:t>相应证明文件</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w:t>
      </w:r>
    </w:p>
    <w:p>
      <w:pPr>
        <w:snapToGrid w:val="0"/>
        <w:spacing w:line="400" w:lineRule="exact"/>
        <w:ind w:firstLine="495" w:firstLineChars="236"/>
        <w:jc w:val="left"/>
        <w:rPr>
          <w:rFonts w:hint="eastAsia" w:ascii="宋体" w:hAnsi="宋体" w:eastAsia="宋体" w:cs="Times New Roman"/>
          <w:color w:val="auto"/>
          <w:sz w:val="24"/>
          <w:szCs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 w:val="24"/>
          <w:szCs w:val="24"/>
          <w:highlight w:val="none"/>
        </w:rPr>
        <w:t>供应商依法缴纳社会保障资金的相关材料[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月内</w:t>
      </w:r>
      <w:r>
        <w:rPr>
          <w:rFonts w:hint="eastAsia" w:ascii="宋体" w:hAnsi="宋体" w:cs="宋体"/>
          <w:color w:val="auto"/>
          <w:sz w:val="24"/>
          <w:szCs w:val="24"/>
          <w:highlight w:val="none"/>
          <w:lang w:eastAsia="zh-CN"/>
        </w:rPr>
        <w:t>任意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个月</w:t>
      </w:r>
      <w:r>
        <w:rPr>
          <w:rFonts w:hint="eastAsia" w:ascii="宋体" w:hAnsi="宋体" w:eastAsia="宋体" w:cs="Times New Roman"/>
          <w:color w:val="auto"/>
          <w:sz w:val="24"/>
          <w:szCs w:val="24"/>
          <w:highlight w:val="none"/>
        </w:rPr>
        <w:t>的依法缴纳社会保障资金的缴费凭证（专用收据或者社会保险缴纳清单）复印件</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；依法不需要缴纳社会保障资金的，必须提供相应文件证明不需要缴纳社会保障资金。从成立之日起到响应文件提交截止时间止不足要求月数的只需提供从成立之日起的依法缴纳社会保障资金的相应证明文件；</w:t>
      </w:r>
    </w:p>
    <w:p>
      <w:pPr>
        <w:snapToGrid w:val="0"/>
        <w:spacing w:line="400" w:lineRule="exact"/>
        <w:ind w:firstLine="566" w:firstLineChars="236"/>
        <w:jc w:val="left"/>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color w:val="auto"/>
          <w:sz w:val="24"/>
          <w:szCs w:val="24"/>
          <w:highlight w:val="none"/>
        </w:rPr>
        <w:t>财务状况报告（</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2021</w:t>
      </w:r>
      <w:r>
        <w:rPr>
          <w:rFonts w:hint="eastAsia"/>
          <w:color w:val="auto"/>
          <w:sz w:val="24"/>
          <w:szCs w:val="24"/>
          <w:highlight w:val="none"/>
          <w:u w:val="single"/>
        </w:rPr>
        <w:t>年</w:t>
      </w:r>
      <w:r>
        <w:rPr>
          <w:rFonts w:hint="eastAsia"/>
          <w:color w:val="auto"/>
          <w:sz w:val="24"/>
          <w:szCs w:val="24"/>
          <w:highlight w:val="none"/>
          <w:u w:val="single"/>
          <w:lang w:eastAsia="zh-CN"/>
        </w:rPr>
        <w:t>或</w:t>
      </w:r>
      <w:r>
        <w:rPr>
          <w:rFonts w:hint="eastAsia"/>
          <w:color w:val="auto"/>
          <w:sz w:val="24"/>
          <w:szCs w:val="24"/>
          <w:highlight w:val="none"/>
          <w:u w:val="single"/>
          <w:lang w:val="en-US" w:eastAsia="zh-CN"/>
        </w:rPr>
        <w:t>2022年</w:t>
      </w:r>
      <w:r>
        <w:rPr>
          <w:rFonts w:hint="eastAsia"/>
          <w:color w:val="auto"/>
          <w:sz w:val="24"/>
          <w:szCs w:val="24"/>
          <w:highlight w:val="none"/>
        </w:rPr>
        <w:t>度财务</w:t>
      </w:r>
      <w:r>
        <w:rPr>
          <w:rFonts w:hint="eastAsia"/>
          <w:color w:val="auto"/>
          <w:sz w:val="24"/>
          <w:szCs w:val="24"/>
          <w:highlight w:val="none"/>
          <w:lang w:val="en-US" w:eastAsia="zh-CN"/>
        </w:rPr>
        <w:t>报表</w:t>
      </w:r>
      <w:r>
        <w:rPr>
          <w:rFonts w:hint="eastAsia"/>
          <w:color w:val="auto"/>
          <w:sz w:val="24"/>
          <w:szCs w:val="24"/>
          <w:highlight w:val="none"/>
        </w:rPr>
        <w:t>复印件或者银行出具的资信证明</w:t>
      </w:r>
      <w:r>
        <w:rPr>
          <w:rFonts w:hint="eastAsia"/>
          <w:color w:val="auto"/>
          <w:sz w:val="24"/>
          <w:szCs w:val="24"/>
          <w:highlight w:val="none"/>
          <w:lang w:eastAsia="zh-CN"/>
        </w:rPr>
        <w:t>；</w:t>
      </w:r>
      <w:r>
        <w:rPr>
          <w:rFonts w:hint="eastAsia"/>
          <w:color w:val="auto"/>
          <w:sz w:val="24"/>
          <w:szCs w:val="24"/>
          <w:highlight w:val="none"/>
          <w:lang w:val="en-US" w:eastAsia="zh-CN"/>
        </w:rPr>
        <w:t>供应商属于</w:t>
      </w:r>
      <w:r>
        <w:rPr>
          <w:rFonts w:hint="eastAsia"/>
          <w:color w:val="auto"/>
          <w:sz w:val="24"/>
          <w:szCs w:val="24"/>
          <w:highlight w:val="none"/>
        </w:rPr>
        <w:t>成立</w:t>
      </w:r>
      <w:r>
        <w:rPr>
          <w:color w:val="auto"/>
          <w:sz w:val="24"/>
          <w:szCs w:val="24"/>
          <w:highlight w:val="none"/>
        </w:rPr>
        <w:t>时间</w:t>
      </w:r>
      <w:r>
        <w:rPr>
          <w:rFonts w:hint="eastAsia"/>
          <w:color w:val="auto"/>
          <w:kern w:val="0"/>
          <w:sz w:val="24"/>
          <w:szCs w:val="24"/>
          <w:highlight w:val="none"/>
        </w:rPr>
        <w:t>在规定年度之后</w:t>
      </w:r>
      <w:r>
        <w:rPr>
          <w:color w:val="auto"/>
          <w:sz w:val="24"/>
          <w:szCs w:val="24"/>
          <w:highlight w:val="none"/>
        </w:rPr>
        <w:t>的</w:t>
      </w:r>
      <w:r>
        <w:rPr>
          <w:rFonts w:hint="eastAsia"/>
          <w:color w:val="auto"/>
          <w:sz w:val="24"/>
          <w:szCs w:val="24"/>
          <w:highlight w:val="none"/>
          <w:lang w:val="en-US" w:eastAsia="zh-CN"/>
        </w:rPr>
        <w:t>法人或其他组织</w:t>
      </w:r>
      <w:r>
        <w:rPr>
          <w:color w:val="auto"/>
          <w:sz w:val="24"/>
          <w:szCs w:val="24"/>
          <w:highlight w:val="none"/>
        </w:rPr>
        <w:t>，需提供成立</w:t>
      </w:r>
      <w:r>
        <w:rPr>
          <w:rFonts w:hint="eastAsia"/>
          <w:color w:val="auto"/>
          <w:sz w:val="24"/>
          <w:szCs w:val="24"/>
          <w:highlight w:val="none"/>
        </w:rPr>
        <w:t>之日起至响应文件提交截止时间前</w:t>
      </w:r>
      <w:r>
        <w:rPr>
          <w:color w:val="auto"/>
          <w:sz w:val="24"/>
          <w:szCs w:val="24"/>
          <w:highlight w:val="none"/>
        </w:rPr>
        <w:t>的月报表</w:t>
      </w:r>
      <w:r>
        <w:rPr>
          <w:rFonts w:hint="eastAsia"/>
          <w:color w:val="auto"/>
          <w:sz w:val="24"/>
          <w:szCs w:val="24"/>
          <w:highlight w:val="none"/>
        </w:rPr>
        <w:t>或银行出具的资信证明</w:t>
      </w:r>
      <w:r>
        <w:rPr>
          <w:rFonts w:hint="eastAsia"/>
          <w:color w:val="auto"/>
          <w:sz w:val="24"/>
          <w:szCs w:val="24"/>
          <w:highlight w:val="none"/>
          <w:lang w:eastAsia="zh-CN"/>
        </w:rPr>
        <w:t>；</w:t>
      </w:r>
      <w:r>
        <w:rPr>
          <w:rFonts w:hint="eastAsia"/>
          <w:color w:val="auto"/>
          <w:sz w:val="24"/>
          <w:szCs w:val="24"/>
          <w:highlight w:val="none"/>
          <w:lang w:val="en-US" w:eastAsia="zh-CN"/>
        </w:rPr>
        <w:t>资信证明</w:t>
      </w:r>
      <w:r>
        <w:rPr>
          <w:rFonts w:hint="eastAsia"/>
          <w:color w:val="auto"/>
          <w:sz w:val="24"/>
          <w:szCs w:val="24"/>
          <w:highlight w:val="none"/>
        </w:rPr>
        <w:t>应在有效期内，未注明有效期的，</w:t>
      </w:r>
      <w:r>
        <w:rPr>
          <w:rFonts w:hint="eastAsia"/>
          <w:color w:val="auto"/>
          <w:sz w:val="24"/>
          <w:szCs w:val="24"/>
          <w:highlight w:val="none"/>
          <w:lang w:val="en-US" w:eastAsia="zh-CN"/>
        </w:rPr>
        <w:t>银行</w:t>
      </w:r>
      <w:r>
        <w:rPr>
          <w:rFonts w:hint="eastAsia"/>
          <w:color w:val="auto"/>
          <w:sz w:val="24"/>
          <w:szCs w:val="24"/>
          <w:highlight w:val="none"/>
        </w:rPr>
        <w:t>出具时间至响应文件提交截止时间不超过一年）</w:t>
      </w:r>
      <w:r>
        <w:rPr>
          <w:rFonts w:hint="eastAsia" w:ascii="宋体" w:hAnsi="宋体" w:cs="宋体"/>
          <w:color w:val="auto"/>
          <w:sz w:val="24"/>
          <w:szCs w:val="24"/>
          <w:highlight w:val="none"/>
        </w:rPr>
        <w:t>；</w:t>
      </w:r>
    </w:p>
    <w:p>
      <w:pPr>
        <w:snapToGrid w:val="0"/>
        <w:spacing w:line="400" w:lineRule="exact"/>
        <w:ind w:firstLine="566" w:firstLineChars="236"/>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供应商直接控股、管理关系信息表；</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）项目经理简历表（附项目经理注册建造师注册证书和安全生产考核合格证书（B类）复印件）；</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）专职安全员简历表（附专职安全员安全生产考核合格证书（C类）复印件）；</w:t>
      </w:r>
    </w:p>
    <w:p>
      <w:pPr>
        <w:snapToGrid w:val="0"/>
        <w:spacing w:line="400" w:lineRule="exact"/>
        <w:ind w:firstLine="566" w:firstLineChars="236"/>
        <w:jc w:val="left"/>
        <w:rPr>
          <w:color w:val="auto"/>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）建设工程项目管理承诺书</w:t>
      </w:r>
      <w:r>
        <w:rPr>
          <w:rFonts w:hint="eastAsia" w:ascii="宋体" w:hAnsi="宋体" w:eastAsia="宋体" w:cs="Times New Roman"/>
          <w:color w:val="auto"/>
          <w:sz w:val="24"/>
          <w:szCs w:val="24"/>
          <w:highlight w:val="none"/>
          <w:lang w:eastAsia="zh-CN"/>
        </w:rPr>
        <w:t>（格式后附）</w:t>
      </w:r>
      <w:r>
        <w:rPr>
          <w:rFonts w:hint="eastAsia" w:ascii="宋体" w:hAnsi="宋体" w:eastAsia="宋体" w:cs="Times New Roman"/>
          <w:color w:val="auto"/>
          <w:sz w:val="24"/>
          <w:szCs w:val="24"/>
          <w:highlight w:val="none"/>
        </w:rPr>
        <w:t>；</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竞标声明（格式后附）</w:t>
      </w:r>
      <w:r>
        <w:rPr>
          <w:rFonts w:hint="eastAsia" w:ascii="宋体" w:hAnsi="宋体" w:eastAsia="宋体" w:cs="Times New Roman"/>
          <w:color w:val="auto"/>
          <w:sz w:val="24"/>
          <w:szCs w:val="24"/>
          <w:highlight w:val="none"/>
        </w:rPr>
        <w:t>；</w:t>
      </w:r>
    </w:p>
    <w:p>
      <w:pPr>
        <w:snapToGrid w:val="0"/>
        <w:spacing w:line="400" w:lineRule="exact"/>
        <w:ind w:firstLine="566" w:firstLineChars="236"/>
        <w:jc w:val="left"/>
        <w:rPr>
          <w:rFonts w:ascii="宋体" w:hAnsi="宋体" w:eastAsia="宋体" w:cs="Times New Roman"/>
          <w:color w:val="auto"/>
          <w:sz w:val="24"/>
          <w:szCs w:val="24"/>
          <w:highlight w:val="none"/>
        </w:rPr>
      </w:pPr>
      <w:bookmarkStart w:id="132" w:name="_Toc89332979"/>
      <w:bookmarkStart w:id="133" w:name="_Toc89333227"/>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）提供中小企业声明函或者残疾人福利性单位声明函或者供应商属于监狱企业的证明材料；</w:t>
      </w:r>
    </w:p>
    <w:p>
      <w:pPr>
        <w:snapToGrid w:val="0"/>
        <w:spacing w:line="400" w:lineRule="exact"/>
        <w:ind w:firstLine="566" w:firstLineChars="236"/>
        <w:jc w:val="left"/>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eastAsia="宋体" w:cs="宋体"/>
          <w:color w:val="auto"/>
          <w:sz w:val="24"/>
          <w:szCs w:val="24"/>
          <w:highlight w:val="none"/>
        </w:rPr>
        <w:t>除磋商文件规定必须提供以外，供应商认为需要提供的其他证明材料。</w:t>
      </w:r>
    </w:p>
    <w:p>
      <w:pPr>
        <w:spacing w:line="400" w:lineRule="exact"/>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二</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eastAsia="zh-CN"/>
        </w:rPr>
        <w:t>报价</w:t>
      </w:r>
      <w:r>
        <w:rPr>
          <w:rFonts w:ascii="宋体" w:hAnsi="宋体" w:eastAsia="宋体" w:cs="Times New Roman"/>
          <w:b/>
          <w:color w:val="auto"/>
          <w:sz w:val="24"/>
          <w:szCs w:val="24"/>
          <w:highlight w:val="none"/>
        </w:rPr>
        <w:t>文件（1-4项必须提供）</w:t>
      </w:r>
    </w:p>
    <w:p>
      <w:pPr>
        <w:spacing w:line="400" w:lineRule="exact"/>
        <w:ind w:firstLine="426"/>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（1）磋商函；</w:t>
      </w:r>
    </w:p>
    <w:p>
      <w:pPr>
        <w:spacing w:line="400" w:lineRule="exact"/>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（2）磋商函附录；</w:t>
      </w:r>
    </w:p>
    <w:p>
      <w:pPr>
        <w:spacing w:line="400" w:lineRule="exact"/>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（3）磋商报价表；</w:t>
      </w:r>
    </w:p>
    <w:p>
      <w:pPr>
        <w:spacing w:line="400" w:lineRule="exact"/>
        <w:ind w:firstLine="420"/>
        <w:rPr>
          <w:rFonts w:hint="eastAsia"/>
          <w:color w:val="auto"/>
          <w:highlight w:val="none"/>
        </w:rPr>
      </w:pPr>
      <w:r>
        <w:rPr>
          <w:rFonts w:ascii="宋体" w:hAnsi="宋体" w:eastAsia="宋体" w:cs="Times New Roman"/>
          <w:bCs/>
          <w:color w:val="auto"/>
          <w:sz w:val="24"/>
          <w:szCs w:val="24"/>
          <w:highlight w:val="none"/>
        </w:rPr>
        <w:t>（4）已标价工程量清单</w:t>
      </w:r>
    </w:p>
    <w:p>
      <w:pPr>
        <w:snapToGrid w:val="0"/>
        <w:spacing w:line="400" w:lineRule="exact"/>
        <w:ind w:firstLine="482" w:firstLineChars="200"/>
        <w:outlineLvl w:val="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三</w:t>
      </w:r>
      <w:r>
        <w:rPr>
          <w:rFonts w:ascii="Times New Roman" w:hAnsi="Times New Roman" w:eastAsia="宋体" w:cs="Times New Roman"/>
          <w:b/>
          <w:color w:val="auto"/>
          <w:sz w:val="24"/>
          <w:szCs w:val="24"/>
          <w:highlight w:val="none"/>
        </w:rPr>
        <w:t>、▲</w:t>
      </w:r>
      <w:r>
        <w:rPr>
          <w:rFonts w:hint="eastAsia" w:ascii="Times New Roman" w:hAnsi="Times New Roman" w:eastAsia="宋体" w:cs="Times New Roman"/>
          <w:b/>
          <w:color w:val="auto"/>
          <w:sz w:val="24"/>
          <w:szCs w:val="24"/>
          <w:highlight w:val="none"/>
          <w:lang w:eastAsia="zh-CN"/>
        </w:rPr>
        <w:t>商务</w:t>
      </w:r>
      <w:r>
        <w:rPr>
          <w:rFonts w:hint="eastAsia" w:ascii="Times New Roman" w:hAnsi="Times New Roman" w:eastAsia="宋体" w:cs="Times New Roman"/>
          <w:b/>
          <w:color w:val="auto"/>
          <w:sz w:val="24"/>
          <w:szCs w:val="24"/>
          <w:highlight w:val="none"/>
        </w:rPr>
        <w:t>技术文件</w:t>
      </w:r>
      <w:bookmarkEnd w:id="132"/>
      <w:bookmarkEnd w:id="133"/>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3</w:t>
      </w:r>
      <w:r>
        <w:rPr>
          <w:rFonts w:ascii="宋体" w:hAnsi="宋体" w:eastAsia="宋体" w:cs="Times New Roman"/>
          <w:b/>
          <w:bCs/>
          <w:color w:val="auto"/>
          <w:sz w:val="24"/>
          <w:szCs w:val="24"/>
          <w:highlight w:val="none"/>
        </w:rPr>
        <w:t>项必须提供）</w:t>
      </w:r>
    </w:p>
    <w:p>
      <w:pPr>
        <w:snapToGrid w:val="0"/>
        <w:spacing w:line="400" w:lineRule="exact"/>
        <w:ind w:firstLine="566" w:firstLineChars="236"/>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（1）法定代表人身份证明原件及身份证复印件（法定代表人签署磋商响应文件时提供）或者</w:t>
      </w:r>
      <w:r>
        <w:rPr>
          <w:rFonts w:hint="eastAsia" w:ascii="宋体" w:hAnsi="宋体" w:eastAsia="宋体" w:cs="Times New Roman"/>
          <w:color w:val="auto"/>
          <w:sz w:val="24"/>
          <w:szCs w:val="24"/>
          <w:highlight w:val="none"/>
          <w:lang w:eastAsia="zh-CN"/>
        </w:rPr>
        <w:t>法定代表人授</w:t>
      </w:r>
      <w:r>
        <w:rPr>
          <w:rFonts w:hint="eastAsia" w:ascii="宋体" w:hAnsi="宋体" w:eastAsia="宋体" w:cs="Times New Roman"/>
          <w:color w:val="auto"/>
          <w:sz w:val="24"/>
          <w:szCs w:val="24"/>
          <w:highlight w:val="none"/>
        </w:rPr>
        <w:t>权委托书原件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法定代表人身份证明原件及身份证复印件、委托代理的委托代理人身份证复印件（委托代理人签署磋商响应文件时提供）；</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施工组织设计；</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）项目管理机构；</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）企业近年信誉实力一览表（如有）；</w:t>
      </w:r>
    </w:p>
    <w:p>
      <w:pPr>
        <w:snapToGrid w:val="0"/>
        <w:spacing w:line="400" w:lineRule="exact"/>
        <w:ind w:firstLine="566" w:firstLineChars="236"/>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）近年已完成类似工程一览表（如有）；</w:t>
      </w:r>
    </w:p>
    <w:p>
      <w:pPr>
        <w:snapToGrid w:val="0"/>
        <w:spacing w:line="400" w:lineRule="exact"/>
        <w:ind w:firstLine="566" w:firstLineChars="236"/>
        <w:jc w:val="lef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）供应商认为需要提供的其他有关资料。</w:t>
      </w:r>
    </w:p>
    <w:p>
      <w:pPr>
        <w:spacing w:line="400" w:lineRule="exact"/>
        <w:ind w:firstLine="480" w:firstLineChars="200"/>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rPr>
        <w:t>10.2供应商必须按磋商文件第七章《响应文件格式》要求顺序自编目录及页码，</w:t>
      </w:r>
      <w:r>
        <w:rPr>
          <w:rFonts w:ascii="宋体" w:hAnsi="宋体" w:eastAsia="宋体" w:cs="Times New Roman"/>
          <w:color w:val="auto"/>
          <w:sz w:val="24"/>
          <w:szCs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pPr>
        <w:spacing w:line="400" w:lineRule="exact"/>
        <w:ind w:firstLine="480" w:firstLineChars="200"/>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rPr>
        <w:t>10.3</w:t>
      </w:r>
      <w:r>
        <w:rPr>
          <w:rFonts w:ascii="宋体" w:hAnsi="宋体" w:eastAsia="宋体" w:cs="Times New Roman"/>
          <w:color w:val="auto"/>
          <w:sz w:val="24"/>
          <w:szCs w:val="24"/>
          <w:highlight w:val="none"/>
          <w:lang w:val="zh-CN"/>
        </w:rPr>
        <w:t>使用“政采云电子交易客户端”需要提前申领CA数字证书，申领流程见该项目采购公告附件。</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10.4为确保网上操作合法、有效和安全，供应商应当在响应文件提交截止时间前完成在“政府采购云平台”的身份认证，确保在电子交易过程中能够对相关数据电文进行加密和使用电子签名。</w:t>
      </w:r>
    </w:p>
    <w:p>
      <w:pPr>
        <w:spacing w:line="400" w:lineRule="exact"/>
        <w:ind w:left="599" w:leftChars="228" w:hanging="120" w:hangingChars="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10.5供应商应完整、真实、准确的填写磋商文件中规定的所有内容。</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10.6供应商必须对响应文件所提供的全部资料的真实性承担法律责任，并无条件接受招标采购单位及政府采购监督管理部门等对其中任何资料进行核实的要求。</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10.7如果因为供应商响应文件填报的内容不详，或没有提供磋商文件中所要求的全部资料及数据，由此造成的后果，其责任由供应商承担。</w:t>
      </w:r>
    </w:p>
    <w:p>
      <w:pPr>
        <w:keepNext/>
        <w:keepLines/>
        <w:spacing w:line="400" w:lineRule="exact"/>
        <w:outlineLvl w:val="1"/>
        <w:rPr>
          <w:rFonts w:ascii="宋体" w:hAnsi="宋体" w:eastAsia="宋体" w:cs="Times New Roman"/>
          <w:b/>
          <w:bCs/>
          <w:color w:val="auto"/>
          <w:sz w:val="24"/>
          <w:szCs w:val="24"/>
          <w:highlight w:val="none"/>
        </w:rPr>
      </w:pPr>
      <w:bookmarkStart w:id="134" w:name="_Toc185702560"/>
      <w:bookmarkStart w:id="135" w:name="_Toc239839874"/>
      <w:bookmarkStart w:id="136" w:name="_Toc89332980"/>
      <w:bookmarkStart w:id="137" w:name="_Toc89333228"/>
      <w:bookmarkStart w:id="138" w:name="_Toc486196150"/>
      <w:bookmarkStart w:id="139" w:name="_Toc207770846"/>
      <w:bookmarkStart w:id="140" w:name="_Toc88065565"/>
      <w:bookmarkStart w:id="141" w:name="_Toc486922967"/>
      <w:bookmarkStart w:id="142" w:name="_Toc206525693"/>
      <w:bookmarkStart w:id="143" w:name="_Toc230578068"/>
      <w:r>
        <w:rPr>
          <w:rFonts w:hint="eastAsia" w:ascii="宋体" w:hAnsi="宋体" w:eastAsia="宋体" w:cs="Times New Roman"/>
          <w:b/>
          <w:bCs/>
          <w:color w:val="auto"/>
          <w:sz w:val="24"/>
          <w:szCs w:val="24"/>
          <w:highlight w:val="none"/>
        </w:rPr>
        <w:t>11．磋商报价</w:t>
      </w:r>
      <w:bookmarkEnd w:id="134"/>
      <w:bookmarkEnd w:id="135"/>
      <w:bookmarkEnd w:id="136"/>
      <w:bookmarkEnd w:id="137"/>
      <w:bookmarkEnd w:id="138"/>
      <w:bookmarkEnd w:id="139"/>
      <w:bookmarkEnd w:id="140"/>
      <w:bookmarkEnd w:id="141"/>
      <w:bookmarkEnd w:id="142"/>
      <w:bookmarkEnd w:id="143"/>
    </w:p>
    <w:p>
      <w:pPr>
        <w:spacing w:line="400" w:lineRule="exact"/>
        <w:ind w:firstLine="483" w:firstLineChars="198"/>
        <w:rPr>
          <w:rFonts w:ascii="宋体" w:hAnsi="宋体" w:eastAsia="宋体" w:cs="宋体"/>
          <w:color w:val="auto"/>
          <w:spacing w:val="2"/>
          <w:sz w:val="24"/>
          <w:szCs w:val="24"/>
          <w:highlight w:val="none"/>
        </w:rPr>
      </w:pPr>
      <w:bookmarkStart w:id="144" w:name="_Toc239839878"/>
      <w:bookmarkStart w:id="145" w:name="_Toc230578072"/>
      <w:bookmarkStart w:id="146" w:name="_Toc185702564"/>
      <w:bookmarkStart w:id="147" w:name="_Toc207770850"/>
      <w:bookmarkStart w:id="148" w:name="_Toc486922968"/>
      <w:bookmarkStart w:id="149" w:name="_Toc206525697"/>
      <w:bookmarkStart w:id="150" w:name="_Toc486196151"/>
      <w:r>
        <w:rPr>
          <w:rFonts w:hint="eastAsia" w:ascii="宋体" w:hAnsi="宋体" w:eastAsia="宋体" w:cs="宋体"/>
          <w:color w:val="auto"/>
          <w:spacing w:val="2"/>
          <w:sz w:val="24"/>
          <w:szCs w:val="24"/>
          <w:highlight w:val="none"/>
        </w:rPr>
        <w:t>11.1本工程竞标报价采用工程量清单报价。</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11.1.1本工程采用包工包料，总价包干。竞标报价为供应商在响应文件中提出的各项支付金额的总和。</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11.1.2 供应商所填报的各项材料单价在合同实施期间不因市场价格变化因素而变动，供应商在报价时应考虑各种风险因素和自己的承受能力。</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11.1.3 设计变更引起工程项目、工程量变化的，另行结算。</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11.1.4凡设计图纸已指明的工程或完成图纸所示工程所必不可少的附属工程、相关工程、衔接与后续工程所需的费用，竞标单位应计入项目的报价中。</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11.1.6供应商的报价均应包括完成该工程项目的成本、利润、税金、开办费、技术措施费、大型机械进出场费、风险费、政策性文件规定费用等所有费用。</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11.1.7供应商可先到工地踏勘以充分了解工地位置、情况、道路、储存空间、装卸限制及任何其他足以影响承包价的情况，任何因忽视或误解工地情况而导致的索赔或工期延长申请将不被批准。</w:t>
      </w:r>
    </w:p>
    <w:p>
      <w:pPr>
        <w:spacing w:line="400" w:lineRule="exact"/>
        <w:ind w:firstLine="483" w:firstLineChars="198"/>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11.1.8 供应商的报价文件必须以工程量清单报价表的格式编制，不得以总价下浮的方式做报价，否则作无效竞标处理。供应商须提前做好相关准备并按时提交报价文件，报价高于采购人</w:t>
      </w:r>
      <w:r>
        <w:rPr>
          <w:rFonts w:hint="eastAsia" w:ascii="宋体" w:hAnsi="宋体" w:eastAsia="宋体" w:cs="宋体"/>
          <w:b/>
          <w:color w:val="auto"/>
          <w:spacing w:val="2"/>
          <w:sz w:val="24"/>
          <w:szCs w:val="24"/>
          <w:highlight w:val="none"/>
          <w:u w:val="single"/>
        </w:rPr>
        <w:t>预算金额</w:t>
      </w:r>
      <w:r>
        <w:rPr>
          <w:rFonts w:hint="eastAsia" w:ascii="宋体" w:hAnsi="宋体" w:eastAsia="宋体" w:cs="宋体"/>
          <w:color w:val="auto"/>
          <w:spacing w:val="2"/>
          <w:sz w:val="24"/>
          <w:szCs w:val="24"/>
          <w:highlight w:val="none"/>
        </w:rPr>
        <w:t>的响应文件将被拒绝。</w:t>
      </w:r>
    </w:p>
    <w:p>
      <w:pPr>
        <w:spacing w:line="400" w:lineRule="exact"/>
        <w:ind w:firstLine="540" w:firstLineChars="224"/>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 xml:space="preserve">11.2 </w:t>
      </w:r>
      <w:r>
        <w:rPr>
          <w:rFonts w:hint="eastAsia" w:ascii="宋体" w:hAnsi="宋体" w:eastAsia="宋体" w:cs="Times New Roman"/>
          <w:b/>
          <w:color w:val="auto"/>
          <w:sz w:val="24"/>
          <w:szCs w:val="24"/>
          <w:highlight w:val="none"/>
          <w:lang w:eastAsia="zh-CN"/>
        </w:rPr>
        <w:t>预算</w:t>
      </w:r>
      <w:r>
        <w:rPr>
          <w:rFonts w:ascii="宋体" w:hAnsi="宋体" w:eastAsia="宋体" w:cs="Times New Roman"/>
          <w:b/>
          <w:color w:val="auto"/>
          <w:sz w:val="24"/>
          <w:szCs w:val="24"/>
          <w:highlight w:val="none"/>
        </w:rPr>
        <w:t>控制价计算依据：</w:t>
      </w:r>
    </w:p>
    <w:p>
      <w:pPr>
        <w:spacing w:line="400" w:lineRule="exact"/>
        <w:ind w:firstLine="488"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11.2.1 《北流市政府投资建设项目规划设计审查领导小组关于北流市六靖镇茶山村沉香产业示范带危桥拆除重建工程设计方案的批复》</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北政规审</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2023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138号</w:t>
      </w:r>
      <w:r>
        <w:rPr>
          <w:rFonts w:hint="eastAsia" w:ascii="宋体" w:hAnsi="宋体" w:eastAsia="宋体" w:cs="宋体"/>
          <w:color w:val="auto"/>
          <w:spacing w:val="2"/>
          <w:sz w:val="24"/>
          <w:szCs w:val="24"/>
          <w:highlight w:val="none"/>
          <w:lang w:eastAsia="zh-CN"/>
        </w:rPr>
        <w:t>）；</w:t>
      </w:r>
    </w:p>
    <w:p>
      <w:pPr>
        <w:spacing w:line="400" w:lineRule="exact"/>
        <w:ind w:firstLine="488"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11.2.2 本工程送审的设计施工图纸、工程预算书</w:t>
      </w:r>
      <w:r>
        <w:rPr>
          <w:rFonts w:hint="eastAsia" w:ascii="宋体" w:hAnsi="宋体" w:eastAsia="宋体" w:cs="宋体"/>
          <w:color w:val="auto"/>
          <w:spacing w:val="2"/>
          <w:sz w:val="24"/>
          <w:szCs w:val="24"/>
          <w:highlight w:val="none"/>
          <w:lang w:eastAsia="zh-CN"/>
        </w:rPr>
        <w:t>；</w:t>
      </w:r>
    </w:p>
    <w:p>
      <w:pPr>
        <w:spacing w:line="400" w:lineRule="exact"/>
        <w:ind w:firstLine="488" w:firstLineChars="20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11.2.3</w:t>
      </w:r>
      <w:r>
        <w:rPr>
          <w:rFonts w:hint="eastAsia" w:ascii="宋体" w:hAnsi="宋体" w:eastAsia="宋体" w:cs="宋体"/>
          <w:color w:val="auto"/>
          <w:spacing w:val="2"/>
          <w:sz w:val="24"/>
          <w:szCs w:val="24"/>
          <w:highlight w:val="none"/>
          <w:lang w:val="en-US" w:eastAsia="zh-CN"/>
        </w:rPr>
        <w:t xml:space="preserve"> 《建设工程工程量计算规范（GB50854</w:t>
      </w:r>
      <w:r>
        <w:rPr>
          <w:rFonts w:hint="eastAsia" w:ascii="宋体" w:hAnsi="宋体" w:eastAsia="宋体" w:cs="宋体"/>
          <w:color w:val="auto"/>
          <w:spacing w:val="2"/>
          <w:sz w:val="24"/>
          <w:szCs w:val="24"/>
          <w:highlight w:val="none"/>
          <w:vertAlign w:val="subscript"/>
          <w:lang w:val="en-US" w:eastAsia="zh-CN"/>
        </w:rPr>
        <w:t>~</w:t>
      </w:r>
      <w:r>
        <w:rPr>
          <w:rFonts w:hint="eastAsia" w:ascii="宋体" w:hAnsi="宋体" w:eastAsia="宋体" w:cs="宋体"/>
          <w:color w:val="auto"/>
          <w:spacing w:val="2"/>
          <w:sz w:val="24"/>
          <w:szCs w:val="24"/>
          <w:highlight w:val="none"/>
          <w:lang w:val="en-US" w:eastAsia="zh-CN"/>
        </w:rPr>
        <w:t>50862 -2013）》、《建设工程工程量计算规范（GB50854</w:t>
      </w:r>
      <w:r>
        <w:rPr>
          <w:rFonts w:hint="eastAsia" w:ascii="宋体" w:hAnsi="宋体" w:eastAsia="宋体" w:cs="宋体"/>
          <w:color w:val="auto"/>
          <w:spacing w:val="2"/>
          <w:sz w:val="24"/>
          <w:szCs w:val="24"/>
          <w:highlight w:val="none"/>
          <w:vertAlign w:val="subscript"/>
          <w:lang w:val="en-US" w:eastAsia="zh-CN"/>
        </w:rPr>
        <w:t>~</w:t>
      </w:r>
      <w:r>
        <w:rPr>
          <w:rFonts w:hint="eastAsia" w:ascii="宋体" w:hAnsi="宋体" w:eastAsia="宋体" w:cs="宋体"/>
          <w:color w:val="auto"/>
          <w:spacing w:val="2"/>
          <w:sz w:val="24"/>
          <w:szCs w:val="24"/>
          <w:highlight w:val="none"/>
          <w:lang w:val="en-US" w:eastAsia="zh-CN"/>
        </w:rPr>
        <w:t>50862-2013）广西壮族自治区实施细则（修订本）》；</w:t>
      </w:r>
    </w:p>
    <w:p>
      <w:pPr>
        <w:spacing w:line="400" w:lineRule="exact"/>
        <w:ind w:firstLine="488" w:firstLineChars="20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11.2.4 2014年《广西壮族自治区市政工程消耗量定额》及关于调整建设工程定额人工费及有关费率进行调整(桂建标</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2023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7号</w:t>
      </w:r>
      <w:r>
        <w:rPr>
          <w:rFonts w:hint="eastAsia" w:ascii="宋体" w:hAnsi="宋体" w:eastAsia="宋体" w:cs="宋体"/>
          <w:color w:val="auto"/>
          <w:spacing w:val="2"/>
          <w:sz w:val="24"/>
          <w:szCs w:val="24"/>
          <w:highlight w:val="none"/>
          <w:lang w:eastAsia="zh-CN"/>
        </w:rPr>
        <w:t>）；</w:t>
      </w:r>
    </w:p>
    <w:p>
      <w:pPr>
        <w:spacing w:line="400" w:lineRule="exact"/>
        <w:ind w:firstLine="488" w:firstLineChars="20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11.2.5</w:t>
      </w:r>
      <w:r>
        <w:rPr>
          <w:rFonts w:hint="eastAsia" w:ascii="宋体" w:hAnsi="宋体" w:eastAsia="宋体" w:cs="宋体"/>
          <w:color w:val="auto"/>
          <w:spacing w:val="2"/>
          <w:sz w:val="24"/>
          <w:szCs w:val="24"/>
          <w:highlight w:val="none"/>
          <w:lang w:val="en-US" w:eastAsia="zh-CN"/>
        </w:rPr>
        <w:t xml:space="preserve"> 材料价格按《玉林建设工程造价信息》最新公布的2023年第4期（北流市城区信息价）计算，造价信息未刊登的材料按实调查市场价综合价计算；</w:t>
      </w:r>
    </w:p>
    <w:p>
      <w:pPr>
        <w:spacing w:line="400" w:lineRule="exact"/>
        <w:ind w:firstLine="488" w:firstLineChars="20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11.2.</w:t>
      </w:r>
      <w:r>
        <w:rPr>
          <w:rFonts w:hint="eastAsia" w:ascii="宋体" w:hAnsi="宋体" w:eastAsia="宋体" w:cs="宋体"/>
          <w:color w:val="auto"/>
          <w:spacing w:val="2"/>
          <w:sz w:val="24"/>
          <w:szCs w:val="24"/>
          <w:highlight w:val="none"/>
          <w:lang w:val="en-US" w:eastAsia="zh-CN"/>
        </w:rPr>
        <w:t>6有关政策性文件:《财政投资评审管理规定》（财建（2009）648号）、《财政投资评审质量控制办法（试行）》（财建（2005）1065号）、《财政投资项目评审操作规程（试行）》（财办建（2002）619号）</w:t>
      </w:r>
    </w:p>
    <w:p>
      <w:pPr>
        <w:spacing w:line="400" w:lineRule="exact"/>
        <w:ind w:firstLine="488" w:firstLineChars="200"/>
        <w:rPr>
          <w:rFonts w:ascii="Times New Roman" w:hAnsi="Times New Roman" w:eastAsia="宋体" w:cs="Times New Roman"/>
          <w:color w:val="auto"/>
          <w:szCs w:val="24"/>
          <w:highlight w:val="none"/>
        </w:rPr>
      </w:pPr>
      <w:r>
        <w:rPr>
          <w:rFonts w:hint="eastAsia" w:ascii="宋体" w:hAnsi="宋体" w:eastAsia="宋体" w:cs="宋体"/>
          <w:color w:val="auto"/>
          <w:spacing w:val="2"/>
          <w:sz w:val="24"/>
          <w:szCs w:val="24"/>
          <w:highlight w:val="none"/>
        </w:rPr>
        <w:t>11.2.</w:t>
      </w:r>
      <w:r>
        <w:rPr>
          <w:rFonts w:hint="eastAsia" w:ascii="宋体" w:hAnsi="宋体" w:eastAsia="宋体" w:cs="宋体"/>
          <w:color w:val="auto"/>
          <w:spacing w:val="2"/>
          <w:sz w:val="24"/>
          <w:szCs w:val="24"/>
          <w:highlight w:val="none"/>
          <w:lang w:val="en-US" w:eastAsia="zh-CN"/>
        </w:rPr>
        <w:t>7</w:t>
      </w:r>
      <w:r>
        <w:rPr>
          <w:rFonts w:hint="eastAsia" w:ascii="宋体" w:hAnsi="宋体" w:eastAsia="宋体" w:cs="宋体"/>
          <w:color w:val="auto"/>
          <w:spacing w:val="2"/>
          <w:sz w:val="24"/>
          <w:szCs w:val="24"/>
          <w:highlight w:val="none"/>
        </w:rPr>
        <w:t>本工程预算包干费、夜班施工增加费、交叉施工补贴及优良工程增加费：无 ；缩短工期增加费按规定费率范围取中间值计算。</w:t>
      </w:r>
    </w:p>
    <w:p>
      <w:pPr>
        <w:spacing w:line="400" w:lineRule="exact"/>
        <w:ind w:firstLine="488" w:firstLineChars="20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11.3</w:t>
      </w:r>
      <w:r>
        <w:rPr>
          <w:rFonts w:hint="eastAsia" w:ascii="宋体" w:hAnsi="宋体" w:eastAsia="宋体" w:cs="宋体"/>
          <w:color w:val="auto"/>
          <w:sz w:val="24"/>
          <w:szCs w:val="24"/>
          <w:highlight w:val="none"/>
        </w:rPr>
        <w:t>凡因设计缺陷需要变更设计且按规定程序办理了设计变更而增减工程造价，增减的工程造价不超过中标价5%（含5%）的，由市政府投资建设项目工程量增减审查办公室批准；超过5%的，由市政府投资建设项目工程量增减审查办公室审核后报市政府批准。工程量增加而引起工程造价增加额达到《工程建设项目招标范围和规模标准规定》规定的招标标准的应当进行重新招标。</w:t>
      </w:r>
    </w:p>
    <w:p>
      <w:pPr>
        <w:spacing w:line="400" w:lineRule="exact"/>
        <w:ind w:firstLine="488" w:firstLineChars="20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11.4</w:t>
      </w:r>
      <w:r>
        <w:rPr>
          <w:rFonts w:hint="eastAsia" w:ascii="宋体" w:hAnsi="宋体" w:eastAsia="宋体" w:cs="宋体"/>
          <w:color w:val="auto"/>
          <w:sz w:val="24"/>
          <w:szCs w:val="24"/>
          <w:highlight w:val="none"/>
        </w:rPr>
        <w:t>工程量增减经审查批准后方能进行规划设计变更，对增减预算按规定由市财政局进行评审。</w:t>
      </w:r>
    </w:p>
    <w:p>
      <w:pPr>
        <w:spacing w:line="400" w:lineRule="exact"/>
        <w:ind w:firstLine="488" w:firstLineChars="20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11.5</w:t>
      </w:r>
      <w:r>
        <w:rPr>
          <w:rFonts w:hint="eastAsia" w:ascii="宋体" w:hAnsi="宋体" w:eastAsia="宋体" w:cs="宋体"/>
          <w:color w:val="auto"/>
          <w:sz w:val="24"/>
          <w:szCs w:val="24"/>
          <w:highlight w:val="none"/>
        </w:rPr>
        <w:t>凡是独立增加的设计，未列入该工程工程量清单招标范围的，不属于该工程的工程量增加，属于另外的独立工程，应按规定进行工程招竞标或政府采购。</w:t>
      </w:r>
    </w:p>
    <w:p>
      <w:pPr>
        <w:spacing w:line="440" w:lineRule="exact"/>
        <w:ind w:firstLine="420"/>
        <w:rPr>
          <w:rFonts w:hint="eastAsia" w:ascii="Times New Roman" w:hAnsi="Courier New" w:eastAsia="宋体" w:cs="Times New Roman"/>
          <w:color w:val="auto"/>
          <w:szCs w:val="24"/>
          <w:highlight w:val="none"/>
          <w:lang w:val="en-US" w:eastAsia="zh-CN"/>
        </w:rPr>
      </w:pPr>
      <w:r>
        <w:rPr>
          <w:rFonts w:hint="eastAsia" w:ascii="宋体" w:hAnsi="宋体" w:eastAsia="宋体" w:cs="宋体"/>
          <w:color w:val="auto"/>
          <w:spacing w:val="2"/>
          <w:sz w:val="24"/>
          <w:szCs w:val="24"/>
          <w:highlight w:val="none"/>
          <w:lang w:val="en-US" w:eastAsia="zh-CN"/>
        </w:rPr>
        <w:t>11.6</w:t>
      </w:r>
      <w:r>
        <w:rPr>
          <w:rFonts w:hint="eastAsia" w:ascii="宋体" w:hAnsi="宋体" w:eastAsia="宋体" w:cs="Times New Roman"/>
          <w:b/>
          <w:color w:val="auto"/>
          <w:sz w:val="24"/>
          <w:szCs w:val="24"/>
          <w:highlight w:val="none"/>
        </w:rPr>
        <w:t>安全文明施工费：由竞标单位结合工程实际及自身的技术水平和管理水平，对工程的安全文明施工费按照桂建质（2006）22号文单独列项报价，但报价不得高于市财政评审预算控制价中给定的价格基数或低于市财政评审预算控制价中给定的价格基数的90%，否则竞标无效（预算控制价给定的价格基数为</w:t>
      </w:r>
      <w:r>
        <w:rPr>
          <w:rFonts w:hint="eastAsia" w:ascii="宋体" w:hAnsi="宋体" w:eastAsia="宋体" w:cs="Times New Roman"/>
          <w:b/>
          <w:bCs w:val="0"/>
          <w:color w:val="auto"/>
          <w:sz w:val="24"/>
          <w:szCs w:val="24"/>
          <w:highlight w:val="none"/>
        </w:rPr>
        <w:t>：</w:t>
      </w:r>
      <w:r>
        <w:rPr>
          <w:rFonts w:hint="eastAsia" w:ascii="宋体" w:hAnsi="宋体" w:eastAsia="宋体" w:cs="Times New Roman"/>
          <w:b/>
          <w:color w:val="auto"/>
          <w:sz w:val="24"/>
          <w:szCs w:val="24"/>
          <w:highlight w:val="none"/>
          <w:u w:val="single"/>
        </w:rPr>
        <w:t>壹万叁仟零叁拾捌元玖角壹分（￥</w:t>
      </w:r>
      <w:r>
        <w:rPr>
          <w:rFonts w:hint="eastAsia" w:ascii="宋体" w:hAnsi="宋体" w:eastAsia="宋体" w:cs="Times New Roman"/>
          <w:b/>
          <w:color w:val="auto"/>
          <w:sz w:val="24"/>
          <w:szCs w:val="24"/>
          <w:highlight w:val="none"/>
          <w:u w:val="single"/>
          <w:lang w:val="en-US" w:eastAsia="zh-CN"/>
        </w:rPr>
        <w:t>13038.91</w:t>
      </w:r>
      <w:r>
        <w:rPr>
          <w:rFonts w:hint="eastAsia" w:ascii="宋体" w:hAnsi="宋体" w:eastAsia="宋体" w:cs="Times New Roman"/>
          <w:b/>
          <w:color w:val="auto"/>
          <w:sz w:val="24"/>
          <w:szCs w:val="24"/>
          <w:highlight w:val="none"/>
          <w:u w:val="single"/>
        </w:rPr>
        <w:t>）</w:t>
      </w:r>
      <w:r>
        <w:rPr>
          <w:rFonts w:hint="eastAsia" w:ascii="宋体" w:hAnsi="宋体" w:eastAsia="宋体" w:cs="Times New Roman"/>
          <w:b/>
          <w:color w:val="auto"/>
          <w:sz w:val="24"/>
          <w:szCs w:val="24"/>
          <w:highlight w:val="none"/>
          <w:u w:val="single"/>
          <w:lang w:val="en-US" w:eastAsia="zh-CN"/>
        </w:rPr>
        <w:t>。</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11.7</w:t>
      </w:r>
      <w:r>
        <w:rPr>
          <w:rFonts w:hint="eastAsia" w:ascii="宋体" w:hAnsi="宋体" w:eastAsia="宋体" w:cs="宋体"/>
          <w:color w:val="auto"/>
          <w:sz w:val="24"/>
          <w:szCs w:val="24"/>
          <w:highlight w:val="none"/>
        </w:rPr>
        <w:t>工程量清单描述不清的按施工图设计及有关规定补充描述；</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11.8</w:t>
      </w:r>
      <w:r>
        <w:rPr>
          <w:rFonts w:hint="eastAsia" w:ascii="宋体" w:hAnsi="宋体" w:eastAsia="宋体" w:cs="宋体"/>
          <w:color w:val="auto"/>
          <w:sz w:val="24"/>
          <w:szCs w:val="24"/>
          <w:highlight w:val="none"/>
        </w:rPr>
        <w:t>其他相关说明及注意事项详见《招标控制价》。</w:t>
      </w:r>
    </w:p>
    <w:p>
      <w:pPr>
        <w:spacing w:line="400" w:lineRule="exact"/>
        <w:ind w:firstLine="480" w:firstLineChars="200"/>
        <w:rPr>
          <w:rFonts w:ascii="Times New Roman" w:hAnsi="Times New Roman" w:eastAsia="宋体" w:cs="Times New Roman"/>
          <w:color w:val="auto"/>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本工程招标控制价与竞争性磋商文件一同发布。</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磋商货币</w:t>
      </w:r>
    </w:p>
    <w:p>
      <w:pPr>
        <w:spacing w:line="400" w:lineRule="exact"/>
        <w:ind w:firstLine="475" w:firstLineChars="1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响应文件报价中的单价和合价全部采用人民币表示。</w:t>
      </w:r>
    </w:p>
    <w:p>
      <w:pPr>
        <w:keepNext/>
        <w:keepLines/>
        <w:spacing w:line="400" w:lineRule="exact"/>
        <w:outlineLvl w:val="1"/>
        <w:rPr>
          <w:rFonts w:ascii="宋体" w:hAnsi="宋体" w:eastAsia="宋体" w:cs="Times New Roman"/>
          <w:b/>
          <w:bCs/>
          <w:color w:val="auto"/>
          <w:sz w:val="24"/>
          <w:szCs w:val="24"/>
          <w:highlight w:val="none"/>
        </w:rPr>
      </w:pPr>
      <w:bookmarkStart w:id="151" w:name="_Toc89332981"/>
      <w:bookmarkStart w:id="152" w:name="_Toc89333229"/>
      <w:bookmarkStart w:id="153" w:name="_Toc88065566"/>
      <w:r>
        <w:rPr>
          <w:rFonts w:hint="eastAsia" w:ascii="宋体" w:hAnsi="宋体" w:eastAsia="宋体" w:cs="Times New Roman"/>
          <w:b/>
          <w:bCs/>
          <w:color w:val="auto"/>
          <w:sz w:val="24"/>
          <w:szCs w:val="24"/>
          <w:highlight w:val="none"/>
        </w:rPr>
        <w:t>12．磋商有效期</w:t>
      </w:r>
      <w:bookmarkEnd w:id="144"/>
      <w:bookmarkEnd w:id="145"/>
      <w:bookmarkEnd w:id="146"/>
      <w:bookmarkEnd w:id="147"/>
      <w:bookmarkEnd w:id="148"/>
      <w:bookmarkEnd w:id="149"/>
      <w:bookmarkEnd w:id="150"/>
      <w:bookmarkEnd w:id="151"/>
      <w:bookmarkEnd w:id="152"/>
      <w:bookmarkEnd w:id="153"/>
    </w:p>
    <w:p>
      <w:pPr>
        <w:spacing w:line="400" w:lineRule="exact"/>
        <w:ind w:left="599" w:leftChars="228" w:hanging="120" w:hangingChars="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12.1磋商有效期：响应文件从磋商截止日起60天内有效。</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12.2在特殊情况下，采购人、采购代理机构可于磋商有效期满之前</w:t>
      </w:r>
      <w:r>
        <w:rPr>
          <w:rFonts w:ascii="宋体" w:hAnsi="宋体" w:eastAsia="宋体" w:cs="宋体"/>
          <w:color w:val="auto"/>
          <w:sz w:val="24"/>
          <w:szCs w:val="24"/>
          <w:highlight w:val="none"/>
        </w:rPr>
        <w:t>要求供应商同意延长有效期，要求与答复均应以书面形式。同意延期的供应商根据原截止期应负之权利及责任相应也延至新的截止期，但</w:t>
      </w:r>
      <w:r>
        <w:rPr>
          <w:rFonts w:ascii="宋体" w:hAnsi="宋体" w:eastAsia="宋体" w:cs="Times New Roman"/>
          <w:color w:val="auto"/>
          <w:sz w:val="24"/>
          <w:szCs w:val="24"/>
          <w:highlight w:val="none"/>
        </w:rPr>
        <w:t>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r>
        <w:rPr>
          <w:rFonts w:ascii="宋体" w:hAnsi="宋体" w:eastAsia="宋体" w:cs="宋体"/>
          <w:color w:val="auto"/>
          <w:sz w:val="24"/>
          <w:szCs w:val="24"/>
          <w:highlight w:val="none"/>
        </w:rPr>
        <w:t>。</w:t>
      </w:r>
    </w:p>
    <w:p>
      <w:pPr>
        <w:keepNext/>
        <w:keepLines/>
        <w:spacing w:line="400" w:lineRule="exact"/>
        <w:outlineLvl w:val="1"/>
        <w:rPr>
          <w:rFonts w:ascii="黑体" w:hAnsi="黑体" w:eastAsia="黑体" w:cs="宋体"/>
          <w:b/>
          <w:bCs/>
          <w:color w:val="auto"/>
          <w:sz w:val="24"/>
          <w:szCs w:val="32"/>
          <w:highlight w:val="none"/>
        </w:rPr>
      </w:pPr>
      <w:bookmarkStart w:id="154" w:name="_Toc486196152"/>
      <w:bookmarkStart w:id="155" w:name="_Toc206525698"/>
      <w:bookmarkStart w:id="156" w:name="_Toc486922969"/>
      <w:bookmarkStart w:id="157" w:name="_Toc239839879"/>
      <w:bookmarkStart w:id="158" w:name="_Toc185702565"/>
      <w:bookmarkStart w:id="159" w:name="_Toc230578073"/>
      <w:bookmarkStart w:id="160" w:name="_Toc207770851"/>
      <w:bookmarkStart w:id="161" w:name="_Toc88065567"/>
      <w:bookmarkStart w:id="162" w:name="_Toc89333230"/>
      <w:bookmarkStart w:id="163" w:name="_Toc89332982"/>
      <w:r>
        <w:rPr>
          <w:rFonts w:hint="eastAsia" w:ascii="宋体" w:hAnsi="宋体" w:eastAsia="宋体" w:cs="Times New Roman"/>
          <w:b/>
          <w:bCs/>
          <w:color w:val="auto"/>
          <w:sz w:val="24"/>
          <w:szCs w:val="24"/>
          <w:highlight w:val="none"/>
        </w:rPr>
        <w:t>13．</w:t>
      </w:r>
      <w:bookmarkEnd w:id="154"/>
      <w:bookmarkEnd w:id="155"/>
      <w:bookmarkEnd w:id="156"/>
      <w:bookmarkEnd w:id="157"/>
      <w:bookmarkEnd w:id="158"/>
      <w:bookmarkEnd w:id="159"/>
      <w:bookmarkEnd w:id="160"/>
      <w:r>
        <w:rPr>
          <w:rFonts w:hint="eastAsia" w:ascii="宋体" w:hAnsi="宋体" w:eastAsia="宋体" w:cs="Times New Roman"/>
          <w:b/>
          <w:bCs/>
          <w:color w:val="auto"/>
          <w:sz w:val="24"/>
          <w:szCs w:val="24"/>
          <w:highlight w:val="none"/>
        </w:rPr>
        <w:t>响应文件的密封和标记</w:t>
      </w:r>
      <w:bookmarkEnd w:id="161"/>
      <w:bookmarkEnd w:id="162"/>
      <w:bookmarkEnd w:id="163"/>
      <w:bookmarkStart w:id="164" w:name="_Toc239839880"/>
      <w:bookmarkStart w:id="165" w:name="_Toc206525699"/>
      <w:bookmarkStart w:id="166" w:name="_Toc230578074"/>
      <w:bookmarkStart w:id="167" w:name="_Toc207770852"/>
      <w:bookmarkStart w:id="168" w:name="_Toc185702566"/>
      <w:bookmarkStart w:id="169" w:name="_Toc486922970"/>
      <w:bookmarkStart w:id="170" w:name="_Toc486196153"/>
    </w:p>
    <w:p>
      <w:pPr>
        <w:spacing w:line="400" w:lineRule="exact"/>
        <w:ind w:firstLine="480" w:firstLineChars="200"/>
        <w:rPr>
          <w:rFonts w:ascii="宋体" w:hAnsi="宋体" w:eastAsia="宋体" w:cs="仿宋_GB2312"/>
          <w:color w:val="auto"/>
          <w:kern w:val="0"/>
          <w:sz w:val="24"/>
          <w:szCs w:val="24"/>
          <w:highlight w:val="none"/>
          <w:lang w:val="zh-CN"/>
        </w:rPr>
      </w:pPr>
      <w:r>
        <w:rPr>
          <w:rFonts w:hint="eastAsia" w:ascii="宋体" w:hAnsi="宋体" w:eastAsia="宋体" w:cs="仿宋_GB2312"/>
          <w:color w:val="auto"/>
          <w:kern w:val="0"/>
          <w:sz w:val="24"/>
          <w:szCs w:val="24"/>
          <w:highlight w:val="none"/>
          <w:lang w:val="zh-CN"/>
        </w:rPr>
        <w:t>1</w:t>
      </w:r>
      <w:r>
        <w:rPr>
          <w:rFonts w:hint="eastAsia" w:ascii="宋体" w:hAnsi="宋体" w:eastAsia="宋体" w:cs="仿宋_GB2312"/>
          <w:color w:val="auto"/>
          <w:kern w:val="0"/>
          <w:sz w:val="24"/>
          <w:szCs w:val="24"/>
          <w:highlight w:val="none"/>
        </w:rPr>
        <w:t>3</w:t>
      </w:r>
      <w:r>
        <w:rPr>
          <w:rFonts w:hint="eastAsia" w:ascii="宋体" w:hAnsi="宋体" w:eastAsia="宋体" w:cs="仿宋_GB2312"/>
          <w:color w:val="auto"/>
          <w:kern w:val="0"/>
          <w:sz w:val="24"/>
          <w:szCs w:val="24"/>
          <w:highlight w:val="none"/>
          <w:lang w:val="zh-CN"/>
        </w:rPr>
        <w:t>.1供应商进行电子交易应安装客户端软件—“政采云电子交易客户端”，并按照磋商文件和电子交易平台的要求编制并加密响应文件。供应商未按规定加密的响应文件，电子交易平台将拒收并提示。</w:t>
      </w:r>
    </w:p>
    <w:p>
      <w:pPr>
        <w:spacing w:line="400" w:lineRule="exact"/>
        <w:ind w:firstLine="480" w:firstLineChars="200"/>
        <w:rPr>
          <w:rFonts w:ascii="宋体" w:hAnsi="宋体" w:eastAsia="宋体" w:cs="仿宋_GB2312"/>
          <w:color w:val="auto"/>
          <w:kern w:val="0"/>
          <w:sz w:val="24"/>
          <w:szCs w:val="24"/>
          <w:highlight w:val="none"/>
          <w:lang w:val="zh-CN"/>
        </w:rPr>
      </w:pPr>
      <w:r>
        <w:rPr>
          <w:rFonts w:hint="eastAsia" w:ascii="宋体" w:hAnsi="宋体" w:eastAsia="宋体" w:cs="仿宋_GB2312"/>
          <w:color w:val="auto"/>
          <w:kern w:val="0"/>
          <w:sz w:val="24"/>
          <w:szCs w:val="24"/>
          <w:highlight w:val="none"/>
          <w:lang w:val="zh-CN"/>
        </w:rPr>
        <w:t>1</w:t>
      </w:r>
      <w:r>
        <w:rPr>
          <w:rFonts w:hint="eastAsia" w:ascii="宋体" w:hAnsi="宋体" w:eastAsia="宋体" w:cs="仿宋_GB2312"/>
          <w:color w:val="auto"/>
          <w:kern w:val="0"/>
          <w:sz w:val="24"/>
          <w:szCs w:val="24"/>
          <w:highlight w:val="none"/>
        </w:rPr>
        <w:t>3</w:t>
      </w:r>
      <w:r>
        <w:rPr>
          <w:rFonts w:hint="eastAsia" w:ascii="宋体" w:hAnsi="宋体" w:eastAsia="宋体" w:cs="仿宋_GB2312"/>
          <w:color w:val="auto"/>
          <w:kern w:val="0"/>
          <w:sz w:val="24"/>
          <w:szCs w:val="24"/>
          <w:highlight w:val="none"/>
          <w:lang w:val="zh-CN"/>
        </w:rPr>
        <w:t>.2使用“政采云电子交易客户端”需要提前申领CA数字证书。</w:t>
      </w:r>
    </w:p>
    <w:p>
      <w:pPr>
        <w:spacing w:line="400" w:lineRule="exact"/>
        <w:ind w:firstLine="480" w:firstLineChars="200"/>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13.3为确保网上操作合法、有效和安全，供应商应当在响应文件提交截止时间前完成在“政府采购云平台”的身份认证，确保在电子交易过程中能够对相关数据电文进行加密和使用电子签章。</w:t>
      </w:r>
    </w:p>
    <w:p>
      <w:pPr>
        <w:keepNext/>
        <w:keepLines/>
        <w:spacing w:line="400" w:lineRule="exact"/>
        <w:outlineLvl w:val="1"/>
        <w:rPr>
          <w:rFonts w:ascii="宋体" w:hAnsi="宋体" w:eastAsia="宋体" w:cs="Times New Roman"/>
          <w:b/>
          <w:bCs/>
          <w:color w:val="auto"/>
          <w:sz w:val="24"/>
          <w:szCs w:val="24"/>
          <w:highlight w:val="none"/>
        </w:rPr>
      </w:pPr>
      <w:bookmarkStart w:id="171" w:name="_Toc88065568"/>
      <w:bookmarkStart w:id="172" w:name="_Toc89333231"/>
      <w:bookmarkStart w:id="173" w:name="_Toc89332983"/>
      <w:r>
        <w:rPr>
          <w:rFonts w:hint="eastAsia" w:ascii="宋体" w:hAnsi="宋体" w:eastAsia="宋体" w:cs="Times New Roman"/>
          <w:b/>
          <w:bCs/>
          <w:color w:val="auto"/>
          <w:sz w:val="24"/>
          <w:szCs w:val="24"/>
          <w:highlight w:val="none"/>
        </w:rPr>
        <w:t>14．磋商保证金</w:t>
      </w:r>
      <w:bookmarkEnd w:id="164"/>
      <w:bookmarkEnd w:id="165"/>
      <w:bookmarkEnd w:id="166"/>
      <w:bookmarkEnd w:id="167"/>
      <w:bookmarkEnd w:id="168"/>
      <w:bookmarkEnd w:id="169"/>
      <w:bookmarkEnd w:id="170"/>
      <w:bookmarkEnd w:id="171"/>
      <w:r>
        <w:rPr>
          <w:rFonts w:hint="eastAsia" w:ascii="宋体" w:hAnsi="宋体" w:eastAsia="宋体" w:cs="Times New Roman"/>
          <w:b/>
          <w:bCs/>
          <w:color w:val="auto"/>
          <w:sz w:val="24"/>
          <w:szCs w:val="24"/>
          <w:highlight w:val="none"/>
        </w:rPr>
        <w:t>：无</w:t>
      </w:r>
      <w:bookmarkEnd w:id="172"/>
      <w:bookmarkEnd w:id="173"/>
    </w:p>
    <w:p>
      <w:pPr>
        <w:rPr>
          <w:rFonts w:ascii="Tahoma" w:hAnsi="Tahoma" w:eastAsia="宋体" w:cs="Times New Roman"/>
          <w:color w:val="auto"/>
          <w:sz w:val="24"/>
          <w:szCs w:val="20"/>
          <w:highlight w:val="none"/>
        </w:rPr>
      </w:pPr>
    </w:p>
    <w:p>
      <w:pPr>
        <w:keepNext/>
        <w:spacing w:line="400" w:lineRule="exact"/>
        <w:jc w:val="center"/>
        <w:outlineLvl w:val="0"/>
        <w:rPr>
          <w:rFonts w:ascii="宋体" w:hAnsi="宋体" w:eastAsia="宋体" w:cs="Times New Roman"/>
          <w:b/>
          <w:color w:val="auto"/>
          <w:sz w:val="28"/>
          <w:szCs w:val="28"/>
          <w:highlight w:val="none"/>
        </w:rPr>
      </w:pPr>
      <w:bookmarkStart w:id="174" w:name="_Toc88065569"/>
      <w:bookmarkStart w:id="175" w:name="_Toc89333232"/>
      <w:bookmarkStart w:id="176" w:name="_Toc185702567"/>
      <w:bookmarkStart w:id="177" w:name="_Toc206525700"/>
      <w:bookmarkStart w:id="178" w:name="_Toc239839881"/>
      <w:bookmarkStart w:id="179" w:name="_Toc230578075"/>
      <w:bookmarkStart w:id="180" w:name="_Toc486196154"/>
      <w:bookmarkStart w:id="181" w:name="_Toc486922971"/>
      <w:bookmarkStart w:id="182" w:name="_Toc207770853"/>
      <w:r>
        <w:rPr>
          <w:rFonts w:hint="eastAsia" w:ascii="宋体" w:hAnsi="宋体" w:eastAsia="宋体" w:cs="Times New Roman"/>
          <w:b/>
          <w:color w:val="auto"/>
          <w:sz w:val="28"/>
          <w:szCs w:val="28"/>
          <w:highlight w:val="none"/>
        </w:rPr>
        <w:t>四   响应文件的提交</w:t>
      </w:r>
      <w:bookmarkEnd w:id="174"/>
      <w:bookmarkEnd w:id="175"/>
      <w:bookmarkEnd w:id="176"/>
      <w:bookmarkEnd w:id="177"/>
      <w:bookmarkEnd w:id="178"/>
      <w:bookmarkEnd w:id="179"/>
      <w:bookmarkEnd w:id="180"/>
      <w:bookmarkEnd w:id="181"/>
      <w:bookmarkEnd w:id="182"/>
    </w:p>
    <w:p>
      <w:pPr>
        <w:keepNext/>
        <w:keepLines/>
        <w:spacing w:line="400" w:lineRule="exact"/>
        <w:outlineLvl w:val="1"/>
        <w:rPr>
          <w:rFonts w:ascii="宋体" w:hAnsi="宋体" w:eastAsia="宋体" w:cs="Times New Roman"/>
          <w:b/>
          <w:bCs/>
          <w:color w:val="auto"/>
          <w:sz w:val="24"/>
          <w:szCs w:val="24"/>
          <w:highlight w:val="none"/>
        </w:rPr>
      </w:pPr>
      <w:bookmarkStart w:id="183" w:name="_Toc206525701"/>
      <w:bookmarkStart w:id="184" w:name="_Toc185702568"/>
      <w:bookmarkStart w:id="185" w:name="_Toc486196155"/>
      <w:bookmarkStart w:id="186" w:name="_Toc239839882"/>
      <w:bookmarkStart w:id="187" w:name="_Toc207770854"/>
      <w:bookmarkStart w:id="188" w:name="_Toc230578076"/>
      <w:bookmarkStart w:id="189" w:name="_Toc486922972"/>
      <w:bookmarkStart w:id="190" w:name="_Toc88065570"/>
      <w:bookmarkStart w:id="191" w:name="_Toc89333233"/>
      <w:bookmarkStart w:id="192" w:name="_Toc89332985"/>
      <w:r>
        <w:rPr>
          <w:rFonts w:hint="eastAsia" w:ascii="宋体" w:hAnsi="宋体" w:eastAsia="宋体" w:cs="Times New Roman"/>
          <w:b/>
          <w:bCs/>
          <w:color w:val="auto"/>
          <w:sz w:val="24"/>
          <w:szCs w:val="24"/>
          <w:highlight w:val="none"/>
        </w:rPr>
        <w:t>15．响应文件的</w:t>
      </w:r>
      <w:bookmarkEnd w:id="183"/>
      <w:bookmarkEnd w:id="184"/>
      <w:bookmarkEnd w:id="185"/>
      <w:bookmarkEnd w:id="186"/>
      <w:bookmarkEnd w:id="187"/>
      <w:bookmarkEnd w:id="188"/>
      <w:bookmarkEnd w:id="189"/>
      <w:r>
        <w:rPr>
          <w:rFonts w:hint="eastAsia" w:ascii="宋体" w:hAnsi="宋体" w:eastAsia="宋体" w:cs="Times New Roman"/>
          <w:b/>
          <w:bCs/>
          <w:color w:val="auto"/>
          <w:sz w:val="24"/>
          <w:szCs w:val="24"/>
          <w:highlight w:val="none"/>
        </w:rPr>
        <w:t>提交</w:t>
      </w:r>
      <w:bookmarkEnd w:id="190"/>
      <w:bookmarkEnd w:id="191"/>
      <w:bookmarkEnd w:id="192"/>
    </w:p>
    <w:p>
      <w:pPr>
        <w:spacing w:line="400" w:lineRule="exact"/>
        <w:ind w:firstLine="480" w:firstLineChars="200"/>
        <w:rPr>
          <w:rFonts w:ascii="宋体" w:hAnsi="宋体" w:eastAsia="宋体" w:cs="宋体"/>
          <w:color w:val="auto"/>
          <w:sz w:val="24"/>
          <w:szCs w:val="24"/>
          <w:highlight w:val="none"/>
        </w:rPr>
      </w:pPr>
      <w:bookmarkStart w:id="193" w:name="_Toc230578077"/>
      <w:bookmarkStart w:id="194" w:name="_Toc486196156"/>
      <w:bookmarkStart w:id="195" w:name="_Toc206525702"/>
      <w:bookmarkStart w:id="196" w:name="_Toc185702569"/>
      <w:bookmarkStart w:id="197" w:name="_Toc207770855"/>
      <w:bookmarkStart w:id="198" w:name="_Toc239839883"/>
      <w:bookmarkStart w:id="199" w:name="_Toc486922973"/>
      <w:r>
        <w:rPr>
          <w:rFonts w:hint="eastAsia" w:ascii="宋体" w:hAnsi="宋体" w:eastAsia="宋体" w:cs="宋体"/>
          <w:color w:val="auto"/>
          <w:sz w:val="24"/>
          <w:szCs w:val="24"/>
          <w:highlight w:val="none"/>
        </w:rPr>
        <w:t>15.1供应商必须在“供应商须知前附表”规定的时间和地点提交响应文件。</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 在响应文件提交截止时间以后，不能补充、修改响应文件。</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15.3 在提交“最后报价”后，供应商不能退出磋商谈判。</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15.4 电子交易平台收到响应文件，将妥善保存并即时向供应商发出确认回执通知。在响应文件提交截止时间前，除供应商补充、修改或者撤回响应文件外，任何单位和个人不得解密或提取响应文件。</w:t>
      </w:r>
    </w:p>
    <w:p>
      <w:pPr>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15.5 采购机构不可视情况延长提交响应文件的截止时间。</w:t>
      </w:r>
    </w:p>
    <w:p>
      <w:pPr>
        <w:spacing w:line="400" w:lineRule="exact"/>
        <w:ind w:firstLine="480" w:firstLineChars="200"/>
        <w:rPr>
          <w:rFonts w:ascii="黑体" w:hAnsi="黑体" w:eastAsia="黑体" w:cs="Times New Roman"/>
          <w:color w:val="auto"/>
          <w:sz w:val="24"/>
          <w:szCs w:val="24"/>
          <w:highlight w:val="none"/>
        </w:rPr>
      </w:pPr>
      <w:r>
        <w:rPr>
          <w:rFonts w:hint="eastAsia" w:ascii="宋体" w:hAnsi="宋体" w:eastAsia="宋体" w:cs="Times New Roman"/>
          <w:color w:val="auto"/>
          <w:sz w:val="24"/>
          <w:szCs w:val="24"/>
          <w:highlight w:val="none"/>
        </w:rPr>
        <w:t>15.6备份响应文件。</w:t>
      </w:r>
      <w:r>
        <w:rPr>
          <w:rFonts w:hint="eastAsia" w:ascii="Times New Roman" w:hAnsi="宋体" w:eastAsia="宋体" w:cs="Times New Roman"/>
          <w:bCs/>
          <w:color w:val="auto"/>
          <w:sz w:val="24"/>
          <w:szCs w:val="24"/>
          <w:highlight w:val="none"/>
        </w:rPr>
        <w:t>详见在“供应商须知前附表”。</w:t>
      </w:r>
    </w:p>
    <w:p>
      <w:pPr>
        <w:pStyle w:val="3"/>
        <w:spacing w:before="0" w:after="0" w:line="400" w:lineRule="exact"/>
        <w:rPr>
          <w:rFonts w:ascii="宋体" w:hAnsi="宋体" w:eastAsia="宋体"/>
          <w:color w:val="auto"/>
          <w:sz w:val="24"/>
          <w:szCs w:val="24"/>
          <w:highlight w:val="none"/>
        </w:rPr>
      </w:pPr>
      <w:bookmarkStart w:id="200" w:name="_Toc88065571"/>
      <w:bookmarkStart w:id="201" w:name="_Toc89333234"/>
      <w:bookmarkStart w:id="202" w:name="_Toc89332986"/>
      <w:r>
        <w:rPr>
          <w:rFonts w:hint="eastAsia" w:ascii="宋体" w:hAnsi="宋体" w:eastAsia="宋体"/>
          <w:color w:val="auto"/>
          <w:sz w:val="24"/>
          <w:szCs w:val="24"/>
          <w:highlight w:val="none"/>
        </w:rPr>
        <w:t>16．磋商截止时间、地点</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16.1响应文件的递交不得迟于本章须知前附表第10项规定的截止时间。</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16.2供应商必须在规定时间内将响应文件送到本章须知前附表第10项规定地点。</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16.3若遇到参加报价的供应商过多造成部分供应商在截止时间前已抵达开标现场但未能签到的情况，供应商递交响应文件的时间以其进入磋商文件规定的开标场所的时间为准。</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16.4属下列情形之一的，采购人或采购代理机构应当拒绝接收供应商的响应文件：</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① 响应文件在规定的磋商截止时间之后投送到</w:t>
      </w:r>
      <w:r>
        <w:rPr>
          <w:rFonts w:hint="eastAsia" w:hAnsi="宋体"/>
          <w:color w:val="auto"/>
          <w:sz w:val="24"/>
          <w:szCs w:val="24"/>
          <w:highlight w:val="none"/>
        </w:rPr>
        <w:t>“政采云”平台电子开标大厅</w:t>
      </w:r>
      <w:r>
        <w:rPr>
          <w:rFonts w:hint="eastAsia" w:ascii="宋体" w:hAnsi="宋体"/>
          <w:color w:val="auto"/>
          <w:sz w:val="24"/>
          <w:szCs w:val="24"/>
          <w:highlight w:val="none"/>
        </w:rPr>
        <w:t>的；</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② 响应文件未送达指定的递交地点（</w:t>
      </w:r>
      <w:r>
        <w:rPr>
          <w:rFonts w:hint="eastAsia" w:hAnsi="宋体"/>
          <w:color w:val="auto"/>
          <w:sz w:val="24"/>
          <w:szCs w:val="24"/>
          <w:highlight w:val="none"/>
        </w:rPr>
        <w:t>“政采云”平台电子开标大厅</w:t>
      </w:r>
      <w:r>
        <w:rPr>
          <w:rFonts w:hint="eastAsia" w:ascii="宋体" w:hAnsi="宋体"/>
          <w:color w:val="auto"/>
          <w:sz w:val="24"/>
          <w:szCs w:val="24"/>
          <w:highlight w:val="none"/>
        </w:rPr>
        <w:t>）的；</w:t>
      </w:r>
    </w:p>
    <w:p>
      <w:pPr>
        <w:spacing w:line="400" w:lineRule="exact"/>
        <w:rPr>
          <w:rFonts w:ascii="宋体" w:hAnsi="宋体"/>
          <w:b/>
          <w:bCs/>
          <w:color w:val="auto"/>
          <w:sz w:val="24"/>
          <w:szCs w:val="24"/>
          <w:highlight w:val="none"/>
        </w:rPr>
      </w:pPr>
      <w:bookmarkStart w:id="203" w:name="_Toc147250534"/>
      <w:bookmarkStart w:id="204" w:name="_Toc147250332"/>
      <w:bookmarkStart w:id="205" w:name="_Toc185702570"/>
      <w:bookmarkStart w:id="206" w:name="_Toc486196157"/>
      <w:bookmarkStart w:id="207" w:name="_Toc239839884"/>
      <w:bookmarkStart w:id="208" w:name="_Toc230578078"/>
      <w:bookmarkStart w:id="209" w:name="_Toc147250378"/>
      <w:bookmarkStart w:id="210" w:name="_Toc207770856"/>
      <w:bookmarkStart w:id="211" w:name="_Toc486922974"/>
      <w:bookmarkStart w:id="212" w:name="_Toc206525703"/>
      <w:r>
        <w:rPr>
          <w:rFonts w:hint="eastAsia" w:ascii="宋体" w:hAnsi="宋体"/>
          <w:b/>
          <w:bCs/>
          <w:color w:val="auto"/>
          <w:sz w:val="24"/>
          <w:szCs w:val="24"/>
          <w:highlight w:val="none"/>
        </w:rPr>
        <w:t>17．响应文件的修改和撤回</w:t>
      </w:r>
      <w:bookmarkEnd w:id="203"/>
      <w:bookmarkEnd w:id="204"/>
      <w:bookmarkEnd w:id="205"/>
      <w:bookmarkEnd w:id="206"/>
      <w:bookmarkEnd w:id="207"/>
      <w:bookmarkEnd w:id="208"/>
      <w:bookmarkEnd w:id="209"/>
      <w:bookmarkEnd w:id="210"/>
      <w:bookmarkEnd w:id="211"/>
      <w:bookmarkEnd w:id="212"/>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17.1供应商在磋商截止时间前，可以对所递交的响应文件进行补充、修改或撤回，并书面通知招标采购单位。补充、修改的内容为响应文件的组成部分。在磋商截止时间之后，供应商不得对其响应文件做任何修改和补充。</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17.2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17.3在磋商结束后的磋商有效期内，供应商不得撤回其响应文件，否则其全部磋商保证金将不予退还。</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17.4如招标采购单位认为有必要的，有权对供应商递交的《响应文件》中相关资料的原件进行核查，供应商须予以配合。</w:t>
      </w:r>
    </w:p>
    <w:p>
      <w:pPr>
        <w:spacing w:line="400" w:lineRule="exact"/>
        <w:ind w:firstLine="480" w:firstLineChars="200"/>
        <w:rPr>
          <w:rFonts w:ascii="宋体" w:hAnsi="宋体" w:eastAsia="宋体" w:cs="Times New Roman"/>
          <w:color w:val="auto"/>
          <w:sz w:val="24"/>
          <w:szCs w:val="24"/>
          <w:highlight w:val="none"/>
        </w:rPr>
      </w:pPr>
    </w:p>
    <w:bookmarkEnd w:id="193"/>
    <w:bookmarkEnd w:id="194"/>
    <w:bookmarkEnd w:id="195"/>
    <w:bookmarkEnd w:id="196"/>
    <w:bookmarkEnd w:id="197"/>
    <w:bookmarkEnd w:id="198"/>
    <w:bookmarkEnd w:id="199"/>
    <w:bookmarkEnd w:id="200"/>
    <w:bookmarkEnd w:id="201"/>
    <w:bookmarkEnd w:id="202"/>
    <w:p>
      <w:pPr>
        <w:keepNext/>
        <w:spacing w:line="400" w:lineRule="exact"/>
        <w:jc w:val="center"/>
        <w:outlineLvl w:val="0"/>
        <w:rPr>
          <w:rFonts w:ascii="宋体" w:hAnsi="宋体" w:eastAsia="宋体" w:cs="Times New Roman"/>
          <w:b/>
          <w:color w:val="auto"/>
          <w:sz w:val="28"/>
          <w:szCs w:val="28"/>
          <w:highlight w:val="none"/>
        </w:rPr>
      </w:pPr>
      <w:bookmarkStart w:id="213" w:name="_Toc486196158"/>
      <w:bookmarkStart w:id="214" w:name="_Toc185702571"/>
      <w:bookmarkStart w:id="215" w:name="_Toc88065573"/>
      <w:bookmarkStart w:id="216" w:name="_Toc486922975"/>
      <w:bookmarkStart w:id="217" w:name="_Toc239839885"/>
      <w:bookmarkStart w:id="218" w:name="_Toc206525704"/>
      <w:bookmarkStart w:id="219" w:name="_Toc89333236"/>
      <w:bookmarkStart w:id="220" w:name="_Toc230578079"/>
      <w:bookmarkStart w:id="221" w:name="_Toc207770857"/>
      <w:r>
        <w:rPr>
          <w:rFonts w:hint="eastAsia" w:ascii="宋体" w:hAnsi="宋体" w:eastAsia="宋体" w:cs="Times New Roman"/>
          <w:b/>
          <w:color w:val="auto"/>
          <w:sz w:val="28"/>
          <w:szCs w:val="28"/>
          <w:highlight w:val="none"/>
        </w:rPr>
        <w:t>五   竞争性磋商（简称磋商）与评审</w:t>
      </w:r>
      <w:bookmarkEnd w:id="213"/>
      <w:bookmarkEnd w:id="214"/>
      <w:bookmarkEnd w:id="215"/>
      <w:bookmarkEnd w:id="216"/>
      <w:bookmarkEnd w:id="217"/>
      <w:bookmarkEnd w:id="218"/>
      <w:bookmarkEnd w:id="219"/>
      <w:bookmarkEnd w:id="220"/>
      <w:bookmarkEnd w:id="221"/>
    </w:p>
    <w:p>
      <w:pPr>
        <w:spacing w:line="400" w:lineRule="exact"/>
        <w:rPr>
          <w:rFonts w:ascii="宋体" w:hAnsi="Courier New" w:eastAsia="宋体" w:cs="Times New Roman"/>
          <w:b/>
          <w:color w:val="auto"/>
          <w:sz w:val="24"/>
          <w:szCs w:val="24"/>
          <w:highlight w:val="none"/>
        </w:rPr>
      </w:pPr>
      <w:bookmarkStart w:id="222" w:name="_Toc185702574"/>
      <w:bookmarkStart w:id="223" w:name="_Toc230578082"/>
      <w:bookmarkStart w:id="224" w:name="_Toc207770860"/>
      <w:bookmarkStart w:id="225" w:name="_Toc206525707"/>
      <w:r>
        <w:rPr>
          <w:rFonts w:ascii="宋体" w:hAnsi="Courier New" w:eastAsia="宋体" w:cs="Times New Roman"/>
          <w:b/>
          <w:color w:val="auto"/>
          <w:sz w:val="24"/>
          <w:szCs w:val="24"/>
          <w:highlight w:val="none"/>
        </w:rPr>
        <w:t>18.磋商小组组成及</w:t>
      </w:r>
      <w:r>
        <w:rPr>
          <w:rFonts w:hint="eastAsia" w:ascii="宋体" w:hAnsi="Courier New" w:eastAsia="宋体" w:cs="Times New Roman"/>
          <w:b/>
          <w:color w:val="auto"/>
          <w:sz w:val="24"/>
          <w:szCs w:val="24"/>
          <w:highlight w:val="none"/>
        </w:rPr>
        <w:t>开启</w:t>
      </w:r>
      <w:r>
        <w:rPr>
          <w:rFonts w:ascii="宋体" w:hAnsi="Courier New" w:eastAsia="宋体" w:cs="Times New Roman"/>
          <w:b/>
          <w:color w:val="auto"/>
          <w:sz w:val="24"/>
          <w:szCs w:val="24"/>
          <w:highlight w:val="none"/>
        </w:rPr>
        <w:t>时间、地点、人员</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磋商小组构成：本项目的磋商小组由采购人代表和评审专家共3人以上单数组成。</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具体的开启时间、地点、人员见磋商须知前附表，参加磋商的供应商应在前附表规定的日期和时间之前将响应文件上传提交至政采云系统。如未按时上传，由此产生的后果由供应商自行负责。</w:t>
      </w:r>
    </w:p>
    <w:p>
      <w:pPr>
        <w:widowControl/>
        <w:tabs>
          <w:tab w:val="left" w:pos="540"/>
        </w:tabs>
        <w:spacing w:line="400" w:lineRule="exact"/>
        <w:ind w:firstLine="361" w:firstLineChars="15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 网上开标、电子评标</w:t>
      </w:r>
    </w:p>
    <w:p>
      <w:pPr>
        <w:widowControl/>
        <w:tabs>
          <w:tab w:val="left" w:pos="540"/>
        </w:tabs>
        <w:spacing w:line="400" w:lineRule="exact"/>
        <w:ind w:firstLine="360" w:firstLineChars="15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供应商根据采购文件要求，登录“政采云”平台，在指定时间内将电子响应文件通过 CA 加密后上传完成投标。开标实行网上不见面开标。到达开标截止时间后，政府采购代理机构工作人员在“政采云”平台开始网上开标，供应商在标书指定解密时间内各自远程登录“政采云”平台进行标书解密，供应商全部解密完成或解密时间结束后政府采购代理机构工作人员开启唱标及评标程序，供应商可在个人电脑上查看到唱标信息，并等待专家评委评审，评审结束后系统中将显示评标结果。</w:t>
      </w:r>
    </w:p>
    <w:p>
      <w:pPr>
        <w:widowControl/>
        <w:tabs>
          <w:tab w:val="left" w:pos="540"/>
        </w:tabs>
        <w:spacing w:line="400" w:lineRule="exact"/>
        <w:ind w:firstLine="482" w:firstLineChars="200"/>
        <w:jc w:val="left"/>
        <w:rPr>
          <w:rFonts w:ascii="宋体" w:hAnsi="Times New Roman" w:eastAsia="宋体" w:cs="Times New Roman"/>
          <w:b/>
          <w:bCs/>
          <w:color w:val="auto"/>
          <w:sz w:val="24"/>
          <w:szCs w:val="24"/>
          <w:highlight w:val="none"/>
        </w:rPr>
      </w:pPr>
      <w:r>
        <w:rPr>
          <w:rFonts w:hint="eastAsia" w:ascii="宋体" w:hAnsi="Times New Roman" w:eastAsia="宋体" w:cs="Times New Roman"/>
          <w:b/>
          <w:bCs/>
          <w:color w:val="auto"/>
          <w:sz w:val="24"/>
          <w:szCs w:val="24"/>
          <w:highlight w:val="none"/>
        </w:rPr>
        <w:t>18.2 开标程序</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开标截止时间后，主持人宣布开标开始。</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供应商登录政采云平台，用“项目采购-开标评标”功能对电子磋商响应文件进行在线解密。在线解密电子磋商响应文件时间为开标时间起（30分钟内）。</w:t>
      </w:r>
    </w:p>
    <w:p>
      <w:pPr>
        <w:spacing w:line="400" w:lineRule="exact"/>
        <w:ind w:firstLine="482" w:firstLineChars="200"/>
        <w:rPr>
          <w:rFonts w:ascii="宋体" w:hAnsi="Courier New" w:eastAsia="宋体" w:cs="Times New Roman"/>
          <w:b/>
          <w:color w:val="auto"/>
          <w:sz w:val="24"/>
          <w:szCs w:val="24"/>
          <w:highlight w:val="none"/>
        </w:rPr>
      </w:pPr>
      <w:r>
        <w:rPr>
          <w:rFonts w:ascii="宋体" w:hAnsi="Courier New" w:eastAsia="宋体" w:cs="Times New Roman"/>
          <w:b/>
          <w:color w:val="auto"/>
          <w:sz w:val="24"/>
          <w:szCs w:val="24"/>
          <w:highlight w:val="none"/>
        </w:rPr>
        <w:t>18.3评审原则和评审办法</w:t>
      </w:r>
    </w:p>
    <w:p>
      <w:pPr>
        <w:spacing w:line="40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具体评审原则和评审办法见评分标准。</w:t>
      </w:r>
    </w:p>
    <w:p>
      <w:pPr>
        <w:spacing w:line="400" w:lineRule="exact"/>
        <w:ind w:firstLine="482" w:firstLineChars="200"/>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18.4.响应文件评审及磋商的步骤</w:t>
      </w:r>
    </w:p>
    <w:p>
      <w:pPr>
        <w:widowControl/>
        <w:tabs>
          <w:tab w:val="left" w:pos="540"/>
        </w:tabs>
        <w:spacing w:line="400" w:lineRule="exact"/>
        <w:ind w:firstLine="482"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b/>
          <w:color w:val="auto"/>
          <w:sz w:val="24"/>
          <w:szCs w:val="24"/>
          <w:highlight w:val="none"/>
        </w:rPr>
        <w:t>资格或符合性审查：</w:t>
      </w:r>
      <w:r>
        <w:rPr>
          <w:rFonts w:hint="eastAsia" w:ascii="宋体" w:hAnsi="Times New Roman" w:eastAsia="宋体" w:cs="Times New Roman"/>
          <w:color w:val="auto"/>
          <w:sz w:val="24"/>
          <w:szCs w:val="24"/>
          <w:highlight w:val="none"/>
        </w:rPr>
        <w:t>磋商小组对磋商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widowControl/>
        <w:tabs>
          <w:tab w:val="left" w:pos="540"/>
        </w:tabs>
        <w:spacing w:line="400" w:lineRule="exact"/>
        <w:ind w:firstLine="482" w:firstLineChars="200"/>
        <w:jc w:val="left"/>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特别说明：政采云公司如对电子化磋商及评审程序有调整的，按调整后的程序操作。</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（2）确定参加磋商的供应商名单。磋商小组将所有通过资格性审查及符合性审查的供应商确定为参加磋商的供应商。 </w:t>
      </w:r>
    </w:p>
    <w:p>
      <w:pPr>
        <w:widowControl/>
        <w:tabs>
          <w:tab w:val="left" w:pos="540"/>
        </w:tabs>
        <w:spacing w:line="400" w:lineRule="exact"/>
        <w:ind w:firstLine="482" w:firstLineChars="200"/>
        <w:jc w:val="left"/>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18.5 确认第一轮磋商报价。</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18.5.1 代理机构开启报价文件，供应商对报价记录表进行确认，如对报价记录表无异议，供应商对报价记录表进行CA签章。如供应商对报价记录表有异议，先申请异议后再进行CA签章。</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18.5.2报价确认：如供应商确认报价记录表无异议，点击【报价确认】，进行签章；如供应商对报价记录表有异议，供应商先点击【报价异议】，选择【有异议】并填写异议说明后，再点击【报价确认】对报价记录表进行签章。</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18.5.3 查看报价列表：可放大查看报价列表。</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18.5.4报价确认：代理机构开启签字时段后，供应商才可对报价记录表进行CA签字确认。</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18.5.5查看联合体供应商：若是联合体供应商，在供应商名称左侧展示“联*”表示联合体供应商以及家数（不包括主供应商），将鼠标停留在“联”上可查看联合供应商的名称。</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18.5.6填写姓名：填写授权委托人的姓名，确认签字后，系统会自动录入该姓名的系统字体。</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18.5.7签字完成：等待评审小组对报价进行评审。</w:t>
      </w:r>
    </w:p>
    <w:p>
      <w:pPr>
        <w:widowControl/>
        <w:tabs>
          <w:tab w:val="left" w:pos="540"/>
        </w:tabs>
        <w:spacing w:line="400" w:lineRule="exact"/>
        <w:ind w:firstLine="482" w:firstLineChars="200"/>
        <w:jc w:val="left"/>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18.6在线多轮报价（最终报价）。</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18.6.1 参与报价：采购组织机构在平台开启新一轮报价，供应商点击【报价】，参与报价。</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18.6.2参与报价：在报价页面填写最终报价、项目负责人等信息，生成报价文件。</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注意：查看报价轮次：当前报价轮次，若是最后一轮，会有标志显示“最终轮”；如未标记则表示非最终轮。查看本轮报价剩余的时间：若在报价截止时间前未参与报价，则以上一轮有效的报价为准。</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18.6.3报价文件签章：生成报价文件后，供应商需报价文件进行CA签章。CA签章：供应商确认报价文件无误后，在电脑上插入CA锁，对报价文件进行签章。修改报价文件：生成报价文件后，报价栏内容都置灰，无法编辑，如供应商需要修改，可点击【重新编辑】，进行修改。</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查看文件：供应商点击【查看文件】，可查看本轮次生成的报价文件。</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18.6.4提交报价文件：确认报价文件后，点击右上角【提交】，提交报价文件。</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18.6.5如供应商未对报价文件签章，提交时，弹框提醒“报价文件未签章，请进行签章操作”，供应商在：签章后再进行提交。</w:t>
      </w:r>
    </w:p>
    <w:p>
      <w:pPr>
        <w:spacing w:line="400" w:lineRule="exact"/>
        <w:ind w:firstLine="480" w:firstLineChars="200"/>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18.6.6若是联合投标的供应商，在对应的供应商名称右边显示“联合*家投标”（不包含主供应商），供应商将鼠标停留在该文字上，可查看具体联合的两家供应商名称。</w:t>
      </w:r>
    </w:p>
    <w:p>
      <w:pPr>
        <w:widowControl/>
        <w:tabs>
          <w:tab w:val="left" w:pos="540"/>
        </w:tabs>
        <w:spacing w:line="400" w:lineRule="exact"/>
        <w:ind w:firstLine="482" w:firstLineChars="200"/>
        <w:jc w:val="left"/>
        <w:rPr>
          <w:rFonts w:ascii="宋体" w:hAnsi="Calibri" w:eastAsia="宋体" w:cs="Times New Roman"/>
          <w:b/>
          <w:color w:val="auto"/>
          <w:sz w:val="24"/>
          <w:szCs w:val="24"/>
          <w:highlight w:val="none"/>
        </w:rPr>
      </w:pPr>
      <w:r>
        <w:rPr>
          <w:rFonts w:hint="eastAsia" w:ascii="宋体" w:hAnsi="Calibri" w:eastAsia="宋体" w:cs="Times New Roman"/>
          <w:b/>
          <w:color w:val="auto"/>
          <w:sz w:val="24"/>
          <w:szCs w:val="24"/>
          <w:highlight w:val="none"/>
        </w:rPr>
        <w:t>注：本项目磋商采用二次报价（在线多轮报价（最终报价））方式，如供应商的第二次报价有调整时，报价文件必须以工程量清单报价表的格式编制转为pdf格式作为附件上传系统。供应商不得以总价下浮的方式做报价，否则作无效磋商处理。请各供应商须提前做好相关准备并按时提交报价文件，报价高于本项目招标控制价的磋商响应文件将被拒绝。</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18.6.7综合评分：经磋商确定最终采购需求和提交最后报价的供应商后，由磋商小组采用综合评分法对提交最后报价的供应商的响应文件和最后报价进行综合评分。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bookmarkStart w:id="226" w:name="_Toc19054"/>
      <w:bookmarkStart w:id="227" w:name="_Toc13560"/>
      <w:r>
        <w:rPr>
          <w:rFonts w:hint="eastAsia" w:ascii="宋体" w:hAnsi="Times New Roman" w:eastAsia="宋体" w:cs="Times New Roman"/>
          <w:color w:val="auto"/>
          <w:sz w:val="24"/>
          <w:szCs w:val="24"/>
          <w:highlight w:val="none"/>
        </w:rPr>
        <w:t>磋商小组应当根据综合评分情况，按照评审得分由高到低顺序推荐3名成交候选供应商，并编写评审报告。符合《政府采购竞争性磋商采购方式管理暂行办法》（财库﹝2014﹞214号）第二十一条第三款情形和财库〔2015〕124号的，可以推荐3家成交候选供应商。评审得分相同的，按照最后报价由低到高的顺序推荐。评审得分且最后报价相同的，则按照项目技术标优劣顺序推荐。</w:t>
      </w:r>
      <w:bookmarkEnd w:id="226"/>
      <w:bookmarkEnd w:id="227"/>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18.6.8响应供应商的报价均超过了采购预算，采购人不能支付的，磋商活动终止。</w:t>
      </w:r>
    </w:p>
    <w:p>
      <w:pPr>
        <w:spacing w:line="40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18.6.9在评标过程中出现法律法规和磋商文件均没有明确规定的情形时，由磋商小组现场协商解决，协商不一致的，由全体磋商小组投票表决，以得票率半数以上专家的意见为准。</w:t>
      </w:r>
    </w:p>
    <w:p>
      <w:pPr>
        <w:spacing w:line="40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18.6.10</w:t>
      </w:r>
      <w:r>
        <w:rPr>
          <w:rFonts w:ascii="宋体" w:hAnsi="Courier New" w:eastAsia="宋体" w:cs="Times New Roman"/>
          <w:color w:val="auto"/>
          <w:sz w:val="24"/>
          <w:szCs w:val="21"/>
          <w:highlight w:val="none"/>
        </w:rPr>
        <w:t>最终磋商结束后，磋商小组不得再与供应商进行任何形式的商谈。</w:t>
      </w:r>
    </w:p>
    <w:p>
      <w:pPr>
        <w:spacing w:line="400" w:lineRule="exact"/>
        <w:ind w:firstLine="482" w:firstLineChars="200"/>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18.7可中止电子交易活动的情形</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采购过程中出现以下情形，导致电子交易平台无法正常运行，或者无法保证电子交易的公平、公正和安全时，采购组织机构可中止电子交易活动：</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（1）电子交易平台发生故障而无法登录访问的；</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（2）电子交易平台应用或数据库出现错误，不能进行正常操作的；</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（3）电子交易平台发现严重安全漏洞，有潜在泄密危险的；</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（4）病毒发作导致不能进行正常操作的；</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（5）其他无法保证电子交易的公平、公正和安全的情况。</w:t>
      </w:r>
    </w:p>
    <w:p>
      <w:pPr>
        <w:widowControl/>
        <w:tabs>
          <w:tab w:val="left" w:pos="540"/>
        </w:tabs>
        <w:spacing w:line="400" w:lineRule="exact"/>
        <w:ind w:firstLine="480" w:firstLineChars="200"/>
        <w:jc w:val="left"/>
        <w:rPr>
          <w:rFonts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00" w:lineRule="exact"/>
        <w:ind w:left="601" w:leftChars="229" w:hanging="120" w:hangingChars="5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19.1澄清有关问题、算术性修正</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19.1.1磋商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19.1.2</w:t>
      </w:r>
      <w:r>
        <w:rPr>
          <w:rFonts w:ascii="宋体" w:hAnsi="Courier New" w:eastAsia="宋体" w:cs="Times New Roman"/>
          <w:color w:val="auto"/>
          <w:sz w:val="24"/>
          <w:szCs w:val="24"/>
          <w:highlight w:val="none"/>
        </w:rPr>
        <w:t>磋商小组认为，供应商的有效磋商报价或者某些分项明显不合理或者低于成本，有可能影响工程质量和不能诚信履约的，应要求其在规定的期限内提供书面文件予以解释说明，并提交相关证明材料。</w:t>
      </w:r>
      <w:r>
        <w:rPr>
          <w:rFonts w:ascii="宋体" w:hAnsi="Courier New" w:eastAsia="宋体" w:cs="Times New Roman"/>
          <w:color w:val="auto"/>
          <w:sz w:val="24"/>
          <w:szCs w:val="21"/>
          <w:highlight w:val="none"/>
        </w:rPr>
        <w:t>供应商不能合理说明或者不能提供相关证明材料的，视作该供应商以低于成本报价磋商，其磋商无效。</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19.1.3磋商小组要求供应商澄清、说明或者更正响应文件应当以书面形式作出。供应商的澄清、说明或者更正应由法定代表人或其委托代理人签字或者加盖公章。供应商的澄清文件是响应文件的组成部分。</w:t>
      </w:r>
    </w:p>
    <w:p>
      <w:pPr>
        <w:spacing w:line="400" w:lineRule="exact"/>
        <w:ind w:left="721" w:leftChars="229" w:hanging="240" w:hangingChars="1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19.1.4响应文件如果出现计算或表达上的错误，修正错误的原则如下：</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① 响应文件中《磋商报价表》与《磋商函》内容不一致的，以《磋商函》为准；</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② 响应文件的大写金额和小写金额不一致时，以大写金额为准；</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③ 总价金额与按单价汇总金额不一致的，以单价金额计算结果为准；</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④ 单价金额小数点有明显错位的，应以总价为准，并修改单价；</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⑤ 对不同文字文本响应文件的解释发生异议的，以中文文本为准。</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⑥ 按上述修正错误的原则及方法调整或修正响应文件的磋商报价，在供应商确认后，调整后的磋商报价对供应商起约束作用。如果供应商不接受修正后的价格或内容的，其响应文件视为无效的响应文件。</w:t>
      </w:r>
    </w:p>
    <w:p>
      <w:pPr>
        <w:spacing w:line="400" w:lineRule="exact"/>
        <w:ind w:firstLine="482" w:firstLineChars="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19.2比较与评价。</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经磋商确定最终采购需求和提交最后报价的供应商后，由磋商小组采用</w:t>
      </w:r>
      <w:r>
        <w:rPr>
          <w:rFonts w:ascii="宋体" w:hAnsi="宋体" w:eastAsia="宋体" w:cs="Times New Roman"/>
          <w:b/>
          <w:color w:val="auto"/>
          <w:sz w:val="24"/>
          <w:szCs w:val="24"/>
          <w:highlight w:val="none"/>
          <w:u w:val="single"/>
        </w:rPr>
        <w:t xml:space="preserve">综合评分法 </w:t>
      </w:r>
      <w:r>
        <w:rPr>
          <w:rFonts w:ascii="宋体" w:hAnsi="宋体" w:eastAsia="宋体" w:cs="Times New Roman"/>
          <w:color w:val="auto"/>
          <w:sz w:val="24"/>
          <w:szCs w:val="24"/>
          <w:highlight w:val="none"/>
        </w:rPr>
        <w:t>对提交最后报价的供应商的响应文件和最后报价进行综合评分。</w:t>
      </w:r>
    </w:p>
    <w:p>
      <w:pPr>
        <w:spacing w:line="400" w:lineRule="exact"/>
        <w:ind w:firstLine="482" w:firstLineChars="200"/>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19.3推荐成交候选人名单并编写评审报告。</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磋商小组根据综合评分情况，按照评审得分由高到低顺序推荐3名成交候选人，并编写评审报告。符合《政府采购竞争性磋商采购方式管理暂行办法》第二十一条第三款情形的、符合《财政部关于印发〈政府采购竞争性磋商采购方式管理暂行办法〉的通知》（财库[2014]214号）有关问题补充通知情形的，可以推荐2名成交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得分相同</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按照最后报价由低到高的</w:t>
      </w:r>
      <w:r>
        <w:rPr>
          <w:rFonts w:hint="eastAsia" w:ascii="宋体" w:hAnsi="宋体" w:eastAsia="宋体" w:cs="宋体"/>
          <w:color w:val="auto"/>
          <w:sz w:val="24"/>
          <w:szCs w:val="24"/>
          <w:highlight w:val="none"/>
          <w:lang w:val="en-US" w:eastAsia="zh-CN"/>
        </w:rPr>
        <w:t>顺序推荐。评审得分且最后报价相同时按照技术指标优劣顺序推荐（按技术得分由高到低排序）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最后报价、技术得分均相同的，由磋商小组随机抽取推荐。</w:t>
      </w:r>
    </w:p>
    <w:p>
      <w:pPr>
        <w:spacing w:line="400" w:lineRule="exact"/>
        <w:ind w:firstLine="480" w:firstLineChars="200"/>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19.</w:t>
      </w:r>
      <w:r>
        <w:rPr>
          <w:rFonts w:ascii="宋体" w:hAnsi="宋体" w:eastAsia="宋体" w:cs="Times New Roman"/>
          <w:color w:val="auto"/>
          <w:kern w:val="0"/>
          <w:sz w:val="24"/>
          <w:szCs w:val="24"/>
          <w:highlight w:val="none"/>
        </w:rPr>
        <w:t>4 在评审过程中出现法律法规和磋商文件均没有明确规定的情形时，由磋商小组现场协商解决，协商不一致的，由全体磋商小组投票表决，以得票率二分之一以上专家的意见为准。</w:t>
      </w:r>
    </w:p>
    <w:p>
      <w:pPr>
        <w:spacing w:line="400" w:lineRule="exact"/>
        <w:ind w:firstLine="472" w:firstLineChars="200"/>
        <w:rPr>
          <w:rFonts w:ascii="宋体" w:hAnsi="宋体" w:eastAsia="宋体" w:cs="Times New Roman"/>
          <w:color w:val="auto"/>
          <w:spacing w:val="-2"/>
          <w:sz w:val="24"/>
          <w:szCs w:val="24"/>
          <w:highlight w:val="none"/>
        </w:rPr>
      </w:pPr>
      <w:r>
        <w:rPr>
          <w:rFonts w:ascii="宋体" w:hAnsi="宋体" w:eastAsia="宋体" w:cs="Times New Roman"/>
          <w:color w:val="auto"/>
          <w:spacing w:val="-2"/>
          <w:sz w:val="24"/>
          <w:szCs w:val="24"/>
          <w:highlight w:val="none"/>
        </w:rPr>
        <w:t xml:space="preserve">19.5 </w:t>
      </w:r>
      <w:r>
        <w:rPr>
          <w:rFonts w:ascii="宋体" w:hAnsi="宋体" w:eastAsia="宋体" w:cs="Times New Roman"/>
          <w:color w:val="auto"/>
          <w:sz w:val="24"/>
          <w:szCs w:val="24"/>
          <w:highlight w:val="none"/>
        </w:rPr>
        <w:t>评标</w:t>
      </w:r>
      <w:r>
        <w:rPr>
          <w:rFonts w:ascii="宋体" w:hAnsi="宋体" w:eastAsia="宋体" w:cs="Times New Roman"/>
          <w:color w:val="auto"/>
          <w:spacing w:val="-2"/>
          <w:sz w:val="24"/>
          <w:szCs w:val="24"/>
          <w:highlight w:val="none"/>
        </w:rPr>
        <w:t>会纪律</w:t>
      </w:r>
    </w:p>
    <w:p>
      <w:pPr>
        <w:spacing w:line="40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评标过程的保密性。磋商小组成员、有关工作人员及其他知情人不得透露对响应文件评审、比较、成交候选人的推荐情况以及与评标有关的其他情况。</w:t>
      </w:r>
    </w:p>
    <w:p>
      <w:pPr>
        <w:spacing w:line="400" w:lineRule="exact"/>
        <w:ind w:right="-187" w:rightChars="-89"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供应商在评标过程中，所进行的力图影响评标结果公正性的活动，将可能导致其成交资格被取消。</w:t>
      </w:r>
    </w:p>
    <w:p>
      <w:pPr>
        <w:keepNext/>
        <w:keepLines/>
        <w:spacing w:line="400" w:lineRule="exact"/>
        <w:outlineLvl w:val="1"/>
        <w:rPr>
          <w:rFonts w:ascii="宋体" w:hAnsi="宋体" w:eastAsia="宋体" w:cs="Times New Roman"/>
          <w:b/>
          <w:bCs/>
          <w:color w:val="auto"/>
          <w:sz w:val="24"/>
          <w:szCs w:val="24"/>
          <w:highlight w:val="none"/>
        </w:rPr>
      </w:pPr>
      <w:bookmarkStart w:id="228" w:name="_Toc486196161"/>
      <w:bookmarkStart w:id="229" w:name="_Toc486922978"/>
      <w:bookmarkStart w:id="230" w:name="_Toc88065574"/>
      <w:bookmarkStart w:id="231" w:name="_Toc239839888"/>
      <w:bookmarkStart w:id="232" w:name="_Toc89332989"/>
      <w:bookmarkStart w:id="233" w:name="_Toc89333237"/>
      <w:r>
        <w:rPr>
          <w:rFonts w:hint="eastAsia" w:ascii="宋体" w:hAnsi="宋体" w:eastAsia="宋体" w:cs="Times New Roman"/>
          <w:b/>
          <w:bCs/>
          <w:color w:val="auto"/>
          <w:sz w:val="24"/>
          <w:szCs w:val="24"/>
          <w:highlight w:val="none"/>
        </w:rPr>
        <w:t>20．无效的响应文件</w:t>
      </w:r>
      <w:bookmarkEnd w:id="222"/>
      <w:bookmarkEnd w:id="223"/>
      <w:bookmarkEnd w:id="224"/>
      <w:bookmarkEnd w:id="225"/>
      <w:bookmarkEnd w:id="228"/>
      <w:bookmarkEnd w:id="229"/>
      <w:bookmarkEnd w:id="230"/>
      <w:bookmarkEnd w:id="231"/>
      <w:bookmarkEnd w:id="232"/>
      <w:bookmarkEnd w:id="233"/>
    </w:p>
    <w:p>
      <w:pPr>
        <w:spacing w:line="400" w:lineRule="exact"/>
        <w:ind w:left="599" w:leftChars="228" w:hanging="120" w:hangingChars="50"/>
        <w:rPr>
          <w:rFonts w:ascii="宋体" w:hAnsi="宋体" w:eastAsia="宋体" w:cs="宋体"/>
          <w:color w:val="auto"/>
          <w:kern w:val="0"/>
          <w:sz w:val="24"/>
          <w:szCs w:val="24"/>
          <w:highlight w:val="none"/>
        </w:rPr>
      </w:pPr>
      <w:r>
        <w:rPr>
          <w:rFonts w:ascii="宋体" w:hAnsi="宋体" w:eastAsia="宋体" w:cs="Times New Roman"/>
          <w:color w:val="auto"/>
          <w:sz w:val="24"/>
          <w:szCs w:val="24"/>
          <w:highlight w:val="none"/>
        </w:rPr>
        <w:t>20.1</w:t>
      </w:r>
      <w:r>
        <w:rPr>
          <w:rFonts w:ascii="宋体" w:hAnsi="宋体" w:eastAsia="宋体" w:cs="宋体"/>
          <w:color w:val="auto"/>
          <w:kern w:val="0"/>
          <w:sz w:val="24"/>
          <w:szCs w:val="24"/>
          <w:highlight w:val="none"/>
        </w:rPr>
        <w:t>供应商有下列情形之一的，其将被视为无效磋商：</w:t>
      </w:r>
    </w:p>
    <w:p>
      <w:pPr>
        <w:spacing w:line="400" w:lineRule="exact"/>
        <w:ind w:firstLine="42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实质上没有响应磋商文件要求的磋商将被视为无效磋商。供应商不得通过修正或撤销不合要求的偏离从而使其响应文件成为实质上响应的磋商。</w:t>
      </w:r>
    </w:p>
    <w:p>
      <w:pPr>
        <w:spacing w:line="400" w:lineRule="exact"/>
        <w:ind w:firstLine="480" w:firstLineChars="200"/>
        <w:rPr>
          <w:rFonts w:ascii="宋体" w:hAnsi="宋体" w:eastAsia="宋体" w:cs="宋体"/>
          <w:color w:val="auto"/>
          <w:kern w:val="0"/>
          <w:sz w:val="24"/>
          <w:szCs w:val="24"/>
          <w:highlight w:val="none"/>
        </w:rPr>
      </w:pPr>
      <w:r>
        <w:rPr>
          <w:rFonts w:ascii="宋体" w:hAnsi="宋体" w:eastAsia="宋体" w:cs="Times New Roman"/>
          <w:color w:val="auto"/>
          <w:sz w:val="24"/>
          <w:szCs w:val="24"/>
          <w:highlight w:val="none"/>
        </w:rPr>
        <w:t>20.1.1</w:t>
      </w:r>
      <w:r>
        <w:rPr>
          <w:rFonts w:ascii="宋体" w:hAnsi="宋体" w:eastAsia="宋体" w:cs="宋体"/>
          <w:color w:val="auto"/>
          <w:kern w:val="0"/>
          <w:sz w:val="24"/>
          <w:szCs w:val="24"/>
          <w:highlight w:val="none"/>
        </w:rPr>
        <w:t>在资格性审查、符合性检查时，如发现下列情形之一的，将确定为无效响应文件：</w:t>
      </w:r>
    </w:p>
    <w:p>
      <w:pPr>
        <w:snapToGrid w:val="0"/>
        <w:spacing w:line="400" w:lineRule="exact"/>
        <w:ind w:firstLine="470" w:firstLineChars="196"/>
        <w:outlineLvl w:val="4"/>
        <w:rPr>
          <w:rFonts w:ascii="宋体" w:hAnsi="宋体" w:eastAsia="宋体" w:cs="Times New Roman"/>
          <w:color w:val="auto"/>
          <w:sz w:val="24"/>
          <w:szCs w:val="24"/>
          <w:highlight w:val="none"/>
        </w:rPr>
      </w:pPr>
      <w:bookmarkStart w:id="234" w:name="_Toc239839889"/>
      <w:bookmarkStart w:id="235" w:name="_Toc207770861"/>
      <w:bookmarkStart w:id="236" w:name="_Toc185702575"/>
      <w:bookmarkStart w:id="237" w:name="_Toc206525708"/>
      <w:bookmarkStart w:id="238" w:name="_Toc230578083"/>
      <w:r>
        <w:rPr>
          <w:rFonts w:hint="eastAsia" w:ascii="宋体" w:hAnsi="宋体" w:eastAsia="宋体" w:cs="Times New Roman"/>
          <w:color w:val="auto"/>
          <w:sz w:val="24"/>
          <w:szCs w:val="24"/>
          <w:highlight w:val="none"/>
        </w:rPr>
        <w:t>(1) 未按磋商文件规定完整提交响应文件或未按规定要求签字、盖章的；</w:t>
      </w:r>
    </w:p>
    <w:p>
      <w:pPr>
        <w:snapToGrid w:val="0"/>
        <w:spacing w:line="400" w:lineRule="exact"/>
        <w:ind w:firstLine="480" w:firstLineChars="200"/>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超越了行政审批的经营范围的；</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不具备磋商文件规定的资格要求的；</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响应文件未按磋商文件的内容和要求编制，或提供虚假材料的；</w:t>
      </w:r>
    </w:p>
    <w:p>
      <w:pPr>
        <w:snapToGrid w:val="0"/>
        <w:spacing w:line="400" w:lineRule="exact"/>
        <w:ind w:firstLine="480" w:firstLineChars="200"/>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 属于“必须提供”的响应文件未能按时提供或补正、更正的；</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 响应文件有效期、工期、质量要求不能满足磋商文件要求的；</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 磋商内容与采购内容及要求存在重大偏离或保留的（如严重背离采购需求、合同协议要求等）；</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(8)响应文件商务条款没有按要求表述的或与项目要求表述不一致的；</w:t>
      </w:r>
    </w:p>
    <w:p>
      <w:pPr>
        <w:snapToGrid w:val="0"/>
        <w:spacing w:line="400" w:lineRule="exact"/>
        <w:ind w:firstLine="470" w:firstLineChars="196"/>
        <w:outlineLvl w:val="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(9)供应商</w:t>
      </w:r>
      <w:r>
        <w:rPr>
          <w:rFonts w:hint="eastAsia" w:ascii="Times New Roman" w:hAnsi="宋体" w:eastAsia="宋体" w:cs="Times New Roman"/>
          <w:color w:val="auto"/>
          <w:sz w:val="24"/>
          <w:szCs w:val="24"/>
          <w:highlight w:val="none"/>
        </w:rPr>
        <w:t>报价方案不是唯一确定的</w:t>
      </w:r>
      <w:r>
        <w:rPr>
          <w:rFonts w:hint="eastAsia" w:ascii="宋体" w:hAnsi="宋体" w:eastAsia="宋体" w:cs="Times New Roman"/>
          <w:color w:val="auto"/>
          <w:sz w:val="24"/>
          <w:szCs w:val="24"/>
          <w:highlight w:val="none"/>
        </w:rPr>
        <w:t>，或报价超出采购预算总金额的；</w:t>
      </w:r>
    </w:p>
    <w:p>
      <w:pPr>
        <w:jc w:val="left"/>
        <w:rPr>
          <w:rFonts w:ascii="Times New Roman" w:hAnsi="Times New Roman" w:eastAsia="宋体" w:cs="Times New Roman"/>
          <w:bCs/>
          <w:color w:val="auto"/>
          <w:spacing w:val="10"/>
          <w:sz w:val="24"/>
          <w:szCs w:val="24"/>
          <w:highlight w:val="none"/>
        </w:rPr>
      </w:pPr>
      <w:r>
        <w:rPr>
          <w:rFonts w:hint="eastAsia" w:ascii="宋体" w:hAnsi="宋体" w:eastAsia="宋体" w:cs="Times New Roman"/>
          <w:bCs/>
          <w:color w:val="auto"/>
          <w:spacing w:val="10"/>
          <w:sz w:val="24"/>
          <w:szCs w:val="24"/>
          <w:highlight w:val="none"/>
        </w:rPr>
        <w:t xml:space="preserve">   (10)未在磋商小组规定的时间内重新提交响应文件的；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(11)未满足磋商文件全部实质性要求的或者响应文件有采购人不能接受的附加条件的；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(12)未按规定登录政采云平台（</w:t>
      </w:r>
      <w:r>
        <w:rPr>
          <w:rFonts w:ascii="宋体" w:hAnsi="Courier New" w:eastAsia="宋体" w:cs="Times New Roman"/>
          <w:color w:val="auto"/>
          <w:szCs w:val="21"/>
          <w:highlight w:val="none"/>
        </w:rPr>
        <w:t>https://www.zcygov.cn/</w:t>
      </w:r>
      <w:r>
        <w:rPr>
          <w:rFonts w:ascii="宋体" w:hAnsi="宋体" w:eastAsia="宋体" w:cs="Times New Roman"/>
          <w:color w:val="auto"/>
          <w:sz w:val="24"/>
          <w:szCs w:val="24"/>
          <w:highlight w:val="none"/>
        </w:rPr>
        <w:t>）报名；</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(13)参加政府采购活动前三年内，在经营活动中有重大违法记录的；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(14)符合磋商文件中规定的被视为无效磋商的其它条款的；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(15)不符合法律、法规和磋商文件规定的其他实质性要求和条件的。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(16)安全文明施工费和规费、增值税不按我区费用定额及造价管理相关文件规定报价的；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(17)供应商已标价工程量清单的项目编码（12位）、计量单位、工程量任何一处与招标工程量清单不一致的；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(18)供应商已标价工程量清单的项目名称或项目特征与招标工程量清单不一致，评标委员会要求澄清、说明或补正，但供应商拒绝澄清、说明或补正的；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(19)磋商函中的报价与已标价的工程量清单汇总表不一致的；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(20)设有暂估价、暂列金额的，磋商时未按采购人工程量清单给出的暂估价总价、暂列金额总价计入磋商总报价中的；</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(21)供应商对招标工程量清单内容进行增减或对磋商范围进行调整的。</w:t>
      </w:r>
    </w:p>
    <w:p>
      <w:pPr>
        <w:keepNext/>
        <w:keepLines/>
        <w:spacing w:line="400" w:lineRule="exact"/>
        <w:outlineLvl w:val="1"/>
        <w:rPr>
          <w:rFonts w:ascii="宋体" w:hAnsi="宋体" w:eastAsia="宋体" w:cs="Times New Roman"/>
          <w:b/>
          <w:bCs/>
          <w:color w:val="auto"/>
          <w:sz w:val="24"/>
          <w:szCs w:val="24"/>
          <w:highlight w:val="none"/>
        </w:rPr>
      </w:pPr>
      <w:bookmarkStart w:id="239" w:name="_Toc89332990"/>
      <w:bookmarkStart w:id="240" w:name="_Toc88065575"/>
      <w:bookmarkStart w:id="241" w:name="_Toc89333238"/>
      <w:bookmarkStart w:id="242" w:name="_Toc486196162"/>
      <w:bookmarkStart w:id="243" w:name="_Toc486922979"/>
      <w:r>
        <w:rPr>
          <w:rFonts w:hint="eastAsia" w:ascii="宋体" w:hAnsi="宋体" w:eastAsia="宋体" w:cs="Times New Roman"/>
          <w:b/>
          <w:bCs/>
          <w:color w:val="auto"/>
          <w:sz w:val="24"/>
          <w:szCs w:val="24"/>
          <w:highlight w:val="none"/>
        </w:rPr>
        <w:t>21．废标</w:t>
      </w:r>
      <w:bookmarkEnd w:id="234"/>
      <w:bookmarkEnd w:id="235"/>
      <w:bookmarkEnd w:id="236"/>
      <w:bookmarkEnd w:id="237"/>
      <w:bookmarkEnd w:id="238"/>
      <w:bookmarkEnd w:id="239"/>
      <w:bookmarkEnd w:id="240"/>
      <w:bookmarkEnd w:id="241"/>
      <w:bookmarkEnd w:id="242"/>
      <w:bookmarkEnd w:id="243"/>
    </w:p>
    <w:p>
      <w:pPr>
        <w:spacing w:line="400" w:lineRule="exact"/>
        <w:ind w:firstLine="480" w:firstLineChars="200"/>
        <w:rPr>
          <w:rFonts w:ascii="宋体" w:hAnsi="宋体" w:eastAsia="宋体" w:cs="Times New Roman"/>
          <w:bCs/>
          <w:color w:val="auto"/>
          <w:sz w:val="24"/>
          <w:szCs w:val="24"/>
          <w:highlight w:val="none"/>
        </w:rPr>
      </w:pPr>
      <w:r>
        <w:rPr>
          <w:rFonts w:ascii="宋体" w:hAnsi="宋体" w:eastAsia="宋体" w:cs="Times New Roman"/>
          <w:color w:val="auto"/>
          <w:sz w:val="24"/>
          <w:szCs w:val="24"/>
          <w:highlight w:val="none"/>
        </w:rPr>
        <w:t>21</w:t>
      </w:r>
      <w:r>
        <w:rPr>
          <w:rFonts w:ascii="宋体" w:hAnsi="宋体" w:eastAsia="宋体" w:cs="Times New Roman"/>
          <w:bCs/>
          <w:color w:val="auto"/>
          <w:sz w:val="24"/>
          <w:szCs w:val="24"/>
          <w:highlight w:val="none"/>
        </w:rPr>
        <w:t>.1出现下列情形之一的，采购人或者采购代理机构应当终止竞争性磋商采购活动，发布项目终止公告并说明原因，重新开展采购活动：</w:t>
      </w:r>
    </w:p>
    <w:p>
      <w:pPr>
        <w:spacing w:line="400" w:lineRule="exact"/>
        <w:ind w:left="599" w:leftChars="228" w:hanging="120" w:hangingChars="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（1）因情况变化，不再符合规定的竞争性磋商采购方式适用情形的；</w:t>
      </w:r>
    </w:p>
    <w:p>
      <w:pPr>
        <w:spacing w:line="400" w:lineRule="exact"/>
        <w:ind w:left="599" w:leftChars="228" w:hanging="120" w:hangingChars="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（2）出现影响采购公正的违法、违规行为的； </w:t>
      </w:r>
    </w:p>
    <w:p>
      <w:pPr>
        <w:spacing w:line="400" w:lineRule="exact"/>
        <w:ind w:left="584" w:leftChars="278"/>
        <w:rPr>
          <w:rFonts w:ascii="宋体" w:hAnsi="宋体" w:eastAsia="宋体" w:cs="Times New Roman"/>
          <w:b/>
          <w:bCs/>
          <w:color w:val="auto"/>
          <w:sz w:val="24"/>
          <w:szCs w:val="24"/>
          <w:highlight w:val="none"/>
        </w:rPr>
      </w:pPr>
      <w:r>
        <w:rPr>
          <w:rFonts w:ascii="宋体" w:hAnsi="宋体" w:eastAsia="宋体" w:cs="Times New Roman"/>
          <w:bCs/>
          <w:color w:val="auto"/>
          <w:sz w:val="24"/>
          <w:szCs w:val="24"/>
          <w:highlight w:val="none"/>
        </w:rPr>
        <w:t>(3) 采购过程中符合要求的供应商不足3家的。</w:t>
      </w:r>
    </w:p>
    <w:p>
      <w:pPr>
        <w:spacing w:line="400" w:lineRule="exact"/>
        <w:ind w:left="599" w:leftChars="228" w:hanging="120" w:hangingChars="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（4）因重大变故，采购任务取消的。</w:t>
      </w:r>
    </w:p>
    <w:p>
      <w:pPr>
        <w:spacing w:line="400" w:lineRule="exact"/>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21.2废标后，</w:t>
      </w:r>
      <w:bookmarkStart w:id="244" w:name="_Toc486922981"/>
      <w:bookmarkStart w:id="245" w:name="_Toc486196164"/>
      <w:r>
        <w:rPr>
          <w:rFonts w:ascii="宋体" w:hAnsi="宋体" w:eastAsia="宋体" w:cs="Times New Roman"/>
          <w:bCs/>
          <w:color w:val="auto"/>
          <w:sz w:val="24"/>
          <w:szCs w:val="24"/>
          <w:highlight w:val="none"/>
        </w:rPr>
        <w:t>采购代理机构将在本章1.6.7规定的政府采购信息发布媒体上公告废标理由，不再另行通知。</w:t>
      </w:r>
    </w:p>
    <w:p>
      <w:pPr>
        <w:keepNext/>
        <w:suppressLineNumbers/>
        <w:spacing w:line="400" w:lineRule="exact"/>
        <w:jc w:val="center"/>
        <w:outlineLvl w:val="0"/>
        <w:rPr>
          <w:rFonts w:ascii="宋体" w:hAnsi="宋体" w:eastAsia="宋体" w:cs="Times New Roman"/>
          <w:b/>
          <w:color w:val="auto"/>
          <w:sz w:val="28"/>
          <w:szCs w:val="28"/>
          <w:highlight w:val="none"/>
        </w:rPr>
      </w:pPr>
    </w:p>
    <w:p>
      <w:pPr>
        <w:keepNext/>
        <w:spacing w:line="400" w:lineRule="exact"/>
        <w:jc w:val="center"/>
        <w:outlineLvl w:val="0"/>
        <w:rPr>
          <w:rFonts w:ascii="宋体" w:hAnsi="宋体" w:eastAsia="宋体" w:cs="Times New Roman"/>
          <w:b/>
          <w:color w:val="auto"/>
          <w:sz w:val="28"/>
          <w:szCs w:val="28"/>
          <w:highlight w:val="none"/>
        </w:rPr>
      </w:pPr>
      <w:bookmarkStart w:id="246" w:name="_Toc89333239"/>
      <w:bookmarkStart w:id="247" w:name="_Toc88065576"/>
      <w:r>
        <w:rPr>
          <w:rFonts w:hint="eastAsia" w:ascii="宋体" w:hAnsi="宋体" w:eastAsia="宋体" w:cs="Times New Roman"/>
          <w:b/>
          <w:color w:val="auto"/>
          <w:sz w:val="28"/>
          <w:szCs w:val="28"/>
          <w:highlight w:val="none"/>
        </w:rPr>
        <w:t>六   确定成交</w:t>
      </w:r>
      <w:bookmarkEnd w:id="244"/>
      <w:bookmarkEnd w:id="245"/>
      <w:r>
        <w:rPr>
          <w:rFonts w:hint="eastAsia" w:ascii="宋体" w:hAnsi="宋体" w:eastAsia="宋体" w:cs="Times New Roman"/>
          <w:b/>
          <w:color w:val="auto"/>
          <w:sz w:val="28"/>
          <w:szCs w:val="28"/>
          <w:highlight w:val="none"/>
        </w:rPr>
        <w:t>供应商</w:t>
      </w:r>
      <w:bookmarkEnd w:id="246"/>
      <w:bookmarkEnd w:id="247"/>
    </w:p>
    <w:p>
      <w:pPr>
        <w:keepNext/>
        <w:keepLines/>
        <w:spacing w:line="400" w:lineRule="exact"/>
        <w:outlineLvl w:val="1"/>
        <w:rPr>
          <w:rFonts w:ascii="宋体" w:hAnsi="宋体" w:eastAsia="宋体" w:cs="Times New Roman"/>
          <w:b/>
          <w:bCs/>
          <w:color w:val="auto"/>
          <w:sz w:val="24"/>
          <w:szCs w:val="24"/>
          <w:highlight w:val="none"/>
        </w:rPr>
      </w:pPr>
      <w:bookmarkStart w:id="248" w:name="_Toc89333240"/>
      <w:bookmarkStart w:id="249" w:name="_Toc486196165"/>
      <w:bookmarkStart w:id="250" w:name="_Toc89332992"/>
      <w:bookmarkStart w:id="251" w:name="_Toc486922982"/>
      <w:bookmarkStart w:id="252" w:name="_Toc88065577"/>
      <w:r>
        <w:rPr>
          <w:rFonts w:hint="eastAsia" w:ascii="宋体" w:hAnsi="宋体" w:eastAsia="宋体" w:cs="Times New Roman"/>
          <w:b/>
          <w:bCs/>
          <w:color w:val="auto"/>
          <w:sz w:val="24"/>
          <w:szCs w:val="24"/>
          <w:highlight w:val="none"/>
        </w:rPr>
        <w:t>22．确定成交人</w:t>
      </w:r>
      <w:bookmarkEnd w:id="248"/>
      <w:bookmarkEnd w:id="249"/>
      <w:bookmarkEnd w:id="250"/>
      <w:bookmarkEnd w:id="251"/>
      <w:bookmarkEnd w:id="252"/>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22.1采购人从评审报告提出的成交候选供应商中，采购人按照评审报告推荐排名第一的候选供应商确定为成交供应商，也可以书面授权磋商小组直接确定成交供应商。</w:t>
      </w:r>
    </w:p>
    <w:p>
      <w:pPr>
        <w:spacing w:line="400" w:lineRule="exact"/>
        <w:ind w:firstLine="480" w:firstLineChars="200"/>
        <w:rPr>
          <w:rFonts w:ascii="宋体" w:hAnsi="宋体" w:eastAsia="宋体" w:cs="Times New Roman"/>
          <w:color w:val="auto"/>
          <w:sz w:val="28"/>
          <w:szCs w:val="28"/>
          <w:highlight w:val="none"/>
        </w:rPr>
      </w:pPr>
      <w:r>
        <w:rPr>
          <w:rFonts w:ascii="宋体" w:hAnsi="宋体" w:eastAsia="宋体" w:cs="Times New Roman"/>
          <w:color w:val="auto"/>
          <w:sz w:val="24"/>
          <w:szCs w:val="24"/>
          <w:highlight w:val="none"/>
        </w:rPr>
        <w:t>22.2若成交供应商自愿放弃成交，或因不可抗力提出不能履行合同，或者磋商文件规定应当提交履约保证金而在规定的期限内未能提交的，采购人可以按照评审报告推荐的候选供应商名单排序，确定下一候选供应商为成交供应商</w:t>
      </w:r>
      <w:r>
        <w:rPr>
          <w:rFonts w:ascii="宋体" w:hAnsi="宋体" w:eastAsia="宋体" w:cs="Times New Roman"/>
          <w:bCs/>
          <w:color w:val="auto"/>
          <w:sz w:val="24"/>
          <w:szCs w:val="24"/>
          <w:highlight w:val="none"/>
        </w:rPr>
        <w:t>，以此类推。</w:t>
      </w:r>
      <w:bookmarkStart w:id="253" w:name="_Toc239839890"/>
      <w:bookmarkStart w:id="254" w:name="_Toc185702576"/>
      <w:bookmarkStart w:id="255" w:name="_Toc230578084"/>
      <w:bookmarkStart w:id="256" w:name="_Toc207770862"/>
      <w:bookmarkStart w:id="257" w:name="_Toc206525709"/>
      <w:bookmarkStart w:id="258" w:name="_Toc486196166"/>
      <w:bookmarkStart w:id="259" w:name="_Toc486922983"/>
    </w:p>
    <w:p>
      <w:pPr>
        <w:spacing w:line="400" w:lineRule="exact"/>
        <w:rPr>
          <w:rFonts w:ascii="Times New Roman" w:hAnsi="Times New Roman" w:eastAsia="宋体" w:cs="Times New Roman"/>
          <w:color w:val="auto"/>
          <w:szCs w:val="24"/>
          <w:highlight w:val="none"/>
        </w:rPr>
      </w:pPr>
    </w:p>
    <w:p>
      <w:pPr>
        <w:keepNext/>
        <w:spacing w:line="400" w:lineRule="exact"/>
        <w:jc w:val="center"/>
        <w:outlineLvl w:val="0"/>
        <w:rPr>
          <w:rFonts w:ascii="Times New Roman" w:hAnsi="Times New Roman" w:eastAsia="宋体" w:cs="Times New Roman"/>
          <w:b/>
          <w:color w:val="auto"/>
          <w:szCs w:val="24"/>
          <w:highlight w:val="none"/>
        </w:rPr>
      </w:pPr>
      <w:bookmarkStart w:id="260" w:name="_Toc89333241"/>
      <w:bookmarkStart w:id="261" w:name="_Toc88065578"/>
      <w:r>
        <w:rPr>
          <w:rFonts w:hint="eastAsia" w:ascii="宋体" w:hAnsi="宋体" w:eastAsia="宋体" w:cs="Times New Roman"/>
          <w:b/>
          <w:color w:val="auto"/>
          <w:sz w:val="28"/>
          <w:szCs w:val="28"/>
          <w:highlight w:val="none"/>
        </w:rPr>
        <w:t xml:space="preserve">七   </w:t>
      </w:r>
      <w:bookmarkEnd w:id="253"/>
      <w:bookmarkEnd w:id="254"/>
      <w:bookmarkEnd w:id="255"/>
      <w:bookmarkEnd w:id="256"/>
      <w:bookmarkEnd w:id="257"/>
      <w:r>
        <w:rPr>
          <w:rFonts w:hint="eastAsia" w:ascii="宋体" w:hAnsi="宋体" w:eastAsia="宋体" w:cs="Times New Roman"/>
          <w:b/>
          <w:color w:val="auto"/>
          <w:sz w:val="28"/>
          <w:szCs w:val="28"/>
          <w:highlight w:val="none"/>
        </w:rPr>
        <w:t>成交公告</w:t>
      </w:r>
      <w:bookmarkEnd w:id="258"/>
      <w:bookmarkEnd w:id="259"/>
      <w:bookmarkEnd w:id="260"/>
      <w:bookmarkEnd w:id="261"/>
    </w:p>
    <w:p>
      <w:pPr>
        <w:keepNext/>
        <w:keepLines/>
        <w:spacing w:line="400" w:lineRule="exact"/>
        <w:outlineLvl w:val="1"/>
        <w:rPr>
          <w:rFonts w:ascii="宋体" w:hAnsi="宋体" w:eastAsia="宋体" w:cs="Times New Roman"/>
          <w:b/>
          <w:bCs/>
          <w:color w:val="auto"/>
          <w:sz w:val="24"/>
          <w:szCs w:val="24"/>
          <w:highlight w:val="none"/>
        </w:rPr>
      </w:pPr>
      <w:bookmarkStart w:id="262" w:name="_Toc206525710"/>
      <w:bookmarkStart w:id="263" w:name="_Toc185702577"/>
      <w:bookmarkStart w:id="264" w:name="_Toc230578085"/>
      <w:bookmarkStart w:id="265" w:name="_Toc207770863"/>
      <w:bookmarkStart w:id="266" w:name="_Toc239839891"/>
      <w:bookmarkStart w:id="267" w:name="_Toc89333242"/>
      <w:bookmarkStart w:id="268" w:name="_Toc486922984"/>
      <w:bookmarkStart w:id="269" w:name="_Toc486196167"/>
      <w:bookmarkStart w:id="270" w:name="_Toc88065579"/>
      <w:bookmarkStart w:id="271" w:name="_Toc89332994"/>
      <w:r>
        <w:rPr>
          <w:rFonts w:hint="eastAsia" w:ascii="宋体" w:hAnsi="宋体" w:eastAsia="宋体" w:cs="Times New Roman"/>
          <w:b/>
          <w:bCs/>
          <w:color w:val="auto"/>
          <w:sz w:val="24"/>
          <w:szCs w:val="24"/>
          <w:highlight w:val="none"/>
        </w:rPr>
        <w:t>2</w:t>
      </w:r>
      <w:bookmarkEnd w:id="262"/>
      <w:bookmarkEnd w:id="263"/>
      <w:bookmarkEnd w:id="264"/>
      <w:bookmarkEnd w:id="265"/>
      <w:r>
        <w:rPr>
          <w:rFonts w:hint="eastAsia" w:ascii="宋体" w:hAnsi="宋体" w:eastAsia="宋体" w:cs="Times New Roman"/>
          <w:b/>
          <w:bCs/>
          <w:color w:val="auto"/>
          <w:sz w:val="24"/>
          <w:szCs w:val="24"/>
          <w:highlight w:val="none"/>
        </w:rPr>
        <w:t>3．结果</w:t>
      </w:r>
      <w:bookmarkEnd w:id="266"/>
      <w:r>
        <w:rPr>
          <w:rFonts w:hint="eastAsia" w:ascii="宋体" w:hAnsi="宋体" w:eastAsia="宋体" w:cs="Times New Roman"/>
          <w:b/>
          <w:bCs/>
          <w:color w:val="auto"/>
          <w:sz w:val="24"/>
          <w:szCs w:val="24"/>
          <w:highlight w:val="none"/>
        </w:rPr>
        <w:t>公告</w:t>
      </w:r>
      <w:bookmarkEnd w:id="267"/>
      <w:bookmarkEnd w:id="268"/>
      <w:bookmarkEnd w:id="269"/>
      <w:bookmarkEnd w:id="270"/>
      <w:bookmarkEnd w:id="271"/>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23.1在采购人确定成交人后，采购代理机构将在政府采购信息发布媒体上公告成交结果。</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23.2供应商认为成交结果使自己的权益受到损害的，可以在成交结果公告期限届满之日起7个工作日内以书面形式向采购人或采购代理机构提出质疑，逾期将不再受理。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23.3采购人、采购代理机构将在收到供应商的书面形式质疑后七个工作日内做出答复，但答复的内容不得涉及商业秘密。</w:t>
      </w:r>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23.4质疑供应商必须首先经过质疑程序，对采购代理机构的答复不满意或者采购代理机构未在规定的时间内做出答复的，可以在答复期满后十五个工作日内书面向同级政府采购监督管理部门投诉。</w:t>
      </w:r>
      <w:bookmarkStart w:id="272" w:name="_Toc486922985"/>
      <w:bookmarkStart w:id="273" w:name="_Toc486196168"/>
    </w:p>
    <w:p>
      <w:pPr>
        <w:spacing w:line="400" w:lineRule="exact"/>
        <w:rPr>
          <w:rFonts w:ascii="Times New Roman" w:hAnsi="Times New Roman" w:eastAsia="宋体" w:cs="Times New Roman"/>
          <w:color w:val="auto"/>
          <w:szCs w:val="24"/>
          <w:highlight w:val="none"/>
        </w:rPr>
      </w:pPr>
    </w:p>
    <w:p>
      <w:pPr>
        <w:keepNext/>
        <w:spacing w:line="400" w:lineRule="exact"/>
        <w:jc w:val="center"/>
        <w:outlineLvl w:val="0"/>
        <w:rPr>
          <w:rFonts w:ascii="宋体" w:hAnsi="宋体" w:eastAsia="宋体" w:cs="Times New Roman"/>
          <w:b/>
          <w:color w:val="auto"/>
          <w:sz w:val="28"/>
          <w:szCs w:val="28"/>
          <w:highlight w:val="none"/>
        </w:rPr>
      </w:pPr>
      <w:bookmarkStart w:id="274" w:name="_Toc88065580"/>
      <w:bookmarkStart w:id="275" w:name="_Toc89333243"/>
      <w:r>
        <w:rPr>
          <w:rFonts w:hint="eastAsia" w:ascii="宋体" w:hAnsi="宋体" w:eastAsia="宋体" w:cs="Times New Roman"/>
          <w:b/>
          <w:color w:val="auto"/>
          <w:sz w:val="28"/>
          <w:szCs w:val="28"/>
          <w:highlight w:val="none"/>
        </w:rPr>
        <w:t>八   签订合同</w:t>
      </w:r>
      <w:bookmarkEnd w:id="272"/>
      <w:bookmarkEnd w:id="273"/>
      <w:bookmarkEnd w:id="274"/>
      <w:bookmarkEnd w:id="275"/>
    </w:p>
    <w:p>
      <w:pPr>
        <w:keepNext/>
        <w:keepLines/>
        <w:spacing w:line="400" w:lineRule="exact"/>
        <w:outlineLvl w:val="1"/>
        <w:rPr>
          <w:rFonts w:ascii="宋体" w:hAnsi="宋体" w:eastAsia="宋体" w:cs="Times New Roman"/>
          <w:b/>
          <w:bCs/>
          <w:color w:val="auto"/>
          <w:sz w:val="24"/>
          <w:szCs w:val="24"/>
          <w:highlight w:val="none"/>
        </w:rPr>
      </w:pPr>
      <w:bookmarkStart w:id="276" w:name="_Toc185702578"/>
      <w:bookmarkStart w:id="277" w:name="_Toc486196169"/>
      <w:bookmarkStart w:id="278" w:name="_Toc88065581"/>
      <w:bookmarkStart w:id="279" w:name="_Toc206525711"/>
      <w:bookmarkStart w:id="280" w:name="_Toc207770864"/>
      <w:bookmarkStart w:id="281" w:name="_Toc239839892"/>
      <w:bookmarkStart w:id="282" w:name="_Toc230578086"/>
      <w:bookmarkStart w:id="283" w:name="_Toc89332996"/>
      <w:bookmarkStart w:id="284" w:name="_Toc89333244"/>
      <w:bookmarkStart w:id="285" w:name="_Toc486922986"/>
      <w:r>
        <w:rPr>
          <w:rFonts w:hint="eastAsia" w:ascii="宋体" w:hAnsi="宋体" w:eastAsia="宋体" w:cs="Times New Roman"/>
          <w:b/>
          <w:bCs/>
          <w:color w:val="auto"/>
          <w:sz w:val="24"/>
          <w:szCs w:val="24"/>
          <w:highlight w:val="none"/>
        </w:rPr>
        <w:t>24．成交通知</w:t>
      </w:r>
      <w:bookmarkEnd w:id="276"/>
      <w:bookmarkEnd w:id="277"/>
      <w:bookmarkEnd w:id="278"/>
      <w:bookmarkEnd w:id="279"/>
      <w:bookmarkEnd w:id="280"/>
      <w:bookmarkEnd w:id="281"/>
      <w:bookmarkEnd w:id="282"/>
      <w:bookmarkEnd w:id="283"/>
      <w:bookmarkEnd w:id="284"/>
      <w:bookmarkEnd w:id="285"/>
    </w:p>
    <w:p>
      <w:pPr>
        <w:spacing w:line="400" w:lineRule="exact"/>
        <w:ind w:firstLine="464" w:firstLineChars="200"/>
        <w:rPr>
          <w:rFonts w:ascii="宋体" w:hAnsi="宋体" w:eastAsia="宋体" w:cs="Times New Roman"/>
          <w:color w:val="auto"/>
          <w:sz w:val="24"/>
          <w:szCs w:val="24"/>
          <w:highlight w:val="none"/>
        </w:rPr>
      </w:pPr>
      <w:r>
        <w:rPr>
          <w:rFonts w:ascii="宋体" w:hAnsi="宋体" w:eastAsia="宋体" w:cs="Times New Roman"/>
          <w:color w:val="auto"/>
          <w:spacing w:val="-4"/>
          <w:sz w:val="24"/>
          <w:szCs w:val="24"/>
          <w:highlight w:val="none"/>
        </w:rPr>
        <w:t>24.1在公告成交</w:t>
      </w:r>
      <w:r>
        <w:rPr>
          <w:rFonts w:ascii="宋体" w:hAnsi="宋体" w:eastAsia="宋体" w:cs="Times New Roman"/>
          <w:color w:val="auto"/>
          <w:sz w:val="24"/>
          <w:szCs w:val="24"/>
          <w:highlight w:val="none"/>
        </w:rPr>
        <w:t>结果</w:t>
      </w:r>
      <w:r>
        <w:rPr>
          <w:rFonts w:ascii="宋体" w:hAnsi="宋体" w:eastAsia="宋体" w:cs="Times New Roman"/>
          <w:color w:val="auto"/>
          <w:spacing w:val="-4"/>
          <w:sz w:val="24"/>
          <w:szCs w:val="24"/>
          <w:highlight w:val="none"/>
        </w:rPr>
        <w:t>的同时向成交供应商发出成交通知书。成交供应商应自接到通知之日起七个工作日内办理成交通知书领取手续，否则，采购单位有权取消其成交资格。</w:t>
      </w:r>
    </w:p>
    <w:p>
      <w:pPr>
        <w:keepNext/>
        <w:keepLines/>
        <w:spacing w:line="400" w:lineRule="exact"/>
        <w:outlineLvl w:val="1"/>
        <w:rPr>
          <w:rFonts w:ascii="Arial" w:hAnsi="宋体" w:eastAsia="黑体" w:cs="Times New Roman"/>
          <w:b/>
          <w:bCs/>
          <w:color w:val="auto"/>
          <w:sz w:val="24"/>
          <w:szCs w:val="24"/>
          <w:highlight w:val="none"/>
        </w:rPr>
      </w:pPr>
      <w:bookmarkStart w:id="286" w:name="_Toc206525714"/>
      <w:bookmarkStart w:id="287" w:name="_Toc230578089"/>
      <w:bookmarkStart w:id="288" w:name="_Toc239839895"/>
      <w:bookmarkStart w:id="289" w:name="_Toc207770867"/>
      <w:bookmarkStart w:id="290" w:name="_Toc486196170"/>
      <w:bookmarkStart w:id="291" w:name="_Toc486922987"/>
      <w:bookmarkStart w:id="292" w:name="_Toc89332997"/>
      <w:bookmarkStart w:id="293" w:name="_Toc88065582"/>
      <w:bookmarkStart w:id="294" w:name="_Toc89333245"/>
      <w:bookmarkStart w:id="295" w:name="_Toc207770866"/>
      <w:bookmarkStart w:id="296" w:name="_Toc206525713"/>
      <w:bookmarkStart w:id="297" w:name="_Toc230578088"/>
      <w:bookmarkStart w:id="298" w:name="_Toc185702580"/>
      <w:bookmarkStart w:id="299" w:name="_Toc239839894"/>
      <w:r>
        <w:rPr>
          <w:rFonts w:hint="eastAsia" w:ascii="宋体" w:hAnsi="宋体" w:eastAsia="宋体" w:cs="Times New Roman"/>
          <w:b/>
          <w:bCs/>
          <w:color w:val="auto"/>
          <w:sz w:val="24"/>
          <w:szCs w:val="24"/>
          <w:highlight w:val="none"/>
        </w:rPr>
        <w:t>25．履约保证金</w:t>
      </w:r>
      <w:bookmarkEnd w:id="286"/>
      <w:bookmarkEnd w:id="287"/>
      <w:bookmarkEnd w:id="288"/>
      <w:bookmarkEnd w:id="289"/>
      <w:bookmarkEnd w:id="290"/>
      <w:bookmarkEnd w:id="291"/>
      <w:r>
        <w:rPr>
          <w:rFonts w:hint="eastAsia" w:ascii="宋体" w:hAnsi="宋体" w:eastAsia="宋体" w:cs="Times New Roman"/>
          <w:b/>
          <w:bCs/>
          <w:color w:val="auto"/>
          <w:sz w:val="24"/>
          <w:szCs w:val="24"/>
          <w:highlight w:val="none"/>
        </w:rPr>
        <w:t xml:space="preserve">: </w:t>
      </w:r>
      <w:r>
        <w:rPr>
          <w:rFonts w:ascii="Arial" w:hAnsi="宋体" w:eastAsia="黑体" w:cs="Times New Roman"/>
          <w:bCs/>
          <w:color w:val="auto"/>
          <w:sz w:val="24"/>
          <w:szCs w:val="24"/>
          <w:highlight w:val="none"/>
        </w:rPr>
        <w:t>无</w:t>
      </w:r>
      <w:bookmarkEnd w:id="292"/>
      <w:bookmarkEnd w:id="293"/>
      <w:bookmarkEnd w:id="294"/>
      <w:bookmarkStart w:id="300" w:name="_Toc486196171"/>
      <w:bookmarkStart w:id="301" w:name="_Toc486922988"/>
    </w:p>
    <w:p>
      <w:pPr>
        <w:spacing w:line="400" w:lineRule="exact"/>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26．签订合同</w:t>
      </w:r>
      <w:bookmarkEnd w:id="295"/>
      <w:bookmarkEnd w:id="296"/>
      <w:bookmarkEnd w:id="297"/>
      <w:bookmarkEnd w:id="298"/>
      <w:bookmarkEnd w:id="299"/>
      <w:bookmarkEnd w:id="300"/>
      <w:bookmarkEnd w:id="301"/>
      <w:bookmarkStart w:id="302" w:name="_Toc88065583"/>
      <w:bookmarkStart w:id="303" w:name="_Toc230578090"/>
      <w:bookmarkStart w:id="304" w:name="_Toc486196172"/>
      <w:bookmarkStart w:id="305" w:name="_Toc207770868"/>
      <w:bookmarkStart w:id="306" w:name="_Toc239839896"/>
      <w:bookmarkStart w:id="307" w:name="_Toc185702582"/>
      <w:bookmarkStart w:id="308" w:name="_Toc486922989"/>
      <w:bookmarkStart w:id="309" w:name="_Toc206525715"/>
    </w:p>
    <w:p>
      <w:pPr>
        <w:spacing w:line="400" w:lineRule="exact"/>
        <w:ind w:firstLine="480" w:firstLineChars="200"/>
        <w:rPr>
          <w:rFonts w:ascii="宋体" w:hAnsi="宋体" w:eastAsia="宋体" w:cs="Times New Roman"/>
          <w:bCs/>
          <w:color w:val="auto"/>
          <w:sz w:val="24"/>
          <w:szCs w:val="21"/>
          <w:highlight w:val="none"/>
        </w:rPr>
      </w:pPr>
      <w:r>
        <w:rPr>
          <w:rFonts w:ascii="宋体" w:hAnsi="宋体" w:eastAsia="宋体" w:cs="Times New Roman"/>
          <w:bCs/>
          <w:color w:val="auto"/>
          <w:sz w:val="24"/>
          <w:szCs w:val="21"/>
          <w:highlight w:val="none"/>
        </w:rPr>
        <w:t>26. 1 采购人和成交供应商应当在成交通知书发出之日起25天内，根据竞争性磋商文件和成交供应商的响应文件（竞标最终应答文件）订立书面合同。成交供应商无正当理由拒签合同的，采购人取消其成交资格。对依法必须进行采购的项目的成交供应商，由有关行政监督部门责令改正。</w:t>
      </w:r>
      <w:bookmarkEnd w:id="302"/>
      <w:bookmarkStart w:id="310" w:name="_Toc88065584"/>
    </w:p>
    <w:p>
      <w:pPr>
        <w:spacing w:line="400" w:lineRule="exact"/>
        <w:ind w:firstLine="480" w:firstLineChars="200"/>
        <w:rPr>
          <w:rFonts w:ascii="宋体" w:hAnsi="宋体" w:eastAsia="宋体" w:cs="Times New Roman"/>
          <w:bCs/>
          <w:color w:val="auto"/>
          <w:sz w:val="24"/>
          <w:szCs w:val="21"/>
          <w:highlight w:val="none"/>
        </w:rPr>
      </w:pPr>
      <w:r>
        <w:rPr>
          <w:rFonts w:ascii="宋体" w:hAnsi="宋体" w:eastAsia="宋体" w:cs="Times New Roman"/>
          <w:bCs/>
          <w:color w:val="auto"/>
          <w:sz w:val="24"/>
          <w:szCs w:val="21"/>
          <w:highlight w:val="none"/>
        </w:rPr>
        <w:t>26.2 国有资金占控股或者主导地位的依法必须进行采购的项目，采购人应当确定排名第一的成交候选人为成交人。排名第一的成交候选人（或者磋商小组（评标委员会）依据采购人的授权直接确定的成交供应商）放弃成交，或因不可抗力提出不能履行合同，或者被查实存在影响成交结果的违法行为等情形，不符合成交条件的，采购人应依据《政府采购质疑和投诉办法》（中华人民共和国财政部令94号）相应适用情形规定按照磋商小组（评标委员会）提出的成交候选人名单排序（或者评标结果排序）依次确定其他成交候选人为成交供应商或可以重新采购。</w:t>
      </w:r>
      <w:bookmarkEnd w:id="310"/>
      <w:bookmarkStart w:id="311" w:name="_Toc88065585"/>
    </w:p>
    <w:p>
      <w:pPr>
        <w:spacing w:line="400" w:lineRule="exact"/>
        <w:ind w:firstLine="480" w:firstLineChars="200"/>
        <w:rPr>
          <w:rFonts w:ascii="宋体" w:hAnsi="宋体" w:eastAsia="宋体" w:cs="Times New Roman"/>
          <w:bCs/>
          <w:color w:val="auto"/>
          <w:sz w:val="24"/>
          <w:szCs w:val="21"/>
          <w:highlight w:val="none"/>
        </w:rPr>
      </w:pPr>
      <w:r>
        <w:rPr>
          <w:rFonts w:ascii="宋体" w:hAnsi="宋体" w:eastAsia="宋体" w:cs="Times New Roman"/>
          <w:bCs/>
          <w:color w:val="auto"/>
          <w:sz w:val="24"/>
          <w:szCs w:val="21"/>
          <w:highlight w:val="none"/>
        </w:rPr>
        <w:t>26.3 发出成交通知书后，采购人无正当理由拒签合同的，由有关行政监督部门给予警告，责令改正。</w:t>
      </w:r>
      <w:bookmarkEnd w:id="311"/>
      <w:bookmarkStart w:id="312" w:name="_Toc88065586"/>
    </w:p>
    <w:p>
      <w:pPr>
        <w:spacing w:line="400" w:lineRule="exact"/>
        <w:ind w:firstLine="480" w:firstLineChars="200"/>
        <w:rPr>
          <w:rFonts w:ascii="宋体" w:hAnsi="宋体" w:eastAsia="宋体" w:cs="Times New Roman"/>
          <w:bCs/>
          <w:color w:val="auto"/>
          <w:sz w:val="24"/>
          <w:szCs w:val="21"/>
          <w:highlight w:val="none"/>
        </w:rPr>
      </w:pPr>
      <w:r>
        <w:rPr>
          <w:rFonts w:ascii="宋体" w:hAnsi="宋体" w:eastAsia="宋体" w:cs="Times New Roman"/>
          <w:bCs/>
          <w:color w:val="auto"/>
          <w:sz w:val="24"/>
          <w:szCs w:val="21"/>
          <w:highlight w:val="none"/>
        </w:rPr>
        <w:t>26.4采购合同由采购人与成交供应商在规定的时间内签订后送本级政府采购监督管理部门备案。</w:t>
      </w:r>
      <w:bookmarkEnd w:id="312"/>
      <w:bookmarkStart w:id="313" w:name="_Toc88065587"/>
    </w:p>
    <w:p>
      <w:pPr>
        <w:spacing w:line="400" w:lineRule="exact"/>
        <w:ind w:firstLine="480" w:firstLineChars="200"/>
        <w:rPr>
          <w:rFonts w:ascii="宋体" w:hAnsi="宋体" w:eastAsia="宋体" w:cs="Times New Roman"/>
          <w:bCs/>
          <w:color w:val="auto"/>
          <w:sz w:val="24"/>
          <w:szCs w:val="21"/>
          <w:highlight w:val="none"/>
        </w:rPr>
      </w:pPr>
      <w:r>
        <w:rPr>
          <w:rFonts w:ascii="宋体" w:hAnsi="宋体" w:eastAsia="宋体" w:cs="Times New Roman"/>
          <w:bCs/>
          <w:color w:val="auto"/>
          <w:sz w:val="24"/>
          <w:szCs w:val="21"/>
          <w:highlight w:val="none"/>
        </w:rPr>
        <w:t>26.5采购合同必须与本竞争性磋商文件第五章的《合同书》格式一致，可视其情况增加补充条款，但其增加内容不得改变原合同载列的实质性内容。</w:t>
      </w:r>
      <w:bookmarkEnd w:id="313"/>
    </w:p>
    <w:p>
      <w:pPr>
        <w:spacing w:line="400" w:lineRule="exact"/>
        <w:jc w:val="left"/>
        <w:rPr>
          <w:rFonts w:ascii="宋体" w:hAnsi="宋体" w:eastAsia="宋体" w:cs="Times New Roman"/>
          <w:bCs/>
          <w:color w:val="auto"/>
          <w:spacing w:val="10"/>
          <w:sz w:val="28"/>
          <w:szCs w:val="28"/>
          <w:highlight w:val="none"/>
        </w:rPr>
      </w:pPr>
    </w:p>
    <w:p>
      <w:pPr>
        <w:keepNext/>
        <w:spacing w:line="400" w:lineRule="exact"/>
        <w:jc w:val="center"/>
        <w:outlineLvl w:val="0"/>
        <w:rPr>
          <w:rFonts w:ascii="宋体" w:hAnsi="宋体" w:eastAsia="宋体" w:cs="Times New Roman"/>
          <w:b/>
          <w:color w:val="auto"/>
          <w:sz w:val="28"/>
          <w:szCs w:val="28"/>
          <w:highlight w:val="none"/>
        </w:rPr>
      </w:pPr>
      <w:bookmarkStart w:id="314" w:name="_Toc89333246"/>
      <w:bookmarkStart w:id="315" w:name="_Toc88065588"/>
      <w:r>
        <w:rPr>
          <w:rFonts w:hint="eastAsia" w:ascii="宋体" w:hAnsi="宋体" w:eastAsia="宋体" w:cs="Times New Roman"/>
          <w:b/>
          <w:color w:val="auto"/>
          <w:sz w:val="28"/>
          <w:szCs w:val="28"/>
          <w:highlight w:val="none"/>
        </w:rPr>
        <w:t>九   其他事项</w:t>
      </w:r>
      <w:bookmarkEnd w:id="303"/>
      <w:bookmarkEnd w:id="304"/>
      <w:bookmarkEnd w:id="305"/>
      <w:bookmarkEnd w:id="306"/>
      <w:bookmarkEnd w:id="307"/>
      <w:bookmarkEnd w:id="308"/>
      <w:bookmarkEnd w:id="309"/>
      <w:bookmarkEnd w:id="314"/>
      <w:bookmarkEnd w:id="315"/>
    </w:p>
    <w:p>
      <w:pPr>
        <w:keepNext/>
        <w:keepLines/>
        <w:spacing w:line="400" w:lineRule="exact"/>
        <w:outlineLvl w:val="1"/>
        <w:rPr>
          <w:rFonts w:ascii="宋体" w:hAnsi="宋体" w:eastAsia="宋体" w:cs="Times New Roman"/>
          <w:b/>
          <w:bCs/>
          <w:color w:val="auto"/>
          <w:sz w:val="24"/>
          <w:szCs w:val="24"/>
          <w:highlight w:val="none"/>
        </w:rPr>
      </w:pPr>
      <w:bookmarkStart w:id="316" w:name="_Toc185702583"/>
      <w:bookmarkStart w:id="317" w:name="_Toc206525716"/>
      <w:bookmarkStart w:id="318" w:name="_Toc207770869"/>
      <w:bookmarkStart w:id="319" w:name="_Toc230578091"/>
      <w:bookmarkStart w:id="320" w:name="_Toc239839897"/>
      <w:bookmarkStart w:id="321" w:name="_Toc486196173"/>
      <w:bookmarkStart w:id="322" w:name="_Toc88065589"/>
      <w:bookmarkStart w:id="323" w:name="_Toc89332999"/>
      <w:bookmarkStart w:id="324" w:name="_Toc89333247"/>
      <w:bookmarkStart w:id="325" w:name="_Toc486922990"/>
      <w:bookmarkStart w:id="326" w:name="_Toc206525717"/>
      <w:bookmarkStart w:id="327" w:name="_Toc486196174"/>
      <w:bookmarkStart w:id="328" w:name="_Toc486922991"/>
      <w:bookmarkStart w:id="329" w:name="_Toc207770870"/>
      <w:bookmarkStart w:id="330" w:name="_Toc239839898"/>
      <w:bookmarkStart w:id="331" w:name="_Toc185702584"/>
      <w:bookmarkStart w:id="332" w:name="_Toc230578092"/>
      <w:r>
        <w:rPr>
          <w:rFonts w:hint="eastAsia" w:ascii="宋体" w:hAnsi="宋体" w:eastAsia="宋体" w:cs="Times New Roman"/>
          <w:b/>
          <w:bCs/>
          <w:color w:val="auto"/>
          <w:sz w:val="24"/>
          <w:szCs w:val="24"/>
          <w:highlight w:val="none"/>
        </w:rPr>
        <w:t>2</w:t>
      </w:r>
      <w:bookmarkEnd w:id="316"/>
      <w:bookmarkEnd w:id="317"/>
      <w:bookmarkEnd w:id="318"/>
      <w:bookmarkEnd w:id="319"/>
      <w:bookmarkEnd w:id="320"/>
      <w:r>
        <w:rPr>
          <w:rFonts w:hint="eastAsia" w:ascii="宋体" w:hAnsi="宋体" w:eastAsia="宋体" w:cs="Times New Roman"/>
          <w:b/>
          <w:bCs/>
          <w:color w:val="auto"/>
          <w:sz w:val="24"/>
          <w:szCs w:val="24"/>
          <w:highlight w:val="none"/>
        </w:rPr>
        <w:t>7．成交相关费</w:t>
      </w:r>
      <w:bookmarkEnd w:id="321"/>
      <w:r>
        <w:rPr>
          <w:rFonts w:hint="eastAsia" w:ascii="宋体" w:hAnsi="宋体" w:eastAsia="宋体" w:cs="Times New Roman"/>
          <w:b/>
          <w:bCs/>
          <w:color w:val="auto"/>
          <w:sz w:val="24"/>
          <w:szCs w:val="24"/>
          <w:highlight w:val="none"/>
        </w:rPr>
        <w:t>用</w:t>
      </w:r>
      <w:bookmarkEnd w:id="322"/>
      <w:bookmarkEnd w:id="323"/>
      <w:bookmarkEnd w:id="324"/>
      <w:bookmarkEnd w:id="325"/>
    </w:p>
    <w:p>
      <w:pPr>
        <w:adjustRightInd w:val="0"/>
        <w:snapToGrid w:val="0"/>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27.1代理服务费：本项目采购代理服务费按以下方式计算（成交价100万元内部分，按 1.0 % 计算，成交价100万～500万内，按0.7%计算，按差额定率累进法计算后即为代理服务费）。由成交供应商在领取成交通知书前向采购代理机构一次性付清代理服务费，否则不给予成交通知书。</w:t>
      </w:r>
    </w:p>
    <w:p>
      <w:pPr>
        <w:adjustRightInd w:val="0"/>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 xml:space="preserve">27.2 </w:t>
      </w:r>
      <w:r>
        <w:rPr>
          <w:rFonts w:hint="eastAsia" w:ascii="宋体" w:hAnsi="宋体" w:eastAsia="宋体" w:cs="Times New Roman"/>
          <w:color w:val="auto"/>
          <w:sz w:val="24"/>
          <w:szCs w:val="24"/>
          <w:highlight w:val="none"/>
        </w:rPr>
        <w:t>上述款项，请现金现存或转账电汇转入下列银行帐户。</w:t>
      </w:r>
    </w:p>
    <w:p>
      <w:pPr>
        <w:spacing w:line="400" w:lineRule="exact"/>
        <w:ind w:firstLine="489" w:firstLineChars="20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开户名称：广西宏腾招标代理有限公司</w:t>
      </w:r>
    </w:p>
    <w:p>
      <w:pPr>
        <w:spacing w:line="400" w:lineRule="exact"/>
        <w:ind w:firstLine="489" w:firstLineChars="20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开户银行：广西北流柳银村镇银行股份有限公司</w:t>
      </w:r>
    </w:p>
    <w:p>
      <w:pPr>
        <w:spacing w:line="400" w:lineRule="exact"/>
        <w:ind w:firstLine="489" w:firstLineChars="204"/>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开户账号: 85200500000000007947</w:t>
      </w:r>
    </w:p>
    <w:p>
      <w:pPr>
        <w:keepNext/>
        <w:keepLines/>
        <w:spacing w:line="400" w:lineRule="exact"/>
        <w:outlineLvl w:val="1"/>
        <w:rPr>
          <w:rFonts w:ascii="宋体" w:hAnsi="宋体" w:eastAsia="宋体" w:cs="Times New Roman"/>
          <w:b/>
          <w:bCs/>
          <w:color w:val="auto"/>
          <w:sz w:val="24"/>
          <w:szCs w:val="24"/>
          <w:highlight w:val="none"/>
        </w:rPr>
      </w:pPr>
      <w:bookmarkStart w:id="333" w:name="_Toc89333000"/>
      <w:bookmarkStart w:id="334" w:name="_Toc88065590"/>
      <w:bookmarkStart w:id="335" w:name="_Toc89333248"/>
      <w:r>
        <w:rPr>
          <w:rFonts w:hint="eastAsia" w:ascii="宋体" w:hAnsi="宋体" w:eastAsia="宋体" w:cs="Times New Roman"/>
          <w:b/>
          <w:bCs/>
          <w:color w:val="auto"/>
          <w:sz w:val="24"/>
          <w:szCs w:val="24"/>
          <w:highlight w:val="none"/>
        </w:rPr>
        <w:t>28．解释权</w:t>
      </w:r>
      <w:bookmarkEnd w:id="326"/>
      <w:bookmarkEnd w:id="327"/>
      <w:bookmarkEnd w:id="328"/>
      <w:bookmarkEnd w:id="329"/>
      <w:bookmarkEnd w:id="330"/>
      <w:bookmarkEnd w:id="331"/>
      <w:bookmarkEnd w:id="332"/>
      <w:bookmarkEnd w:id="333"/>
      <w:bookmarkEnd w:id="334"/>
      <w:bookmarkEnd w:id="335"/>
    </w:p>
    <w:p>
      <w:pPr>
        <w:spacing w:line="4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28.1本磋商文件是根据国家有关法律、法规以及政府采购管理有关规定和参照国际惯例编制，解释权属本采购代理机构。</w:t>
      </w:r>
      <w:bookmarkStart w:id="336" w:name="_Toc486922993"/>
      <w:bookmarkStart w:id="337" w:name="_Toc486196176"/>
    </w:p>
    <w:p>
      <w:pPr>
        <w:keepNext/>
        <w:keepLines/>
        <w:spacing w:line="400" w:lineRule="exact"/>
        <w:outlineLvl w:val="1"/>
        <w:rPr>
          <w:rFonts w:ascii="宋体" w:hAnsi="宋体" w:eastAsia="宋体" w:cs="Times New Roman"/>
          <w:b/>
          <w:bCs/>
          <w:color w:val="auto"/>
          <w:sz w:val="24"/>
          <w:szCs w:val="24"/>
          <w:highlight w:val="none"/>
        </w:rPr>
      </w:pPr>
      <w:bookmarkStart w:id="338" w:name="_Toc88065591"/>
      <w:bookmarkStart w:id="339" w:name="_Toc89333249"/>
      <w:bookmarkStart w:id="340" w:name="_Toc89333001"/>
      <w:r>
        <w:rPr>
          <w:rFonts w:hint="eastAsia" w:ascii="宋体" w:hAnsi="宋体" w:eastAsia="宋体" w:cs="Times New Roman"/>
          <w:b/>
          <w:bCs/>
          <w:color w:val="auto"/>
          <w:sz w:val="24"/>
          <w:szCs w:val="24"/>
          <w:highlight w:val="none"/>
        </w:rPr>
        <w:t>29．需要补充的其他内容</w:t>
      </w:r>
      <w:bookmarkEnd w:id="336"/>
      <w:bookmarkEnd w:id="337"/>
      <w:bookmarkEnd w:id="338"/>
      <w:bookmarkEnd w:id="339"/>
      <w:bookmarkEnd w:id="340"/>
    </w:p>
    <w:p>
      <w:pPr>
        <w:spacing w:line="400" w:lineRule="exact"/>
        <w:ind w:left="599" w:leftChars="228" w:hanging="120" w:hangingChars="50"/>
        <w:rPr>
          <w:rFonts w:ascii="宋体" w:hAnsi="宋体" w:eastAsia="宋体" w:cs="宋体"/>
          <w:color w:val="auto"/>
          <w:sz w:val="24"/>
          <w:szCs w:val="24"/>
          <w:highlight w:val="none"/>
        </w:rPr>
      </w:pPr>
      <w:r>
        <w:rPr>
          <w:rFonts w:ascii="宋体" w:hAnsi="宋体" w:eastAsia="宋体" w:cs="Times New Roman"/>
          <w:color w:val="auto"/>
          <w:sz w:val="24"/>
          <w:szCs w:val="24"/>
          <w:highlight w:val="none"/>
        </w:rPr>
        <w:t>29.1需要补充的其他内容：见供应商须知前附表。</w:t>
      </w:r>
    </w:p>
    <w:p>
      <w:pPr>
        <w:snapToGrid w:val="0"/>
        <w:spacing w:line="400" w:lineRule="exact"/>
        <w:ind w:firstLine="480" w:firstLineChars="200"/>
        <w:jc w:val="left"/>
        <w:rPr>
          <w:rFonts w:ascii="宋体" w:hAnsi="宋体" w:eastAsia="宋体" w:cs="Times New Roman"/>
          <w:b/>
          <w:bCs/>
          <w:color w:val="auto"/>
          <w:sz w:val="24"/>
          <w:szCs w:val="24"/>
          <w:highlight w:val="none"/>
        </w:rPr>
      </w:pPr>
      <w:r>
        <w:rPr>
          <w:rFonts w:hint="eastAsia" w:ascii="宋体" w:hAnsi="宋体" w:eastAsia="宋体" w:cs="宋体"/>
          <w:color w:val="auto"/>
          <w:sz w:val="24"/>
          <w:szCs w:val="24"/>
          <w:highlight w:val="none"/>
        </w:rPr>
        <w:t xml:space="preserve">29.2 </w:t>
      </w:r>
      <w:r>
        <w:rPr>
          <w:rFonts w:hint="eastAsia" w:ascii="宋体" w:hAnsi="宋体" w:eastAsia="宋体" w:cs="Times New Roman"/>
          <w:b/>
          <w:bCs/>
          <w:color w:val="auto"/>
          <w:sz w:val="24"/>
          <w:szCs w:val="24"/>
          <w:highlight w:val="none"/>
        </w:rPr>
        <w:t>采购合同审核、备案：</w:t>
      </w:r>
    </w:p>
    <w:p>
      <w:pPr>
        <w:snapToGrid w:val="0"/>
        <w:spacing w:line="400" w:lineRule="exact"/>
        <w:ind w:firstLine="480" w:firstLineChars="200"/>
        <w:jc w:val="left"/>
        <w:rPr>
          <w:rFonts w:ascii="Times New Roman" w:hAnsi="宋体" w:eastAsia="宋体" w:cs="Times New Roman"/>
          <w:b/>
          <w:color w:val="auto"/>
          <w:sz w:val="24"/>
          <w:szCs w:val="24"/>
          <w:highlight w:val="none"/>
        </w:rPr>
      </w:pPr>
      <w:r>
        <w:rPr>
          <w:rFonts w:ascii="Times New Roman" w:hAnsi="宋体" w:eastAsia="宋体" w:cs="Times New Roman"/>
          <w:color w:val="auto"/>
          <w:sz w:val="24"/>
          <w:szCs w:val="24"/>
          <w:highlight w:val="none"/>
        </w:rPr>
        <w:t>采购合同自签订之日起2个工作日内，中标人必须将采购合同送本采购代理机构</w:t>
      </w:r>
      <w:r>
        <w:rPr>
          <w:rFonts w:hint="eastAsia" w:ascii="Times New Roman" w:hAnsi="宋体" w:eastAsia="宋体" w:cs="Times New Roman"/>
          <w:color w:val="auto"/>
          <w:sz w:val="24"/>
          <w:szCs w:val="24"/>
          <w:highlight w:val="none"/>
          <w:lang w:eastAsia="zh-CN"/>
        </w:rPr>
        <w:t>备案</w:t>
      </w:r>
      <w:r>
        <w:rPr>
          <w:rFonts w:ascii="Times New Roman" w:hAnsi="宋体" w:eastAsia="宋体" w:cs="Times New Roman"/>
          <w:color w:val="auto"/>
          <w:sz w:val="24"/>
          <w:szCs w:val="24"/>
          <w:highlight w:val="none"/>
        </w:rPr>
        <w:t>。</w:t>
      </w:r>
    </w:p>
    <w:p>
      <w:pPr>
        <w:widowControl/>
        <w:jc w:val="left"/>
        <w:rPr>
          <w:color w:val="auto"/>
          <w:highlight w:val="none"/>
        </w:rPr>
      </w:pPr>
    </w:p>
    <w:p>
      <w:pPr>
        <w:widowControl/>
        <w:jc w:val="left"/>
        <w:rPr>
          <w:rFonts w:ascii="方正隶书简体" w:hAnsi="宋体" w:eastAsia="方正隶书简体" w:cs="Times New Roman"/>
          <w:b/>
          <w:bCs/>
          <w:color w:val="auto"/>
          <w:sz w:val="36"/>
          <w:szCs w:val="36"/>
          <w:highlight w:val="none"/>
        </w:rPr>
      </w:pPr>
      <w:bookmarkStart w:id="341" w:name="_Toc185702586"/>
      <w:bookmarkStart w:id="342" w:name="_Toc156106969"/>
      <w:bookmarkStart w:id="343" w:name="_Toc239839900"/>
      <w:bookmarkStart w:id="344" w:name="_Toc147248434"/>
      <w:bookmarkStart w:id="345" w:name="_Toc185703008"/>
      <w:bookmarkStart w:id="346" w:name="_Toc89333250"/>
      <w:bookmarkStart w:id="347" w:name="_Toc88065592"/>
      <w:r>
        <w:rPr>
          <w:rFonts w:ascii="方正隶书简体" w:hAnsi="宋体" w:eastAsia="方正隶书简体" w:cs="Times New Roman"/>
          <w:b/>
          <w:bCs/>
          <w:color w:val="auto"/>
          <w:sz w:val="36"/>
          <w:szCs w:val="36"/>
          <w:highlight w:val="none"/>
        </w:rPr>
        <w:br w:type="page"/>
      </w:r>
    </w:p>
    <w:p>
      <w:pPr>
        <w:keepNext/>
        <w:spacing w:line="560" w:lineRule="exact"/>
        <w:jc w:val="center"/>
        <w:outlineLvl w:val="0"/>
        <w:rPr>
          <w:rFonts w:ascii="方正隶书简体" w:hAnsi="宋体" w:eastAsia="方正隶书简体" w:cs="Times New Roman"/>
          <w:b/>
          <w:bCs/>
          <w:color w:val="auto"/>
          <w:sz w:val="36"/>
          <w:szCs w:val="36"/>
          <w:highlight w:val="none"/>
        </w:rPr>
      </w:pPr>
      <w:r>
        <w:rPr>
          <w:rFonts w:hint="eastAsia" w:ascii="方正隶书简体" w:hAnsi="宋体" w:eastAsia="方正隶书简体" w:cs="Times New Roman"/>
          <w:b/>
          <w:bCs/>
          <w:color w:val="auto"/>
          <w:sz w:val="36"/>
          <w:szCs w:val="36"/>
          <w:highlight w:val="none"/>
        </w:rPr>
        <w:t xml:space="preserve">第三章   </w:t>
      </w:r>
      <w:bookmarkEnd w:id="341"/>
      <w:bookmarkEnd w:id="342"/>
      <w:bookmarkEnd w:id="343"/>
      <w:bookmarkEnd w:id="344"/>
      <w:bookmarkEnd w:id="345"/>
      <w:r>
        <w:rPr>
          <w:rFonts w:hint="eastAsia" w:ascii="方正隶书简体" w:hAnsi="宋体" w:eastAsia="方正隶书简体" w:cs="Times New Roman"/>
          <w:b/>
          <w:bCs/>
          <w:color w:val="auto"/>
          <w:sz w:val="36"/>
          <w:szCs w:val="36"/>
          <w:highlight w:val="none"/>
        </w:rPr>
        <w:t>项目内容及要求</w:t>
      </w:r>
      <w:bookmarkEnd w:id="346"/>
      <w:bookmarkEnd w:id="347"/>
    </w:p>
    <w:p>
      <w:pPr>
        <w:tabs>
          <w:tab w:val="center" w:pos="4153"/>
          <w:tab w:val="right" w:pos="8306"/>
        </w:tabs>
        <w:snapToGrid w:val="0"/>
        <w:jc w:val="left"/>
        <w:rPr>
          <w:rFonts w:ascii="宋体" w:hAnsi="Courier New" w:eastAsia="宋体" w:cs="Times New Roman"/>
          <w:color w:val="auto"/>
          <w:sz w:val="18"/>
          <w:szCs w:val="20"/>
          <w:highlight w:val="none"/>
        </w:rPr>
      </w:pPr>
    </w:p>
    <w:p>
      <w:pPr>
        <w:spacing w:line="480" w:lineRule="auto"/>
        <w:rPr>
          <w:rFonts w:ascii="宋体" w:hAnsi="宋体" w:eastAsia="宋体" w:cs="宋体"/>
          <w:color w:val="auto"/>
          <w:sz w:val="24"/>
          <w:szCs w:val="24"/>
          <w:highlight w:val="none"/>
        </w:rPr>
      </w:pPr>
      <w:r>
        <w:rPr>
          <w:rFonts w:hint="eastAsia" w:ascii="Times New Roman" w:hAnsi="宋体" w:eastAsia="宋体" w:cs="Times New Roman"/>
          <w:b/>
          <w:color w:val="auto"/>
          <w:sz w:val="24"/>
          <w:szCs w:val="24"/>
          <w:highlight w:val="none"/>
        </w:rPr>
        <w:t>一、</w:t>
      </w:r>
      <w:r>
        <w:rPr>
          <w:rFonts w:ascii="Times New Roman" w:hAnsi="宋体" w:eastAsia="宋体" w:cs="Times New Roman"/>
          <w:b/>
          <w:color w:val="auto"/>
          <w:sz w:val="24"/>
          <w:szCs w:val="24"/>
          <w:highlight w:val="none"/>
        </w:rPr>
        <w:t>项目概况 ：</w:t>
      </w:r>
      <w:r>
        <w:rPr>
          <w:rFonts w:hint="eastAsia" w:ascii="宋体" w:hAnsi="宋体" w:eastAsia="宋体" w:cs="宋体"/>
          <w:color w:val="auto"/>
          <w:sz w:val="24"/>
          <w:szCs w:val="24"/>
          <w:highlight w:val="none"/>
          <w:lang w:eastAsia="zh-CN"/>
        </w:rPr>
        <w:t>北流市六靖镇茶山村沉香产业示范带危桥拆除重建工程，主要建设内容包括：拆除旧桥,并新建桥梁。附带建设15cm厚级配碎石底基层，20cm厚水泥混凝土面层，新建挡土墙一16m长、2.4m高，新建挡土墙二111m长、3m高，大理石护栏24m，新建涵洞总长8m等。</w:t>
      </w:r>
      <w:r>
        <w:rPr>
          <w:rFonts w:hint="eastAsia" w:ascii="宋体" w:hAnsi="宋体" w:eastAsia="宋体" w:cs="宋体"/>
          <w:color w:val="auto"/>
          <w:sz w:val="24"/>
          <w:szCs w:val="24"/>
          <w:highlight w:val="none"/>
        </w:rPr>
        <w:t>如需进一步了解详细内容，详见工程量清单和工程建设相关资料。</w:t>
      </w:r>
    </w:p>
    <w:p>
      <w:pPr>
        <w:widowControl/>
        <w:spacing w:line="480" w:lineRule="auto"/>
        <w:jc w:val="left"/>
        <w:rPr>
          <w:rFonts w:ascii="宋体" w:hAnsi="宋体" w:eastAsia="宋体" w:cs="宋体"/>
          <w:bCs/>
          <w:color w:val="auto"/>
          <w:sz w:val="24"/>
          <w:szCs w:val="24"/>
          <w:highlight w:val="none"/>
        </w:rPr>
      </w:pPr>
      <w:r>
        <w:rPr>
          <w:rFonts w:hint="eastAsia" w:ascii="Times New Roman" w:hAnsi="宋体" w:eastAsia="宋体" w:cs="Times New Roman"/>
          <w:b/>
          <w:color w:val="auto"/>
          <w:sz w:val="24"/>
          <w:szCs w:val="24"/>
          <w:highlight w:val="none"/>
        </w:rPr>
        <w:t>二、</w:t>
      </w:r>
      <w:r>
        <w:rPr>
          <w:rFonts w:ascii="Times New Roman" w:hAnsi="宋体" w:eastAsia="宋体" w:cs="Times New Roman"/>
          <w:b/>
          <w:color w:val="auto"/>
          <w:sz w:val="24"/>
          <w:szCs w:val="24"/>
          <w:highlight w:val="none"/>
        </w:rPr>
        <w:t>要求工期：</w:t>
      </w:r>
      <w:r>
        <w:rPr>
          <w:rFonts w:hint="eastAsia" w:ascii="宋体" w:hAnsi="宋体" w:eastAsia="宋体" w:cs="宋体"/>
          <w:bCs/>
          <w:color w:val="auto"/>
          <w:sz w:val="24"/>
          <w:szCs w:val="24"/>
          <w:highlight w:val="none"/>
          <w:lang w:val="en-US" w:eastAsia="zh-CN"/>
        </w:rPr>
        <w:t>75日历天</w:t>
      </w:r>
      <w:r>
        <w:rPr>
          <w:rFonts w:hint="eastAsia" w:ascii="宋体" w:hAnsi="宋体" w:eastAsia="宋体" w:cs="宋体"/>
          <w:bCs/>
          <w:color w:val="auto"/>
          <w:sz w:val="24"/>
          <w:szCs w:val="24"/>
          <w:highlight w:val="none"/>
        </w:rPr>
        <w:t>。</w:t>
      </w:r>
    </w:p>
    <w:p>
      <w:pPr>
        <w:spacing w:line="480" w:lineRule="auto"/>
        <w:rPr>
          <w:rFonts w:ascii="宋体" w:hAnsi="宋体" w:eastAsia="宋体" w:cs="Times New Roman"/>
          <w:color w:val="auto"/>
          <w:sz w:val="24"/>
          <w:szCs w:val="21"/>
          <w:highlight w:val="none"/>
        </w:rPr>
      </w:pPr>
      <w:r>
        <w:rPr>
          <w:rFonts w:ascii="宋体" w:hAnsi="宋体" w:eastAsia="宋体" w:cs="Times New Roman"/>
          <w:b/>
          <w:color w:val="auto"/>
          <w:sz w:val="24"/>
          <w:szCs w:val="24"/>
          <w:highlight w:val="none"/>
        </w:rPr>
        <w:t>三、付款方式：</w:t>
      </w:r>
      <w:r>
        <w:rPr>
          <w:rFonts w:ascii="宋体" w:hAnsi="宋体" w:eastAsia="宋体" w:cs="宋体"/>
          <w:bCs/>
          <w:color w:val="auto"/>
          <w:sz w:val="24"/>
          <w:szCs w:val="24"/>
          <w:highlight w:val="none"/>
        </w:rPr>
        <w:t>按北流市财政国库支付中心拨付程序支付。</w:t>
      </w:r>
    </w:p>
    <w:p>
      <w:pPr>
        <w:widowControl/>
        <w:spacing w:line="480" w:lineRule="auto"/>
        <w:jc w:val="left"/>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四</w:t>
      </w:r>
      <w:r>
        <w:rPr>
          <w:rFonts w:ascii="Times New Roman" w:hAnsi="宋体" w:eastAsia="宋体" w:cs="Times New Roman"/>
          <w:b/>
          <w:color w:val="auto"/>
          <w:sz w:val="24"/>
          <w:szCs w:val="24"/>
          <w:highlight w:val="none"/>
        </w:rPr>
        <w:t>、质量要求：</w:t>
      </w:r>
      <w:r>
        <w:rPr>
          <w:rFonts w:ascii="Times New Roman" w:hAnsi="宋体" w:eastAsia="宋体" w:cs="Times New Roman"/>
          <w:color w:val="auto"/>
          <w:sz w:val="24"/>
          <w:szCs w:val="24"/>
          <w:highlight w:val="none"/>
        </w:rPr>
        <w:t>合格</w:t>
      </w:r>
    </w:p>
    <w:p>
      <w:pPr>
        <w:spacing w:line="480" w:lineRule="auto"/>
        <w:rPr>
          <w:rFonts w:ascii="宋体" w:hAnsi="宋体" w:eastAsia="宋体" w:cs="Times New Roman"/>
          <w:color w:val="auto"/>
          <w:sz w:val="24"/>
          <w:szCs w:val="24"/>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p>
    <w:p>
      <w:pPr>
        <w:keepNext/>
        <w:spacing w:line="560" w:lineRule="exact"/>
        <w:outlineLvl w:val="0"/>
        <w:rPr>
          <w:rFonts w:ascii="方正隶书简体" w:hAnsi="宋体" w:eastAsia="方正隶书简体" w:cs="Times New Roman"/>
          <w:b/>
          <w:bCs/>
          <w:color w:val="auto"/>
          <w:sz w:val="44"/>
          <w:szCs w:val="24"/>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p>
    <w:p>
      <w:pPr>
        <w:rPr>
          <w:rFonts w:ascii="方正隶书简体" w:hAnsi="宋体" w:eastAsia="方正隶书简体" w:cs="Times New Roman"/>
          <w:b/>
          <w:bCs/>
          <w:color w:val="auto"/>
          <w:sz w:val="44"/>
          <w:szCs w:val="24"/>
          <w:highlight w:val="none"/>
        </w:rPr>
      </w:pPr>
      <w:r>
        <w:rPr>
          <w:rFonts w:ascii="方正隶书简体" w:hAnsi="宋体" w:eastAsia="方正隶书简体" w:cs="Times New Roman"/>
          <w:b/>
          <w:bCs/>
          <w:color w:val="auto"/>
          <w:sz w:val="44"/>
          <w:szCs w:val="24"/>
          <w:highlight w:val="none"/>
        </w:rPr>
        <w:br w:type="page"/>
      </w:r>
    </w:p>
    <w:p>
      <w:pPr>
        <w:pStyle w:val="17"/>
        <w:rPr>
          <w:color w:val="auto"/>
          <w:highlight w:val="none"/>
        </w:rPr>
      </w:pPr>
    </w:p>
    <w:p>
      <w:pPr>
        <w:rPr>
          <w:rFonts w:ascii="方正隶书简体" w:hAnsi="宋体" w:eastAsia="方正隶书简体" w:cs="Times New Roman"/>
          <w:bCs/>
          <w:color w:val="auto"/>
          <w:sz w:val="44"/>
          <w:szCs w:val="24"/>
          <w:highlight w:val="none"/>
        </w:rPr>
      </w:pPr>
    </w:p>
    <w:p>
      <w:pPr>
        <w:tabs>
          <w:tab w:val="center" w:pos="4153"/>
          <w:tab w:val="right" w:pos="8306"/>
        </w:tabs>
        <w:snapToGrid w:val="0"/>
        <w:jc w:val="left"/>
        <w:rPr>
          <w:rFonts w:ascii="宋体" w:hAnsi="Courier New" w:eastAsia="宋体" w:cs="Times New Roman"/>
          <w:color w:val="auto"/>
          <w:sz w:val="18"/>
          <w:szCs w:val="20"/>
          <w:highlight w:val="none"/>
        </w:rPr>
      </w:pPr>
    </w:p>
    <w:p>
      <w:pPr>
        <w:keepNext/>
        <w:spacing w:line="560" w:lineRule="exact"/>
        <w:jc w:val="center"/>
        <w:outlineLvl w:val="0"/>
        <w:rPr>
          <w:rFonts w:ascii="宋体" w:hAnsi="宋体" w:eastAsia="宋体" w:cs="宋体"/>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bookmarkStart w:id="348" w:name="_Toc89333251"/>
      <w:bookmarkStart w:id="349" w:name="_Toc88065593"/>
      <w:r>
        <w:rPr>
          <w:rFonts w:hint="eastAsia" w:ascii="方正隶书简体" w:hAnsi="宋体" w:eastAsia="方正隶书简体" w:cs="Times New Roman"/>
          <w:b/>
          <w:bCs/>
          <w:color w:val="auto"/>
          <w:sz w:val="36"/>
          <w:szCs w:val="36"/>
          <w:highlight w:val="none"/>
        </w:rPr>
        <w:t>第四章  工程量清单（另册）</w:t>
      </w:r>
      <w:bookmarkEnd w:id="348"/>
      <w:bookmarkEnd w:id="349"/>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spacing w:line="400" w:lineRule="exact"/>
        <w:ind w:left="6"/>
        <w:rPr>
          <w:rFonts w:ascii="宋体" w:hAnsi="宋体" w:eastAsia="宋体" w:cs="Times New Roman"/>
          <w:b/>
          <w:bCs/>
          <w:color w:val="auto"/>
          <w:szCs w:val="21"/>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bookmarkStart w:id="350" w:name="_Toc185702587"/>
      <w:bookmarkStart w:id="351" w:name="_Toc239839916"/>
      <w:bookmarkStart w:id="352" w:name="_Toc147248435"/>
      <w:bookmarkStart w:id="353" w:name="_Toc156106970"/>
      <w:bookmarkStart w:id="354" w:name="_Toc185703009"/>
    </w:p>
    <w:p>
      <w:pPr>
        <w:keepNext/>
        <w:spacing w:line="560" w:lineRule="exact"/>
        <w:jc w:val="center"/>
        <w:outlineLvl w:val="0"/>
        <w:rPr>
          <w:rFonts w:ascii="方正隶书简体" w:hAnsi="宋体" w:eastAsia="方正隶书简体" w:cs="Times New Roman"/>
          <w:b/>
          <w:bCs/>
          <w:color w:val="auto"/>
          <w:sz w:val="44"/>
          <w:szCs w:val="24"/>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p>
    <w:p>
      <w:pPr>
        <w:keepNext/>
        <w:spacing w:line="560" w:lineRule="exact"/>
        <w:jc w:val="center"/>
        <w:outlineLvl w:val="0"/>
        <w:rPr>
          <w:rFonts w:ascii="方正隶书简体" w:hAnsi="宋体" w:eastAsia="方正隶书简体" w:cs="Times New Roman"/>
          <w:b/>
          <w:bCs/>
          <w:color w:val="auto"/>
          <w:sz w:val="44"/>
          <w:szCs w:val="24"/>
          <w:highlight w:val="none"/>
        </w:rPr>
      </w:pPr>
    </w:p>
    <w:p>
      <w:pPr>
        <w:jc w:val="left"/>
        <w:rPr>
          <w:rFonts w:ascii="方正隶书简体" w:hAnsi="宋体" w:eastAsia="方正隶书简体" w:cs="Times New Roman"/>
          <w:color w:val="auto"/>
          <w:spacing w:val="10"/>
          <w:sz w:val="44"/>
          <w:szCs w:val="24"/>
          <w:highlight w:val="none"/>
        </w:rPr>
      </w:pPr>
    </w:p>
    <w:p>
      <w:pPr>
        <w:keepNext/>
        <w:spacing w:line="560" w:lineRule="exact"/>
        <w:outlineLvl w:val="0"/>
        <w:rPr>
          <w:rFonts w:ascii="宋体" w:hAnsi="宋体" w:eastAsia="宋体" w:cs="宋体"/>
          <w:b/>
          <w:bCs/>
          <w:color w:val="auto"/>
          <w:sz w:val="36"/>
          <w:szCs w:val="36"/>
          <w:highlight w:val="none"/>
        </w:rPr>
      </w:pPr>
    </w:p>
    <w:p>
      <w:pPr>
        <w:rPr>
          <w:rFonts w:ascii="Times New Roman" w:hAnsi="Times New Roman" w:eastAsia="宋体" w:cs="Times New Roman"/>
          <w:color w:val="auto"/>
          <w:szCs w:val="24"/>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bookmarkStart w:id="355" w:name="_Toc88065594"/>
      <w:r>
        <w:rPr>
          <w:rFonts w:ascii="方正隶书简体" w:hAnsi="宋体" w:eastAsia="方正隶书简体" w:cs="Times New Roman"/>
          <w:b/>
          <w:bCs/>
          <w:color w:val="auto"/>
          <w:sz w:val="36"/>
          <w:szCs w:val="36"/>
          <w:highlight w:val="none"/>
        </w:rPr>
        <w:br w:type="page"/>
      </w:r>
      <w:bookmarkStart w:id="356" w:name="_Toc89333252"/>
      <w:r>
        <w:rPr>
          <w:rFonts w:hint="eastAsia" w:ascii="方正隶书简体" w:hAnsi="宋体" w:eastAsia="方正隶书简体" w:cs="Times New Roman"/>
          <w:b/>
          <w:bCs/>
          <w:color w:val="auto"/>
          <w:sz w:val="36"/>
          <w:szCs w:val="36"/>
          <w:highlight w:val="none"/>
        </w:rPr>
        <w:t>第五章   采购合同（格式）</w:t>
      </w:r>
      <w:bookmarkEnd w:id="350"/>
      <w:bookmarkEnd w:id="351"/>
      <w:bookmarkEnd w:id="352"/>
      <w:bookmarkEnd w:id="353"/>
      <w:bookmarkEnd w:id="354"/>
      <w:bookmarkEnd w:id="355"/>
      <w:bookmarkEnd w:id="356"/>
    </w:p>
    <w:p>
      <w:pPr>
        <w:spacing w:line="400" w:lineRule="exact"/>
        <w:ind w:firstLine="4" w:firstLineChars="2"/>
        <w:rPr>
          <w:rFonts w:ascii="宋体" w:hAnsi="宋体" w:eastAsia="宋体" w:cs="Times New Roman"/>
          <w:b/>
          <w:bCs/>
          <w:color w:val="auto"/>
          <w:szCs w:val="21"/>
          <w:highlight w:val="none"/>
        </w:rPr>
      </w:pPr>
    </w:p>
    <w:p>
      <w:pPr>
        <w:spacing w:line="400" w:lineRule="exact"/>
        <w:ind w:firstLine="4" w:firstLineChars="2"/>
        <w:rPr>
          <w:rFonts w:ascii="宋体" w:hAnsi="宋体" w:eastAsia="宋体" w:cs="Times New Roman"/>
          <w:b/>
          <w:bCs/>
          <w:color w:val="auto"/>
          <w:sz w:val="24"/>
          <w:szCs w:val="24"/>
          <w:highlight w:val="none"/>
        </w:rPr>
      </w:pPr>
      <w:r>
        <w:rPr>
          <w:rFonts w:ascii="宋体" w:hAnsi="宋体" w:eastAsia="宋体" w:cs="Times New Roman"/>
          <w:b/>
          <w:bCs/>
          <w:color w:val="auto"/>
          <w:szCs w:val="21"/>
          <w:highlight w:val="none"/>
        </w:rPr>
        <w:cr/>
      </w:r>
      <w:r>
        <w:rPr>
          <w:rFonts w:ascii="宋体" w:hAnsi="宋体" w:eastAsia="宋体" w:cs="Times New Roman"/>
          <w:b/>
          <w:bCs/>
          <w:color w:val="auto"/>
          <w:sz w:val="24"/>
          <w:szCs w:val="24"/>
          <w:highlight w:val="none"/>
        </w:rPr>
        <w:t>（注：本合同样本仅供参考，具体内容由采购人和成交人协商确定，但补充和修改不得造成与本章格式内容有实质性的违背。）</w:t>
      </w:r>
    </w:p>
    <w:p>
      <w:pPr>
        <w:spacing w:line="200" w:lineRule="exact"/>
        <w:ind w:firstLine="420"/>
        <w:rPr>
          <w:rFonts w:ascii="宋体" w:hAnsi="Courier New" w:eastAsia="宋体" w:cs="Times New Roman"/>
          <w:b/>
          <w:color w:val="auto"/>
          <w:sz w:val="32"/>
          <w:szCs w:val="21"/>
          <w:highlight w:val="none"/>
        </w:rPr>
      </w:pPr>
      <w:r>
        <w:rPr>
          <w:rFonts w:ascii="宋体" w:hAnsi="宋体" w:eastAsia="宋体" w:cs="Times New Roman"/>
          <w:b/>
          <w:bCs/>
          <w:color w:val="auto"/>
          <w:szCs w:val="21"/>
          <w:highlight w:val="none"/>
        </w:rPr>
        <w:cr/>
      </w:r>
      <w:r>
        <w:rPr>
          <w:rFonts w:ascii="宋体" w:hAnsi="宋体" w:eastAsia="宋体" w:cs="Times New Roman"/>
          <w:b/>
          <w:bCs/>
          <w:color w:val="auto"/>
          <w:szCs w:val="21"/>
          <w:highlight w:val="none"/>
        </w:rPr>
        <w:cr/>
      </w:r>
      <w:r>
        <w:rPr>
          <w:rFonts w:ascii="宋体" w:hAnsi="Courier New" w:eastAsia="宋体" w:cs="Times New Roman"/>
          <w:b/>
          <w:color w:val="auto"/>
          <w:sz w:val="32"/>
          <w:szCs w:val="21"/>
          <w:highlight w:val="none"/>
        </w:rPr>
        <w:br w:type="page"/>
      </w:r>
    </w:p>
    <w:p>
      <w:pPr>
        <w:spacing w:line="200" w:lineRule="exact"/>
        <w:ind w:firstLine="420"/>
        <w:rPr>
          <w:rFonts w:ascii="宋体" w:hAnsi="Courier New" w:eastAsia="宋体" w:cs="Times New Roman"/>
          <w:b/>
          <w:color w:val="auto"/>
          <w:sz w:val="28"/>
          <w:szCs w:val="28"/>
          <w:highlight w:val="none"/>
        </w:rPr>
      </w:pPr>
    </w:p>
    <w:p>
      <w:pPr>
        <w:keepNext/>
        <w:jc w:val="center"/>
        <w:outlineLvl w:val="0"/>
        <w:rPr>
          <w:rFonts w:ascii="宋体" w:hAnsi="宋体" w:eastAsia="宋体" w:cs="Times New Roman"/>
          <w:b/>
          <w:color w:val="auto"/>
          <w:sz w:val="28"/>
          <w:szCs w:val="28"/>
          <w:highlight w:val="none"/>
        </w:rPr>
      </w:pPr>
      <w:bookmarkStart w:id="357" w:name="_Toc395382491"/>
      <w:bookmarkStart w:id="358" w:name="_Toc389065255"/>
      <w:bookmarkStart w:id="359" w:name="_Toc296503025"/>
      <w:bookmarkStart w:id="360" w:name="_Toc89333253"/>
      <w:bookmarkStart w:id="361" w:name="_Toc296890982"/>
      <w:bookmarkStart w:id="362" w:name="_Toc351203480"/>
      <w:bookmarkStart w:id="363" w:name="_Toc373478199"/>
      <w:bookmarkStart w:id="364" w:name="_Toc88065595"/>
      <w:bookmarkStart w:id="365" w:name="_Toc89333005"/>
      <w:bookmarkStart w:id="366" w:name="_Toc373227552"/>
      <w:r>
        <w:rPr>
          <w:rFonts w:ascii="宋体" w:hAnsi="宋体" w:eastAsia="宋体" w:cs="Times New Roman"/>
          <w:b/>
          <w:color w:val="auto"/>
          <w:sz w:val="28"/>
          <w:szCs w:val="28"/>
          <w:highlight w:val="none"/>
        </w:rPr>
        <w:t>第一</w:t>
      </w:r>
      <w:r>
        <w:rPr>
          <w:rFonts w:hint="eastAsia" w:ascii="宋体" w:hAnsi="宋体" w:eastAsia="宋体" w:cs="Times New Roman"/>
          <w:b/>
          <w:color w:val="auto"/>
          <w:sz w:val="28"/>
          <w:szCs w:val="28"/>
          <w:highlight w:val="none"/>
        </w:rPr>
        <w:t>部分</w:t>
      </w:r>
      <w:r>
        <w:rPr>
          <w:rFonts w:ascii="宋体" w:hAnsi="宋体" w:eastAsia="宋体" w:cs="Times New Roman"/>
          <w:b/>
          <w:color w:val="auto"/>
          <w:sz w:val="28"/>
          <w:szCs w:val="28"/>
          <w:highlight w:val="none"/>
        </w:rPr>
        <w:t xml:space="preserve"> 合同协议书</w:t>
      </w:r>
      <w:bookmarkEnd w:id="357"/>
      <w:bookmarkEnd w:id="358"/>
      <w:bookmarkEnd w:id="359"/>
      <w:bookmarkEnd w:id="360"/>
      <w:bookmarkEnd w:id="361"/>
      <w:bookmarkEnd w:id="362"/>
      <w:bookmarkEnd w:id="363"/>
      <w:bookmarkEnd w:id="364"/>
      <w:bookmarkEnd w:id="365"/>
      <w:bookmarkEnd w:id="366"/>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w:t>
      </w:r>
    </w:p>
    <w:p>
      <w:pPr>
        <w:spacing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w:t>
      </w:r>
    </w:p>
    <w:p>
      <w:pPr>
        <w:pStyle w:val="17"/>
        <w:rPr>
          <w:color w:val="auto"/>
          <w:highlight w:val="none"/>
        </w:rPr>
      </w:pPr>
      <w:r>
        <w:rPr>
          <w:rFonts w:hint="eastAsia" w:ascii="宋体" w:hAnsi="宋体" w:cs="宋体"/>
          <w:color w:val="auto"/>
          <w:sz w:val="24"/>
          <w:highlight w:val="none"/>
        </w:rPr>
        <w:t>本合同为中小企业预留合同：（</w:t>
      </w:r>
      <w:r>
        <w:rPr>
          <w:rFonts w:hint="eastAsia" w:ascii="宋体" w:hAnsi="宋体" w:cs="宋体"/>
          <w:color w:val="auto"/>
          <w:sz w:val="24"/>
          <w:highlight w:val="none"/>
          <w:lang w:eastAsia="zh-CN"/>
        </w:rPr>
        <w:t>☑</w:t>
      </w:r>
      <w:r>
        <w:rPr>
          <w:rFonts w:hint="eastAsia" w:ascii="宋体" w:hAnsi="宋体" w:cs="宋体"/>
          <w:color w:val="auto"/>
          <w:sz w:val="24"/>
          <w:highlight w:val="none"/>
        </w:rPr>
        <w:t>是□否）</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bookmarkStart w:id="367" w:name="_Toc351203481"/>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bookmarkEnd w:id="367"/>
    </w:p>
    <w:p>
      <w:pPr>
        <w:spacing w:line="360" w:lineRule="auto"/>
        <w:ind w:firstLine="470" w:firstLineChars="196"/>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 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工程承包范围：</w:t>
      </w:r>
    </w:p>
    <w:p>
      <w:pPr>
        <w:spacing w:line="360" w:lineRule="auto"/>
        <w:ind w:firstLine="463" w:firstLineChars="19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spacing w:line="360" w:lineRule="auto"/>
        <w:ind w:firstLine="465" w:firstLineChars="193"/>
        <w:rPr>
          <w:rFonts w:ascii="宋体" w:hAnsi="宋体" w:eastAsia="宋体" w:cs="宋体"/>
          <w:b/>
          <w:bCs/>
          <w:color w:val="auto"/>
          <w:sz w:val="24"/>
          <w:szCs w:val="24"/>
          <w:highlight w:val="none"/>
        </w:rPr>
      </w:pPr>
      <w:bookmarkStart w:id="368" w:name="_Toc351203482"/>
      <w:r>
        <w:rPr>
          <w:rFonts w:hint="eastAsia" w:ascii="宋体" w:hAnsi="宋体" w:eastAsia="宋体" w:cs="宋体"/>
          <w:b/>
          <w:bCs/>
          <w:color w:val="auto"/>
          <w:sz w:val="24"/>
          <w:szCs w:val="24"/>
          <w:highlight w:val="none"/>
        </w:rPr>
        <w:t>二、合同工期</w:t>
      </w:r>
      <w:bookmarkEnd w:id="368"/>
    </w:p>
    <w:p>
      <w:pPr>
        <w:spacing w:line="360" w:lineRule="auto"/>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spacing w:line="360" w:lineRule="auto"/>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spacing w:line="360" w:lineRule="auto"/>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pPr>
        <w:spacing w:line="360" w:lineRule="auto"/>
        <w:ind w:firstLine="459"/>
        <w:rPr>
          <w:rFonts w:ascii="宋体" w:hAnsi="宋体" w:eastAsia="宋体" w:cs="宋体"/>
          <w:b/>
          <w:bCs/>
          <w:color w:val="auto"/>
          <w:sz w:val="24"/>
          <w:szCs w:val="24"/>
          <w:highlight w:val="none"/>
        </w:rPr>
      </w:pPr>
      <w:bookmarkStart w:id="369" w:name="_Toc351203483"/>
      <w:r>
        <w:rPr>
          <w:rFonts w:hint="eastAsia" w:ascii="宋体" w:hAnsi="宋体" w:eastAsia="宋体" w:cs="宋体"/>
          <w:b/>
          <w:bCs/>
          <w:color w:val="auto"/>
          <w:sz w:val="24"/>
          <w:szCs w:val="24"/>
          <w:highlight w:val="none"/>
        </w:rPr>
        <w:t>三、质量标准</w:t>
      </w:r>
      <w:bookmarkEnd w:id="369"/>
    </w:p>
    <w:p>
      <w:pPr>
        <w:spacing w:line="360" w:lineRule="auto"/>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pPr>
        <w:spacing w:line="360" w:lineRule="auto"/>
        <w:ind w:firstLine="459"/>
        <w:rPr>
          <w:rFonts w:ascii="宋体" w:hAnsi="宋体" w:eastAsia="宋体" w:cs="宋体"/>
          <w:b/>
          <w:bCs/>
          <w:color w:val="auto"/>
          <w:sz w:val="24"/>
          <w:szCs w:val="24"/>
          <w:highlight w:val="none"/>
        </w:rPr>
      </w:pPr>
      <w:bookmarkStart w:id="370" w:name="_Toc351203484"/>
      <w:r>
        <w:rPr>
          <w:rFonts w:hint="eastAsia" w:ascii="宋体" w:hAnsi="宋体" w:eastAsia="宋体" w:cs="宋体"/>
          <w:b/>
          <w:bCs/>
          <w:color w:val="auto"/>
          <w:sz w:val="24"/>
          <w:szCs w:val="24"/>
          <w:highlight w:val="none"/>
        </w:rPr>
        <w:t>四、签约合同价与合同价格形式</w:t>
      </w:r>
      <w:bookmarkEnd w:id="370"/>
    </w:p>
    <w:p>
      <w:pPr>
        <w:spacing w:line="360" w:lineRule="auto"/>
        <w:ind w:firstLine="4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签约合同价为：</w:t>
      </w:r>
    </w:p>
    <w:p>
      <w:pPr>
        <w:spacing w:line="360" w:lineRule="auto"/>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（1）建安劳保费：</w:t>
      </w:r>
    </w:p>
    <w:p>
      <w:pPr>
        <w:spacing w:line="360" w:lineRule="auto"/>
        <w:ind w:left="420" w:leftChars="200"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（2）安全文明施工费：</w:t>
      </w:r>
    </w:p>
    <w:p>
      <w:pPr>
        <w:spacing w:line="360" w:lineRule="auto"/>
        <w:ind w:left="420" w:leftChars="200"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（3）材料和工程设备暂估价金额：</w:t>
      </w:r>
    </w:p>
    <w:p>
      <w:pPr>
        <w:spacing w:line="360" w:lineRule="auto"/>
        <w:ind w:firstLine="1080" w:firstLine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（4）专业工程暂估价金额：</w:t>
      </w:r>
    </w:p>
    <w:p>
      <w:pPr>
        <w:spacing w:line="360" w:lineRule="auto"/>
        <w:ind w:firstLine="1080" w:firstLine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（5）暂列金额：</w:t>
      </w:r>
    </w:p>
    <w:p>
      <w:pPr>
        <w:spacing w:line="360" w:lineRule="auto"/>
        <w:ind w:firstLine="1080" w:firstLine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合同价格形式：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2" w:firstLineChars="200"/>
        <w:rPr>
          <w:rFonts w:ascii="宋体" w:hAnsi="宋体" w:eastAsia="宋体" w:cs="宋体"/>
          <w:b/>
          <w:bCs/>
          <w:color w:val="auto"/>
          <w:sz w:val="24"/>
          <w:szCs w:val="24"/>
          <w:highlight w:val="none"/>
        </w:rPr>
      </w:pPr>
      <w:bookmarkStart w:id="371" w:name="_Toc351203485"/>
      <w:r>
        <w:rPr>
          <w:rFonts w:hint="eastAsia" w:ascii="宋体" w:hAnsi="宋体" w:eastAsia="宋体" w:cs="宋体"/>
          <w:b/>
          <w:bCs/>
          <w:color w:val="auto"/>
          <w:sz w:val="24"/>
          <w:szCs w:val="24"/>
          <w:highlight w:val="none"/>
        </w:rPr>
        <w:t>五、</w:t>
      </w:r>
      <w:bookmarkEnd w:id="371"/>
      <w:r>
        <w:rPr>
          <w:rFonts w:hint="eastAsia" w:ascii="宋体" w:hAnsi="宋体" w:eastAsia="宋体" w:cs="宋体"/>
          <w:b/>
          <w:bCs/>
          <w:color w:val="auto"/>
          <w:sz w:val="24"/>
          <w:szCs w:val="24"/>
          <w:highlight w:val="none"/>
        </w:rPr>
        <w:t>项目经理</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spacing w:line="360" w:lineRule="auto"/>
        <w:ind w:firstLine="482" w:firstLineChars="200"/>
        <w:rPr>
          <w:rFonts w:ascii="宋体" w:hAnsi="宋体" w:eastAsia="宋体" w:cs="宋体"/>
          <w:b/>
          <w:bCs/>
          <w:color w:val="auto"/>
          <w:sz w:val="24"/>
          <w:szCs w:val="24"/>
          <w:highlight w:val="none"/>
        </w:rPr>
      </w:pPr>
      <w:bookmarkStart w:id="372" w:name="_Toc351203486"/>
      <w:r>
        <w:rPr>
          <w:rFonts w:hint="eastAsia" w:ascii="宋体" w:hAnsi="宋体" w:eastAsia="宋体" w:cs="宋体"/>
          <w:b/>
          <w:bCs/>
          <w:color w:val="auto"/>
          <w:sz w:val="24"/>
          <w:szCs w:val="24"/>
          <w:highlight w:val="none"/>
        </w:rPr>
        <w:t>六、合同文件构成</w:t>
      </w:r>
      <w:bookmarkEnd w:id="372"/>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（1）成交通知书（如果有）；</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（2）磋商函及其附录（如果有）； </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（6）已标价工程量清单或预算书； </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82" w:firstLineChars="200"/>
        <w:rPr>
          <w:rFonts w:ascii="宋体" w:hAnsi="宋体" w:eastAsia="宋体" w:cs="宋体"/>
          <w:b/>
          <w:bCs/>
          <w:color w:val="auto"/>
          <w:sz w:val="24"/>
          <w:szCs w:val="24"/>
          <w:highlight w:val="none"/>
        </w:rPr>
      </w:pPr>
      <w:bookmarkStart w:id="373" w:name="_Toc351203487"/>
      <w:r>
        <w:rPr>
          <w:rFonts w:hint="eastAsia" w:ascii="宋体" w:hAnsi="宋体" w:eastAsia="宋体" w:cs="宋体"/>
          <w:b/>
          <w:bCs/>
          <w:color w:val="auto"/>
          <w:sz w:val="24"/>
          <w:szCs w:val="24"/>
          <w:highlight w:val="none"/>
        </w:rPr>
        <w:t>七、承诺</w:t>
      </w:r>
      <w:bookmarkEnd w:id="373"/>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发包人承诺按照法律规定履行项目审批手续、筹集工程建设资金并按照合同约定的期限和方式支付合同价款。</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发包人和承包人通过招磋商形式签订合同的，双方理解并承诺不再就同一工程另行签订与合同实质性内容相背离的协议。</w:t>
      </w:r>
      <w:bookmarkStart w:id="374" w:name="_Toc351203488"/>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八、词语含义</w:t>
      </w:r>
      <w:bookmarkEnd w:id="374"/>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spacing w:line="360" w:lineRule="auto"/>
        <w:ind w:firstLine="482" w:firstLineChars="200"/>
        <w:rPr>
          <w:rFonts w:ascii="宋体" w:hAnsi="宋体" w:eastAsia="宋体" w:cs="宋体"/>
          <w:b/>
          <w:bCs/>
          <w:color w:val="auto"/>
          <w:sz w:val="24"/>
          <w:szCs w:val="24"/>
          <w:highlight w:val="none"/>
        </w:rPr>
      </w:pPr>
      <w:bookmarkStart w:id="375" w:name="_Toc351203489"/>
      <w:r>
        <w:rPr>
          <w:rFonts w:hint="eastAsia" w:ascii="宋体" w:hAnsi="宋体" w:eastAsia="宋体" w:cs="宋体"/>
          <w:b/>
          <w:bCs/>
          <w:color w:val="auto"/>
          <w:sz w:val="24"/>
          <w:szCs w:val="24"/>
          <w:highlight w:val="none"/>
        </w:rPr>
        <w:t>九、签订时间</w:t>
      </w:r>
      <w:bookmarkEnd w:id="375"/>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spacing w:line="360" w:lineRule="auto"/>
        <w:ind w:firstLine="482" w:firstLineChars="200"/>
        <w:rPr>
          <w:rFonts w:ascii="宋体" w:hAnsi="宋体" w:eastAsia="宋体" w:cs="宋体"/>
          <w:b/>
          <w:bCs/>
          <w:color w:val="auto"/>
          <w:sz w:val="24"/>
          <w:szCs w:val="24"/>
          <w:highlight w:val="none"/>
        </w:rPr>
      </w:pPr>
      <w:bookmarkStart w:id="376" w:name="_Toc351203490"/>
      <w:r>
        <w:rPr>
          <w:rFonts w:hint="eastAsia" w:ascii="宋体" w:hAnsi="宋体" w:eastAsia="宋体" w:cs="宋体"/>
          <w:b/>
          <w:bCs/>
          <w:color w:val="auto"/>
          <w:sz w:val="24"/>
          <w:szCs w:val="24"/>
          <w:highlight w:val="none"/>
        </w:rPr>
        <w:t>十、签订地点</w:t>
      </w:r>
      <w:bookmarkEnd w:id="376"/>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spacing w:line="360" w:lineRule="auto"/>
        <w:ind w:firstLine="482" w:firstLineChars="200"/>
        <w:rPr>
          <w:rFonts w:ascii="宋体" w:hAnsi="宋体" w:eastAsia="宋体" w:cs="宋体"/>
          <w:b/>
          <w:bCs/>
          <w:color w:val="auto"/>
          <w:sz w:val="24"/>
          <w:szCs w:val="24"/>
          <w:highlight w:val="none"/>
        </w:rPr>
      </w:pPr>
      <w:bookmarkStart w:id="377" w:name="_Toc351203491"/>
      <w:r>
        <w:rPr>
          <w:rFonts w:hint="eastAsia" w:ascii="宋体" w:hAnsi="宋体" w:eastAsia="宋体" w:cs="宋体"/>
          <w:b/>
          <w:bCs/>
          <w:color w:val="auto"/>
          <w:sz w:val="24"/>
          <w:szCs w:val="24"/>
          <w:highlight w:val="none"/>
        </w:rPr>
        <w:t>十一、补充协议</w:t>
      </w:r>
      <w:bookmarkEnd w:id="377"/>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spacing w:line="360" w:lineRule="auto"/>
        <w:ind w:firstLine="482" w:firstLineChars="200"/>
        <w:rPr>
          <w:rFonts w:ascii="宋体" w:hAnsi="宋体" w:eastAsia="宋体" w:cs="宋体"/>
          <w:b/>
          <w:bCs/>
          <w:color w:val="auto"/>
          <w:sz w:val="24"/>
          <w:szCs w:val="24"/>
          <w:highlight w:val="none"/>
        </w:rPr>
      </w:pPr>
      <w:bookmarkStart w:id="378" w:name="_Toc351203492"/>
      <w:r>
        <w:rPr>
          <w:rFonts w:hint="eastAsia" w:ascii="宋体" w:hAnsi="宋体" w:eastAsia="宋体" w:cs="宋体"/>
          <w:b/>
          <w:bCs/>
          <w:color w:val="auto"/>
          <w:sz w:val="24"/>
          <w:szCs w:val="24"/>
          <w:highlight w:val="none"/>
        </w:rPr>
        <w:t>十二、合同生效</w:t>
      </w:r>
      <w:bookmarkEnd w:id="378"/>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pPr>
        <w:numPr>
          <w:ilvl w:val="0"/>
          <w:numId w:val="1"/>
        </w:numPr>
        <w:spacing w:line="360" w:lineRule="auto"/>
        <w:ind w:firstLine="482" w:firstLineChars="200"/>
        <w:rPr>
          <w:rFonts w:ascii="宋体" w:hAnsi="宋体" w:eastAsia="宋体" w:cs="宋体"/>
          <w:color w:val="auto"/>
          <w:sz w:val="24"/>
          <w:szCs w:val="24"/>
          <w:highlight w:val="none"/>
        </w:rPr>
      </w:pPr>
      <w:bookmarkStart w:id="379" w:name="_Toc351203493"/>
      <w:r>
        <w:rPr>
          <w:rFonts w:hint="eastAsia" w:ascii="宋体" w:hAnsi="宋体" w:eastAsia="宋体" w:cs="宋体"/>
          <w:b/>
          <w:bCs/>
          <w:color w:val="auto"/>
          <w:sz w:val="24"/>
          <w:szCs w:val="24"/>
          <w:highlight w:val="none"/>
        </w:rPr>
        <w:t>合同份数</w:t>
      </w:r>
      <w:bookmarkEnd w:id="379"/>
    </w:p>
    <w:p>
      <w:pPr>
        <w:tabs>
          <w:tab w:val="center" w:pos="4153"/>
          <w:tab w:val="right" w:pos="8306"/>
        </w:tabs>
        <w:snapToGrid w:val="0"/>
        <w:jc w:val="left"/>
        <w:rPr>
          <w:rFonts w:ascii="宋体" w:hAnsi="宋体" w:eastAsia="宋体" w:cs="宋体"/>
          <w:b/>
          <w:bCs/>
          <w:color w:val="auto"/>
          <w:sz w:val="24"/>
          <w:szCs w:val="24"/>
          <w:highlight w:val="none"/>
        </w:rPr>
      </w:pPr>
    </w:p>
    <w:p>
      <w:pPr>
        <w:tabs>
          <w:tab w:val="center" w:pos="4153"/>
          <w:tab w:val="right" w:pos="8306"/>
        </w:tabs>
        <w:snapToGrid w:val="0"/>
        <w:jc w:val="left"/>
        <w:rPr>
          <w:rFonts w:ascii="宋体" w:hAnsi="宋体" w:eastAsia="宋体" w:cs="宋体"/>
          <w:b/>
          <w:bCs/>
          <w:color w:val="auto"/>
          <w:sz w:val="24"/>
          <w:szCs w:val="24"/>
          <w:highlight w:val="none"/>
        </w:rPr>
      </w:pP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pacing w:line="360" w:lineRule="auto"/>
        <w:rPr>
          <w:rFonts w:ascii="宋体" w:hAnsi="宋体" w:eastAsia="宋体" w:cs="宋体"/>
          <w:bCs/>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pPr>
        <w:spacing w:line="360" w:lineRule="auto"/>
        <w:rPr>
          <w:rFonts w:ascii="宋体" w:hAnsi="宋体" w:eastAsia="宋体" w:cs="宋体"/>
          <w:color w:val="auto"/>
          <w:sz w:val="24"/>
          <w:szCs w:val="24"/>
          <w:highlight w:val="none"/>
          <w:u w:val="single"/>
        </w:rPr>
      </w:pPr>
    </w:p>
    <w:p>
      <w:pPr>
        <w:tabs>
          <w:tab w:val="left" w:pos="4410"/>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pPr>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br w:type="page"/>
      </w:r>
    </w:p>
    <w:p>
      <w:pPr>
        <w:keepNext/>
        <w:jc w:val="center"/>
        <w:outlineLvl w:val="0"/>
        <w:rPr>
          <w:rFonts w:ascii="宋体" w:hAnsi="宋体" w:eastAsia="宋体" w:cs="Times New Roman"/>
          <w:b/>
          <w:color w:val="auto"/>
          <w:sz w:val="24"/>
          <w:szCs w:val="24"/>
          <w:highlight w:val="none"/>
        </w:rPr>
      </w:pPr>
      <w:bookmarkStart w:id="380" w:name="_Toc89333006"/>
      <w:bookmarkStart w:id="381" w:name="_Toc7716"/>
      <w:bookmarkStart w:id="382" w:name="_Toc527311272"/>
      <w:bookmarkStart w:id="383" w:name="_Toc88065596"/>
      <w:bookmarkStart w:id="384" w:name="_Toc89333254"/>
      <w:bookmarkStart w:id="385" w:name="_Toc395382492"/>
      <w:bookmarkStart w:id="386" w:name="_Toc389065256"/>
      <w:bookmarkStart w:id="387" w:name="_Toc373227691"/>
      <w:bookmarkStart w:id="388" w:name="_Toc351203632"/>
      <w:bookmarkStart w:id="389" w:name="_Toc373478338"/>
      <w:r>
        <w:rPr>
          <w:rFonts w:hint="eastAsia" w:ascii="宋体" w:hAnsi="宋体" w:eastAsia="宋体" w:cs="Times New Roman"/>
          <w:b/>
          <w:color w:val="auto"/>
          <w:sz w:val="24"/>
          <w:szCs w:val="24"/>
          <w:highlight w:val="none"/>
        </w:rPr>
        <w:t>第二部分 通用</w:t>
      </w:r>
      <w:r>
        <w:rPr>
          <w:rFonts w:ascii="宋体" w:hAnsi="宋体" w:eastAsia="宋体" w:cs="Times New Roman"/>
          <w:b/>
          <w:color w:val="auto"/>
          <w:sz w:val="24"/>
          <w:szCs w:val="24"/>
          <w:highlight w:val="none"/>
        </w:rPr>
        <w:t>合同条款</w:t>
      </w:r>
      <w:bookmarkEnd w:id="380"/>
      <w:bookmarkEnd w:id="381"/>
      <w:bookmarkEnd w:id="382"/>
      <w:bookmarkEnd w:id="383"/>
      <w:bookmarkEnd w:id="384"/>
      <w:bookmarkEnd w:id="385"/>
      <w:bookmarkEnd w:id="386"/>
    </w:p>
    <w:p>
      <w:pPr>
        <w:spacing w:line="360" w:lineRule="auto"/>
        <w:ind w:firstLine="480" w:firstLineChars="200"/>
        <w:rPr>
          <w:rFonts w:ascii="宋体" w:hAnsi="宋体" w:eastAsia="宋体" w:cs="Times New Roman"/>
          <w:color w:val="auto"/>
          <w:sz w:val="24"/>
          <w:szCs w:val="24"/>
          <w:highlight w:val="none"/>
        </w:rPr>
      </w:pPr>
    </w:p>
    <w:p>
      <w:pPr>
        <w:ind w:firstLine="482" w:firstLineChars="20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采用《</w:t>
      </w:r>
      <w:r>
        <w:rPr>
          <w:rFonts w:ascii="宋体" w:hAnsi="宋体" w:eastAsia="宋体" w:cs="Times New Roman"/>
          <w:b/>
          <w:color w:val="auto"/>
          <w:sz w:val="24"/>
          <w:szCs w:val="24"/>
          <w:highlight w:val="none"/>
        </w:rPr>
        <w:t>建设工程施工合同（示范文本）</w:t>
      </w:r>
      <w:r>
        <w:rPr>
          <w:rFonts w:hint="eastAsia" w:ascii="宋体" w:hAnsi="宋体" w:eastAsia="宋体" w:cs="Times New Roman"/>
          <w:b/>
          <w:color w:val="auto"/>
          <w:sz w:val="24"/>
          <w:szCs w:val="24"/>
          <w:highlight w:val="none"/>
        </w:rPr>
        <w:t>》</w:t>
      </w:r>
      <w:r>
        <w:rPr>
          <w:rFonts w:ascii="宋体" w:hAnsi="宋体" w:eastAsia="宋体" w:cs="Times New Roman"/>
          <w:b/>
          <w:color w:val="auto"/>
          <w:sz w:val="24"/>
          <w:szCs w:val="24"/>
          <w:highlight w:val="none"/>
        </w:rPr>
        <w:t>（GF—201</w:t>
      </w:r>
      <w:r>
        <w:rPr>
          <w:rFonts w:hint="eastAsia" w:ascii="宋体" w:hAnsi="宋体" w:eastAsia="宋体" w:cs="Times New Roman"/>
          <w:b/>
          <w:color w:val="auto"/>
          <w:sz w:val="24"/>
          <w:szCs w:val="24"/>
          <w:highlight w:val="none"/>
        </w:rPr>
        <w:t>7</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0201）。</w:t>
      </w:r>
    </w:p>
    <w:p>
      <w:pPr>
        <w:jc w:val="center"/>
        <w:outlineLvl w:val="0"/>
        <w:rPr>
          <w:rFonts w:ascii="宋体" w:hAnsi="宋体" w:eastAsia="宋体" w:cs="Times New Roman"/>
          <w:b/>
          <w:color w:val="auto"/>
          <w:sz w:val="24"/>
          <w:szCs w:val="24"/>
          <w:highlight w:val="none"/>
        </w:rPr>
      </w:pPr>
    </w:p>
    <w:p>
      <w:pPr>
        <w:jc w:val="center"/>
        <w:outlineLvl w:val="0"/>
        <w:rPr>
          <w:rFonts w:ascii="宋体" w:hAnsi="宋体" w:eastAsia="宋体" w:cs="Times New Roman"/>
          <w:b/>
          <w:color w:val="auto"/>
          <w:sz w:val="24"/>
          <w:szCs w:val="24"/>
          <w:highlight w:val="none"/>
        </w:rPr>
      </w:pPr>
      <w:bookmarkStart w:id="390" w:name="_Toc88065597"/>
      <w:bookmarkStart w:id="391" w:name="_Toc89333255"/>
      <w:bookmarkStart w:id="392" w:name="_Toc527311273"/>
      <w:bookmarkStart w:id="393" w:name="_Toc395382493"/>
      <w:bookmarkStart w:id="394" w:name="_Toc89333007"/>
      <w:bookmarkStart w:id="395" w:name="_Toc389065257"/>
      <w:bookmarkStart w:id="396" w:name="_Toc2504"/>
      <w:r>
        <w:rPr>
          <w:rFonts w:ascii="宋体" w:hAnsi="宋体" w:eastAsia="宋体" w:cs="Times New Roman"/>
          <w:b/>
          <w:color w:val="auto"/>
          <w:sz w:val="24"/>
          <w:szCs w:val="24"/>
          <w:highlight w:val="none"/>
        </w:rPr>
        <w:t>第</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部分 专用合同条款</w:t>
      </w:r>
      <w:bookmarkEnd w:id="387"/>
      <w:bookmarkEnd w:id="388"/>
      <w:bookmarkEnd w:id="389"/>
      <w:bookmarkEnd w:id="390"/>
      <w:bookmarkEnd w:id="391"/>
      <w:bookmarkEnd w:id="392"/>
      <w:bookmarkEnd w:id="393"/>
      <w:bookmarkEnd w:id="394"/>
      <w:bookmarkEnd w:id="395"/>
      <w:bookmarkEnd w:id="396"/>
    </w:p>
    <w:p>
      <w:pPr>
        <w:keepNext/>
        <w:keepLines/>
        <w:spacing w:before="260" w:after="260"/>
        <w:outlineLvl w:val="1"/>
        <w:rPr>
          <w:rFonts w:ascii="宋体" w:hAnsi="宋体" w:eastAsia="宋体" w:cs="Times New Roman"/>
          <w:b/>
          <w:bCs/>
          <w:color w:val="auto"/>
          <w:sz w:val="24"/>
          <w:szCs w:val="24"/>
          <w:highlight w:val="none"/>
        </w:rPr>
      </w:pPr>
      <w:bookmarkStart w:id="397" w:name="_Toc351203633"/>
      <w:bookmarkStart w:id="398" w:name="_Toc373227692"/>
      <w:bookmarkStart w:id="399" w:name="_Toc89333256"/>
      <w:bookmarkStart w:id="400" w:name="_Toc373478339"/>
      <w:bookmarkStart w:id="401" w:name="_Toc389065258"/>
      <w:bookmarkStart w:id="402" w:name="_Toc27445"/>
      <w:bookmarkStart w:id="403" w:name="_Toc527311274"/>
      <w:bookmarkStart w:id="404" w:name="_Toc89333008"/>
      <w:bookmarkStart w:id="405" w:name="_Toc88065598"/>
      <w:bookmarkStart w:id="406" w:name="_Toc395382494"/>
      <w:r>
        <w:rPr>
          <w:rFonts w:ascii="宋体" w:hAnsi="宋体" w:eastAsia="宋体" w:cs="Times New Roman"/>
          <w:b/>
          <w:bCs/>
          <w:color w:val="auto"/>
          <w:sz w:val="24"/>
          <w:szCs w:val="24"/>
          <w:highlight w:val="none"/>
        </w:rPr>
        <w:t>1</w:t>
      </w:r>
      <w:bookmarkStart w:id="407" w:name="_Toc296890984"/>
      <w:bookmarkStart w:id="408" w:name="_Toc296346657"/>
      <w:bookmarkStart w:id="409" w:name="_Toc297120456"/>
      <w:bookmarkStart w:id="410" w:name="_Toc296347155"/>
      <w:bookmarkStart w:id="411" w:name="_Toc296891196"/>
      <w:bookmarkStart w:id="412" w:name="_Toc297048342"/>
      <w:bookmarkStart w:id="413" w:name="_Toc292559361"/>
      <w:bookmarkStart w:id="414" w:name="_Toc292559866"/>
      <w:bookmarkStart w:id="415" w:name="_Toc296503156"/>
      <w:bookmarkStart w:id="416" w:name="_Toc296944495"/>
      <w:r>
        <w:rPr>
          <w:rFonts w:ascii="宋体" w:hAnsi="宋体" w:eastAsia="宋体" w:cs="Times New Roman"/>
          <w:b/>
          <w:bCs/>
          <w:color w:val="auto"/>
          <w:sz w:val="24"/>
          <w:szCs w:val="24"/>
          <w:highlight w:val="none"/>
        </w:rPr>
        <w:t>. 一般约定</w:t>
      </w:r>
      <w:bookmarkEnd w:id="397"/>
      <w:bookmarkEnd w:id="398"/>
      <w:bookmarkEnd w:id="399"/>
      <w:bookmarkEnd w:id="400"/>
      <w:bookmarkEnd w:id="401"/>
      <w:bookmarkEnd w:id="402"/>
      <w:bookmarkEnd w:id="403"/>
      <w:bookmarkEnd w:id="404"/>
      <w:bookmarkEnd w:id="405"/>
      <w:bookmarkEnd w:id="406"/>
    </w:p>
    <w:bookmarkEnd w:id="407"/>
    <w:bookmarkEnd w:id="408"/>
    <w:bookmarkEnd w:id="409"/>
    <w:bookmarkEnd w:id="410"/>
    <w:bookmarkEnd w:id="411"/>
    <w:bookmarkEnd w:id="412"/>
    <w:bookmarkEnd w:id="413"/>
    <w:bookmarkEnd w:id="414"/>
    <w:bookmarkEnd w:id="415"/>
    <w:bookmarkEnd w:id="416"/>
    <w:p>
      <w:pPr>
        <w:keepNext/>
        <w:keepLines/>
        <w:spacing w:before="260" w:after="260"/>
        <w:outlineLvl w:val="2"/>
        <w:rPr>
          <w:rFonts w:ascii="Times New Roman" w:hAnsi="Times New Roman" w:eastAsia="宋体" w:cs="Times New Roman"/>
          <w:b/>
          <w:bCs/>
          <w:color w:val="auto"/>
          <w:sz w:val="24"/>
          <w:szCs w:val="24"/>
          <w:highlight w:val="none"/>
        </w:rPr>
      </w:pPr>
      <w:bookmarkStart w:id="417" w:name="_Toc373478340"/>
      <w:bookmarkStart w:id="418" w:name="_Toc89333257"/>
      <w:bookmarkStart w:id="419" w:name="_Toc27541"/>
      <w:bookmarkStart w:id="420" w:name="_Toc395382495"/>
      <w:bookmarkStart w:id="421" w:name="_Toc527311275"/>
      <w:bookmarkStart w:id="422" w:name="_Toc89333009"/>
      <w:bookmarkStart w:id="423" w:name="_Toc373227693"/>
      <w:bookmarkStart w:id="424" w:name="_Toc389065259"/>
      <w:bookmarkStart w:id="425" w:name="_Toc88065599"/>
      <w:r>
        <w:rPr>
          <w:rFonts w:ascii="Times New Roman" w:hAnsi="Times New Roman" w:eastAsia="宋体" w:cs="Times New Roman"/>
          <w:b/>
          <w:bCs/>
          <w:color w:val="auto"/>
          <w:sz w:val="24"/>
          <w:szCs w:val="24"/>
          <w:highlight w:val="none"/>
        </w:rPr>
        <w:t>1.1 词语定义</w:t>
      </w:r>
      <w:bookmarkEnd w:id="417"/>
      <w:bookmarkEnd w:id="418"/>
      <w:bookmarkEnd w:id="419"/>
      <w:bookmarkEnd w:id="420"/>
      <w:bookmarkEnd w:id="421"/>
      <w:bookmarkEnd w:id="422"/>
      <w:bookmarkEnd w:id="423"/>
      <w:bookmarkEnd w:id="424"/>
      <w:bookmarkEnd w:id="425"/>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合同</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1.1.1.10</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其他合同文件包括：</w:t>
      </w:r>
      <w:r>
        <w:rPr>
          <w:rFonts w:ascii="宋体" w:hAnsi="宋体" w:eastAsia="宋体" w:cs="Times New Roman"/>
          <w:color w:val="auto"/>
          <w:sz w:val="24"/>
          <w:szCs w:val="24"/>
          <w:highlight w:val="none"/>
          <w:u w:val="single"/>
        </w:rPr>
        <w:t xml:space="preserve">                                                </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 合同当事人及其他相关方</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1.1.2.4</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监理人：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名    称：</w:t>
      </w:r>
      <w:r>
        <w:rPr>
          <w:rFonts w:ascii="宋体" w:hAnsi="宋体" w:eastAsia="宋体" w:cs="Times New Roman"/>
          <w:color w:val="auto"/>
          <w:sz w:val="24"/>
          <w:szCs w:val="24"/>
          <w:highlight w:val="none"/>
          <w:u w:val="single"/>
        </w:rPr>
        <w:t xml:space="preserve">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资质类别和等级：</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电子信箱：</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通信地址：</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1.1.2.5 设计人：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名    称：</w:t>
      </w:r>
      <w:r>
        <w:rPr>
          <w:rFonts w:ascii="宋体" w:hAnsi="宋体" w:eastAsia="宋体" w:cs="Times New Roman"/>
          <w:color w:val="auto"/>
          <w:sz w:val="24"/>
          <w:szCs w:val="24"/>
          <w:highlight w:val="none"/>
          <w:u w:val="single"/>
        </w:rPr>
        <w:t xml:space="preserve">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资质类别和等级：</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电子信箱：</w:t>
      </w:r>
      <w:r>
        <w:rPr>
          <w:rFonts w:ascii="宋体" w:hAnsi="宋体" w:eastAsia="宋体" w:cs="Times New Roman"/>
          <w:color w:val="auto"/>
          <w:sz w:val="24"/>
          <w:szCs w:val="24"/>
          <w:highlight w:val="none"/>
          <w:u w:val="single"/>
        </w:rPr>
        <w:t xml:space="preserve">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通信地址：</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 工程和设备</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1.1.3.7 作为施工现场组成部分的其他场所包括：</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1.1.3.9 永久占地包括：</w:t>
      </w:r>
      <w:r>
        <w:rPr>
          <w:rFonts w:ascii="宋体" w:hAnsi="宋体" w:eastAsia="宋体" w:cs="Times New Roman"/>
          <w:color w:val="auto"/>
          <w:sz w:val="24"/>
          <w:szCs w:val="24"/>
          <w:highlight w:val="none"/>
          <w:u w:val="single"/>
        </w:rPr>
        <w:t xml:space="preserve">           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1.1.3.10 临时占地包括：</w:t>
      </w:r>
      <w:r>
        <w:rPr>
          <w:rFonts w:ascii="宋体" w:hAnsi="宋体" w:eastAsia="宋体" w:cs="Times New Roman"/>
          <w:color w:val="auto"/>
          <w:sz w:val="24"/>
          <w:szCs w:val="24"/>
          <w:highlight w:val="none"/>
          <w:u w:val="single"/>
        </w:rPr>
        <w:t xml:space="preserve">                      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26" w:name="_Toc1906"/>
      <w:bookmarkStart w:id="427" w:name="_Toc389065260"/>
      <w:bookmarkStart w:id="428" w:name="_Toc527311276"/>
      <w:bookmarkStart w:id="429" w:name="_Toc88065600"/>
      <w:bookmarkStart w:id="430" w:name="_Toc395382496"/>
      <w:bookmarkStart w:id="431" w:name="_Toc89333010"/>
      <w:bookmarkStart w:id="432" w:name="_Toc89333258"/>
      <w:bookmarkStart w:id="433" w:name="_Toc373227694"/>
      <w:bookmarkStart w:id="434" w:name="_Toc373478341"/>
      <w:r>
        <w:rPr>
          <w:rFonts w:ascii="Times New Roman" w:hAnsi="Times New Roman" w:eastAsia="宋体" w:cs="Times New Roman"/>
          <w:b/>
          <w:bCs/>
          <w:color w:val="auto"/>
          <w:sz w:val="24"/>
          <w:szCs w:val="24"/>
          <w:highlight w:val="none"/>
        </w:rPr>
        <w:t>1.3 法律</w:t>
      </w:r>
      <w:bookmarkEnd w:id="426"/>
      <w:bookmarkEnd w:id="427"/>
      <w:bookmarkEnd w:id="428"/>
      <w:bookmarkEnd w:id="429"/>
      <w:bookmarkEnd w:id="430"/>
      <w:bookmarkEnd w:id="431"/>
      <w:bookmarkEnd w:id="432"/>
      <w:bookmarkEnd w:id="433"/>
      <w:bookmarkEnd w:id="434"/>
    </w:p>
    <w:p>
      <w:pPr>
        <w:autoSpaceDE w:val="0"/>
        <w:autoSpaceDN w:val="0"/>
        <w:adjustRightInd w:val="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适用于合同的其他规范性文件：</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35" w:name="_Toc373227695"/>
      <w:bookmarkStart w:id="436" w:name="_Toc89333259"/>
      <w:bookmarkStart w:id="437" w:name="_Toc389065261"/>
      <w:bookmarkStart w:id="438" w:name="_Toc88065601"/>
      <w:bookmarkStart w:id="439" w:name="_Toc31760"/>
      <w:bookmarkStart w:id="440" w:name="_Toc395382497"/>
      <w:bookmarkStart w:id="441" w:name="_Toc89333011"/>
      <w:bookmarkStart w:id="442" w:name="_Toc527311277"/>
      <w:bookmarkStart w:id="443" w:name="_Toc373478342"/>
      <w:r>
        <w:rPr>
          <w:rFonts w:ascii="Times New Roman" w:hAnsi="Times New Roman" w:eastAsia="宋体" w:cs="Times New Roman"/>
          <w:b/>
          <w:bCs/>
          <w:color w:val="auto"/>
          <w:sz w:val="24"/>
          <w:szCs w:val="24"/>
          <w:highlight w:val="none"/>
        </w:rPr>
        <w:t>1.4 标准和规范</w:t>
      </w:r>
      <w:bookmarkEnd w:id="435"/>
      <w:bookmarkEnd w:id="436"/>
      <w:bookmarkEnd w:id="437"/>
      <w:bookmarkEnd w:id="438"/>
      <w:bookmarkEnd w:id="439"/>
      <w:bookmarkEnd w:id="440"/>
      <w:bookmarkEnd w:id="441"/>
      <w:bookmarkEnd w:id="442"/>
      <w:bookmarkEnd w:id="443"/>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适用于工程的标准规范包括：</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 发包人提供国外标准、规范的名称：</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发包人提供国外标准、规范的份数：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发包人提供国外标准、规范的名称：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1.4.3</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发包人对工程的技术标准和功能要求的特殊要求：</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44" w:name="_Toc89333012"/>
      <w:bookmarkStart w:id="445" w:name="_Toc373478343"/>
      <w:bookmarkStart w:id="446" w:name="_Toc89333260"/>
      <w:bookmarkStart w:id="447" w:name="_Toc373227696"/>
      <w:bookmarkStart w:id="448" w:name="_Toc10246"/>
      <w:bookmarkStart w:id="449" w:name="_Toc527311278"/>
      <w:bookmarkStart w:id="450" w:name="_Toc395382498"/>
      <w:bookmarkStart w:id="451" w:name="_Toc88065602"/>
      <w:bookmarkStart w:id="452" w:name="_Toc389065262"/>
      <w:r>
        <w:rPr>
          <w:rFonts w:ascii="Times New Roman" w:hAnsi="Times New Roman" w:eastAsia="宋体" w:cs="Times New Roman"/>
          <w:b/>
          <w:bCs/>
          <w:color w:val="auto"/>
          <w:sz w:val="24"/>
          <w:szCs w:val="24"/>
          <w:highlight w:val="none"/>
        </w:rPr>
        <w:t>1.5 合同文件的优先顺序</w:t>
      </w:r>
      <w:bookmarkEnd w:id="444"/>
      <w:bookmarkEnd w:id="445"/>
      <w:bookmarkEnd w:id="446"/>
      <w:bookmarkEnd w:id="447"/>
      <w:bookmarkEnd w:id="448"/>
      <w:bookmarkEnd w:id="449"/>
      <w:bookmarkEnd w:id="450"/>
      <w:bookmarkEnd w:id="451"/>
      <w:bookmarkEnd w:id="452"/>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合同文件组成及优先顺序为：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w:t>
      </w:r>
      <w:r>
        <w:rPr>
          <w:rFonts w:ascii="宋体" w:hAnsi="宋体" w:eastAsia="宋体" w:cs="Times New Roman"/>
          <w:color w:val="auto"/>
          <w:sz w:val="24"/>
          <w:szCs w:val="24"/>
          <w:highlight w:val="none"/>
        </w:rPr>
        <w:t>通知书（如果有）；</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（2）磋商函及其附录（如果有）；</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（3）专用合同条款及其附件；</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（4）通用合同条款；</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建设工程工程量清单计价规范（GB5050-2013）</w:t>
      </w:r>
      <w:r>
        <w:rPr>
          <w:rFonts w:hint="eastAsia" w:ascii="宋体" w:hAnsi="宋体" w:eastAsia="宋体" w:cs="Times New Roman"/>
          <w:color w:val="auto"/>
          <w:sz w:val="24"/>
          <w:szCs w:val="24"/>
          <w:highlight w:val="none"/>
        </w:rPr>
        <w:t>》及其</w:t>
      </w:r>
      <w:r>
        <w:rPr>
          <w:rFonts w:ascii="宋体" w:hAnsi="宋体" w:eastAsia="宋体" w:cs="Times New Roman"/>
          <w:color w:val="auto"/>
          <w:sz w:val="24"/>
          <w:szCs w:val="24"/>
          <w:highlight w:val="none"/>
        </w:rPr>
        <w:t>广西实施细则</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建设工程工程量清单计</w:t>
      </w:r>
      <w:r>
        <w:rPr>
          <w:rFonts w:hint="eastAsia" w:ascii="宋体" w:hAnsi="宋体" w:eastAsia="宋体" w:cs="Times New Roman"/>
          <w:color w:val="auto"/>
          <w:sz w:val="24"/>
          <w:szCs w:val="24"/>
          <w:highlight w:val="none"/>
        </w:rPr>
        <w:t>算</w:t>
      </w:r>
      <w:r>
        <w:rPr>
          <w:rFonts w:ascii="宋体" w:hAnsi="宋体" w:eastAsia="宋体" w:cs="Times New Roman"/>
          <w:color w:val="auto"/>
          <w:sz w:val="24"/>
          <w:szCs w:val="24"/>
          <w:highlight w:val="none"/>
        </w:rPr>
        <w:t>规范（GB5</w:t>
      </w:r>
      <w:r>
        <w:rPr>
          <w:rFonts w:hint="eastAsia" w:ascii="宋体" w:hAnsi="宋体" w:eastAsia="宋体" w:cs="Times New Roman"/>
          <w:color w:val="auto"/>
          <w:sz w:val="24"/>
          <w:szCs w:val="24"/>
          <w:highlight w:val="none"/>
        </w:rPr>
        <w:t>854~50862</w:t>
      </w:r>
      <w:r>
        <w:rPr>
          <w:rFonts w:ascii="宋体" w:hAnsi="宋体" w:eastAsia="宋体" w:cs="Times New Roman"/>
          <w:color w:val="auto"/>
          <w:sz w:val="24"/>
          <w:szCs w:val="24"/>
          <w:highlight w:val="none"/>
        </w:rPr>
        <w:t>-2013）</w:t>
      </w:r>
      <w:r>
        <w:rPr>
          <w:rFonts w:hint="eastAsia" w:ascii="宋体" w:hAnsi="宋体" w:eastAsia="宋体" w:cs="Times New Roman"/>
          <w:color w:val="auto"/>
          <w:sz w:val="24"/>
          <w:szCs w:val="24"/>
          <w:highlight w:val="none"/>
        </w:rPr>
        <w:t>》及其</w:t>
      </w:r>
      <w:r>
        <w:rPr>
          <w:rFonts w:ascii="宋体" w:hAnsi="宋体" w:eastAsia="宋体" w:cs="Times New Roman"/>
          <w:color w:val="auto"/>
          <w:sz w:val="24"/>
          <w:szCs w:val="24"/>
          <w:highlight w:val="none"/>
        </w:rPr>
        <w:t>广西实施细则。</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说明：</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8</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填空内容分别限于技术标准和要求、图纸、已标价工程量清单</w:t>
      </w:r>
      <w:r>
        <w:rPr>
          <w:rFonts w:hint="eastAsia" w:ascii="宋体" w:hAnsi="宋体" w:eastAsia="宋体" w:cs="Times New Roman"/>
          <w:color w:val="auto"/>
          <w:sz w:val="24"/>
          <w:szCs w:val="24"/>
          <w:highlight w:val="none"/>
        </w:rPr>
        <w:t>或预算书、</w:t>
      </w:r>
      <w:r>
        <w:rPr>
          <w:rFonts w:ascii="宋体" w:hAnsi="宋体" w:eastAsia="宋体" w:cs="Times New Roman"/>
          <w:color w:val="auto"/>
          <w:sz w:val="24"/>
          <w:szCs w:val="24"/>
          <w:highlight w:val="none"/>
        </w:rPr>
        <w:t>其他合同文件</w:t>
      </w:r>
      <w:r>
        <w:rPr>
          <w:rFonts w:hint="eastAsia" w:ascii="宋体" w:hAnsi="宋体" w:eastAsia="宋体" w:cs="Times New Roman"/>
          <w:color w:val="auto"/>
          <w:sz w:val="24"/>
          <w:szCs w:val="24"/>
          <w:highlight w:val="none"/>
        </w:rPr>
        <w:t>四</w:t>
      </w:r>
      <w:r>
        <w:rPr>
          <w:rFonts w:ascii="宋体" w:hAnsi="宋体" w:eastAsia="宋体" w:cs="Times New Roman"/>
          <w:color w:val="auto"/>
          <w:sz w:val="24"/>
          <w:szCs w:val="24"/>
          <w:highlight w:val="none"/>
        </w:rPr>
        <w:t>者之一</w:t>
      </w:r>
      <w:r>
        <w:rPr>
          <w:rFonts w:hint="eastAsia" w:ascii="宋体" w:hAnsi="宋体" w:eastAsia="宋体" w:cs="Times New Roman"/>
          <w:color w:val="auto"/>
          <w:sz w:val="24"/>
          <w:szCs w:val="24"/>
          <w:highlight w:val="none"/>
        </w:rPr>
        <w:t>，其优先顺序可根据采取的不同合同方式由双方约定</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53" w:name="_Toc389065263"/>
      <w:bookmarkStart w:id="454" w:name="_Toc8040"/>
      <w:bookmarkStart w:id="455" w:name="_Toc89333013"/>
      <w:bookmarkStart w:id="456" w:name="_Toc373227697"/>
      <w:bookmarkStart w:id="457" w:name="_Toc89333261"/>
      <w:bookmarkStart w:id="458" w:name="_Toc395382499"/>
      <w:bookmarkStart w:id="459" w:name="_Toc373478344"/>
      <w:bookmarkStart w:id="460" w:name="_Toc88065603"/>
      <w:bookmarkStart w:id="461" w:name="_Toc527311279"/>
      <w:r>
        <w:rPr>
          <w:rFonts w:ascii="Times New Roman" w:hAnsi="Times New Roman" w:eastAsia="宋体" w:cs="Times New Roman"/>
          <w:b/>
          <w:bCs/>
          <w:color w:val="auto"/>
          <w:sz w:val="24"/>
          <w:szCs w:val="24"/>
          <w:highlight w:val="none"/>
        </w:rPr>
        <w:t>1.6 图纸和承包人文件</w:t>
      </w:r>
      <w:bookmarkEnd w:id="453"/>
      <w:bookmarkEnd w:id="454"/>
      <w:bookmarkEnd w:id="455"/>
      <w:bookmarkEnd w:id="456"/>
      <w:bookmarkEnd w:id="457"/>
      <w:bookmarkEnd w:id="458"/>
      <w:bookmarkEnd w:id="459"/>
      <w:bookmarkEnd w:id="460"/>
      <w:bookmarkEnd w:id="461"/>
      <w:r>
        <w:rPr>
          <w:rFonts w:ascii="Times New Roman" w:hAnsi="Times New Roman" w:eastAsia="宋体" w:cs="Times New Roman"/>
          <w:b/>
          <w:bCs/>
          <w:color w:val="auto"/>
          <w:sz w:val="24"/>
          <w:szCs w:val="24"/>
          <w:highlight w:val="none"/>
        </w:rPr>
        <w:tab/>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 图纸的提供</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发包人向承包人提供图纸的期限：</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发包人向承包人提供图纸的数量：</w:t>
      </w:r>
      <w:r>
        <w:rPr>
          <w:rFonts w:ascii="宋体" w:hAnsi="宋体" w:eastAsia="宋体" w:cs="Times New Roman"/>
          <w:color w:val="auto"/>
          <w:sz w:val="24"/>
          <w:szCs w:val="24"/>
          <w:highlight w:val="none"/>
          <w:u w:val="single"/>
        </w:rPr>
        <w:t>套，承包人需要增加图纸套数的，发包人应代为复制，复制费用由承包人承担</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发包人向承包人提供图纸的内容：</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1.6.4 承包人文件</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需要由承包人提供的文件，包括：</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承包人提供的文件的期限为：</w:t>
      </w:r>
      <w:r>
        <w:rPr>
          <w:rFonts w:ascii="宋体" w:hAnsi="宋体" w:eastAsia="宋体" w:cs="Times New Roman"/>
          <w:color w:val="auto"/>
          <w:sz w:val="24"/>
          <w:szCs w:val="24"/>
          <w:highlight w:val="none"/>
          <w:u w:val="single"/>
        </w:rPr>
        <w:t xml:space="preserve">     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承包人提供的文件的数量为：</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承包人提供的文件的形式为：</w:t>
      </w:r>
      <w:r>
        <w:rPr>
          <w:rFonts w:ascii="宋体" w:hAnsi="宋体" w:eastAsia="宋体" w:cs="Times New Roman"/>
          <w:color w:val="auto"/>
          <w:sz w:val="24"/>
          <w:szCs w:val="24"/>
          <w:highlight w:val="none"/>
          <w:u w:val="single"/>
        </w:rPr>
        <w:t>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发包人审批承包人文件的期限：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1.6.5 现场图纸准备</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关于现场图纸准备的约定：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62" w:name="_Toc527311280"/>
      <w:bookmarkStart w:id="463" w:name="_Toc373478345"/>
      <w:bookmarkStart w:id="464" w:name="_Toc15715"/>
      <w:bookmarkStart w:id="465" w:name="_Toc89333262"/>
      <w:bookmarkStart w:id="466" w:name="_Toc395382500"/>
      <w:bookmarkStart w:id="467" w:name="_Toc373227698"/>
      <w:bookmarkStart w:id="468" w:name="_Toc88065604"/>
      <w:bookmarkStart w:id="469" w:name="_Toc89333014"/>
      <w:bookmarkStart w:id="470" w:name="_Toc389065264"/>
      <w:r>
        <w:rPr>
          <w:rFonts w:ascii="Times New Roman" w:hAnsi="Times New Roman" w:eastAsia="宋体" w:cs="Times New Roman"/>
          <w:b/>
          <w:bCs/>
          <w:color w:val="auto"/>
          <w:sz w:val="24"/>
          <w:szCs w:val="24"/>
          <w:highlight w:val="none"/>
        </w:rPr>
        <w:t>1.7 联络</w:t>
      </w:r>
      <w:bookmarkEnd w:id="462"/>
      <w:bookmarkEnd w:id="463"/>
      <w:bookmarkEnd w:id="464"/>
      <w:bookmarkEnd w:id="465"/>
      <w:bookmarkEnd w:id="466"/>
      <w:bookmarkEnd w:id="467"/>
      <w:bookmarkEnd w:id="468"/>
      <w:bookmarkEnd w:id="469"/>
      <w:bookmarkEnd w:id="470"/>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1.7.1发包人和承包人应当在</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天内将与合同有关的通知、批准、证明、证书、指示、指令、要求、请求、同意、意见、确定和决定等书面函件送达对方当事人。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1.7.2 发包人接收文件的地点：</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发包人指定的接收人为：</w:t>
      </w:r>
      <w:r>
        <w:rPr>
          <w:rFonts w:ascii="宋体" w:hAnsi="宋体" w:eastAsia="宋体" w:cs="Times New Roman"/>
          <w:color w:val="auto"/>
          <w:sz w:val="24"/>
          <w:szCs w:val="24"/>
          <w:highlight w:val="none"/>
          <w:u w:val="single"/>
        </w:rPr>
        <w:t> 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承包人接收文件的地点：</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承包人指定的接收人为：</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监理人接收文件的地点：</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监理人指定的接收人为：</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471" w:name="_Toc89333015"/>
      <w:bookmarkStart w:id="472" w:name="_Toc373227699"/>
      <w:bookmarkStart w:id="473" w:name="_Toc527311281"/>
      <w:bookmarkStart w:id="474" w:name="_Toc389065265"/>
      <w:bookmarkStart w:id="475" w:name="_Toc89333263"/>
      <w:bookmarkStart w:id="476" w:name="_Toc395382501"/>
      <w:bookmarkStart w:id="477" w:name="_Toc13628"/>
      <w:bookmarkStart w:id="478" w:name="_Toc88065605"/>
      <w:bookmarkStart w:id="479" w:name="_Toc373478346"/>
      <w:r>
        <w:rPr>
          <w:rFonts w:ascii="Times New Roman" w:hAnsi="Times New Roman" w:eastAsia="宋体" w:cs="Times New Roman"/>
          <w:b/>
          <w:bCs/>
          <w:color w:val="auto"/>
          <w:sz w:val="24"/>
          <w:szCs w:val="24"/>
          <w:highlight w:val="none"/>
        </w:rPr>
        <w:t>1.10 交通运输</w:t>
      </w:r>
      <w:bookmarkEnd w:id="471"/>
      <w:bookmarkEnd w:id="472"/>
      <w:bookmarkEnd w:id="473"/>
      <w:bookmarkEnd w:id="474"/>
      <w:bookmarkEnd w:id="475"/>
      <w:bookmarkEnd w:id="476"/>
      <w:bookmarkEnd w:id="477"/>
      <w:bookmarkEnd w:id="478"/>
      <w:bookmarkEnd w:id="479"/>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bookmarkStart w:id="480" w:name="_Toc304295521"/>
      <w:bookmarkStart w:id="481" w:name="_Toc318581155"/>
      <w:bookmarkStart w:id="482" w:name="_Toc303539100"/>
      <w:bookmarkStart w:id="483" w:name="_Toc312677986"/>
      <w:bookmarkStart w:id="484" w:name="_Toc300934943"/>
      <w:r>
        <w:rPr>
          <w:rFonts w:ascii="宋体" w:hAnsi="宋体" w:eastAsia="宋体" w:cs="Times New Roman"/>
          <w:color w:val="auto"/>
          <w:sz w:val="24"/>
          <w:szCs w:val="24"/>
          <w:highlight w:val="none"/>
        </w:rPr>
        <w:t>.10.1 出入现场的权利</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关于出入现场的权利的约定：</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bookmarkEnd w:id="480"/>
    <w:bookmarkEnd w:id="481"/>
    <w:bookmarkEnd w:id="482"/>
    <w:bookmarkEnd w:id="483"/>
    <w:bookmarkEnd w:id="484"/>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bookmarkStart w:id="485" w:name="_Toc304295522"/>
      <w:bookmarkStart w:id="486" w:name="_Toc318581156"/>
      <w:bookmarkStart w:id="487" w:name="_Toc303539101"/>
      <w:bookmarkStart w:id="488" w:name="_Toc300934944"/>
      <w:bookmarkStart w:id="489" w:name="_Toc312677987"/>
      <w:r>
        <w:rPr>
          <w:rFonts w:ascii="宋体" w:hAnsi="宋体" w:eastAsia="宋体" w:cs="Times New Roman"/>
          <w:color w:val="auto"/>
          <w:sz w:val="24"/>
          <w:szCs w:val="24"/>
          <w:highlight w:val="none"/>
        </w:rPr>
        <w:t>.10.3 场内交通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关于场外交通和场内交通的边界的约定：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关于发包人向承包人免费提供满足工程施工需要的场内道路和交通设施的约定：</w:t>
      </w:r>
      <w:r>
        <w:rPr>
          <w:rFonts w:ascii="宋体" w:hAnsi="宋体" w:eastAsia="宋体" w:cs="Times New Roman"/>
          <w:color w:val="auto"/>
          <w:sz w:val="24"/>
          <w:szCs w:val="24"/>
          <w:highlight w:val="none"/>
          <w:u w:val="single"/>
        </w:rPr>
        <w:t xml:space="preserve">            </w:t>
      </w:r>
      <w:r>
        <w:rPr>
          <w:rFonts w:ascii="宋体" w:hAnsi="宋体" w:eastAsia="宋体" w:cs="Times New Roman"/>
          <w:color w:val="auto"/>
          <w:sz w:val="24"/>
          <w:szCs w:val="24"/>
          <w:highlight w:val="none"/>
        </w:rPr>
        <w:t>。</w:t>
      </w:r>
      <w:bookmarkEnd w:id="485"/>
      <w:bookmarkEnd w:id="486"/>
      <w:bookmarkEnd w:id="487"/>
      <w:bookmarkEnd w:id="488"/>
      <w:bookmarkEnd w:id="489"/>
      <w:bookmarkStart w:id="490" w:name="_Toc318581157"/>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1.10.4</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超大件和超重件的运输</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运输超大件或超重件所需的道路和桥梁临时加固改造费用和其他有关费用由</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承担。</w:t>
      </w:r>
    </w:p>
    <w:bookmarkEnd w:id="490"/>
    <w:p>
      <w:pPr>
        <w:keepNext/>
        <w:keepLines/>
        <w:spacing w:before="260" w:after="260"/>
        <w:outlineLvl w:val="2"/>
        <w:rPr>
          <w:rFonts w:ascii="Times New Roman" w:hAnsi="Times New Roman" w:eastAsia="宋体" w:cs="Times New Roman"/>
          <w:b/>
          <w:bCs/>
          <w:color w:val="auto"/>
          <w:sz w:val="24"/>
          <w:szCs w:val="24"/>
          <w:highlight w:val="none"/>
        </w:rPr>
      </w:pPr>
      <w:bookmarkStart w:id="491" w:name="_Toc89333264"/>
      <w:bookmarkStart w:id="492" w:name="_Toc32194"/>
      <w:bookmarkStart w:id="493" w:name="_Toc373227700"/>
      <w:bookmarkStart w:id="494" w:name="_Toc89333016"/>
      <w:bookmarkStart w:id="495" w:name="_Toc395382502"/>
      <w:bookmarkStart w:id="496" w:name="_Toc389065266"/>
      <w:bookmarkStart w:id="497" w:name="_Toc373478347"/>
      <w:bookmarkStart w:id="498" w:name="_Toc88065606"/>
      <w:bookmarkStart w:id="499" w:name="_Toc527311282"/>
      <w:r>
        <w:rPr>
          <w:rFonts w:ascii="Times New Roman" w:hAnsi="Times New Roman" w:eastAsia="宋体" w:cs="Times New Roman"/>
          <w:b/>
          <w:bCs/>
          <w:color w:val="auto"/>
          <w:sz w:val="24"/>
          <w:szCs w:val="24"/>
          <w:highlight w:val="none"/>
        </w:rPr>
        <w:t>1.11 知识产权</w:t>
      </w:r>
      <w:bookmarkEnd w:id="491"/>
      <w:bookmarkEnd w:id="492"/>
      <w:bookmarkEnd w:id="493"/>
      <w:bookmarkEnd w:id="494"/>
      <w:bookmarkEnd w:id="495"/>
      <w:bookmarkEnd w:id="496"/>
      <w:bookmarkEnd w:id="497"/>
      <w:bookmarkEnd w:id="498"/>
      <w:bookmarkEnd w:id="499"/>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1.11.1</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关于发包人提供的上述文件的使用限制的要求：</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1.11.2 关于承包人为实施工程所编制文件的著作权的归属：</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关于承包人提供的上述文件的使用限制的要求：</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1.11.4 承包人在施工过程中所采用的专利、专有技术、技术秘密的使用费的承担方式：</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500" w:name="_Toc389065267"/>
      <w:bookmarkStart w:id="501" w:name="_Toc373478348"/>
      <w:bookmarkStart w:id="502" w:name="_Toc373227701"/>
      <w:bookmarkStart w:id="503" w:name="_Toc527311283"/>
      <w:bookmarkStart w:id="504" w:name="_Toc89333017"/>
      <w:bookmarkStart w:id="505" w:name="_Toc395382503"/>
      <w:bookmarkStart w:id="506" w:name="_Toc88065607"/>
      <w:bookmarkStart w:id="507" w:name="_Toc25518"/>
      <w:bookmarkStart w:id="508" w:name="_Toc89333265"/>
      <w:r>
        <w:rPr>
          <w:rFonts w:ascii="Times New Roman" w:hAnsi="Times New Roman" w:eastAsia="宋体" w:cs="Times New Roman"/>
          <w:b/>
          <w:bCs/>
          <w:color w:val="auto"/>
          <w:sz w:val="24"/>
          <w:szCs w:val="24"/>
          <w:highlight w:val="none"/>
        </w:rPr>
        <w:t>1.13工程量清单错误的修正</w:t>
      </w:r>
      <w:bookmarkEnd w:id="500"/>
      <w:bookmarkEnd w:id="501"/>
      <w:bookmarkEnd w:id="502"/>
      <w:bookmarkEnd w:id="503"/>
      <w:bookmarkEnd w:id="504"/>
      <w:bookmarkEnd w:id="505"/>
      <w:bookmarkEnd w:id="506"/>
      <w:bookmarkEnd w:id="507"/>
      <w:bookmarkEnd w:id="508"/>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出现工程量清单工程量偏差时，是否调整合同价格：</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允许调整合同价格的工程量偏差范围及其调整办法：</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509" w:name="_Toc527311284"/>
      <w:bookmarkStart w:id="510" w:name="_Toc395382504"/>
      <w:bookmarkStart w:id="511" w:name="_Toc89333018"/>
      <w:bookmarkStart w:id="512" w:name="_Toc351203634"/>
      <w:bookmarkStart w:id="513" w:name="_Toc88065608"/>
      <w:bookmarkStart w:id="514" w:name="_Toc373227702"/>
      <w:bookmarkStart w:id="515" w:name="_Toc17500"/>
      <w:bookmarkStart w:id="516" w:name="_Toc389065268"/>
      <w:bookmarkStart w:id="517" w:name="_Toc89333266"/>
      <w:bookmarkStart w:id="518" w:name="_Toc373478349"/>
      <w:r>
        <w:rPr>
          <w:rFonts w:ascii="宋体" w:hAnsi="宋体" w:eastAsia="宋体" w:cs="Times New Roman"/>
          <w:b/>
          <w:bCs/>
          <w:color w:val="auto"/>
          <w:sz w:val="24"/>
          <w:szCs w:val="24"/>
          <w:highlight w:val="none"/>
        </w:rPr>
        <w:t>2</w:t>
      </w:r>
      <w:bookmarkStart w:id="519" w:name="_Toc297120457"/>
      <w:bookmarkStart w:id="520" w:name="_Toc296503157"/>
      <w:bookmarkStart w:id="521" w:name="_Toc296891197"/>
      <w:bookmarkStart w:id="522" w:name="_Toc296347156"/>
      <w:bookmarkStart w:id="523" w:name="_Toc296346658"/>
      <w:bookmarkStart w:id="524" w:name="_Toc292559867"/>
      <w:bookmarkStart w:id="525" w:name="_Toc292559362"/>
      <w:bookmarkStart w:id="526" w:name="_Toc296890985"/>
      <w:bookmarkStart w:id="527" w:name="_Toc297048343"/>
      <w:bookmarkStart w:id="528" w:name="_Toc296944496"/>
      <w:r>
        <w:rPr>
          <w:rFonts w:ascii="宋体" w:hAnsi="宋体" w:eastAsia="宋体" w:cs="Times New Roman"/>
          <w:b/>
          <w:bCs/>
          <w:color w:val="auto"/>
          <w:sz w:val="24"/>
          <w:szCs w:val="24"/>
          <w:highlight w:val="none"/>
        </w:rPr>
        <w:t>. 发包人</w:t>
      </w:r>
      <w:bookmarkEnd w:id="509"/>
      <w:bookmarkEnd w:id="510"/>
      <w:bookmarkEnd w:id="511"/>
      <w:bookmarkEnd w:id="512"/>
      <w:bookmarkEnd w:id="513"/>
      <w:bookmarkEnd w:id="514"/>
      <w:bookmarkEnd w:id="515"/>
      <w:bookmarkEnd w:id="516"/>
      <w:bookmarkEnd w:id="517"/>
      <w:bookmarkEnd w:id="518"/>
    </w:p>
    <w:bookmarkEnd w:id="519"/>
    <w:bookmarkEnd w:id="520"/>
    <w:bookmarkEnd w:id="521"/>
    <w:bookmarkEnd w:id="522"/>
    <w:bookmarkEnd w:id="523"/>
    <w:bookmarkEnd w:id="524"/>
    <w:bookmarkEnd w:id="525"/>
    <w:bookmarkEnd w:id="526"/>
    <w:bookmarkEnd w:id="527"/>
    <w:bookmarkEnd w:id="528"/>
    <w:p>
      <w:pPr>
        <w:keepNext/>
        <w:keepLines/>
        <w:spacing w:before="260" w:after="260"/>
        <w:outlineLvl w:val="2"/>
        <w:rPr>
          <w:rFonts w:ascii="Times New Roman" w:hAnsi="Times New Roman" w:eastAsia="宋体" w:cs="Times New Roman"/>
          <w:b/>
          <w:bCs/>
          <w:color w:val="auto"/>
          <w:sz w:val="24"/>
          <w:szCs w:val="24"/>
          <w:highlight w:val="none"/>
        </w:rPr>
      </w:pPr>
      <w:bookmarkStart w:id="529" w:name="_Toc89333019"/>
      <w:bookmarkStart w:id="530" w:name="_Toc389065269"/>
      <w:bookmarkStart w:id="531" w:name="_Toc527311285"/>
      <w:bookmarkStart w:id="532" w:name="_Toc373227703"/>
      <w:bookmarkStart w:id="533" w:name="_Toc395382505"/>
      <w:bookmarkStart w:id="534" w:name="_Toc373478350"/>
      <w:bookmarkStart w:id="535" w:name="_Toc14382"/>
      <w:bookmarkStart w:id="536" w:name="_Toc88065609"/>
      <w:bookmarkStart w:id="537" w:name="_Toc89333267"/>
      <w:r>
        <w:rPr>
          <w:rFonts w:ascii="Times New Roman" w:hAnsi="Times New Roman" w:eastAsia="宋体" w:cs="Times New Roman"/>
          <w:b/>
          <w:bCs/>
          <w:color w:val="auto"/>
          <w:sz w:val="24"/>
          <w:szCs w:val="24"/>
          <w:highlight w:val="none"/>
        </w:rPr>
        <w:t>2.2 发包人代表</w:t>
      </w:r>
      <w:bookmarkEnd w:id="529"/>
      <w:bookmarkEnd w:id="530"/>
      <w:bookmarkEnd w:id="531"/>
      <w:bookmarkEnd w:id="532"/>
      <w:bookmarkEnd w:id="533"/>
      <w:bookmarkEnd w:id="534"/>
      <w:bookmarkEnd w:id="535"/>
      <w:bookmarkEnd w:id="536"/>
      <w:bookmarkEnd w:id="537"/>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发包人代表：</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姓    名：</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身份证号：</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    务：</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u w:val="single"/>
        </w:rPr>
        <w:t>  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电子信箱：</w:t>
      </w:r>
      <w:r>
        <w:rPr>
          <w:rFonts w:ascii="宋体" w:hAnsi="宋体" w:eastAsia="宋体" w:cs="Times New Roman"/>
          <w:color w:val="auto"/>
          <w:sz w:val="24"/>
          <w:szCs w:val="24"/>
          <w:highlight w:val="none"/>
          <w:u w:val="single"/>
        </w:rPr>
        <w:t>  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通信地址：</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发包人对发包人代表的授权范围如下：</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538" w:name="_Toc89333268"/>
      <w:bookmarkStart w:id="539" w:name="_Toc373478351"/>
      <w:bookmarkStart w:id="540" w:name="_Toc527311286"/>
      <w:bookmarkStart w:id="541" w:name="_Toc373227704"/>
      <w:bookmarkStart w:id="542" w:name="_Toc395382506"/>
      <w:bookmarkStart w:id="543" w:name="_Toc88065610"/>
      <w:bookmarkStart w:id="544" w:name="_Toc89333020"/>
      <w:bookmarkStart w:id="545" w:name="_Toc389065270"/>
      <w:bookmarkStart w:id="546" w:name="_Toc29589"/>
      <w:r>
        <w:rPr>
          <w:rFonts w:ascii="Times New Roman" w:hAnsi="Times New Roman" w:eastAsia="宋体" w:cs="Times New Roman"/>
          <w:b/>
          <w:bCs/>
          <w:color w:val="auto"/>
          <w:sz w:val="24"/>
          <w:szCs w:val="24"/>
          <w:highlight w:val="none"/>
        </w:rPr>
        <w:t>2.4 施工现场、施工条件和基础资料的提供</w:t>
      </w:r>
      <w:bookmarkEnd w:id="538"/>
      <w:bookmarkEnd w:id="539"/>
      <w:bookmarkEnd w:id="540"/>
      <w:bookmarkEnd w:id="541"/>
      <w:bookmarkEnd w:id="542"/>
      <w:bookmarkEnd w:id="543"/>
      <w:bookmarkEnd w:id="544"/>
      <w:bookmarkEnd w:id="545"/>
      <w:bookmarkEnd w:id="546"/>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2.4.1 提供施工现场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关于发包人移交施工现场的期限要求：</w:t>
      </w:r>
      <w:r>
        <w:rPr>
          <w:rFonts w:ascii="宋体" w:hAnsi="宋体" w:eastAsia="宋体" w:cs="Times New Roman"/>
          <w:color w:val="auto"/>
          <w:sz w:val="24"/>
          <w:szCs w:val="24"/>
          <w:highlight w:val="none"/>
          <w:u w:val="single"/>
        </w:rPr>
        <w:t xml:space="preserve">  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2.4.2 提供施工条件</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关于发包人应负责提供施工所需要的条件，包括：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547" w:name="_Toc373478352"/>
      <w:bookmarkStart w:id="548" w:name="_Toc373227705"/>
      <w:bookmarkStart w:id="549" w:name="_Toc527311287"/>
      <w:bookmarkStart w:id="550" w:name="_Toc395382507"/>
      <w:bookmarkStart w:id="551" w:name="_Toc89333269"/>
      <w:bookmarkStart w:id="552" w:name="_Toc389065271"/>
      <w:bookmarkStart w:id="553" w:name="_Toc88065611"/>
      <w:bookmarkStart w:id="554" w:name="_Toc89333021"/>
      <w:bookmarkStart w:id="555" w:name="_Toc13175"/>
      <w:r>
        <w:rPr>
          <w:rFonts w:ascii="Times New Roman" w:hAnsi="Times New Roman" w:eastAsia="宋体" w:cs="Times New Roman"/>
          <w:b/>
          <w:bCs/>
          <w:color w:val="auto"/>
          <w:sz w:val="24"/>
          <w:szCs w:val="24"/>
          <w:highlight w:val="none"/>
        </w:rPr>
        <w:t>2.5 资金来源证明及支付担保</w:t>
      </w:r>
      <w:bookmarkEnd w:id="547"/>
      <w:bookmarkEnd w:id="548"/>
      <w:bookmarkEnd w:id="549"/>
      <w:bookmarkEnd w:id="550"/>
      <w:bookmarkEnd w:id="551"/>
      <w:bookmarkEnd w:id="552"/>
      <w:bookmarkEnd w:id="553"/>
      <w:bookmarkEnd w:id="554"/>
      <w:bookmarkEnd w:id="555"/>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发包人提供资金来源证明的期限要求：</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发包人是否提供支付担保：</w:t>
      </w:r>
      <w:r>
        <w:rPr>
          <w:rFonts w:ascii="宋体" w:hAnsi="宋体" w:eastAsia="宋体" w:cs="Times New Roman"/>
          <w:color w:val="auto"/>
          <w:sz w:val="24"/>
          <w:szCs w:val="24"/>
          <w:highlight w:val="none"/>
          <w:u w:val="single"/>
        </w:rPr>
        <w:t xml:space="preserve">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发包人提供支付担保的形式：</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发包人提供的支付担保格式见合同附件2。</w:t>
      </w:r>
    </w:p>
    <w:p>
      <w:pPr>
        <w:keepNext/>
        <w:keepLines/>
        <w:spacing w:before="260" w:after="260"/>
        <w:outlineLvl w:val="1"/>
        <w:rPr>
          <w:rFonts w:ascii="宋体" w:hAnsi="宋体" w:eastAsia="宋体" w:cs="Times New Roman"/>
          <w:b/>
          <w:bCs/>
          <w:color w:val="auto"/>
          <w:sz w:val="24"/>
          <w:szCs w:val="24"/>
          <w:highlight w:val="none"/>
        </w:rPr>
      </w:pPr>
      <w:bookmarkStart w:id="556" w:name="_Toc389065272"/>
      <w:bookmarkStart w:id="557" w:name="_Toc14718"/>
      <w:bookmarkStart w:id="558" w:name="_Toc395382508"/>
      <w:bookmarkStart w:id="559" w:name="_Toc89333022"/>
      <w:bookmarkStart w:id="560" w:name="_Toc527311288"/>
      <w:bookmarkStart w:id="561" w:name="_Toc373478353"/>
      <w:bookmarkStart w:id="562" w:name="_Toc373227706"/>
      <w:bookmarkStart w:id="563" w:name="_Toc89333270"/>
      <w:bookmarkStart w:id="564" w:name="_Toc88065612"/>
      <w:bookmarkStart w:id="565" w:name="_Toc351203635"/>
      <w:r>
        <w:rPr>
          <w:rFonts w:ascii="宋体" w:hAnsi="宋体" w:eastAsia="宋体" w:cs="Times New Roman"/>
          <w:b/>
          <w:bCs/>
          <w:color w:val="auto"/>
          <w:sz w:val="24"/>
          <w:szCs w:val="24"/>
          <w:highlight w:val="none"/>
        </w:rPr>
        <w:t>3</w:t>
      </w:r>
      <w:bookmarkStart w:id="566" w:name="_Toc296347157"/>
      <w:bookmarkStart w:id="567" w:name="_Toc296890986"/>
      <w:bookmarkStart w:id="568" w:name="_Toc297120458"/>
      <w:bookmarkStart w:id="569" w:name="_Toc297048344"/>
      <w:bookmarkStart w:id="570" w:name="_Toc296503158"/>
      <w:bookmarkStart w:id="571" w:name="_Toc296346659"/>
      <w:bookmarkStart w:id="572" w:name="_Toc292559868"/>
      <w:bookmarkStart w:id="573" w:name="_Toc292559363"/>
      <w:bookmarkStart w:id="574" w:name="_Toc296944497"/>
      <w:bookmarkStart w:id="575" w:name="_Toc296891198"/>
      <w:r>
        <w:rPr>
          <w:rFonts w:ascii="宋体" w:hAnsi="宋体" w:eastAsia="宋体" w:cs="Times New Roman"/>
          <w:b/>
          <w:bCs/>
          <w:color w:val="auto"/>
          <w:sz w:val="24"/>
          <w:szCs w:val="24"/>
          <w:highlight w:val="none"/>
        </w:rPr>
        <w:t>. 承包人</w:t>
      </w:r>
      <w:bookmarkEnd w:id="556"/>
      <w:bookmarkEnd w:id="557"/>
      <w:bookmarkEnd w:id="558"/>
      <w:bookmarkEnd w:id="559"/>
      <w:bookmarkEnd w:id="560"/>
      <w:bookmarkEnd w:id="561"/>
      <w:bookmarkEnd w:id="562"/>
      <w:bookmarkEnd w:id="563"/>
      <w:bookmarkEnd w:id="564"/>
      <w:bookmarkEnd w:id="565"/>
    </w:p>
    <w:bookmarkEnd w:id="566"/>
    <w:bookmarkEnd w:id="567"/>
    <w:bookmarkEnd w:id="568"/>
    <w:bookmarkEnd w:id="569"/>
    <w:bookmarkEnd w:id="570"/>
    <w:bookmarkEnd w:id="571"/>
    <w:bookmarkEnd w:id="572"/>
    <w:bookmarkEnd w:id="573"/>
    <w:bookmarkEnd w:id="574"/>
    <w:bookmarkEnd w:id="575"/>
    <w:p>
      <w:pPr>
        <w:keepNext/>
        <w:keepLines/>
        <w:spacing w:before="260" w:after="260"/>
        <w:outlineLvl w:val="2"/>
        <w:rPr>
          <w:rFonts w:ascii="Times New Roman" w:hAnsi="Times New Roman" w:eastAsia="宋体" w:cs="Times New Roman"/>
          <w:b/>
          <w:bCs/>
          <w:color w:val="auto"/>
          <w:sz w:val="24"/>
          <w:szCs w:val="24"/>
          <w:highlight w:val="none"/>
        </w:rPr>
      </w:pPr>
      <w:bookmarkStart w:id="576" w:name="_Toc373478354"/>
      <w:bookmarkStart w:id="577" w:name="_Toc389065273"/>
      <w:bookmarkStart w:id="578" w:name="_Toc88065613"/>
      <w:bookmarkStart w:id="579" w:name="_Toc89333271"/>
      <w:bookmarkStart w:id="580" w:name="_Toc527311289"/>
      <w:bookmarkStart w:id="581" w:name="_Toc395382509"/>
      <w:bookmarkStart w:id="582" w:name="_Toc89333023"/>
      <w:bookmarkStart w:id="583" w:name="_Toc373227707"/>
      <w:bookmarkStart w:id="584" w:name="_Toc17041"/>
      <w:r>
        <w:rPr>
          <w:rFonts w:ascii="Times New Roman" w:hAnsi="Times New Roman" w:eastAsia="宋体" w:cs="Times New Roman"/>
          <w:b/>
          <w:bCs/>
          <w:color w:val="auto"/>
          <w:sz w:val="24"/>
          <w:szCs w:val="24"/>
          <w:highlight w:val="none"/>
        </w:rPr>
        <w:t>3.1 承包人的一般义务</w:t>
      </w:r>
      <w:bookmarkEnd w:id="576"/>
      <w:bookmarkEnd w:id="577"/>
      <w:bookmarkEnd w:id="578"/>
      <w:bookmarkEnd w:id="579"/>
      <w:bookmarkEnd w:id="580"/>
      <w:bookmarkEnd w:id="581"/>
      <w:bookmarkEnd w:id="582"/>
      <w:bookmarkEnd w:id="583"/>
      <w:bookmarkEnd w:id="584"/>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）承包人提交的竣工资料的内</w:t>
      </w:r>
      <w:r>
        <w:rPr>
          <w:rFonts w:hint="eastAsia" w:ascii="宋体" w:hAnsi="宋体" w:eastAsia="宋体" w:cs="Times New Roman"/>
          <w:color w:val="auto"/>
          <w:sz w:val="24"/>
          <w:szCs w:val="24"/>
          <w:highlight w:val="none"/>
        </w:rPr>
        <w:t>容</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承包人需要提交的竣工资料套数：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left="424" w:leftChars="20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承包人提交的竣工资料的费用承担：</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left="424" w:leftChars="20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承包人提交的竣工资料移交时间：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承包人提交的竣工资料形式要求：</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10</w:t>
      </w:r>
      <w:r>
        <w:rPr>
          <w:rFonts w:ascii="宋体" w:hAnsi="宋体" w:eastAsia="宋体" w:cs="Times New Roman"/>
          <w:color w:val="auto"/>
          <w:sz w:val="24"/>
          <w:szCs w:val="24"/>
          <w:highlight w:val="none"/>
        </w:rPr>
        <w:t>）承包人应履行的其他义务：</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585" w:name="_Toc395382510"/>
      <w:bookmarkStart w:id="586" w:name="_Toc373227708"/>
      <w:bookmarkStart w:id="587" w:name="_Toc373478355"/>
      <w:bookmarkStart w:id="588" w:name="_Toc20816"/>
      <w:bookmarkStart w:id="589" w:name="_Toc527311290"/>
      <w:bookmarkStart w:id="590" w:name="_Toc88065614"/>
      <w:bookmarkStart w:id="591" w:name="_Toc89333272"/>
      <w:bookmarkStart w:id="592" w:name="_Toc89333024"/>
      <w:bookmarkStart w:id="593" w:name="_Toc389065274"/>
      <w:r>
        <w:rPr>
          <w:rFonts w:ascii="Times New Roman" w:hAnsi="Times New Roman" w:eastAsia="宋体" w:cs="Times New Roman"/>
          <w:b/>
          <w:bCs/>
          <w:color w:val="auto"/>
          <w:sz w:val="24"/>
          <w:szCs w:val="24"/>
          <w:highlight w:val="none"/>
        </w:rPr>
        <w:t>3.2 项目经理</w:t>
      </w:r>
      <w:bookmarkEnd w:id="585"/>
      <w:bookmarkEnd w:id="586"/>
      <w:bookmarkEnd w:id="587"/>
      <w:bookmarkEnd w:id="588"/>
      <w:bookmarkEnd w:id="589"/>
      <w:bookmarkEnd w:id="590"/>
      <w:bookmarkEnd w:id="591"/>
      <w:bookmarkEnd w:id="592"/>
      <w:bookmarkEnd w:id="593"/>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3.2.1 项目经理：</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姓    名：</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身份证号：</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建造师执业资格等级：</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建造师注册证书号：</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建造师执业印章号：</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安全生产考核合格证书号：</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u w:val="single"/>
        </w:rPr>
        <w:t>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电子信箱：</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通信地址：</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承包人对项目经理的授权范围如下：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关于项目经理每月在施工现场的时间要求：</w:t>
      </w:r>
      <w:r>
        <w:rPr>
          <w:rFonts w:ascii="宋体" w:hAnsi="宋体" w:eastAsia="宋体" w:cs="Times New Roman"/>
          <w:color w:val="auto"/>
          <w:sz w:val="24"/>
          <w:szCs w:val="24"/>
          <w:highlight w:val="none"/>
          <w:u w:val="single"/>
        </w:rPr>
        <w:t xml:space="preserve">       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承包人未提交劳动合同，以及没有为项目经理缴纳社会保险证明的违约责任：</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项目经理未经批准，擅自离开施工现场的违约责任：</w:t>
      </w:r>
      <w:r>
        <w:rPr>
          <w:rFonts w:hint="eastAsia" w:ascii="宋体" w:hAnsi="宋体" w:eastAsia="宋体" w:cs="Times New Roman"/>
          <w:color w:val="auto"/>
          <w:sz w:val="24"/>
          <w:szCs w:val="24"/>
          <w:highlight w:val="none"/>
          <w:u w:val="single"/>
        </w:rPr>
        <w:t>项目经理每月在岗带班时间不得少于当月施工时间的80%。</w:t>
      </w:r>
      <w:r>
        <w:rPr>
          <w:rFonts w:ascii="宋体" w:hAnsi="宋体" w:eastAsia="宋体" w:cs="Times New Roman"/>
          <w:color w:val="auto"/>
          <w:sz w:val="24"/>
          <w:szCs w:val="24"/>
          <w:highlight w:val="none"/>
          <w:u w:val="single"/>
        </w:rPr>
        <w:t>未经发包人同意或正当理由，项目经理</w:t>
      </w:r>
      <w:r>
        <w:rPr>
          <w:rFonts w:hint="eastAsia" w:ascii="宋体" w:hAnsi="宋体" w:eastAsia="宋体" w:cs="Times New Roman"/>
          <w:color w:val="auto"/>
          <w:sz w:val="24"/>
          <w:szCs w:val="24"/>
          <w:highlight w:val="none"/>
          <w:u w:val="single"/>
        </w:rPr>
        <w:t>每月在岗带班时间少于当月施工时间80%的，少在岗带班一天</w:t>
      </w:r>
      <w:r>
        <w:rPr>
          <w:rFonts w:ascii="宋体" w:hAnsi="宋体" w:eastAsia="宋体" w:cs="Times New Roman"/>
          <w:color w:val="auto"/>
          <w:sz w:val="24"/>
          <w:szCs w:val="24"/>
          <w:highlight w:val="none"/>
          <w:u w:val="single"/>
        </w:rPr>
        <w:t>，发包人有权处违约金    元/</w:t>
      </w:r>
      <w:r>
        <w:rPr>
          <w:rFonts w:hint="eastAsia" w:ascii="宋体" w:hAnsi="宋体" w:eastAsia="宋体" w:cs="Times New Roman"/>
          <w:color w:val="auto"/>
          <w:sz w:val="24"/>
          <w:szCs w:val="24"/>
          <w:highlight w:val="none"/>
          <w:u w:val="single"/>
        </w:rPr>
        <w:t>日（</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3.2.3 承包人擅自更换项目经理的违约责任：</w:t>
      </w:r>
      <w:r>
        <w:rPr>
          <w:rFonts w:ascii="宋体" w:hAnsi="宋体" w:eastAsia="宋体" w:cs="Times New Roman"/>
          <w:color w:val="auto"/>
          <w:sz w:val="24"/>
          <w:szCs w:val="24"/>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违约金处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3.2.4 承包人无正当理由拒绝更换项目经理的违约责任：</w:t>
      </w:r>
      <w:r>
        <w:rPr>
          <w:rFonts w:ascii="宋体" w:hAnsi="宋体" w:eastAsia="宋体" w:cs="Times New Roman"/>
          <w:color w:val="auto"/>
          <w:sz w:val="24"/>
          <w:szCs w:val="24"/>
          <w:highlight w:val="none"/>
          <w:u w:val="single"/>
        </w:rPr>
        <w:t>因承包人项目经理不称职，发包人要求调换而未及时调换的，视为承包人违约，必须向发包人交纳处罚金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594" w:name="_Toc88065615"/>
      <w:bookmarkStart w:id="595" w:name="_Toc89333273"/>
      <w:bookmarkStart w:id="596" w:name="_Toc29916"/>
      <w:bookmarkStart w:id="597" w:name="_Toc395382511"/>
      <w:bookmarkStart w:id="598" w:name="_Toc373478356"/>
      <w:bookmarkStart w:id="599" w:name="_Toc527311291"/>
      <w:bookmarkStart w:id="600" w:name="_Toc89333025"/>
      <w:bookmarkStart w:id="601" w:name="_Toc373227709"/>
      <w:bookmarkStart w:id="602" w:name="_Toc389065275"/>
      <w:r>
        <w:rPr>
          <w:rFonts w:ascii="Times New Roman" w:hAnsi="Times New Roman" w:eastAsia="宋体" w:cs="Times New Roman"/>
          <w:b/>
          <w:bCs/>
          <w:color w:val="auto"/>
          <w:sz w:val="24"/>
          <w:szCs w:val="24"/>
          <w:highlight w:val="none"/>
        </w:rPr>
        <w:t>3.3 承包人人员</w:t>
      </w:r>
      <w:bookmarkEnd w:id="594"/>
      <w:bookmarkEnd w:id="595"/>
      <w:bookmarkEnd w:id="596"/>
      <w:bookmarkEnd w:id="597"/>
      <w:bookmarkEnd w:id="598"/>
      <w:bookmarkEnd w:id="599"/>
      <w:bookmarkEnd w:id="600"/>
      <w:bookmarkEnd w:id="601"/>
      <w:bookmarkEnd w:id="602"/>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3.3.1 承包人提交项目管理机构及施工现场管理人员安排报告</w:t>
      </w:r>
      <w:r>
        <w:rPr>
          <w:rFonts w:hint="eastAsia" w:ascii="宋体" w:hAnsi="宋体" w:eastAsia="宋体" w:cs="Times New Roman"/>
          <w:color w:val="auto"/>
          <w:sz w:val="24"/>
          <w:szCs w:val="24"/>
          <w:highlight w:val="none"/>
        </w:rPr>
        <w:t>（格式见合同附件3）</w:t>
      </w:r>
      <w:r>
        <w:rPr>
          <w:rFonts w:ascii="宋体" w:hAnsi="宋体" w:eastAsia="宋体" w:cs="Times New Roman"/>
          <w:color w:val="auto"/>
          <w:sz w:val="24"/>
          <w:szCs w:val="24"/>
          <w:highlight w:val="none"/>
        </w:rPr>
        <w:t>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3.3.3 承包人无正当理由拒绝撤换主要施工管理人员的违约责任：</w:t>
      </w:r>
      <w:r>
        <w:rPr>
          <w:rFonts w:ascii="宋体" w:hAnsi="宋体" w:eastAsia="宋体" w:cs="Times New Roman"/>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；专业工程师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3.3.4 承包人主要施工管理人员离开施工现场的批准要求：</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3.3.5</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承包人擅自更换主要施工管理人员的违约责任：</w:t>
      </w:r>
      <w:r>
        <w:rPr>
          <w:rFonts w:hint="eastAsia" w:ascii="宋体" w:hAnsi="宋体" w:eastAsia="宋体" w:cs="Times New Roman"/>
          <w:color w:val="auto"/>
          <w:sz w:val="24"/>
          <w:szCs w:val="24"/>
          <w:highlight w:val="none"/>
          <w:u w:val="single"/>
        </w:rPr>
        <w:t>项目</w:t>
      </w:r>
      <w:r>
        <w:rPr>
          <w:rFonts w:ascii="宋体" w:hAnsi="宋体" w:eastAsia="宋体" w:cs="Times New Roman"/>
          <w:color w:val="auto"/>
          <w:sz w:val="24"/>
          <w:szCs w:val="24"/>
          <w:highlight w:val="none"/>
          <w:u w:val="single"/>
        </w:rPr>
        <w:t>技术负责人、</w:t>
      </w:r>
      <w:r>
        <w:rPr>
          <w:rFonts w:hint="eastAsia" w:ascii="宋体" w:hAnsi="宋体" w:eastAsia="宋体" w:cs="Times New Roman"/>
          <w:color w:val="auto"/>
          <w:sz w:val="24"/>
          <w:szCs w:val="24"/>
          <w:highlight w:val="none"/>
          <w:u w:val="single"/>
        </w:rPr>
        <w:t>专职安全员及其承诺的其它在场管理人员</w:t>
      </w:r>
      <w:r>
        <w:rPr>
          <w:rFonts w:ascii="宋体" w:hAnsi="宋体" w:eastAsia="宋体" w:cs="Times New Roman"/>
          <w:color w:val="auto"/>
          <w:sz w:val="24"/>
          <w:szCs w:val="24"/>
          <w:highlight w:val="none"/>
          <w:u w:val="single"/>
        </w:rPr>
        <w:t>未经发包人书面同意不准擅自更换，擅自更换</w:t>
      </w:r>
      <w:r>
        <w:rPr>
          <w:rFonts w:hint="eastAsia" w:ascii="宋体" w:hAnsi="宋体" w:eastAsia="宋体" w:cs="Times New Roman"/>
          <w:color w:val="auto"/>
          <w:sz w:val="24"/>
          <w:szCs w:val="24"/>
          <w:highlight w:val="none"/>
          <w:u w:val="single"/>
        </w:rPr>
        <w:t>项目</w:t>
      </w:r>
      <w:r>
        <w:rPr>
          <w:rFonts w:ascii="宋体" w:hAnsi="宋体" w:eastAsia="宋体" w:cs="Times New Roman"/>
          <w:color w:val="auto"/>
          <w:sz w:val="24"/>
          <w:szCs w:val="24"/>
          <w:highlight w:val="none"/>
          <w:u w:val="single"/>
        </w:rPr>
        <w:t>技术负责人处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违约金；擅自更换</w:t>
      </w:r>
      <w:r>
        <w:rPr>
          <w:rFonts w:hint="eastAsia" w:ascii="宋体" w:hAnsi="宋体" w:eastAsia="宋体" w:cs="Times New Roman"/>
          <w:color w:val="auto"/>
          <w:sz w:val="24"/>
          <w:szCs w:val="24"/>
          <w:highlight w:val="none"/>
          <w:u w:val="single"/>
        </w:rPr>
        <w:t>专职安全员</w:t>
      </w:r>
      <w:r>
        <w:rPr>
          <w:rFonts w:ascii="宋体" w:hAnsi="宋体" w:eastAsia="宋体" w:cs="Times New Roman"/>
          <w:color w:val="auto"/>
          <w:sz w:val="24"/>
          <w:szCs w:val="24"/>
          <w:highlight w:val="none"/>
          <w:u w:val="single"/>
        </w:rPr>
        <w:t>处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违约金</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擅自更换</w:t>
      </w:r>
      <w:r>
        <w:rPr>
          <w:rFonts w:hint="eastAsia" w:ascii="宋体" w:hAnsi="宋体" w:eastAsia="宋体" w:cs="Times New Roman"/>
          <w:color w:val="auto"/>
          <w:sz w:val="24"/>
          <w:szCs w:val="24"/>
          <w:highlight w:val="none"/>
          <w:u w:val="single"/>
        </w:rPr>
        <w:t>其它在场管理人员</w:t>
      </w:r>
      <w:r>
        <w:rPr>
          <w:rFonts w:ascii="宋体" w:hAnsi="宋体" w:eastAsia="宋体" w:cs="Times New Roman"/>
          <w:color w:val="auto"/>
          <w:sz w:val="24"/>
          <w:szCs w:val="24"/>
          <w:highlight w:val="none"/>
          <w:u w:val="single"/>
        </w:rPr>
        <w:t>处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违约金</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承包人主要施工管理人员擅自离开施工现场的违约责任：</w:t>
      </w:r>
      <w:r>
        <w:rPr>
          <w:rFonts w:ascii="宋体" w:hAnsi="宋体" w:eastAsia="宋体" w:cs="Times New Roman"/>
          <w:color w:val="auto"/>
          <w:sz w:val="24"/>
          <w:szCs w:val="24"/>
          <w:highlight w:val="none"/>
          <w:u w:val="single"/>
        </w:rPr>
        <w:t>未经发包人同意，</w:t>
      </w:r>
      <w:r>
        <w:rPr>
          <w:rFonts w:hint="eastAsia" w:ascii="宋体" w:hAnsi="宋体" w:eastAsia="宋体" w:cs="Times New Roman"/>
          <w:color w:val="auto"/>
          <w:sz w:val="24"/>
          <w:szCs w:val="24"/>
          <w:highlight w:val="none"/>
          <w:u w:val="single"/>
        </w:rPr>
        <w:t>项目</w:t>
      </w:r>
      <w:r>
        <w:rPr>
          <w:rFonts w:ascii="宋体" w:hAnsi="宋体" w:eastAsia="宋体" w:cs="Times New Roman"/>
          <w:color w:val="auto"/>
          <w:sz w:val="24"/>
          <w:szCs w:val="24"/>
          <w:highlight w:val="none"/>
          <w:u w:val="single"/>
        </w:rPr>
        <w:t>技术负责人擅自离岗的，视为承包人违约，发包人有权处违约金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；未经发包人同意，</w:t>
      </w:r>
      <w:r>
        <w:rPr>
          <w:rFonts w:hint="eastAsia" w:ascii="宋体" w:hAnsi="宋体" w:eastAsia="宋体" w:cs="Times New Roman"/>
          <w:color w:val="auto"/>
          <w:sz w:val="24"/>
          <w:szCs w:val="24"/>
          <w:highlight w:val="none"/>
          <w:u w:val="single"/>
        </w:rPr>
        <w:t>专职安全员</w:t>
      </w:r>
      <w:r>
        <w:rPr>
          <w:rFonts w:ascii="宋体" w:hAnsi="宋体" w:eastAsia="宋体" w:cs="Times New Roman"/>
          <w:color w:val="auto"/>
          <w:sz w:val="24"/>
          <w:szCs w:val="24"/>
          <w:highlight w:val="none"/>
          <w:u w:val="single"/>
        </w:rPr>
        <w:t>擅自离岗的，视为承包人违约，发包人有权处违约金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其它在场管理人员</w:t>
      </w:r>
      <w:r>
        <w:rPr>
          <w:rFonts w:ascii="宋体" w:hAnsi="宋体" w:eastAsia="宋体" w:cs="Times New Roman"/>
          <w:color w:val="auto"/>
          <w:sz w:val="24"/>
          <w:szCs w:val="24"/>
          <w:highlight w:val="none"/>
          <w:u w:val="single"/>
        </w:rPr>
        <w:t>擅自离岗的，视为承包人违约，发包人有权处违约金    元/人•次</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人民币</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603" w:name="_Toc29133"/>
      <w:bookmarkStart w:id="604" w:name="_Toc395382512"/>
      <w:bookmarkStart w:id="605" w:name="_Toc89333026"/>
      <w:bookmarkStart w:id="606" w:name="_Toc389065276"/>
      <w:bookmarkStart w:id="607" w:name="_Toc373227710"/>
      <w:bookmarkStart w:id="608" w:name="_Toc88065616"/>
      <w:bookmarkStart w:id="609" w:name="_Toc89333274"/>
      <w:bookmarkStart w:id="610" w:name="_Toc373478357"/>
      <w:bookmarkStart w:id="611" w:name="_Toc527311292"/>
      <w:r>
        <w:rPr>
          <w:rFonts w:ascii="Times New Roman" w:hAnsi="Times New Roman" w:eastAsia="宋体" w:cs="Times New Roman"/>
          <w:b/>
          <w:bCs/>
          <w:color w:val="auto"/>
          <w:sz w:val="24"/>
          <w:szCs w:val="24"/>
          <w:highlight w:val="none"/>
        </w:rPr>
        <w:t>3</w:t>
      </w:r>
      <w:bookmarkStart w:id="612" w:name="_Toc297123492"/>
      <w:bookmarkStart w:id="613" w:name="_Toc296891199"/>
      <w:bookmarkStart w:id="614" w:name="_Toc296347158"/>
      <w:bookmarkStart w:id="615" w:name="_Toc297216151"/>
      <w:bookmarkStart w:id="616" w:name="_Toc297120459"/>
      <w:bookmarkStart w:id="617" w:name="_Toc296944498"/>
      <w:bookmarkStart w:id="618" w:name="_Toc297048345"/>
      <w:bookmarkStart w:id="619" w:name="_Toc312677988"/>
      <w:bookmarkStart w:id="620" w:name="_Toc303539102"/>
      <w:bookmarkStart w:id="621" w:name="_Toc304295523"/>
      <w:bookmarkStart w:id="622" w:name="_Toc296346660"/>
      <w:bookmarkStart w:id="623" w:name="_Toc292559364"/>
      <w:bookmarkStart w:id="624" w:name="_Toc292559869"/>
      <w:bookmarkStart w:id="625" w:name="_Toc300934945"/>
      <w:bookmarkStart w:id="626" w:name="_Toc296503159"/>
      <w:bookmarkStart w:id="627" w:name="_Toc296890987"/>
      <w:r>
        <w:rPr>
          <w:rFonts w:ascii="Times New Roman" w:hAnsi="Times New Roman" w:eastAsia="宋体" w:cs="Times New Roman"/>
          <w:b/>
          <w:bCs/>
          <w:color w:val="auto"/>
          <w:sz w:val="24"/>
          <w:szCs w:val="24"/>
          <w:highlight w:val="none"/>
        </w:rPr>
        <w:t>.5 分包</w:t>
      </w:r>
      <w:bookmarkEnd w:id="603"/>
      <w:bookmarkEnd w:id="604"/>
      <w:bookmarkEnd w:id="605"/>
      <w:bookmarkEnd w:id="606"/>
      <w:bookmarkEnd w:id="607"/>
      <w:bookmarkEnd w:id="608"/>
      <w:bookmarkEnd w:id="609"/>
      <w:bookmarkEnd w:id="610"/>
      <w:bookmarkEnd w:id="611"/>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bookmarkStart w:id="628" w:name="_Toc297123493"/>
      <w:bookmarkStart w:id="629" w:name="_Toc296944499"/>
      <w:bookmarkStart w:id="630" w:name="_Toc304295524"/>
      <w:bookmarkStart w:id="631" w:name="_Toc312677989"/>
      <w:bookmarkStart w:id="632" w:name="_Toc297120460"/>
      <w:bookmarkStart w:id="633" w:name="_Toc292559365"/>
      <w:bookmarkStart w:id="634" w:name="_Toc292559870"/>
      <w:bookmarkStart w:id="635" w:name="_Toc318581158"/>
      <w:bookmarkStart w:id="636" w:name="_Toc296890988"/>
      <w:bookmarkStart w:id="637" w:name="_Toc300934946"/>
      <w:bookmarkStart w:id="638" w:name="_Toc297216152"/>
      <w:bookmarkStart w:id="639" w:name="_Toc297048346"/>
      <w:bookmarkStart w:id="640" w:name="_Toc296503160"/>
      <w:bookmarkStart w:id="641" w:name="_Toc303539103"/>
      <w:bookmarkStart w:id="642" w:name="_Toc296891200"/>
      <w:bookmarkStart w:id="643" w:name="_Toc296347159"/>
      <w:bookmarkStart w:id="644" w:name="_Toc296346661"/>
      <w:r>
        <w:rPr>
          <w:rFonts w:ascii="宋体" w:hAnsi="宋体" w:eastAsia="宋体" w:cs="Times New Roman"/>
          <w:color w:val="auto"/>
          <w:sz w:val="24"/>
          <w:szCs w:val="24"/>
          <w:highlight w:val="none"/>
        </w:rPr>
        <w:t>.5.1 分包的一般约定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禁止分包的工程包括：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主体结构、关键性工作的范围：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bookmarkStart w:id="645" w:name="_Toc312677990"/>
      <w:bookmarkStart w:id="646" w:name="_Toc318581159"/>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分包的确定</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允许分包的专业工程包括：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其他关于分包的约定：</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eastAsia="宋体" w:cs="Times New Roman"/>
          <w:color w:val="auto"/>
          <w:sz w:val="24"/>
          <w:szCs w:val="24"/>
          <w:highlight w:val="none"/>
        </w:rPr>
        <w:t>本项目分包人主要施工管理人员名单详见合同附件4。</w:t>
      </w:r>
    </w:p>
    <w:p>
      <w:pPr>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在相关分包合同签订并报送有关建设行政主管部门备案后7天内，承包人应当将一份副本提交给监理人，承包人应保障分包工作不得再次分包。</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未经承包人和监理人审批同意的分包工程和分包人，承包人有权拒绝验收分包工程和支付相应款项，由此引起的发包人费用增加和(或)延误的工期由发包人承担。</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（4）承包人有以下情况之一者，发包人有权解除合同，并视情况扣除其履约保证金：</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①个人承包工程，包括本人单位及外单位人员承包，发包人不承认其个人拥有任何资质等级及营业许可资格。没收全部履约保证金。</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②几个人联合承包工程，就地组织暗分包队伍，不具备完成本工程的技术、机械能力，被发包人判定为没有能力履行的承包人。没收全部履约保证金。</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③就地转包全部的工程，以谋取高额转让费、管理费的承包人。没收全部履约保证金。</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3.5.4 分包合同价款</w:t>
      </w:r>
    </w:p>
    <w:bookmarkEnd w:id="645"/>
    <w:bookmarkEnd w:id="646"/>
    <w:p>
      <w:pPr>
        <w:ind w:firstLine="480" w:firstLineChars="200"/>
        <w:rPr>
          <w:rFonts w:ascii="宋体" w:hAnsi="宋体" w:eastAsia="宋体" w:cs="Times New Roman"/>
          <w:color w:val="auto"/>
          <w:sz w:val="24"/>
          <w:szCs w:val="24"/>
          <w:highlight w:val="none"/>
        </w:rPr>
      </w:pPr>
      <w:bookmarkStart w:id="647" w:name="_Toc373227711"/>
      <w:bookmarkStart w:id="648" w:name="_Toc373478358"/>
      <w:bookmarkStart w:id="649" w:name="_Toc389065277"/>
      <w:r>
        <w:rPr>
          <w:rFonts w:ascii="宋体" w:hAnsi="宋体" w:eastAsia="宋体" w:cs="Times New Roman"/>
          <w:color w:val="auto"/>
          <w:sz w:val="24"/>
          <w:szCs w:val="24"/>
          <w:highlight w:val="none"/>
        </w:rPr>
        <w:t>关于分包合同价款支付的约定：</w:t>
      </w:r>
      <w:r>
        <w:rPr>
          <w:rFonts w:ascii="宋体" w:hAnsi="宋体" w:eastAsia="宋体" w:cs="Times New Roman"/>
          <w:color w:val="auto"/>
          <w:sz w:val="24"/>
          <w:szCs w:val="24"/>
          <w:highlight w:val="none"/>
          <w:u w:val="single"/>
        </w:rPr>
        <w:t>分包工程价款由承包人与分包人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包括专业分包人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结算。发包人未经承包人同意不得以任何形式向分包人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包括专业分包人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支付相关分包合同项下的任何工程款项。因发包人未经承包人同意直接向分包人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包括专业分包人</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支付相关分包合同项下的任何工程款项而影响承包人工作的，所造成的承包人费用增加和</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或</w:t>
      </w:r>
      <w:r>
        <w:rPr>
          <w:rFonts w:hint="eastAsia"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u w:val="single"/>
        </w:rPr>
        <w:t>延误的工期由发包人承担。</w:t>
      </w:r>
    </w:p>
    <w:p>
      <w:pPr>
        <w:keepNext/>
        <w:keepLines/>
        <w:spacing w:before="260" w:after="260"/>
        <w:outlineLvl w:val="2"/>
        <w:rPr>
          <w:rFonts w:ascii="Times New Roman" w:hAnsi="Times New Roman" w:eastAsia="宋体" w:cs="Times New Roman"/>
          <w:b/>
          <w:bCs/>
          <w:color w:val="auto"/>
          <w:sz w:val="24"/>
          <w:szCs w:val="24"/>
          <w:highlight w:val="none"/>
        </w:rPr>
      </w:pPr>
      <w:bookmarkStart w:id="650" w:name="_Toc32618"/>
      <w:bookmarkStart w:id="651" w:name="_Toc395382513"/>
      <w:bookmarkStart w:id="652" w:name="_Toc89333027"/>
      <w:bookmarkStart w:id="653" w:name="_Toc89333275"/>
      <w:bookmarkStart w:id="654" w:name="_Toc527311293"/>
      <w:bookmarkStart w:id="655" w:name="_Toc88065617"/>
      <w:r>
        <w:rPr>
          <w:rFonts w:ascii="Times New Roman" w:hAnsi="Times New Roman" w:eastAsia="宋体" w:cs="Times New Roman"/>
          <w:b/>
          <w:bCs/>
          <w:color w:val="auto"/>
          <w:sz w:val="24"/>
          <w:szCs w:val="24"/>
          <w:highlight w:val="none"/>
        </w:rPr>
        <w:t>3.6 工程照管与成品、半成品保护</w:t>
      </w:r>
      <w:bookmarkEnd w:id="647"/>
      <w:bookmarkEnd w:id="648"/>
      <w:bookmarkEnd w:id="649"/>
      <w:bookmarkEnd w:id="650"/>
      <w:bookmarkEnd w:id="651"/>
      <w:bookmarkEnd w:id="652"/>
      <w:bookmarkEnd w:id="653"/>
      <w:bookmarkEnd w:id="654"/>
      <w:bookmarkEnd w:id="655"/>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承包人负责照管工程及工程相关的材料、工程设备的起始时间：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656" w:name="_Toc373227712"/>
      <w:bookmarkStart w:id="657" w:name="_Toc389065278"/>
      <w:bookmarkStart w:id="658" w:name="_Toc373478359"/>
      <w:bookmarkStart w:id="659" w:name="_Toc395382514"/>
      <w:bookmarkStart w:id="660" w:name="_Toc22449"/>
      <w:bookmarkStart w:id="661" w:name="_Toc88065618"/>
      <w:bookmarkStart w:id="662" w:name="_Toc527311294"/>
      <w:bookmarkStart w:id="663" w:name="_Toc89333028"/>
      <w:bookmarkStart w:id="664" w:name="_Toc89333276"/>
      <w:r>
        <w:rPr>
          <w:rFonts w:ascii="Times New Roman" w:hAnsi="Times New Roman" w:eastAsia="宋体" w:cs="Times New Roman"/>
          <w:b/>
          <w:bCs/>
          <w:color w:val="auto"/>
          <w:sz w:val="24"/>
          <w:szCs w:val="24"/>
          <w:highlight w:val="none"/>
        </w:rPr>
        <w:t>3.7 履约</w:t>
      </w:r>
      <w:bookmarkEnd w:id="656"/>
      <w:bookmarkEnd w:id="657"/>
      <w:bookmarkEnd w:id="658"/>
      <w:r>
        <w:rPr>
          <w:rFonts w:ascii="Times New Roman" w:hAnsi="Times New Roman" w:eastAsia="宋体" w:cs="Times New Roman"/>
          <w:b/>
          <w:bCs/>
          <w:color w:val="auto"/>
          <w:sz w:val="24"/>
          <w:szCs w:val="24"/>
          <w:highlight w:val="none"/>
        </w:rPr>
        <w:t>保证金</w:t>
      </w:r>
      <w:bookmarkEnd w:id="659"/>
      <w:bookmarkStart w:id="665" w:name="_Toc373227713"/>
      <w:bookmarkStart w:id="666" w:name="_Toc389065279"/>
      <w:bookmarkStart w:id="667" w:name="_Toc351203636"/>
      <w:bookmarkStart w:id="668" w:name="_Toc373478360"/>
      <w:bookmarkStart w:id="669" w:name="_Toc395382515"/>
      <w:r>
        <w:rPr>
          <w:rFonts w:hint="eastAsia" w:ascii="Times New Roman" w:hAnsi="Times New Roman" w:eastAsia="宋体" w:cs="Times New Roman"/>
          <w:b/>
          <w:bCs/>
          <w:color w:val="auto"/>
          <w:sz w:val="24"/>
          <w:szCs w:val="24"/>
          <w:highlight w:val="none"/>
        </w:rPr>
        <w:t>：无</w:t>
      </w:r>
      <w:bookmarkEnd w:id="660"/>
      <w:bookmarkEnd w:id="661"/>
      <w:bookmarkEnd w:id="662"/>
      <w:bookmarkEnd w:id="663"/>
      <w:bookmarkEnd w:id="664"/>
    </w:p>
    <w:p>
      <w:pPr>
        <w:keepNext/>
        <w:keepLines/>
        <w:spacing w:before="260" w:after="260"/>
        <w:outlineLvl w:val="2"/>
        <w:rPr>
          <w:rFonts w:ascii="宋体" w:hAnsi="宋体" w:eastAsia="宋体" w:cs="Times New Roman"/>
          <w:b/>
          <w:bCs/>
          <w:color w:val="auto"/>
          <w:sz w:val="24"/>
          <w:szCs w:val="24"/>
          <w:highlight w:val="none"/>
        </w:rPr>
      </w:pPr>
      <w:bookmarkStart w:id="670" w:name="_Toc24629"/>
      <w:bookmarkStart w:id="671" w:name="_Toc89333277"/>
      <w:bookmarkStart w:id="672" w:name="_Toc527311295"/>
      <w:bookmarkStart w:id="673" w:name="_Toc88065619"/>
      <w:bookmarkStart w:id="674" w:name="_Toc89333029"/>
      <w:r>
        <w:rPr>
          <w:rFonts w:ascii="宋体" w:hAnsi="宋体" w:eastAsia="宋体" w:cs="Times New Roman"/>
          <w:b/>
          <w:bCs/>
          <w:color w:val="auto"/>
          <w:sz w:val="24"/>
          <w:szCs w:val="24"/>
          <w:highlight w:val="none"/>
        </w:rPr>
        <w:t>4</w:t>
      </w:r>
      <w:bookmarkStart w:id="675" w:name="_Toc297120462"/>
      <w:bookmarkStart w:id="676" w:name="_Toc296891202"/>
      <w:bookmarkStart w:id="677" w:name="_Toc296944501"/>
      <w:bookmarkStart w:id="678" w:name="_Toc292559366"/>
      <w:bookmarkStart w:id="679" w:name="_Toc296503162"/>
      <w:bookmarkStart w:id="680" w:name="_Toc267251413"/>
      <w:bookmarkStart w:id="681" w:name="_Toc296346663"/>
      <w:bookmarkStart w:id="682" w:name="_Toc297048348"/>
      <w:bookmarkStart w:id="683" w:name="_Toc292559871"/>
      <w:bookmarkStart w:id="684" w:name="_Toc296347161"/>
      <w:bookmarkStart w:id="685" w:name="_Toc296890990"/>
      <w:r>
        <w:rPr>
          <w:rFonts w:ascii="宋体" w:hAnsi="宋体" w:eastAsia="宋体" w:cs="Times New Roman"/>
          <w:b/>
          <w:bCs/>
          <w:color w:val="auto"/>
          <w:sz w:val="24"/>
          <w:szCs w:val="24"/>
          <w:highlight w:val="none"/>
        </w:rPr>
        <w:t>. 监</w:t>
      </w:r>
      <w:bookmarkEnd w:id="675"/>
      <w:bookmarkEnd w:id="676"/>
      <w:bookmarkEnd w:id="677"/>
      <w:bookmarkEnd w:id="678"/>
      <w:bookmarkEnd w:id="679"/>
      <w:bookmarkEnd w:id="680"/>
      <w:bookmarkEnd w:id="681"/>
      <w:bookmarkEnd w:id="682"/>
      <w:bookmarkEnd w:id="683"/>
      <w:bookmarkEnd w:id="684"/>
      <w:bookmarkEnd w:id="685"/>
      <w:r>
        <w:rPr>
          <w:rFonts w:ascii="宋体" w:hAnsi="宋体" w:eastAsia="宋体" w:cs="Times New Roman"/>
          <w:b/>
          <w:bCs/>
          <w:color w:val="auto"/>
          <w:sz w:val="24"/>
          <w:szCs w:val="24"/>
          <w:highlight w:val="none"/>
        </w:rPr>
        <w:t>理人</w:t>
      </w:r>
      <w:bookmarkEnd w:id="665"/>
      <w:bookmarkEnd w:id="666"/>
      <w:bookmarkEnd w:id="667"/>
      <w:bookmarkEnd w:id="668"/>
      <w:bookmarkEnd w:id="669"/>
      <w:bookmarkEnd w:id="670"/>
      <w:bookmarkEnd w:id="671"/>
      <w:bookmarkEnd w:id="672"/>
      <w:bookmarkEnd w:id="673"/>
      <w:bookmarkEnd w:id="674"/>
    </w:p>
    <w:p>
      <w:pPr>
        <w:keepNext/>
        <w:keepLines/>
        <w:spacing w:before="260" w:after="260"/>
        <w:outlineLvl w:val="2"/>
        <w:rPr>
          <w:rFonts w:ascii="Times New Roman" w:hAnsi="Times New Roman" w:eastAsia="宋体" w:cs="Times New Roman"/>
          <w:b/>
          <w:bCs/>
          <w:color w:val="auto"/>
          <w:sz w:val="24"/>
          <w:szCs w:val="24"/>
          <w:highlight w:val="none"/>
        </w:rPr>
      </w:pPr>
      <w:bookmarkStart w:id="686" w:name="_Toc373227714"/>
      <w:bookmarkStart w:id="687" w:name="_Toc88065620"/>
      <w:bookmarkStart w:id="688" w:name="_Toc527311296"/>
      <w:bookmarkStart w:id="689" w:name="_Toc89333030"/>
      <w:bookmarkStart w:id="690" w:name="_Toc395382516"/>
      <w:bookmarkStart w:id="691" w:name="_Toc5266"/>
      <w:bookmarkStart w:id="692" w:name="_Toc89333278"/>
      <w:bookmarkStart w:id="693" w:name="_Toc389065280"/>
      <w:bookmarkStart w:id="694" w:name="_Toc373478361"/>
      <w:r>
        <w:rPr>
          <w:rFonts w:ascii="Times New Roman" w:hAnsi="Times New Roman" w:eastAsia="宋体" w:cs="Times New Roman"/>
          <w:b/>
          <w:bCs/>
          <w:color w:val="auto"/>
          <w:sz w:val="24"/>
          <w:szCs w:val="24"/>
          <w:highlight w:val="none"/>
        </w:rPr>
        <w:t>4.1 监理人的一般规定</w:t>
      </w:r>
      <w:bookmarkEnd w:id="686"/>
      <w:bookmarkEnd w:id="687"/>
      <w:bookmarkEnd w:id="688"/>
      <w:bookmarkEnd w:id="689"/>
      <w:bookmarkEnd w:id="690"/>
      <w:bookmarkEnd w:id="691"/>
      <w:bookmarkEnd w:id="692"/>
      <w:bookmarkEnd w:id="693"/>
      <w:bookmarkEnd w:id="694"/>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关于监理人的监理内容：</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关于监理人的监理权限：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关于监理人在施工现场的办公场所、生活场所的提供和费用承担的约定：</w:t>
      </w:r>
      <w:r>
        <w:rPr>
          <w:rFonts w:ascii="宋体" w:hAnsi="宋体" w:eastAsia="宋体" w:cs="Times New Roman"/>
          <w:color w:val="auto"/>
          <w:sz w:val="24"/>
          <w:szCs w:val="24"/>
          <w:highlight w:val="none"/>
          <w:u w:val="single"/>
        </w:rPr>
        <w:t xml:space="preserve">              </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695" w:name="_Toc18416"/>
      <w:bookmarkStart w:id="696" w:name="_Toc527311297"/>
      <w:bookmarkStart w:id="697" w:name="_Toc373478362"/>
      <w:bookmarkStart w:id="698" w:name="_Toc373227715"/>
      <w:bookmarkStart w:id="699" w:name="_Toc89333279"/>
      <w:bookmarkStart w:id="700" w:name="_Toc89333031"/>
      <w:bookmarkStart w:id="701" w:name="_Toc88065621"/>
      <w:bookmarkStart w:id="702" w:name="_Toc395382517"/>
      <w:bookmarkStart w:id="703" w:name="_Toc389065281"/>
      <w:r>
        <w:rPr>
          <w:rFonts w:ascii="Times New Roman" w:hAnsi="Times New Roman" w:eastAsia="宋体" w:cs="Times New Roman"/>
          <w:b/>
          <w:bCs/>
          <w:color w:val="auto"/>
          <w:sz w:val="24"/>
          <w:szCs w:val="24"/>
          <w:highlight w:val="none"/>
        </w:rPr>
        <w:t>4.2 监理人员</w:t>
      </w:r>
      <w:bookmarkEnd w:id="695"/>
      <w:bookmarkEnd w:id="696"/>
      <w:bookmarkEnd w:id="697"/>
      <w:bookmarkEnd w:id="698"/>
      <w:bookmarkEnd w:id="699"/>
      <w:bookmarkEnd w:id="700"/>
      <w:bookmarkEnd w:id="701"/>
      <w:bookmarkEnd w:id="702"/>
      <w:bookmarkEnd w:id="703"/>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总监理工程师：</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姓    名：</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    务：</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监理工程师执业资格证书号：</w:t>
      </w:r>
      <w:r>
        <w:rPr>
          <w:rFonts w:ascii="宋体" w:hAnsi="宋体" w:eastAsia="宋体" w:cs="Times New Roman"/>
          <w:color w:val="auto"/>
          <w:sz w:val="24"/>
          <w:szCs w:val="24"/>
          <w:highlight w:val="none"/>
          <w:u w:val="single"/>
        </w:rPr>
        <w:t>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联系电话：</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电子信箱：</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通信地址：</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关于监理人的其他约定：</w:t>
      </w:r>
      <w:r>
        <w:rPr>
          <w:rFonts w:ascii="宋体" w:hAnsi="宋体" w:eastAsia="宋体" w:cs="Times New Roman"/>
          <w:color w:val="auto"/>
          <w:sz w:val="24"/>
          <w:szCs w:val="24"/>
          <w:highlight w:val="none"/>
          <w:u w:val="single"/>
        </w:rPr>
        <w:t>  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704" w:name="_Toc89333032"/>
      <w:bookmarkStart w:id="705" w:name="_Toc89333280"/>
      <w:bookmarkStart w:id="706" w:name="_Toc373478363"/>
      <w:bookmarkStart w:id="707" w:name="_Toc373227716"/>
      <w:bookmarkStart w:id="708" w:name="_Toc527311298"/>
      <w:bookmarkStart w:id="709" w:name="_Toc395382518"/>
      <w:bookmarkStart w:id="710" w:name="_Toc88065622"/>
      <w:bookmarkStart w:id="711" w:name="_Toc389065282"/>
      <w:bookmarkStart w:id="712" w:name="_Toc19940"/>
      <w:r>
        <w:rPr>
          <w:rFonts w:ascii="Times New Roman" w:hAnsi="Times New Roman" w:eastAsia="宋体" w:cs="Times New Roman"/>
          <w:b/>
          <w:bCs/>
          <w:color w:val="auto"/>
          <w:sz w:val="24"/>
          <w:szCs w:val="24"/>
          <w:highlight w:val="none"/>
        </w:rPr>
        <w:t>4.4 商定或确定</w:t>
      </w:r>
      <w:bookmarkEnd w:id="704"/>
      <w:bookmarkEnd w:id="705"/>
      <w:bookmarkEnd w:id="706"/>
      <w:bookmarkEnd w:id="707"/>
      <w:bookmarkEnd w:id="708"/>
      <w:bookmarkEnd w:id="709"/>
      <w:bookmarkEnd w:id="710"/>
      <w:bookmarkEnd w:id="711"/>
      <w:bookmarkEnd w:id="712"/>
    </w:p>
    <w:p>
      <w:pPr>
        <w:ind w:firstLine="480" w:firstLineChars="200"/>
        <w:rPr>
          <w:rFonts w:ascii="宋体" w:hAnsi="宋体" w:eastAsia="宋体" w:cs="Times New Roman"/>
          <w:color w:val="auto"/>
          <w:sz w:val="24"/>
          <w:szCs w:val="24"/>
          <w:highlight w:val="none"/>
        </w:rPr>
      </w:pPr>
      <w:bookmarkStart w:id="713" w:name="_Toc267251418"/>
      <w:r>
        <w:rPr>
          <w:rFonts w:ascii="宋体" w:hAnsi="宋体" w:eastAsia="宋体" w:cs="Times New Roman"/>
          <w:color w:val="auto"/>
          <w:sz w:val="24"/>
          <w:szCs w:val="24"/>
          <w:highlight w:val="none"/>
        </w:rPr>
        <w:t>在发包人和承包人不能通过协商达成一致意见时，发包人授权监理人对以下事项进行确定：</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714" w:name="_Toc395382519"/>
      <w:bookmarkStart w:id="715" w:name="_Toc527311299"/>
      <w:bookmarkStart w:id="716" w:name="_Toc389065283"/>
      <w:bookmarkStart w:id="717" w:name="_Toc351203637"/>
      <w:bookmarkStart w:id="718" w:name="_Toc373478364"/>
      <w:bookmarkStart w:id="719" w:name="_Toc89333033"/>
      <w:bookmarkStart w:id="720" w:name="_Toc88065623"/>
      <w:bookmarkStart w:id="721" w:name="_Toc373227717"/>
      <w:bookmarkStart w:id="722" w:name="_Toc89333281"/>
      <w:bookmarkStart w:id="723" w:name="_Toc26508"/>
      <w:r>
        <w:rPr>
          <w:rFonts w:ascii="宋体" w:hAnsi="宋体" w:eastAsia="宋体" w:cs="Times New Roman"/>
          <w:b/>
          <w:bCs/>
          <w:color w:val="auto"/>
          <w:sz w:val="24"/>
          <w:szCs w:val="24"/>
          <w:highlight w:val="none"/>
        </w:rPr>
        <w:t>5</w:t>
      </w:r>
      <w:bookmarkEnd w:id="713"/>
      <w:bookmarkStart w:id="724" w:name="_Toc296503163"/>
      <w:bookmarkStart w:id="725" w:name="_Toc297048349"/>
      <w:bookmarkStart w:id="726" w:name="_Toc292559367"/>
      <w:bookmarkStart w:id="727" w:name="_Toc296347162"/>
      <w:bookmarkStart w:id="728" w:name="_Toc296891203"/>
      <w:bookmarkStart w:id="729" w:name="_Toc297120463"/>
      <w:bookmarkStart w:id="730" w:name="_Toc292559872"/>
      <w:bookmarkStart w:id="731" w:name="_Toc296346664"/>
      <w:bookmarkStart w:id="732" w:name="_Toc296944502"/>
      <w:bookmarkStart w:id="733" w:name="_Toc296890991"/>
      <w:r>
        <w:rPr>
          <w:rFonts w:ascii="宋体" w:hAnsi="宋体" w:eastAsia="宋体" w:cs="Times New Roman"/>
          <w:b/>
          <w:bCs/>
          <w:color w:val="auto"/>
          <w:sz w:val="24"/>
          <w:szCs w:val="24"/>
          <w:highlight w:val="none"/>
        </w:rPr>
        <w:t>. 工程质量</w:t>
      </w:r>
      <w:bookmarkEnd w:id="714"/>
      <w:bookmarkEnd w:id="715"/>
      <w:bookmarkEnd w:id="716"/>
      <w:bookmarkEnd w:id="717"/>
      <w:bookmarkEnd w:id="718"/>
      <w:bookmarkEnd w:id="719"/>
      <w:bookmarkEnd w:id="720"/>
      <w:bookmarkEnd w:id="721"/>
      <w:bookmarkEnd w:id="722"/>
      <w:bookmarkEnd w:id="723"/>
    </w:p>
    <w:p>
      <w:pPr>
        <w:keepNext/>
        <w:keepLines/>
        <w:spacing w:before="260" w:after="260"/>
        <w:outlineLvl w:val="2"/>
        <w:rPr>
          <w:rFonts w:ascii="Times New Roman" w:hAnsi="Times New Roman" w:eastAsia="宋体" w:cs="Times New Roman"/>
          <w:b/>
          <w:bCs/>
          <w:color w:val="auto"/>
          <w:sz w:val="24"/>
          <w:szCs w:val="24"/>
          <w:highlight w:val="none"/>
        </w:rPr>
      </w:pPr>
      <w:bookmarkStart w:id="734" w:name="_Toc395382520"/>
      <w:bookmarkStart w:id="735" w:name="_Toc89333282"/>
      <w:bookmarkStart w:id="736" w:name="_Toc373478365"/>
      <w:bookmarkStart w:id="737" w:name="_Toc527311300"/>
      <w:bookmarkStart w:id="738" w:name="_Toc373227718"/>
      <w:bookmarkStart w:id="739" w:name="_Toc389065284"/>
      <w:bookmarkStart w:id="740" w:name="_Toc89333034"/>
      <w:bookmarkStart w:id="741" w:name="_Toc88065624"/>
      <w:bookmarkStart w:id="742" w:name="_Toc13566"/>
      <w:r>
        <w:rPr>
          <w:rFonts w:ascii="Times New Roman" w:hAnsi="Times New Roman" w:eastAsia="宋体" w:cs="Times New Roman"/>
          <w:b/>
          <w:bCs/>
          <w:color w:val="auto"/>
          <w:sz w:val="24"/>
          <w:szCs w:val="24"/>
          <w:highlight w:val="none"/>
        </w:rPr>
        <w:t>5.1 质量要求</w:t>
      </w:r>
      <w:bookmarkEnd w:id="734"/>
      <w:bookmarkEnd w:id="735"/>
      <w:bookmarkEnd w:id="736"/>
      <w:bookmarkEnd w:id="737"/>
      <w:bookmarkEnd w:id="738"/>
      <w:bookmarkEnd w:id="739"/>
      <w:bookmarkEnd w:id="740"/>
      <w:bookmarkEnd w:id="741"/>
      <w:bookmarkEnd w:id="742"/>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5</w:t>
      </w:r>
      <w:bookmarkStart w:id="743" w:name="_Toc304295527"/>
      <w:bookmarkStart w:id="744" w:name="_Toc303539106"/>
      <w:bookmarkStart w:id="745" w:name="_Toc318581164"/>
      <w:bookmarkStart w:id="746" w:name="_Toc297123496"/>
      <w:bookmarkStart w:id="747" w:name="_Toc312677997"/>
      <w:bookmarkStart w:id="748" w:name="_Toc300934949"/>
      <w:bookmarkStart w:id="749" w:name="_Toc297216155"/>
      <w:r>
        <w:rPr>
          <w:rFonts w:ascii="宋体" w:hAnsi="宋体" w:eastAsia="宋体" w:cs="Times New Roman"/>
          <w:color w:val="auto"/>
          <w:sz w:val="24"/>
          <w:szCs w:val="24"/>
          <w:highlight w:val="none"/>
        </w:rPr>
        <w:t>.1.1 特殊质量标准和要求：</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关于工程奖项的约定：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5.3 隐蔽工程检查</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5.3.2承包人提前通知监理人隐蔽工程检查的期限的约定：</w:t>
      </w:r>
      <w:r>
        <w:rPr>
          <w:rFonts w:ascii="宋体" w:hAnsi="宋体" w:eastAsia="宋体" w:cs="Times New Roman"/>
          <w:bCs/>
          <w:color w:val="auto"/>
          <w:sz w:val="24"/>
          <w:szCs w:val="24"/>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监理人不能按时进行检查时，应提前</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小时提交书面延期要求。</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关于延期最长不得超过：</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小时。</w:t>
      </w:r>
    </w:p>
    <w:p>
      <w:pPr>
        <w:keepNext/>
        <w:keepLines/>
        <w:spacing w:before="260" w:after="260"/>
        <w:outlineLvl w:val="1"/>
        <w:rPr>
          <w:rFonts w:ascii="宋体" w:hAnsi="宋体" w:eastAsia="宋体" w:cs="Times New Roman"/>
          <w:b/>
          <w:bCs/>
          <w:color w:val="auto"/>
          <w:sz w:val="24"/>
          <w:szCs w:val="24"/>
          <w:highlight w:val="none"/>
        </w:rPr>
      </w:pPr>
      <w:bookmarkStart w:id="750" w:name="_Toc373227719"/>
      <w:bookmarkStart w:id="751" w:name="_Toc389065285"/>
      <w:bookmarkStart w:id="752" w:name="_Toc373478366"/>
      <w:bookmarkStart w:id="753" w:name="_Toc89333283"/>
      <w:bookmarkStart w:id="754" w:name="_Toc89333035"/>
      <w:bookmarkStart w:id="755" w:name="_Toc88065625"/>
      <w:bookmarkStart w:id="756" w:name="_Toc527311301"/>
      <w:bookmarkStart w:id="757" w:name="_Toc351203638"/>
      <w:bookmarkStart w:id="758" w:name="_Toc395382521"/>
      <w:bookmarkStart w:id="759" w:name="_Toc26270"/>
      <w:r>
        <w:rPr>
          <w:rFonts w:ascii="宋体" w:hAnsi="宋体" w:eastAsia="宋体" w:cs="Times New Roman"/>
          <w:b/>
          <w:bCs/>
          <w:color w:val="auto"/>
          <w:sz w:val="24"/>
          <w:szCs w:val="24"/>
          <w:highlight w:val="none"/>
        </w:rPr>
        <w:t>6. 安全文明施工与环境保护</w:t>
      </w:r>
      <w:bookmarkEnd w:id="750"/>
      <w:bookmarkEnd w:id="751"/>
      <w:bookmarkEnd w:id="752"/>
      <w:bookmarkEnd w:id="753"/>
      <w:bookmarkEnd w:id="754"/>
      <w:bookmarkEnd w:id="755"/>
      <w:bookmarkEnd w:id="756"/>
      <w:bookmarkEnd w:id="757"/>
      <w:bookmarkEnd w:id="758"/>
      <w:bookmarkEnd w:id="759"/>
    </w:p>
    <w:p>
      <w:pPr>
        <w:keepNext/>
        <w:keepLines/>
        <w:spacing w:before="260" w:after="260"/>
        <w:outlineLvl w:val="2"/>
        <w:rPr>
          <w:rFonts w:ascii="Times New Roman" w:hAnsi="Times New Roman" w:eastAsia="宋体" w:cs="Times New Roman"/>
          <w:b/>
          <w:bCs/>
          <w:color w:val="auto"/>
          <w:sz w:val="24"/>
          <w:szCs w:val="24"/>
          <w:highlight w:val="none"/>
        </w:rPr>
      </w:pPr>
      <w:bookmarkStart w:id="760" w:name="_Toc389065286"/>
      <w:bookmarkStart w:id="761" w:name="_Toc89333284"/>
      <w:bookmarkStart w:id="762" w:name="_Toc373478367"/>
      <w:bookmarkStart w:id="763" w:name="_Toc88065626"/>
      <w:bookmarkStart w:id="764" w:name="_Toc527311302"/>
      <w:bookmarkStart w:id="765" w:name="_Toc373227720"/>
      <w:bookmarkStart w:id="766" w:name="_Toc89333036"/>
      <w:bookmarkStart w:id="767" w:name="_Toc2121"/>
      <w:bookmarkStart w:id="768" w:name="_Toc395382522"/>
      <w:r>
        <w:rPr>
          <w:rFonts w:ascii="Times New Roman" w:hAnsi="Times New Roman" w:eastAsia="宋体" w:cs="Times New Roman"/>
          <w:b/>
          <w:bCs/>
          <w:color w:val="auto"/>
          <w:sz w:val="24"/>
          <w:szCs w:val="24"/>
          <w:highlight w:val="none"/>
        </w:rPr>
        <w:t>6.1 安全文明施工</w:t>
      </w:r>
      <w:bookmarkEnd w:id="760"/>
      <w:bookmarkEnd w:id="761"/>
      <w:bookmarkEnd w:id="762"/>
      <w:bookmarkEnd w:id="763"/>
      <w:bookmarkEnd w:id="764"/>
      <w:bookmarkEnd w:id="765"/>
      <w:bookmarkEnd w:id="766"/>
      <w:bookmarkEnd w:id="767"/>
      <w:bookmarkEnd w:id="768"/>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6.1.1 项目安全生产的达标目标及相应事项的约定：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w:t>
      </w:r>
      <w:r>
        <w:rPr>
          <w:rFonts w:hint="eastAsia" w:ascii="宋体" w:hAnsi="宋体" w:eastAsia="宋体" w:cs="Times New Roman"/>
          <w:color w:val="auto"/>
          <w:sz w:val="24"/>
          <w:szCs w:val="24"/>
          <w:highlight w:val="none"/>
        </w:rPr>
        <w:t>安全文明施工</w:t>
      </w:r>
      <w:r>
        <w:rPr>
          <w:rFonts w:ascii="宋体" w:hAnsi="宋体" w:eastAsia="宋体" w:cs="Times New Roman"/>
          <w:color w:val="auto"/>
          <w:sz w:val="24"/>
          <w:szCs w:val="24"/>
          <w:highlight w:val="none"/>
        </w:rPr>
        <w:t>奖项的约定：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6.1.4 关于治安保卫的特别约定：</w:t>
      </w:r>
      <w:r>
        <w:rPr>
          <w:rFonts w:ascii="宋体" w:hAnsi="宋体" w:eastAsia="宋体" w:cs="Times New Roman"/>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关于编制施工场地治安管理计划的约定：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6.1.5 文明施工</w:t>
      </w:r>
    </w:p>
    <w:p>
      <w:pPr>
        <w:ind w:firstLine="480" w:firstLineChars="200"/>
        <w:rPr>
          <w:rFonts w:ascii="宋体" w:hAnsi="宋体" w:eastAsia="宋体" w:cs="Times New Roman"/>
          <w:b/>
          <w:color w:val="auto"/>
          <w:sz w:val="24"/>
          <w:szCs w:val="24"/>
          <w:highlight w:val="none"/>
          <w:u w:val="single"/>
        </w:rPr>
      </w:pPr>
      <w:r>
        <w:rPr>
          <w:rFonts w:ascii="宋体" w:hAnsi="宋体" w:eastAsia="宋体" w:cs="Times New Roman"/>
          <w:color w:val="auto"/>
          <w:sz w:val="24"/>
          <w:szCs w:val="24"/>
          <w:highlight w:val="none"/>
        </w:rPr>
        <w:t>合同当事人对文明施工的要求：</w:t>
      </w:r>
      <w:r>
        <w:rPr>
          <w:rFonts w:ascii="宋体" w:hAnsi="宋体" w:eastAsia="宋体" w:cs="Times New Roman"/>
          <w:color w:val="auto"/>
          <w:sz w:val="24"/>
          <w:szCs w:val="24"/>
          <w:highlight w:val="none"/>
          <w:u w:val="single"/>
        </w:rPr>
        <w:t xml:space="preserve">                                                </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6.1.6 关于安全文明施工费支付比例和支付期限的约定：</w:t>
      </w:r>
    </w:p>
    <w:p>
      <w:pPr>
        <w:autoSpaceDE w:val="0"/>
        <w:autoSpaceDN w:val="0"/>
        <w:adjustRightInd w:val="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本合同价款已包含安全文明施工费</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使用要求：专款专用。具体按《广西壮族自治区建筑工程安全防护、文明施工措施费及管理细则》</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桂建质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20</w:t>
      </w:r>
      <w:r>
        <w:rPr>
          <w:rFonts w:hint="eastAsia" w:ascii="宋体" w:hAnsi="宋体" w:eastAsia="宋体" w:cs="Times New Roman"/>
          <w:color w:val="auto"/>
          <w:sz w:val="24"/>
          <w:szCs w:val="24"/>
          <w:highlight w:val="none"/>
        </w:rPr>
        <w:t>15〕16</w:t>
      </w:r>
      <w:r>
        <w:rPr>
          <w:rFonts w:ascii="宋体" w:hAnsi="宋体" w:eastAsia="宋体" w:cs="Times New Roman"/>
          <w:color w:val="auto"/>
          <w:sz w:val="24"/>
          <w:szCs w:val="24"/>
          <w:highlight w:val="none"/>
        </w:rPr>
        <w:t>号</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和</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市相关规定执行</w:t>
      </w:r>
      <w:r>
        <w:rPr>
          <w:rFonts w:hint="eastAsia"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（3）支付约定：</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769" w:name="_Toc395382523"/>
      <w:bookmarkStart w:id="770" w:name="_Toc12881"/>
      <w:bookmarkStart w:id="771" w:name="_Toc89333037"/>
      <w:bookmarkStart w:id="772" w:name="_Toc527311303"/>
      <w:bookmarkStart w:id="773" w:name="_Toc88065627"/>
      <w:bookmarkStart w:id="774" w:name="_Toc89333285"/>
      <w:bookmarkStart w:id="775" w:name="_Toc373227721"/>
      <w:bookmarkStart w:id="776" w:name="_Toc389065287"/>
      <w:bookmarkStart w:id="777" w:name="_Toc373478368"/>
      <w:r>
        <w:rPr>
          <w:rFonts w:ascii="Times New Roman" w:hAnsi="Times New Roman" w:eastAsia="宋体" w:cs="Times New Roman"/>
          <w:b/>
          <w:bCs/>
          <w:color w:val="auto"/>
          <w:sz w:val="24"/>
          <w:szCs w:val="24"/>
          <w:highlight w:val="none"/>
        </w:rPr>
        <w:t>6.3 环境保护</w:t>
      </w:r>
      <w:bookmarkEnd w:id="769"/>
      <w:bookmarkEnd w:id="770"/>
      <w:bookmarkEnd w:id="771"/>
      <w:bookmarkEnd w:id="772"/>
      <w:bookmarkEnd w:id="773"/>
      <w:bookmarkEnd w:id="774"/>
      <w:bookmarkEnd w:id="775"/>
      <w:bookmarkEnd w:id="776"/>
      <w:bookmarkEnd w:id="777"/>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因施工需要，经发包人批准，由承包人办理有关施工场地交通、环卫和施工噪音管理等手续，费用由承包人负责。</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经过城市道路的施工车辆，必须按交警、城管、运输等部门相关规定执行。由于施工车辆造成的道路、环境等污染，其责任和费用均由承包人承担。</w:t>
      </w:r>
    </w:p>
    <w:bookmarkEnd w:id="743"/>
    <w:bookmarkEnd w:id="744"/>
    <w:bookmarkEnd w:id="745"/>
    <w:bookmarkEnd w:id="746"/>
    <w:bookmarkEnd w:id="747"/>
    <w:bookmarkEnd w:id="748"/>
    <w:bookmarkEnd w:id="749"/>
    <w:p>
      <w:pPr>
        <w:keepNext/>
        <w:keepLines/>
        <w:spacing w:before="260" w:after="260"/>
        <w:outlineLvl w:val="1"/>
        <w:rPr>
          <w:rFonts w:ascii="宋体" w:hAnsi="宋体" w:eastAsia="宋体" w:cs="Times New Roman"/>
          <w:b/>
          <w:bCs/>
          <w:color w:val="auto"/>
          <w:sz w:val="24"/>
          <w:szCs w:val="24"/>
          <w:highlight w:val="none"/>
        </w:rPr>
      </w:pPr>
      <w:bookmarkStart w:id="778" w:name="_Toc527311304"/>
      <w:bookmarkStart w:id="779" w:name="_Toc373478369"/>
      <w:bookmarkStart w:id="780" w:name="_Toc89333038"/>
      <w:bookmarkStart w:id="781" w:name="_Toc88065628"/>
      <w:bookmarkStart w:id="782" w:name="_Toc12047"/>
      <w:bookmarkStart w:id="783" w:name="_Toc351203639"/>
      <w:bookmarkStart w:id="784" w:name="_Toc395382524"/>
      <w:bookmarkStart w:id="785" w:name="_Toc373227722"/>
      <w:bookmarkStart w:id="786" w:name="_Toc389065288"/>
      <w:bookmarkStart w:id="787" w:name="_Toc89333286"/>
      <w:r>
        <w:rPr>
          <w:rFonts w:ascii="宋体" w:hAnsi="宋体" w:eastAsia="宋体" w:cs="Times New Roman"/>
          <w:b/>
          <w:bCs/>
          <w:color w:val="auto"/>
          <w:sz w:val="24"/>
          <w:szCs w:val="24"/>
          <w:highlight w:val="none"/>
        </w:rPr>
        <w:t>7. 工期和进度</w:t>
      </w:r>
      <w:bookmarkEnd w:id="778"/>
      <w:bookmarkEnd w:id="779"/>
      <w:bookmarkEnd w:id="780"/>
      <w:bookmarkEnd w:id="781"/>
      <w:bookmarkEnd w:id="782"/>
      <w:bookmarkEnd w:id="783"/>
      <w:bookmarkEnd w:id="784"/>
      <w:bookmarkEnd w:id="785"/>
      <w:bookmarkEnd w:id="786"/>
      <w:bookmarkEnd w:id="787"/>
    </w:p>
    <w:p>
      <w:pPr>
        <w:keepNext/>
        <w:keepLines/>
        <w:spacing w:before="260" w:after="260"/>
        <w:outlineLvl w:val="2"/>
        <w:rPr>
          <w:rFonts w:ascii="Times New Roman" w:hAnsi="Times New Roman" w:eastAsia="宋体" w:cs="Times New Roman"/>
          <w:b/>
          <w:bCs/>
          <w:color w:val="auto"/>
          <w:sz w:val="24"/>
          <w:szCs w:val="24"/>
          <w:highlight w:val="none"/>
        </w:rPr>
      </w:pPr>
      <w:bookmarkStart w:id="788" w:name="_Toc89333039"/>
      <w:bookmarkStart w:id="789" w:name="_Toc4230"/>
      <w:bookmarkStart w:id="790" w:name="_Toc373478370"/>
      <w:bookmarkStart w:id="791" w:name="_Toc395382525"/>
      <w:bookmarkStart w:id="792" w:name="_Toc389065289"/>
      <w:bookmarkStart w:id="793" w:name="_Toc88065629"/>
      <w:bookmarkStart w:id="794" w:name="_Toc373227723"/>
      <w:bookmarkStart w:id="795" w:name="_Toc527311305"/>
      <w:bookmarkStart w:id="796" w:name="_Toc89333287"/>
      <w:r>
        <w:rPr>
          <w:rFonts w:ascii="Times New Roman" w:hAnsi="Times New Roman" w:eastAsia="宋体" w:cs="Times New Roman"/>
          <w:b/>
          <w:bCs/>
          <w:color w:val="auto"/>
          <w:sz w:val="24"/>
          <w:szCs w:val="24"/>
          <w:highlight w:val="none"/>
        </w:rPr>
        <w:t>7.1 施工组织设计</w:t>
      </w:r>
      <w:bookmarkEnd w:id="788"/>
      <w:bookmarkEnd w:id="789"/>
      <w:bookmarkEnd w:id="790"/>
      <w:bookmarkEnd w:id="791"/>
      <w:bookmarkEnd w:id="792"/>
      <w:bookmarkEnd w:id="793"/>
      <w:bookmarkEnd w:id="794"/>
      <w:bookmarkEnd w:id="795"/>
      <w:bookmarkEnd w:id="796"/>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7.1.1 合同当事人约定的施工组织设计应包括的其他内容：</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7.1.2 施工组织设计的提交和修改</w:t>
      </w:r>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承包人提交详细施工组织设计的期限的约定：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发包人和监理人在收到详细的施工组织设计后确认或提出修改意见的期限：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797" w:name="_Toc89333040"/>
      <w:bookmarkStart w:id="798" w:name="_Toc395382526"/>
      <w:bookmarkStart w:id="799" w:name="_Toc389065290"/>
      <w:bookmarkStart w:id="800" w:name="_Toc373227724"/>
      <w:bookmarkStart w:id="801" w:name="_Toc19576"/>
      <w:bookmarkStart w:id="802" w:name="_Toc89333288"/>
      <w:bookmarkStart w:id="803" w:name="_Toc373478371"/>
      <w:bookmarkStart w:id="804" w:name="_Toc527311306"/>
      <w:bookmarkStart w:id="805" w:name="_Toc88065630"/>
      <w:r>
        <w:rPr>
          <w:rFonts w:ascii="Times New Roman" w:hAnsi="Times New Roman" w:eastAsia="宋体" w:cs="Times New Roman"/>
          <w:b/>
          <w:bCs/>
          <w:color w:val="auto"/>
          <w:sz w:val="24"/>
          <w:szCs w:val="24"/>
          <w:highlight w:val="none"/>
        </w:rPr>
        <w:t>7</w:t>
      </w:r>
      <w:bookmarkStart w:id="806" w:name="_Toc304295541"/>
      <w:bookmarkStart w:id="807" w:name="_Toc303539123"/>
      <w:bookmarkStart w:id="808" w:name="_Toc312678005"/>
      <w:bookmarkStart w:id="809" w:name="_Toc297123514"/>
      <w:bookmarkStart w:id="810" w:name="_Toc312677479"/>
      <w:bookmarkStart w:id="811" w:name="_Toc297216173"/>
      <w:bookmarkStart w:id="812" w:name="_Toc300934966"/>
      <w:r>
        <w:rPr>
          <w:rFonts w:ascii="Times New Roman" w:hAnsi="Times New Roman" w:eastAsia="宋体" w:cs="Times New Roman"/>
          <w:b/>
          <w:bCs/>
          <w:color w:val="auto"/>
          <w:sz w:val="24"/>
          <w:szCs w:val="24"/>
          <w:highlight w:val="none"/>
        </w:rPr>
        <w:t>.2 施工进度计划</w:t>
      </w:r>
      <w:bookmarkEnd w:id="797"/>
      <w:bookmarkEnd w:id="798"/>
      <w:bookmarkEnd w:id="799"/>
      <w:bookmarkEnd w:id="800"/>
      <w:bookmarkEnd w:id="801"/>
      <w:bookmarkEnd w:id="802"/>
      <w:bookmarkEnd w:id="803"/>
      <w:bookmarkEnd w:id="804"/>
      <w:bookmarkEnd w:id="805"/>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7.2.2 施工进度计划的修订</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发包人和监理人在收到修订的施工进度计划后确认或提出修改意见的期限：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813" w:name="_Toc373478372"/>
      <w:bookmarkStart w:id="814" w:name="_Toc373227725"/>
      <w:bookmarkStart w:id="815" w:name="_Toc89333041"/>
      <w:bookmarkStart w:id="816" w:name="_Toc88065631"/>
      <w:bookmarkStart w:id="817" w:name="_Toc89333289"/>
      <w:bookmarkStart w:id="818" w:name="_Toc389065291"/>
      <w:bookmarkStart w:id="819" w:name="_Toc395382527"/>
      <w:bookmarkStart w:id="820" w:name="_Toc334"/>
      <w:bookmarkStart w:id="821" w:name="_Toc527311307"/>
      <w:r>
        <w:rPr>
          <w:rFonts w:ascii="Times New Roman" w:hAnsi="Times New Roman" w:eastAsia="宋体" w:cs="Times New Roman"/>
          <w:b/>
          <w:bCs/>
          <w:color w:val="auto"/>
          <w:sz w:val="24"/>
          <w:szCs w:val="24"/>
          <w:highlight w:val="none"/>
        </w:rPr>
        <w:t>7.3 开工</w:t>
      </w:r>
      <w:bookmarkEnd w:id="813"/>
      <w:bookmarkEnd w:id="814"/>
      <w:bookmarkEnd w:id="815"/>
      <w:bookmarkEnd w:id="816"/>
      <w:bookmarkEnd w:id="817"/>
      <w:bookmarkEnd w:id="818"/>
      <w:bookmarkEnd w:id="819"/>
      <w:bookmarkEnd w:id="820"/>
      <w:bookmarkEnd w:id="821"/>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7.3.1 开工准备</w:t>
      </w:r>
    </w:p>
    <w:p>
      <w:pPr>
        <w:ind w:firstLine="426"/>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关于承包人提交工程开工报审表的期限：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26"/>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关于发包人应完成的其他开工准备工作及期限：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关于承包人应完成的其他开工准备工作及期限：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7.3.2</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开工通知</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因发包人原因造成监理人未能在计划开工日期之日起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天内发出开工通知的，承包人有权提出价格调整要求，或者解除合同。</w:t>
      </w:r>
    </w:p>
    <w:bookmarkEnd w:id="806"/>
    <w:bookmarkEnd w:id="807"/>
    <w:bookmarkEnd w:id="808"/>
    <w:bookmarkEnd w:id="809"/>
    <w:bookmarkEnd w:id="810"/>
    <w:bookmarkEnd w:id="811"/>
    <w:bookmarkEnd w:id="812"/>
    <w:p>
      <w:pPr>
        <w:keepNext/>
        <w:keepLines/>
        <w:spacing w:before="260" w:after="260"/>
        <w:outlineLvl w:val="2"/>
        <w:rPr>
          <w:rFonts w:ascii="Times New Roman" w:hAnsi="Times New Roman" w:eastAsia="宋体" w:cs="Times New Roman"/>
          <w:b/>
          <w:bCs/>
          <w:color w:val="auto"/>
          <w:sz w:val="24"/>
          <w:szCs w:val="24"/>
          <w:highlight w:val="none"/>
        </w:rPr>
      </w:pPr>
      <w:bookmarkStart w:id="822" w:name="_Toc527311308"/>
      <w:bookmarkStart w:id="823" w:name="_Toc395382528"/>
      <w:bookmarkStart w:id="824" w:name="_Toc389065292"/>
      <w:bookmarkStart w:id="825" w:name="_Toc373478373"/>
      <w:bookmarkStart w:id="826" w:name="_Toc88065632"/>
      <w:bookmarkStart w:id="827" w:name="_Toc89333290"/>
      <w:bookmarkStart w:id="828" w:name="_Toc373227726"/>
      <w:bookmarkStart w:id="829" w:name="_Toc19384"/>
      <w:bookmarkStart w:id="830" w:name="_Toc89333042"/>
      <w:r>
        <w:rPr>
          <w:rFonts w:ascii="Times New Roman" w:hAnsi="Times New Roman" w:eastAsia="宋体" w:cs="Times New Roman"/>
          <w:b/>
          <w:bCs/>
          <w:color w:val="auto"/>
          <w:sz w:val="24"/>
          <w:szCs w:val="24"/>
          <w:highlight w:val="none"/>
        </w:rPr>
        <w:t>7.4 测量放线</w:t>
      </w:r>
      <w:bookmarkEnd w:id="822"/>
      <w:bookmarkEnd w:id="823"/>
      <w:bookmarkEnd w:id="824"/>
      <w:bookmarkEnd w:id="825"/>
      <w:bookmarkEnd w:id="826"/>
      <w:bookmarkEnd w:id="827"/>
      <w:bookmarkEnd w:id="828"/>
      <w:bookmarkEnd w:id="829"/>
      <w:bookmarkEnd w:id="830"/>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7.4.1发包人通过监理人向承包人提供测量基准点、基准线和水准点及其书面资料的期限：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831" w:name="_Toc2280"/>
      <w:bookmarkStart w:id="832" w:name="_Toc527311309"/>
      <w:bookmarkStart w:id="833" w:name="_Toc88065633"/>
      <w:bookmarkStart w:id="834" w:name="_Toc373478374"/>
      <w:bookmarkStart w:id="835" w:name="_Toc373227727"/>
      <w:bookmarkStart w:id="836" w:name="_Toc89333043"/>
      <w:bookmarkStart w:id="837" w:name="_Toc89333291"/>
      <w:bookmarkStart w:id="838" w:name="_Toc389065293"/>
      <w:bookmarkStart w:id="839" w:name="_Toc395382529"/>
      <w:r>
        <w:rPr>
          <w:rFonts w:ascii="Times New Roman" w:hAnsi="Times New Roman" w:eastAsia="宋体" w:cs="Times New Roman"/>
          <w:b/>
          <w:bCs/>
          <w:color w:val="auto"/>
          <w:sz w:val="24"/>
          <w:szCs w:val="24"/>
          <w:highlight w:val="none"/>
        </w:rPr>
        <w:t>7</w:t>
      </w:r>
      <w:bookmarkStart w:id="840" w:name="_Toc303539125"/>
      <w:bookmarkStart w:id="841" w:name="_Toc297216175"/>
      <w:bookmarkStart w:id="842" w:name="_Toc312677484"/>
      <w:bookmarkStart w:id="843" w:name="_Toc312678010"/>
      <w:bookmarkStart w:id="844" w:name="_Toc300934968"/>
      <w:bookmarkStart w:id="845" w:name="_Toc297123516"/>
      <w:bookmarkStart w:id="846" w:name="_Toc304295546"/>
      <w:r>
        <w:rPr>
          <w:rFonts w:ascii="Times New Roman" w:hAnsi="Times New Roman" w:eastAsia="宋体" w:cs="Times New Roman"/>
          <w:b/>
          <w:bCs/>
          <w:color w:val="auto"/>
          <w:sz w:val="24"/>
          <w:szCs w:val="24"/>
          <w:highlight w:val="none"/>
        </w:rPr>
        <w:t>.5 工期延误</w:t>
      </w:r>
      <w:bookmarkEnd w:id="831"/>
      <w:bookmarkEnd w:id="832"/>
      <w:bookmarkEnd w:id="833"/>
      <w:bookmarkEnd w:id="834"/>
      <w:bookmarkEnd w:id="835"/>
      <w:bookmarkEnd w:id="836"/>
      <w:bookmarkEnd w:id="837"/>
      <w:bookmarkEnd w:id="838"/>
      <w:bookmarkEnd w:id="839"/>
    </w:p>
    <w:bookmarkEnd w:id="840"/>
    <w:bookmarkEnd w:id="841"/>
    <w:bookmarkEnd w:id="842"/>
    <w:bookmarkEnd w:id="843"/>
    <w:bookmarkEnd w:id="844"/>
    <w:bookmarkEnd w:id="845"/>
    <w:bookmarkEnd w:id="846"/>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7.5.1 因发包人原因导致工期延误</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（7）因发包人原因导致工期延误的其他情形：</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bookmarkStart w:id="847" w:name="_Toc312677486"/>
      <w:bookmarkStart w:id="848" w:name="_Toc312678012"/>
      <w:bookmarkStart w:id="849" w:name="_Toc318581169"/>
      <w:bookmarkStart w:id="850" w:name="_Toc297216177"/>
      <w:bookmarkStart w:id="851" w:name="_Toc303539127"/>
      <w:bookmarkStart w:id="852" w:name="_Toc300934970"/>
      <w:bookmarkStart w:id="853" w:name="_Toc304295548"/>
      <w:bookmarkStart w:id="854" w:name="_Toc297123518"/>
      <w:r>
        <w:rPr>
          <w:rFonts w:ascii="宋体" w:hAnsi="宋体" w:eastAsia="宋体" w:cs="Times New Roman"/>
          <w:color w:val="auto"/>
          <w:sz w:val="24"/>
          <w:szCs w:val="24"/>
          <w:highlight w:val="none"/>
        </w:rPr>
        <w:t>.5.2 因承包人原因导致工期延误</w:t>
      </w:r>
    </w:p>
    <w:bookmarkEnd w:id="847"/>
    <w:bookmarkEnd w:id="848"/>
    <w:bookmarkEnd w:id="849"/>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双方约定经监理工程师确认，工期相应顺延的情况：</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因</w:t>
      </w:r>
      <w:bookmarkStart w:id="855" w:name="_Toc312678013"/>
      <w:bookmarkStart w:id="856" w:name="_Toc312677487"/>
      <w:bookmarkStart w:id="857" w:name="_Toc318581170"/>
      <w:r>
        <w:rPr>
          <w:rFonts w:ascii="宋体" w:hAnsi="宋体" w:eastAsia="宋体" w:cs="Times New Roman"/>
          <w:color w:val="auto"/>
          <w:sz w:val="24"/>
          <w:szCs w:val="24"/>
          <w:highlight w:val="none"/>
        </w:rPr>
        <w:t>承包人原因造成工期延误，逾期竣工违约金的计算方法为：</w:t>
      </w:r>
      <w:bookmarkEnd w:id="850"/>
      <w:bookmarkEnd w:id="851"/>
      <w:bookmarkEnd w:id="852"/>
      <w:bookmarkEnd w:id="853"/>
      <w:bookmarkEnd w:id="854"/>
      <w:bookmarkEnd w:id="855"/>
      <w:bookmarkEnd w:id="856"/>
      <w:bookmarkEnd w:id="857"/>
      <w:bookmarkStart w:id="858" w:name="_Toc389065294"/>
      <w:bookmarkStart w:id="859" w:name="_Toc527311310"/>
      <w:bookmarkStart w:id="860" w:name="_Toc373227728"/>
      <w:bookmarkStart w:id="861" w:name="_Toc13955"/>
      <w:bookmarkStart w:id="862" w:name="_Toc395382530"/>
      <w:bookmarkStart w:id="863" w:name="_Toc373478375"/>
      <w:r>
        <w:rPr>
          <w:rFonts w:hint="eastAsia" w:ascii="宋体" w:hAnsi="宋体" w:eastAsia="宋体" w:cs="Times New Roman"/>
          <w:color w:val="auto"/>
          <w:sz w:val="24"/>
          <w:szCs w:val="24"/>
          <w:highlight w:val="none"/>
          <w:u w:val="single"/>
        </w:rPr>
        <w:t>按逾期竣工的单项工程罚款，每延误一天,按单项工程应支付给承包人的结算造价的万分之   处罚,罚款直接从结算款中扣除。误期时间从规定竣工日期起直到实际竣工日期的天数（扣除发包人批准顺延的工期）。因承包人原因造成工期延误，逾期竣工违约金的上限：逾期竣工的单项工程结算造价的    %。</w:t>
      </w:r>
    </w:p>
    <w:p>
      <w:pPr>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bookmarkStart w:id="864" w:name="_Toc312678015"/>
      <w:bookmarkStart w:id="865" w:name="_Toc297123519"/>
      <w:bookmarkStart w:id="866" w:name="_Toc297216178"/>
      <w:bookmarkStart w:id="867" w:name="_Toc304295549"/>
      <w:bookmarkStart w:id="868" w:name="_Toc303539128"/>
      <w:bookmarkStart w:id="869" w:name="_Toc300934971"/>
      <w:r>
        <w:rPr>
          <w:rFonts w:ascii="Times New Roman" w:hAnsi="Times New Roman" w:eastAsia="宋体" w:cs="Times New Roman"/>
          <w:color w:val="auto"/>
          <w:sz w:val="24"/>
          <w:szCs w:val="24"/>
          <w:highlight w:val="none"/>
        </w:rPr>
        <w:t>.6 不</w:t>
      </w:r>
      <w:bookmarkEnd w:id="864"/>
      <w:bookmarkEnd w:id="865"/>
      <w:bookmarkEnd w:id="866"/>
      <w:bookmarkEnd w:id="867"/>
      <w:bookmarkEnd w:id="868"/>
      <w:bookmarkEnd w:id="869"/>
      <w:r>
        <w:rPr>
          <w:rFonts w:ascii="Times New Roman" w:hAnsi="Times New Roman" w:eastAsia="宋体" w:cs="Times New Roman"/>
          <w:color w:val="auto"/>
          <w:sz w:val="24"/>
          <w:szCs w:val="24"/>
          <w:highlight w:val="none"/>
        </w:rPr>
        <w:t>利物质条件</w:t>
      </w:r>
      <w:bookmarkEnd w:id="858"/>
      <w:bookmarkEnd w:id="859"/>
      <w:bookmarkEnd w:id="860"/>
      <w:bookmarkEnd w:id="861"/>
      <w:bookmarkEnd w:id="862"/>
      <w:bookmarkEnd w:id="863"/>
    </w:p>
    <w:p>
      <w:pPr>
        <w:ind w:firstLine="480" w:firstLineChars="200"/>
        <w:rPr>
          <w:rFonts w:ascii="宋体" w:hAnsi="宋体" w:eastAsia="宋体" w:cs="Times New Roman"/>
          <w:color w:val="auto"/>
          <w:sz w:val="24"/>
          <w:szCs w:val="24"/>
          <w:highlight w:val="none"/>
          <w:u w:val="single"/>
        </w:rPr>
      </w:pPr>
      <w:bookmarkStart w:id="870" w:name="_Toc312678016"/>
      <w:bookmarkStart w:id="871" w:name="_Toc297123520"/>
      <w:bookmarkStart w:id="872" w:name="_Toc318581172"/>
      <w:bookmarkStart w:id="873" w:name="_Toc304295550"/>
      <w:bookmarkStart w:id="874" w:name="_Toc297216179"/>
      <w:bookmarkStart w:id="875" w:name="_Toc303539129"/>
      <w:bookmarkStart w:id="876" w:name="_Toc300934972"/>
      <w:r>
        <w:rPr>
          <w:rFonts w:ascii="宋体" w:hAnsi="宋体" w:eastAsia="宋体" w:cs="Times New Roman"/>
          <w:color w:val="auto"/>
          <w:sz w:val="24"/>
          <w:szCs w:val="24"/>
          <w:highlight w:val="none"/>
        </w:rPr>
        <w:t>不利物质条件的其他情形和有关约定：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870"/>
    <w:bookmarkEnd w:id="871"/>
    <w:bookmarkEnd w:id="872"/>
    <w:bookmarkEnd w:id="873"/>
    <w:bookmarkEnd w:id="874"/>
    <w:bookmarkEnd w:id="875"/>
    <w:bookmarkEnd w:id="876"/>
    <w:p>
      <w:pPr>
        <w:keepNext/>
        <w:keepLines/>
        <w:spacing w:before="260" w:after="260"/>
        <w:outlineLvl w:val="2"/>
        <w:rPr>
          <w:rFonts w:ascii="Times New Roman" w:hAnsi="Times New Roman" w:eastAsia="宋体" w:cs="Times New Roman"/>
          <w:b/>
          <w:bCs/>
          <w:color w:val="auto"/>
          <w:sz w:val="24"/>
          <w:szCs w:val="24"/>
          <w:highlight w:val="none"/>
        </w:rPr>
      </w:pPr>
      <w:bookmarkStart w:id="877" w:name="_Toc527311311"/>
      <w:bookmarkStart w:id="878" w:name="_Toc89333292"/>
      <w:bookmarkStart w:id="879" w:name="_Toc389065295"/>
      <w:bookmarkStart w:id="880" w:name="_Toc88065634"/>
      <w:bookmarkStart w:id="881" w:name="_Toc373227729"/>
      <w:bookmarkStart w:id="882" w:name="_Toc89333044"/>
      <w:bookmarkStart w:id="883" w:name="_Toc373478376"/>
      <w:bookmarkStart w:id="884" w:name="_Toc395382531"/>
      <w:bookmarkStart w:id="885" w:name="_Toc3806"/>
      <w:r>
        <w:rPr>
          <w:rFonts w:ascii="Times New Roman" w:hAnsi="Times New Roman" w:eastAsia="宋体" w:cs="Times New Roman"/>
          <w:b/>
          <w:bCs/>
          <w:color w:val="auto"/>
          <w:sz w:val="24"/>
          <w:szCs w:val="24"/>
          <w:highlight w:val="none"/>
        </w:rPr>
        <w:t>7</w:t>
      </w:r>
      <w:bookmarkStart w:id="886" w:name="_Toc300934973"/>
      <w:bookmarkStart w:id="887" w:name="_Toc304295551"/>
      <w:bookmarkStart w:id="888" w:name="_Toc312678017"/>
      <w:bookmarkStart w:id="889" w:name="_Toc297216180"/>
      <w:bookmarkStart w:id="890" w:name="_Toc297123521"/>
      <w:bookmarkStart w:id="891" w:name="_Toc303539130"/>
      <w:r>
        <w:rPr>
          <w:rFonts w:ascii="Times New Roman" w:hAnsi="Times New Roman" w:eastAsia="宋体" w:cs="Times New Roman"/>
          <w:b/>
          <w:bCs/>
          <w:color w:val="auto"/>
          <w:sz w:val="24"/>
          <w:szCs w:val="24"/>
          <w:highlight w:val="none"/>
        </w:rPr>
        <w:t>.7 异常恶劣的气候条件</w:t>
      </w:r>
      <w:bookmarkEnd w:id="877"/>
      <w:bookmarkEnd w:id="878"/>
      <w:bookmarkEnd w:id="879"/>
      <w:bookmarkEnd w:id="880"/>
      <w:bookmarkEnd w:id="881"/>
      <w:bookmarkEnd w:id="882"/>
      <w:bookmarkEnd w:id="883"/>
      <w:bookmarkEnd w:id="884"/>
      <w:bookmarkEnd w:id="885"/>
    </w:p>
    <w:bookmarkEnd w:id="886"/>
    <w:bookmarkEnd w:id="887"/>
    <w:bookmarkEnd w:id="888"/>
    <w:bookmarkEnd w:id="889"/>
    <w:bookmarkEnd w:id="890"/>
    <w:bookmarkEnd w:id="891"/>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发包人和承包人同意以下情形视为异常恶劣的气候条件：</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892" w:name="_Toc527311312"/>
      <w:bookmarkStart w:id="893" w:name="_Toc89333045"/>
      <w:bookmarkStart w:id="894" w:name="_Toc389065296"/>
      <w:bookmarkStart w:id="895" w:name="_Toc88065635"/>
      <w:bookmarkStart w:id="896" w:name="_Toc373478377"/>
      <w:bookmarkStart w:id="897" w:name="_Toc395382532"/>
      <w:bookmarkStart w:id="898" w:name="_Toc28732"/>
      <w:bookmarkStart w:id="899" w:name="_Toc89333293"/>
      <w:bookmarkStart w:id="900" w:name="_Toc373227730"/>
      <w:r>
        <w:rPr>
          <w:rFonts w:ascii="Times New Roman" w:hAnsi="Times New Roman" w:eastAsia="宋体" w:cs="Times New Roman"/>
          <w:b/>
          <w:bCs/>
          <w:color w:val="auto"/>
          <w:sz w:val="24"/>
          <w:szCs w:val="24"/>
          <w:highlight w:val="none"/>
        </w:rPr>
        <w:t>7.9 提前竣工</w:t>
      </w:r>
      <w:bookmarkEnd w:id="892"/>
      <w:bookmarkEnd w:id="893"/>
      <w:bookmarkEnd w:id="894"/>
      <w:bookmarkEnd w:id="895"/>
      <w:bookmarkEnd w:id="896"/>
      <w:bookmarkEnd w:id="897"/>
      <w:bookmarkEnd w:id="898"/>
      <w:bookmarkEnd w:id="899"/>
      <w:bookmarkEnd w:id="900"/>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7.9.2提前竣工</w:t>
      </w:r>
      <w:r>
        <w:rPr>
          <w:rFonts w:hint="eastAsia" w:ascii="宋体" w:hAnsi="宋体" w:eastAsia="宋体" w:cs="Times New Roman"/>
          <w:color w:val="auto"/>
          <w:sz w:val="24"/>
          <w:szCs w:val="24"/>
          <w:highlight w:val="none"/>
        </w:rPr>
        <w:t>（赶工）增加费</w:t>
      </w:r>
      <w:r>
        <w:rPr>
          <w:rFonts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rPr>
        <w:t>计算方法</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901" w:name="_Toc8963"/>
      <w:bookmarkStart w:id="902" w:name="_Toc527311313"/>
      <w:bookmarkStart w:id="903" w:name="_Toc89333294"/>
      <w:bookmarkStart w:id="904" w:name="_Toc373227731"/>
      <w:bookmarkStart w:id="905" w:name="_Toc351203640"/>
      <w:bookmarkStart w:id="906" w:name="_Toc88065636"/>
      <w:bookmarkStart w:id="907" w:name="_Toc389065297"/>
      <w:bookmarkStart w:id="908" w:name="_Toc373478378"/>
      <w:bookmarkStart w:id="909" w:name="_Toc395382533"/>
      <w:bookmarkStart w:id="910" w:name="_Toc89333046"/>
      <w:r>
        <w:rPr>
          <w:rFonts w:ascii="宋体" w:hAnsi="宋体" w:eastAsia="宋体" w:cs="Times New Roman"/>
          <w:b/>
          <w:bCs/>
          <w:color w:val="auto"/>
          <w:sz w:val="24"/>
          <w:szCs w:val="24"/>
          <w:highlight w:val="none"/>
        </w:rPr>
        <w:t>8. 材料与设备</w:t>
      </w:r>
      <w:bookmarkEnd w:id="901"/>
      <w:bookmarkEnd w:id="902"/>
      <w:bookmarkEnd w:id="903"/>
      <w:bookmarkEnd w:id="904"/>
      <w:bookmarkEnd w:id="905"/>
      <w:bookmarkEnd w:id="906"/>
      <w:bookmarkEnd w:id="907"/>
      <w:bookmarkEnd w:id="908"/>
      <w:bookmarkEnd w:id="909"/>
      <w:bookmarkEnd w:id="910"/>
    </w:p>
    <w:bookmarkEnd w:id="724"/>
    <w:bookmarkEnd w:id="725"/>
    <w:bookmarkEnd w:id="726"/>
    <w:bookmarkEnd w:id="727"/>
    <w:bookmarkEnd w:id="728"/>
    <w:bookmarkEnd w:id="729"/>
    <w:bookmarkEnd w:id="730"/>
    <w:bookmarkEnd w:id="731"/>
    <w:bookmarkEnd w:id="732"/>
    <w:bookmarkEnd w:id="733"/>
    <w:p>
      <w:pPr>
        <w:keepNext/>
        <w:keepLines/>
        <w:spacing w:before="260" w:after="260"/>
        <w:outlineLvl w:val="2"/>
        <w:rPr>
          <w:rFonts w:ascii="Times New Roman" w:hAnsi="Times New Roman" w:eastAsia="宋体" w:cs="Times New Roman"/>
          <w:b/>
          <w:bCs/>
          <w:color w:val="auto"/>
          <w:sz w:val="24"/>
          <w:szCs w:val="24"/>
          <w:highlight w:val="none"/>
        </w:rPr>
      </w:pPr>
      <w:bookmarkStart w:id="911" w:name="_Toc89333295"/>
      <w:bookmarkStart w:id="912" w:name="_Toc527311314"/>
      <w:bookmarkStart w:id="913" w:name="_Toc89333047"/>
      <w:bookmarkStart w:id="914" w:name="_Toc373478379"/>
      <w:bookmarkStart w:id="915" w:name="_Toc395382534"/>
      <w:bookmarkStart w:id="916" w:name="_Toc88065637"/>
      <w:bookmarkStart w:id="917" w:name="_Toc891"/>
      <w:bookmarkStart w:id="918" w:name="_Toc373227732"/>
      <w:bookmarkStart w:id="919" w:name="_Toc389065298"/>
      <w:r>
        <w:rPr>
          <w:rFonts w:ascii="Times New Roman" w:hAnsi="Times New Roman" w:eastAsia="宋体" w:cs="Times New Roman"/>
          <w:b/>
          <w:bCs/>
          <w:color w:val="auto"/>
          <w:sz w:val="24"/>
          <w:szCs w:val="24"/>
          <w:highlight w:val="none"/>
        </w:rPr>
        <w:t>8.2 承包人采购材料与工程设备</w:t>
      </w:r>
      <w:bookmarkEnd w:id="911"/>
      <w:bookmarkEnd w:id="912"/>
      <w:bookmarkEnd w:id="913"/>
      <w:bookmarkEnd w:id="914"/>
      <w:bookmarkEnd w:id="915"/>
      <w:bookmarkEnd w:id="916"/>
      <w:bookmarkEnd w:id="917"/>
      <w:bookmarkEnd w:id="918"/>
      <w:bookmarkEnd w:id="919"/>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除</w:t>
      </w:r>
      <w:r>
        <w:rPr>
          <w:rFonts w:hint="eastAsia" w:ascii="宋体" w:hAnsi="宋体" w:eastAsia="宋体" w:cs="Times New Roman"/>
          <w:color w:val="auto"/>
          <w:sz w:val="24"/>
          <w:szCs w:val="24"/>
          <w:highlight w:val="none"/>
        </w:rPr>
        <w:t>已标价工程量清单</w:t>
      </w:r>
      <w:r>
        <w:rPr>
          <w:rFonts w:ascii="宋体" w:hAnsi="宋体" w:eastAsia="宋体" w:cs="Times New Roman"/>
          <w:color w:val="auto"/>
          <w:sz w:val="24"/>
          <w:szCs w:val="24"/>
          <w:highlight w:val="none"/>
        </w:rPr>
        <w:t>《发包人</w:t>
      </w:r>
      <w:r>
        <w:rPr>
          <w:rFonts w:hint="eastAsia" w:ascii="宋体" w:hAnsi="宋体" w:eastAsia="宋体" w:cs="Times New Roman"/>
          <w:color w:val="auto"/>
          <w:sz w:val="24"/>
          <w:szCs w:val="24"/>
          <w:highlight w:val="none"/>
        </w:rPr>
        <w:t>提供主要</w:t>
      </w:r>
      <w:r>
        <w:rPr>
          <w:rFonts w:ascii="宋体" w:hAnsi="宋体" w:eastAsia="宋体" w:cs="Times New Roman"/>
          <w:color w:val="auto"/>
          <w:sz w:val="24"/>
          <w:szCs w:val="24"/>
          <w:highlight w:val="none"/>
        </w:rPr>
        <w:t>材料</w:t>
      </w:r>
      <w:r>
        <w:rPr>
          <w:rFonts w:hint="eastAsia" w:ascii="宋体" w:hAnsi="宋体" w:eastAsia="宋体" w:cs="Times New Roman"/>
          <w:color w:val="auto"/>
          <w:sz w:val="24"/>
          <w:szCs w:val="24"/>
          <w:highlight w:val="none"/>
        </w:rPr>
        <w:t>和工程</w:t>
      </w:r>
      <w:r>
        <w:rPr>
          <w:rFonts w:ascii="宋体" w:hAnsi="宋体" w:eastAsia="宋体" w:cs="Times New Roman"/>
          <w:color w:val="auto"/>
          <w:sz w:val="24"/>
          <w:szCs w:val="24"/>
          <w:highlight w:val="none"/>
        </w:rPr>
        <w:t>设备一览表》</w:t>
      </w:r>
      <w:r>
        <w:rPr>
          <w:rFonts w:hint="eastAsia" w:ascii="宋体" w:hAnsi="宋体" w:eastAsia="宋体" w:cs="Times New Roman"/>
          <w:color w:val="auto"/>
          <w:sz w:val="24"/>
          <w:szCs w:val="24"/>
          <w:highlight w:val="none"/>
        </w:rPr>
        <w:t>（表-21）</w:t>
      </w:r>
      <w:r>
        <w:rPr>
          <w:rFonts w:ascii="宋体" w:hAnsi="宋体" w:eastAsia="宋体" w:cs="Times New Roman"/>
          <w:color w:val="auto"/>
          <w:sz w:val="24"/>
          <w:szCs w:val="24"/>
          <w:highlight w:val="none"/>
        </w:rPr>
        <w:t>中明确的材料、工程设备外，由承包人负责材料和工程设备的采购、运输和保管。</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承包人提供主要材料和工程设备一览表</w:t>
      </w:r>
      <w:r>
        <w:rPr>
          <w:rFonts w:hint="eastAsia" w:ascii="宋体" w:hAnsi="宋体" w:eastAsia="宋体" w:cs="Times New Roman"/>
          <w:color w:val="auto"/>
          <w:sz w:val="24"/>
          <w:szCs w:val="24"/>
          <w:highlight w:val="none"/>
        </w:rPr>
        <w:t>》（表-22）见已标价工程量清单。</w:t>
      </w:r>
    </w:p>
    <w:p>
      <w:pPr>
        <w:keepNext/>
        <w:keepLines/>
        <w:spacing w:before="260" w:after="260"/>
        <w:outlineLvl w:val="2"/>
        <w:rPr>
          <w:rFonts w:ascii="Times New Roman" w:hAnsi="Times New Roman" w:eastAsia="宋体" w:cs="Times New Roman"/>
          <w:b/>
          <w:bCs/>
          <w:color w:val="auto"/>
          <w:sz w:val="24"/>
          <w:szCs w:val="24"/>
          <w:highlight w:val="none"/>
        </w:rPr>
      </w:pPr>
      <w:bookmarkStart w:id="920" w:name="_Toc389065299"/>
      <w:bookmarkStart w:id="921" w:name="_Toc16218"/>
      <w:bookmarkStart w:id="922" w:name="_Toc373227733"/>
      <w:bookmarkStart w:id="923" w:name="_Toc395382535"/>
      <w:bookmarkStart w:id="924" w:name="_Toc527311315"/>
      <w:bookmarkStart w:id="925" w:name="_Toc89333048"/>
      <w:bookmarkStart w:id="926" w:name="_Toc373478380"/>
      <w:bookmarkStart w:id="927" w:name="_Toc89333296"/>
      <w:bookmarkStart w:id="928" w:name="_Toc88065638"/>
      <w:r>
        <w:rPr>
          <w:rFonts w:ascii="Times New Roman" w:hAnsi="Times New Roman" w:eastAsia="宋体" w:cs="Times New Roman"/>
          <w:b/>
          <w:bCs/>
          <w:color w:val="auto"/>
          <w:sz w:val="24"/>
          <w:szCs w:val="24"/>
          <w:highlight w:val="none"/>
        </w:rPr>
        <w:t>8</w:t>
      </w:r>
      <w:bookmarkStart w:id="929" w:name="_Toc297123527"/>
      <w:bookmarkStart w:id="930" w:name="_Toc297048353"/>
      <w:bookmarkStart w:id="931" w:name="_Toc296890995"/>
      <w:bookmarkStart w:id="932" w:name="_Toc297216186"/>
      <w:bookmarkStart w:id="933" w:name="_Toc296891207"/>
      <w:bookmarkStart w:id="934" w:name="_Toc300934979"/>
      <w:bookmarkStart w:id="935" w:name="_Toc296346668"/>
      <w:bookmarkStart w:id="936" w:name="_Toc312677493"/>
      <w:bookmarkStart w:id="937" w:name="_Toc292559877"/>
      <w:bookmarkStart w:id="938" w:name="_Toc303539136"/>
      <w:bookmarkStart w:id="939" w:name="_Toc296347166"/>
      <w:bookmarkStart w:id="940" w:name="_Toc296944506"/>
      <w:bookmarkStart w:id="941" w:name="_Toc297120467"/>
      <w:bookmarkStart w:id="942" w:name="_Toc296503167"/>
      <w:bookmarkStart w:id="943" w:name="_Toc280868654"/>
      <w:bookmarkStart w:id="944" w:name="_Toc292559372"/>
      <w:bookmarkStart w:id="945" w:name="_Toc312678019"/>
      <w:bookmarkStart w:id="946" w:name="_Toc304295556"/>
      <w:bookmarkStart w:id="947" w:name="_Toc280868656"/>
      <w:bookmarkStart w:id="948" w:name="_Toc280868655"/>
      <w:bookmarkStart w:id="949" w:name="_Toc267251424"/>
      <w:r>
        <w:rPr>
          <w:rFonts w:ascii="Times New Roman" w:hAnsi="Times New Roman" w:eastAsia="宋体" w:cs="Times New Roman"/>
          <w:b/>
          <w:bCs/>
          <w:color w:val="auto"/>
          <w:sz w:val="24"/>
          <w:szCs w:val="24"/>
          <w:highlight w:val="none"/>
        </w:rPr>
        <w:t>.4 材料与工程设备的保管与使用</w:t>
      </w:r>
      <w:bookmarkEnd w:id="920"/>
      <w:bookmarkEnd w:id="921"/>
      <w:bookmarkEnd w:id="922"/>
      <w:bookmarkEnd w:id="923"/>
      <w:bookmarkEnd w:id="924"/>
      <w:bookmarkEnd w:id="925"/>
      <w:bookmarkEnd w:id="926"/>
      <w:bookmarkEnd w:id="927"/>
      <w:bookmarkEnd w:id="928"/>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8</w:t>
      </w:r>
      <w:bookmarkStart w:id="950" w:name="_Toc292559878"/>
      <w:bookmarkStart w:id="951" w:name="_Toc292559373"/>
      <w:bookmarkStart w:id="952" w:name="_Toc296347167"/>
      <w:bookmarkStart w:id="953" w:name="_Toc297120468"/>
      <w:bookmarkStart w:id="954" w:name="_Toc303539137"/>
      <w:bookmarkStart w:id="955" w:name="_Toc296890996"/>
      <w:bookmarkStart w:id="956" w:name="_Toc297048354"/>
      <w:bookmarkStart w:id="957" w:name="_Toc312677494"/>
      <w:bookmarkStart w:id="958" w:name="_Toc296503168"/>
      <w:bookmarkStart w:id="959" w:name="_Toc296346669"/>
      <w:bookmarkStart w:id="960" w:name="_Toc296944507"/>
      <w:bookmarkStart w:id="961" w:name="_Toc312678020"/>
      <w:bookmarkStart w:id="962" w:name="_Toc300934980"/>
      <w:bookmarkStart w:id="963" w:name="_Toc297123528"/>
      <w:bookmarkStart w:id="964" w:name="_Toc304295557"/>
      <w:bookmarkStart w:id="965" w:name="_Toc318581173"/>
      <w:bookmarkStart w:id="966" w:name="_Toc297216187"/>
      <w:bookmarkStart w:id="967" w:name="_Toc296891208"/>
      <w:r>
        <w:rPr>
          <w:rFonts w:ascii="宋体" w:hAnsi="宋体" w:eastAsia="宋体" w:cs="Times New Roman"/>
          <w:color w:val="auto"/>
          <w:sz w:val="24"/>
          <w:szCs w:val="24"/>
          <w:highlight w:val="none"/>
        </w:rPr>
        <w:t>.4.1发包人供应的材料设备的保管费用的承担：</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950"/>
    <w:bookmarkEnd w:id="951"/>
    <w:p>
      <w:pPr>
        <w:keepNext/>
        <w:keepLines/>
        <w:spacing w:before="260" w:after="260"/>
        <w:outlineLvl w:val="2"/>
        <w:rPr>
          <w:rFonts w:ascii="Times New Roman" w:hAnsi="Times New Roman" w:eastAsia="宋体" w:cs="Times New Roman"/>
          <w:b/>
          <w:bCs/>
          <w:color w:val="auto"/>
          <w:sz w:val="24"/>
          <w:szCs w:val="24"/>
          <w:highlight w:val="none"/>
        </w:rPr>
      </w:pPr>
      <w:bookmarkStart w:id="968" w:name="_Toc373227734"/>
      <w:bookmarkStart w:id="969" w:name="_Toc89333049"/>
      <w:bookmarkStart w:id="970" w:name="_Toc389065300"/>
      <w:bookmarkStart w:id="971" w:name="_Toc89333297"/>
      <w:bookmarkStart w:id="972" w:name="_Toc88065639"/>
      <w:bookmarkStart w:id="973" w:name="_Toc395382536"/>
      <w:bookmarkStart w:id="974" w:name="_Toc373478381"/>
      <w:bookmarkStart w:id="975" w:name="_Toc527311316"/>
      <w:bookmarkStart w:id="976" w:name="_Toc23771"/>
      <w:r>
        <w:rPr>
          <w:rFonts w:ascii="Times New Roman" w:hAnsi="Times New Roman" w:eastAsia="宋体" w:cs="Times New Roman"/>
          <w:b/>
          <w:bCs/>
          <w:color w:val="auto"/>
          <w:sz w:val="24"/>
          <w:szCs w:val="24"/>
          <w:highlight w:val="none"/>
        </w:rPr>
        <w:t>8.6 样品</w:t>
      </w:r>
      <w:bookmarkEnd w:id="968"/>
      <w:bookmarkEnd w:id="969"/>
      <w:bookmarkEnd w:id="970"/>
      <w:bookmarkEnd w:id="971"/>
      <w:bookmarkEnd w:id="972"/>
      <w:bookmarkEnd w:id="973"/>
      <w:bookmarkEnd w:id="974"/>
      <w:bookmarkEnd w:id="975"/>
      <w:bookmarkEnd w:id="976"/>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8.6.1</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样品的报送与封存</w:t>
      </w:r>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需要承包人报送样品的材料或工程设备，样品的种类、名称、规格、数量要求：</w:t>
      </w:r>
      <w:r>
        <w:rPr>
          <w:rFonts w:ascii="宋体" w:hAnsi="宋体" w:eastAsia="宋体" w:cs="Times New Roman"/>
          <w:color w:val="auto"/>
          <w:sz w:val="24"/>
          <w:szCs w:val="24"/>
          <w:highlight w:val="none"/>
          <w:u w:val="single"/>
        </w:rPr>
        <w:t>主要材料涉及品种、款式、颜色等方面内容的，承包人应提交准备合格的材料样品送发包人选定。</w:t>
      </w:r>
    </w:p>
    <w:p>
      <w:pPr>
        <w:keepNext/>
        <w:keepLines/>
        <w:spacing w:before="260" w:after="260"/>
        <w:outlineLvl w:val="2"/>
        <w:rPr>
          <w:rFonts w:ascii="Times New Roman" w:hAnsi="Times New Roman" w:eastAsia="宋体" w:cs="Times New Roman"/>
          <w:b/>
          <w:bCs/>
          <w:color w:val="auto"/>
          <w:sz w:val="24"/>
          <w:szCs w:val="24"/>
          <w:highlight w:val="none"/>
        </w:rPr>
      </w:pPr>
      <w:bookmarkStart w:id="977" w:name="_Toc89333298"/>
      <w:bookmarkStart w:id="978" w:name="_Toc373227735"/>
      <w:bookmarkStart w:id="979" w:name="_Toc373478382"/>
      <w:bookmarkStart w:id="980" w:name="_Toc88065640"/>
      <w:bookmarkStart w:id="981" w:name="_Toc395382537"/>
      <w:bookmarkStart w:id="982" w:name="_Toc527311317"/>
      <w:bookmarkStart w:id="983" w:name="_Toc389065301"/>
      <w:bookmarkStart w:id="984" w:name="_Toc5675"/>
      <w:bookmarkStart w:id="985" w:name="_Toc89333050"/>
      <w:r>
        <w:rPr>
          <w:rFonts w:ascii="Times New Roman" w:hAnsi="Times New Roman" w:eastAsia="宋体" w:cs="Times New Roman"/>
          <w:b/>
          <w:bCs/>
          <w:color w:val="auto"/>
          <w:sz w:val="24"/>
          <w:szCs w:val="24"/>
          <w:highlight w:val="none"/>
        </w:rPr>
        <w:t>8.8 施工设备和临时设施</w:t>
      </w:r>
      <w:bookmarkEnd w:id="977"/>
      <w:bookmarkEnd w:id="978"/>
      <w:bookmarkEnd w:id="979"/>
      <w:bookmarkEnd w:id="980"/>
      <w:bookmarkEnd w:id="981"/>
      <w:bookmarkEnd w:id="982"/>
      <w:bookmarkEnd w:id="983"/>
      <w:bookmarkEnd w:id="984"/>
      <w:bookmarkEnd w:id="985"/>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8.8.1 承包人提供的施工设备和临时设施</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eastAsia="宋体" w:cs="Times New Roman"/>
          <w:color w:val="auto"/>
          <w:sz w:val="24"/>
          <w:szCs w:val="24"/>
          <w:highlight w:val="none"/>
        </w:rPr>
        <w:t>承包人用于本工程的主要机械设备清单见合同附件6。</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关于修建临时设施费用承担的约定：</w:t>
      </w:r>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8.8.2 发包人提供的施工设备和临时设施</w:t>
      </w:r>
      <w:r>
        <w:rPr>
          <w:rFonts w:hint="eastAsia" w:ascii="宋体" w:hAnsi="宋体" w:eastAsia="宋体" w:cs="Times New Roman"/>
          <w:color w:val="auto"/>
          <w:sz w:val="24"/>
          <w:szCs w:val="24"/>
          <w:highlight w:val="none"/>
        </w:rPr>
        <w:t xml:space="preserve"> </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发包人提供的施工设备和临时设施：</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发包人提供的施工设备和临时设施的运行、维护、拆除、清运费用的承担人：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Pr>
        <w:keepNext/>
        <w:keepLines/>
        <w:spacing w:before="260" w:after="260"/>
        <w:outlineLvl w:val="1"/>
        <w:rPr>
          <w:rFonts w:ascii="宋体" w:hAnsi="宋体" w:eastAsia="宋体" w:cs="Times New Roman"/>
          <w:b/>
          <w:bCs/>
          <w:color w:val="auto"/>
          <w:sz w:val="24"/>
          <w:szCs w:val="24"/>
          <w:highlight w:val="none"/>
        </w:rPr>
      </w:pPr>
      <w:bookmarkStart w:id="986" w:name="_Toc373478383"/>
      <w:bookmarkStart w:id="987" w:name="_Toc395382538"/>
      <w:bookmarkStart w:id="988" w:name="_Toc389065302"/>
      <w:bookmarkStart w:id="989" w:name="_Toc373227736"/>
      <w:bookmarkStart w:id="990" w:name="_Toc89333299"/>
      <w:bookmarkStart w:id="991" w:name="_Toc89333051"/>
      <w:bookmarkStart w:id="992" w:name="_Toc351203641"/>
      <w:bookmarkStart w:id="993" w:name="_Toc88065641"/>
      <w:bookmarkStart w:id="994" w:name="_Toc527311318"/>
      <w:bookmarkStart w:id="995" w:name="_Toc25909"/>
      <w:r>
        <w:rPr>
          <w:rFonts w:ascii="宋体" w:hAnsi="宋体" w:eastAsia="宋体" w:cs="Times New Roman"/>
          <w:b/>
          <w:bCs/>
          <w:color w:val="auto"/>
          <w:sz w:val="24"/>
          <w:szCs w:val="24"/>
          <w:highlight w:val="none"/>
        </w:rPr>
        <w:t>9</w:t>
      </w:r>
      <w:bookmarkEnd w:id="947"/>
      <w:bookmarkEnd w:id="948"/>
      <w:bookmarkEnd w:id="949"/>
      <w:bookmarkStart w:id="996" w:name="_Toc303539139"/>
      <w:bookmarkStart w:id="997" w:name="_Toc297123533"/>
      <w:bookmarkStart w:id="998" w:name="_Toc304295559"/>
      <w:bookmarkStart w:id="999" w:name="_Toc312677495"/>
      <w:bookmarkStart w:id="1000" w:name="_Toc312678021"/>
      <w:bookmarkStart w:id="1001" w:name="_Toc300934982"/>
      <w:bookmarkStart w:id="1002" w:name="_Toc297216192"/>
      <w:bookmarkStart w:id="1003" w:name="_Toc296346674"/>
      <w:bookmarkStart w:id="1004" w:name="_Toc296944512"/>
      <w:bookmarkStart w:id="1005" w:name="_Toc296891001"/>
      <w:bookmarkStart w:id="1006" w:name="_Toc296891213"/>
      <w:bookmarkStart w:id="1007" w:name="_Toc296503173"/>
      <w:bookmarkStart w:id="1008" w:name="_Toc297048359"/>
      <w:bookmarkStart w:id="1009" w:name="_Toc267251428"/>
      <w:bookmarkStart w:id="1010" w:name="_Toc292559883"/>
      <w:bookmarkStart w:id="1011" w:name="_Toc292559378"/>
      <w:bookmarkStart w:id="1012" w:name="_Toc267251427"/>
      <w:bookmarkStart w:id="1013" w:name="_Toc296347172"/>
      <w:bookmarkStart w:id="1014" w:name="_Toc297120473"/>
      <w:r>
        <w:rPr>
          <w:rFonts w:ascii="宋体" w:hAnsi="宋体" w:eastAsia="宋体" w:cs="Times New Roman"/>
          <w:b/>
          <w:bCs/>
          <w:color w:val="auto"/>
          <w:sz w:val="24"/>
          <w:szCs w:val="24"/>
          <w:highlight w:val="none"/>
        </w:rPr>
        <w:t>. 试验与检验</w:t>
      </w:r>
      <w:bookmarkEnd w:id="986"/>
      <w:bookmarkEnd w:id="987"/>
      <w:bookmarkEnd w:id="988"/>
      <w:bookmarkEnd w:id="989"/>
      <w:bookmarkEnd w:id="990"/>
      <w:bookmarkEnd w:id="991"/>
      <w:bookmarkEnd w:id="992"/>
      <w:bookmarkEnd w:id="993"/>
      <w:bookmarkEnd w:id="994"/>
      <w:bookmarkEnd w:id="995"/>
    </w:p>
    <w:bookmarkEnd w:id="996"/>
    <w:bookmarkEnd w:id="997"/>
    <w:bookmarkEnd w:id="998"/>
    <w:bookmarkEnd w:id="999"/>
    <w:bookmarkEnd w:id="1000"/>
    <w:bookmarkEnd w:id="1001"/>
    <w:bookmarkEnd w:id="1002"/>
    <w:p>
      <w:pPr>
        <w:keepNext/>
        <w:keepLines/>
        <w:spacing w:before="260" w:after="260"/>
        <w:outlineLvl w:val="2"/>
        <w:rPr>
          <w:rFonts w:ascii="Times New Roman" w:hAnsi="Times New Roman" w:eastAsia="宋体" w:cs="Times New Roman"/>
          <w:b/>
          <w:bCs/>
          <w:color w:val="auto"/>
          <w:sz w:val="24"/>
          <w:szCs w:val="24"/>
          <w:highlight w:val="none"/>
        </w:rPr>
      </w:pPr>
      <w:bookmarkStart w:id="1015" w:name="_Toc13781"/>
      <w:bookmarkStart w:id="1016" w:name="_Toc373478384"/>
      <w:bookmarkStart w:id="1017" w:name="_Toc89333300"/>
      <w:bookmarkStart w:id="1018" w:name="_Toc373227737"/>
      <w:bookmarkStart w:id="1019" w:name="_Toc389065303"/>
      <w:bookmarkStart w:id="1020" w:name="_Toc88065642"/>
      <w:bookmarkStart w:id="1021" w:name="_Toc89333052"/>
      <w:bookmarkStart w:id="1022" w:name="_Toc395382539"/>
      <w:bookmarkStart w:id="1023" w:name="_Toc527311319"/>
      <w:r>
        <w:rPr>
          <w:rFonts w:ascii="Times New Roman" w:hAnsi="Times New Roman" w:eastAsia="宋体" w:cs="Times New Roman"/>
          <w:b/>
          <w:bCs/>
          <w:color w:val="auto"/>
          <w:sz w:val="24"/>
          <w:szCs w:val="24"/>
          <w:highlight w:val="none"/>
        </w:rPr>
        <w:t>9</w:t>
      </w:r>
      <w:bookmarkStart w:id="1024" w:name="_Toc297216193"/>
      <w:bookmarkStart w:id="1025" w:name="_Toc304295560"/>
      <w:bookmarkStart w:id="1026" w:name="_Toc303539140"/>
      <w:bookmarkStart w:id="1027" w:name="_Toc312678022"/>
      <w:bookmarkStart w:id="1028" w:name="_Toc312677496"/>
      <w:bookmarkStart w:id="1029" w:name="_Toc300934983"/>
      <w:bookmarkStart w:id="1030" w:name="_Toc297123534"/>
      <w:r>
        <w:rPr>
          <w:rFonts w:ascii="Times New Roman" w:hAnsi="Times New Roman" w:eastAsia="宋体" w:cs="Times New Roman"/>
          <w:b/>
          <w:bCs/>
          <w:color w:val="auto"/>
          <w:sz w:val="24"/>
          <w:szCs w:val="24"/>
          <w:highlight w:val="none"/>
        </w:rPr>
        <w:t>.1 试验设备与试验人员</w:t>
      </w:r>
      <w:bookmarkEnd w:id="1015"/>
      <w:bookmarkEnd w:id="1016"/>
      <w:bookmarkEnd w:id="1017"/>
      <w:bookmarkEnd w:id="1018"/>
      <w:bookmarkEnd w:id="1019"/>
      <w:bookmarkEnd w:id="1020"/>
      <w:bookmarkEnd w:id="1021"/>
      <w:bookmarkEnd w:id="1022"/>
      <w:bookmarkEnd w:id="1023"/>
    </w:p>
    <w:bookmarkEnd w:id="1024"/>
    <w:bookmarkEnd w:id="1025"/>
    <w:bookmarkEnd w:id="1026"/>
    <w:bookmarkEnd w:id="1027"/>
    <w:bookmarkEnd w:id="1028"/>
    <w:bookmarkEnd w:id="1029"/>
    <w:bookmarkEnd w:id="1030"/>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bookmarkStart w:id="1031" w:name="_Toc312678023"/>
      <w:bookmarkStart w:id="1032" w:name="_Toc297123535"/>
      <w:bookmarkStart w:id="1033" w:name="_Toc312677497"/>
      <w:bookmarkStart w:id="1034" w:name="_Toc300934984"/>
      <w:bookmarkStart w:id="1035" w:name="_Toc303539141"/>
      <w:bookmarkStart w:id="1036" w:name="_Toc304295561"/>
      <w:bookmarkStart w:id="1037" w:name="_Toc297216194"/>
      <w:bookmarkStart w:id="1038" w:name="_Toc318581174"/>
      <w:r>
        <w:rPr>
          <w:rFonts w:ascii="宋体" w:hAnsi="宋体" w:eastAsia="宋体" w:cs="Times New Roman"/>
          <w:color w:val="auto"/>
          <w:sz w:val="24"/>
          <w:szCs w:val="24"/>
          <w:highlight w:val="none"/>
        </w:rPr>
        <w:t>.1.2 试验设备</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施工现场需要配置的试验场所：</w:t>
      </w:r>
      <w:bookmarkEnd w:id="1031"/>
      <w:bookmarkEnd w:id="1032"/>
      <w:bookmarkEnd w:id="1033"/>
      <w:bookmarkEnd w:id="1034"/>
      <w:bookmarkEnd w:id="1035"/>
      <w:bookmarkEnd w:id="1036"/>
      <w:bookmarkEnd w:id="1037"/>
      <w:bookmarkStart w:id="1039" w:name="_Toc300934985"/>
      <w:bookmarkStart w:id="1040" w:name="_Toc312678024"/>
      <w:bookmarkStart w:id="1041" w:name="_Toc304295562"/>
      <w:bookmarkStart w:id="1042" w:name="_Toc312677498"/>
      <w:bookmarkStart w:id="1043" w:name="_Toc297123536"/>
      <w:bookmarkStart w:id="1044" w:name="_Toc303539142"/>
      <w:bookmarkStart w:id="1045" w:name="_Toc297216195"/>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施工现场需要配备的试验设备：</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施工现场需要具备的其他试验条件：</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046" w:name="_Toc373227738"/>
      <w:bookmarkStart w:id="1047" w:name="_Toc89333053"/>
      <w:bookmarkStart w:id="1048" w:name="_Toc395382540"/>
      <w:bookmarkStart w:id="1049" w:name="_Toc389065304"/>
      <w:bookmarkStart w:id="1050" w:name="_Toc88065643"/>
      <w:bookmarkStart w:id="1051" w:name="_Toc373478385"/>
      <w:bookmarkStart w:id="1052" w:name="_Toc527311320"/>
      <w:bookmarkStart w:id="1053" w:name="_Toc16048"/>
      <w:bookmarkStart w:id="1054" w:name="_Toc89333301"/>
      <w:r>
        <w:rPr>
          <w:rFonts w:ascii="Times New Roman" w:hAnsi="Times New Roman" w:eastAsia="宋体" w:cs="Times New Roman"/>
          <w:b/>
          <w:bCs/>
          <w:color w:val="auto"/>
          <w:sz w:val="24"/>
          <w:szCs w:val="24"/>
          <w:highlight w:val="none"/>
        </w:rPr>
        <w:t>9.4 现场工艺试验</w:t>
      </w:r>
      <w:bookmarkEnd w:id="1046"/>
      <w:bookmarkEnd w:id="1047"/>
      <w:bookmarkEnd w:id="1048"/>
      <w:bookmarkEnd w:id="1049"/>
      <w:bookmarkEnd w:id="1050"/>
      <w:bookmarkEnd w:id="1051"/>
      <w:bookmarkEnd w:id="1052"/>
      <w:bookmarkEnd w:id="1053"/>
      <w:bookmarkEnd w:id="1054"/>
      <w:r>
        <w:rPr>
          <w:rFonts w:ascii="Times New Roman" w:hAnsi="Times New Roman" w:eastAsia="宋体" w:cs="Times New Roman"/>
          <w:b/>
          <w:bCs/>
          <w:color w:val="auto"/>
          <w:sz w:val="24"/>
          <w:szCs w:val="24"/>
          <w:highlight w:val="none"/>
        </w:rPr>
        <w:t xml:space="preserve"> </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现场工艺试验的有关约定：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055" w:name="_Toc89333302"/>
      <w:bookmarkStart w:id="1056" w:name="_Toc22556"/>
      <w:bookmarkStart w:id="1057" w:name="_Toc527311321"/>
      <w:bookmarkStart w:id="1058" w:name="_Toc395382541"/>
      <w:bookmarkStart w:id="1059" w:name="_Toc88065644"/>
      <w:bookmarkStart w:id="1060" w:name="_Toc89333054"/>
      <w:r>
        <w:rPr>
          <w:rFonts w:ascii="Times New Roman" w:hAnsi="Times New Roman" w:eastAsia="宋体" w:cs="Times New Roman"/>
          <w:b/>
          <w:bCs/>
          <w:color w:val="auto"/>
          <w:sz w:val="24"/>
          <w:szCs w:val="24"/>
          <w:highlight w:val="none"/>
        </w:rPr>
        <w:t>9.5 检验费用</w:t>
      </w:r>
      <w:bookmarkEnd w:id="1055"/>
      <w:bookmarkEnd w:id="1056"/>
      <w:bookmarkEnd w:id="1057"/>
      <w:bookmarkEnd w:id="1058"/>
      <w:bookmarkEnd w:id="1059"/>
      <w:bookmarkEnd w:id="1060"/>
    </w:p>
    <w:bookmarkEnd w:id="1038"/>
    <w:bookmarkEnd w:id="1039"/>
    <w:bookmarkEnd w:id="1040"/>
    <w:bookmarkEnd w:id="1041"/>
    <w:bookmarkEnd w:id="1042"/>
    <w:bookmarkEnd w:id="1043"/>
    <w:bookmarkEnd w:id="1044"/>
    <w:bookmarkEnd w:id="1045"/>
    <w:p>
      <w:pPr>
        <w:spacing w:line="360" w:lineRule="auto"/>
        <w:ind w:firstLine="470" w:firstLineChars="196"/>
        <w:rPr>
          <w:rFonts w:ascii="Times New Roman" w:hAnsi="Times New Roman" w:eastAsia="宋体" w:cs="Times New Roman"/>
          <w:color w:val="auto"/>
          <w:sz w:val="24"/>
          <w:szCs w:val="24"/>
          <w:highlight w:val="none"/>
        </w:rPr>
      </w:pPr>
      <w:bookmarkStart w:id="1061" w:name="_Toc389065305"/>
      <w:bookmarkStart w:id="1062" w:name="_Toc527311322"/>
      <w:bookmarkStart w:id="1063" w:name="_Toc373478386"/>
      <w:bookmarkStart w:id="1064" w:name="_Toc351203642"/>
      <w:bookmarkStart w:id="1065" w:name="_Toc395382542"/>
      <w:bookmarkStart w:id="1066" w:name="_Toc373227739"/>
      <w:bookmarkStart w:id="1067" w:name="_Toc17229"/>
      <w:r>
        <w:rPr>
          <w:rFonts w:hint="eastAsia" w:ascii="Times New Roman" w:hAnsi="宋体" w:eastAsia="宋体" w:cs="宋体"/>
          <w:color w:val="auto"/>
          <w:sz w:val="24"/>
          <w:szCs w:val="24"/>
          <w:highlight w:val="none"/>
        </w:rPr>
        <w:t>根据《建设工程质量检测管理办法》（建设部令第</w:t>
      </w:r>
      <w:r>
        <w:rPr>
          <w:rFonts w:ascii="Times New Roman" w:hAnsi="Times New Roman" w:eastAsia="宋体" w:cs="Times New Roman"/>
          <w:color w:val="auto"/>
          <w:sz w:val="24"/>
          <w:szCs w:val="24"/>
          <w:highlight w:val="none"/>
        </w:rPr>
        <w:t>141</w:t>
      </w:r>
      <w:r>
        <w:rPr>
          <w:rFonts w:hint="eastAsia" w:ascii="Times New Roman" w:hAnsi="宋体" w:eastAsia="宋体" w:cs="宋体"/>
          <w:color w:val="auto"/>
          <w:sz w:val="24"/>
          <w:szCs w:val="24"/>
          <w:highlight w:val="none"/>
        </w:rPr>
        <w:t>号）以及《广西壮族自治区建设工程质量检测管理规定》</w:t>
      </w:r>
      <w:r>
        <w:rPr>
          <w:rFonts w:hint="eastAsia" w:ascii="Times New Roman" w:hAnsi="Times New Roman" w:eastAsia="宋体" w:cs="宋体"/>
          <w:color w:val="auto"/>
          <w:sz w:val="24"/>
          <w:szCs w:val="24"/>
          <w:highlight w:val="none"/>
        </w:rPr>
        <w:t>（</w:t>
      </w:r>
      <w:r>
        <w:rPr>
          <w:rFonts w:hint="eastAsia" w:ascii="Times New Roman" w:hAnsi="宋体" w:eastAsia="宋体" w:cs="宋体"/>
          <w:color w:val="auto"/>
          <w:sz w:val="24"/>
          <w:szCs w:val="24"/>
          <w:highlight w:val="none"/>
        </w:rPr>
        <w:t>桂建管</w:t>
      </w:r>
      <w:r>
        <w:rPr>
          <w:rFonts w:hint="eastAsia" w:ascii="Times New Roman" w:hAnsi="Times New Roman" w:eastAsia="宋体" w:cs="宋体"/>
          <w:color w:val="auto"/>
          <w:sz w:val="24"/>
          <w:szCs w:val="24"/>
          <w:highlight w:val="none"/>
        </w:rPr>
        <w:t>〔</w:t>
      </w:r>
      <w:r>
        <w:rPr>
          <w:rFonts w:ascii="Times New Roman" w:hAnsi="Times New Roman" w:eastAsia="宋体" w:cs="Times New Roman"/>
          <w:color w:val="auto"/>
          <w:sz w:val="24"/>
          <w:szCs w:val="24"/>
          <w:highlight w:val="none"/>
        </w:rPr>
        <w:t>2013</w:t>
      </w:r>
      <w:r>
        <w:rPr>
          <w:rFonts w:hint="eastAsia" w:ascii="Times New Roman" w:hAnsi="Times New Roman" w:eastAsia="宋体" w:cs="宋体"/>
          <w:color w:val="auto"/>
          <w:sz w:val="24"/>
          <w:szCs w:val="24"/>
          <w:highlight w:val="none"/>
        </w:rPr>
        <w:t>〕</w:t>
      </w:r>
      <w:r>
        <w:rPr>
          <w:rFonts w:ascii="Times New Roman" w:hAnsi="Times New Roman" w:eastAsia="宋体" w:cs="Times New Roman"/>
          <w:color w:val="auto"/>
          <w:sz w:val="24"/>
          <w:szCs w:val="24"/>
          <w:highlight w:val="none"/>
        </w:rPr>
        <w:t>11</w:t>
      </w:r>
      <w:r>
        <w:rPr>
          <w:rFonts w:hint="eastAsia" w:ascii="Times New Roman" w:hAnsi="宋体" w:eastAsia="宋体" w:cs="宋体"/>
          <w:color w:val="auto"/>
          <w:sz w:val="24"/>
          <w:szCs w:val="24"/>
          <w:highlight w:val="none"/>
        </w:rPr>
        <w:t>号</w:t>
      </w:r>
      <w:r>
        <w:rPr>
          <w:rFonts w:hint="eastAsia" w:ascii="Times New Roman" w:hAnsi="Times New Roman" w:eastAsia="宋体" w:cs="宋体"/>
          <w:color w:val="auto"/>
          <w:sz w:val="24"/>
          <w:szCs w:val="24"/>
          <w:highlight w:val="none"/>
        </w:rPr>
        <w:t>）</w:t>
      </w:r>
      <w:r>
        <w:rPr>
          <w:rFonts w:hint="eastAsia" w:ascii="Times New Roman" w:hAnsi="宋体" w:eastAsia="宋体" w:cs="宋体"/>
          <w:color w:val="auto"/>
          <w:sz w:val="24"/>
          <w:szCs w:val="24"/>
          <w:highlight w:val="none"/>
        </w:rPr>
        <w:t>规定，工程质量检测业务由发包人委托有相应资质的检测机构检测。费用从发包人的项目建设经费中支出并直接支付给检测机构，不计入合同价款内。</w:t>
      </w:r>
    </w:p>
    <w:p>
      <w:pPr>
        <w:keepNext/>
        <w:keepLines/>
        <w:spacing w:before="260" w:after="260"/>
        <w:outlineLvl w:val="1"/>
        <w:rPr>
          <w:rFonts w:ascii="宋体" w:hAnsi="宋体" w:eastAsia="宋体" w:cs="Times New Roman"/>
          <w:b/>
          <w:bCs/>
          <w:color w:val="auto"/>
          <w:sz w:val="24"/>
          <w:szCs w:val="24"/>
          <w:highlight w:val="none"/>
        </w:rPr>
      </w:pPr>
      <w:bookmarkStart w:id="1068" w:name="_Toc89333303"/>
      <w:bookmarkStart w:id="1069" w:name="_Toc88065645"/>
      <w:bookmarkStart w:id="1070" w:name="_Toc89333055"/>
      <w:r>
        <w:rPr>
          <w:rFonts w:ascii="宋体" w:hAnsi="宋体" w:eastAsia="宋体" w:cs="Times New Roman"/>
          <w:b/>
          <w:bCs/>
          <w:color w:val="auto"/>
          <w:sz w:val="24"/>
          <w:szCs w:val="24"/>
          <w:highlight w:val="none"/>
        </w:rPr>
        <w:t>1</w:t>
      </w:r>
      <w:bookmarkEnd w:id="1003"/>
      <w:bookmarkEnd w:id="1004"/>
      <w:bookmarkEnd w:id="1005"/>
      <w:bookmarkEnd w:id="1006"/>
      <w:bookmarkEnd w:id="1007"/>
      <w:bookmarkEnd w:id="1008"/>
      <w:bookmarkEnd w:id="1009"/>
      <w:bookmarkEnd w:id="1010"/>
      <w:bookmarkEnd w:id="1011"/>
      <w:bookmarkEnd w:id="1012"/>
      <w:bookmarkEnd w:id="1013"/>
      <w:bookmarkEnd w:id="1014"/>
      <w:bookmarkStart w:id="1071" w:name="_Toc296347192"/>
      <w:bookmarkStart w:id="1072" w:name="_Toc292559903"/>
      <w:bookmarkStart w:id="1073" w:name="_Toc297120493"/>
      <w:bookmarkStart w:id="1074" w:name="_Toc296503193"/>
      <w:bookmarkStart w:id="1075" w:name="_Toc296891233"/>
      <w:bookmarkStart w:id="1076" w:name="_Toc297216199"/>
      <w:bookmarkStart w:id="1077" w:name="_Toc296944532"/>
      <w:bookmarkStart w:id="1078" w:name="_Toc300934989"/>
      <w:bookmarkStart w:id="1079" w:name="_Toc297123540"/>
      <w:bookmarkStart w:id="1080" w:name="_Toc296346694"/>
      <w:bookmarkStart w:id="1081" w:name="_Toc296891021"/>
      <w:bookmarkStart w:id="1082" w:name="_Toc303539146"/>
      <w:bookmarkStart w:id="1083" w:name="_Toc292559398"/>
      <w:bookmarkStart w:id="1084" w:name="_Toc297048379"/>
      <w:bookmarkStart w:id="1085" w:name="_Toc304295566"/>
      <w:bookmarkStart w:id="1086" w:name="_Toc312678025"/>
      <w:bookmarkStart w:id="1087" w:name="_Toc312677499"/>
      <w:bookmarkStart w:id="1088" w:name="_Toc267251440"/>
      <w:bookmarkStart w:id="1089" w:name="_Toc267251439"/>
      <w:bookmarkStart w:id="1090" w:name="_Toc267251441"/>
      <w:bookmarkStart w:id="1091" w:name="_Toc267251433"/>
      <w:bookmarkStart w:id="1092" w:name="_Toc267251437"/>
      <w:bookmarkStart w:id="1093" w:name="_Toc267251435"/>
      <w:bookmarkStart w:id="1094" w:name="_Toc267251442"/>
      <w:r>
        <w:rPr>
          <w:rFonts w:ascii="宋体" w:hAnsi="宋体" w:eastAsia="宋体" w:cs="Times New Roman"/>
          <w:b/>
          <w:bCs/>
          <w:color w:val="auto"/>
          <w:sz w:val="24"/>
          <w:szCs w:val="24"/>
          <w:highlight w:val="none"/>
        </w:rPr>
        <w:t>0. 变更</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bookmarkEnd w:id="1086"/>
    <w:bookmarkEnd w:id="1087"/>
    <w:p>
      <w:pPr>
        <w:keepNext/>
        <w:keepLines/>
        <w:spacing w:before="260" w:after="260"/>
        <w:outlineLvl w:val="2"/>
        <w:rPr>
          <w:rFonts w:ascii="Times New Roman" w:hAnsi="Times New Roman" w:eastAsia="宋体" w:cs="Times New Roman"/>
          <w:b/>
          <w:bCs/>
          <w:color w:val="auto"/>
          <w:sz w:val="24"/>
          <w:szCs w:val="24"/>
          <w:highlight w:val="none"/>
        </w:rPr>
      </w:pPr>
      <w:bookmarkStart w:id="1095" w:name="_Toc88065646"/>
      <w:bookmarkStart w:id="1096" w:name="_Toc89333056"/>
      <w:bookmarkStart w:id="1097" w:name="_Toc373227740"/>
      <w:bookmarkStart w:id="1098" w:name="_Toc89333304"/>
      <w:bookmarkStart w:id="1099" w:name="_Toc389065306"/>
      <w:bookmarkStart w:id="1100" w:name="_Toc8457"/>
      <w:bookmarkStart w:id="1101" w:name="_Toc395382543"/>
      <w:bookmarkStart w:id="1102" w:name="_Toc527311323"/>
      <w:bookmarkStart w:id="1103" w:name="_Toc373478387"/>
      <w:r>
        <w:rPr>
          <w:rFonts w:ascii="Times New Roman" w:hAnsi="Times New Roman" w:eastAsia="宋体" w:cs="Times New Roman"/>
          <w:b/>
          <w:bCs/>
          <w:color w:val="auto"/>
          <w:sz w:val="24"/>
          <w:szCs w:val="24"/>
          <w:highlight w:val="none"/>
        </w:rPr>
        <w:t>1</w:t>
      </w:r>
      <w:bookmarkStart w:id="1104" w:name="_Toc296891022"/>
      <w:bookmarkStart w:id="1105" w:name="_Toc296347193"/>
      <w:bookmarkStart w:id="1106" w:name="_Toc304295567"/>
      <w:bookmarkStart w:id="1107" w:name="_Toc312677500"/>
      <w:bookmarkStart w:id="1108" w:name="_Toc296891234"/>
      <w:bookmarkStart w:id="1109" w:name="_Toc297216200"/>
      <w:bookmarkStart w:id="1110" w:name="_Toc297120494"/>
      <w:bookmarkStart w:id="1111" w:name="_Toc312678026"/>
      <w:bookmarkStart w:id="1112" w:name="_Toc300934990"/>
      <w:bookmarkStart w:id="1113" w:name="_Toc292559399"/>
      <w:bookmarkStart w:id="1114" w:name="_Toc297048380"/>
      <w:bookmarkStart w:id="1115" w:name="_Toc296944533"/>
      <w:bookmarkStart w:id="1116" w:name="_Toc292559904"/>
      <w:bookmarkStart w:id="1117" w:name="_Toc296346695"/>
      <w:bookmarkStart w:id="1118" w:name="_Toc297123541"/>
      <w:bookmarkStart w:id="1119" w:name="_Toc296503194"/>
      <w:bookmarkStart w:id="1120" w:name="_Toc303539147"/>
      <w:r>
        <w:rPr>
          <w:rFonts w:ascii="Times New Roman" w:hAnsi="Times New Roman" w:eastAsia="宋体" w:cs="Times New Roman"/>
          <w:b/>
          <w:bCs/>
          <w:color w:val="auto"/>
          <w:sz w:val="24"/>
          <w:szCs w:val="24"/>
          <w:highlight w:val="none"/>
        </w:rPr>
        <w:t>0.1 变更的范围</w:t>
      </w:r>
      <w:bookmarkEnd w:id="1095"/>
      <w:bookmarkEnd w:id="1096"/>
      <w:bookmarkEnd w:id="1097"/>
      <w:bookmarkEnd w:id="1098"/>
      <w:bookmarkEnd w:id="1099"/>
      <w:bookmarkEnd w:id="1100"/>
      <w:bookmarkEnd w:id="1101"/>
      <w:bookmarkEnd w:id="1102"/>
      <w:bookmarkEnd w:id="1103"/>
    </w:p>
    <w:p>
      <w:pPr>
        <w:ind w:firstLine="42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关于变更的范围的约定：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121" w:name="_Toc89333057"/>
      <w:bookmarkStart w:id="1122" w:name="_Toc373478388"/>
      <w:bookmarkStart w:id="1123" w:name="_Toc89333305"/>
      <w:bookmarkStart w:id="1124" w:name="_Toc88065647"/>
      <w:bookmarkStart w:id="1125" w:name="_Toc395382544"/>
      <w:bookmarkStart w:id="1126" w:name="_Toc527311324"/>
      <w:bookmarkStart w:id="1127" w:name="_Toc373227741"/>
      <w:bookmarkStart w:id="1128" w:name="_Toc389065307"/>
      <w:bookmarkStart w:id="1129" w:name="_Toc6362"/>
      <w:r>
        <w:rPr>
          <w:rFonts w:ascii="Times New Roman" w:hAnsi="Times New Roman" w:eastAsia="宋体" w:cs="Times New Roman"/>
          <w:b/>
          <w:bCs/>
          <w:color w:val="auto"/>
          <w:sz w:val="24"/>
          <w:szCs w:val="24"/>
          <w:highlight w:val="none"/>
        </w:rPr>
        <w:t>10.3 变更程序</w:t>
      </w:r>
      <w:bookmarkEnd w:id="1121"/>
      <w:bookmarkEnd w:id="1122"/>
      <w:bookmarkEnd w:id="1123"/>
      <w:bookmarkEnd w:id="1124"/>
      <w:bookmarkEnd w:id="1125"/>
      <w:bookmarkEnd w:id="1126"/>
      <w:bookmarkEnd w:id="1127"/>
      <w:bookmarkEnd w:id="1128"/>
      <w:bookmarkEnd w:id="1129"/>
    </w:p>
    <w:p>
      <w:pPr>
        <w:ind w:firstLine="504" w:firstLineChars="21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10.3.1 国有投资项目：</w:t>
      </w:r>
    </w:p>
    <w:p>
      <w:pPr>
        <w:ind w:firstLine="504" w:firstLineChars="21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⑴设计变更和工程签证，按</w:t>
      </w:r>
      <w:r>
        <w:rPr>
          <w:rFonts w:ascii="宋体" w:hAnsi="宋体" w:eastAsia="宋体" w:cs="Times New Roman"/>
          <w:b/>
          <w:bCs/>
          <w:color w:val="auto"/>
          <w:sz w:val="24"/>
          <w:szCs w:val="24"/>
          <w:highlight w:val="none"/>
        </w:rPr>
        <w:t>《北流市政府投资建设项目管理办法》、《北流市政府投资建设项目工程量变更管理暂行办法》</w:t>
      </w:r>
      <w:r>
        <w:rPr>
          <w:rFonts w:ascii="宋体" w:hAnsi="宋体" w:eastAsia="宋体" w:cs="Times New Roman"/>
          <w:bCs/>
          <w:color w:val="auto"/>
          <w:sz w:val="24"/>
          <w:szCs w:val="24"/>
          <w:highlight w:val="none"/>
        </w:rPr>
        <w:t>的规定办理，属不可抗力（自然灾害、突发事件等）造成变更的，按特事特办原则予以办理。</w:t>
      </w:r>
    </w:p>
    <w:p>
      <w:pPr>
        <w:ind w:firstLine="504" w:firstLineChars="21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⑵建设单位在实施项目过程中，若发生单价变动，由建设单位、监理单位、施工单位及其他相关单位共同商定并签字确认。</w:t>
      </w:r>
    </w:p>
    <w:p>
      <w:pPr>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10.3.2</w:t>
      </w: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非国有投资项目： </w:t>
      </w:r>
    </w:p>
    <w:p>
      <w:pP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130" w:name="_Toc373478389"/>
      <w:bookmarkStart w:id="1131" w:name="_Toc29070"/>
      <w:bookmarkStart w:id="1132" w:name="_Toc88065648"/>
      <w:bookmarkStart w:id="1133" w:name="_Toc527311325"/>
      <w:bookmarkStart w:id="1134" w:name="_Toc395382545"/>
      <w:bookmarkStart w:id="1135" w:name="_Toc373227742"/>
      <w:bookmarkStart w:id="1136" w:name="_Toc89333058"/>
      <w:bookmarkStart w:id="1137" w:name="_Toc389065308"/>
      <w:bookmarkStart w:id="1138" w:name="_Toc89333306"/>
      <w:r>
        <w:rPr>
          <w:rFonts w:ascii="Times New Roman" w:hAnsi="Times New Roman" w:eastAsia="宋体" w:cs="Times New Roman"/>
          <w:b/>
          <w:bCs/>
          <w:color w:val="auto"/>
          <w:sz w:val="24"/>
          <w:szCs w:val="24"/>
          <w:highlight w:val="none"/>
        </w:rPr>
        <w:t>10.4 变更估价</w:t>
      </w:r>
      <w:bookmarkEnd w:id="1130"/>
      <w:bookmarkEnd w:id="1131"/>
      <w:bookmarkEnd w:id="1132"/>
      <w:bookmarkEnd w:id="1133"/>
      <w:bookmarkEnd w:id="1134"/>
      <w:bookmarkEnd w:id="1135"/>
      <w:bookmarkEnd w:id="1136"/>
      <w:bookmarkEnd w:id="1137"/>
      <w:bookmarkEnd w:id="1138"/>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10.4.1 变更估价原则</w:t>
      </w:r>
    </w:p>
    <w:p>
      <w:pPr>
        <w:spacing w:line="360" w:lineRule="auto"/>
        <w:ind w:firstLine="480" w:firstLineChars="200"/>
        <w:jc w:val="left"/>
        <w:rPr>
          <w:rFonts w:ascii="Times New Roman"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关于变更估价的约定: </w:t>
      </w:r>
      <w:bookmarkStart w:id="1139" w:name="_Toc251051742"/>
      <w:r>
        <w:rPr>
          <w:rFonts w:hint="eastAsia" w:ascii="宋体" w:hAnsi="宋体" w:eastAsia="宋体" w:cs="Times New Roman"/>
          <w:bCs/>
          <w:color w:val="auto"/>
          <w:sz w:val="24"/>
          <w:szCs w:val="24"/>
          <w:highlight w:val="none"/>
          <w:u w:val="single"/>
        </w:rPr>
        <w:t>工程变更合同价款按下列方法进行：（</w:t>
      </w:r>
      <w:r>
        <w:rPr>
          <w:rFonts w:ascii="宋体" w:hAnsi="宋体" w:eastAsia="宋体" w:cs="Times New Roman"/>
          <w:bCs/>
          <w:color w:val="auto"/>
          <w:sz w:val="24"/>
          <w:szCs w:val="24"/>
          <w:highlight w:val="none"/>
          <w:u w:val="single"/>
        </w:rPr>
        <w:t>1</w:t>
      </w:r>
      <w:r>
        <w:rPr>
          <w:rFonts w:hint="eastAsia" w:ascii="宋体" w:hAnsi="宋体" w:eastAsia="宋体" w:cs="Times New Roman"/>
          <w:bCs/>
          <w:color w:val="auto"/>
          <w:sz w:val="24"/>
          <w:szCs w:val="24"/>
          <w:highlight w:val="none"/>
          <w:u w:val="single"/>
        </w:rPr>
        <w:t>）合同中已有相同清单项目的，按合同该清单项目价格进行计算；（</w:t>
      </w:r>
      <w:r>
        <w:rPr>
          <w:rFonts w:ascii="宋体" w:hAnsi="宋体" w:eastAsia="宋体" w:cs="Times New Roman"/>
          <w:bCs/>
          <w:color w:val="auto"/>
          <w:sz w:val="24"/>
          <w:szCs w:val="24"/>
          <w:highlight w:val="none"/>
          <w:u w:val="single"/>
        </w:rPr>
        <w:t>2</w:t>
      </w:r>
      <w:r>
        <w:rPr>
          <w:rFonts w:hint="eastAsia" w:ascii="宋体" w:hAnsi="宋体" w:eastAsia="宋体" w:cs="Times New Roman"/>
          <w:bCs/>
          <w:color w:val="auto"/>
          <w:sz w:val="24"/>
          <w:szCs w:val="24"/>
          <w:highlight w:val="none"/>
          <w:u w:val="single"/>
        </w:rPr>
        <w:t>）合同中只有类似清单项目的，参照该类似清单项目价格进行计算；（</w:t>
      </w:r>
      <w:r>
        <w:rPr>
          <w:rFonts w:ascii="宋体" w:hAnsi="宋体" w:eastAsia="宋体" w:cs="Times New Roman"/>
          <w:bCs/>
          <w:color w:val="auto"/>
          <w:sz w:val="24"/>
          <w:szCs w:val="24"/>
          <w:highlight w:val="none"/>
          <w:u w:val="single"/>
        </w:rPr>
        <w:t>3</w:t>
      </w:r>
      <w:r>
        <w:rPr>
          <w:rFonts w:hint="eastAsia" w:ascii="宋体" w:hAnsi="宋体" w:eastAsia="宋体" w:cs="Times New Roman"/>
          <w:bCs/>
          <w:color w:val="auto"/>
          <w:sz w:val="24"/>
          <w:szCs w:val="24"/>
          <w:highlight w:val="none"/>
          <w:u w:val="single"/>
        </w:rPr>
        <w:t>）合同中没有适用或类似清单项目的价格计算方法：有定额的套定额，并（</w:t>
      </w:r>
      <w:r>
        <w:rPr>
          <w:rFonts w:hint="eastAsia" w:ascii="宋体" w:hAnsi="宋体" w:eastAsia="宋体" w:cs="Times New Roman"/>
          <w:b/>
          <w:bCs/>
          <w:color w:val="auto"/>
          <w:sz w:val="24"/>
          <w:szCs w:val="24"/>
          <w:highlight w:val="none"/>
          <w:u w:val="single"/>
        </w:rPr>
        <w:t>□</w:t>
      </w:r>
      <w:r>
        <w:rPr>
          <w:rFonts w:hint="eastAsia" w:ascii="宋体" w:hAnsi="宋体" w:eastAsia="宋体" w:cs="Times New Roman"/>
          <w:bCs/>
          <w:color w:val="auto"/>
          <w:sz w:val="24"/>
          <w:szCs w:val="24"/>
          <w:highlight w:val="none"/>
          <w:u w:val="single"/>
        </w:rPr>
        <w:t>乘以下浮系数</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w:t>
      </w:r>
      <w:r>
        <w:rPr>
          <w:rFonts w:hint="eastAsia" w:ascii="宋体" w:hAnsi="宋体" w:eastAsia="宋体" w:cs="Times New Roman"/>
          <w:b/>
          <w:bCs/>
          <w:color w:val="auto"/>
          <w:sz w:val="24"/>
          <w:szCs w:val="24"/>
          <w:highlight w:val="none"/>
          <w:u w:val="single"/>
        </w:rPr>
        <w:t>□</w:t>
      </w:r>
      <w:r>
        <w:rPr>
          <w:rFonts w:hint="eastAsia" w:ascii="宋体" w:hAnsi="宋体" w:eastAsia="宋体" w:cs="Times New Roman"/>
          <w:bCs/>
          <w:color w:val="auto"/>
          <w:sz w:val="24"/>
          <w:szCs w:val="24"/>
          <w:highlight w:val="none"/>
          <w:u w:val="single"/>
        </w:rPr>
        <w:t>不乘下浮系数）计算，其中：材料设备价格按施工期间的</w:t>
      </w:r>
      <w:r>
        <w:rPr>
          <w:rFonts w:ascii="宋体" w:hAnsi="宋体" w:eastAsia="宋体" w:cs="Times New Roman"/>
          <w:bCs/>
          <w:color w:val="auto"/>
          <w:sz w:val="24"/>
          <w:szCs w:val="24"/>
          <w:highlight w:val="none"/>
          <w:u w:val="single"/>
        </w:rPr>
        <w:t>《</w:t>
      </w:r>
      <w:r>
        <w:rPr>
          <w:rFonts w:hint="eastAsia" w:ascii="宋体" w:hAnsi="宋体" w:eastAsia="宋体" w:cs="Times New Roman"/>
          <w:bCs/>
          <w:color w:val="auto"/>
          <w:sz w:val="24"/>
          <w:szCs w:val="24"/>
          <w:highlight w:val="none"/>
          <w:u w:val="single"/>
        </w:rPr>
        <w:t>玉林</w:t>
      </w:r>
      <w:r>
        <w:rPr>
          <w:rFonts w:ascii="宋体" w:hAnsi="宋体" w:eastAsia="宋体" w:cs="Times New Roman"/>
          <w:bCs/>
          <w:color w:val="auto"/>
          <w:sz w:val="24"/>
          <w:szCs w:val="24"/>
          <w:highlight w:val="none"/>
          <w:u w:val="single"/>
        </w:rPr>
        <w:t>市建设工程造价信息》</w:t>
      </w:r>
      <w:r>
        <w:rPr>
          <w:rFonts w:hint="eastAsia" w:ascii="宋体" w:hAnsi="宋体" w:eastAsia="宋体" w:cs="Times New Roman"/>
          <w:bCs/>
          <w:color w:val="auto"/>
          <w:sz w:val="24"/>
          <w:szCs w:val="24"/>
          <w:highlight w:val="none"/>
          <w:u w:val="single"/>
        </w:rPr>
        <w:t>相应信息价的加权平均值计算</w:t>
      </w:r>
      <w:r>
        <w:rPr>
          <w:rFonts w:ascii="宋体" w:hAnsi="宋体" w:eastAsia="宋体" w:cs="Times New Roman"/>
          <w:bCs/>
          <w:color w:val="auto"/>
          <w:sz w:val="24"/>
          <w:szCs w:val="24"/>
          <w:highlight w:val="none"/>
          <w:u w:val="single"/>
        </w:rPr>
        <w:t>；《</w:t>
      </w:r>
      <w:r>
        <w:rPr>
          <w:rFonts w:hint="eastAsia" w:ascii="宋体" w:hAnsi="宋体" w:eastAsia="宋体" w:cs="Times New Roman"/>
          <w:bCs/>
          <w:color w:val="auto"/>
          <w:sz w:val="24"/>
          <w:szCs w:val="24"/>
          <w:highlight w:val="none"/>
          <w:u w:val="single"/>
        </w:rPr>
        <w:t>玉林</w:t>
      </w:r>
      <w:r>
        <w:rPr>
          <w:rFonts w:ascii="宋体" w:hAnsi="宋体" w:eastAsia="宋体" w:cs="Times New Roman"/>
          <w:bCs/>
          <w:color w:val="auto"/>
          <w:sz w:val="24"/>
          <w:szCs w:val="24"/>
          <w:highlight w:val="none"/>
          <w:u w:val="single"/>
        </w:rPr>
        <w:t>市建设工程造价信息》</w:t>
      </w:r>
      <w:bookmarkEnd w:id="1139"/>
      <w:r>
        <w:rPr>
          <w:rFonts w:hint="eastAsia" w:ascii="Times New Roman" w:hAnsi="宋体" w:eastAsia="宋体" w:cs="宋体"/>
          <w:color w:val="auto"/>
          <w:sz w:val="24"/>
          <w:szCs w:val="24"/>
          <w:highlight w:val="none"/>
          <w:u w:val="single"/>
        </w:rPr>
        <w:t>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Times New Roman" w:hAnsi="宋体" w:eastAsia="宋体" w:cs="宋体"/>
          <w:color w:val="auto"/>
          <w:sz w:val="24"/>
          <w:szCs w:val="24"/>
          <w:highlight w:val="none"/>
        </w:rPr>
        <w:t>。以上约定同时适用于招标工程量清单缺项以及工程量清单项目特征与图纸不符时的价款确定。</w:t>
      </w:r>
    </w:p>
    <w:p>
      <w:pPr>
        <w:spacing w:line="360" w:lineRule="auto"/>
        <w:ind w:firstLine="480" w:firstLineChars="200"/>
        <w:jc w:val="left"/>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u w:val="single"/>
        </w:rPr>
        <w:t>工程变更导致实际完成的变更工程量与已标价清单或预算书中列明的该项目工程量有偏差时，其综合单价的确定按专用条款“</w:t>
      </w:r>
      <w:r>
        <w:rPr>
          <w:rFonts w:ascii="Times New Roman" w:hAnsi="Times New Roman" w:eastAsia="宋体" w:cs="Times New Roman"/>
          <w:color w:val="auto"/>
          <w:sz w:val="24"/>
          <w:szCs w:val="24"/>
          <w:highlight w:val="none"/>
          <w:u w:val="single"/>
        </w:rPr>
        <w:t>1.13</w:t>
      </w:r>
      <w:r>
        <w:rPr>
          <w:rFonts w:hint="eastAsia" w:ascii="Times New Roman" w:hAnsi="Times New Roman" w:eastAsia="宋体" w:cs="宋体"/>
          <w:color w:val="auto"/>
          <w:sz w:val="24"/>
          <w:szCs w:val="24"/>
          <w:highlight w:val="none"/>
          <w:u w:val="single"/>
        </w:rPr>
        <w:t>工程量清单错误的修正”执行。</w:t>
      </w:r>
      <w:bookmarkStart w:id="1140" w:name="_Toc395382546"/>
      <w:bookmarkStart w:id="1141" w:name="_Toc88065649"/>
      <w:bookmarkStart w:id="1142" w:name="_Toc373227743"/>
      <w:bookmarkStart w:id="1143" w:name="_Toc373478390"/>
      <w:bookmarkStart w:id="1144" w:name="_Toc89333307"/>
      <w:bookmarkStart w:id="1145" w:name="_Toc389065309"/>
      <w:bookmarkStart w:id="1146" w:name="_Toc527311326"/>
      <w:bookmarkStart w:id="1147" w:name="_Toc89333059"/>
      <w:bookmarkStart w:id="1148" w:name="_Toc3436"/>
    </w:p>
    <w:p>
      <w:pPr>
        <w:spacing w:line="360" w:lineRule="auto"/>
        <w:jc w:val="left"/>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1</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Start w:id="1149" w:name="_Toc296891025"/>
      <w:bookmarkStart w:id="1150" w:name="_Toc297120497"/>
      <w:bookmarkStart w:id="1151" w:name="_Toc296347196"/>
      <w:bookmarkStart w:id="1152" w:name="_Toc296503197"/>
      <w:bookmarkStart w:id="1153" w:name="_Toc296891237"/>
      <w:bookmarkStart w:id="1154" w:name="_Toc292559907"/>
      <w:bookmarkStart w:id="1155" w:name="_Toc303539150"/>
      <w:bookmarkStart w:id="1156" w:name="_Toc297216203"/>
      <w:bookmarkStart w:id="1157" w:name="_Toc296944536"/>
      <w:bookmarkStart w:id="1158" w:name="_Toc292559402"/>
      <w:bookmarkStart w:id="1159" w:name="_Toc296346698"/>
      <w:bookmarkStart w:id="1160" w:name="_Toc297048383"/>
      <w:bookmarkStart w:id="1161" w:name="_Toc300934993"/>
      <w:bookmarkStart w:id="1162" w:name="_Toc297123544"/>
      <w:bookmarkStart w:id="1163" w:name="_Toc312678029"/>
      <w:bookmarkStart w:id="1164" w:name="_Toc304295570"/>
      <w:bookmarkStart w:id="1165" w:name="_Toc312677503"/>
      <w:r>
        <w:rPr>
          <w:rFonts w:ascii="Times New Roman" w:hAnsi="Times New Roman" w:eastAsia="宋体" w:cs="Times New Roman"/>
          <w:b/>
          <w:bCs/>
          <w:color w:val="auto"/>
          <w:sz w:val="24"/>
          <w:szCs w:val="24"/>
          <w:highlight w:val="none"/>
        </w:rPr>
        <w:t>0.5 承</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Start w:id="1166" w:name="_Toc296347202"/>
      <w:bookmarkStart w:id="1167" w:name="_Toc297048389"/>
      <w:bookmarkStart w:id="1168" w:name="_Toc296346704"/>
      <w:bookmarkStart w:id="1169" w:name="_Toc297216204"/>
      <w:bookmarkStart w:id="1170" w:name="_Toc303539151"/>
      <w:bookmarkStart w:id="1171" w:name="_Toc296891243"/>
      <w:bookmarkStart w:id="1172" w:name="_Toc296891031"/>
      <w:bookmarkStart w:id="1173" w:name="_Toc292559408"/>
      <w:bookmarkStart w:id="1174" w:name="_Toc297120503"/>
      <w:bookmarkStart w:id="1175" w:name="_Toc292559913"/>
      <w:bookmarkStart w:id="1176" w:name="_Toc297123545"/>
      <w:bookmarkStart w:id="1177" w:name="_Toc296503203"/>
      <w:bookmarkStart w:id="1178" w:name="_Toc296944542"/>
      <w:bookmarkStart w:id="1179" w:name="_Toc300934994"/>
      <w:r>
        <w:rPr>
          <w:rFonts w:ascii="Times New Roman" w:hAnsi="Times New Roman" w:eastAsia="宋体" w:cs="Times New Roman"/>
          <w:b/>
          <w:bCs/>
          <w:color w:val="auto"/>
          <w:sz w:val="24"/>
          <w:szCs w:val="24"/>
          <w:highlight w:val="none"/>
        </w:rPr>
        <w:t>包人的合理化建议</w:t>
      </w:r>
      <w:bookmarkEnd w:id="1140"/>
      <w:bookmarkEnd w:id="1141"/>
      <w:bookmarkEnd w:id="1142"/>
      <w:bookmarkEnd w:id="1143"/>
      <w:bookmarkEnd w:id="1144"/>
      <w:bookmarkEnd w:id="1145"/>
      <w:bookmarkEnd w:id="1146"/>
      <w:bookmarkEnd w:id="1147"/>
      <w:bookmarkEnd w:id="1148"/>
    </w:p>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监理人审查承包人合理化建议的期限：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发包人审批承包人合理化建议的期限：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w:t>
      </w:r>
      <w:bookmarkStart w:id="1180" w:name="_Toc296944543"/>
      <w:bookmarkStart w:id="1181" w:name="_Toc296346705"/>
      <w:bookmarkStart w:id="1182" w:name="_Toc297048390"/>
      <w:bookmarkStart w:id="1183" w:name="_Toc292559914"/>
      <w:bookmarkStart w:id="1184" w:name="_Toc296891244"/>
      <w:bookmarkStart w:id="1185" w:name="_Toc292559409"/>
      <w:bookmarkStart w:id="1186" w:name="_Toc297120504"/>
      <w:bookmarkStart w:id="1187" w:name="_Toc303539152"/>
      <w:bookmarkStart w:id="1188" w:name="_Toc318581175"/>
      <w:bookmarkStart w:id="1189" w:name="_Toc297123546"/>
      <w:bookmarkStart w:id="1190" w:name="_Toc297216205"/>
      <w:bookmarkStart w:id="1191" w:name="_Toc296503204"/>
      <w:bookmarkStart w:id="1192" w:name="_Toc304295571"/>
      <w:bookmarkStart w:id="1193" w:name="_Toc312678030"/>
      <w:bookmarkStart w:id="1194" w:name="_Toc312677504"/>
      <w:bookmarkStart w:id="1195" w:name="_Toc296347203"/>
      <w:bookmarkStart w:id="1196" w:name="_Toc296891032"/>
      <w:bookmarkStart w:id="1197" w:name="_Toc300934995"/>
      <w:r>
        <w:rPr>
          <w:rFonts w:ascii="宋体" w:hAnsi="宋体" w:eastAsia="宋体" w:cs="Times New Roman"/>
          <w:color w:val="auto"/>
          <w:sz w:val="24"/>
          <w:szCs w:val="24"/>
          <w:highlight w:val="none"/>
        </w:rPr>
        <w:t>包人提出的合理化建议降低了合同价格或者提高了工程经济效益的奖励的方法和金额为：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Pr>
        <w:keepNext/>
        <w:keepLines/>
        <w:spacing w:before="260" w:after="260"/>
        <w:outlineLvl w:val="2"/>
        <w:rPr>
          <w:rFonts w:ascii="Times New Roman" w:hAnsi="Times New Roman" w:eastAsia="宋体" w:cs="Times New Roman"/>
          <w:b/>
          <w:bCs/>
          <w:color w:val="auto"/>
          <w:sz w:val="24"/>
          <w:szCs w:val="24"/>
          <w:highlight w:val="none"/>
        </w:rPr>
      </w:pPr>
      <w:bookmarkStart w:id="1198" w:name="_Toc389065310"/>
      <w:bookmarkStart w:id="1199" w:name="_Toc373478391"/>
      <w:bookmarkStart w:id="1200" w:name="_Toc373227744"/>
      <w:bookmarkStart w:id="1201" w:name="_Toc21648"/>
      <w:bookmarkStart w:id="1202" w:name="_Toc89333060"/>
      <w:bookmarkStart w:id="1203" w:name="_Toc89333308"/>
      <w:bookmarkStart w:id="1204" w:name="_Toc395382547"/>
      <w:bookmarkStart w:id="1205" w:name="_Toc527311327"/>
      <w:bookmarkStart w:id="1206" w:name="_Toc88065650"/>
      <w:r>
        <w:rPr>
          <w:rFonts w:ascii="Times New Roman" w:hAnsi="Times New Roman" w:eastAsia="宋体" w:cs="Times New Roman"/>
          <w:b/>
          <w:bCs/>
          <w:color w:val="auto"/>
          <w:sz w:val="24"/>
          <w:szCs w:val="24"/>
          <w:highlight w:val="none"/>
        </w:rPr>
        <w:t>1</w:t>
      </w:r>
      <w:bookmarkStart w:id="1207" w:name="_Toc312678033"/>
      <w:bookmarkStart w:id="1208" w:name="_Toc292559909"/>
      <w:bookmarkStart w:id="1209" w:name="_Toc297048385"/>
      <w:bookmarkStart w:id="1210" w:name="_Toc296891239"/>
      <w:bookmarkStart w:id="1211" w:name="_Toc296944538"/>
      <w:bookmarkStart w:id="1212" w:name="_Toc303539154"/>
      <w:bookmarkStart w:id="1213" w:name="_Toc296347198"/>
      <w:bookmarkStart w:id="1214" w:name="_Toc296346700"/>
      <w:bookmarkStart w:id="1215" w:name="_Toc296503199"/>
      <w:bookmarkStart w:id="1216" w:name="_Toc304295574"/>
      <w:bookmarkStart w:id="1217" w:name="_Toc300934997"/>
      <w:bookmarkStart w:id="1218" w:name="_Toc297123548"/>
      <w:bookmarkStart w:id="1219" w:name="_Toc312677507"/>
      <w:bookmarkStart w:id="1220" w:name="_Toc292559404"/>
      <w:bookmarkStart w:id="1221" w:name="_Toc297216207"/>
      <w:bookmarkStart w:id="1222" w:name="_Toc296891027"/>
      <w:bookmarkStart w:id="1223" w:name="_Toc297120499"/>
      <w:r>
        <w:rPr>
          <w:rFonts w:ascii="Times New Roman" w:hAnsi="Times New Roman" w:eastAsia="宋体" w:cs="Times New Roman"/>
          <w:b/>
          <w:bCs/>
          <w:color w:val="auto"/>
          <w:sz w:val="24"/>
          <w:szCs w:val="24"/>
          <w:highlight w:val="none"/>
        </w:rPr>
        <w:t>0.7 暂估价</w:t>
      </w:r>
      <w:bookmarkEnd w:id="1198"/>
      <w:bookmarkEnd w:id="1199"/>
      <w:bookmarkEnd w:id="1200"/>
      <w:bookmarkEnd w:id="1201"/>
      <w:bookmarkEnd w:id="1202"/>
      <w:bookmarkEnd w:id="1203"/>
      <w:bookmarkEnd w:id="1204"/>
      <w:bookmarkEnd w:id="1205"/>
      <w:bookmarkEnd w:id="1206"/>
    </w:p>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暂</w:t>
      </w:r>
      <w:bookmarkStart w:id="1224" w:name="_Toc312678034"/>
      <w:bookmarkStart w:id="1225" w:name="_Toc318581176"/>
      <w:bookmarkStart w:id="1226" w:name="_Toc312677508"/>
      <w:r>
        <w:rPr>
          <w:rFonts w:ascii="宋体" w:hAnsi="宋体" w:eastAsia="宋体" w:cs="Times New Roman"/>
          <w:color w:val="auto"/>
          <w:sz w:val="24"/>
          <w:szCs w:val="24"/>
          <w:highlight w:val="none"/>
        </w:rPr>
        <w:t>估价材料和工程设备的明细详见</w:t>
      </w:r>
      <w:r>
        <w:rPr>
          <w:rFonts w:hint="eastAsia" w:ascii="宋体" w:hAnsi="宋体" w:eastAsia="宋体" w:cs="Times New Roman"/>
          <w:color w:val="auto"/>
          <w:sz w:val="24"/>
          <w:szCs w:val="24"/>
          <w:highlight w:val="none"/>
        </w:rPr>
        <w:t>已标价工程量清单《</w:t>
      </w:r>
      <w:r>
        <w:rPr>
          <w:rFonts w:ascii="宋体" w:hAnsi="宋体" w:eastAsia="宋体" w:cs="Times New Roman"/>
          <w:color w:val="auto"/>
          <w:sz w:val="24"/>
          <w:szCs w:val="24"/>
          <w:highlight w:val="none"/>
        </w:rPr>
        <w:t>材料（工程设备）暂估价格及调整表</w:t>
      </w:r>
      <w:r>
        <w:rPr>
          <w:rFonts w:hint="eastAsia" w:ascii="宋体" w:hAnsi="宋体" w:eastAsia="宋体" w:cs="Times New Roman"/>
          <w:color w:val="auto"/>
          <w:sz w:val="24"/>
          <w:szCs w:val="24"/>
          <w:highlight w:val="none"/>
        </w:rPr>
        <w:t>》（表12-2）和《</w:t>
      </w:r>
      <w:r>
        <w:rPr>
          <w:rFonts w:ascii="宋体" w:hAnsi="宋体" w:eastAsia="宋体" w:cs="Times New Roman"/>
          <w:color w:val="auto"/>
          <w:sz w:val="24"/>
          <w:szCs w:val="24"/>
          <w:highlight w:val="none"/>
        </w:rPr>
        <w:t>专业工程暂估价表</w:t>
      </w:r>
      <w:r>
        <w:rPr>
          <w:rFonts w:hint="eastAsia" w:ascii="宋体" w:hAnsi="宋体" w:eastAsia="宋体" w:cs="Times New Roman"/>
          <w:color w:val="auto"/>
          <w:sz w:val="24"/>
          <w:szCs w:val="24"/>
          <w:highlight w:val="none"/>
        </w:rPr>
        <w:t>》（表12-3）</w:t>
      </w:r>
      <w:r>
        <w:rPr>
          <w:rFonts w:ascii="宋体" w:hAnsi="宋体" w:eastAsia="宋体" w:cs="Times New Roman"/>
          <w:color w:val="auto"/>
          <w:sz w:val="24"/>
          <w:szCs w:val="24"/>
          <w:highlight w:val="none"/>
        </w:rPr>
        <w:t>。</w:t>
      </w:r>
    </w:p>
    <w:bookmarkEnd w:id="1224"/>
    <w:bookmarkEnd w:id="1225"/>
    <w:bookmarkEnd w:id="1226"/>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bookmarkStart w:id="1227" w:name="_Toc312677509"/>
      <w:bookmarkStart w:id="1228" w:name="_Toc312678035"/>
      <w:bookmarkStart w:id="1229" w:name="_Toc318581177"/>
      <w:r>
        <w:rPr>
          <w:rFonts w:ascii="宋体" w:hAnsi="宋体" w:eastAsia="宋体" w:cs="Times New Roman"/>
          <w:color w:val="auto"/>
          <w:sz w:val="24"/>
          <w:szCs w:val="24"/>
          <w:highlight w:val="none"/>
        </w:rPr>
        <w:t>0.7.1 依法必须招标的暂估价项目</w:t>
      </w:r>
    </w:p>
    <w:bookmarkEnd w:id="1227"/>
    <w:bookmarkEnd w:id="1228"/>
    <w:bookmarkEnd w:id="1229"/>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对于依法必须招标的暂估价项目的确认和批准采取第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种方式确定。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10.7.2 不属于依法必须招标的暂估价项目</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对于不属于依法必须招标的暂估价项目的确认和批准采取第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种方式确定。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第3种方式：承包人直接实施的暂估价项目</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承包人直接实施的暂估价项目的约定：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230" w:name="_Toc89333061"/>
      <w:bookmarkStart w:id="1231" w:name="_Toc88065651"/>
      <w:bookmarkStart w:id="1232" w:name="_Toc527311328"/>
      <w:bookmarkStart w:id="1233" w:name="_Toc389065311"/>
      <w:bookmarkStart w:id="1234" w:name="_Toc18650"/>
      <w:bookmarkStart w:id="1235" w:name="_Toc89333309"/>
      <w:bookmarkStart w:id="1236" w:name="_Toc373478392"/>
      <w:bookmarkStart w:id="1237" w:name="_Toc373227745"/>
      <w:bookmarkStart w:id="1238" w:name="_Toc395382548"/>
      <w:r>
        <w:rPr>
          <w:rFonts w:ascii="Times New Roman" w:hAnsi="Times New Roman" w:eastAsia="宋体" w:cs="Times New Roman"/>
          <w:b/>
          <w:bCs/>
          <w:color w:val="auto"/>
          <w:sz w:val="24"/>
          <w:szCs w:val="24"/>
          <w:highlight w:val="none"/>
        </w:rPr>
        <w:t>10.8 暂列金额</w:t>
      </w:r>
      <w:bookmarkEnd w:id="1230"/>
      <w:bookmarkEnd w:id="1231"/>
      <w:bookmarkEnd w:id="1232"/>
      <w:bookmarkEnd w:id="1233"/>
      <w:bookmarkEnd w:id="1234"/>
      <w:bookmarkEnd w:id="1235"/>
      <w:bookmarkEnd w:id="1236"/>
      <w:bookmarkEnd w:id="1237"/>
      <w:bookmarkEnd w:id="1238"/>
    </w:p>
    <w:p>
      <w:pPr>
        <w:autoSpaceDE w:val="0"/>
        <w:autoSpaceDN w:val="0"/>
        <w:adjustRightInd w:val="0"/>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合同当事人关于暂列金额使用的约定：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1239" w:name="_Toc395382549"/>
      <w:bookmarkStart w:id="1240" w:name="_Toc373227746"/>
      <w:bookmarkStart w:id="1241" w:name="_Toc351203643"/>
      <w:bookmarkStart w:id="1242" w:name="_Toc89333062"/>
      <w:bookmarkStart w:id="1243" w:name="_Toc389065312"/>
      <w:bookmarkStart w:id="1244" w:name="_Toc373478393"/>
      <w:bookmarkStart w:id="1245" w:name="_Toc88065652"/>
      <w:bookmarkStart w:id="1246" w:name="_Toc89333310"/>
      <w:bookmarkStart w:id="1247" w:name="_Toc527311329"/>
      <w:bookmarkStart w:id="1248" w:name="_Toc266"/>
      <w:r>
        <w:rPr>
          <w:rFonts w:ascii="宋体" w:hAnsi="宋体" w:eastAsia="宋体" w:cs="Times New Roman"/>
          <w:b/>
          <w:bCs/>
          <w:color w:val="auto"/>
          <w:sz w:val="24"/>
          <w:szCs w:val="24"/>
          <w:highlight w:val="none"/>
        </w:rPr>
        <w:t>11. 价格调整</w:t>
      </w:r>
      <w:bookmarkEnd w:id="1239"/>
      <w:bookmarkEnd w:id="1240"/>
      <w:bookmarkEnd w:id="1241"/>
      <w:bookmarkEnd w:id="1242"/>
      <w:bookmarkEnd w:id="1243"/>
      <w:bookmarkEnd w:id="1244"/>
      <w:bookmarkEnd w:id="1245"/>
      <w:bookmarkEnd w:id="1246"/>
      <w:bookmarkEnd w:id="1247"/>
      <w:bookmarkEnd w:id="1248"/>
    </w:p>
    <w:p>
      <w:pPr>
        <w:keepNext/>
        <w:keepLines/>
        <w:spacing w:before="260" w:after="260"/>
        <w:outlineLvl w:val="2"/>
        <w:rPr>
          <w:rFonts w:ascii="Times New Roman" w:hAnsi="Times New Roman" w:eastAsia="宋体" w:cs="Times New Roman"/>
          <w:b/>
          <w:bCs/>
          <w:color w:val="auto"/>
          <w:sz w:val="24"/>
          <w:szCs w:val="24"/>
          <w:highlight w:val="none"/>
        </w:rPr>
      </w:pPr>
      <w:bookmarkStart w:id="1249" w:name="_Toc89333063"/>
      <w:bookmarkStart w:id="1250" w:name="_Toc711"/>
      <w:bookmarkStart w:id="1251" w:name="_Toc527311330"/>
      <w:bookmarkStart w:id="1252" w:name="_Toc389065313"/>
      <w:bookmarkStart w:id="1253" w:name="_Toc88065653"/>
      <w:bookmarkStart w:id="1254" w:name="_Toc373478394"/>
      <w:bookmarkStart w:id="1255" w:name="_Toc395382550"/>
      <w:bookmarkStart w:id="1256" w:name="_Toc373227747"/>
      <w:bookmarkStart w:id="1257" w:name="_Toc89333311"/>
      <w:bookmarkStart w:id="1258" w:name="_Toc292559406"/>
      <w:bookmarkStart w:id="1259" w:name="_Toc296347200"/>
      <w:bookmarkStart w:id="1260" w:name="_Toc297120501"/>
      <w:bookmarkStart w:id="1261" w:name="_Toc300935000"/>
      <w:bookmarkStart w:id="1262" w:name="_Toc296503201"/>
      <w:bookmarkStart w:id="1263" w:name="_Toc292559911"/>
      <w:bookmarkStart w:id="1264" w:name="_Toc304295577"/>
      <w:bookmarkStart w:id="1265" w:name="_Toc296346702"/>
      <w:bookmarkStart w:id="1266" w:name="_Toc303539157"/>
      <w:bookmarkStart w:id="1267" w:name="_Toc297048387"/>
      <w:bookmarkStart w:id="1268" w:name="_Toc296944540"/>
      <w:bookmarkStart w:id="1269" w:name="_Toc297216209"/>
      <w:bookmarkStart w:id="1270" w:name="_Toc296891029"/>
      <w:bookmarkStart w:id="1271" w:name="_Toc312678039"/>
      <w:bookmarkStart w:id="1272" w:name="_Toc297123550"/>
      <w:bookmarkStart w:id="1273" w:name="_Toc296891241"/>
      <w:r>
        <w:rPr>
          <w:rFonts w:ascii="Times New Roman" w:hAnsi="Times New Roman" w:eastAsia="宋体" w:cs="Times New Roman"/>
          <w:b/>
          <w:bCs/>
          <w:color w:val="auto"/>
          <w:sz w:val="24"/>
          <w:szCs w:val="24"/>
          <w:highlight w:val="none"/>
        </w:rPr>
        <w:t>11.1 市场价格波动引起的调整</w:t>
      </w:r>
      <w:bookmarkEnd w:id="1249"/>
      <w:bookmarkEnd w:id="1250"/>
      <w:bookmarkEnd w:id="1251"/>
      <w:bookmarkEnd w:id="1252"/>
      <w:bookmarkEnd w:id="1253"/>
      <w:bookmarkEnd w:id="1254"/>
      <w:bookmarkEnd w:id="1255"/>
      <w:bookmarkEnd w:id="1256"/>
      <w:bookmarkEnd w:id="1257"/>
    </w:p>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市场价格波动是否调整合同价格的约定：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因市场价格波动调整合同价格，采用以下第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种方式对合同价格进行调整：</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第1种方式：采用价格指数进行价格调整。</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关于各可调因子、定值和变值权重，以及基本价格指数及其来源的约定：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第2种方式：采用造价信息进行价格调整。</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（1）允许调整的主要材料（设备）、基期价格、风险系数、竞标报价：详见《承包人提供主要材料和设备一览表》</w:t>
      </w:r>
      <w:r>
        <w:rPr>
          <w:rFonts w:hint="eastAsia" w:ascii="宋体" w:hAnsi="宋体" w:eastAsia="宋体" w:cs="Times New Roman"/>
          <w:color w:val="auto"/>
          <w:sz w:val="24"/>
          <w:szCs w:val="24"/>
          <w:highlight w:val="none"/>
        </w:rPr>
        <w:t>，价</w:t>
      </w:r>
      <w:r>
        <w:rPr>
          <w:rFonts w:ascii="宋体" w:hAnsi="宋体" w:eastAsia="宋体" w:cs="Times New Roman"/>
          <w:color w:val="auto"/>
          <w:sz w:val="24"/>
          <w:szCs w:val="24"/>
          <w:highlight w:val="none"/>
        </w:rPr>
        <w:t>差</w:t>
      </w:r>
      <w:r>
        <w:rPr>
          <w:rFonts w:hint="eastAsia" w:ascii="宋体" w:hAnsi="宋体" w:eastAsia="宋体" w:cs="Times New Roman"/>
          <w:color w:val="auto"/>
          <w:sz w:val="24"/>
          <w:szCs w:val="24"/>
          <w:highlight w:val="none"/>
        </w:rPr>
        <w:t>调整部分仅计算税金，除此表列明的材料、设备外，其余材料设备价差原则上不予调整。</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（2）主要材料确认价：</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按施工期间《 </w:t>
      </w:r>
      <w:r>
        <w:rPr>
          <w:rFonts w:hint="eastAsia" w:ascii="宋体" w:hAnsi="宋体" w:eastAsia="宋体" w:cs="Times New Roman"/>
          <w:color w:val="auto"/>
          <w:sz w:val="24"/>
          <w:szCs w:val="24"/>
          <w:highlight w:val="none"/>
          <w:u w:val="single"/>
        </w:rPr>
        <w:t>玉林</w:t>
      </w:r>
      <w:r>
        <w:rPr>
          <w:rFonts w:ascii="宋体" w:hAnsi="宋体" w:eastAsia="宋体" w:cs="Times New Roman"/>
          <w:color w:val="auto"/>
          <w:sz w:val="24"/>
          <w:szCs w:val="24"/>
          <w:highlight w:val="none"/>
        </w:rPr>
        <w:t>市建设工程造价信息》</w:t>
      </w:r>
      <w:r>
        <w:rPr>
          <w:rFonts w:hint="eastAsia" w:ascii="宋体" w:hAnsi="宋体" w:eastAsia="宋体" w:cs="Times New Roman"/>
          <w:color w:val="auto"/>
          <w:sz w:val="24"/>
          <w:szCs w:val="24"/>
          <w:highlight w:val="none"/>
        </w:rPr>
        <w:t>材料信息价的加权平均价计算</w:t>
      </w:r>
      <w:r>
        <w:rPr>
          <w:rFonts w:ascii="宋体" w:hAnsi="宋体" w:eastAsia="宋体" w:cs="Times New Roman"/>
          <w:color w:val="auto"/>
          <w:sz w:val="24"/>
          <w:szCs w:val="24"/>
          <w:highlight w:val="none"/>
        </w:rPr>
        <w:t>，信息价没有的按通用条款规定确定。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（3）价差计算方法：</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第</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种方</w:t>
      </w:r>
      <w:r>
        <w:rPr>
          <w:rFonts w:hint="eastAsia" w:ascii="宋体" w:hAnsi="宋体" w:eastAsia="宋体" w:cs="Times New Roman"/>
          <w:color w:val="auto"/>
          <w:sz w:val="24"/>
          <w:szCs w:val="24"/>
          <w:highlight w:val="none"/>
        </w:rPr>
        <w:t>式</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w:t>
      </w:r>
    </w:p>
    <w:bookmarkEnd w:id="1088"/>
    <w:bookmarkEnd w:id="1089"/>
    <w:bookmarkEnd w:id="1090"/>
    <w:bookmarkEnd w:id="1091"/>
    <w:bookmarkEnd w:id="1092"/>
    <w:bookmarkEnd w:id="1093"/>
    <w:p>
      <w:pPr>
        <w:keepNext/>
        <w:keepLines/>
        <w:spacing w:before="260" w:after="260"/>
        <w:outlineLvl w:val="1"/>
        <w:rPr>
          <w:rFonts w:ascii="宋体" w:hAnsi="宋体" w:eastAsia="宋体" w:cs="Times New Roman"/>
          <w:b/>
          <w:bCs/>
          <w:color w:val="auto"/>
          <w:sz w:val="24"/>
          <w:szCs w:val="24"/>
          <w:highlight w:val="none"/>
        </w:rPr>
      </w:pPr>
      <w:bookmarkStart w:id="1274" w:name="_Toc292559915"/>
      <w:bookmarkStart w:id="1275" w:name="_Toc296891033"/>
      <w:bookmarkStart w:id="1276" w:name="_Toc296346706"/>
      <w:bookmarkStart w:id="1277" w:name="_Toc296503205"/>
      <w:bookmarkStart w:id="1278" w:name="_Toc296347204"/>
      <w:bookmarkStart w:id="1279" w:name="_Toc297120505"/>
      <w:bookmarkStart w:id="1280" w:name="_Toc292559410"/>
      <w:bookmarkStart w:id="1281" w:name="_Toc297048391"/>
      <w:bookmarkStart w:id="1282" w:name="_Toc296891245"/>
      <w:bookmarkStart w:id="1283" w:name="_Toc296944544"/>
      <w:bookmarkStart w:id="1284" w:name="_Toc351203644"/>
      <w:bookmarkStart w:id="1285" w:name="_Toc89333064"/>
      <w:bookmarkStart w:id="1286" w:name="_Toc527311331"/>
      <w:bookmarkStart w:id="1287" w:name="_Toc395382551"/>
      <w:bookmarkStart w:id="1288" w:name="_Toc373478395"/>
      <w:bookmarkStart w:id="1289" w:name="_Toc373227748"/>
      <w:bookmarkStart w:id="1290" w:name="_Toc600"/>
      <w:bookmarkStart w:id="1291" w:name="_Toc89333312"/>
      <w:bookmarkStart w:id="1292" w:name="_Toc88065654"/>
      <w:bookmarkStart w:id="1293" w:name="_Toc297123552"/>
      <w:bookmarkStart w:id="1294" w:name="_Toc304295579"/>
      <w:bookmarkStart w:id="1295" w:name="_Toc312678040"/>
      <w:bookmarkStart w:id="1296" w:name="_Toc300935002"/>
      <w:bookmarkStart w:id="1297" w:name="_Toc297216211"/>
      <w:bookmarkStart w:id="1298" w:name="_Toc303539159"/>
      <w:r>
        <w:rPr>
          <w:rFonts w:ascii="宋体" w:hAnsi="宋体" w:eastAsia="宋体" w:cs="Times New Roman"/>
          <w:b/>
          <w:bCs/>
          <w:color w:val="auto"/>
          <w:sz w:val="24"/>
          <w:szCs w:val="24"/>
          <w:highlight w:val="none"/>
        </w:rPr>
        <w:t xml:space="preserve">12. </w:t>
      </w:r>
      <w:bookmarkEnd w:id="1274"/>
      <w:bookmarkEnd w:id="1275"/>
      <w:bookmarkEnd w:id="1276"/>
      <w:bookmarkEnd w:id="1277"/>
      <w:bookmarkEnd w:id="1278"/>
      <w:bookmarkEnd w:id="1279"/>
      <w:bookmarkEnd w:id="1280"/>
      <w:bookmarkEnd w:id="1281"/>
      <w:bookmarkEnd w:id="1282"/>
      <w:bookmarkEnd w:id="1283"/>
      <w:r>
        <w:rPr>
          <w:rFonts w:ascii="宋体" w:hAnsi="宋体" w:eastAsia="宋体" w:cs="Times New Roman"/>
          <w:b/>
          <w:bCs/>
          <w:color w:val="auto"/>
          <w:sz w:val="24"/>
          <w:szCs w:val="24"/>
          <w:highlight w:val="none"/>
        </w:rPr>
        <w:t>合同价格、计量与支付</w:t>
      </w:r>
      <w:bookmarkEnd w:id="1284"/>
      <w:bookmarkEnd w:id="1285"/>
      <w:bookmarkEnd w:id="1286"/>
      <w:bookmarkEnd w:id="1287"/>
      <w:bookmarkEnd w:id="1288"/>
      <w:bookmarkEnd w:id="1289"/>
      <w:bookmarkEnd w:id="1290"/>
      <w:bookmarkEnd w:id="1291"/>
      <w:bookmarkEnd w:id="1292"/>
    </w:p>
    <w:bookmarkEnd w:id="1293"/>
    <w:bookmarkEnd w:id="1294"/>
    <w:bookmarkEnd w:id="1295"/>
    <w:bookmarkEnd w:id="1296"/>
    <w:bookmarkEnd w:id="1297"/>
    <w:bookmarkEnd w:id="1298"/>
    <w:p>
      <w:pPr>
        <w:keepNext/>
        <w:keepLines/>
        <w:spacing w:before="260" w:after="260"/>
        <w:outlineLvl w:val="2"/>
        <w:rPr>
          <w:rFonts w:ascii="Times New Roman" w:hAnsi="Times New Roman" w:eastAsia="宋体" w:cs="Times New Roman"/>
          <w:b/>
          <w:bCs/>
          <w:color w:val="auto"/>
          <w:sz w:val="24"/>
          <w:szCs w:val="24"/>
          <w:highlight w:val="none"/>
        </w:rPr>
      </w:pPr>
      <w:bookmarkStart w:id="1299" w:name="_Toc292559411"/>
      <w:bookmarkStart w:id="1300" w:name="_Toc292559916"/>
      <w:bookmarkStart w:id="1301" w:name="_Toc267251461"/>
      <w:bookmarkStart w:id="1302" w:name="_Toc296944545"/>
      <w:bookmarkStart w:id="1303" w:name="_Toc297120506"/>
      <w:bookmarkStart w:id="1304" w:name="_Toc296891246"/>
      <w:bookmarkStart w:id="1305" w:name="_Toc296891034"/>
      <w:bookmarkStart w:id="1306" w:name="_Toc296503206"/>
      <w:bookmarkStart w:id="1307" w:name="_Toc297048392"/>
      <w:bookmarkStart w:id="1308" w:name="_Toc296346707"/>
      <w:bookmarkStart w:id="1309" w:name="_Toc296347205"/>
      <w:bookmarkStart w:id="1310" w:name="_Toc88065655"/>
      <w:bookmarkStart w:id="1311" w:name="_Toc527311332"/>
      <w:bookmarkStart w:id="1312" w:name="_Toc89333313"/>
      <w:bookmarkStart w:id="1313" w:name="_Toc373227749"/>
      <w:bookmarkStart w:id="1314" w:name="_Toc373478396"/>
      <w:bookmarkStart w:id="1315" w:name="_Toc10812"/>
      <w:bookmarkStart w:id="1316" w:name="_Toc395382552"/>
      <w:bookmarkStart w:id="1317" w:name="_Toc89333065"/>
      <w:bookmarkStart w:id="1318" w:name="_Toc389065314"/>
      <w:bookmarkStart w:id="1319" w:name="_Toc300935003"/>
      <w:bookmarkStart w:id="1320" w:name="_Toc303539160"/>
      <w:bookmarkStart w:id="1321" w:name="_Toc297216212"/>
      <w:bookmarkStart w:id="1322" w:name="_Toc312678041"/>
      <w:bookmarkStart w:id="1323" w:name="_Toc297123553"/>
      <w:bookmarkStart w:id="1324" w:name="_Toc304295580"/>
      <w:r>
        <w:rPr>
          <w:rFonts w:ascii="Times New Roman" w:hAnsi="Times New Roman" w:eastAsia="宋体" w:cs="Times New Roman"/>
          <w:b/>
          <w:bCs/>
          <w:color w:val="auto"/>
          <w:sz w:val="24"/>
          <w:szCs w:val="24"/>
          <w:highlight w:val="none"/>
        </w:rPr>
        <w:t>12.1 合</w:t>
      </w:r>
      <w:bookmarkEnd w:id="1299"/>
      <w:bookmarkEnd w:id="1300"/>
      <w:bookmarkEnd w:id="1301"/>
      <w:r>
        <w:rPr>
          <w:rFonts w:ascii="Times New Roman" w:hAnsi="Times New Roman" w:eastAsia="宋体" w:cs="Times New Roman"/>
          <w:b/>
          <w:bCs/>
          <w:color w:val="auto"/>
          <w:sz w:val="24"/>
          <w:szCs w:val="24"/>
          <w:highlight w:val="none"/>
        </w:rPr>
        <w:t>同价</w:t>
      </w:r>
      <w:bookmarkEnd w:id="1302"/>
      <w:bookmarkEnd w:id="1303"/>
      <w:bookmarkEnd w:id="1304"/>
      <w:bookmarkEnd w:id="1305"/>
      <w:bookmarkEnd w:id="1306"/>
      <w:bookmarkEnd w:id="1307"/>
      <w:bookmarkEnd w:id="1308"/>
      <w:bookmarkEnd w:id="1309"/>
      <w:r>
        <w:rPr>
          <w:rFonts w:ascii="Times New Roman" w:hAnsi="Times New Roman" w:eastAsia="宋体" w:cs="Times New Roman"/>
          <w:b/>
          <w:bCs/>
          <w:color w:val="auto"/>
          <w:sz w:val="24"/>
          <w:szCs w:val="24"/>
          <w:highlight w:val="none"/>
        </w:rPr>
        <w:t>格形式</w:t>
      </w:r>
      <w:bookmarkEnd w:id="1310"/>
      <w:bookmarkEnd w:id="1311"/>
      <w:bookmarkEnd w:id="1312"/>
      <w:bookmarkEnd w:id="1313"/>
      <w:bookmarkEnd w:id="1314"/>
      <w:bookmarkEnd w:id="1315"/>
      <w:bookmarkEnd w:id="1316"/>
      <w:bookmarkEnd w:id="1317"/>
      <w:bookmarkEnd w:id="1318"/>
    </w:p>
    <w:bookmarkEnd w:id="1319"/>
    <w:bookmarkEnd w:id="1320"/>
    <w:bookmarkEnd w:id="1321"/>
    <w:bookmarkEnd w:id="1322"/>
    <w:bookmarkEnd w:id="1323"/>
    <w:bookmarkEnd w:id="1324"/>
    <w:p>
      <w:pPr>
        <w:ind w:firstLine="480" w:firstLineChars="200"/>
        <w:rPr>
          <w:rFonts w:ascii="宋体" w:hAnsi="宋体" w:eastAsia="宋体" w:cs="Times New Roman"/>
          <w:color w:val="auto"/>
          <w:sz w:val="24"/>
          <w:szCs w:val="24"/>
          <w:highlight w:val="none"/>
        </w:rPr>
      </w:pPr>
      <w:bookmarkStart w:id="1325" w:name="_Toc373478397"/>
      <w:bookmarkStart w:id="1326" w:name="_Toc389065315"/>
      <w:bookmarkStart w:id="1327" w:name="_Toc373227750"/>
      <w:bookmarkStart w:id="1328" w:name="_Toc297216213"/>
      <w:bookmarkStart w:id="1329" w:name="_Toc300935004"/>
      <w:bookmarkStart w:id="1330" w:name="_Toc312678042"/>
      <w:bookmarkStart w:id="1331" w:name="_Toc304295581"/>
      <w:bookmarkStart w:id="1332" w:name="_Toc303539161"/>
      <w:bookmarkStart w:id="1333" w:name="_Toc297123554"/>
      <w:bookmarkStart w:id="1334" w:name="_Toc296944546"/>
      <w:bookmarkStart w:id="1335" w:name="_Toc296347206"/>
      <w:bookmarkStart w:id="1336" w:name="_Toc297048393"/>
      <w:bookmarkStart w:id="1337" w:name="_Toc292559917"/>
      <w:bookmarkStart w:id="1338" w:name="_Toc296891247"/>
      <w:bookmarkStart w:id="1339" w:name="_Toc296891035"/>
      <w:bookmarkStart w:id="1340" w:name="_Toc296503207"/>
      <w:bookmarkStart w:id="1341" w:name="_Toc297120507"/>
      <w:bookmarkStart w:id="1342" w:name="_Toc296346708"/>
      <w:bookmarkStart w:id="1343" w:name="_Toc292559412"/>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单价合同。</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本合同价款采用</w:t>
      </w:r>
      <w:r>
        <w:rPr>
          <w:rFonts w:ascii="宋体" w:hAnsi="宋体" w:eastAsia="宋体" w:cs="Times New Roman"/>
          <w:b/>
          <w:color w:val="auto"/>
          <w:sz w:val="24"/>
          <w:szCs w:val="24"/>
          <w:highlight w:val="none"/>
        </w:rPr>
        <w:t>固定综合单价</w:t>
      </w:r>
      <w:r>
        <w:rPr>
          <w:rFonts w:ascii="宋体" w:hAnsi="宋体" w:eastAsia="宋体" w:cs="Times New Roman"/>
          <w:color w:val="auto"/>
          <w:sz w:val="24"/>
          <w:szCs w:val="24"/>
          <w:highlight w:val="none"/>
        </w:rPr>
        <w:t>方式确定。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综合单价包含的风险范围：</w:t>
      </w:r>
      <w:r>
        <w:rPr>
          <w:rFonts w:ascii="宋体" w:hAnsi="宋体" w:eastAsia="宋体" w:cs="Times New Roman"/>
          <w:color w:val="auto"/>
          <w:sz w:val="24"/>
          <w:szCs w:val="24"/>
          <w:highlight w:val="none"/>
          <w:u w:val="single"/>
        </w:rPr>
        <w:t>除工程变更、政策性调整、《承包人提供主要材料和设备一览表》约定的材料、设备价格变动风险以外因素。</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风险范围以外合同价格的调整方法：</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①工程变更：按10.4.1变更估价原则的约定调整。</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②政策性调整：按自治区建设行政主管部门颁布的文件执行。</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③材料价格风险：按11.1的约定调整。</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④其它：</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总价合同。</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总价包含的风险范围：</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风险范围以外合同价格的调整方法：</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其他价格方式：</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344" w:name="_Toc89333314"/>
      <w:bookmarkStart w:id="1345" w:name="_Toc88065656"/>
      <w:bookmarkStart w:id="1346" w:name="_Toc24571"/>
      <w:bookmarkStart w:id="1347" w:name="_Toc89333066"/>
      <w:bookmarkStart w:id="1348" w:name="_Toc395382553"/>
      <w:bookmarkStart w:id="1349" w:name="_Toc527311333"/>
      <w:r>
        <w:rPr>
          <w:rFonts w:ascii="Times New Roman" w:hAnsi="Times New Roman" w:eastAsia="宋体" w:cs="Times New Roman"/>
          <w:b/>
          <w:bCs/>
          <w:color w:val="auto"/>
          <w:sz w:val="24"/>
          <w:szCs w:val="24"/>
          <w:highlight w:val="none"/>
        </w:rPr>
        <w:t>12.2 预付款</w:t>
      </w:r>
      <w:bookmarkEnd w:id="1325"/>
      <w:bookmarkEnd w:id="1326"/>
      <w:bookmarkEnd w:id="1327"/>
      <w:bookmarkEnd w:id="1344"/>
      <w:bookmarkEnd w:id="1345"/>
      <w:bookmarkEnd w:id="1346"/>
      <w:bookmarkEnd w:id="1347"/>
      <w:bookmarkEnd w:id="1348"/>
      <w:bookmarkEnd w:id="1349"/>
    </w:p>
    <w:bookmarkEnd w:id="1328"/>
    <w:bookmarkEnd w:id="1329"/>
    <w:bookmarkEnd w:id="1330"/>
    <w:bookmarkEnd w:id="1331"/>
    <w:bookmarkEnd w:id="1332"/>
    <w:bookmarkEnd w:id="1333"/>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12.2.1 预付款的支付</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预付款支付比例或金额：</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合同价预付款 30%  </w:t>
      </w:r>
      <w:r>
        <w:rPr>
          <w:rFonts w:ascii="宋体" w:hAnsi="宋体" w:eastAsia="宋体" w:cs="Times New Roman"/>
          <w:color w:val="auto"/>
          <w:sz w:val="24"/>
          <w:szCs w:val="24"/>
          <w:highlight w:val="none"/>
          <w:u w:val="single"/>
        </w:rPr>
        <w:t xml:space="preserve">（合同价款扣除建安劳保费、发包人材料价款、暂估专业工程、暂列金额后的10-30%）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预付款支付期限：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预付款扣回的方式：</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12.2.2 预付款担保</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承包人提交预付款担保的期限：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预付款担保的形式为：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预付款担保格式见合同附件7。</w:t>
      </w:r>
    </w:p>
    <w:bookmarkEnd w:id="1334"/>
    <w:bookmarkEnd w:id="1335"/>
    <w:bookmarkEnd w:id="1336"/>
    <w:bookmarkEnd w:id="1337"/>
    <w:bookmarkEnd w:id="1338"/>
    <w:bookmarkEnd w:id="1339"/>
    <w:bookmarkEnd w:id="1340"/>
    <w:bookmarkEnd w:id="1341"/>
    <w:bookmarkEnd w:id="1342"/>
    <w:bookmarkEnd w:id="1343"/>
    <w:p>
      <w:pPr>
        <w:keepNext/>
        <w:keepLines/>
        <w:spacing w:before="260" w:after="260"/>
        <w:outlineLvl w:val="2"/>
        <w:rPr>
          <w:rFonts w:ascii="Times New Roman" w:hAnsi="Times New Roman" w:eastAsia="宋体" w:cs="Times New Roman"/>
          <w:b/>
          <w:bCs/>
          <w:color w:val="auto"/>
          <w:sz w:val="24"/>
          <w:szCs w:val="24"/>
          <w:highlight w:val="none"/>
        </w:rPr>
      </w:pPr>
      <w:bookmarkStart w:id="1350" w:name="_Toc89333067"/>
      <w:bookmarkStart w:id="1351" w:name="_Toc4840"/>
      <w:bookmarkStart w:id="1352" w:name="_Toc89333315"/>
      <w:bookmarkStart w:id="1353" w:name="_Toc373227751"/>
      <w:bookmarkStart w:id="1354" w:name="_Toc527311334"/>
      <w:bookmarkStart w:id="1355" w:name="_Toc373478398"/>
      <w:bookmarkStart w:id="1356" w:name="_Toc395382554"/>
      <w:bookmarkStart w:id="1357" w:name="_Toc88065657"/>
      <w:bookmarkStart w:id="1358" w:name="_Toc389065316"/>
      <w:r>
        <w:rPr>
          <w:rFonts w:ascii="Times New Roman" w:hAnsi="Times New Roman" w:eastAsia="宋体" w:cs="Times New Roman"/>
          <w:b/>
          <w:bCs/>
          <w:color w:val="auto"/>
          <w:sz w:val="24"/>
          <w:szCs w:val="24"/>
          <w:highlight w:val="none"/>
        </w:rPr>
        <w:t>12.3 计量</w:t>
      </w:r>
      <w:bookmarkEnd w:id="1350"/>
      <w:bookmarkEnd w:id="1351"/>
      <w:bookmarkEnd w:id="1352"/>
      <w:bookmarkEnd w:id="1353"/>
      <w:bookmarkEnd w:id="1354"/>
      <w:bookmarkEnd w:id="1355"/>
      <w:bookmarkEnd w:id="1356"/>
      <w:bookmarkEnd w:id="1357"/>
      <w:bookmarkEnd w:id="1358"/>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12.3.1 计量原则</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工程量计算规则：</w:t>
      </w:r>
      <w:r>
        <w:rPr>
          <w:rFonts w:ascii="宋体" w:hAnsi="宋体" w:eastAsia="宋体" w:cs="Times New Roman"/>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12.3.2 计量周期</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关于计量周期的约定：</w:t>
      </w:r>
      <w:r>
        <w:rPr>
          <w:rFonts w:ascii="宋体" w:hAnsi="宋体" w:eastAsia="宋体" w:cs="Times New Roman"/>
          <w:color w:val="auto"/>
          <w:sz w:val="24"/>
          <w:szCs w:val="24"/>
          <w:highlight w:val="none"/>
          <w:u w:val="single"/>
        </w:rPr>
        <w:t>每月25日前</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12.3.3 单价合同的计量</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关于单价合同计量的约定：</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pPr>
        <w:ind w:firstLine="504" w:firstLineChars="21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12.3.4 总价合同的计量</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关于总价合同计量的约定：</w:t>
      </w:r>
      <w:r>
        <w:rPr>
          <w:rFonts w:hint="eastAsia" w:ascii="宋体" w:hAnsi="宋体" w:eastAsia="宋体" w:cs="Times New Roman"/>
          <w:color w:val="auto"/>
          <w:sz w:val="24"/>
          <w:szCs w:val="24"/>
          <w:highlight w:val="none"/>
        </w:rPr>
        <w:t>除工程变更外，原图纸范围内的工程量不得按实计量。进度款按支付分解表支付，按通用条款</w:t>
      </w:r>
      <w:r>
        <w:rPr>
          <w:rFonts w:ascii="宋体" w:hAnsi="宋体" w:eastAsia="宋体" w:cs="Times New Roman"/>
          <w:color w:val="auto"/>
          <w:sz w:val="24"/>
          <w:szCs w:val="24"/>
          <w:highlight w:val="none"/>
        </w:rPr>
        <w:t>第12.3.4项〔总价合同的计量〕约定</w:t>
      </w:r>
      <w:r>
        <w:rPr>
          <w:rFonts w:hint="eastAsia" w:ascii="宋体" w:hAnsi="宋体" w:eastAsia="宋体" w:cs="Times New Roman"/>
          <w:color w:val="auto"/>
          <w:sz w:val="24"/>
          <w:szCs w:val="24"/>
          <w:highlight w:val="none"/>
        </w:rPr>
        <w:t>进行计量，但</w:t>
      </w:r>
      <w:r>
        <w:rPr>
          <w:rFonts w:ascii="宋体" w:hAnsi="宋体" w:eastAsia="宋体" w:cs="Times New Roman"/>
          <w:color w:val="auto"/>
          <w:sz w:val="24"/>
          <w:szCs w:val="24"/>
          <w:highlight w:val="none"/>
        </w:rPr>
        <w:t>合同价款按照支付分解表进行支付。</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12.3.6 其他价格形式合同的计量</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其他价格形式的计量方式和程序：</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359" w:name="_Toc373227752"/>
      <w:bookmarkStart w:id="1360" w:name="_Toc395382555"/>
      <w:bookmarkStart w:id="1361" w:name="_Toc89333068"/>
      <w:bookmarkStart w:id="1362" w:name="_Toc373478399"/>
      <w:bookmarkStart w:id="1363" w:name="_Toc89333316"/>
      <w:bookmarkStart w:id="1364" w:name="_Toc527311335"/>
      <w:bookmarkStart w:id="1365" w:name="_Toc88065658"/>
      <w:bookmarkStart w:id="1366" w:name="_Toc10321"/>
      <w:bookmarkStart w:id="1367" w:name="_Toc389065317"/>
      <w:r>
        <w:rPr>
          <w:rFonts w:ascii="Times New Roman" w:hAnsi="Times New Roman" w:eastAsia="宋体" w:cs="Times New Roman"/>
          <w:b/>
          <w:bCs/>
          <w:color w:val="auto"/>
          <w:sz w:val="24"/>
          <w:szCs w:val="24"/>
          <w:highlight w:val="none"/>
        </w:rPr>
        <w:t>12.4 工程进度款支付</w:t>
      </w:r>
      <w:bookmarkEnd w:id="1359"/>
      <w:bookmarkEnd w:id="1360"/>
      <w:bookmarkEnd w:id="1361"/>
      <w:bookmarkEnd w:id="1362"/>
      <w:bookmarkEnd w:id="1363"/>
      <w:bookmarkEnd w:id="1364"/>
      <w:bookmarkEnd w:id="1365"/>
      <w:bookmarkEnd w:id="1366"/>
      <w:bookmarkEnd w:id="1367"/>
    </w:p>
    <w:p>
      <w:pPr>
        <w:ind w:firstLine="480" w:firstLineChars="200"/>
        <w:rPr>
          <w:rFonts w:ascii="宋体" w:hAnsi="宋体" w:eastAsia="宋体" w:cs="Times New Roman"/>
          <w:color w:val="auto"/>
          <w:sz w:val="24"/>
          <w:szCs w:val="24"/>
          <w:highlight w:val="none"/>
        </w:rPr>
      </w:pPr>
      <w:bookmarkStart w:id="1368" w:name="_Toc297216215"/>
      <w:bookmarkStart w:id="1369" w:name="_Toc297120511"/>
      <w:bookmarkStart w:id="1370" w:name="_Toc296891251"/>
      <w:bookmarkStart w:id="1371" w:name="_Toc296347210"/>
      <w:bookmarkStart w:id="1372" w:name="_Toc303539163"/>
      <w:bookmarkStart w:id="1373" w:name="_Toc296503211"/>
      <w:bookmarkStart w:id="1374" w:name="_Toc297123556"/>
      <w:bookmarkStart w:id="1375" w:name="_Toc292559921"/>
      <w:bookmarkStart w:id="1376" w:name="_Toc292559416"/>
      <w:bookmarkStart w:id="1377" w:name="_Toc297048397"/>
      <w:bookmarkStart w:id="1378" w:name="_Toc296346712"/>
      <w:bookmarkStart w:id="1379" w:name="_Toc300935006"/>
      <w:bookmarkStart w:id="1380" w:name="_Toc296891039"/>
      <w:bookmarkStart w:id="1381" w:name="_Toc296944550"/>
      <w:r>
        <w:rPr>
          <w:rFonts w:ascii="宋体" w:hAnsi="宋体" w:eastAsia="宋体" w:cs="Times New Roman"/>
          <w:color w:val="auto"/>
          <w:sz w:val="24"/>
          <w:szCs w:val="24"/>
          <w:highlight w:val="none"/>
        </w:rPr>
        <w:t>12.4.1 付款周期</w:t>
      </w:r>
    </w:p>
    <w:p>
      <w:pPr>
        <w:ind w:firstLine="480" w:firstLineChars="200"/>
        <w:rPr>
          <w:rFonts w:ascii="Times New Roman" w:hAnsi="宋体" w:eastAsia="宋体" w:cs="宋体"/>
          <w:color w:val="auto"/>
          <w:sz w:val="24"/>
          <w:szCs w:val="24"/>
          <w:highlight w:val="none"/>
          <w:u w:val="single"/>
        </w:rPr>
      </w:pPr>
      <w:r>
        <w:rPr>
          <w:rFonts w:ascii="Times New Roman" w:hAnsi="宋体" w:eastAsia="宋体" w:cs="宋体"/>
          <w:color w:val="auto"/>
          <w:sz w:val="24"/>
          <w:szCs w:val="24"/>
          <w:highlight w:val="none"/>
        </w:rPr>
        <w:fldChar w:fldCharType="begin"/>
      </w:r>
      <w:r>
        <w:rPr>
          <w:rFonts w:ascii="Times New Roman" w:hAnsi="宋体" w:eastAsia="宋体" w:cs="宋体"/>
          <w:color w:val="auto"/>
          <w:sz w:val="24"/>
          <w:szCs w:val="24"/>
          <w:highlight w:val="none"/>
        </w:rPr>
        <w:instrText xml:space="preserve"> </w:instrText>
      </w:r>
      <w:r>
        <w:rPr>
          <w:rFonts w:hint="eastAsia" w:ascii="Times New Roman" w:hAnsi="宋体" w:eastAsia="宋体" w:cs="宋体"/>
          <w:color w:val="auto"/>
          <w:sz w:val="24"/>
          <w:szCs w:val="24"/>
          <w:highlight w:val="none"/>
        </w:rPr>
        <w:instrText xml:space="preserve">= 1 \* GB3</w:instrText>
      </w:r>
      <w:r>
        <w:rPr>
          <w:rFonts w:ascii="Times New Roman" w:hAnsi="宋体" w:eastAsia="宋体" w:cs="宋体"/>
          <w:color w:val="auto"/>
          <w:sz w:val="24"/>
          <w:szCs w:val="24"/>
          <w:highlight w:val="none"/>
        </w:rPr>
        <w:instrText xml:space="preserve"> </w:instrText>
      </w:r>
      <w:r>
        <w:rPr>
          <w:rFonts w:ascii="Times New Roman" w:hAnsi="宋体" w:eastAsia="宋体" w:cs="宋体"/>
          <w:color w:val="auto"/>
          <w:sz w:val="24"/>
          <w:szCs w:val="24"/>
          <w:highlight w:val="none"/>
        </w:rPr>
        <w:fldChar w:fldCharType="separate"/>
      </w:r>
      <w:r>
        <w:rPr>
          <w:rFonts w:hint="eastAsia" w:ascii="Times New Roman" w:hAnsi="宋体" w:eastAsia="宋体" w:cs="宋体"/>
          <w:color w:val="auto"/>
          <w:sz w:val="24"/>
          <w:szCs w:val="24"/>
          <w:highlight w:val="none"/>
        </w:rPr>
        <w:t>①</w:t>
      </w:r>
      <w:r>
        <w:rPr>
          <w:rFonts w:ascii="Times New Roman" w:hAnsi="宋体" w:eastAsia="宋体" w:cs="宋体"/>
          <w:color w:val="auto"/>
          <w:sz w:val="24"/>
          <w:szCs w:val="24"/>
          <w:highlight w:val="none"/>
        </w:rPr>
        <w:fldChar w:fldCharType="end"/>
      </w:r>
      <w:r>
        <w:rPr>
          <w:rFonts w:hint="eastAsia" w:ascii="Times New Roman" w:hAnsi="宋体" w:eastAsia="宋体" w:cs="宋体"/>
          <w:color w:val="auto"/>
          <w:sz w:val="24"/>
          <w:szCs w:val="24"/>
          <w:highlight w:val="none"/>
          <w:u w:val="single"/>
        </w:rPr>
        <w:t xml:space="preserve">工程款原则上按月支付，工程进度款支付限额为已完成工程量的 </w:t>
      </w:r>
      <w:r>
        <w:rPr>
          <w:rFonts w:hint="eastAsia" w:ascii="Times New Roman" w:hAnsi="宋体" w:eastAsia="宋体" w:cs="宋体"/>
          <w:color w:val="auto"/>
          <w:sz w:val="24"/>
          <w:szCs w:val="24"/>
          <w:highlight w:val="none"/>
          <w:u w:val="single"/>
          <w:lang w:val="en-US" w:eastAsia="zh-CN"/>
        </w:rPr>
        <w:t>85</w:t>
      </w:r>
      <w:r>
        <w:rPr>
          <w:rFonts w:hint="eastAsia" w:ascii="Times New Roman" w:hAnsi="宋体" w:eastAsia="宋体" w:cs="宋体"/>
          <w:color w:val="auto"/>
          <w:sz w:val="24"/>
          <w:szCs w:val="24"/>
          <w:highlight w:val="none"/>
          <w:u w:val="single"/>
        </w:rPr>
        <w:t xml:space="preserve"> %（建议值：75</w:t>
      </w:r>
      <w:r>
        <w:rPr>
          <w:rFonts w:ascii="Times New Roman" w:hAnsi="Times New Roman" w:eastAsia="宋体" w:cs="Times New Roman"/>
          <w:color w:val="auto"/>
          <w:sz w:val="24"/>
          <w:szCs w:val="24"/>
          <w:highlight w:val="none"/>
          <w:u w:val="single"/>
        </w:rPr>
        <w:t>-</w:t>
      </w:r>
      <w:r>
        <w:rPr>
          <w:rFonts w:hint="eastAsia" w:ascii="Times New Roman" w:hAnsi="Times New Roman" w:eastAsia="宋体" w:cs="Times New Roman"/>
          <w:color w:val="auto"/>
          <w:sz w:val="24"/>
          <w:szCs w:val="24"/>
          <w:highlight w:val="none"/>
          <w:u w:val="single"/>
        </w:rPr>
        <w:t>85</w:t>
      </w:r>
      <w:r>
        <w:rPr>
          <w:rFonts w:ascii="Times New Roman" w:hAnsi="Times New Roman" w:eastAsia="宋体" w:cs="Times New Roman"/>
          <w:color w:val="auto"/>
          <w:sz w:val="24"/>
          <w:szCs w:val="24"/>
          <w:highlight w:val="none"/>
          <w:u w:val="single"/>
        </w:rPr>
        <w:t>%</w:t>
      </w:r>
      <w:r>
        <w:rPr>
          <w:rFonts w:hint="eastAsia" w:ascii="Times New Roman" w:hAnsi="宋体" w:eastAsia="宋体" w:cs="宋体"/>
          <w:color w:val="auto"/>
          <w:sz w:val="24"/>
          <w:szCs w:val="24"/>
          <w:highlight w:val="none"/>
          <w:u w:val="single"/>
        </w:rPr>
        <w:t>）。</w:t>
      </w:r>
    </w:p>
    <w:p>
      <w:pPr>
        <w:ind w:firstLine="480" w:firstLineChars="200"/>
        <w:rPr>
          <w:rFonts w:ascii="Times New Roman" w:hAnsi="宋体" w:eastAsia="宋体" w:cs="宋体"/>
          <w:color w:val="auto"/>
          <w:sz w:val="24"/>
          <w:szCs w:val="24"/>
          <w:highlight w:val="none"/>
          <w:u w:val="single"/>
        </w:rPr>
      </w:pPr>
      <w:r>
        <w:rPr>
          <w:rFonts w:ascii="Times New Roman" w:hAnsi="宋体" w:eastAsia="宋体" w:cs="宋体"/>
          <w:color w:val="auto"/>
          <w:sz w:val="24"/>
          <w:szCs w:val="24"/>
          <w:highlight w:val="none"/>
          <w:u w:val="single"/>
        </w:rPr>
        <w:fldChar w:fldCharType="begin"/>
      </w:r>
      <w:r>
        <w:rPr>
          <w:rFonts w:ascii="Times New Roman" w:hAnsi="宋体" w:eastAsia="宋体" w:cs="宋体"/>
          <w:color w:val="auto"/>
          <w:sz w:val="24"/>
          <w:szCs w:val="24"/>
          <w:highlight w:val="none"/>
          <w:u w:val="single"/>
        </w:rPr>
        <w:instrText xml:space="preserve"> </w:instrText>
      </w:r>
      <w:r>
        <w:rPr>
          <w:rFonts w:hint="eastAsia" w:ascii="Times New Roman" w:hAnsi="宋体" w:eastAsia="宋体" w:cs="宋体"/>
          <w:color w:val="auto"/>
          <w:sz w:val="24"/>
          <w:szCs w:val="24"/>
          <w:highlight w:val="none"/>
          <w:u w:val="single"/>
        </w:rPr>
        <w:instrText xml:space="preserve">= 2 \* GB3</w:instrText>
      </w:r>
      <w:r>
        <w:rPr>
          <w:rFonts w:ascii="Times New Roman" w:hAnsi="宋体" w:eastAsia="宋体" w:cs="宋体"/>
          <w:color w:val="auto"/>
          <w:sz w:val="24"/>
          <w:szCs w:val="24"/>
          <w:highlight w:val="none"/>
          <w:u w:val="single"/>
        </w:rPr>
        <w:instrText xml:space="preserve"> </w:instrText>
      </w:r>
      <w:r>
        <w:rPr>
          <w:rFonts w:ascii="Times New Roman" w:hAnsi="宋体" w:eastAsia="宋体" w:cs="宋体"/>
          <w:color w:val="auto"/>
          <w:sz w:val="24"/>
          <w:szCs w:val="24"/>
          <w:highlight w:val="none"/>
          <w:u w:val="single"/>
        </w:rPr>
        <w:fldChar w:fldCharType="separate"/>
      </w:r>
      <w:r>
        <w:rPr>
          <w:rFonts w:hint="eastAsia" w:ascii="Times New Roman" w:hAnsi="宋体" w:eastAsia="宋体" w:cs="宋体"/>
          <w:color w:val="auto"/>
          <w:sz w:val="24"/>
          <w:szCs w:val="24"/>
          <w:highlight w:val="none"/>
          <w:u w:val="single"/>
        </w:rPr>
        <w:t>②</w:t>
      </w:r>
      <w:r>
        <w:rPr>
          <w:rFonts w:ascii="Times New Roman" w:hAnsi="宋体" w:eastAsia="宋体" w:cs="宋体"/>
          <w:color w:val="auto"/>
          <w:sz w:val="24"/>
          <w:szCs w:val="24"/>
          <w:highlight w:val="none"/>
          <w:u w:val="single"/>
        </w:rPr>
        <w:fldChar w:fldCharType="end"/>
      </w:r>
      <w:r>
        <w:rPr>
          <w:rFonts w:hint="eastAsia" w:ascii="Times New Roman" w:hAnsi="宋体" w:eastAsia="宋体" w:cs="宋体"/>
          <w:color w:val="auto"/>
          <w:sz w:val="24"/>
          <w:szCs w:val="24"/>
          <w:highlight w:val="none"/>
          <w:u w:val="single"/>
        </w:rPr>
        <w:t>工程完工验收达到质量要求，结算经业主及合同约定的财政或审计部门（如有）审定后，工程款支付至结算总价的</w:t>
      </w:r>
      <w:r>
        <w:rPr>
          <w:rFonts w:hint="eastAsia" w:ascii="Times New Roman" w:hAnsi="宋体" w:eastAsia="宋体" w:cs="宋体"/>
          <w:color w:val="auto"/>
          <w:sz w:val="24"/>
          <w:szCs w:val="24"/>
          <w:highlight w:val="none"/>
          <w:u w:val="single"/>
          <w:lang w:val="en-US" w:eastAsia="zh-CN"/>
        </w:rPr>
        <w:t>97</w:t>
      </w:r>
      <w:r>
        <w:rPr>
          <w:rFonts w:ascii="Times New Roman" w:hAnsi="Times New Roman" w:eastAsia="宋体" w:cs="Times New Roman"/>
          <w:color w:val="auto"/>
          <w:sz w:val="24"/>
          <w:szCs w:val="24"/>
          <w:highlight w:val="none"/>
          <w:u w:val="single"/>
        </w:rPr>
        <w:t>%</w:t>
      </w:r>
      <w:r>
        <w:rPr>
          <w:rFonts w:hint="eastAsia" w:ascii="Times New Roman" w:hAnsi="宋体" w:eastAsia="宋体" w:cs="宋体"/>
          <w:color w:val="auto"/>
          <w:sz w:val="24"/>
          <w:szCs w:val="24"/>
          <w:highlight w:val="none"/>
          <w:u w:val="single"/>
        </w:rPr>
        <w:t>（不得低于</w:t>
      </w:r>
      <w:r>
        <w:rPr>
          <w:rFonts w:ascii="Times New Roman" w:hAnsi="Times New Roman" w:eastAsia="宋体" w:cs="Times New Roman"/>
          <w:color w:val="auto"/>
          <w:sz w:val="24"/>
          <w:szCs w:val="24"/>
          <w:highlight w:val="none"/>
          <w:u w:val="single"/>
        </w:rPr>
        <w:t>9</w:t>
      </w:r>
      <w:r>
        <w:rPr>
          <w:rFonts w:hint="eastAsia" w:ascii="Times New Roman" w:hAnsi="Times New Roman" w:eastAsia="宋体" w:cs="Times New Roman"/>
          <w:color w:val="auto"/>
          <w:sz w:val="24"/>
          <w:szCs w:val="24"/>
          <w:highlight w:val="none"/>
          <w:u w:val="single"/>
        </w:rPr>
        <w:t>7</w:t>
      </w:r>
      <w:r>
        <w:rPr>
          <w:rFonts w:ascii="Times New Roman" w:hAnsi="Times New Roman" w:eastAsia="宋体" w:cs="Times New Roman"/>
          <w:color w:val="auto"/>
          <w:sz w:val="24"/>
          <w:szCs w:val="24"/>
          <w:highlight w:val="none"/>
          <w:u w:val="single"/>
        </w:rPr>
        <w:t>%</w:t>
      </w:r>
      <w:r>
        <w:rPr>
          <w:rFonts w:hint="eastAsia" w:ascii="Times New Roman" w:hAnsi="Times New Roman" w:eastAsia="宋体" w:cs="宋体"/>
          <w:color w:val="auto"/>
          <w:sz w:val="24"/>
          <w:szCs w:val="24"/>
          <w:highlight w:val="none"/>
          <w:u w:val="single"/>
        </w:rPr>
        <w:t>）。</w:t>
      </w:r>
      <w:r>
        <w:rPr>
          <w:rFonts w:hint="eastAsia" w:ascii="Times New Roman" w:hAnsi="宋体" w:eastAsia="宋体" w:cs="宋体"/>
          <w:color w:val="auto"/>
          <w:sz w:val="24"/>
          <w:szCs w:val="24"/>
          <w:highlight w:val="none"/>
          <w:u w:val="single"/>
        </w:rPr>
        <w:t>发包人按工程价款结算总额的</w:t>
      </w:r>
      <w:r>
        <w:rPr>
          <w:rFonts w:hint="eastAsia" w:ascii="Times New Roman" w:hAnsi="Times New Roman" w:eastAsia="宋体" w:cs="Times New Roman"/>
          <w:color w:val="auto"/>
          <w:sz w:val="24"/>
          <w:szCs w:val="24"/>
          <w:highlight w:val="none"/>
          <w:u w:val="single"/>
          <w:lang w:val="en-US" w:eastAsia="zh-CN"/>
        </w:rPr>
        <w:t>3</w:t>
      </w:r>
      <w:r>
        <w:rPr>
          <w:rFonts w:ascii="Times New Roman" w:hAnsi="Times New Roman" w:eastAsia="宋体" w:cs="Times New Roman"/>
          <w:color w:val="auto"/>
          <w:sz w:val="24"/>
          <w:szCs w:val="24"/>
          <w:highlight w:val="none"/>
          <w:u w:val="single"/>
        </w:rPr>
        <w:t>%</w:t>
      </w:r>
      <w:r>
        <w:rPr>
          <w:rFonts w:hint="eastAsia" w:ascii="Times New Roman" w:hAnsi="宋体" w:eastAsia="宋体" w:cs="宋体"/>
          <w:color w:val="auto"/>
          <w:sz w:val="24"/>
          <w:szCs w:val="24"/>
          <w:highlight w:val="none"/>
          <w:u w:val="single"/>
        </w:rPr>
        <w:t>（最高不超过</w:t>
      </w:r>
      <w:r>
        <w:rPr>
          <w:rFonts w:ascii="Times New Roman" w:hAnsi="宋体" w:eastAsia="宋体" w:cs="Times New Roman"/>
          <w:color w:val="auto"/>
          <w:sz w:val="24"/>
          <w:szCs w:val="24"/>
          <w:highlight w:val="none"/>
          <w:u w:val="single"/>
        </w:rPr>
        <w:t>3%</w:t>
      </w:r>
      <w:r>
        <w:rPr>
          <w:rFonts w:hint="eastAsia" w:ascii="Times New Roman" w:hAnsi="Times New Roman" w:eastAsia="宋体" w:cs="宋体"/>
          <w:color w:val="auto"/>
          <w:sz w:val="24"/>
          <w:szCs w:val="24"/>
          <w:highlight w:val="none"/>
          <w:u w:val="single"/>
        </w:rPr>
        <w:t>）</w:t>
      </w:r>
      <w:r>
        <w:rPr>
          <w:rFonts w:hint="eastAsia" w:ascii="Times New Roman" w:hAnsi="宋体" w:eastAsia="宋体" w:cs="宋体"/>
          <w:color w:val="auto"/>
          <w:sz w:val="24"/>
          <w:szCs w:val="24"/>
          <w:highlight w:val="none"/>
          <w:u w:val="single"/>
        </w:rPr>
        <w:t>预留工程质量保证金。</w:t>
      </w:r>
    </w:p>
    <w:p>
      <w:pPr>
        <w:ind w:firstLine="480" w:firstLineChars="200"/>
        <w:rPr>
          <w:rFonts w:ascii="Times New Roman" w:hAnsi="Times New Roman" w:eastAsia="宋体" w:cs="Times New Roman"/>
          <w:color w:val="auto"/>
          <w:sz w:val="24"/>
          <w:szCs w:val="24"/>
          <w:highlight w:val="none"/>
        </w:rPr>
      </w:pPr>
      <w:r>
        <w:rPr>
          <w:rFonts w:ascii="Times New Roman" w:hAnsi="宋体" w:eastAsia="宋体" w:cs="宋体"/>
          <w:color w:val="auto"/>
          <w:sz w:val="24"/>
          <w:szCs w:val="24"/>
          <w:highlight w:val="none"/>
          <w:u w:val="single"/>
        </w:rPr>
        <w:fldChar w:fldCharType="begin"/>
      </w:r>
      <w:r>
        <w:rPr>
          <w:rFonts w:ascii="Times New Roman" w:hAnsi="宋体" w:eastAsia="宋体" w:cs="宋体"/>
          <w:color w:val="auto"/>
          <w:sz w:val="24"/>
          <w:szCs w:val="24"/>
          <w:highlight w:val="none"/>
          <w:u w:val="single"/>
        </w:rPr>
        <w:instrText xml:space="preserve"> </w:instrText>
      </w:r>
      <w:r>
        <w:rPr>
          <w:rFonts w:hint="eastAsia" w:ascii="Times New Roman" w:hAnsi="宋体" w:eastAsia="宋体" w:cs="宋体"/>
          <w:color w:val="auto"/>
          <w:sz w:val="24"/>
          <w:szCs w:val="24"/>
          <w:highlight w:val="none"/>
          <w:u w:val="single"/>
        </w:rPr>
        <w:instrText xml:space="preserve">= 3 \* GB3</w:instrText>
      </w:r>
      <w:r>
        <w:rPr>
          <w:rFonts w:ascii="Times New Roman" w:hAnsi="宋体" w:eastAsia="宋体" w:cs="宋体"/>
          <w:color w:val="auto"/>
          <w:sz w:val="24"/>
          <w:szCs w:val="24"/>
          <w:highlight w:val="none"/>
          <w:u w:val="single"/>
        </w:rPr>
        <w:instrText xml:space="preserve"> </w:instrText>
      </w:r>
      <w:r>
        <w:rPr>
          <w:rFonts w:ascii="Times New Roman" w:hAnsi="宋体" w:eastAsia="宋体" w:cs="宋体"/>
          <w:color w:val="auto"/>
          <w:sz w:val="24"/>
          <w:szCs w:val="24"/>
          <w:highlight w:val="none"/>
          <w:u w:val="single"/>
        </w:rPr>
        <w:fldChar w:fldCharType="separate"/>
      </w:r>
      <w:r>
        <w:rPr>
          <w:rFonts w:hint="eastAsia" w:ascii="Times New Roman" w:hAnsi="宋体" w:eastAsia="宋体" w:cs="宋体"/>
          <w:color w:val="auto"/>
          <w:sz w:val="24"/>
          <w:szCs w:val="24"/>
          <w:highlight w:val="none"/>
          <w:u w:val="single"/>
        </w:rPr>
        <w:t>③</w:t>
      </w:r>
      <w:r>
        <w:rPr>
          <w:rFonts w:ascii="Times New Roman" w:hAnsi="宋体" w:eastAsia="宋体" w:cs="宋体"/>
          <w:color w:val="auto"/>
          <w:sz w:val="24"/>
          <w:szCs w:val="24"/>
          <w:highlight w:val="none"/>
          <w:u w:val="single"/>
        </w:rPr>
        <w:fldChar w:fldCharType="end"/>
      </w:r>
      <w:r>
        <w:rPr>
          <w:rFonts w:hint="eastAsia" w:ascii="Times New Roman" w:hAnsi="宋体" w:eastAsia="宋体" w:cs="宋体"/>
          <w:color w:val="auto"/>
          <w:sz w:val="24"/>
          <w:szCs w:val="24"/>
          <w:highlight w:val="none"/>
          <w:u w:val="single"/>
        </w:rPr>
        <w:t>合同约定的工程质量缺陷责任期（最长不超过2年）满后由承包人向发包人提出返还保证金的申请，</w:t>
      </w:r>
      <w:r>
        <w:rPr>
          <w:rFonts w:ascii="Times New Roman" w:hAnsi="宋体" w:eastAsia="宋体" w:cs="宋体"/>
          <w:color w:val="auto"/>
          <w:sz w:val="24"/>
          <w:szCs w:val="24"/>
          <w:highlight w:val="none"/>
          <w:u w:val="single"/>
        </w:rPr>
        <w:t>发包人</w:t>
      </w:r>
      <w:r>
        <w:rPr>
          <w:rFonts w:hint="eastAsia" w:ascii="Times New Roman" w:hAnsi="宋体" w:eastAsia="宋体" w:cs="宋体"/>
          <w:color w:val="auto"/>
          <w:sz w:val="24"/>
          <w:szCs w:val="24"/>
          <w:highlight w:val="none"/>
          <w:u w:val="single"/>
        </w:rPr>
        <w:t>在</w:t>
      </w:r>
      <w:r>
        <w:rPr>
          <w:rFonts w:ascii="Times New Roman" w:hAnsi="宋体" w:eastAsia="宋体" w:cs="宋体"/>
          <w:color w:val="auto"/>
          <w:sz w:val="24"/>
          <w:szCs w:val="24"/>
          <w:highlight w:val="none"/>
          <w:u w:val="single"/>
        </w:rPr>
        <w:t>接到承包人返还保证金申请后，于</w:t>
      </w:r>
      <w:r>
        <w:rPr>
          <w:rFonts w:hint="eastAsia" w:ascii="Times New Roman" w:hAnsi="宋体" w:eastAsia="宋体" w:cs="宋体"/>
          <w:color w:val="auto"/>
          <w:sz w:val="24"/>
          <w:szCs w:val="24"/>
          <w:highlight w:val="none"/>
          <w:u w:val="single"/>
        </w:rPr>
        <w:t>14天</w:t>
      </w:r>
      <w:r>
        <w:rPr>
          <w:rFonts w:ascii="Times New Roman" w:hAnsi="宋体" w:eastAsia="宋体" w:cs="宋体"/>
          <w:color w:val="auto"/>
          <w:sz w:val="24"/>
          <w:szCs w:val="24"/>
          <w:highlight w:val="none"/>
          <w:u w:val="single"/>
        </w:rPr>
        <w:t>内会同承包人按照合同约定的内容进行核实。如</w:t>
      </w:r>
      <w:r>
        <w:rPr>
          <w:rFonts w:hint="eastAsia" w:ascii="Times New Roman" w:hAnsi="宋体" w:eastAsia="宋体" w:cs="宋体"/>
          <w:color w:val="auto"/>
          <w:sz w:val="24"/>
          <w:szCs w:val="24"/>
          <w:highlight w:val="none"/>
          <w:u w:val="single"/>
        </w:rPr>
        <w:t>无异</w:t>
      </w:r>
      <w:r>
        <w:rPr>
          <w:rFonts w:ascii="Times New Roman" w:hAnsi="宋体" w:eastAsia="宋体" w:cs="宋体"/>
          <w:color w:val="auto"/>
          <w:sz w:val="24"/>
          <w:szCs w:val="24"/>
          <w:highlight w:val="none"/>
          <w:u w:val="single"/>
        </w:rPr>
        <w:t>议，发包人在核实后</w:t>
      </w:r>
      <w:r>
        <w:rPr>
          <w:rFonts w:hint="eastAsia" w:ascii="Times New Roman" w:hAnsi="宋体" w:eastAsia="宋体" w:cs="宋体"/>
          <w:color w:val="auto"/>
          <w:sz w:val="24"/>
          <w:szCs w:val="24"/>
          <w:highlight w:val="none"/>
          <w:u w:val="single"/>
        </w:rPr>
        <w:t>14天</w:t>
      </w:r>
      <w:r>
        <w:rPr>
          <w:rFonts w:ascii="Times New Roman" w:hAnsi="宋体" w:eastAsia="宋体" w:cs="宋体"/>
          <w:color w:val="auto"/>
          <w:sz w:val="24"/>
          <w:szCs w:val="24"/>
          <w:highlight w:val="none"/>
          <w:u w:val="single"/>
        </w:rPr>
        <w:t>内将保证金</w:t>
      </w:r>
      <w:r>
        <w:rPr>
          <w:rFonts w:hint="eastAsia" w:ascii="Times New Roman" w:hAnsi="宋体" w:eastAsia="宋体" w:cs="宋体"/>
          <w:color w:val="auto"/>
          <w:sz w:val="24"/>
          <w:szCs w:val="24"/>
          <w:highlight w:val="none"/>
          <w:u w:val="single"/>
        </w:rPr>
        <w:t>返还承包</w:t>
      </w:r>
      <w:r>
        <w:rPr>
          <w:rFonts w:ascii="Times New Roman" w:hAnsi="宋体" w:eastAsia="宋体" w:cs="宋体"/>
          <w:color w:val="auto"/>
          <w:sz w:val="24"/>
          <w:szCs w:val="24"/>
          <w:highlight w:val="none"/>
          <w:u w:val="single"/>
        </w:rPr>
        <w:t>人，逾期未返还的，依法承</w:t>
      </w:r>
      <w:r>
        <w:rPr>
          <w:rFonts w:hint="eastAsia" w:ascii="Times New Roman" w:hAnsi="宋体" w:eastAsia="宋体" w:cs="宋体"/>
          <w:color w:val="auto"/>
          <w:sz w:val="24"/>
          <w:szCs w:val="24"/>
          <w:highlight w:val="none"/>
          <w:u w:val="single"/>
        </w:rPr>
        <w:t>担</w:t>
      </w:r>
      <w:r>
        <w:rPr>
          <w:rFonts w:ascii="Times New Roman" w:hAnsi="宋体" w:eastAsia="宋体" w:cs="宋体"/>
          <w:color w:val="auto"/>
          <w:sz w:val="24"/>
          <w:szCs w:val="24"/>
          <w:highlight w:val="none"/>
          <w:u w:val="single"/>
        </w:rPr>
        <w:t>违约责任</w:t>
      </w:r>
      <w:r>
        <w:rPr>
          <w:rFonts w:hint="eastAsia" w:ascii="Times New Roman" w:hAnsi="宋体" w:eastAsia="宋体" w:cs="宋体"/>
          <w:color w:val="auto"/>
          <w:sz w:val="24"/>
          <w:szCs w:val="24"/>
          <w:highlight w:val="none"/>
          <w:u w:val="single"/>
        </w:rPr>
        <w:t>。发</w:t>
      </w:r>
      <w:r>
        <w:rPr>
          <w:rFonts w:ascii="Times New Roman" w:hAnsi="宋体" w:eastAsia="宋体" w:cs="宋体"/>
          <w:color w:val="auto"/>
          <w:sz w:val="24"/>
          <w:szCs w:val="24"/>
          <w:highlight w:val="none"/>
          <w:u w:val="single"/>
        </w:rPr>
        <w:t>包人在接到承包人返还保证金申请后</w:t>
      </w:r>
      <w:r>
        <w:rPr>
          <w:rFonts w:hint="eastAsia" w:ascii="Times New Roman" w:hAnsi="宋体" w:eastAsia="宋体" w:cs="宋体"/>
          <w:color w:val="auto"/>
          <w:sz w:val="24"/>
          <w:szCs w:val="24"/>
          <w:highlight w:val="none"/>
          <w:u w:val="single"/>
        </w:rPr>
        <w:t>14天</w:t>
      </w:r>
      <w:r>
        <w:rPr>
          <w:rFonts w:ascii="Times New Roman" w:hAnsi="宋体" w:eastAsia="宋体" w:cs="宋体"/>
          <w:color w:val="auto"/>
          <w:sz w:val="24"/>
          <w:szCs w:val="24"/>
          <w:highlight w:val="none"/>
          <w:u w:val="single"/>
        </w:rPr>
        <w:t>内不予答复，经催告后</w:t>
      </w:r>
      <w:r>
        <w:rPr>
          <w:rFonts w:hint="eastAsia" w:ascii="Times New Roman" w:hAnsi="宋体" w:eastAsia="宋体" w:cs="宋体"/>
          <w:color w:val="auto"/>
          <w:sz w:val="24"/>
          <w:szCs w:val="24"/>
          <w:highlight w:val="none"/>
          <w:u w:val="single"/>
        </w:rPr>
        <w:t>14天</w:t>
      </w:r>
      <w:r>
        <w:rPr>
          <w:rFonts w:ascii="Times New Roman" w:hAnsi="宋体" w:eastAsia="宋体" w:cs="宋体"/>
          <w:color w:val="auto"/>
          <w:sz w:val="24"/>
          <w:szCs w:val="24"/>
          <w:highlight w:val="none"/>
          <w:u w:val="single"/>
        </w:rPr>
        <w:t>内仍不</w:t>
      </w:r>
      <w:r>
        <w:rPr>
          <w:rFonts w:hint="eastAsia" w:ascii="Times New Roman" w:hAnsi="宋体" w:eastAsia="宋体" w:cs="宋体"/>
          <w:color w:val="auto"/>
          <w:sz w:val="24"/>
          <w:szCs w:val="24"/>
          <w:highlight w:val="none"/>
          <w:u w:val="single"/>
        </w:rPr>
        <w:t>予</w:t>
      </w:r>
      <w:r>
        <w:rPr>
          <w:rFonts w:ascii="Times New Roman" w:hAnsi="宋体" w:eastAsia="宋体" w:cs="宋体"/>
          <w:color w:val="auto"/>
          <w:sz w:val="24"/>
          <w:szCs w:val="24"/>
          <w:highlight w:val="none"/>
          <w:u w:val="single"/>
        </w:rPr>
        <w:t>答复，</w:t>
      </w:r>
      <w:r>
        <w:rPr>
          <w:rFonts w:hint="eastAsia" w:ascii="Times New Roman" w:hAnsi="宋体" w:eastAsia="宋体" w:cs="宋体"/>
          <w:color w:val="auto"/>
          <w:sz w:val="24"/>
          <w:szCs w:val="24"/>
          <w:highlight w:val="none"/>
          <w:u w:val="single"/>
        </w:rPr>
        <w:t>视</w:t>
      </w:r>
      <w:r>
        <w:rPr>
          <w:rFonts w:ascii="Times New Roman" w:hAnsi="宋体" w:eastAsia="宋体" w:cs="宋体"/>
          <w:color w:val="auto"/>
          <w:sz w:val="24"/>
          <w:szCs w:val="24"/>
          <w:highlight w:val="none"/>
          <w:u w:val="single"/>
        </w:rPr>
        <w:t>同认可承包人的返还保证金申请。</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12.4.2 进度付款申请单的编制</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关于进度付款申请单编制的约定：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Pr>
          <w:rFonts w:ascii="宋体" w:hAnsi="宋体" w:eastAsia="宋体" w:cs="Times New Roman"/>
          <w:color w:val="auto"/>
          <w:sz w:val="24"/>
          <w:szCs w:val="24"/>
          <w:highlight w:val="none"/>
        </w:rPr>
        <w:t>2.4.3 进度付款申请单的提交</w:t>
      </w:r>
    </w:p>
    <w:p>
      <w:pPr>
        <w:ind w:firstLine="480" w:firstLineChars="200"/>
        <w:rPr>
          <w:rFonts w:ascii="宋体" w:hAnsi="宋体" w:eastAsia="宋体" w:cs="Times New Roman"/>
          <w:b/>
          <w:bCs/>
          <w:color w:val="auto"/>
          <w:sz w:val="24"/>
          <w:szCs w:val="24"/>
          <w:highlight w:val="none"/>
          <w:u w:val="single"/>
        </w:rPr>
      </w:pPr>
      <w:r>
        <w:rPr>
          <w:rFonts w:ascii="宋体" w:hAnsi="宋体" w:eastAsia="宋体" w:cs="Times New Roman"/>
          <w:color w:val="auto"/>
          <w:sz w:val="24"/>
          <w:szCs w:val="24"/>
          <w:highlight w:val="none"/>
        </w:rPr>
        <w:t>（1）单价合同进度付款申请单提交的约定：</w:t>
      </w:r>
    </w:p>
    <w:p>
      <w:pPr>
        <w:ind w:firstLine="480" w:firstLineChars="200"/>
        <w:rPr>
          <w:rFonts w:ascii="宋体" w:hAnsi="宋体" w:eastAsia="宋体" w:cs="Times New Roman"/>
          <w:bCs/>
          <w:color w:val="auto"/>
          <w:sz w:val="24"/>
          <w:szCs w:val="24"/>
          <w:highlight w:val="none"/>
          <w:u w:val="single"/>
        </w:rPr>
      </w:pPr>
      <w:r>
        <w:rPr>
          <w:rFonts w:ascii="宋体" w:hAnsi="宋体" w:eastAsia="宋体" w:cs="Times New Roman"/>
          <w:bCs/>
          <w:color w:val="auto"/>
          <w:sz w:val="24"/>
          <w:szCs w:val="24"/>
          <w:highlight w:val="none"/>
          <w:u w:val="single"/>
        </w:rPr>
        <w:t xml:space="preserve">                                                                               </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（2）总价合同进度付款申请单提交的约定：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（3）其他价格形式合同进度付款申请单提交的约定：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12.4.4 进度款审核和支付</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（1）监理人审查并报送发包人的期限：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发包人完成审批并签发进度款支付证书的期限：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（2）发包人支付进度款的期限：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600" w:firstLineChars="2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发包人逾期支付进度款的违约金的计算方式：</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600" w:firstLineChars="2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进度款支付方式：</w:t>
      </w:r>
      <w:r>
        <w:rPr>
          <w:rFonts w:ascii="宋体" w:hAnsi="宋体" w:eastAsia="宋体" w:cs="Times New Roman"/>
          <w:color w:val="auto"/>
          <w:sz w:val="24"/>
          <w:szCs w:val="24"/>
          <w:highlight w:val="none"/>
          <w:u w:val="single"/>
        </w:rPr>
        <w:t>银行转账</w:t>
      </w:r>
      <w:r>
        <w:rPr>
          <w:rFonts w:ascii="宋体" w:hAnsi="宋体" w:eastAsia="宋体" w:cs="Times New Roman"/>
          <w:color w:val="auto"/>
          <w:sz w:val="24"/>
          <w:szCs w:val="24"/>
          <w:highlight w:val="none"/>
        </w:rPr>
        <w:t>。</w:t>
      </w:r>
    </w:p>
    <w:p>
      <w:pPr>
        <w:ind w:firstLine="600" w:firstLineChars="2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12.4.6 支付分解表的编制</w:t>
      </w:r>
    </w:p>
    <w:p>
      <w:pPr>
        <w:ind w:firstLine="600" w:firstLineChars="25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总价合同支付分解表的编制与审批：</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600" w:firstLineChars="25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单价合同的总价项目支付分解表的编制与审批：</w:t>
      </w:r>
      <w:r>
        <w:rPr>
          <w:rFonts w:hint="eastAsia" w:ascii="宋体" w:hAnsi="宋体" w:eastAsia="宋体" w:cs="Times New Roman"/>
          <w:color w:val="auto"/>
          <w:sz w:val="24"/>
          <w:szCs w:val="24"/>
          <w:highlight w:val="none"/>
        </w:rPr>
        <w:t>总价项目不采用支付分解表的方式计算，而按《建设工程工程量清单计价规范（GB50500-2013）广西壮族自治区实施细则》的规定执行</w:t>
      </w:r>
      <w:r>
        <w:rPr>
          <w:rFonts w:ascii="宋体" w:hAnsi="宋体" w:eastAsia="宋体" w:cs="Times New Roman"/>
          <w:color w:val="auto"/>
          <w:sz w:val="24"/>
          <w:szCs w:val="24"/>
          <w:highlight w:val="none"/>
        </w:rPr>
        <w:t>。</w:t>
      </w:r>
    </w:p>
    <w:bookmarkEnd w:id="1094"/>
    <w:p>
      <w:pPr>
        <w:keepNext/>
        <w:keepLines/>
        <w:spacing w:before="260" w:after="260"/>
        <w:outlineLvl w:val="1"/>
        <w:rPr>
          <w:rFonts w:ascii="宋体" w:hAnsi="宋体" w:eastAsia="宋体" w:cs="Times New Roman"/>
          <w:b/>
          <w:bCs/>
          <w:color w:val="auto"/>
          <w:sz w:val="24"/>
          <w:szCs w:val="24"/>
          <w:highlight w:val="none"/>
        </w:rPr>
      </w:pPr>
      <w:bookmarkStart w:id="1382" w:name="_Toc89333069"/>
      <w:bookmarkStart w:id="1383" w:name="_Toc89333317"/>
      <w:bookmarkStart w:id="1384" w:name="_Toc395382556"/>
      <w:bookmarkStart w:id="1385" w:name="_Toc389065318"/>
      <w:bookmarkStart w:id="1386" w:name="_Toc351203645"/>
      <w:bookmarkStart w:id="1387" w:name="_Toc527311336"/>
      <w:bookmarkStart w:id="1388" w:name="_Toc373478400"/>
      <w:bookmarkStart w:id="1389" w:name="_Toc7546"/>
      <w:bookmarkStart w:id="1390" w:name="_Toc373227753"/>
      <w:bookmarkStart w:id="1391" w:name="_Toc88065659"/>
      <w:bookmarkStart w:id="1392" w:name="_Toc297123564"/>
      <w:bookmarkStart w:id="1393" w:name="_Toc296347218"/>
      <w:bookmarkStart w:id="1394" w:name="_Toc303539172"/>
      <w:bookmarkStart w:id="1395" w:name="_Toc300935015"/>
      <w:bookmarkStart w:id="1396" w:name="_Toc297216223"/>
      <w:bookmarkStart w:id="1397" w:name="_Toc296346720"/>
      <w:bookmarkStart w:id="1398" w:name="_Toc296891047"/>
      <w:bookmarkStart w:id="1399" w:name="_Toc292559424"/>
      <w:bookmarkStart w:id="1400" w:name="_Toc312678053"/>
      <w:bookmarkStart w:id="1401" w:name="_Toc296944558"/>
      <w:bookmarkStart w:id="1402" w:name="_Toc297120519"/>
      <w:bookmarkStart w:id="1403" w:name="_Toc304295593"/>
      <w:bookmarkStart w:id="1404" w:name="_Toc297048405"/>
      <w:bookmarkStart w:id="1405" w:name="_Toc292559929"/>
      <w:bookmarkStart w:id="1406" w:name="_Toc296891259"/>
      <w:bookmarkStart w:id="1407" w:name="_Toc296503219"/>
      <w:r>
        <w:rPr>
          <w:rFonts w:ascii="宋体" w:hAnsi="宋体" w:eastAsia="宋体" w:cs="Times New Roman"/>
          <w:b/>
          <w:bCs/>
          <w:color w:val="auto"/>
          <w:sz w:val="24"/>
          <w:szCs w:val="24"/>
          <w:highlight w:val="none"/>
        </w:rPr>
        <w:t>13. 验收和工程试车</w:t>
      </w:r>
      <w:bookmarkEnd w:id="1382"/>
      <w:bookmarkEnd w:id="1383"/>
      <w:bookmarkEnd w:id="1384"/>
      <w:bookmarkEnd w:id="1385"/>
      <w:bookmarkEnd w:id="1386"/>
      <w:bookmarkEnd w:id="1387"/>
      <w:bookmarkEnd w:id="1388"/>
      <w:bookmarkEnd w:id="1389"/>
      <w:bookmarkEnd w:id="1390"/>
      <w:bookmarkEnd w:id="1391"/>
    </w:p>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Pr>
        <w:keepNext/>
        <w:keepLines/>
        <w:spacing w:before="260" w:after="260"/>
        <w:outlineLvl w:val="2"/>
        <w:rPr>
          <w:rFonts w:ascii="Times New Roman" w:hAnsi="Times New Roman" w:eastAsia="宋体" w:cs="Times New Roman"/>
          <w:b/>
          <w:bCs/>
          <w:color w:val="auto"/>
          <w:sz w:val="24"/>
          <w:szCs w:val="24"/>
          <w:highlight w:val="none"/>
        </w:rPr>
      </w:pPr>
      <w:bookmarkStart w:id="1408" w:name="_Toc7688"/>
      <w:bookmarkStart w:id="1409" w:name="_Toc389065319"/>
      <w:bookmarkStart w:id="1410" w:name="_Toc527311337"/>
      <w:bookmarkStart w:id="1411" w:name="_Toc89333070"/>
      <w:bookmarkStart w:id="1412" w:name="_Toc373478401"/>
      <w:bookmarkStart w:id="1413" w:name="_Toc89333318"/>
      <w:bookmarkStart w:id="1414" w:name="_Toc395382557"/>
      <w:bookmarkStart w:id="1415" w:name="_Toc88065660"/>
      <w:bookmarkStart w:id="1416" w:name="_Toc373227754"/>
      <w:r>
        <w:rPr>
          <w:rFonts w:ascii="Times New Roman" w:hAnsi="Times New Roman" w:eastAsia="宋体" w:cs="Times New Roman"/>
          <w:b/>
          <w:bCs/>
          <w:color w:val="auto"/>
          <w:sz w:val="24"/>
          <w:szCs w:val="24"/>
          <w:highlight w:val="none"/>
        </w:rPr>
        <w:t>13.1 分部分项工程验收</w:t>
      </w:r>
      <w:bookmarkEnd w:id="1408"/>
      <w:bookmarkEnd w:id="1409"/>
      <w:bookmarkEnd w:id="1410"/>
      <w:bookmarkEnd w:id="1411"/>
      <w:bookmarkEnd w:id="1412"/>
      <w:bookmarkEnd w:id="1413"/>
      <w:bookmarkEnd w:id="1414"/>
      <w:bookmarkEnd w:id="1415"/>
      <w:bookmarkEnd w:id="1416"/>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13.1.2监理人不能按时进行验收时，应提前</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小时提交书面延期要求。</w:t>
      </w:r>
    </w:p>
    <w:p>
      <w:pPr>
        <w:ind w:firstLine="480" w:firstLineChars="200"/>
        <w:rPr>
          <w:rFonts w:ascii="宋体" w:hAnsi="宋体" w:eastAsia="宋体" w:cs="Times New Roman"/>
          <w:b/>
          <w:color w:val="auto"/>
          <w:sz w:val="24"/>
          <w:szCs w:val="24"/>
          <w:highlight w:val="none"/>
        </w:rPr>
      </w:pPr>
      <w:r>
        <w:rPr>
          <w:rFonts w:ascii="宋体" w:hAnsi="宋体" w:eastAsia="宋体" w:cs="Times New Roman"/>
          <w:color w:val="auto"/>
          <w:sz w:val="24"/>
          <w:szCs w:val="24"/>
          <w:highlight w:val="none"/>
        </w:rPr>
        <w:t>关于延期最长不得超过：</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小时。</w:t>
      </w:r>
    </w:p>
    <w:p>
      <w:pPr>
        <w:keepNext/>
        <w:keepLines/>
        <w:spacing w:before="260" w:after="260"/>
        <w:outlineLvl w:val="2"/>
        <w:rPr>
          <w:rFonts w:ascii="Times New Roman" w:hAnsi="Times New Roman" w:eastAsia="宋体" w:cs="Times New Roman"/>
          <w:b/>
          <w:bCs/>
          <w:color w:val="auto"/>
          <w:sz w:val="24"/>
          <w:szCs w:val="24"/>
          <w:highlight w:val="none"/>
        </w:rPr>
      </w:pPr>
      <w:bookmarkStart w:id="1417" w:name="_Toc373478402"/>
      <w:bookmarkStart w:id="1418" w:name="_Toc89333071"/>
      <w:bookmarkStart w:id="1419" w:name="_Toc15281"/>
      <w:bookmarkStart w:id="1420" w:name="_Toc373227755"/>
      <w:bookmarkStart w:id="1421" w:name="_Toc389065320"/>
      <w:bookmarkStart w:id="1422" w:name="_Toc395382558"/>
      <w:bookmarkStart w:id="1423" w:name="_Toc89333319"/>
      <w:bookmarkStart w:id="1424" w:name="_Toc88065661"/>
      <w:bookmarkStart w:id="1425" w:name="_Toc527311338"/>
      <w:bookmarkStart w:id="1426" w:name="_Toc296891263"/>
      <w:bookmarkStart w:id="1427" w:name="_Toc297216224"/>
      <w:bookmarkStart w:id="1428" w:name="_Toc296503223"/>
      <w:bookmarkStart w:id="1429" w:name="_Toc292559428"/>
      <w:bookmarkStart w:id="1430" w:name="_Toc297048409"/>
      <w:bookmarkStart w:id="1431" w:name="_Toc303539173"/>
      <w:bookmarkStart w:id="1432" w:name="_Toc312678056"/>
      <w:bookmarkStart w:id="1433" w:name="_Toc297123565"/>
      <w:bookmarkStart w:id="1434" w:name="_Toc296346724"/>
      <w:bookmarkStart w:id="1435" w:name="_Toc300935016"/>
      <w:bookmarkStart w:id="1436" w:name="_Toc304295596"/>
      <w:bookmarkStart w:id="1437" w:name="_Toc296891051"/>
      <w:bookmarkStart w:id="1438" w:name="_Toc297120523"/>
      <w:bookmarkStart w:id="1439" w:name="_Toc296347222"/>
      <w:bookmarkStart w:id="1440" w:name="_Toc292559933"/>
      <w:bookmarkStart w:id="1441" w:name="_Toc296944562"/>
      <w:bookmarkStart w:id="1442" w:name="_Toc267251470"/>
      <w:bookmarkStart w:id="1443" w:name="_Toc267251476"/>
      <w:bookmarkStart w:id="1444" w:name="_Toc267251474"/>
      <w:bookmarkStart w:id="1445" w:name="_Toc267251471"/>
      <w:bookmarkStart w:id="1446" w:name="_Toc267251475"/>
      <w:bookmarkStart w:id="1447" w:name="_Toc267251473"/>
      <w:bookmarkStart w:id="1448" w:name="_Toc267251472"/>
      <w:r>
        <w:rPr>
          <w:rFonts w:ascii="Times New Roman" w:hAnsi="Times New Roman" w:eastAsia="宋体" w:cs="Times New Roman"/>
          <w:b/>
          <w:bCs/>
          <w:color w:val="auto"/>
          <w:sz w:val="24"/>
          <w:szCs w:val="24"/>
          <w:highlight w:val="none"/>
        </w:rPr>
        <w:t>13.2 竣工验收</w:t>
      </w:r>
      <w:bookmarkEnd w:id="1417"/>
      <w:bookmarkEnd w:id="1418"/>
      <w:bookmarkEnd w:id="1419"/>
      <w:bookmarkEnd w:id="1420"/>
      <w:bookmarkEnd w:id="1421"/>
      <w:bookmarkEnd w:id="1422"/>
      <w:bookmarkEnd w:id="1423"/>
      <w:bookmarkEnd w:id="1424"/>
      <w:bookmarkEnd w:id="1425"/>
    </w:p>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Pr>
        <w:ind w:firstLine="480" w:firstLineChars="200"/>
        <w:rPr>
          <w:rFonts w:ascii="宋体" w:hAnsi="宋体" w:eastAsia="宋体" w:cs="Times New Roman"/>
          <w:color w:val="auto"/>
          <w:sz w:val="24"/>
          <w:szCs w:val="24"/>
          <w:highlight w:val="none"/>
        </w:rPr>
      </w:pPr>
      <w:bookmarkStart w:id="1449" w:name="_Toc280868704"/>
      <w:bookmarkStart w:id="1450" w:name="_Toc280868705"/>
      <w:bookmarkStart w:id="1451" w:name="_Toc280868706"/>
      <w:bookmarkStart w:id="1452" w:name="_Toc280868707"/>
      <w:bookmarkStart w:id="1453" w:name="_Toc280868708"/>
      <w:bookmarkStart w:id="1454" w:name="_Toc280868709"/>
      <w:r>
        <w:rPr>
          <w:rFonts w:ascii="宋体" w:hAnsi="宋体" w:eastAsia="宋体" w:cs="Times New Roman"/>
          <w:color w:val="auto"/>
          <w:sz w:val="24"/>
          <w:szCs w:val="24"/>
          <w:highlight w:val="none"/>
        </w:rPr>
        <w:t>13.2.1竣工验收条件</w:t>
      </w:r>
    </w:p>
    <w:p>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承包人负责整理和提交的竣工验收资料应当符合工程所在地建设行政主管部门和(或)城市建设档案管理机构有关施工资料的要求，具体内容包括：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竣工验收资料的份数：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bCs/>
          <w:color w:val="auto"/>
          <w:sz w:val="24"/>
          <w:szCs w:val="24"/>
          <w:highlight w:val="none"/>
        </w:rPr>
        <w:t>承包人提供竣工图的约定：</w:t>
      </w:r>
      <w:r>
        <w:rPr>
          <w:rFonts w:ascii="宋体" w:hAnsi="宋体" w:eastAsia="宋体" w:cs="Times New Roman"/>
          <w:bCs/>
          <w:color w:val="auto"/>
          <w:sz w:val="24"/>
          <w:szCs w:val="24"/>
          <w:highlight w:val="none"/>
          <w:u w:val="single"/>
        </w:rPr>
        <w:t>竣工验收正式通过后5天（工程造价在500万元以下含500万元）、10天（工程造价在500万元至1000万元之间含1000万元）、15天（工程造价在1000万元以上），提供竣工图的数量分别为2套、4套、6套。</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13.2.2竣工验收程序</w:t>
      </w:r>
    </w:p>
    <w:bookmarkEnd w:id="1449"/>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关于竣工验收程序的约定：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发包人不按照本项约定组织竣工验收、颁发工程接收证书的违约金的计算方法：</w:t>
      </w:r>
      <w:r>
        <w:rPr>
          <w:rFonts w:ascii="宋体" w:hAnsi="宋体" w:eastAsia="宋体" w:cs="Times New Roman"/>
          <w:color w:val="auto"/>
          <w:sz w:val="24"/>
          <w:szCs w:val="24"/>
          <w:highlight w:val="none"/>
          <w:u w:val="single"/>
        </w:rPr>
        <w:t xml:space="preserve">         </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450"/>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13.2.5移交、接收全部与部分工程</w:t>
      </w:r>
    </w:p>
    <w:bookmarkEnd w:id="1451"/>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承包人向发包人移交工程的期限：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发包人未按本合同约定接收全部或部分工程的，违约金的计算方法为：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452"/>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承包人未按时移交工程的，违约金的计算方法为：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455" w:name="_Toc1640"/>
      <w:bookmarkStart w:id="1456" w:name="_Toc389065321"/>
      <w:bookmarkStart w:id="1457" w:name="_Toc373478403"/>
      <w:bookmarkStart w:id="1458" w:name="_Toc88065662"/>
      <w:bookmarkStart w:id="1459" w:name="_Toc527311339"/>
      <w:bookmarkStart w:id="1460" w:name="_Toc89333320"/>
      <w:bookmarkStart w:id="1461" w:name="_Toc373227756"/>
      <w:bookmarkStart w:id="1462" w:name="_Toc395382559"/>
      <w:bookmarkStart w:id="1463" w:name="_Toc89333072"/>
      <w:r>
        <w:rPr>
          <w:rFonts w:ascii="Times New Roman" w:hAnsi="Times New Roman" w:eastAsia="宋体" w:cs="Times New Roman"/>
          <w:b/>
          <w:bCs/>
          <w:color w:val="auto"/>
          <w:sz w:val="24"/>
          <w:szCs w:val="24"/>
          <w:highlight w:val="none"/>
        </w:rPr>
        <w:t>13.3 工程试车</w:t>
      </w:r>
      <w:bookmarkEnd w:id="1455"/>
      <w:bookmarkEnd w:id="1456"/>
      <w:bookmarkEnd w:id="1457"/>
      <w:bookmarkEnd w:id="1458"/>
      <w:bookmarkEnd w:id="1459"/>
      <w:bookmarkEnd w:id="1460"/>
      <w:bookmarkEnd w:id="1461"/>
      <w:bookmarkEnd w:id="1462"/>
      <w:bookmarkEnd w:id="1463"/>
    </w:p>
    <w:bookmarkEnd w:id="1453"/>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13.3.1 试车程序</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工程试车内容：</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（1）单机无负荷试车费用由</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承担；</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（2）无负荷联动试车费用由</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承担。</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13.3.3 投料试车</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关于投料试车相关事项的约定：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464" w:name="_Toc527311340"/>
      <w:bookmarkStart w:id="1465" w:name="_Toc373227757"/>
      <w:bookmarkStart w:id="1466" w:name="_Toc89333321"/>
      <w:bookmarkStart w:id="1467" w:name="_Toc395382560"/>
      <w:bookmarkStart w:id="1468" w:name="_Toc89333073"/>
      <w:bookmarkStart w:id="1469" w:name="_Toc389065322"/>
      <w:bookmarkStart w:id="1470" w:name="_Toc88065663"/>
      <w:bookmarkStart w:id="1471" w:name="_Toc373478404"/>
      <w:bookmarkStart w:id="1472" w:name="_Toc30237"/>
      <w:r>
        <w:rPr>
          <w:rFonts w:ascii="Times New Roman" w:hAnsi="Times New Roman" w:eastAsia="宋体" w:cs="Times New Roman"/>
          <w:b/>
          <w:bCs/>
          <w:color w:val="auto"/>
          <w:sz w:val="24"/>
          <w:szCs w:val="24"/>
          <w:highlight w:val="none"/>
        </w:rPr>
        <w:t>13.6 竣工退场</w:t>
      </w:r>
      <w:bookmarkEnd w:id="1464"/>
      <w:bookmarkEnd w:id="1465"/>
      <w:bookmarkEnd w:id="1466"/>
      <w:bookmarkEnd w:id="1467"/>
      <w:bookmarkEnd w:id="1468"/>
      <w:bookmarkEnd w:id="1469"/>
      <w:bookmarkEnd w:id="1470"/>
      <w:bookmarkEnd w:id="1471"/>
      <w:bookmarkEnd w:id="1472"/>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13.6.1 竣工退场</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承包人完成竣工退场的期限：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1473" w:name="_Toc89333074"/>
      <w:bookmarkStart w:id="1474" w:name="_Toc373227758"/>
      <w:bookmarkStart w:id="1475" w:name="_Toc351203646"/>
      <w:bookmarkStart w:id="1476" w:name="_Toc88065664"/>
      <w:bookmarkStart w:id="1477" w:name="_Toc389065323"/>
      <w:bookmarkStart w:id="1478" w:name="_Toc18081"/>
      <w:bookmarkStart w:id="1479" w:name="_Toc373478405"/>
      <w:bookmarkStart w:id="1480" w:name="_Toc527311341"/>
      <w:bookmarkStart w:id="1481" w:name="_Toc395382561"/>
      <w:bookmarkStart w:id="1482" w:name="_Toc89333322"/>
      <w:r>
        <w:rPr>
          <w:rFonts w:ascii="宋体" w:hAnsi="宋体" w:eastAsia="宋体" w:cs="Times New Roman"/>
          <w:b/>
          <w:bCs/>
          <w:color w:val="auto"/>
          <w:sz w:val="24"/>
          <w:szCs w:val="24"/>
          <w:highlight w:val="none"/>
        </w:rPr>
        <w:t>14. 竣工结算</w:t>
      </w:r>
      <w:bookmarkEnd w:id="1473"/>
      <w:bookmarkEnd w:id="1474"/>
      <w:bookmarkEnd w:id="1475"/>
      <w:bookmarkEnd w:id="1476"/>
      <w:bookmarkEnd w:id="1477"/>
      <w:bookmarkEnd w:id="1478"/>
      <w:bookmarkEnd w:id="1479"/>
      <w:bookmarkEnd w:id="1480"/>
      <w:bookmarkEnd w:id="1481"/>
      <w:bookmarkEnd w:id="1482"/>
    </w:p>
    <w:p>
      <w:pPr>
        <w:keepNext/>
        <w:keepLines/>
        <w:spacing w:before="260" w:after="260"/>
        <w:outlineLvl w:val="2"/>
        <w:rPr>
          <w:rFonts w:ascii="Times New Roman" w:hAnsi="Times New Roman" w:eastAsia="宋体" w:cs="Times New Roman"/>
          <w:b/>
          <w:bCs/>
          <w:color w:val="auto"/>
          <w:sz w:val="24"/>
          <w:szCs w:val="24"/>
          <w:highlight w:val="none"/>
        </w:rPr>
      </w:pPr>
      <w:bookmarkStart w:id="1483" w:name="_Toc395382562"/>
      <w:bookmarkStart w:id="1484" w:name="_Toc373478406"/>
      <w:bookmarkStart w:id="1485" w:name="_Toc527311342"/>
      <w:bookmarkStart w:id="1486" w:name="_Toc389065324"/>
      <w:bookmarkStart w:id="1487" w:name="_Toc89333323"/>
      <w:bookmarkStart w:id="1488" w:name="_Toc2206"/>
      <w:bookmarkStart w:id="1489" w:name="_Toc88065665"/>
      <w:bookmarkStart w:id="1490" w:name="_Toc373227759"/>
      <w:bookmarkStart w:id="1491" w:name="_Toc89333075"/>
      <w:r>
        <w:rPr>
          <w:rFonts w:ascii="Times New Roman" w:hAnsi="Times New Roman" w:eastAsia="宋体" w:cs="Times New Roman"/>
          <w:b/>
          <w:bCs/>
          <w:color w:val="auto"/>
          <w:sz w:val="24"/>
          <w:szCs w:val="24"/>
          <w:highlight w:val="none"/>
        </w:rPr>
        <w:t>14.1 竣工付款申请</w:t>
      </w:r>
      <w:bookmarkEnd w:id="1483"/>
      <w:bookmarkEnd w:id="1484"/>
      <w:bookmarkEnd w:id="1485"/>
      <w:bookmarkEnd w:id="1486"/>
      <w:bookmarkEnd w:id="1487"/>
      <w:bookmarkEnd w:id="1488"/>
      <w:bookmarkEnd w:id="1489"/>
      <w:bookmarkEnd w:id="1490"/>
      <w:bookmarkEnd w:id="1491"/>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承包人提交竣工付款申请单的期限：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竣工付款申请单应包括的内容：</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492" w:name="_Toc89333076"/>
      <w:bookmarkStart w:id="1493" w:name="_Toc373478407"/>
      <w:bookmarkStart w:id="1494" w:name="_Toc88065666"/>
      <w:bookmarkStart w:id="1495" w:name="_Toc12473"/>
      <w:bookmarkStart w:id="1496" w:name="_Toc389065325"/>
      <w:bookmarkStart w:id="1497" w:name="_Toc373227760"/>
      <w:bookmarkStart w:id="1498" w:name="_Toc89333324"/>
      <w:bookmarkStart w:id="1499" w:name="_Toc395382563"/>
      <w:bookmarkStart w:id="1500" w:name="_Toc527311343"/>
      <w:r>
        <w:rPr>
          <w:rFonts w:ascii="Times New Roman" w:hAnsi="Times New Roman" w:eastAsia="宋体" w:cs="Times New Roman"/>
          <w:b/>
          <w:bCs/>
          <w:color w:val="auto"/>
          <w:sz w:val="24"/>
          <w:szCs w:val="24"/>
          <w:highlight w:val="none"/>
        </w:rPr>
        <w:t>14.2 竣工结算审核</w:t>
      </w:r>
      <w:bookmarkEnd w:id="1492"/>
      <w:bookmarkEnd w:id="1493"/>
      <w:bookmarkEnd w:id="1494"/>
      <w:bookmarkEnd w:id="1495"/>
      <w:bookmarkEnd w:id="1496"/>
      <w:bookmarkEnd w:id="1497"/>
      <w:bookmarkEnd w:id="1498"/>
      <w:bookmarkEnd w:id="1499"/>
      <w:bookmarkEnd w:id="1500"/>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发包人审批竣工付款申请单的期限：</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rPr>
                <w:rFonts w:ascii="宋体" w:hAnsi="宋体" w:eastAsia="宋体" w:cs="Times New Roman"/>
                <w:bCs/>
                <w:color w:val="auto"/>
                <w:sz w:val="24"/>
                <w:szCs w:val="24"/>
                <w:highlight w:val="none"/>
              </w:rPr>
            </w:pP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工程竣工结算报告金额</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w:t>
            </w: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500万元以下</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500万元-2000万元</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w:t>
            </w: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2000万元-5000万元</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w:t>
            </w: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5000万元以上</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从接到竣工结算报告和完整的竣工结算资料之日起60天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5" w:type="dxa"/>
            <w:vAlign w:val="center"/>
          </w:tcPr>
          <w:p>
            <w:pPr>
              <w:jc w:val="cente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w:t>
            </w:r>
          </w:p>
        </w:tc>
        <w:tc>
          <w:tcPr>
            <w:tcW w:w="2466" w:type="dxa"/>
            <w:vAlign w:val="center"/>
          </w:tcPr>
          <w:p>
            <w:pPr>
              <w:ind w:firstLine="31" w:firstLineChars="13"/>
              <w:jc w:val="cente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5000万以上每增加</w:t>
            </w:r>
            <w:r>
              <w:rPr>
                <w:rFonts w:ascii="宋体" w:hAnsi="宋体" w:eastAsia="宋体" w:cs="Times New Roman"/>
                <w:bCs/>
                <w:color w:val="auto"/>
                <w:sz w:val="24"/>
                <w:szCs w:val="24"/>
                <w:highlight w:val="none"/>
              </w:rPr>
              <w:t>0.5</w:t>
            </w:r>
            <w:r>
              <w:rPr>
                <w:rFonts w:hint="eastAsia" w:ascii="宋体" w:hAnsi="宋体" w:eastAsia="宋体" w:cs="Times New Roman"/>
                <w:bCs/>
                <w:color w:val="auto"/>
                <w:sz w:val="24"/>
                <w:szCs w:val="24"/>
                <w:highlight w:val="none"/>
              </w:rPr>
              <w:t>亿(不足0.5亿不增加)</w:t>
            </w:r>
          </w:p>
        </w:tc>
        <w:tc>
          <w:tcPr>
            <w:tcW w:w="5967" w:type="dxa"/>
            <w:vAlign w:val="center"/>
          </w:tcPr>
          <w:p>
            <w:pPr>
              <w:ind w:firstLine="504" w:firstLineChars="210"/>
              <w:jc w:val="center"/>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增加10天</w:t>
            </w:r>
          </w:p>
        </w:tc>
      </w:tr>
    </w:tbl>
    <w:p>
      <w:pPr>
        <w:ind w:firstLine="480" w:firstLineChars="200"/>
        <w:rPr>
          <w:rFonts w:ascii="宋体" w:hAnsi="宋体" w:eastAsia="宋体" w:cs="Times New Roman"/>
          <w:color w:val="auto"/>
          <w:sz w:val="24"/>
          <w:szCs w:val="24"/>
          <w:highlight w:val="none"/>
        </w:rPr>
      </w:pPr>
      <w:r>
        <w:rPr>
          <w:rFonts w:ascii="宋体" w:hAnsi="宋体" w:eastAsia="宋体" w:cs="Times New Roman"/>
          <w:bCs/>
          <w:color w:val="auto"/>
          <w:sz w:val="24"/>
          <w:szCs w:val="24"/>
          <w:highlight w:val="none"/>
        </w:rPr>
        <w:t>因承包人提供的结算资料不完整而需要补充或承包人不按时对账耽误时间时，审查时间应相应顺延</w:t>
      </w:r>
      <w:r>
        <w:rPr>
          <w:rFonts w:ascii="宋体" w:hAnsi="宋体" w:eastAsia="宋体" w:cs="Times New Roman"/>
          <w:color w:val="auto"/>
          <w:sz w:val="24"/>
          <w:szCs w:val="24"/>
          <w:highlight w:val="none"/>
        </w:rPr>
        <w:t>。</w:t>
      </w:r>
    </w:p>
    <w:p>
      <w:pPr>
        <w:spacing w:line="400" w:lineRule="exact"/>
        <w:ind w:firstLine="470" w:firstLineChars="196"/>
        <w:rPr>
          <w:rFonts w:ascii="Times New Roman" w:hAnsi="宋体" w:eastAsia="宋体" w:cs="Times New Roman"/>
          <w:color w:val="auto"/>
          <w:sz w:val="24"/>
          <w:szCs w:val="24"/>
          <w:highlight w:val="none"/>
        </w:rPr>
      </w:pPr>
      <w:bookmarkStart w:id="1501" w:name="_Toc5157"/>
      <w:bookmarkStart w:id="1502" w:name="_Toc395382564"/>
      <w:bookmarkStart w:id="1503" w:name="_Toc373227761"/>
      <w:bookmarkStart w:id="1504" w:name="_Toc373478408"/>
      <w:bookmarkStart w:id="1505" w:name="_Toc389065326"/>
      <w:bookmarkStart w:id="1506" w:name="_Toc527311344"/>
      <w:r>
        <w:rPr>
          <w:rFonts w:hint="eastAsia" w:ascii="Times New Roman" w:hAnsi="宋体" w:eastAsia="宋体" w:cs="宋体"/>
          <w:color w:val="auto"/>
          <w:sz w:val="24"/>
          <w:szCs w:val="24"/>
          <w:highlight w:val="none"/>
        </w:rPr>
        <w:t>竣工结算审核约定：</w:t>
      </w:r>
    </w:p>
    <w:p>
      <w:pPr>
        <w:spacing w:line="400" w:lineRule="exact"/>
        <w:ind w:firstLine="470" w:firstLineChars="196"/>
        <w:rPr>
          <w:rFonts w:ascii="Times New Roman" w:hAnsi="宋体" w:eastAsia="宋体" w:cs="Times New Roman"/>
          <w:color w:val="auto"/>
          <w:sz w:val="24"/>
          <w:szCs w:val="24"/>
          <w:highlight w:val="none"/>
          <w:u w:val="single"/>
        </w:rPr>
      </w:pPr>
      <w:r>
        <w:rPr>
          <w:rFonts w:ascii="Times New Roman" w:hAnsi="宋体" w:eastAsia="宋体" w:cs="Times New Roman"/>
          <w:color w:val="auto"/>
          <w:sz w:val="24"/>
          <w:szCs w:val="24"/>
          <w:highlight w:val="none"/>
          <w:u w:val="single"/>
        </w:rPr>
        <w:t>1</w:t>
      </w:r>
      <w:r>
        <w:rPr>
          <w:rFonts w:hint="eastAsia" w:ascii="Times New Roman" w:hAnsi="宋体" w:eastAsia="宋体" w:cs="宋体"/>
          <w:color w:val="auto"/>
          <w:sz w:val="24"/>
          <w:szCs w:val="24"/>
          <w:highlight w:val="none"/>
          <w:u w:val="single"/>
        </w:rPr>
        <w:t>、工程竣工验收报告经发包人认可后</w:t>
      </w:r>
      <w:r>
        <w:rPr>
          <w:rFonts w:ascii="Times New Roman" w:hAnsi="宋体" w:eastAsia="宋体" w:cs="Times New Roman"/>
          <w:color w:val="auto"/>
          <w:sz w:val="24"/>
          <w:szCs w:val="24"/>
          <w:highlight w:val="none"/>
          <w:u w:val="single"/>
        </w:rPr>
        <w:t xml:space="preserve">   </w:t>
      </w:r>
      <w:r>
        <w:rPr>
          <w:rFonts w:hint="eastAsia" w:ascii="Times New Roman" w:hAnsi="宋体" w:eastAsia="宋体" w:cs="宋体"/>
          <w:color w:val="auto"/>
          <w:sz w:val="24"/>
          <w:szCs w:val="24"/>
          <w:highlight w:val="none"/>
          <w:u w:val="single"/>
        </w:rPr>
        <w:t>天内，承包人向发包人递交竣工验收合格资料及完整的结算资料和报告，双方按照本工程合同约定的价格形式及价款调整办法进行工程竣工结算。</w:t>
      </w:r>
      <w:r>
        <w:rPr>
          <w:rFonts w:ascii="Times New Roman" w:hAnsi="宋体" w:eastAsia="宋体" w:cs="Times New Roman"/>
          <w:color w:val="auto"/>
          <w:sz w:val="24"/>
          <w:szCs w:val="24"/>
          <w:highlight w:val="none"/>
          <w:u w:val="single"/>
        </w:rPr>
        <w:t>2</w:t>
      </w:r>
      <w:r>
        <w:rPr>
          <w:rFonts w:hint="eastAsia" w:ascii="Times New Roman" w:hAnsi="宋体" w:eastAsia="宋体" w:cs="宋体"/>
          <w:color w:val="auto"/>
          <w:sz w:val="24"/>
          <w:szCs w:val="24"/>
          <w:highlight w:val="none"/>
          <w:u w:val="single"/>
        </w:rPr>
        <w:t>、发包人收到承包人递交的竣工结算报告及结算资料之日起</w:t>
      </w:r>
      <w:r>
        <w:rPr>
          <w:rFonts w:ascii="Times New Roman" w:hAnsi="宋体" w:eastAsia="宋体" w:cs="Times New Roman"/>
          <w:color w:val="auto"/>
          <w:sz w:val="24"/>
          <w:szCs w:val="24"/>
          <w:highlight w:val="none"/>
          <w:u w:val="single"/>
        </w:rPr>
        <w:t xml:space="preserve">   </w:t>
      </w:r>
      <w:r>
        <w:rPr>
          <w:rFonts w:hint="eastAsia" w:ascii="Times New Roman" w:hAnsi="宋体" w:eastAsia="宋体" w:cs="宋体"/>
          <w:color w:val="auto"/>
          <w:sz w:val="24"/>
          <w:szCs w:val="24"/>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宋体"/>
          <w:color w:val="auto"/>
          <w:sz w:val="24"/>
          <w:szCs w:val="24"/>
          <w:highlight w:val="none"/>
          <w:u w:val="single"/>
        </w:rPr>
        <w:t>天内，发包人按审定后的竣工结算价款，通知经办银行向承包人支付结算价款。</w:t>
      </w:r>
    </w:p>
    <w:p>
      <w:pPr>
        <w:spacing w:line="360" w:lineRule="auto"/>
        <w:ind w:firstLine="480" w:firstLineChars="200"/>
        <w:jc w:val="left"/>
        <w:rPr>
          <w:rFonts w:ascii="Times New Roman" w:hAnsi="Times New Roman" w:eastAsia="宋体" w:cs="Times New Roman"/>
          <w:color w:val="auto"/>
          <w:sz w:val="24"/>
          <w:szCs w:val="24"/>
          <w:highlight w:val="none"/>
          <w:u w:val="single"/>
        </w:rPr>
      </w:pPr>
      <w:r>
        <w:rPr>
          <w:rFonts w:hint="eastAsia" w:ascii="Times New Roman" w:hAnsi="宋体" w:eastAsia="宋体" w:cs="宋体"/>
          <w:color w:val="auto"/>
          <w:sz w:val="24"/>
          <w:szCs w:val="24"/>
          <w:highlight w:val="none"/>
        </w:rPr>
        <w:t>备注：对于国有投资项目结算审核约定，双方可结合各地政府或有关部门出台的管理规定进行局部调整。</w:t>
      </w:r>
    </w:p>
    <w:p>
      <w:pPr>
        <w:keepNext/>
        <w:keepLines/>
        <w:spacing w:before="260" w:after="260"/>
        <w:outlineLvl w:val="2"/>
        <w:rPr>
          <w:rFonts w:ascii="Times New Roman" w:hAnsi="Times New Roman" w:eastAsia="宋体" w:cs="Times New Roman"/>
          <w:b/>
          <w:bCs/>
          <w:color w:val="auto"/>
          <w:sz w:val="24"/>
          <w:szCs w:val="24"/>
          <w:highlight w:val="none"/>
        </w:rPr>
      </w:pPr>
      <w:bookmarkStart w:id="1507" w:name="_Toc89333077"/>
      <w:bookmarkStart w:id="1508" w:name="_Toc89333325"/>
      <w:bookmarkStart w:id="1509" w:name="_Toc88065667"/>
      <w:r>
        <w:rPr>
          <w:rFonts w:ascii="Times New Roman" w:hAnsi="Times New Roman" w:eastAsia="宋体" w:cs="Times New Roman"/>
          <w:b/>
          <w:bCs/>
          <w:color w:val="auto"/>
          <w:sz w:val="24"/>
          <w:szCs w:val="24"/>
          <w:highlight w:val="none"/>
        </w:rPr>
        <w:t>14.4 最终结清</w:t>
      </w:r>
      <w:bookmarkEnd w:id="1501"/>
      <w:bookmarkEnd w:id="1502"/>
      <w:bookmarkEnd w:id="1503"/>
      <w:bookmarkEnd w:id="1504"/>
      <w:bookmarkEnd w:id="1505"/>
      <w:bookmarkEnd w:id="1506"/>
      <w:bookmarkEnd w:id="1507"/>
      <w:bookmarkEnd w:id="1508"/>
      <w:bookmarkEnd w:id="1509"/>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14.4.1 最终结清申请单</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承包人提交最终结清申请单的份数：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承包人提交最终结算申请单的期限：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14.4.2 最终结清证书和支付</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（1）发包人完成最终结清申请单的审批并颁发最终结清证书的期限：</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（2）发包人完成支付的期限：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442"/>
    <w:bookmarkEnd w:id="1443"/>
    <w:bookmarkEnd w:id="1444"/>
    <w:bookmarkEnd w:id="1445"/>
    <w:bookmarkEnd w:id="1446"/>
    <w:bookmarkEnd w:id="1447"/>
    <w:bookmarkEnd w:id="1448"/>
    <w:bookmarkEnd w:id="1454"/>
    <w:p>
      <w:pPr>
        <w:keepNext/>
        <w:keepLines/>
        <w:spacing w:before="260" w:after="260"/>
        <w:outlineLvl w:val="1"/>
        <w:rPr>
          <w:rFonts w:ascii="宋体" w:hAnsi="宋体" w:eastAsia="宋体" w:cs="Times New Roman"/>
          <w:b/>
          <w:bCs/>
          <w:color w:val="auto"/>
          <w:sz w:val="24"/>
          <w:szCs w:val="24"/>
          <w:highlight w:val="none"/>
        </w:rPr>
      </w:pPr>
      <w:bookmarkStart w:id="1510" w:name="_Toc395382565"/>
      <w:bookmarkStart w:id="1511" w:name="_Toc389065327"/>
      <w:bookmarkStart w:id="1512" w:name="_Toc89333326"/>
      <w:bookmarkStart w:id="1513" w:name="_Toc527311345"/>
      <w:bookmarkStart w:id="1514" w:name="_Toc373478409"/>
      <w:bookmarkStart w:id="1515" w:name="_Toc351203647"/>
      <w:bookmarkStart w:id="1516" w:name="_Toc373227762"/>
      <w:bookmarkStart w:id="1517" w:name="_Toc89333078"/>
      <w:bookmarkStart w:id="1518" w:name="_Toc9432"/>
      <w:bookmarkStart w:id="1519" w:name="_Toc88065668"/>
      <w:bookmarkStart w:id="1520" w:name="_Toc267251483"/>
      <w:bookmarkStart w:id="1521" w:name="_Toc267251482"/>
      <w:bookmarkStart w:id="1522" w:name="_Toc267251484"/>
      <w:bookmarkStart w:id="1523" w:name="_Toc267251485"/>
      <w:bookmarkStart w:id="1524" w:name="_Toc267251486"/>
      <w:bookmarkStart w:id="1525" w:name="_Toc267251488"/>
      <w:bookmarkStart w:id="1526" w:name="_Toc267251490"/>
      <w:bookmarkStart w:id="1527" w:name="_Toc267251489"/>
      <w:bookmarkStart w:id="1528" w:name="_Toc267251496"/>
      <w:bookmarkStart w:id="1529" w:name="_Toc267251491"/>
      <w:bookmarkStart w:id="1530" w:name="_Toc267251495"/>
      <w:bookmarkStart w:id="1531" w:name="_Toc267251501"/>
      <w:bookmarkStart w:id="1532" w:name="_Toc267251493"/>
      <w:bookmarkStart w:id="1533" w:name="_Toc267251498"/>
      <w:bookmarkStart w:id="1534" w:name="_Toc267251499"/>
      <w:bookmarkStart w:id="1535" w:name="_Toc267251497"/>
      <w:bookmarkStart w:id="1536" w:name="_Toc267251494"/>
      <w:bookmarkStart w:id="1537" w:name="_Toc267251502"/>
      <w:bookmarkStart w:id="1538" w:name="_Toc267251492"/>
      <w:bookmarkStart w:id="1539" w:name="_Toc267251503"/>
      <w:bookmarkStart w:id="1540" w:name="_Toc267251504"/>
      <w:bookmarkStart w:id="1541" w:name="_Toc267251506"/>
      <w:bookmarkStart w:id="1542" w:name="_Toc267251507"/>
      <w:bookmarkStart w:id="1543" w:name="_Toc267251508"/>
      <w:bookmarkStart w:id="1544" w:name="_Toc267251510"/>
      <w:bookmarkStart w:id="1545" w:name="_Toc267251514"/>
      <w:bookmarkStart w:id="1546" w:name="_Toc267251509"/>
      <w:bookmarkStart w:id="1547" w:name="_Toc267251515"/>
      <w:bookmarkStart w:id="1548" w:name="_Toc267251511"/>
      <w:bookmarkStart w:id="1549" w:name="_Toc267251513"/>
      <w:r>
        <w:rPr>
          <w:rFonts w:ascii="宋体" w:hAnsi="宋体" w:eastAsia="宋体" w:cs="Times New Roman"/>
          <w:b/>
          <w:bCs/>
          <w:color w:val="auto"/>
          <w:sz w:val="24"/>
          <w:szCs w:val="24"/>
          <w:highlight w:val="none"/>
        </w:rPr>
        <w:t>15. 缺陷责任期与保修</w:t>
      </w:r>
      <w:bookmarkEnd w:id="1510"/>
      <w:bookmarkEnd w:id="1511"/>
      <w:bookmarkEnd w:id="1512"/>
      <w:bookmarkEnd w:id="1513"/>
      <w:bookmarkEnd w:id="1514"/>
      <w:bookmarkEnd w:id="1515"/>
      <w:bookmarkEnd w:id="1516"/>
      <w:bookmarkEnd w:id="1517"/>
      <w:bookmarkEnd w:id="1518"/>
      <w:bookmarkEnd w:id="1519"/>
    </w:p>
    <w:p>
      <w:pPr>
        <w:keepNext/>
        <w:keepLines/>
        <w:spacing w:before="260" w:after="260"/>
        <w:outlineLvl w:val="2"/>
        <w:rPr>
          <w:rFonts w:ascii="Times New Roman" w:hAnsi="Times New Roman" w:eastAsia="宋体" w:cs="Times New Roman"/>
          <w:b/>
          <w:bCs/>
          <w:color w:val="auto"/>
          <w:sz w:val="24"/>
          <w:szCs w:val="24"/>
          <w:highlight w:val="none"/>
        </w:rPr>
      </w:pPr>
      <w:bookmarkStart w:id="1550" w:name="_Toc395382566"/>
      <w:bookmarkStart w:id="1551" w:name="_Toc88065669"/>
      <w:bookmarkStart w:id="1552" w:name="_Toc5962"/>
      <w:bookmarkStart w:id="1553" w:name="_Toc373227763"/>
      <w:bookmarkStart w:id="1554" w:name="_Toc89333079"/>
      <w:bookmarkStart w:id="1555" w:name="_Toc373478410"/>
      <w:bookmarkStart w:id="1556" w:name="_Toc527311346"/>
      <w:bookmarkStart w:id="1557" w:name="_Toc89333327"/>
      <w:bookmarkStart w:id="1558" w:name="_Toc389065328"/>
      <w:r>
        <w:rPr>
          <w:rFonts w:ascii="Times New Roman" w:hAnsi="Times New Roman" w:eastAsia="宋体" w:cs="Times New Roman"/>
          <w:b/>
          <w:bCs/>
          <w:color w:val="auto"/>
          <w:sz w:val="24"/>
          <w:szCs w:val="24"/>
          <w:highlight w:val="none"/>
        </w:rPr>
        <w:t>15.2 缺陷责任期</w:t>
      </w:r>
      <w:bookmarkEnd w:id="1520"/>
      <w:bookmarkEnd w:id="1550"/>
      <w:bookmarkEnd w:id="1551"/>
      <w:bookmarkEnd w:id="1552"/>
      <w:bookmarkEnd w:id="1553"/>
      <w:bookmarkEnd w:id="1554"/>
      <w:bookmarkEnd w:id="1555"/>
      <w:bookmarkEnd w:id="1556"/>
      <w:bookmarkEnd w:id="1557"/>
      <w:bookmarkEnd w:id="1558"/>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缺陷责任期的具体期限：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559" w:name="_Toc373478411"/>
      <w:bookmarkStart w:id="1560" w:name="_Toc395382567"/>
      <w:bookmarkStart w:id="1561" w:name="_Toc4608"/>
      <w:bookmarkStart w:id="1562" w:name="_Toc373227764"/>
      <w:bookmarkStart w:id="1563" w:name="_Toc527311347"/>
      <w:bookmarkStart w:id="1564" w:name="_Toc89333080"/>
      <w:bookmarkStart w:id="1565" w:name="_Toc88065670"/>
      <w:bookmarkStart w:id="1566" w:name="_Toc389065329"/>
      <w:bookmarkStart w:id="1567" w:name="_Toc89333328"/>
      <w:r>
        <w:rPr>
          <w:rFonts w:ascii="Times New Roman" w:hAnsi="Times New Roman" w:eastAsia="宋体" w:cs="Times New Roman"/>
          <w:b/>
          <w:bCs/>
          <w:color w:val="auto"/>
          <w:sz w:val="24"/>
          <w:szCs w:val="24"/>
          <w:highlight w:val="none"/>
        </w:rPr>
        <w:t>15.3 质量保证金</w:t>
      </w:r>
      <w:bookmarkEnd w:id="1559"/>
      <w:bookmarkEnd w:id="1560"/>
      <w:bookmarkEnd w:id="1561"/>
      <w:bookmarkEnd w:id="1562"/>
      <w:bookmarkEnd w:id="1563"/>
      <w:bookmarkEnd w:id="1564"/>
      <w:bookmarkEnd w:id="1565"/>
      <w:bookmarkEnd w:id="1566"/>
      <w:bookmarkEnd w:id="1567"/>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关于是否扣留质量保证金的约定：</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是</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15.3.1 承包人提供质量保证金的方式</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质量保证金采用以下第</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（2）</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（1）质量保证金保函，保证金额为：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Times New Roman"/>
          <w:bCs/>
          <w:color w:val="auto"/>
          <w:sz w:val="24"/>
          <w:szCs w:val="24"/>
          <w:highlight w:val="none"/>
        </w:rPr>
        <w:t>发包人按工程价款结算总额的</w:t>
      </w:r>
      <w:r>
        <w:rPr>
          <w:rFonts w:hint="eastAsia" w:ascii="宋体" w:hAnsi="宋体" w:eastAsia="宋体" w:cs="Times New Roman"/>
          <w:bCs/>
          <w:color w:val="auto"/>
          <w:sz w:val="24"/>
          <w:szCs w:val="24"/>
          <w:highlight w:val="none"/>
          <w:u w:val="single"/>
        </w:rPr>
        <w:t xml:space="preserve">  3  </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（不得超过3%）</w:t>
      </w:r>
      <w:r>
        <w:rPr>
          <w:rFonts w:ascii="宋体" w:hAnsi="宋体" w:eastAsia="宋体" w:cs="Times New Roman"/>
          <w:bCs/>
          <w:color w:val="auto"/>
          <w:sz w:val="24"/>
          <w:szCs w:val="24"/>
          <w:highlight w:val="none"/>
        </w:rPr>
        <w:t>预留工程质量保修金，待</w:t>
      </w:r>
      <w:r>
        <w:rPr>
          <w:rFonts w:hint="eastAsia" w:ascii="宋体" w:hAnsi="宋体" w:eastAsia="宋体" w:cs="Times New Roman"/>
          <w:bCs/>
          <w:color w:val="auto"/>
          <w:sz w:val="24"/>
          <w:szCs w:val="24"/>
          <w:highlight w:val="none"/>
        </w:rPr>
        <w:t>缺陷责任期</w:t>
      </w:r>
      <w:r>
        <w:rPr>
          <w:rFonts w:ascii="宋体" w:hAnsi="宋体" w:eastAsia="宋体" w:cs="Times New Roman"/>
          <w:bCs/>
          <w:color w:val="auto"/>
          <w:sz w:val="24"/>
          <w:szCs w:val="24"/>
          <w:highlight w:val="none"/>
        </w:rPr>
        <w:t>满后返还</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（3）其他方式</w:t>
      </w:r>
      <w:r>
        <w:rPr>
          <w:rFonts w:hint="eastAsia" w:ascii="宋体" w:hAnsi="宋体" w:eastAsia="宋体" w:cs="Times New Roman"/>
          <w:color w:val="auto"/>
          <w:sz w:val="24"/>
          <w:szCs w:val="24"/>
          <w:highlight w:val="none"/>
        </w:rPr>
        <w:t>：</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15.3.2 质量保证金的扣留</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质量保证金的扣留采取以下第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1</w:t>
      </w:r>
      <w:r>
        <w:rPr>
          <w:rFonts w:hint="eastAsia" w:ascii="Times New Roman" w:hAnsi="宋体" w:eastAsia="宋体" w:cs="宋体"/>
          <w:color w:val="auto"/>
          <w:kern w:val="0"/>
          <w:sz w:val="24"/>
          <w:szCs w:val="24"/>
          <w:highlight w:val="none"/>
        </w:rPr>
        <w:t>）在</w:t>
      </w:r>
      <w:r>
        <w:rPr>
          <w:rFonts w:ascii="Times New Roman" w:hAnsi="宋体" w:eastAsia="宋体" w:cs="宋体"/>
          <w:color w:val="auto"/>
          <w:kern w:val="0"/>
          <w:sz w:val="24"/>
          <w:szCs w:val="24"/>
          <w:highlight w:val="none"/>
        </w:rPr>
        <w:t>不缴纳履</w:t>
      </w:r>
      <w:r>
        <w:rPr>
          <w:rFonts w:hint="eastAsia" w:ascii="Times New Roman" w:hAnsi="宋体" w:eastAsia="宋体" w:cs="宋体"/>
          <w:color w:val="auto"/>
          <w:kern w:val="0"/>
          <w:sz w:val="24"/>
          <w:szCs w:val="24"/>
          <w:highlight w:val="none"/>
        </w:rPr>
        <w:t>保</w:t>
      </w:r>
      <w:r>
        <w:rPr>
          <w:rFonts w:ascii="Times New Roman" w:hAnsi="宋体" w:eastAsia="宋体" w:cs="宋体"/>
          <w:color w:val="auto"/>
          <w:kern w:val="0"/>
          <w:sz w:val="24"/>
          <w:szCs w:val="24"/>
          <w:highlight w:val="none"/>
        </w:rPr>
        <w:t>证金情况下</w:t>
      </w:r>
      <w:r>
        <w:rPr>
          <w:rFonts w:hint="eastAsia" w:ascii="Times New Roman" w:hAnsi="宋体" w:eastAsia="宋体" w:cs="宋体"/>
          <w:color w:val="auto"/>
          <w:kern w:val="0"/>
          <w:sz w:val="24"/>
          <w:szCs w:val="24"/>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4"/>
          <w:highlight w:val="none"/>
        </w:rPr>
      </w:pPr>
      <w:r>
        <w:rPr>
          <w:rFonts w:hint="eastAsia" w:ascii="Times New Roman" w:hAnsi="宋体" w:eastAsia="宋体" w:cs="宋体"/>
          <w:color w:val="auto"/>
          <w:kern w:val="0"/>
          <w:sz w:val="24"/>
          <w:szCs w:val="24"/>
          <w:highlight w:val="none"/>
        </w:rPr>
        <w:t>（</w:t>
      </w:r>
      <w:r>
        <w:rPr>
          <w:rFonts w:ascii="Times New Roman" w:hAnsi="Times New Roman" w:eastAsia="宋体" w:cs="Times New Roman"/>
          <w:color w:val="auto"/>
          <w:kern w:val="0"/>
          <w:sz w:val="24"/>
          <w:szCs w:val="24"/>
          <w:highlight w:val="none"/>
        </w:rPr>
        <w:t>2</w:t>
      </w:r>
      <w:r>
        <w:rPr>
          <w:rFonts w:hint="eastAsia" w:ascii="Times New Roman" w:hAnsi="宋体" w:eastAsia="宋体" w:cs="宋体"/>
          <w:color w:val="auto"/>
          <w:kern w:val="0"/>
          <w:sz w:val="24"/>
          <w:szCs w:val="24"/>
          <w:highlight w:val="none"/>
        </w:rPr>
        <w:t>）工程竣工结算时，一次性扣留质量保证金，</w:t>
      </w:r>
      <w:r>
        <w:rPr>
          <w:rFonts w:ascii="Times New Roman" w:hAnsi="宋体" w:eastAsia="宋体" w:cs="宋体"/>
          <w:color w:val="auto"/>
          <w:kern w:val="0"/>
          <w:sz w:val="24"/>
          <w:szCs w:val="24"/>
          <w:highlight w:val="none"/>
        </w:rPr>
        <w:t>由承包人以银行保函</w:t>
      </w:r>
      <w:r>
        <w:rPr>
          <w:rFonts w:hint="eastAsia" w:ascii="Times New Roman" w:hAnsi="宋体" w:eastAsia="宋体" w:cs="宋体"/>
          <w:color w:val="auto"/>
          <w:kern w:val="0"/>
          <w:sz w:val="24"/>
          <w:szCs w:val="24"/>
          <w:highlight w:val="none"/>
        </w:rPr>
        <w:t>、保证保险</w:t>
      </w:r>
      <w:r>
        <w:rPr>
          <w:rFonts w:ascii="Times New Roman" w:hAnsi="宋体" w:eastAsia="宋体" w:cs="宋体"/>
          <w:color w:val="auto"/>
          <w:kern w:val="0"/>
          <w:sz w:val="24"/>
          <w:szCs w:val="24"/>
          <w:highlight w:val="none"/>
        </w:rPr>
        <w:t>替代预留</w:t>
      </w:r>
      <w:r>
        <w:rPr>
          <w:rFonts w:hint="eastAsia" w:ascii="Times New Roman" w:hAnsi="宋体" w:eastAsia="宋体" w:cs="宋体"/>
          <w:color w:val="auto"/>
          <w:kern w:val="0"/>
          <w:sz w:val="24"/>
          <w:szCs w:val="24"/>
          <w:highlight w:val="none"/>
        </w:rPr>
        <w:t>质量</w:t>
      </w:r>
      <w:r>
        <w:rPr>
          <w:rFonts w:ascii="Times New Roman" w:hAnsi="宋体" w:eastAsia="宋体" w:cs="宋体"/>
          <w:color w:val="auto"/>
          <w:kern w:val="0"/>
          <w:sz w:val="24"/>
          <w:szCs w:val="24"/>
          <w:highlight w:val="none"/>
        </w:rPr>
        <w:t>保证金</w:t>
      </w:r>
      <w:r>
        <w:rPr>
          <w:rFonts w:hint="eastAsia" w:ascii="Times New Roman" w:hAnsi="宋体" w:eastAsia="宋体" w:cs="宋体"/>
          <w:color w:val="auto"/>
          <w:kern w:val="0"/>
          <w:sz w:val="24"/>
          <w:szCs w:val="24"/>
          <w:highlight w:val="none"/>
        </w:rPr>
        <w:t>，</w:t>
      </w:r>
      <w:r>
        <w:rPr>
          <w:rFonts w:ascii="Times New Roman" w:hAnsi="宋体" w:eastAsia="宋体" w:cs="宋体"/>
          <w:color w:val="auto"/>
          <w:kern w:val="0"/>
          <w:sz w:val="24"/>
          <w:szCs w:val="24"/>
          <w:highlight w:val="none"/>
        </w:rPr>
        <w:t>保函金额不得高</w:t>
      </w:r>
      <w:r>
        <w:rPr>
          <w:rFonts w:hint="eastAsia" w:ascii="Times New Roman" w:hAnsi="宋体" w:eastAsia="宋体" w:cs="宋体"/>
          <w:color w:val="auto"/>
          <w:kern w:val="0"/>
          <w:sz w:val="24"/>
          <w:szCs w:val="24"/>
          <w:highlight w:val="none"/>
        </w:rPr>
        <w:t>于</w:t>
      </w:r>
      <w:r>
        <w:rPr>
          <w:rFonts w:ascii="Times New Roman" w:hAnsi="宋体" w:eastAsia="宋体" w:cs="宋体"/>
          <w:color w:val="auto"/>
          <w:kern w:val="0"/>
          <w:sz w:val="24"/>
          <w:szCs w:val="24"/>
          <w:highlight w:val="none"/>
        </w:rPr>
        <w:t>工程价款结算总额的</w:t>
      </w:r>
      <w:r>
        <w:rPr>
          <w:rFonts w:hint="eastAsia" w:ascii="Times New Roman" w:hAnsi="宋体" w:eastAsia="宋体" w:cs="宋体"/>
          <w:color w:val="auto"/>
          <w:kern w:val="0"/>
          <w:sz w:val="24"/>
          <w:szCs w:val="24"/>
          <w:highlight w:val="none"/>
        </w:rPr>
        <w:t>3</w:t>
      </w:r>
      <w:r>
        <w:rPr>
          <w:rFonts w:ascii="Times New Roman" w:hAnsi="宋体" w:eastAsia="宋体" w:cs="宋体"/>
          <w:color w:val="auto"/>
          <w:kern w:val="0"/>
          <w:sz w:val="24"/>
          <w:szCs w:val="24"/>
          <w:highlight w:val="none"/>
        </w:rPr>
        <w:t>%</w:t>
      </w:r>
      <w:r>
        <w:rPr>
          <w:rFonts w:hint="eastAsia" w:ascii="Times New Roman" w:hAnsi="宋体" w:eastAsia="宋体" w:cs="宋体"/>
          <w:color w:val="auto"/>
          <w:kern w:val="0"/>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（3）其他扣留方式:</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关于质量保证金的补充约定：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521"/>
    <w:bookmarkEnd w:id="1522"/>
    <w:p>
      <w:pPr>
        <w:keepNext/>
        <w:keepLines/>
        <w:spacing w:before="260" w:after="260"/>
        <w:outlineLvl w:val="2"/>
        <w:rPr>
          <w:rFonts w:ascii="Times New Roman" w:hAnsi="Times New Roman" w:eastAsia="宋体" w:cs="Times New Roman"/>
          <w:b/>
          <w:bCs/>
          <w:color w:val="auto"/>
          <w:sz w:val="24"/>
          <w:szCs w:val="24"/>
          <w:highlight w:val="none"/>
        </w:rPr>
      </w:pPr>
      <w:bookmarkStart w:id="1568" w:name="_Toc395382568"/>
      <w:bookmarkStart w:id="1569" w:name="_Toc389065330"/>
      <w:bookmarkStart w:id="1570" w:name="_Toc11435"/>
      <w:bookmarkStart w:id="1571" w:name="_Toc527311348"/>
      <w:bookmarkStart w:id="1572" w:name="_Toc89333329"/>
      <w:bookmarkStart w:id="1573" w:name="_Toc373227765"/>
      <w:bookmarkStart w:id="1574" w:name="_Toc89333081"/>
      <w:bookmarkStart w:id="1575" w:name="_Toc88065671"/>
      <w:bookmarkStart w:id="1576" w:name="_Toc373478412"/>
      <w:r>
        <w:rPr>
          <w:rFonts w:ascii="Times New Roman" w:hAnsi="Times New Roman" w:eastAsia="宋体" w:cs="Times New Roman"/>
          <w:b/>
          <w:bCs/>
          <w:color w:val="auto"/>
          <w:sz w:val="24"/>
          <w:szCs w:val="24"/>
          <w:highlight w:val="none"/>
        </w:rPr>
        <w:t>15.4 保修</w:t>
      </w:r>
      <w:bookmarkEnd w:id="1568"/>
      <w:bookmarkEnd w:id="1569"/>
      <w:bookmarkEnd w:id="1570"/>
      <w:bookmarkEnd w:id="1571"/>
      <w:bookmarkEnd w:id="1572"/>
      <w:bookmarkEnd w:id="1573"/>
      <w:bookmarkEnd w:id="1574"/>
      <w:bookmarkEnd w:id="1575"/>
      <w:bookmarkEnd w:id="1576"/>
    </w:p>
    <w:bookmarkEnd w:id="1523"/>
    <w:p>
      <w:pPr>
        <w:ind w:firstLine="468" w:firstLineChars="19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15.4.1 保修责任</w:t>
      </w:r>
    </w:p>
    <w:p>
      <w:pPr>
        <w:ind w:firstLine="468" w:firstLineChars="19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工程保修期为：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68" w:firstLineChars="19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工程保修书具体内容见合同附件8。</w:t>
      </w:r>
    </w:p>
    <w:p>
      <w:pPr>
        <w:ind w:firstLine="468" w:firstLineChars="19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15.4.3 修复通知</w:t>
      </w:r>
    </w:p>
    <w:p>
      <w:pPr>
        <w:ind w:firstLine="468" w:firstLineChars="195"/>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承包人收到保修通知并到达工程现场的合理时间：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524"/>
    <w:bookmarkEnd w:id="1525"/>
    <w:bookmarkEnd w:id="1526"/>
    <w:bookmarkEnd w:id="1527"/>
    <w:p>
      <w:pPr>
        <w:keepNext/>
        <w:keepLines/>
        <w:spacing w:before="260" w:after="260"/>
        <w:outlineLvl w:val="1"/>
        <w:rPr>
          <w:rFonts w:ascii="宋体" w:hAnsi="宋体" w:eastAsia="宋体" w:cs="Times New Roman"/>
          <w:b/>
          <w:bCs/>
          <w:color w:val="auto"/>
          <w:sz w:val="24"/>
          <w:szCs w:val="24"/>
          <w:highlight w:val="none"/>
        </w:rPr>
      </w:pPr>
      <w:bookmarkStart w:id="1577" w:name="_Toc373227766"/>
      <w:bookmarkStart w:id="1578" w:name="_Toc89333330"/>
      <w:bookmarkStart w:id="1579" w:name="_Toc389065331"/>
      <w:bookmarkStart w:id="1580" w:name="_Toc527311349"/>
      <w:bookmarkStart w:id="1581" w:name="_Toc88065672"/>
      <w:bookmarkStart w:id="1582" w:name="_Toc31091"/>
      <w:bookmarkStart w:id="1583" w:name="_Toc373478413"/>
      <w:bookmarkStart w:id="1584" w:name="_Toc89333082"/>
      <w:bookmarkStart w:id="1585" w:name="_Toc395382569"/>
      <w:bookmarkStart w:id="1586" w:name="_Toc351203648"/>
      <w:bookmarkStart w:id="1587" w:name="_Toc280868717"/>
      <w:bookmarkStart w:id="1588" w:name="_Toc280868718"/>
      <w:r>
        <w:rPr>
          <w:rFonts w:ascii="宋体" w:hAnsi="宋体" w:eastAsia="宋体" w:cs="Times New Roman"/>
          <w:b/>
          <w:bCs/>
          <w:color w:val="auto"/>
          <w:sz w:val="24"/>
          <w:szCs w:val="24"/>
          <w:highlight w:val="none"/>
        </w:rPr>
        <w:t>16. 违约</w:t>
      </w:r>
      <w:bookmarkEnd w:id="1577"/>
      <w:bookmarkEnd w:id="1578"/>
      <w:bookmarkEnd w:id="1579"/>
      <w:bookmarkEnd w:id="1580"/>
      <w:bookmarkEnd w:id="1581"/>
      <w:bookmarkEnd w:id="1582"/>
      <w:bookmarkEnd w:id="1583"/>
      <w:bookmarkEnd w:id="1584"/>
      <w:bookmarkEnd w:id="1585"/>
      <w:bookmarkEnd w:id="1586"/>
    </w:p>
    <w:p>
      <w:pPr>
        <w:keepNext/>
        <w:keepLines/>
        <w:spacing w:before="260" w:after="260"/>
        <w:outlineLvl w:val="2"/>
        <w:rPr>
          <w:rFonts w:ascii="Times New Roman" w:hAnsi="Times New Roman" w:eastAsia="宋体" w:cs="Times New Roman"/>
          <w:b/>
          <w:bCs/>
          <w:color w:val="auto"/>
          <w:sz w:val="24"/>
          <w:szCs w:val="24"/>
          <w:highlight w:val="none"/>
        </w:rPr>
      </w:pPr>
      <w:bookmarkStart w:id="1589" w:name="_Toc373227767"/>
      <w:bookmarkStart w:id="1590" w:name="_Toc17717"/>
      <w:bookmarkStart w:id="1591" w:name="_Toc373478414"/>
      <w:bookmarkStart w:id="1592" w:name="_Toc89333083"/>
      <w:bookmarkStart w:id="1593" w:name="_Toc395382570"/>
      <w:bookmarkStart w:id="1594" w:name="_Toc527311350"/>
      <w:bookmarkStart w:id="1595" w:name="_Toc389065332"/>
      <w:bookmarkStart w:id="1596" w:name="_Toc89333331"/>
      <w:bookmarkStart w:id="1597" w:name="_Toc88065673"/>
      <w:r>
        <w:rPr>
          <w:rFonts w:ascii="Times New Roman" w:hAnsi="Times New Roman" w:eastAsia="宋体" w:cs="Times New Roman"/>
          <w:b/>
          <w:bCs/>
          <w:color w:val="auto"/>
          <w:sz w:val="24"/>
          <w:szCs w:val="24"/>
          <w:highlight w:val="none"/>
        </w:rPr>
        <w:t>16.1 发包人违约</w:t>
      </w:r>
      <w:bookmarkEnd w:id="1589"/>
      <w:bookmarkEnd w:id="1590"/>
      <w:bookmarkEnd w:id="1591"/>
      <w:bookmarkEnd w:id="1592"/>
      <w:bookmarkEnd w:id="1593"/>
      <w:bookmarkEnd w:id="1594"/>
      <w:bookmarkEnd w:id="1595"/>
      <w:bookmarkEnd w:id="1596"/>
      <w:bookmarkEnd w:id="1597"/>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16.1.1发包人违约的情形</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发包人违约的其他情形：</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16.1.2 发包人违约的责任</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发包人违约责任的承担方式和计算方法：</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（1）因发包人原因未能在计划开工日期前7天内下达开工通知的违约责任：</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（2）因发包人原因未能按合同约定支付合同价款的违约责任：</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（3）发包人违反第10.1款〔变更的范围〕第（2）项约定，自行实施被取消的工作或转由他人实施的违约责任：</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（4）发包人提供的材料、工程设备的规格、数量或质量不符合合同约定，或因发包人原因导致交货日期延误或交货地点变更等情况的违约责任：</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（5）因发包人违反合同约定造成暂停施工的违约责任：</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（6）发包人无正当理由没有在约定期限内发出复工指示，导致承包人无法复工的违约责任：</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（7）其他：</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16.1.3 因发包人违约解除合同</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承包人按16.1.1项〔发包人违约的情形〕约定暂停施工满</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天后发包人仍不纠正其违约行为并致使合同目的不能实现的，承包人有权解除合同。</w:t>
      </w:r>
    </w:p>
    <w:p>
      <w:pPr>
        <w:keepNext/>
        <w:keepLines/>
        <w:spacing w:before="260" w:after="260"/>
        <w:outlineLvl w:val="2"/>
        <w:rPr>
          <w:rFonts w:ascii="Times New Roman" w:hAnsi="Times New Roman" w:eastAsia="宋体" w:cs="Times New Roman"/>
          <w:b/>
          <w:bCs/>
          <w:color w:val="auto"/>
          <w:sz w:val="24"/>
          <w:szCs w:val="24"/>
          <w:highlight w:val="none"/>
        </w:rPr>
      </w:pPr>
      <w:bookmarkStart w:id="1598" w:name="_Toc88065674"/>
      <w:bookmarkStart w:id="1599" w:name="_Toc527311351"/>
      <w:bookmarkStart w:id="1600" w:name="_Toc29265"/>
      <w:bookmarkStart w:id="1601" w:name="_Toc395382571"/>
      <w:bookmarkStart w:id="1602" w:name="_Toc89333084"/>
      <w:bookmarkStart w:id="1603" w:name="_Toc373478415"/>
      <w:bookmarkStart w:id="1604" w:name="_Toc89333332"/>
      <w:bookmarkStart w:id="1605" w:name="_Toc389065333"/>
      <w:bookmarkStart w:id="1606" w:name="_Toc373227768"/>
      <w:r>
        <w:rPr>
          <w:rFonts w:ascii="Times New Roman" w:hAnsi="Times New Roman" w:eastAsia="宋体" w:cs="Times New Roman"/>
          <w:b/>
          <w:bCs/>
          <w:color w:val="auto"/>
          <w:sz w:val="24"/>
          <w:szCs w:val="24"/>
          <w:highlight w:val="none"/>
        </w:rPr>
        <w:t>16.2 承包人违约</w:t>
      </w:r>
      <w:bookmarkEnd w:id="1598"/>
      <w:bookmarkEnd w:id="1599"/>
      <w:bookmarkEnd w:id="1600"/>
      <w:bookmarkEnd w:id="1601"/>
      <w:bookmarkEnd w:id="1602"/>
      <w:bookmarkEnd w:id="1603"/>
      <w:bookmarkEnd w:id="1604"/>
      <w:bookmarkEnd w:id="1605"/>
      <w:bookmarkEnd w:id="1606"/>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16.2.1 承包人违约的情形</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承包人违约的其他情形：</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16.2.2承包人违约的责任</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承包人违约责任的承担方式和计算方法：</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（1）承包人未按本合同通用条款第16.2.1（2）</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（3）条内容完成的，承包人无条件返工处理，修复至工程质量要求并承担相关费用，并在发包人规定的时间内完成返工，否则发包人有权扣罚该分项工程10%的工程款作为处罚。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（2）承包人有本合同通用条款第16.2.1（6）条情形的，或经监理人检验认为修复质量不合格而承包人拒绝再进行修补的，发包人将扣除承包人全部质量保修金。</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16.2.3 因承包人违约解除合同</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关于承包人违约解除合同的特别约定：</w:t>
      </w:r>
      <w:r>
        <w:rPr>
          <w:rFonts w:ascii="宋体" w:hAnsi="宋体" w:eastAsia="宋体" w:cs="Times New Roman"/>
          <w:color w:val="auto"/>
          <w:sz w:val="24"/>
          <w:szCs w:val="24"/>
          <w:highlight w:val="none"/>
          <w:u w:val="single"/>
        </w:rPr>
        <w:t>承包人有违反以下情况之一的，发包人有权解除合同，并没收其全部履约保证金</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(1)承包人无正当理由不按开工通知的要求及时进场组织施工和不按签订协议书时商</w:t>
      </w:r>
      <w:r>
        <w:rPr>
          <w:rFonts w:hint="eastAsia" w:ascii="宋体" w:hAnsi="宋体" w:eastAsia="宋体" w:cs="Times New Roman"/>
          <w:color w:val="auto"/>
          <w:sz w:val="24"/>
          <w:szCs w:val="24"/>
          <w:highlight w:val="none"/>
        </w:rPr>
        <w:t>定</w:t>
      </w:r>
      <w:r>
        <w:rPr>
          <w:rFonts w:ascii="宋体" w:hAnsi="宋体" w:eastAsia="宋体" w:cs="Times New Roman"/>
          <w:color w:val="auto"/>
          <w:sz w:val="24"/>
          <w:szCs w:val="24"/>
          <w:highlight w:val="none"/>
        </w:rPr>
        <w:t>的进度计划有效地开展施工准备，造成工期延误的；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(2)承包人违反本合同通用条款第3.5条规定私自将合同或合同的任何部分或任何权利转让给其他人，或私自将工程或工程的一部分分包出去的；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(3)未经监理人批准，承包人私自将已按响应文件承诺进入工地的工程设备、施工设备、临时工程或材料撤离工地的；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(4)由于承包人原因拒绝按合同进度计划及时完成合同规定的工程，而又未采取有效措施赶上进度，造成工期延误的；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(5)承包人否认合同有效或拒绝履行合同规定的承包人义务，或由于法律、财务等原因导致承包人无法继续履行或实质上已停止履行合同的义务的；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(6)合同签订之日起十五日内，承包人无法按合同规定及响应文件的承诺进场经监理工程师认可的全部人员和机械的。</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发包人继续使用承包人在施工现场的材料、设备、临时工程、承包人文件和由承包人或以其名义编制的其他文件的费用承担方式：</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1"/>
        <w:rPr>
          <w:rFonts w:ascii="宋体" w:hAnsi="宋体" w:eastAsia="宋体" w:cs="Times New Roman"/>
          <w:b/>
          <w:bCs/>
          <w:color w:val="auto"/>
          <w:sz w:val="24"/>
          <w:szCs w:val="24"/>
          <w:highlight w:val="none"/>
        </w:rPr>
      </w:pPr>
      <w:bookmarkStart w:id="1607" w:name="_Toc88065675"/>
      <w:bookmarkStart w:id="1608" w:name="_Toc89333085"/>
      <w:bookmarkStart w:id="1609" w:name="_Toc373227769"/>
      <w:bookmarkStart w:id="1610" w:name="_Toc89333333"/>
      <w:bookmarkStart w:id="1611" w:name="_Toc373478416"/>
      <w:bookmarkStart w:id="1612" w:name="_Toc395382572"/>
      <w:bookmarkStart w:id="1613" w:name="_Toc527311352"/>
      <w:bookmarkStart w:id="1614" w:name="_Toc351203649"/>
      <w:bookmarkStart w:id="1615" w:name="_Toc1477"/>
      <w:bookmarkStart w:id="1616" w:name="_Toc389065334"/>
      <w:r>
        <w:rPr>
          <w:rFonts w:ascii="宋体" w:hAnsi="宋体" w:eastAsia="宋体" w:cs="Times New Roman"/>
          <w:b/>
          <w:bCs/>
          <w:color w:val="auto"/>
          <w:sz w:val="24"/>
          <w:szCs w:val="24"/>
          <w:highlight w:val="none"/>
        </w:rPr>
        <w:t>17. 不可抗力</w:t>
      </w:r>
      <w:bookmarkEnd w:id="1607"/>
      <w:bookmarkEnd w:id="1608"/>
      <w:bookmarkEnd w:id="1609"/>
      <w:bookmarkEnd w:id="1610"/>
      <w:bookmarkEnd w:id="1611"/>
      <w:bookmarkEnd w:id="1612"/>
      <w:bookmarkEnd w:id="1613"/>
      <w:bookmarkEnd w:id="1614"/>
      <w:bookmarkEnd w:id="1615"/>
      <w:bookmarkEnd w:id="1616"/>
      <w:r>
        <w:rPr>
          <w:rFonts w:ascii="宋体" w:hAnsi="宋体" w:eastAsia="宋体" w:cs="Times New Roman"/>
          <w:b/>
          <w:bCs/>
          <w:color w:val="auto"/>
          <w:sz w:val="24"/>
          <w:szCs w:val="24"/>
          <w:highlight w:val="none"/>
        </w:rPr>
        <w:t xml:space="preserve"> </w:t>
      </w:r>
      <w:bookmarkEnd w:id="1587"/>
    </w:p>
    <w:p>
      <w:pPr>
        <w:keepNext/>
        <w:keepLines/>
        <w:spacing w:before="260" w:after="260"/>
        <w:outlineLvl w:val="2"/>
        <w:rPr>
          <w:rFonts w:ascii="Times New Roman" w:hAnsi="Times New Roman" w:eastAsia="宋体" w:cs="Times New Roman"/>
          <w:b/>
          <w:bCs/>
          <w:color w:val="auto"/>
          <w:sz w:val="24"/>
          <w:szCs w:val="24"/>
          <w:highlight w:val="none"/>
        </w:rPr>
      </w:pPr>
      <w:bookmarkStart w:id="1617" w:name="_Toc88065676"/>
      <w:bookmarkStart w:id="1618" w:name="_Toc89333086"/>
      <w:bookmarkStart w:id="1619" w:name="_Toc22335"/>
      <w:bookmarkStart w:id="1620" w:name="_Toc389065335"/>
      <w:bookmarkStart w:id="1621" w:name="_Toc373478417"/>
      <w:bookmarkStart w:id="1622" w:name="_Toc527311353"/>
      <w:bookmarkStart w:id="1623" w:name="_Toc89333334"/>
      <w:bookmarkStart w:id="1624" w:name="_Toc373227770"/>
      <w:bookmarkStart w:id="1625" w:name="_Toc395382573"/>
      <w:r>
        <w:rPr>
          <w:rFonts w:ascii="Times New Roman" w:hAnsi="Times New Roman" w:eastAsia="宋体" w:cs="Times New Roman"/>
          <w:b/>
          <w:bCs/>
          <w:color w:val="auto"/>
          <w:sz w:val="24"/>
          <w:szCs w:val="24"/>
          <w:highlight w:val="none"/>
        </w:rPr>
        <w:t>17.1 不可抗力的确认</w:t>
      </w:r>
      <w:bookmarkEnd w:id="1617"/>
      <w:bookmarkEnd w:id="1618"/>
      <w:bookmarkEnd w:id="1619"/>
      <w:bookmarkEnd w:id="1620"/>
      <w:bookmarkEnd w:id="1621"/>
      <w:bookmarkEnd w:id="1622"/>
      <w:bookmarkEnd w:id="1623"/>
      <w:bookmarkEnd w:id="1624"/>
      <w:bookmarkEnd w:id="1625"/>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除通用合同条款约定的不可抗力事件之外，视为不可抗力的其他情形：</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626" w:name="_Toc527311354"/>
      <w:bookmarkStart w:id="1627" w:name="_Toc89333335"/>
      <w:bookmarkStart w:id="1628" w:name="_Toc89333087"/>
      <w:bookmarkStart w:id="1629" w:name="_Toc27332"/>
      <w:bookmarkStart w:id="1630" w:name="_Toc395382574"/>
      <w:bookmarkStart w:id="1631" w:name="_Toc389065336"/>
      <w:bookmarkStart w:id="1632" w:name="_Toc373227771"/>
      <w:bookmarkStart w:id="1633" w:name="_Toc88065677"/>
      <w:bookmarkStart w:id="1634" w:name="_Toc373478418"/>
      <w:r>
        <w:rPr>
          <w:rFonts w:ascii="Times New Roman" w:hAnsi="Times New Roman" w:eastAsia="宋体" w:cs="Times New Roman"/>
          <w:b/>
          <w:bCs/>
          <w:color w:val="auto"/>
          <w:sz w:val="24"/>
          <w:szCs w:val="24"/>
          <w:highlight w:val="none"/>
        </w:rPr>
        <w:t>17.4 因不可抗力解除合同</w:t>
      </w:r>
      <w:bookmarkEnd w:id="1626"/>
      <w:bookmarkEnd w:id="1627"/>
      <w:bookmarkEnd w:id="1628"/>
      <w:bookmarkEnd w:id="1629"/>
      <w:bookmarkEnd w:id="1630"/>
      <w:bookmarkEnd w:id="1631"/>
      <w:bookmarkEnd w:id="1632"/>
      <w:bookmarkEnd w:id="1633"/>
      <w:bookmarkEnd w:id="1634"/>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合同解除后，发包人应在商定或确定发包人应支付款项后</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天内完成款项的支付。</w:t>
      </w:r>
    </w:p>
    <w:p>
      <w:pPr>
        <w:keepNext/>
        <w:keepLines/>
        <w:spacing w:before="260" w:after="260"/>
        <w:outlineLvl w:val="1"/>
        <w:rPr>
          <w:rFonts w:ascii="宋体" w:hAnsi="宋体" w:eastAsia="宋体" w:cs="Times New Roman"/>
          <w:b/>
          <w:bCs/>
          <w:color w:val="auto"/>
          <w:sz w:val="24"/>
          <w:szCs w:val="24"/>
          <w:highlight w:val="none"/>
        </w:rPr>
      </w:pPr>
      <w:bookmarkStart w:id="1635" w:name="_Toc373227772"/>
      <w:bookmarkStart w:id="1636" w:name="_Toc22026"/>
      <w:bookmarkStart w:id="1637" w:name="_Toc527311355"/>
      <w:bookmarkStart w:id="1638" w:name="_Toc389065337"/>
      <w:bookmarkStart w:id="1639" w:name="_Toc89333336"/>
      <w:bookmarkStart w:id="1640" w:name="_Toc88065678"/>
      <w:bookmarkStart w:id="1641" w:name="_Toc351203650"/>
      <w:bookmarkStart w:id="1642" w:name="_Toc395382575"/>
      <w:bookmarkStart w:id="1643" w:name="_Toc89333088"/>
      <w:bookmarkStart w:id="1644" w:name="_Toc373478419"/>
      <w:r>
        <w:rPr>
          <w:rFonts w:ascii="宋体" w:hAnsi="宋体" w:eastAsia="宋体" w:cs="Times New Roman"/>
          <w:b/>
          <w:bCs/>
          <w:color w:val="auto"/>
          <w:sz w:val="24"/>
          <w:szCs w:val="24"/>
          <w:highlight w:val="none"/>
        </w:rPr>
        <w:t>18. 保险</w:t>
      </w:r>
      <w:bookmarkEnd w:id="1635"/>
      <w:bookmarkEnd w:id="1636"/>
      <w:bookmarkEnd w:id="1637"/>
      <w:bookmarkEnd w:id="1638"/>
      <w:bookmarkEnd w:id="1639"/>
      <w:bookmarkEnd w:id="1640"/>
      <w:bookmarkEnd w:id="1641"/>
      <w:bookmarkEnd w:id="1642"/>
      <w:bookmarkEnd w:id="1643"/>
      <w:bookmarkEnd w:id="1644"/>
    </w:p>
    <w:bookmarkEnd w:id="1588"/>
    <w:p>
      <w:pPr>
        <w:keepNext/>
        <w:keepLines/>
        <w:spacing w:before="260" w:after="260"/>
        <w:outlineLvl w:val="2"/>
        <w:rPr>
          <w:rFonts w:ascii="Times New Roman" w:hAnsi="Times New Roman" w:eastAsia="宋体" w:cs="Times New Roman"/>
          <w:b/>
          <w:bCs/>
          <w:color w:val="auto"/>
          <w:sz w:val="24"/>
          <w:szCs w:val="24"/>
          <w:highlight w:val="none"/>
        </w:rPr>
      </w:pPr>
      <w:bookmarkStart w:id="1645" w:name="_Toc373227773"/>
      <w:bookmarkStart w:id="1646" w:name="_Toc395382576"/>
      <w:bookmarkStart w:id="1647" w:name="_Toc88065679"/>
      <w:bookmarkStart w:id="1648" w:name="_Toc527311356"/>
      <w:bookmarkStart w:id="1649" w:name="_Toc89333337"/>
      <w:bookmarkStart w:id="1650" w:name="_Toc10666"/>
      <w:bookmarkStart w:id="1651" w:name="_Toc373478420"/>
      <w:bookmarkStart w:id="1652" w:name="_Toc89333089"/>
      <w:bookmarkStart w:id="1653" w:name="_Toc389065338"/>
      <w:r>
        <w:rPr>
          <w:rFonts w:ascii="Times New Roman" w:hAnsi="Times New Roman" w:eastAsia="宋体" w:cs="Times New Roman"/>
          <w:b/>
          <w:bCs/>
          <w:color w:val="auto"/>
          <w:sz w:val="24"/>
          <w:szCs w:val="24"/>
          <w:highlight w:val="none"/>
        </w:rPr>
        <w:t>18.1 工程保险</w:t>
      </w:r>
      <w:bookmarkEnd w:id="1645"/>
      <w:bookmarkEnd w:id="1646"/>
      <w:bookmarkEnd w:id="1647"/>
      <w:bookmarkEnd w:id="1648"/>
      <w:bookmarkEnd w:id="1649"/>
      <w:bookmarkEnd w:id="1650"/>
      <w:bookmarkEnd w:id="1651"/>
      <w:bookmarkEnd w:id="1652"/>
      <w:bookmarkEnd w:id="1653"/>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关于工程保险的特别约定：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654" w:name="_Toc389065339"/>
      <w:bookmarkStart w:id="1655" w:name="_Toc89333338"/>
      <w:bookmarkStart w:id="1656" w:name="_Toc395382577"/>
      <w:bookmarkStart w:id="1657" w:name="_Toc373478421"/>
      <w:bookmarkStart w:id="1658" w:name="_Toc88065680"/>
      <w:bookmarkStart w:id="1659" w:name="_Toc527311357"/>
      <w:bookmarkStart w:id="1660" w:name="_Toc89333090"/>
      <w:bookmarkStart w:id="1661" w:name="_Toc6567"/>
      <w:bookmarkStart w:id="1662" w:name="_Toc373227774"/>
      <w:r>
        <w:rPr>
          <w:rFonts w:ascii="Times New Roman" w:hAnsi="Times New Roman" w:eastAsia="宋体" w:cs="Times New Roman"/>
          <w:b/>
          <w:bCs/>
          <w:color w:val="auto"/>
          <w:sz w:val="24"/>
          <w:szCs w:val="24"/>
          <w:highlight w:val="none"/>
        </w:rPr>
        <w:t>18.3 其他保险</w:t>
      </w:r>
      <w:bookmarkEnd w:id="1654"/>
      <w:bookmarkEnd w:id="1655"/>
      <w:bookmarkEnd w:id="1656"/>
      <w:bookmarkEnd w:id="1657"/>
      <w:bookmarkEnd w:id="1658"/>
      <w:bookmarkEnd w:id="1659"/>
      <w:bookmarkEnd w:id="1660"/>
      <w:bookmarkEnd w:id="1661"/>
      <w:bookmarkEnd w:id="1662"/>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关于其他保险的约定：</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承包人是否应为其施工设备等办理财产保险：</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663" w:name="_Toc389065340"/>
      <w:bookmarkStart w:id="1664" w:name="_Toc373478422"/>
      <w:bookmarkStart w:id="1665" w:name="_Toc373227775"/>
      <w:bookmarkStart w:id="1666" w:name="_Toc89333339"/>
      <w:bookmarkStart w:id="1667" w:name="_Toc395382578"/>
      <w:bookmarkStart w:id="1668" w:name="_Toc89333091"/>
      <w:bookmarkStart w:id="1669" w:name="_Toc88065681"/>
      <w:bookmarkStart w:id="1670" w:name="_Toc527311358"/>
      <w:bookmarkStart w:id="1671" w:name="_Toc18313"/>
      <w:r>
        <w:rPr>
          <w:rFonts w:ascii="Times New Roman" w:hAnsi="Times New Roman" w:eastAsia="宋体" w:cs="Times New Roman"/>
          <w:b/>
          <w:bCs/>
          <w:color w:val="auto"/>
          <w:sz w:val="24"/>
          <w:szCs w:val="24"/>
          <w:highlight w:val="none"/>
        </w:rPr>
        <w:t>18.7 通知义务</w:t>
      </w:r>
      <w:bookmarkEnd w:id="1663"/>
      <w:bookmarkEnd w:id="1664"/>
      <w:bookmarkEnd w:id="1665"/>
      <w:bookmarkEnd w:id="1666"/>
      <w:bookmarkEnd w:id="1667"/>
      <w:bookmarkEnd w:id="1668"/>
      <w:bookmarkEnd w:id="1669"/>
      <w:bookmarkEnd w:id="1670"/>
      <w:bookmarkEnd w:id="1671"/>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关于变更保险合同时的通知义务的约定：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bookmarkEnd w:id="1528"/>
    <w:bookmarkEnd w:id="1529"/>
    <w:bookmarkEnd w:id="1530"/>
    <w:bookmarkEnd w:id="1531"/>
    <w:bookmarkEnd w:id="1532"/>
    <w:bookmarkEnd w:id="1533"/>
    <w:bookmarkEnd w:id="1534"/>
    <w:bookmarkEnd w:id="1535"/>
    <w:bookmarkEnd w:id="1536"/>
    <w:bookmarkEnd w:id="1537"/>
    <w:bookmarkEnd w:id="1538"/>
    <w:bookmarkEnd w:id="1539"/>
    <w:p>
      <w:pPr>
        <w:keepNext/>
        <w:keepLines/>
        <w:spacing w:before="260" w:after="260"/>
        <w:outlineLvl w:val="1"/>
        <w:rPr>
          <w:rFonts w:ascii="宋体" w:hAnsi="宋体" w:eastAsia="宋体" w:cs="Times New Roman"/>
          <w:b/>
          <w:bCs/>
          <w:color w:val="auto"/>
          <w:sz w:val="24"/>
          <w:szCs w:val="24"/>
          <w:highlight w:val="none"/>
        </w:rPr>
      </w:pPr>
      <w:bookmarkStart w:id="1672" w:name="_Toc89333092"/>
      <w:bookmarkStart w:id="1673" w:name="_Toc351203651"/>
      <w:bookmarkStart w:id="1674" w:name="_Toc389065341"/>
      <w:bookmarkStart w:id="1675" w:name="_Toc373478423"/>
      <w:bookmarkStart w:id="1676" w:name="_Toc89333340"/>
      <w:bookmarkStart w:id="1677" w:name="_Toc373227776"/>
      <w:bookmarkStart w:id="1678" w:name="_Toc395382579"/>
      <w:bookmarkStart w:id="1679" w:name="_Toc18693"/>
      <w:bookmarkStart w:id="1680" w:name="_Toc527311359"/>
      <w:bookmarkStart w:id="1681" w:name="_Toc88065682"/>
      <w:r>
        <w:rPr>
          <w:rFonts w:ascii="宋体" w:hAnsi="宋体" w:eastAsia="宋体" w:cs="Times New Roman"/>
          <w:b/>
          <w:bCs/>
          <w:color w:val="auto"/>
          <w:sz w:val="24"/>
          <w:szCs w:val="24"/>
          <w:highlight w:val="none"/>
        </w:rPr>
        <w:t>20. 争议解决</w:t>
      </w:r>
      <w:bookmarkEnd w:id="1672"/>
      <w:bookmarkEnd w:id="1673"/>
      <w:bookmarkEnd w:id="1674"/>
      <w:bookmarkEnd w:id="1675"/>
      <w:bookmarkEnd w:id="1676"/>
      <w:bookmarkEnd w:id="1677"/>
      <w:bookmarkEnd w:id="1678"/>
      <w:bookmarkEnd w:id="1679"/>
      <w:bookmarkEnd w:id="1680"/>
      <w:bookmarkEnd w:id="1681"/>
    </w:p>
    <w:bookmarkEnd w:id="1540"/>
    <w:bookmarkEnd w:id="1541"/>
    <w:p>
      <w:pPr>
        <w:keepNext/>
        <w:keepLines/>
        <w:spacing w:before="260" w:after="260"/>
        <w:outlineLvl w:val="2"/>
        <w:rPr>
          <w:rFonts w:ascii="Times New Roman" w:hAnsi="Times New Roman" w:eastAsia="宋体" w:cs="Times New Roman"/>
          <w:b/>
          <w:bCs/>
          <w:color w:val="auto"/>
          <w:sz w:val="24"/>
          <w:szCs w:val="24"/>
          <w:highlight w:val="none"/>
        </w:rPr>
      </w:pPr>
      <w:bookmarkStart w:id="1682" w:name="_Toc88065683"/>
      <w:bookmarkStart w:id="1683" w:name="_Toc21782"/>
      <w:bookmarkStart w:id="1684" w:name="_Toc527311360"/>
      <w:bookmarkStart w:id="1685" w:name="_Toc395382580"/>
      <w:bookmarkStart w:id="1686" w:name="_Toc389065342"/>
      <w:bookmarkStart w:id="1687" w:name="_Toc373478424"/>
      <w:bookmarkStart w:id="1688" w:name="_Toc89333093"/>
      <w:bookmarkStart w:id="1689" w:name="_Toc89333341"/>
      <w:bookmarkStart w:id="1690" w:name="_Toc373227777"/>
      <w:r>
        <w:rPr>
          <w:rFonts w:ascii="Times New Roman" w:hAnsi="Times New Roman" w:eastAsia="宋体" w:cs="Times New Roman"/>
          <w:b/>
          <w:bCs/>
          <w:color w:val="auto"/>
          <w:sz w:val="24"/>
          <w:szCs w:val="24"/>
          <w:highlight w:val="none"/>
        </w:rPr>
        <w:t>20.3 争</w:t>
      </w:r>
      <w:bookmarkEnd w:id="1542"/>
      <w:r>
        <w:rPr>
          <w:rFonts w:ascii="Times New Roman" w:hAnsi="Times New Roman" w:eastAsia="宋体" w:cs="Times New Roman"/>
          <w:b/>
          <w:bCs/>
          <w:color w:val="auto"/>
          <w:sz w:val="24"/>
          <w:szCs w:val="24"/>
          <w:highlight w:val="none"/>
        </w:rPr>
        <w:t>议评审</w:t>
      </w:r>
      <w:bookmarkEnd w:id="1682"/>
      <w:bookmarkEnd w:id="1683"/>
      <w:bookmarkEnd w:id="1684"/>
      <w:bookmarkEnd w:id="1685"/>
      <w:bookmarkEnd w:id="1686"/>
      <w:bookmarkEnd w:id="1687"/>
      <w:bookmarkEnd w:id="1688"/>
      <w:bookmarkEnd w:id="1689"/>
      <w:bookmarkEnd w:id="1690"/>
    </w:p>
    <w:p>
      <w:pPr>
        <w:ind w:left="149" w:leftChars="71" w:firstLine="360" w:firstLineChars="15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合同当事人是否同意将工程争议提交争议评审小组决定：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20.3.1 争议评审小组的确定</w:t>
      </w:r>
    </w:p>
    <w:p>
      <w:pPr>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争议评审小组成员的确定：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选定争议评审员的期限：</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争议评审小组成员的报酬承担方式：</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其他事项的约定：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autoSpaceDE w:val="0"/>
        <w:autoSpaceDN w:val="0"/>
        <w:adjustRightInd w:val="0"/>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20.3.2 争议评审小组的决定</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合同当事人关于本项的约定：</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keepNext/>
        <w:keepLines/>
        <w:spacing w:before="260" w:after="260"/>
        <w:outlineLvl w:val="2"/>
        <w:rPr>
          <w:rFonts w:ascii="Times New Roman" w:hAnsi="Times New Roman" w:eastAsia="宋体" w:cs="Times New Roman"/>
          <w:b/>
          <w:bCs/>
          <w:color w:val="auto"/>
          <w:sz w:val="24"/>
          <w:szCs w:val="24"/>
          <w:highlight w:val="none"/>
        </w:rPr>
      </w:pPr>
      <w:bookmarkStart w:id="1691" w:name="_Toc89333094"/>
      <w:bookmarkStart w:id="1692" w:name="_Toc389065343"/>
      <w:bookmarkStart w:id="1693" w:name="_Toc373478425"/>
      <w:bookmarkStart w:id="1694" w:name="_Toc89333342"/>
      <w:bookmarkStart w:id="1695" w:name="_Toc527311361"/>
      <w:bookmarkStart w:id="1696" w:name="_Toc373227778"/>
      <w:bookmarkStart w:id="1697" w:name="_Toc10628"/>
      <w:bookmarkStart w:id="1698" w:name="_Toc88065684"/>
      <w:bookmarkStart w:id="1699" w:name="_Toc395382581"/>
      <w:r>
        <w:rPr>
          <w:rFonts w:ascii="Times New Roman" w:hAnsi="Times New Roman" w:eastAsia="宋体" w:cs="Times New Roman"/>
          <w:b/>
          <w:bCs/>
          <w:color w:val="auto"/>
          <w:sz w:val="24"/>
          <w:szCs w:val="24"/>
          <w:highlight w:val="none"/>
        </w:rPr>
        <w:t>20.4 仲裁或诉讼</w:t>
      </w:r>
      <w:bookmarkEnd w:id="1543"/>
      <w:bookmarkEnd w:id="1691"/>
      <w:bookmarkEnd w:id="1692"/>
      <w:bookmarkEnd w:id="1693"/>
      <w:bookmarkEnd w:id="1694"/>
      <w:bookmarkEnd w:id="1695"/>
      <w:bookmarkEnd w:id="1696"/>
      <w:bookmarkEnd w:id="1697"/>
      <w:bookmarkEnd w:id="1698"/>
      <w:bookmarkEnd w:id="1699"/>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因合同及合同有关事项发生的争议，按下列第</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2</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种方式解决：</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（1）提请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仲裁委员会按照该会仲裁规则进行仲裁，仲裁裁决是终局的，对合同双方均有约束力。</w:t>
      </w:r>
    </w:p>
    <w:p>
      <w:pPr>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（2）向</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eastAsia="zh-CN"/>
        </w:rPr>
        <w:t>北流市</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人民法院起诉。</w:t>
      </w:r>
      <w:bookmarkEnd w:id="1544"/>
      <w:bookmarkEnd w:id="1545"/>
      <w:bookmarkEnd w:id="1546"/>
      <w:bookmarkEnd w:id="1547"/>
      <w:bookmarkEnd w:id="1548"/>
      <w:bookmarkEnd w:id="1549"/>
    </w:p>
    <w:p>
      <w:pPr>
        <w:keepNext/>
        <w:keepLines/>
        <w:spacing w:before="260" w:after="260"/>
        <w:outlineLvl w:val="1"/>
        <w:rPr>
          <w:rFonts w:ascii="宋体" w:hAnsi="宋体" w:eastAsia="宋体" w:cs="Times New Roman"/>
          <w:b/>
          <w:bCs/>
          <w:color w:val="auto"/>
          <w:sz w:val="24"/>
          <w:szCs w:val="24"/>
          <w:highlight w:val="none"/>
        </w:rPr>
      </w:pPr>
      <w:bookmarkStart w:id="1700" w:name="_Toc88065685"/>
      <w:bookmarkStart w:id="1701" w:name="_Toc965"/>
      <w:bookmarkStart w:id="1702" w:name="_Toc373227779"/>
      <w:bookmarkStart w:id="1703" w:name="_Toc89333095"/>
      <w:bookmarkStart w:id="1704" w:name="_Toc527311362"/>
      <w:bookmarkStart w:id="1705" w:name="_Toc389065344"/>
      <w:bookmarkStart w:id="1706" w:name="_Toc89333343"/>
      <w:bookmarkStart w:id="1707" w:name="_Toc373478426"/>
      <w:bookmarkStart w:id="1708" w:name="_Toc395382582"/>
      <w:r>
        <w:rPr>
          <w:rFonts w:ascii="宋体" w:hAnsi="宋体" w:eastAsia="宋体" w:cs="Times New Roman"/>
          <w:b/>
          <w:bCs/>
          <w:color w:val="auto"/>
          <w:sz w:val="24"/>
          <w:szCs w:val="24"/>
          <w:highlight w:val="none"/>
        </w:rPr>
        <w:t>21. 补充条款</w:t>
      </w:r>
      <w:bookmarkEnd w:id="1700"/>
      <w:bookmarkEnd w:id="1701"/>
      <w:bookmarkEnd w:id="1702"/>
      <w:bookmarkEnd w:id="1703"/>
      <w:bookmarkEnd w:id="1704"/>
      <w:bookmarkEnd w:id="1705"/>
      <w:bookmarkEnd w:id="1706"/>
      <w:bookmarkEnd w:id="1707"/>
      <w:bookmarkEnd w:id="1708"/>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21.1 凡进入本工程工作的妇女应持有计生证、否则不准安排工作，禁止使用童工。</w:t>
      </w:r>
    </w:p>
    <w:p>
      <w:pPr>
        <w:ind w:firstLine="480" w:firstLineChars="200"/>
        <w:rPr>
          <w:rFonts w:ascii="宋体" w:hAnsi="宋体" w:eastAsia="宋体" w:cs="Times New Roman"/>
          <w:color w:val="auto"/>
          <w:sz w:val="24"/>
          <w:szCs w:val="24"/>
          <w:highlight w:val="none"/>
        </w:rPr>
      </w:pPr>
    </w:p>
    <w:p>
      <w:pPr>
        <w:rPr>
          <w:rFonts w:ascii="宋体" w:hAnsi="宋体" w:eastAsia="宋体" w:cs="Times New Roman"/>
          <w:b/>
          <w:color w:val="auto"/>
          <w:sz w:val="24"/>
          <w:szCs w:val="24"/>
          <w:highlight w:val="none"/>
        </w:rPr>
      </w:pPr>
      <w:bookmarkStart w:id="1709" w:name="_Toc351203652"/>
      <w:r>
        <w:rPr>
          <w:rFonts w:ascii="宋体" w:hAnsi="宋体" w:eastAsia="宋体" w:cs="Times New Roman"/>
          <w:b/>
          <w:color w:val="auto"/>
          <w:sz w:val="24"/>
          <w:szCs w:val="24"/>
          <w:highlight w:val="none"/>
        </w:rPr>
        <w:t>附件</w:t>
      </w:r>
      <w:bookmarkEnd w:id="1709"/>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附件1：承包人承揽工程项目一览表</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：支付担保格式</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承包人主要施工管理人员表</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分包人主要施工管理人员表</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承包人用于本工程施工的机械设备表</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预付款担保格式</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工程质量保修书</w:t>
      </w:r>
    </w:p>
    <w:p>
      <w:pPr>
        <w:widowControl/>
        <w:jc w:val="left"/>
        <w:rPr>
          <w:color w:val="auto"/>
          <w:highlight w:val="none"/>
        </w:rPr>
      </w:pPr>
      <w:r>
        <w:rPr>
          <w:color w:val="auto"/>
          <w:highlight w:val="none"/>
        </w:rPr>
        <w:br w:type="page"/>
      </w:r>
    </w:p>
    <w:p>
      <w:pPr>
        <w:spacing w:line="460" w:lineRule="exact"/>
        <w:rPr>
          <w:rFonts w:ascii="宋体" w:hAnsi="宋体" w:eastAsia="宋体" w:cs="Times New Roman"/>
          <w:color w:val="auto"/>
          <w:sz w:val="30"/>
          <w:szCs w:val="30"/>
          <w:highlight w:val="none"/>
        </w:rPr>
      </w:pPr>
      <w:r>
        <w:rPr>
          <w:rFonts w:hint="eastAsia" w:ascii="宋体" w:hAnsi="宋体" w:eastAsia="宋体" w:cs="Times New Roman"/>
          <w:color w:val="auto"/>
          <w:sz w:val="30"/>
          <w:szCs w:val="30"/>
          <w:highlight w:val="none"/>
        </w:rPr>
        <w:t>附件1：</w:t>
      </w:r>
    </w:p>
    <w:p>
      <w:pPr>
        <w:spacing w:line="460" w:lineRule="exact"/>
        <w:rPr>
          <w:rFonts w:ascii="宋体" w:hAnsi="宋体" w:eastAsia="宋体" w:cs="Times New Roman"/>
          <w:color w:val="auto"/>
          <w:szCs w:val="21"/>
          <w:highlight w:val="none"/>
        </w:rPr>
      </w:pPr>
    </w:p>
    <w:p>
      <w:pPr>
        <w:spacing w:beforeLines="50" w:afterLines="50"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承包人承揽工程项目一览表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8"/>
        <w:gridCol w:w="1139"/>
        <w:gridCol w:w="1214"/>
        <w:gridCol w:w="1057"/>
        <w:gridCol w:w="850"/>
        <w:gridCol w:w="1053"/>
        <w:gridCol w:w="1217"/>
        <w:gridCol w:w="9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8" w:type="dxa"/>
            <w:vAlign w:val="center"/>
          </w:tcPr>
          <w:p>
            <w:pPr>
              <w:keepNext/>
              <w:spacing w:after="120" w:line="440" w:lineRule="exact"/>
              <w:ind w:left="63" w:right="319"/>
              <w:rPr>
                <w:rFonts w:ascii="宋体" w:hAnsi="宋体" w:eastAsia="宋体" w:cs="Times New Roman"/>
                <w:color w:val="auto"/>
                <w:szCs w:val="21"/>
                <w:highlight w:val="none"/>
              </w:rPr>
            </w:pPr>
            <w:r>
              <w:rPr>
                <w:rFonts w:ascii="宋体" w:hAnsi="宋体" w:eastAsia="宋体" w:cs="Times New Roman"/>
                <w:color w:val="auto"/>
                <w:szCs w:val="21"/>
                <w:highlight w:val="none"/>
              </w:rPr>
              <w:t>单位工程名称</w:t>
            </w: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建设规模</w:t>
            </w: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建筑面积(平方米)</w:t>
            </w: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结构</w:t>
            </w:r>
            <w:r>
              <w:rPr>
                <w:rFonts w:hint="eastAsia" w:ascii="宋体" w:hAnsi="宋体" w:eastAsia="宋体" w:cs="Times New Roman"/>
                <w:color w:val="auto"/>
                <w:szCs w:val="21"/>
                <w:highlight w:val="none"/>
              </w:rPr>
              <w:t>形式</w:t>
            </w: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层数</w:t>
            </w: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生产能力</w:t>
            </w: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设备安装内容</w:t>
            </w: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合同价格（元）</w:t>
            </w: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开工日期</w:t>
            </w: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r>
              <w:rPr>
                <w:rFonts w:ascii="宋体" w:hAnsi="宋体" w:eastAsia="宋体" w:cs="Times New Roman"/>
                <w:color w:val="auto"/>
                <w:szCs w:val="21"/>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pPr>
              <w:keepNext/>
              <w:spacing w:after="120" w:line="440" w:lineRule="exact"/>
              <w:ind w:left="63" w:right="63"/>
              <w:rPr>
                <w:rFonts w:ascii="宋体" w:hAnsi="宋体" w:eastAsia="宋体" w:cs="Times New Roman"/>
                <w:color w:val="auto"/>
                <w:szCs w:val="21"/>
                <w:highlight w:val="none"/>
              </w:rPr>
            </w:pPr>
          </w:p>
        </w:tc>
        <w:tc>
          <w:tcPr>
            <w:tcW w:w="1139" w:type="dxa"/>
            <w:vAlign w:val="center"/>
          </w:tcPr>
          <w:p>
            <w:pPr>
              <w:keepNext/>
              <w:spacing w:after="120" w:line="440" w:lineRule="exact"/>
              <w:ind w:left="63" w:right="63"/>
              <w:rPr>
                <w:rFonts w:ascii="宋体" w:hAnsi="宋体" w:eastAsia="宋体" w:cs="Times New Roman"/>
                <w:color w:val="auto"/>
                <w:szCs w:val="21"/>
                <w:highlight w:val="none"/>
              </w:rPr>
            </w:pPr>
          </w:p>
        </w:tc>
        <w:tc>
          <w:tcPr>
            <w:tcW w:w="1214" w:type="dxa"/>
            <w:vAlign w:val="center"/>
          </w:tcPr>
          <w:p>
            <w:pPr>
              <w:keepNext/>
              <w:spacing w:after="120" w:line="440" w:lineRule="exact"/>
              <w:ind w:left="63" w:right="63"/>
              <w:rPr>
                <w:rFonts w:ascii="宋体" w:hAnsi="宋体" w:eastAsia="宋体" w:cs="Times New Roman"/>
                <w:color w:val="auto"/>
                <w:szCs w:val="21"/>
                <w:highlight w:val="none"/>
              </w:rPr>
            </w:pPr>
          </w:p>
        </w:tc>
        <w:tc>
          <w:tcPr>
            <w:tcW w:w="1057"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c>
          <w:tcPr>
            <w:tcW w:w="1053" w:type="dxa"/>
            <w:vAlign w:val="center"/>
          </w:tcPr>
          <w:p>
            <w:pPr>
              <w:keepNext/>
              <w:spacing w:after="120" w:line="440" w:lineRule="exact"/>
              <w:ind w:left="63" w:right="63"/>
              <w:rPr>
                <w:rFonts w:ascii="宋体" w:hAnsi="宋体" w:eastAsia="宋体" w:cs="Times New Roman"/>
                <w:color w:val="auto"/>
                <w:szCs w:val="21"/>
                <w:highlight w:val="none"/>
              </w:rPr>
            </w:pPr>
          </w:p>
        </w:tc>
        <w:tc>
          <w:tcPr>
            <w:tcW w:w="1217" w:type="dxa"/>
            <w:vAlign w:val="center"/>
          </w:tcPr>
          <w:p>
            <w:pPr>
              <w:keepNext/>
              <w:spacing w:after="120" w:line="440" w:lineRule="exact"/>
              <w:ind w:left="63" w:right="63"/>
              <w:rPr>
                <w:rFonts w:ascii="宋体" w:hAnsi="宋体" w:eastAsia="宋体" w:cs="Times New Roman"/>
                <w:color w:val="auto"/>
                <w:szCs w:val="21"/>
                <w:highlight w:val="none"/>
              </w:rPr>
            </w:pPr>
          </w:p>
        </w:tc>
        <w:tc>
          <w:tcPr>
            <w:tcW w:w="910" w:type="dxa"/>
            <w:vAlign w:val="center"/>
          </w:tcPr>
          <w:p>
            <w:pPr>
              <w:keepNext/>
              <w:spacing w:after="120" w:line="440" w:lineRule="exact"/>
              <w:ind w:left="63" w:right="63"/>
              <w:rPr>
                <w:rFonts w:ascii="宋体" w:hAnsi="宋体" w:eastAsia="宋体" w:cs="Times New Roman"/>
                <w:color w:val="auto"/>
                <w:szCs w:val="21"/>
                <w:highlight w:val="none"/>
              </w:rPr>
            </w:pPr>
          </w:p>
        </w:tc>
        <w:tc>
          <w:tcPr>
            <w:tcW w:w="851" w:type="dxa"/>
            <w:vAlign w:val="center"/>
          </w:tcPr>
          <w:p>
            <w:pPr>
              <w:keepNext/>
              <w:spacing w:after="120" w:line="440" w:lineRule="exact"/>
              <w:ind w:left="63" w:right="63"/>
              <w:rPr>
                <w:rFonts w:ascii="宋体" w:hAnsi="宋体" w:eastAsia="宋体" w:cs="Times New Roman"/>
                <w:color w:val="auto"/>
                <w:szCs w:val="21"/>
                <w:highlight w:val="none"/>
              </w:rPr>
            </w:pPr>
          </w:p>
        </w:tc>
        <w:tc>
          <w:tcPr>
            <w:tcW w:w="850" w:type="dxa"/>
            <w:vAlign w:val="center"/>
          </w:tcPr>
          <w:p>
            <w:pPr>
              <w:keepNext/>
              <w:spacing w:after="120" w:line="440" w:lineRule="exact"/>
              <w:ind w:left="63" w:right="63"/>
              <w:rPr>
                <w:rFonts w:ascii="宋体" w:hAnsi="宋体" w:eastAsia="宋体" w:cs="Times New Roman"/>
                <w:color w:val="auto"/>
                <w:szCs w:val="21"/>
                <w:highlight w:val="none"/>
              </w:rPr>
            </w:pPr>
          </w:p>
        </w:tc>
      </w:tr>
    </w:tbl>
    <w:p>
      <w:pPr>
        <w:spacing w:line="460" w:lineRule="exact"/>
        <w:rPr>
          <w:rFonts w:ascii="宋体" w:hAnsi="宋体" w:eastAsia="宋体" w:cs="Times New Roman"/>
          <w:color w:val="auto"/>
          <w:szCs w:val="21"/>
          <w:highlight w:val="none"/>
        </w:rPr>
      </w:pPr>
    </w:p>
    <w:p>
      <w:pPr>
        <w:spacing w:line="460" w:lineRule="exact"/>
        <w:rPr>
          <w:rFonts w:ascii="宋体" w:hAnsi="宋体" w:eastAsia="宋体" w:cs="Times New Roman"/>
          <w:color w:val="auto"/>
          <w:szCs w:val="21"/>
          <w:highlight w:val="none"/>
        </w:rPr>
      </w:pPr>
    </w:p>
    <w:p>
      <w:pPr>
        <w:spacing w:line="460" w:lineRule="exact"/>
        <w:rPr>
          <w:rFonts w:ascii="宋体" w:hAnsi="宋体" w:eastAsia="宋体" w:cs="Times New Roman"/>
          <w:color w:val="auto"/>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tabs>
          <w:tab w:val="center" w:pos="4153"/>
          <w:tab w:val="right" w:pos="8306"/>
        </w:tabs>
        <w:snapToGrid w:val="0"/>
        <w:jc w:val="left"/>
        <w:rPr>
          <w:rFonts w:ascii="宋体" w:hAnsi="宋体" w:eastAsia="宋体" w:cs="Times New Roman"/>
          <w:color w:val="auto"/>
          <w:sz w:val="18"/>
          <w:szCs w:val="21"/>
          <w:highlight w:val="none"/>
        </w:rPr>
      </w:pPr>
    </w:p>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br w:type="page"/>
      </w:r>
      <w:r>
        <w:rPr>
          <w:rFonts w:ascii="宋体" w:hAnsi="宋体" w:eastAsia="宋体" w:cs="Times New Roman"/>
          <w:color w:val="auto"/>
          <w:sz w:val="30"/>
          <w:szCs w:val="30"/>
          <w:highlight w:val="none"/>
        </w:rPr>
        <w:t>附</w:t>
      </w:r>
      <w:bookmarkStart w:id="1710" w:name="_Toc296347232"/>
      <w:bookmarkStart w:id="1711" w:name="_Toc296891061"/>
      <w:bookmarkStart w:id="1712" w:name="_Toc296346734"/>
      <w:bookmarkStart w:id="1713" w:name="_Toc296891273"/>
      <w:bookmarkStart w:id="1714" w:name="_Toc296944572"/>
      <w:bookmarkStart w:id="1715" w:name="_Toc296503233"/>
      <w:r>
        <w:rPr>
          <w:rFonts w:ascii="宋体" w:hAnsi="宋体" w:eastAsia="宋体" w:cs="Times New Roman"/>
          <w:color w:val="auto"/>
          <w:sz w:val="30"/>
          <w:szCs w:val="30"/>
          <w:highlight w:val="none"/>
        </w:rPr>
        <w:t>件</w:t>
      </w:r>
      <w:r>
        <w:rPr>
          <w:rFonts w:hint="eastAsia" w:ascii="宋体" w:hAnsi="宋体" w:eastAsia="宋体" w:cs="Times New Roman"/>
          <w:color w:val="auto"/>
          <w:sz w:val="30"/>
          <w:szCs w:val="30"/>
          <w:highlight w:val="none"/>
        </w:rPr>
        <w:t>2：</w:t>
      </w:r>
    </w:p>
    <w:bookmarkEnd w:id="1710"/>
    <w:bookmarkEnd w:id="1711"/>
    <w:bookmarkEnd w:id="1712"/>
    <w:bookmarkEnd w:id="1713"/>
    <w:bookmarkEnd w:id="1714"/>
    <w:bookmarkEnd w:id="1715"/>
    <w:p>
      <w:pPr>
        <w:spacing w:beforeLines="50" w:afterLines="50"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支付担保</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（承包人）：</w:t>
      </w:r>
    </w:p>
    <w:p>
      <w:pPr>
        <w:spacing w:line="360" w:lineRule="auto"/>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鉴于你方作为承包人已经与</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（发包人名称）（以下称“发包人”）于</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日签订了</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一、保证的范围及保证金额</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我方的保证范围是主合同约定的工程款。</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本保函所称主合同约定的工程款是指主合同约定的除工程质量保证金以外的合同价款。</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我方保证的金额是主合同约定的工程款的</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%，数额最高不超过人民币元（大写：</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二、保证的方式及保证期间</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我方保证的方式为：连带责任保证。</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我方保证的期间为：自本合同生效之日起至主合同约定的工程款支付完毕之日后</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日内。</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你方与发包人协议变更工程款支付日期的，经我方书面同意后，保证期间按照变更后的支付日期做相应调整。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三、承担保证责任的形式</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我方承担保证责任的形式是代为支付。发包人未按主合同约定向你方支付工程款的，由我方在保证金额内代为支付。</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四、代偿的安排</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我方收到你方的书面索赔通知及相应的证明材料后７天内无条件支付。</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五、保证责任的解除</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在本保函承诺的保证期间内，你方未书面向我方主张保证责任的，自保证期间届满次日起，我方保证责任解除。</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发包人按主合同约定履行了工程款的全部支付义务的，自本保函承诺的保证期间届满次日起，我方保证责任解除。</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 按照法律法规的规定或出现应解除我方保证责任的其他情形的，我方在本保函项下的保证责任亦解除。</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 我方解除保证责任后，你方应自我方保证责任解除之日起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个工作日内，将本保函原件返还我方。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六、免责条款</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因你方违约致使发包人不能履行义务的，我方不承担保证责任。</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依照法律法规的规定或你方与发包人的另行约定，免除发包人部分或全部义务的，我方亦免除其相应的保证责任。</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 因不可抗力造成发包人不能履行义务的，我方不承担保证责任。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七、争议解决</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因本保函或本保函相关事项发生的纠纷，可由双方协商解决，协商不成的，按下列第</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种方式解决：</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（1）向</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仲裁委员会申请仲裁；</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（2）向</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人民法院起诉。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八、保函的生效</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本保函自我方法定代表人（或其授权代理人）签字并加盖公章之日起生效。</w:t>
      </w:r>
    </w:p>
    <w:p>
      <w:pPr>
        <w:tabs>
          <w:tab w:val="center" w:pos="4153"/>
          <w:tab w:val="right" w:pos="8306"/>
        </w:tabs>
        <w:snapToGrid w:val="0"/>
        <w:jc w:val="left"/>
        <w:rPr>
          <w:rFonts w:ascii="宋体" w:hAnsi="Courier New" w:eastAsia="宋体" w:cs="Times New Roman"/>
          <w:color w:val="auto"/>
          <w:sz w:val="18"/>
          <w:szCs w:val="20"/>
          <w:highlight w:val="none"/>
        </w:rPr>
      </w:pPr>
    </w:p>
    <w:p>
      <w:pPr>
        <w:spacing w:line="360" w:lineRule="auto"/>
        <w:ind w:right="6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担保人：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（盖章）</w:t>
      </w:r>
    </w:p>
    <w:p>
      <w:pPr>
        <w:spacing w:line="360" w:lineRule="auto"/>
        <w:ind w:right="1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法定代表人或委托代理人：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（签字）</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 xml:space="preserve">                                        </w:t>
      </w:r>
    </w:p>
    <w:p>
      <w:pPr>
        <w:spacing w:line="360" w:lineRule="auto"/>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 xml:space="preserve">                                        </w:t>
      </w:r>
    </w:p>
    <w:p>
      <w:pPr>
        <w:spacing w:line="360" w:lineRule="auto"/>
        <w:rPr>
          <w:rFonts w:ascii="宋体" w:hAnsi="宋体" w:eastAsia="宋体" w:cs="Times New Roman"/>
          <w:color w:val="auto"/>
          <w:sz w:val="30"/>
          <w:szCs w:val="30"/>
          <w:highlight w:val="none"/>
        </w:rPr>
      </w:pPr>
      <w:r>
        <w:rPr>
          <w:rFonts w:hint="eastAsia" w:ascii="宋体" w:hAnsi="宋体" w:eastAsia="宋体" w:cs="Times New Roman"/>
          <w:color w:val="auto"/>
          <w:sz w:val="24"/>
          <w:szCs w:val="24"/>
          <w:highlight w:val="none"/>
        </w:rPr>
        <w:t>日    期：</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w:t>
      </w:r>
    </w:p>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附</w:t>
      </w:r>
      <w:bookmarkStart w:id="1716" w:name="_Toc267261699"/>
      <w:bookmarkStart w:id="1717" w:name="_Toc296346729"/>
      <w:bookmarkStart w:id="1718" w:name="_Toc296891056"/>
      <w:bookmarkStart w:id="1719" w:name="_Toc296347227"/>
      <w:bookmarkStart w:id="1720" w:name="_Toc296891268"/>
      <w:bookmarkStart w:id="1721" w:name="_Toc296503228"/>
      <w:bookmarkStart w:id="1722" w:name="_Toc296944567"/>
      <w:r>
        <w:rPr>
          <w:rFonts w:ascii="宋体" w:hAnsi="宋体" w:eastAsia="宋体" w:cs="Times New Roman"/>
          <w:color w:val="auto"/>
          <w:sz w:val="30"/>
          <w:szCs w:val="30"/>
          <w:highlight w:val="none"/>
        </w:rPr>
        <w:t>件</w:t>
      </w:r>
      <w:r>
        <w:rPr>
          <w:rFonts w:hint="eastAsia" w:ascii="宋体" w:hAnsi="宋体" w:eastAsia="宋体" w:cs="Times New Roman"/>
          <w:color w:val="auto"/>
          <w:sz w:val="30"/>
          <w:szCs w:val="30"/>
          <w:highlight w:val="none"/>
        </w:rPr>
        <w:t>3</w:t>
      </w:r>
      <w:r>
        <w:rPr>
          <w:rFonts w:ascii="宋体" w:hAnsi="宋体" w:eastAsia="宋体" w:cs="Times New Roman"/>
          <w:color w:val="auto"/>
          <w:sz w:val="30"/>
          <w:szCs w:val="30"/>
          <w:highlight w:val="none"/>
        </w:rPr>
        <w:t>：</w:t>
      </w:r>
      <w:bookmarkEnd w:id="1716"/>
      <w:bookmarkEnd w:id="1717"/>
      <w:bookmarkEnd w:id="1718"/>
      <w:bookmarkEnd w:id="1719"/>
      <w:bookmarkEnd w:id="1720"/>
      <w:bookmarkEnd w:id="1721"/>
      <w:bookmarkEnd w:id="1722"/>
    </w:p>
    <w:p>
      <w:pPr>
        <w:spacing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承包人主要施工管理人员表</w:t>
      </w:r>
    </w:p>
    <w:tbl>
      <w:tblPr>
        <w:tblStyle w:val="47"/>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3"/>
        <w:gridCol w:w="1419"/>
        <w:gridCol w:w="1135"/>
        <w:gridCol w:w="1135"/>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名    称</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姓名</w:t>
            </w: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职务</w:t>
            </w: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职称</w:t>
            </w:r>
          </w:p>
        </w:tc>
        <w:tc>
          <w:tcPr>
            <w:tcW w:w="4257" w:type="dxa"/>
            <w:vAlign w:val="center"/>
          </w:tcPr>
          <w:p>
            <w:pPr>
              <w:keepNext/>
              <w:spacing w:after="120" w:line="440" w:lineRule="exact"/>
              <w:ind w:right="6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项目主管</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其他人员</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项目经理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项目副经理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技术负责人</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造价管理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质量管理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材料管理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计划管理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安全管理</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其他人员</w:t>
            </w: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9"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5"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7" w:type="dxa"/>
            <w:vAlign w:val="center"/>
          </w:tcPr>
          <w:p>
            <w:pPr>
              <w:keepNext/>
              <w:spacing w:after="120" w:line="440" w:lineRule="exact"/>
              <w:ind w:left="63" w:right="63"/>
              <w:rPr>
                <w:rFonts w:ascii="宋体" w:hAnsi="宋体" w:eastAsia="宋体" w:cs="Times New Roman"/>
                <w:color w:val="auto"/>
                <w:sz w:val="24"/>
                <w:szCs w:val="24"/>
                <w:highlight w:val="none"/>
              </w:rPr>
            </w:pPr>
          </w:p>
        </w:tc>
      </w:tr>
    </w:tbl>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br w:type="page"/>
      </w:r>
    </w:p>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附</w:t>
      </w:r>
      <w:bookmarkStart w:id="1723" w:name="_Toc296891057"/>
      <w:bookmarkStart w:id="1724" w:name="_Toc296944568"/>
      <w:bookmarkStart w:id="1725" w:name="_Toc296503229"/>
      <w:bookmarkStart w:id="1726" w:name="_Toc296346730"/>
      <w:bookmarkStart w:id="1727" w:name="_Toc296891269"/>
      <w:bookmarkStart w:id="1728" w:name="_Toc296347228"/>
      <w:r>
        <w:rPr>
          <w:rFonts w:ascii="宋体" w:hAnsi="宋体" w:eastAsia="宋体" w:cs="Times New Roman"/>
          <w:color w:val="auto"/>
          <w:sz w:val="30"/>
          <w:szCs w:val="30"/>
          <w:highlight w:val="none"/>
        </w:rPr>
        <w:t>件</w:t>
      </w:r>
      <w:r>
        <w:rPr>
          <w:rFonts w:hint="eastAsia" w:ascii="宋体" w:hAnsi="宋体" w:eastAsia="宋体" w:cs="Times New Roman"/>
          <w:color w:val="auto"/>
          <w:sz w:val="30"/>
          <w:szCs w:val="30"/>
          <w:highlight w:val="none"/>
        </w:rPr>
        <w:t>4：</w:t>
      </w:r>
    </w:p>
    <w:bookmarkEnd w:id="1723"/>
    <w:bookmarkEnd w:id="1724"/>
    <w:bookmarkEnd w:id="1725"/>
    <w:bookmarkEnd w:id="1726"/>
    <w:bookmarkEnd w:id="1727"/>
    <w:bookmarkEnd w:id="1728"/>
    <w:p>
      <w:pPr>
        <w:spacing w:beforeLines="50" w:afterLines="50"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分包人主要施工管理人员表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名    称</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姓名</w:t>
            </w: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职务</w:t>
            </w: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职称</w:t>
            </w: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项目主管</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其他人员</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项目经理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项目副经理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技术负责人</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造价管理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质量管理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材料管理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计划管理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安全管理</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其他人员</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134"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4252" w:type="dxa"/>
            <w:vAlign w:val="center"/>
          </w:tcPr>
          <w:p>
            <w:pPr>
              <w:keepNext/>
              <w:spacing w:after="120" w:line="440" w:lineRule="exact"/>
              <w:ind w:left="63" w:right="63"/>
              <w:rPr>
                <w:rFonts w:ascii="宋体" w:hAnsi="宋体" w:eastAsia="宋体" w:cs="Times New Roman"/>
                <w:color w:val="auto"/>
                <w:sz w:val="24"/>
                <w:szCs w:val="24"/>
                <w:highlight w:val="none"/>
              </w:rPr>
            </w:pPr>
          </w:p>
        </w:tc>
      </w:tr>
    </w:tbl>
    <w:p>
      <w:pPr>
        <w:spacing w:line="360" w:lineRule="auto"/>
        <w:rPr>
          <w:rFonts w:ascii="宋体" w:hAnsi="宋体" w:eastAsia="宋体" w:cs="Times New Roman"/>
          <w:color w:val="auto"/>
          <w:szCs w:val="21"/>
          <w:highlight w:val="none"/>
        </w:rPr>
        <w:sectPr>
          <w:headerReference r:id="rId6" w:type="first"/>
          <w:footerReference r:id="rId9" w:type="first"/>
          <w:headerReference r:id="rId5" w:type="default"/>
          <w:footerReference r:id="rId7" w:type="default"/>
          <w:footerReference r:id="rId8" w:type="even"/>
          <w:pgSz w:w="11906" w:h="16838"/>
          <w:pgMar w:top="1134" w:right="1162" w:bottom="935" w:left="1304" w:header="851" w:footer="851" w:gutter="0"/>
          <w:pgNumType w:start="0"/>
          <w:cols w:space="720" w:num="1"/>
          <w:titlePg/>
          <w:docGrid w:linePitch="312" w:charSpace="0"/>
        </w:sectPr>
      </w:pPr>
    </w:p>
    <w:p>
      <w:pPr>
        <w:spacing w:line="440" w:lineRule="exact"/>
        <w:rPr>
          <w:rFonts w:ascii="宋体" w:hAnsi="宋体" w:eastAsia="宋体" w:cs="Times New Roman"/>
          <w:color w:val="auto"/>
          <w:sz w:val="30"/>
          <w:szCs w:val="30"/>
          <w:highlight w:val="none"/>
        </w:rPr>
      </w:pPr>
    </w:p>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附</w:t>
      </w:r>
      <w:bookmarkStart w:id="1729" w:name="_Toc296891053"/>
      <w:bookmarkStart w:id="1730" w:name="_Toc296503225"/>
      <w:bookmarkStart w:id="1731" w:name="_Toc296891265"/>
      <w:bookmarkStart w:id="1732" w:name="_Toc267261692"/>
      <w:bookmarkStart w:id="1733" w:name="_Toc296346726"/>
      <w:bookmarkStart w:id="1734" w:name="_Toc296347224"/>
      <w:bookmarkStart w:id="1735" w:name="_Toc296944564"/>
      <w:r>
        <w:rPr>
          <w:rFonts w:ascii="宋体" w:hAnsi="宋体" w:eastAsia="宋体" w:cs="Times New Roman"/>
          <w:color w:val="auto"/>
          <w:sz w:val="30"/>
          <w:szCs w:val="30"/>
          <w:highlight w:val="none"/>
        </w:rPr>
        <w:t>件</w:t>
      </w:r>
      <w:r>
        <w:rPr>
          <w:rFonts w:hint="eastAsia" w:ascii="宋体" w:hAnsi="宋体" w:eastAsia="宋体" w:cs="Times New Roman"/>
          <w:color w:val="auto"/>
          <w:sz w:val="30"/>
          <w:szCs w:val="30"/>
          <w:highlight w:val="none"/>
        </w:rPr>
        <w:t>5：</w:t>
      </w:r>
    </w:p>
    <w:bookmarkEnd w:id="1729"/>
    <w:bookmarkEnd w:id="1730"/>
    <w:bookmarkEnd w:id="1731"/>
    <w:bookmarkEnd w:id="1732"/>
    <w:bookmarkEnd w:id="1733"/>
    <w:bookmarkEnd w:id="1734"/>
    <w:bookmarkEnd w:id="1735"/>
    <w:p>
      <w:pPr>
        <w:spacing w:beforeLines="50" w:afterLines="50"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承包人用于本工程施工的机械设备表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序号</w:t>
            </w: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机械或设备名称</w:t>
            </w: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规格型号</w:t>
            </w: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数量</w:t>
            </w: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产地</w:t>
            </w: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制造年份</w:t>
            </w: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额定功率</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kW</w:t>
            </w:r>
            <w:r>
              <w:rPr>
                <w:rFonts w:hint="eastAsia" w:ascii="宋体" w:hAnsi="宋体" w:eastAsia="宋体" w:cs="Times New Roman"/>
                <w:color w:val="auto"/>
                <w:sz w:val="24"/>
                <w:szCs w:val="24"/>
                <w:highlight w:val="none"/>
              </w:rPr>
              <w:t>）</w:t>
            </w: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生产能力</w:t>
            </w: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1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5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58"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8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48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1020" w:type="dxa"/>
            <w:vAlign w:val="center"/>
          </w:tcPr>
          <w:p>
            <w:pPr>
              <w:keepNext/>
              <w:spacing w:after="120" w:line="440" w:lineRule="exact"/>
              <w:ind w:left="63" w:right="63"/>
              <w:rPr>
                <w:rFonts w:ascii="宋体" w:hAnsi="宋体" w:eastAsia="宋体" w:cs="Times New Roman"/>
                <w:color w:val="auto"/>
                <w:sz w:val="24"/>
                <w:szCs w:val="24"/>
                <w:highlight w:val="none"/>
              </w:rPr>
            </w:pPr>
          </w:p>
        </w:tc>
        <w:tc>
          <w:tcPr>
            <w:tcW w:w="921" w:type="dxa"/>
            <w:vAlign w:val="center"/>
          </w:tcPr>
          <w:p>
            <w:pPr>
              <w:keepNext/>
              <w:spacing w:after="120" w:line="440" w:lineRule="exact"/>
              <w:ind w:left="63" w:right="63"/>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eastAsia="宋体" w:cs="Times New Roman"/>
                <w:color w:val="auto"/>
                <w:sz w:val="24"/>
                <w:szCs w:val="24"/>
                <w:highlight w:val="none"/>
              </w:rPr>
            </w:pPr>
          </w:p>
        </w:tc>
        <w:tc>
          <w:tcPr>
            <w:tcW w:w="1418" w:type="dxa"/>
          </w:tcPr>
          <w:p>
            <w:pPr>
              <w:rPr>
                <w:rFonts w:ascii="宋体" w:hAnsi="宋体" w:eastAsia="宋体" w:cs="Times New Roman"/>
                <w:color w:val="auto"/>
                <w:sz w:val="24"/>
                <w:szCs w:val="24"/>
                <w:highlight w:val="none"/>
              </w:rPr>
            </w:pPr>
          </w:p>
        </w:tc>
        <w:tc>
          <w:tcPr>
            <w:tcW w:w="850" w:type="dxa"/>
          </w:tcPr>
          <w:p>
            <w:pPr>
              <w:rPr>
                <w:rFonts w:ascii="宋体" w:hAnsi="宋体" w:eastAsia="宋体" w:cs="Times New Roman"/>
                <w:color w:val="auto"/>
                <w:sz w:val="24"/>
                <w:szCs w:val="24"/>
                <w:highlight w:val="none"/>
              </w:rPr>
            </w:pPr>
          </w:p>
        </w:tc>
        <w:tc>
          <w:tcPr>
            <w:tcW w:w="1058" w:type="dxa"/>
          </w:tcPr>
          <w:p>
            <w:pPr>
              <w:rPr>
                <w:rFonts w:ascii="宋体" w:hAnsi="宋体" w:eastAsia="宋体" w:cs="Times New Roman"/>
                <w:color w:val="auto"/>
                <w:sz w:val="24"/>
                <w:szCs w:val="24"/>
                <w:highlight w:val="none"/>
              </w:rPr>
            </w:pPr>
          </w:p>
        </w:tc>
        <w:tc>
          <w:tcPr>
            <w:tcW w:w="8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1480" w:type="dxa"/>
          </w:tcPr>
          <w:p>
            <w:pPr>
              <w:rPr>
                <w:rFonts w:ascii="宋体" w:hAnsi="宋体" w:eastAsia="宋体" w:cs="Times New Roman"/>
                <w:color w:val="auto"/>
                <w:sz w:val="24"/>
                <w:szCs w:val="24"/>
                <w:highlight w:val="none"/>
              </w:rPr>
            </w:pPr>
          </w:p>
        </w:tc>
        <w:tc>
          <w:tcPr>
            <w:tcW w:w="1020" w:type="dxa"/>
          </w:tcPr>
          <w:p>
            <w:pPr>
              <w:rPr>
                <w:rFonts w:ascii="宋体" w:hAnsi="宋体" w:eastAsia="宋体" w:cs="Times New Roman"/>
                <w:color w:val="auto"/>
                <w:sz w:val="24"/>
                <w:szCs w:val="24"/>
                <w:highlight w:val="none"/>
              </w:rPr>
            </w:pPr>
          </w:p>
        </w:tc>
        <w:tc>
          <w:tcPr>
            <w:tcW w:w="921" w:type="dxa"/>
          </w:tcPr>
          <w:p>
            <w:pPr>
              <w:rPr>
                <w:rFonts w:ascii="宋体" w:hAnsi="宋体" w:eastAsia="宋体" w:cs="Times New Roman"/>
                <w:color w:val="auto"/>
                <w:sz w:val="24"/>
                <w:szCs w:val="24"/>
                <w:highlight w:val="none"/>
              </w:rPr>
            </w:pPr>
          </w:p>
        </w:tc>
      </w:tr>
    </w:tbl>
    <w:p>
      <w:pPr>
        <w:spacing w:line="440" w:lineRule="exact"/>
        <w:rPr>
          <w:rFonts w:ascii="宋体" w:hAnsi="宋体" w:eastAsia="宋体" w:cs="Times New Roman"/>
          <w:color w:val="auto"/>
          <w:sz w:val="30"/>
          <w:szCs w:val="30"/>
          <w:highlight w:val="none"/>
        </w:rPr>
        <w:sectPr>
          <w:pgSz w:w="11906" w:h="16838"/>
          <w:pgMar w:top="1134" w:right="1134" w:bottom="1134" w:left="1134" w:header="851" w:footer="851" w:gutter="0"/>
          <w:cols w:space="720" w:num="1"/>
          <w:docGrid w:linePitch="312" w:charSpace="0"/>
        </w:sectPr>
      </w:pPr>
    </w:p>
    <w:p>
      <w:pPr>
        <w:spacing w:line="360" w:lineRule="auto"/>
        <w:rPr>
          <w:rFonts w:ascii="宋体" w:hAnsi="宋体" w:eastAsia="宋体" w:cs="Times New Roman"/>
          <w:color w:val="auto"/>
          <w:sz w:val="30"/>
          <w:szCs w:val="30"/>
          <w:highlight w:val="none"/>
        </w:rPr>
      </w:pPr>
    </w:p>
    <w:p>
      <w:pPr>
        <w:spacing w:line="360" w:lineRule="auto"/>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附件</w:t>
      </w:r>
      <w:r>
        <w:rPr>
          <w:rFonts w:hint="eastAsia" w:ascii="宋体" w:hAnsi="宋体" w:eastAsia="宋体" w:cs="Times New Roman"/>
          <w:color w:val="auto"/>
          <w:sz w:val="30"/>
          <w:szCs w:val="30"/>
          <w:highlight w:val="none"/>
        </w:rPr>
        <w:t>6</w:t>
      </w:r>
      <w:r>
        <w:rPr>
          <w:rFonts w:ascii="宋体" w:hAnsi="宋体" w:eastAsia="宋体" w:cs="Times New Roman"/>
          <w:color w:val="auto"/>
          <w:sz w:val="30"/>
          <w:szCs w:val="30"/>
          <w:highlight w:val="none"/>
        </w:rPr>
        <w:t>：</w:t>
      </w:r>
    </w:p>
    <w:p>
      <w:pPr>
        <w:spacing w:beforeLines="50" w:afterLines="50" w:line="440" w:lineRule="exact"/>
        <w:jc w:val="center"/>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预付款担保</w:t>
      </w:r>
    </w:p>
    <w:p>
      <w:pPr>
        <w:spacing w:line="360" w:lineRule="auto"/>
        <w:rPr>
          <w:rFonts w:ascii="宋体" w:hAnsi="宋体" w:eastAsia="宋体" w:cs="Times New Roman"/>
          <w:color w:val="auto"/>
          <w:sz w:val="24"/>
          <w:szCs w:val="24"/>
          <w:highlight w:val="none"/>
          <w:u w:val="single"/>
        </w:rPr>
      </w:pP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（发包人名称）：</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（承包人名称）（以下称“承包人”）与</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（发包人名称）（以下简称“发包人”）于</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日签订的</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 担保金额人民币（大写）</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 担保有效期自预付款支付给承包人起生效，至你方签发的进度款支付证书说明已完全扣清止。</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 你方和承包人按合同约定变更合同时，我方承担本保函规定的义务不变。</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 因本保函发生的纠纷，可由双方协商解决，协商不成的，任何一方均可提请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仲裁委员会仲裁。</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 本保函自我方法定代表人（或其授权代理人）签字并加盖公章之日起生效。</w:t>
      </w:r>
    </w:p>
    <w:p>
      <w:pPr>
        <w:spacing w:line="360" w:lineRule="auto"/>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担保人：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（盖单位章）</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法定代表人或其委托代理人：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（签字）</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w:t>
      </w:r>
    </w:p>
    <w:p>
      <w:pPr>
        <w:spacing w:line="360" w:lineRule="auto"/>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 xml:space="preserve">                            </w:t>
      </w:r>
    </w:p>
    <w:p>
      <w:pPr>
        <w:spacing w:line="360" w:lineRule="auto"/>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电    话：</w:t>
      </w:r>
      <w:r>
        <w:rPr>
          <w:rFonts w:ascii="宋体" w:hAnsi="宋体" w:eastAsia="宋体" w:cs="Times New Roman"/>
          <w:color w:val="auto"/>
          <w:sz w:val="24"/>
          <w:szCs w:val="24"/>
          <w:highlight w:val="none"/>
          <w:u w:val="single"/>
        </w:rPr>
        <w:t xml:space="preserve">                            </w:t>
      </w:r>
    </w:p>
    <w:p>
      <w:pPr>
        <w:spacing w:line="360" w:lineRule="auto"/>
        <w:ind w:firstLine="480" w:firstLineChars="20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 xml:space="preserve">                            </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    期：</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w:t>
      </w:r>
    </w:p>
    <w:p>
      <w:pPr>
        <w:spacing w:line="480" w:lineRule="auto"/>
        <w:rPr>
          <w:rFonts w:ascii="宋体" w:hAnsi="宋体" w:eastAsia="宋体" w:cs="Times New Roman"/>
          <w:color w:val="auto"/>
          <w:sz w:val="24"/>
          <w:szCs w:val="24"/>
          <w:highlight w:val="none"/>
        </w:rPr>
      </w:pPr>
    </w:p>
    <w:p>
      <w:pPr>
        <w:spacing w:line="480" w:lineRule="auto"/>
        <w:rPr>
          <w:rFonts w:ascii="宋体" w:hAnsi="宋体" w:eastAsia="宋体" w:cs="Times New Roman"/>
          <w:color w:val="auto"/>
          <w:sz w:val="24"/>
          <w:szCs w:val="24"/>
          <w:highlight w:val="none"/>
        </w:rPr>
        <w:sectPr>
          <w:headerReference r:id="rId10" w:type="default"/>
          <w:pgSz w:w="11906" w:h="16838"/>
          <w:pgMar w:top="1134" w:right="1134" w:bottom="1134" w:left="1134" w:header="851" w:footer="851" w:gutter="0"/>
          <w:cols w:space="720" w:num="1"/>
          <w:docGrid w:linePitch="312" w:charSpace="0"/>
        </w:sectPr>
      </w:pPr>
    </w:p>
    <w:p>
      <w:pPr>
        <w:spacing w:line="440" w:lineRule="exact"/>
        <w:rPr>
          <w:rFonts w:ascii="宋体" w:hAnsi="宋体" w:eastAsia="宋体" w:cs="Times New Roman"/>
          <w:color w:val="auto"/>
          <w:sz w:val="30"/>
          <w:szCs w:val="30"/>
          <w:highlight w:val="none"/>
        </w:rPr>
      </w:pPr>
      <w:r>
        <w:rPr>
          <w:rFonts w:ascii="宋体" w:hAnsi="宋体" w:eastAsia="宋体" w:cs="Times New Roman"/>
          <w:color w:val="auto"/>
          <w:sz w:val="30"/>
          <w:szCs w:val="30"/>
          <w:highlight w:val="none"/>
        </w:rPr>
        <w:t>附</w:t>
      </w:r>
      <w:bookmarkStart w:id="1736" w:name="_Toc296944565"/>
      <w:bookmarkStart w:id="1737" w:name="_Toc296891054"/>
      <w:bookmarkStart w:id="1738" w:name="_Toc296503226"/>
      <w:bookmarkStart w:id="1739" w:name="_Toc296347225"/>
      <w:bookmarkStart w:id="1740" w:name="_Toc296346727"/>
      <w:bookmarkStart w:id="1741" w:name="_Toc296891266"/>
      <w:bookmarkStart w:id="1742" w:name="_Toc267261693"/>
      <w:r>
        <w:rPr>
          <w:rFonts w:ascii="宋体" w:hAnsi="宋体" w:eastAsia="宋体" w:cs="Times New Roman"/>
          <w:color w:val="auto"/>
          <w:sz w:val="30"/>
          <w:szCs w:val="30"/>
          <w:highlight w:val="none"/>
        </w:rPr>
        <w:t>件</w:t>
      </w:r>
      <w:r>
        <w:rPr>
          <w:rFonts w:hint="eastAsia" w:ascii="宋体" w:hAnsi="宋体" w:eastAsia="宋体" w:cs="Times New Roman"/>
          <w:color w:val="auto"/>
          <w:sz w:val="30"/>
          <w:szCs w:val="30"/>
          <w:highlight w:val="none"/>
        </w:rPr>
        <w:t>7</w:t>
      </w:r>
      <w:r>
        <w:rPr>
          <w:rFonts w:ascii="宋体" w:hAnsi="宋体" w:eastAsia="宋体" w:cs="Times New Roman"/>
          <w:color w:val="auto"/>
          <w:sz w:val="30"/>
          <w:szCs w:val="30"/>
          <w:highlight w:val="none"/>
        </w:rPr>
        <w:t>：</w:t>
      </w:r>
      <w:bookmarkEnd w:id="1736"/>
      <w:bookmarkEnd w:id="1737"/>
      <w:bookmarkEnd w:id="1738"/>
      <w:bookmarkEnd w:id="1739"/>
      <w:bookmarkEnd w:id="1740"/>
      <w:bookmarkEnd w:id="1741"/>
      <w:bookmarkEnd w:id="1742"/>
    </w:p>
    <w:p>
      <w:pPr>
        <w:spacing w:beforeLines="50" w:afterLines="50"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工程质量保修书（房屋建筑工程）</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发包人（全称）：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承包人（全称）：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spacing w:line="440" w:lineRule="exact"/>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发包人和承包人根据《中华人民共和国建筑法》和《建设工程质量管理条例》，经协商一致就</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（工程全称）签订工程质量保修书。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一、工程质量保修范围和内容</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承包人在质量保修期内，按照有关法律规定和合同约定，承担工程质量保修责任。</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二、质量保修期</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根据《建设工程质量管理条例》及有关规定，工程的质量保修期如下：</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1．地基基础工程和主体结构工程为设计文件规定的工程合理使用年限；</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2．屋面防水工程、有防水要求的卫生间、房间和外墙面的防渗为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3．装修工程为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4．电气管线、给排水管道、设备安装工程为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5．供热与供冷系统为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个采暖期、供冷期；</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6．住宅小区内的给排水设施、道路等配套工程为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7．其他项目保修期限约定如下：</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质量保修期自工程竣工验收合格之日起计算。</w:t>
      </w:r>
    </w:p>
    <w:p>
      <w:pPr>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三、缺陷责任期</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工程缺陷责任期为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个月</w:t>
      </w:r>
      <w:r>
        <w:rPr>
          <w:rFonts w:hint="eastAsia" w:ascii="宋体" w:hAnsi="宋体" w:eastAsia="宋体" w:cs="Times New Roman"/>
          <w:color w:val="auto"/>
          <w:sz w:val="24"/>
          <w:szCs w:val="24"/>
          <w:highlight w:val="none"/>
        </w:rPr>
        <w:t>（最长不超过24个月）</w:t>
      </w:r>
      <w:r>
        <w:rPr>
          <w:rFonts w:ascii="宋体" w:hAnsi="宋体" w:eastAsia="宋体" w:cs="Times New Roman"/>
          <w:color w:val="auto"/>
          <w:sz w:val="24"/>
          <w:szCs w:val="24"/>
          <w:highlight w:val="none"/>
        </w:rPr>
        <w:t>，缺陷责任期自工程竣工验收合格之日起计算。单位工程先于全部工程进行验收，单位工程缺陷责任期自单位工程验收合格之日起算。</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缺陷责任期终止后，发包人应退还剩余的质量保证金。</w:t>
      </w:r>
    </w:p>
    <w:p>
      <w:pPr>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四、质量保修责任</w:t>
      </w:r>
    </w:p>
    <w:p>
      <w:pPr>
        <w:spacing w:line="360" w:lineRule="auto"/>
        <w:ind w:left="105" w:leftChars="50" w:firstLine="491" w:firstLineChars="20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1．属于保修范围、内容的项目，承包人应当在接到保修通知之日起</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天内派人保修。承包人不在约定期限内派人保修的，发包人可以委托他人修理</w:t>
      </w:r>
      <w:r>
        <w:rPr>
          <w:rFonts w:hint="eastAsia" w:ascii="宋体" w:hAnsi="宋体" w:eastAsia="宋体" w:cs="Times New Roman"/>
          <w:color w:val="auto"/>
          <w:sz w:val="24"/>
          <w:szCs w:val="24"/>
          <w:highlight w:val="none"/>
        </w:rPr>
        <w:t>，修理费用从质量保修金内扣除</w:t>
      </w:r>
      <w:r>
        <w:rPr>
          <w:rFonts w:ascii="宋体" w:hAnsi="宋体" w:eastAsia="宋体" w:cs="Times New Roman"/>
          <w:color w:val="auto"/>
          <w:sz w:val="24"/>
          <w:szCs w:val="24"/>
          <w:highlight w:val="none"/>
        </w:rPr>
        <w:t>。</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2．发生紧急事故需抢修的，承包人在接到事故通知后，应当立即到达事故现场抢修。</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4．质量保修完成后，由发包人组织验收。</w:t>
      </w:r>
    </w:p>
    <w:p>
      <w:pPr>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五、保修费用</w:t>
      </w:r>
    </w:p>
    <w:p>
      <w:pPr>
        <w:tabs>
          <w:tab w:val="left" w:pos="7380"/>
        </w:tabs>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保修费用由造成质量缺陷的责任方承担。</w:t>
      </w:r>
    </w:p>
    <w:p>
      <w:pPr>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六、双方约定的其他工程质量保修事项： </w:t>
      </w:r>
    </w:p>
    <w:p>
      <w:pPr>
        <w:spacing w:line="360" w:lineRule="auto"/>
        <w:ind w:left="420" w:left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56" w:firstLineChars="19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工程质量保修书由发包人、承包人在工程竣工验收前共同签署，作为施工合同附件，其有效期限至保修期满。</w:t>
      </w:r>
    </w:p>
    <w:p>
      <w:pPr>
        <w:spacing w:line="360" w:lineRule="auto"/>
        <w:ind w:firstLine="420"/>
        <w:rPr>
          <w:rFonts w:ascii="宋体" w:hAnsi="宋体" w:eastAsia="宋体" w:cs="Times New Roman"/>
          <w:color w:val="auto"/>
          <w:sz w:val="24"/>
          <w:szCs w:val="24"/>
          <w:highlight w:val="none"/>
        </w:rPr>
      </w:pP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公章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承包人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公章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法定代表人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法定代表人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委托代理人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委托代理人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  话：</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电  话：</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开户银行：</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开户银行：</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tabs>
          <w:tab w:val="left" w:pos="2880"/>
          <w:tab w:val="left" w:pos="3060"/>
          <w:tab w:val="left" w:pos="4500"/>
        </w:tabs>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账  号：</w:t>
      </w:r>
      <w:r>
        <w:rPr>
          <w:rFonts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账  号：</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tabs>
          <w:tab w:val="left" w:pos="7200"/>
          <w:tab w:val="left" w:pos="7380"/>
          <w:tab w:val="left" w:pos="7560"/>
        </w:tabs>
        <w:spacing w:line="360" w:lineRule="auto"/>
        <w:rPr>
          <w:rFonts w:ascii="宋体" w:hAnsi="宋体" w:eastAsia="宋体" w:cs="Times New Roman"/>
          <w:color w:val="auto"/>
          <w:sz w:val="32"/>
          <w:szCs w:val="32"/>
          <w:highlight w:val="none"/>
        </w:rPr>
      </w:pP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p>
    <w:p>
      <w:pPr>
        <w:widowControl/>
        <w:jc w:val="left"/>
        <w:rPr>
          <w:rFonts w:ascii="宋体" w:hAnsi="宋体" w:eastAsia="宋体" w:cs="Times New Roman"/>
          <w:b/>
          <w:bCs/>
          <w:color w:val="auto"/>
          <w:sz w:val="32"/>
          <w:szCs w:val="32"/>
          <w:highlight w:val="none"/>
        </w:rPr>
      </w:pPr>
      <w:r>
        <w:rPr>
          <w:rFonts w:ascii="宋体" w:hAnsi="宋体" w:eastAsia="宋体" w:cs="Times New Roman"/>
          <w:b/>
          <w:bCs/>
          <w:color w:val="auto"/>
          <w:sz w:val="32"/>
          <w:szCs w:val="32"/>
          <w:highlight w:val="none"/>
        </w:rPr>
        <w:br w:type="page"/>
      </w:r>
    </w:p>
    <w:p>
      <w:pPr>
        <w:spacing w:beforeLines="50" w:afterLines="50"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工程质量保修书（市政公用工程）</w:t>
      </w:r>
    </w:p>
    <w:p>
      <w:pPr>
        <w:spacing w:line="360" w:lineRule="auto"/>
        <w:ind w:firstLine="480" w:firstLineChars="200"/>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发包人（全称）：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承包人（全称）：</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pPr>
        <w:spacing w:line="360" w:lineRule="auto"/>
        <w:rPr>
          <w:rFonts w:ascii="宋体" w:hAnsi="宋体" w:eastAsia="宋体" w:cs="Times New Roman"/>
          <w:color w:val="auto"/>
          <w:sz w:val="24"/>
          <w:szCs w:val="24"/>
          <w:highlight w:val="none"/>
        </w:rPr>
      </w:pPr>
    </w:p>
    <w:p>
      <w:pPr>
        <w:spacing w:line="360" w:lineRule="auto"/>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发包人和承包人根据《中华人民共和国建筑法》和《建设工程质量管理条例》，经协商一致就</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（工程全称）签订工程质量保修书。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一、工程质量保修范围和内容</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承包人在质量保修期内，按照有关法律规定和合同约定，承担工程质量保修责任。</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质量保修范围包括</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，以及双方约定的其他项目。具体保修的内容，双方约定如下：</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二、质量保修期</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根据《建设工程质量管理条例》及有关规定，工程的质量保修期如下：</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1．桥梁工程为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年（建议桥梁隧道主体结构工程为设计文件规定的合理使用年限）；</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2．道路工程为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年（建议路基、路面、桥面为</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年）；</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3．排水（雨水）工程为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年（建议道路工程中的排水工程为</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年）；</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4．绿化工程为 </w:t>
      </w:r>
      <w:r>
        <w:rPr>
          <w:rFonts w:hint="eastAsia" w:ascii="宋体" w:hAnsi="宋体" w:eastAsia="宋体" w:cs="Times New Roman"/>
          <w:color w:val="auto"/>
          <w:sz w:val="24"/>
          <w:szCs w:val="24"/>
          <w:highlight w:val="none"/>
          <w:u w:val="single"/>
        </w:rPr>
        <w:t>单位工程竣工验收合格后    年</w:t>
      </w:r>
      <w:r>
        <w:rPr>
          <w:rFonts w:hint="eastAsia" w:ascii="宋体" w:hAnsi="宋体" w:eastAsia="宋体" w:cs="Times New Roman"/>
          <w:color w:val="auto"/>
          <w:sz w:val="24"/>
          <w:szCs w:val="24"/>
          <w:highlight w:val="none"/>
        </w:rPr>
        <w:t>；</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  地下防水工程为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年（建议为5年）；</w:t>
      </w:r>
    </w:p>
    <w:p>
      <w:pPr>
        <w:spacing w:line="360" w:lineRule="auto"/>
        <w:ind w:firstLine="42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6．其他附属工程为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其他项目保修期限约定如下：</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质量保修期自工程竣工验收合格之日起计算。</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三、缺陷责任期</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工程缺陷责任期为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个月</w:t>
      </w:r>
      <w:r>
        <w:rPr>
          <w:rFonts w:hint="eastAsia" w:ascii="宋体" w:hAnsi="宋体" w:eastAsia="宋体" w:cs="Times New Roman"/>
          <w:color w:val="auto"/>
          <w:sz w:val="24"/>
          <w:szCs w:val="24"/>
          <w:highlight w:val="none"/>
        </w:rPr>
        <w:t>（最长不超过24个月）</w:t>
      </w:r>
      <w:r>
        <w:rPr>
          <w:rFonts w:ascii="宋体" w:hAnsi="宋体" w:eastAsia="宋体" w:cs="Times New Roman"/>
          <w:color w:val="auto"/>
          <w:sz w:val="24"/>
          <w:szCs w:val="24"/>
          <w:highlight w:val="none"/>
        </w:rPr>
        <w:t>，缺陷责任期自工程竣工验收合格之日起计算。单位工程先于全部工程进行验收，单位工程缺陷责任期自单位工程验收合格之日起算。</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缺陷责任期终止后，发包人应退还剩余的质量保证金。</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四、质量保修责任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属于保修范围、内容的项目，承包人应当在接到保修通知之日起</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天内派人保修。承包人不在约定期限内派人保修的，发包人可以委托他人修理</w:t>
      </w:r>
      <w:r>
        <w:rPr>
          <w:rFonts w:hint="eastAsia" w:ascii="宋体" w:hAnsi="宋体" w:eastAsia="宋体" w:cs="Times New Roman"/>
          <w:color w:val="auto"/>
          <w:sz w:val="24"/>
          <w:szCs w:val="24"/>
          <w:highlight w:val="none"/>
        </w:rPr>
        <w:t>，修理费用从质量保修金内扣除</w:t>
      </w:r>
      <w:r>
        <w:rPr>
          <w:rFonts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发生紧急事故需抢修的，承包人在接到事故通知后，应当立即到达事故现场抢修。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质量保修完成后，由发包人组织验收。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五、保修费用</w:t>
      </w:r>
    </w:p>
    <w:p>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保修费用由造成质量缺陷的责任方承担。</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六、双方约定的其他工程质量保修事项：</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pPr>
        <w:spacing w:line="360" w:lineRule="auto"/>
        <w:ind w:firstLine="456" w:firstLineChars="19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工程质量保修书由发包人、承包人在工程竣工验收前共同签署，作为施工合同附件，其有效期限至保修期满。</w:t>
      </w:r>
    </w:p>
    <w:p>
      <w:pPr>
        <w:spacing w:line="360" w:lineRule="auto"/>
        <w:ind w:firstLine="420"/>
        <w:rPr>
          <w:rFonts w:ascii="宋体" w:hAnsi="宋体" w:eastAsia="宋体" w:cs="Times New Roman"/>
          <w:color w:val="auto"/>
          <w:sz w:val="24"/>
          <w:szCs w:val="24"/>
          <w:highlight w:val="none"/>
        </w:rPr>
      </w:pPr>
    </w:p>
    <w:p>
      <w:pPr>
        <w:spacing w:line="360" w:lineRule="auto"/>
        <w:ind w:firstLine="420"/>
        <w:rPr>
          <w:rFonts w:ascii="宋体" w:hAnsi="宋体" w:eastAsia="宋体" w:cs="Times New Roman"/>
          <w:color w:val="auto"/>
          <w:sz w:val="24"/>
          <w:szCs w:val="24"/>
          <w:highlight w:val="none"/>
        </w:rPr>
      </w:pP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发包人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公章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承包人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公章</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地  址：</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法定代表人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法定代表人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委托代理人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委托代理人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电  话：</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电  话：</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传  真：</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pPr>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开户银行：</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开户银行：</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tabs>
          <w:tab w:val="left" w:pos="2880"/>
          <w:tab w:val="left" w:pos="3060"/>
          <w:tab w:val="left" w:pos="4500"/>
        </w:tabs>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账  号：</w:t>
      </w:r>
      <w:r>
        <w:rPr>
          <w:rFonts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账  号：</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p>
    <w:p>
      <w:pPr>
        <w:tabs>
          <w:tab w:val="left" w:pos="7200"/>
          <w:tab w:val="left" w:pos="7380"/>
          <w:tab w:val="left" w:pos="7560"/>
        </w:tabs>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邮政编码：</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 xml:space="preserve"> </w:t>
      </w:r>
    </w:p>
    <w:p>
      <w:pPr>
        <w:keepNext/>
        <w:spacing w:line="560" w:lineRule="exact"/>
        <w:jc w:val="center"/>
        <w:outlineLvl w:val="0"/>
        <w:rPr>
          <w:rFonts w:ascii="方正隶书简体" w:hAnsi="宋体" w:eastAsia="方正隶书简体" w:cs="Times New Roman"/>
          <w:b/>
          <w:bCs/>
          <w:color w:val="auto"/>
          <w:sz w:val="36"/>
          <w:szCs w:val="36"/>
          <w:highlight w:val="none"/>
        </w:rPr>
      </w:pPr>
      <w:bookmarkStart w:id="1743" w:name="_Toc88065686"/>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center"/>
        <w:outlineLvl w:val="0"/>
        <w:rPr>
          <w:rFonts w:ascii="方正隶书简体" w:hAnsi="宋体" w:eastAsia="方正隶书简体" w:cs="Times New Roman"/>
          <w:b/>
          <w:bCs/>
          <w:color w:val="auto"/>
          <w:sz w:val="36"/>
          <w:szCs w:val="36"/>
          <w:highlight w:val="none"/>
        </w:rPr>
      </w:pPr>
    </w:p>
    <w:p>
      <w:pPr>
        <w:keepNext/>
        <w:spacing w:line="560" w:lineRule="exact"/>
        <w:jc w:val="left"/>
        <w:outlineLvl w:val="0"/>
        <w:rPr>
          <w:rFonts w:ascii="方正隶书简体" w:hAnsi="宋体" w:eastAsia="方正隶书简体" w:cs="Times New Roman"/>
          <w:b/>
          <w:bCs/>
          <w:color w:val="auto"/>
          <w:sz w:val="36"/>
          <w:szCs w:val="36"/>
          <w:highlight w:val="none"/>
        </w:rPr>
      </w:pPr>
    </w:p>
    <w:p>
      <w:pPr>
        <w:keepNext/>
        <w:spacing w:line="560" w:lineRule="exact"/>
        <w:outlineLvl w:val="0"/>
        <w:rPr>
          <w:rFonts w:ascii="方正隶书简体" w:hAnsi="宋体" w:eastAsia="方正隶书简体" w:cs="Times New Roman"/>
          <w:b/>
          <w:bCs/>
          <w:color w:val="auto"/>
          <w:sz w:val="36"/>
          <w:szCs w:val="36"/>
          <w:highlight w:val="none"/>
        </w:rPr>
      </w:pPr>
    </w:p>
    <w:p>
      <w:pPr>
        <w:keepNext/>
        <w:spacing w:line="560" w:lineRule="exact"/>
        <w:ind w:firstLine="2331" w:firstLineChars="645"/>
        <w:jc w:val="both"/>
        <w:outlineLvl w:val="0"/>
        <w:rPr>
          <w:rFonts w:ascii="方正隶书简体" w:hAnsi="宋体" w:eastAsia="方正隶书简体" w:cs="Times New Roman"/>
          <w:b/>
          <w:bCs/>
          <w:color w:val="auto"/>
          <w:sz w:val="36"/>
          <w:szCs w:val="36"/>
          <w:highlight w:val="none"/>
        </w:rPr>
      </w:pPr>
      <w:bookmarkStart w:id="1744" w:name="_Toc89333344"/>
      <w:r>
        <w:rPr>
          <w:rFonts w:hint="eastAsia" w:ascii="方正隶书简体" w:hAnsi="宋体" w:eastAsia="方正隶书简体" w:cs="Times New Roman"/>
          <w:b/>
          <w:bCs/>
          <w:color w:val="auto"/>
          <w:sz w:val="36"/>
          <w:szCs w:val="36"/>
          <w:highlight w:val="none"/>
        </w:rPr>
        <w:t>第六章   评标办法</w:t>
      </w:r>
      <w:bookmarkEnd w:id="1743"/>
      <w:bookmarkEnd w:id="1744"/>
    </w:p>
    <w:p>
      <w:pPr>
        <w:spacing w:line="360" w:lineRule="exact"/>
        <w:ind w:left="1320" w:hanging="1320" w:hangingChars="300"/>
        <w:rPr>
          <w:rFonts w:ascii="隶书" w:hAnsi="Times New Roman" w:eastAsia="隶书" w:cs="Times New Roman"/>
          <w:color w:val="auto"/>
          <w:sz w:val="44"/>
          <w:szCs w:val="24"/>
          <w:highlight w:val="none"/>
        </w:rPr>
      </w:pPr>
    </w:p>
    <w:p>
      <w:pPr>
        <w:spacing w:line="400" w:lineRule="exact"/>
        <w:jc w:val="center"/>
        <w:rPr>
          <w:rFonts w:ascii="宋体" w:hAnsi="宋体" w:eastAsia="宋体" w:cs="Times New Roman"/>
          <w:b/>
          <w:bCs/>
          <w:color w:val="auto"/>
          <w:sz w:val="28"/>
          <w:szCs w:val="21"/>
          <w:highlight w:val="none"/>
        </w:rPr>
      </w:pPr>
      <w:r>
        <w:rPr>
          <w:rFonts w:ascii="宋体" w:hAnsi="Courier New" w:eastAsia="宋体" w:cs="Times New Roman"/>
          <w:color w:val="auto"/>
          <w:szCs w:val="21"/>
          <w:highlight w:val="none"/>
        </w:rPr>
        <w:br w:type="page"/>
      </w:r>
      <w:r>
        <w:rPr>
          <w:rFonts w:ascii="宋体" w:hAnsi="宋体" w:eastAsia="宋体" w:cs="Times New Roman"/>
          <w:b/>
          <w:bCs/>
          <w:color w:val="auto"/>
          <w:sz w:val="28"/>
          <w:szCs w:val="21"/>
          <w:highlight w:val="none"/>
        </w:rPr>
        <w:t>评标办法和成交标准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一、评标原则</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(一）磋商小组构成：本项目的磋商小组由采购人代表和有关技术、经济等方面的专家组成。成员人数应当为三人以上（含三人）单数。其中，技术、经济等方面的专家不得少于成员总数的三分之二。</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(二）评审依据：磋商小组将以竞争性磋商文件和响应文件、最终报价为评定依据进行评审，对供应商的报价、技术、信誉业绩等内容按百分制打分。</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二、评审办法</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pPr>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(二)计分办法（按四舍五入取至小数点后二位）。</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1、价格分…………………………………………………………………………30分 </w:t>
      </w:r>
    </w:p>
    <w:p>
      <w:pPr>
        <w:spacing w:line="360" w:lineRule="auto"/>
        <w:ind w:firstLine="48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(1)以进入详评的且最后报价最低的供应商的价格为磋商基准价，其价格分为30分。</w:t>
      </w:r>
    </w:p>
    <w:p>
      <w:pPr>
        <w:spacing w:line="360" w:lineRule="auto"/>
        <w:ind w:firstLine="48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(2)磋商报价得分=(磋商基准价/最后磋商报价)x30分。</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2、技术分…………………………………………………………………………60分 </w:t>
      </w:r>
    </w:p>
    <w:tbl>
      <w:tblPr>
        <w:tblStyle w:val="47"/>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63"/>
        <w:gridCol w:w="1684"/>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1" w:type="dxa"/>
            <w:vMerge w:val="restart"/>
            <w:vAlign w:val="center"/>
          </w:tcPr>
          <w:p>
            <w:pPr>
              <w:spacing w:line="37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技术标评分标准（60分）</w:t>
            </w:r>
          </w:p>
        </w:tc>
        <w:tc>
          <w:tcPr>
            <w:tcW w:w="1163" w:type="dxa"/>
            <w:vMerge w:val="restart"/>
            <w:vAlign w:val="center"/>
          </w:tcPr>
          <w:p>
            <w:pPr>
              <w:spacing w:line="37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施工组织设计（60分）</w:t>
            </w:r>
          </w:p>
        </w:tc>
        <w:tc>
          <w:tcPr>
            <w:tcW w:w="1684" w:type="dxa"/>
            <w:vAlign w:val="center"/>
          </w:tcPr>
          <w:p>
            <w:pPr>
              <w:spacing w:line="37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主要施工方法</w:t>
            </w:r>
          </w:p>
          <w:p>
            <w:pPr>
              <w:spacing w:line="37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（8分）</w:t>
            </w:r>
          </w:p>
        </w:tc>
        <w:tc>
          <w:tcPr>
            <w:tcW w:w="4986" w:type="dxa"/>
            <w:vAlign w:val="center"/>
          </w:tcPr>
          <w:p>
            <w:pPr>
              <w:snapToGrid w:val="0"/>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优（8分）：</w:t>
            </w:r>
            <w:r>
              <w:rPr>
                <w:rFonts w:hint="eastAsia" w:ascii="宋体" w:hAnsi="宋体" w:eastAsia="宋体" w:cs="宋体"/>
                <w:color w:val="auto"/>
                <w:sz w:val="24"/>
                <w:szCs w:val="24"/>
                <w:highlight w:val="none"/>
              </w:rPr>
              <w:t xml:space="preserve">各主要分部施工方法正确完整，完全符合项目实际，有详尽的施工技术方案，工艺先进、方法科学合理、完全可行，完全能指导具体施工并确保安全。 </w:t>
            </w:r>
          </w:p>
          <w:p>
            <w:pPr>
              <w:snapToGrid w:val="0"/>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良（5分）：</w:t>
            </w:r>
            <w:r>
              <w:rPr>
                <w:rFonts w:hint="eastAsia" w:ascii="宋体" w:hAnsi="宋体" w:eastAsia="宋体" w:cs="宋体"/>
                <w:color w:val="auto"/>
                <w:sz w:val="24"/>
                <w:szCs w:val="24"/>
                <w:highlight w:val="none"/>
              </w:rPr>
              <w:t xml:space="preserve">各主要分部施工方法较完整，较符合项目实际，施工技术方案较详细，工艺、方法较合理可行，能指导具体施工并确保安全。 </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中（3分）：</w:t>
            </w:r>
            <w:r>
              <w:rPr>
                <w:rFonts w:hint="eastAsia" w:ascii="宋体" w:hAnsi="宋体" w:eastAsia="宋体" w:cs="宋体"/>
                <w:color w:val="auto"/>
                <w:sz w:val="24"/>
                <w:szCs w:val="24"/>
                <w:highlight w:val="none"/>
              </w:rPr>
              <w:t>各主要分部施工方法不完整，不符合项目实际，没有详尽的施工技术方案，工艺、方法不合理，不能指导具体施工确保安全。</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差（0分）：</w:t>
            </w:r>
            <w:r>
              <w:rPr>
                <w:rFonts w:hint="eastAsia" w:ascii="宋体" w:hAnsi="宋体" w:eastAsia="宋体" w:cs="宋体"/>
                <w:color w:val="auto"/>
                <w:sz w:val="24"/>
                <w:szCs w:val="24"/>
                <w:highlight w:val="none"/>
              </w:rPr>
              <w:t>不提供主要施工方法。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拟投入的主要物资计划</w:t>
            </w:r>
          </w:p>
          <w:p>
            <w:pPr>
              <w:spacing w:line="37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（8分）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优（8分）：</w:t>
            </w:r>
            <w:r>
              <w:rPr>
                <w:rFonts w:hint="eastAsia" w:ascii="宋体" w:hAnsi="宋体" w:eastAsia="宋体" w:cs="宋体"/>
                <w:bCs/>
                <w:color w:val="auto"/>
                <w:sz w:val="24"/>
                <w:szCs w:val="24"/>
                <w:highlight w:val="none"/>
              </w:rPr>
              <w:t>投入的施工材料有详细的组织计划且计划周密，数量、选型配置、进场时间符合项目实际，安排合理，完全满足施工需要。</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良（5分）：</w:t>
            </w:r>
            <w:r>
              <w:rPr>
                <w:rFonts w:hint="eastAsia" w:ascii="宋体" w:hAnsi="宋体" w:eastAsia="宋体" w:cs="宋体"/>
                <w:bCs/>
                <w:color w:val="auto"/>
                <w:sz w:val="24"/>
                <w:szCs w:val="24"/>
                <w:highlight w:val="none"/>
              </w:rPr>
              <w:t xml:space="preserve"> 投入的施工材料有较详细的组织计划且计划 周密，数量、选型配置、进场时间较符合项目实际，安排基本合理，能满足施工需要。 </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中（3分）：</w:t>
            </w:r>
            <w:r>
              <w:rPr>
                <w:rFonts w:hint="eastAsia" w:ascii="宋体" w:hAnsi="宋体" w:eastAsia="宋体" w:cs="宋体"/>
                <w:bCs/>
                <w:color w:val="auto"/>
                <w:sz w:val="24"/>
                <w:szCs w:val="24"/>
                <w:highlight w:val="none"/>
              </w:rPr>
              <w:t>投入的施工材料及组织计划很简单或明显不符合项目实际，数量、选型配置、进场时间安排不合理，不能满足施工需要。</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差（0分）：</w:t>
            </w:r>
            <w:r>
              <w:rPr>
                <w:rFonts w:hint="eastAsia" w:ascii="宋体" w:hAnsi="宋体" w:eastAsia="宋体" w:cs="宋体"/>
                <w:color w:val="auto"/>
                <w:sz w:val="24"/>
                <w:szCs w:val="24"/>
                <w:highlight w:val="none"/>
              </w:rPr>
              <w:t>不提供拟投入的主要物资计划。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拟投入的主要施工机械、设备计划</w:t>
            </w:r>
            <w:r>
              <w:rPr>
                <w:rFonts w:hint="eastAsia" w:ascii="宋体" w:hAnsi="宋体" w:eastAsia="宋体" w:cs="宋体"/>
                <w:b/>
                <w:color w:val="auto"/>
                <w:sz w:val="24"/>
                <w:szCs w:val="24"/>
                <w:highlight w:val="none"/>
              </w:rPr>
              <w:t>（8分）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优（8分）：</w:t>
            </w:r>
            <w:r>
              <w:rPr>
                <w:rFonts w:hint="eastAsia" w:ascii="宋体" w:hAnsi="宋体" w:eastAsia="宋体" w:cs="宋体"/>
                <w:bCs/>
                <w:color w:val="auto"/>
                <w:sz w:val="24"/>
                <w:szCs w:val="24"/>
                <w:highlight w:val="none"/>
              </w:rPr>
              <w:t xml:space="preserve">投入的施工机械、设备、机具有详细的组织计划且计划周密，完全符合项目实际需求，设备数量、选型配置、进场时间安排很合理，完全满足施工需要。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良（5分）：</w:t>
            </w:r>
            <w:r>
              <w:rPr>
                <w:rFonts w:hint="eastAsia" w:ascii="宋体" w:hAnsi="宋体" w:eastAsia="宋体" w:cs="宋体"/>
                <w:bCs/>
                <w:color w:val="auto"/>
                <w:sz w:val="24"/>
                <w:szCs w:val="24"/>
                <w:highlight w:val="none"/>
              </w:rPr>
              <w:t xml:space="preserve">投入的施工机械、设备、机具有较详细的组织计划且计划周密，较符合项目需求，设备数量、选型配置、进场时间安排较合理，能满足施工需要。 </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中（3分）：</w:t>
            </w:r>
            <w:r>
              <w:rPr>
                <w:rFonts w:hint="eastAsia" w:ascii="宋体" w:hAnsi="宋体" w:eastAsia="宋体" w:cs="宋体"/>
                <w:bCs/>
                <w:color w:val="auto"/>
                <w:sz w:val="24"/>
                <w:szCs w:val="24"/>
                <w:highlight w:val="none"/>
              </w:rPr>
              <w:t>投入的施工机械、设备、机具简单，明显不符合项目需求，设备数量、选型配置、进场时间安排不合理，不能满足施工需要。</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差（0分）：</w:t>
            </w:r>
            <w:r>
              <w:rPr>
                <w:rFonts w:hint="eastAsia" w:ascii="宋体" w:hAnsi="宋体" w:eastAsia="宋体" w:cs="宋体"/>
                <w:color w:val="auto"/>
                <w:sz w:val="24"/>
                <w:szCs w:val="24"/>
                <w:highlight w:val="none"/>
              </w:rPr>
              <w:t>不提供拟投入的主要施工机械、设备计划。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vAlign w:val="center"/>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劳动力安排计划</w:t>
            </w:r>
            <w:r>
              <w:rPr>
                <w:rFonts w:hint="eastAsia" w:ascii="宋体" w:hAnsi="宋体" w:eastAsia="宋体" w:cs="宋体"/>
                <w:b/>
                <w:color w:val="auto"/>
                <w:sz w:val="24"/>
                <w:szCs w:val="24"/>
                <w:highlight w:val="none"/>
              </w:rPr>
              <w:t>（6分）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优（6分）：</w:t>
            </w:r>
            <w:r>
              <w:rPr>
                <w:rFonts w:hint="eastAsia" w:ascii="宋体" w:hAnsi="宋体" w:eastAsia="宋体" w:cs="宋体"/>
                <w:bCs/>
                <w:color w:val="auto"/>
                <w:sz w:val="24"/>
                <w:szCs w:val="24"/>
                <w:highlight w:val="none"/>
              </w:rPr>
              <w:t xml:space="preserve">各主要施工工序有详细周密的劳动力安排计划和有各工种劳动力安排计划，劳动力投入完全合理，完全满足施工需要。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良（4分）：</w:t>
            </w:r>
            <w:r>
              <w:rPr>
                <w:rFonts w:hint="eastAsia" w:ascii="宋体" w:hAnsi="宋体" w:eastAsia="宋体" w:cs="宋体"/>
                <w:bCs/>
                <w:color w:val="auto"/>
                <w:sz w:val="24"/>
                <w:szCs w:val="24"/>
                <w:highlight w:val="none"/>
              </w:rPr>
              <w:t>各主要施工工序有较详细的劳动力安排计划和各工种劳动力安排计划，劳动力投入较合理，能满足施工需要。</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中（2分）：</w:t>
            </w:r>
            <w:r>
              <w:rPr>
                <w:rFonts w:hint="eastAsia" w:ascii="宋体" w:hAnsi="宋体" w:eastAsia="宋体" w:cs="宋体"/>
                <w:bCs/>
                <w:color w:val="auto"/>
                <w:sz w:val="24"/>
                <w:szCs w:val="24"/>
                <w:highlight w:val="none"/>
              </w:rPr>
              <w:t>各主要施工工序和各工种劳动力安排计划简单或不清晰，劳动力投入明显不合理，不能满足施工需要。</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差（0分）：</w:t>
            </w:r>
            <w:r>
              <w:rPr>
                <w:rFonts w:hint="eastAsia" w:ascii="宋体" w:hAnsi="宋体" w:eastAsia="宋体" w:cs="宋体"/>
                <w:color w:val="auto"/>
                <w:sz w:val="24"/>
                <w:szCs w:val="24"/>
                <w:highlight w:val="none"/>
              </w:rPr>
              <w:t>不提供劳动力安排计划。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vAlign w:val="center"/>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确保工程质量的技术组织措施</w:t>
            </w:r>
          </w:p>
          <w:p>
            <w:pPr>
              <w:spacing w:line="37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优（6分）：</w:t>
            </w:r>
            <w:r>
              <w:rPr>
                <w:rFonts w:hint="eastAsia" w:ascii="宋体" w:hAnsi="宋体" w:eastAsia="宋体" w:cs="宋体"/>
                <w:bCs/>
                <w:color w:val="auto"/>
                <w:sz w:val="24"/>
                <w:szCs w:val="24"/>
                <w:highlight w:val="none"/>
              </w:rPr>
              <w:t xml:space="preserve">有专门的质量技术管理班子和制度，且人员配备合理，制度健全；主要工序质量技术保证措施和手段科学合理，自控体系完整，能有效保证技术质量，并能达到承诺的质量标准。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良（4分）：</w:t>
            </w:r>
            <w:r>
              <w:rPr>
                <w:rFonts w:hint="eastAsia" w:ascii="宋体" w:hAnsi="宋体" w:eastAsia="宋体" w:cs="宋体"/>
                <w:bCs/>
                <w:color w:val="auto"/>
                <w:sz w:val="24"/>
                <w:szCs w:val="24"/>
                <w:highlight w:val="none"/>
              </w:rPr>
              <w:t>有一定的质量管理制度且制度健全；主要工序的质量技术保证措施和手段较好，自控体系较好，能保证技术质量达到承诺的质量标准。</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中（2分）：</w:t>
            </w:r>
            <w:r>
              <w:rPr>
                <w:rFonts w:hint="eastAsia" w:ascii="宋体" w:hAnsi="宋体" w:eastAsia="宋体" w:cs="宋体"/>
                <w:bCs/>
                <w:color w:val="auto"/>
                <w:sz w:val="24"/>
                <w:szCs w:val="24"/>
                <w:highlight w:val="none"/>
              </w:rPr>
              <w:t>质量管理制度不完整；主要工序的质量技术保证措施和手段不合理，有简单的自控体系或没有自控体系，不能有效保证技术质量和质量标准。</w:t>
            </w:r>
          </w:p>
          <w:p>
            <w:pPr>
              <w:spacing w:line="370" w:lineRule="exac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差（0分）：</w:t>
            </w:r>
            <w:r>
              <w:rPr>
                <w:rFonts w:hint="eastAsia" w:ascii="宋体" w:hAnsi="宋体" w:eastAsia="宋体" w:cs="宋体"/>
                <w:bCs/>
                <w:color w:val="auto"/>
                <w:sz w:val="24"/>
                <w:szCs w:val="24"/>
                <w:highlight w:val="none"/>
              </w:rPr>
              <w:t>不提供</w:t>
            </w:r>
            <w:r>
              <w:rPr>
                <w:rFonts w:hint="eastAsia" w:ascii="宋体" w:hAnsi="宋体" w:eastAsia="宋体" w:cs="宋体"/>
                <w:color w:val="auto"/>
                <w:sz w:val="24"/>
                <w:szCs w:val="24"/>
                <w:highlight w:val="none"/>
              </w:rPr>
              <w:t>确保工程质量的技术组织措施。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vAlign w:val="center"/>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确保安全生产的技术组织措施</w:t>
            </w:r>
            <w:r>
              <w:rPr>
                <w:rFonts w:hint="eastAsia" w:ascii="宋体" w:hAnsi="宋体" w:eastAsia="宋体" w:cs="宋体"/>
                <w:b/>
                <w:color w:val="auto"/>
                <w:sz w:val="24"/>
                <w:szCs w:val="24"/>
                <w:highlight w:val="none"/>
              </w:rPr>
              <w:t>（8分）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优（8分）：</w:t>
            </w:r>
            <w:r>
              <w:rPr>
                <w:rFonts w:hint="eastAsia" w:ascii="宋体" w:hAnsi="宋体" w:eastAsia="宋体" w:cs="宋体"/>
                <w:bCs/>
                <w:color w:val="auto"/>
                <w:sz w:val="24"/>
                <w:szCs w:val="24"/>
                <w:highlight w:val="none"/>
              </w:rPr>
              <w:t xml:space="preserve">有专门的安全管理人员和制度，且人员配备合理，制度健全，各道工序安全技术措施针对性强，完全符合实际且能满足有关安全技术标准要求。现场防火、应急救援、社会治安等安全措施得力。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良（5分）：</w:t>
            </w:r>
            <w:r>
              <w:rPr>
                <w:rFonts w:hint="eastAsia" w:ascii="宋体" w:hAnsi="宋体" w:eastAsia="宋体" w:cs="宋体"/>
                <w:bCs/>
                <w:color w:val="auto"/>
                <w:sz w:val="24"/>
                <w:szCs w:val="24"/>
                <w:highlight w:val="none"/>
              </w:rPr>
              <w:t>有安全管理制度且制度健全，安全管理人员配备较合理，各道工序安全技术措施针对性较符合实际，能满足有关安全技术标准要求。有各种现场安全措施。</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中（3分）：</w:t>
            </w:r>
            <w:r>
              <w:rPr>
                <w:rFonts w:hint="eastAsia" w:ascii="宋体" w:hAnsi="宋体" w:eastAsia="宋体" w:cs="宋体"/>
                <w:bCs/>
                <w:color w:val="auto"/>
                <w:sz w:val="24"/>
                <w:szCs w:val="24"/>
                <w:highlight w:val="none"/>
              </w:rPr>
              <w:t>安全管理制度简单不健全，安全管理人员配备不合理，各道工序安全技术措施不适应实际需求，不能满足有关安全技术标准要求。没有现场安全措施或者不全。</w:t>
            </w:r>
          </w:p>
          <w:p>
            <w:pPr>
              <w:spacing w:line="370" w:lineRule="exac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差（0分）：</w:t>
            </w:r>
            <w:r>
              <w:rPr>
                <w:rFonts w:hint="eastAsia" w:ascii="宋体" w:hAnsi="宋体" w:eastAsia="宋体" w:cs="宋体"/>
                <w:bCs/>
                <w:color w:val="auto"/>
                <w:sz w:val="24"/>
                <w:szCs w:val="24"/>
                <w:highlight w:val="none"/>
              </w:rPr>
              <w:t>不提供</w:t>
            </w:r>
            <w:r>
              <w:rPr>
                <w:rFonts w:hint="eastAsia" w:ascii="宋体" w:hAnsi="宋体" w:eastAsia="宋体" w:cs="宋体"/>
                <w:color w:val="auto"/>
                <w:sz w:val="24"/>
                <w:szCs w:val="24"/>
                <w:highlight w:val="none"/>
              </w:rPr>
              <w:t>确保安全生产的技术组织措施。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vAlign w:val="center"/>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确保工期的技术组织措施</w:t>
            </w:r>
            <w:r>
              <w:rPr>
                <w:rFonts w:hint="eastAsia" w:ascii="宋体" w:hAnsi="宋体" w:eastAsia="宋体" w:cs="宋体"/>
                <w:b/>
                <w:color w:val="auto"/>
                <w:sz w:val="24"/>
                <w:szCs w:val="24"/>
                <w:highlight w:val="none"/>
              </w:rPr>
              <w:t>（8分）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优（8分）：</w:t>
            </w:r>
            <w:r>
              <w:rPr>
                <w:rFonts w:hint="eastAsia" w:ascii="宋体" w:hAnsi="宋体" w:eastAsia="宋体" w:cs="宋体"/>
                <w:bCs/>
                <w:color w:val="auto"/>
                <w:sz w:val="24"/>
                <w:szCs w:val="24"/>
                <w:highlight w:val="none"/>
              </w:rPr>
              <w:t xml:space="preserve">在施工工艺、施工方法、材料 选用、劳动力安排、技术等方面有保证工期的 具体措施且措施得当。有控制工期的施工进度的具体计划。有施工总进度表或施工网络图，各项计划图表编制完善，安排科学合理，完全符合本项目施工实际要求。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良（5分）：</w:t>
            </w:r>
            <w:r>
              <w:rPr>
                <w:rFonts w:hint="eastAsia" w:ascii="宋体" w:hAnsi="宋体" w:eastAsia="宋体" w:cs="宋体"/>
                <w:bCs/>
                <w:color w:val="auto"/>
                <w:sz w:val="24"/>
                <w:szCs w:val="24"/>
                <w:highlight w:val="none"/>
              </w:rPr>
              <w:t xml:space="preserve">在施工工艺、施工方法、材料选用、劳动力安排、技术等方面有较好的保证工期的具体措施。有控制工期的施工进度计划。有施工总进度表或施工网络图，安排较合理，符合本项目施工实际要求。 </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中（3分）：</w:t>
            </w:r>
            <w:r>
              <w:rPr>
                <w:rFonts w:hint="eastAsia" w:ascii="宋体" w:hAnsi="宋体" w:eastAsia="宋体" w:cs="宋体"/>
                <w:bCs/>
                <w:color w:val="auto"/>
                <w:sz w:val="24"/>
                <w:szCs w:val="24"/>
                <w:highlight w:val="none"/>
              </w:rPr>
              <w:t>在施工工艺、施工方法、材料选用、劳动力安排、技术等方面有基本的保证工期的无具体措施。保证工期的措施简单。施工进度计划简单，明显不符合本项目施工实际要求。</w:t>
            </w:r>
          </w:p>
          <w:p>
            <w:pPr>
              <w:spacing w:line="37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差（0分）：</w:t>
            </w:r>
            <w:r>
              <w:rPr>
                <w:rFonts w:hint="eastAsia" w:ascii="宋体" w:hAnsi="宋体" w:eastAsia="宋体" w:cs="宋体"/>
                <w:color w:val="auto"/>
                <w:sz w:val="24"/>
                <w:szCs w:val="24"/>
                <w:highlight w:val="none"/>
              </w:rPr>
              <w:t>不提供确保工期的技术组织措施。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81" w:type="dxa"/>
            <w:vMerge w:val="continue"/>
            <w:vAlign w:val="center"/>
          </w:tcPr>
          <w:p>
            <w:pPr>
              <w:spacing w:line="370" w:lineRule="exact"/>
              <w:jc w:val="center"/>
              <w:rPr>
                <w:rFonts w:ascii="宋体" w:hAnsi="宋体" w:eastAsia="宋体" w:cs="宋体"/>
                <w:color w:val="auto"/>
                <w:sz w:val="24"/>
                <w:szCs w:val="24"/>
                <w:highlight w:val="none"/>
              </w:rPr>
            </w:pPr>
          </w:p>
        </w:tc>
        <w:tc>
          <w:tcPr>
            <w:tcW w:w="1163" w:type="dxa"/>
            <w:vMerge w:val="continue"/>
            <w:vAlign w:val="center"/>
          </w:tcPr>
          <w:p>
            <w:pPr>
              <w:spacing w:line="370" w:lineRule="exact"/>
              <w:jc w:val="center"/>
              <w:rPr>
                <w:rFonts w:ascii="宋体" w:hAnsi="宋体" w:eastAsia="宋体" w:cs="宋体"/>
                <w:color w:val="auto"/>
                <w:sz w:val="24"/>
                <w:szCs w:val="24"/>
                <w:highlight w:val="none"/>
              </w:rPr>
            </w:pPr>
          </w:p>
        </w:tc>
        <w:tc>
          <w:tcPr>
            <w:tcW w:w="1684" w:type="dxa"/>
            <w:vAlign w:val="center"/>
          </w:tcPr>
          <w:p>
            <w:pPr>
              <w:spacing w:line="37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确保文明施工的技术组织措施</w:t>
            </w:r>
            <w:r>
              <w:rPr>
                <w:rFonts w:hint="eastAsia" w:ascii="宋体" w:hAnsi="宋体" w:eastAsia="宋体" w:cs="宋体"/>
                <w:b/>
                <w:color w:val="auto"/>
                <w:sz w:val="24"/>
                <w:szCs w:val="24"/>
                <w:highlight w:val="none"/>
              </w:rPr>
              <w:t>（8分）</w:t>
            </w:r>
          </w:p>
        </w:tc>
        <w:tc>
          <w:tcPr>
            <w:tcW w:w="4986" w:type="dxa"/>
            <w:vAlign w:val="center"/>
          </w:tcPr>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优（8分）：</w:t>
            </w:r>
            <w:r>
              <w:rPr>
                <w:rFonts w:hint="eastAsia" w:ascii="宋体" w:hAnsi="宋体" w:eastAsia="宋体" w:cs="宋体"/>
                <w:bCs/>
                <w:color w:val="auto"/>
                <w:sz w:val="24"/>
                <w:szCs w:val="24"/>
                <w:highlight w:val="none"/>
              </w:rPr>
              <w:t xml:space="preserve">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widowControl/>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良（5分）：</w:t>
            </w:r>
            <w:r>
              <w:rPr>
                <w:rFonts w:hint="eastAsia" w:ascii="宋体" w:hAnsi="宋体" w:eastAsia="宋体" w:cs="宋体"/>
                <w:bCs/>
                <w:color w:val="auto"/>
                <w:sz w:val="24"/>
                <w:szCs w:val="24"/>
                <w:highlight w:val="none"/>
              </w:rPr>
              <w:t xml:space="preserve">有较详细的现场文明施工、环境保护措施，措施内容达到《建筑施工安全生产检查标准》（JGJ59-2011）合格标准并符合《广西壮族自治区建筑工程文明施工导则》要求。各项措施较好。有具体实现现场文明施工目标的承诺。 </w:t>
            </w:r>
          </w:p>
          <w:p>
            <w:pPr>
              <w:spacing w:line="370" w:lineRule="exact"/>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中（3分）：</w:t>
            </w:r>
            <w:r>
              <w:rPr>
                <w:rFonts w:hint="eastAsia" w:ascii="宋体" w:hAnsi="宋体" w:eastAsia="宋体" w:cs="宋体"/>
                <w:bCs/>
                <w:color w:val="auto"/>
                <w:sz w:val="24"/>
                <w:szCs w:val="24"/>
                <w:highlight w:val="none"/>
              </w:rPr>
              <w:t>现场文明施工、环境保护措施简单或不全，措施内容基本达到《建筑施工安全生产检查标准》（JGJ59-2011）合格标准。各项措施不合理。无具体实现现场文明施工目标的承诺。</w:t>
            </w:r>
          </w:p>
          <w:p>
            <w:pPr>
              <w:spacing w:line="370" w:lineRule="exac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差(0分)：</w:t>
            </w:r>
            <w:r>
              <w:rPr>
                <w:rFonts w:hint="eastAsia" w:ascii="宋体" w:hAnsi="宋体" w:eastAsia="宋体" w:cs="宋体"/>
                <w:bCs/>
                <w:color w:val="auto"/>
                <w:sz w:val="24"/>
                <w:szCs w:val="24"/>
                <w:highlight w:val="none"/>
              </w:rPr>
              <w:t>不提供</w:t>
            </w:r>
            <w:r>
              <w:rPr>
                <w:rFonts w:hint="eastAsia" w:ascii="宋体" w:hAnsi="宋体" w:eastAsia="宋体" w:cs="宋体"/>
                <w:color w:val="auto"/>
                <w:sz w:val="24"/>
                <w:szCs w:val="24"/>
                <w:highlight w:val="none"/>
              </w:rPr>
              <w:t>确保文明施工的技术组织措施。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344" w:type="dxa"/>
            <w:gridSpan w:val="2"/>
            <w:vAlign w:val="center"/>
          </w:tcPr>
          <w:p>
            <w:pPr>
              <w:spacing w:line="370" w:lineRule="exact"/>
              <w:jc w:val="center"/>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业绩分</w:t>
            </w:r>
            <w:r>
              <w:rPr>
                <w:rFonts w:hint="eastAsia" w:ascii="宋体" w:hAnsi="宋体" w:eastAsia="宋体" w:cs="宋体"/>
                <w:b/>
                <w:bCs/>
                <w:color w:val="auto"/>
                <w:sz w:val="24"/>
                <w:szCs w:val="24"/>
                <w:highlight w:val="none"/>
              </w:rPr>
              <w:t>（满分10分）</w:t>
            </w:r>
          </w:p>
        </w:tc>
        <w:tc>
          <w:tcPr>
            <w:tcW w:w="6670" w:type="dxa"/>
            <w:gridSpan w:val="2"/>
          </w:tcPr>
          <w:p>
            <w:pPr>
              <w:spacing w:line="370" w:lineRule="exact"/>
              <w:rPr>
                <w:rFonts w:hAnsi="宋体"/>
                <w:color w:val="auto"/>
                <w:szCs w:val="24"/>
                <w:highlight w:val="none"/>
              </w:rPr>
            </w:pPr>
            <w:r>
              <w:rPr>
                <w:rFonts w:hint="eastAsia" w:ascii="宋体" w:hAnsi="宋体" w:eastAsia="宋体" w:cs="宋体"/>
                <w:color w:val="auto"/>
                <w:sz w:val="24"/>
                <w:szCs w:val="24"/>
                <w:highlight w:val="none"/>
              </w:rPr>
              <w:t>投标单位20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年1月1日以来完成过质量合格的</w:t>
            </w:r>
            <w:r>
              <w:rPr>
                <w:rFonts w:hint="eastAsia" w:ascii="宋体" w:hAnsi="宋体" w:eastAsia="宋体" w:cs="宋体"/>
                <w:color w:val="auto"/>
                <w:sz w:val="24"/>
                <w:szCs w:val="24"/>
                <w:highlight w:val="none"/>
                <w:lang w:eastAsia="zh-CN"/>
              </w:rPr>
              <w:t>市政工程</w:t>
            </w:r>
            <w:r>
              <w:rPr>
                <w:rFonts w:hint="eastAsia" w:ascii="宋体" w:hAnsi="宋体" w:eastAsia="宋体" w:cs="宋体"/>
                <w:color w:val="auto"/>
                <w:sz w:val="24"/>
                <w:szCs w:val="24"/>
                <w:highlight w:val="none"/>
              </w:rPr>
              <w:t xml:space="preserve">业绩，每个业绩得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 满分 10分（以中标（成交）通知书复印件或施工合同、竣工验收复印件为准）。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14" w:type="dxa"/>
            <w:gridSpan w:val="4"/>
            <w:vAlign w:val="center"/>
          </w:tcPr>
          <w:p>
            <w:pPr>
              <w:spacing w:line="37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供应商汇总得分=报价得分+技术标得分+</w:t>
            </w:r>
            <w:r>
              <w:rPr>
                <w:rFonts w:hint="eastAsia" w:ascii="宋体" w:hAnsi="宋体" w:eastAsia="宋体" w:cs="宋体"/>
                <w:b/>
                <w:bCs/>
                <w:color w:val="auto"/>
                <w:sz w:val="24"/>
                <w:szCs w:val="24"/>
                <w:highlight w:val="none"/>
                <w:lang w:eastAsia="zh-CN"/>
              </w:rPr>
              <w:t>业绩</w:t>
            </w:r>
            <w:r>
              <w:rPr>
                <w:rFonts w:hint="eastAsia" w:ascii="宋体" w:hAnsi="宋体" w:eastAsia="宋体" w:cs="宋体"/>
                <w:b/>
                <w:color w:val="auto"/>
                <w:sz w:val="24"/>
                <w:szCs w:val="24"/>
                <w:highlight w:val="none"/>
              </w:rPr>
              <w:t>得分</w:t>
            </w:r>
          </w:p>
        </w:tc>
      </w:tr>
    </w:tbl>
    <w:p>
      <w:pPr>
        <w:spacing w:beforeLines="50" w:line="4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三、推荐成交候选人</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磋商小组应当从通过资格性审查和符合性审查、质量和服务均能满足竞争性磋商文件全部实质性响应要求的供应商中推荐成交候选人。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（1）磋商小组根据评审结果按评审得分由高到低顺序</w:t>
      </w:r>
      <w:r>
        <w:rPr>
          <w:rFonts w:hint="eastAsia" w:ascii="宋体" w:hAnsi="宋体" w:eastAsia="宋体" w:cs="宋体"/>
          <w:color w:val="auto"/>
          <w:sz w:val="24"/>
          <w:szCs w:val="24"/>
          <w:highlight w:val="none"/>
          <w:lang w:val="en-US" w:eastAsia="zh-CN"/>
        </w:rPr>
        <w:t>推荐3名</w:t>
      </w:r>
      <w:r>
        <w:rPr>
          <w:rFonts w:hint="eastAsia" w:ascii="宋体" w:hAnsi="宋体" w:eastAsia="宋体" w:cs="宋体"/>
          <w:color w:val="auto"/>
          <w:sz w:val="24"/>
          <w:szCs w:val="24"/>
          <w:highlight w:val="none"/>
        </w:rPr>
        <w:t>成交候选人</w:t>
      </w:r>
      <w:r>
        <w:rPr>
          <w:rFonts w:hint="eastAsia" w:ascii="宋体" w:hAnsi="宋体" w:eastAsia="宋体" w:cs="宋体"/>
          <w:color w:val="auto"/>
          <w:sz w:val="24"/>
          <w:szCs w:val="24"/>
          <w:highlight w:val="none"/>
          <w:lang w:val="en-US" w:eastAsia="zh-CN"/>
        </w:rPr>
        <w:t>，并编写评审报告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得分相同</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按照最后报价由低到高的</w:t>
      </w:r>
      <w:r>
        <w:rPr>
          <w:rFonts w:hint="eastAsia" w:ascii="宋体" w:hAnsi="宋体" w:eastAsia="宋体" w:cs="宋体"/>
          <w:color w:val="auto"/>
          <w:sz w:val="24"/>
          <w:szCs w:val="24"/>
          <w:highlight w:val="none"/>
          <w:lang w:val="en-US" w:eastAsia="zh-CN"/>
        </w:rPr>
        <w:t>顺序推荐。评审得分且最后报价相同时按照技术指标优劣顺序推荐（按技术得分由高到低排序）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最后报价、技术得分均相同的，由磋商小组随机抽取推荐。</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人为成交人。排名第一的成交候选人放弃成交、因不可抗力提出不能履行合同，或者招标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pStyle w:val="2"/>
        <w:jc w:val="center"/>
        <w:rPr>
          <w:color w:val="auto"/>
          <w:sz w:val="44"/>
          <w:szCs w:val="44"/>
          <w:highlight w:val="none"/>
        </w:rPr>
      </w:pPr>
      <w:r>
        <w:rPr>
          <w:color w:val="auto"/>
          <w:highlight w:val="none"/>
        </w:rPr>
        <w:br w:type="page"/>
      </w:r>
      <w:bookmarkStart w:id="1745" w:name="_Toc185703035"/>
      <w:bookmarkStart w:id="1746" w:name="_Toc88065687"/>
      <w:bookmarkStart w:id="1747" w:name="_Toc239839919"/>
      <w:bookmarkStart w:id="1748" w:name="_Toc156106972"/>
      <w:bookmarkStart w:id="1749" w:name="_Toc147248437"/>
      <w:bookmarkStart w:id="1750" w:name="_Toc89333345"/>
      <w:bookmarkStart w:id="1751" w:name="_Toc185702613"/>
      <w:r>
        <w:rPr>
          <w:rFonts w:hint="eastAsia"/>
          <w:color w:val="auto"/>
          <w:sz w:val="44"/>
          <w:szCs w:val="44"/>
          <w:highlight w:val="none"/>
        </w:rPr>
        <w:t>第七章   响应文件（格式）</w:t>
      </w:r>
      <w:bookmarkEnd w:id="1745"/>
      <w:bookmarkEnd w:id="1746"/>
      <w:bookmarkEnd w:id="1747"/>
      <w:bookmarkEnd w:id="1748"/>
      <w:bookmarkEnd w:id="1749"/>
      <w:bookmarkEnd w:id="1750"/>
      <w:bookmarkEnd w:id="1751"/>
    </w:p>
    <w:p>
      <w:pPr>
        <w:spacing w:line="400" w:lineRule="exact"/>
        <w:rPr>
          <w:rFonts w:ascii="Times New Roman" w:hAnsi="Times New Roman" w:eastAsia="宋体" w:cs="Times New Roman"/>
          <w:color w:val="auto"/>
          <w:szCs w:val="24"/>
          <w:highlight w:val="none"/>
        </w:rPr>
      </w:pPr>
    </w:p>
    <w:p>
      <w:pPr>
        <w:autoSpaceDE w:val="0"/>
        <w:autoSpaceDN w:val="0"/>
        <w:adjustRightInd w:val="0"/>
        <w:spacing w:line="360" w:lineRule="auto"/>
        <w:rPr>
          <w:rFonts w:ascii="Times New Roman" w:hAnsi="Times New Roman" w:eastAsia="宋体" w:cs="Times New Roman"/>
          <w:color w:val="auto"/>
          <w:sz w:val="24"/>
          <w:szCs w:val="24"/>
          <w:highlight w:val="none"/>
        </w:rPr>
      </w:pPr>
      <w:r>
        <w:rPr>
          <w:rFonts w:hint="eastAsia" w:ascii="宋体" w:hAnsi="Times New Roman" w:eastAsia="宋体" w:cs="宋体"/>
          <w:color w:val="auto"/>
          <w:sz w:val="24"/>
          <w:szCs w:val="24"/>
          <w:highlight w:val="none"/>
          <w:lang w:val="zh-CN"/>
        </w:rPr>
        <w:t>说明：</w:t>
      </w:r>
    </w:p>
    <w:p>
      <w:pPr>
        <w:spacing w:line="400" w:lineRule="exact"/>
        <w:ind w:left="360" w:hanging="360" w:hangingChars="150"/>
        <w:rPr>
          <w:rFonts w:ascii="宋体" w:hAnsi="Courier New" w:eastAsia="宋体" w:cs="Times New Roman"/>
          <w:color w:val="auto"/>
          <w:sz w:val="24"/>
          <w:szCs w:val="24"/>
          <w:highlight w:val="none"/>
        </w:rPr>
      </w:pPr>
      <w:r>
        <w:rPr>
          <w:rFonts w:ascii="宋体" w:hAnsi="Courier New" w:eastAsia="宋体" w:cs="宋体"/>
          <w:color w:val="auto"/>
          <w:sz w:val="24"/>
          <w:szCs w:val="24"/>
          <w:highlight w:val="none"/>
          <w:lang w:val="zh-CN"/>
        </w:rPr>
        <w:t>1、</w:t>
      </w:r>
      <w:r>
        <w:rPr>
          <w:rFonts w:ascii="宋体" w:hAnsi="宋体" w:eastAsia="宋体" w:cs="Times New Roman"/>
          <w:color w:val="auto"/>
          <w:sz w:val="24"/>
          <w:szCs w:val="24"/>
          <w:highlight w:val="none"/>
        </w:rPr>
        <w:t>本章所列的响应文件格式</w:t>
      </w:r>
      <w:r>
        <w:rPr>
          <w:rFonts w:ascii="宋体" w:hAnsi="Courier New" w:eastAsia="宋体" w:cs="宋体"/>
          <w:color w:val="auto"/>
          <w:sz w:val="24"/>
          <w:szCs w:val="24"/>
          <w:highlight w:val="none"/>
          <w:lang w:val="zh-CN"/>
        </w:rPr>
        <w:t>，供应商可根据自身情况进行补充和修改、扩展，但补充和修改不得造成与本章格式内容有实质性的违背。</w:t>
      </w:r>
    </w:p>
    <w:p>
      <w:pPr>
        <w:spacing w:line="400" w:lineRule="exact"/>
        <w:ind w:left="360" w:hanging="360" w:hangingChars="150"/>
        <w:rPr>
          <w:rFonts w:ascii="宋体" w:hAnsi="Courier New" w:eastAsia="宋体" w:cs="宋体"/>
          <w:color w:val="auto"/>
          <w:sz w:val="24"/>
          <w:szCs w:val="24"/>
          <w:highlight w:val="none"/>
          <w:lang w:val="zh-CN"/>
        </w:rPr>
      </w:pPr>
      <w:r>
        <w:rPr>
          <w:rFonts w:ascii="宋体" w:hAnsi="Courier New" w:eastAsia="宋体" w:cs="宋体"/>
          <w:color w:val="auto"/>
          <w:sz w:val="24"/>
          <w:szCs w:val="24"/>
          <w:highlight w:val="none"/>
          <w:lang w:val="zh-CN"/>
        </w:rPr>
        <w:t>2、</w:t>
      </w:r>
      <w:r>
        <w:rPr>
          <w:rFonts w:ascii="宋体" w:hAnsi="宋体" w:eastAsia="宋体" w:cs="Times New Roman"/>
          <w:color w:val="auto"/>
          <w:sz w:val="24"/>
          <w:szCs w:val="24"/>
          <w:highlight w:val="none"/>
        </w:rPr>
        <w:t>目录由供应商自拟</w:t>
      </w:r>
      <w:r>
        <w:rPr>
          <w:rFonts w:ascii="宋体" w:hAnsi="Courier New" w:eastAsia="宋体" w:cs="宋体"/>
          <w:color w:val="auto"/>
          <w:sz w:val="24"/>
          <w:szCs w:val="24"/>
          <w:highlight w:val="none"/>
          <w:lang w:val="zh-CN"/>
        </w:rPr>
        <w:t>。</w:t>
      </w:r>
    </w:p>
    <w:p>
      <w:pPr>
        <w:spacing w:line="400" w:lineRule="exact"/>
        <w:ind w:left="360" w:hanging="360" w:hangingChars="150"/>
        <w:rPr>
          <w:rFonts w:ascii="宋体" w:hAnsi="Courier New" w:eastAsia="宋体" w:cs="宋体"/>
          <w:color w:val="auto"/>
          <w:sz w:val="24"/>
          <w:szCs w:val="24"/>
          <w:highlight w:val="none"/>
          <w:lang w:val="zh-CN"/>
        </w:rPr>
      </w:pPr>
      <w:r>
        <w:rPr>
          <w:rFonts w:ascii="宋体" w:hAnsi="Courier New" w:eastAsia="宋体" w:cs="宋体"/>
          <w:color w:val="auto"/>
          <w:sz w:val="24"/>
          <w:szCs w:val="24"/>
          <w:highlight w:val="none"/>
          <w:lang w:val="zh-CN"/>
        </w:rPr>
        <w:t>3、</w:t>
      </w:r>
      <w:r>
        <w:rPr>
          <w:rFonts w:ascii="宋体" w:hAnsi="宋体" w:eastAsia="宋体" w:cs="Times New Roman"/>
          <w:color w:val="auto"/>
          <w:sz w:val="24"/>
          <w:szCs w:val="24"/>
          <w:highlight w:val="none"/>
        </w:rPr>
        <w:t>供应商</w:t>
      </w:r>
      <w:r>
        <w:rPr>
          <w:rFonts w:ascii="宋体" w:hAnsi="Courier New" w:eastAsia="宋体" w:cs="宋体"/>
          <w:color w:val="auto"/>
          <w:sz w:val="24"/>
          <w:szCs w:val="24"/>
          <w:highlight w:val="none"/>
          <w:lang w:val="zh-CN"/>
        </w:rPr>
        <w:t>资格证明文件按</w:t>
      </w:r>
      <w:r>
        <w:rPr>
          <w:rFonts w:ascii="宋体" w:hAnsi="宋体" w:eastAsia="宋体" w:cs="Times New Roman"/>
          <w:color w:val="auto"/>
          <w:sz w:val="24"/>
          <w:szCs w:val="24"/>
          <w:highlight w:val="none"/>
        </w:rPr>
        <w:t>供应商</w:t>
      </w:r>
      <w:r>
        <w:rPr>
          <w:rFonts w:ascii="宋体" w:hAnsi="Courier New" w:eastAsia="宋体" w:cs="宋体"/>
          <w:color w:val="auto"/>
          <w:sz w:val="24"/>
          <w:szCs w:val="24"/>
          <w:highlight w:val="none"/>
          <w:lang w:val="zh-CN"/>
        </w:rPr>
        <w:t>须知要求提供。</w:t>
      </w:r>
    </w:p>
    <w:p>
      <w:pPr>
        <w:spacing w:line="400" w:lineRule="exact"/>
        <w:ind w:left="360" w:hanging="360" w:hangingChars="150"/>
        <w:rPr>
          <w:rFonts w:ascii="宋体" w:hAnsi="Courier New" w:eastAsia="宋体" w:cs="宋体"/>
          <w:color w:val="auto"/>
          <w:sz w:val="24"/>
          <w:szCs w:val="24"/>
          <w:highlight w:val="none"/>
          <w:lang w:val="zh-CN"/>
        </w:rPr>
      </w:pPr>
      <w:r>
        <w:rPr>
          <w:rFonts w:ascii="宋体" w:hAnsi="Courier New" w:eastAsia="宋体" w:cs="宋体"/>
          <w:color w:val="auto"/>
          <w:sz w:val="24"/>
          <w:szCs w:val="24"/>
          <w:highlight w:val="none"/>
          <w:lang w:val="zh-CN"/>
        </w:rPr>
        <w:t>4、《法人授权委托书》填写说明：</w:t>
      </w:r>
    </w:p>
    <w:p>
      <w:pPr>
        <w:spacing w:line="400" w:lineRule="exact"/>
        <w:ind w:left="585" w:leftChars="107" w:hanging="360" w:hangingChars="1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1）委托书所签发的代理期限必须涵盖代理人所有签字为有效时间。</w:t>
      </w:r>
    </w:p>
    <w:p>
      <w:pPr>
        <w:spacing w:line="400" w:lineRule="exact"/>
        <w:ind w:left="585" w:leftChars="107" w:hanging="360" w:hangingChars="1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2）委托书内容填写要明确，文字要工整清楚，涂改无效。</w:t>
      </w:r>
    </w:p>
    <w:p>
      <w:pPr>
        <w:spacing w:line="400" w:lineRule="exact"/>
        <w:ind w:left="585" w:leftChars="107" w:hanging="360" w:hangingChars="1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3）委托书不得转借、转让，不得买卖。</w:t>
      </w:r>
    </w:p>
    <w:p>
      <w:pPr>
        <w:spacing w:line="400" w:lineRule="exact"/>
        <w:ind w:left="585" w:leftChars="107" w:hanging="360" w:hangingChars="15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4）代理人根据授权范围，以委托单位的名义签订合同，并将此委托书提交给对方作为合同附件。</w:t>
      </w:r>
    </w:p>
    <w:p>
      <w:pPr>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本章节仅提供部分格式，未提供部分由供应商自行编制。</w:t>
      </w:r>
    </w:p>
    <w:p>
      <w:pPr>
        <w:spacing w:line="400" w:lineRule="exact"/>
        <w:ind w:left="315" w:hanging="315" w:hangingChars="150"/>
        <w:rPr>
          <w:rFonts w:ascii="宋体" w:hAnsi="Courier New" w:eastAsia="宋体" w:cs="宋体"/>
          <w:color w:val="auto"/>
          <w:szCs w:val="21"/>
          <w:highlight w:val="none"/>
          <w:lang w:val="zh-CN"/>
        </w:rPr>
      </w:pPr>
    </w:p>
    <w:p>
      <w:pPr>
        <w:spacing w:line="400" w:lineRule="exact"/>
        <w:rPr>
          <w:rFonts w:ascii="Times New Roman" w:hAnsi="Times New Roman" w:eastAsia="宋体" w:cs="Times New Roman"/>
          <w:color w:val="auto"/>
          <w:szCs w:val="24"/>
          <w:highlight w:val="none"/>
        </w:rPr>
      </w:pPr>
    </w:p>
    <w:p>
      <w:pPr>
        <w:jc w:val="both"/>
        <w:rPr>
          <w:rFonts w:hint="eastAsia"/>
          <w:b/>
          <w:color w:val="auto"/>
          <w:sz w:val="32"/>
          <w:szCs w:val="32"/>
          <w:highlight w:val="none"/>
        </w:rPr>
      </w:pPr>
      <w:r>
        <w:rPr>
          <w:rFonts w:ascii="Times New Roman" w:hAnsi="Times New Roman" w:eastAsia="宋体" w:cs="Times New Roman"/>
          <w:color w:val="auto"/>
          <w:szCs w:val="24"/>
          <w:highlight w:val="none"/>
        </w:rPr>
        <w:br w:type="page"/>
      </w:r>
      <w:bookmarkStart w:id="1752" w:name="_Toc44229899"/>
      <w:bookmarkStart w:id="1753" w:name="_Toc35611516"/>
      <w:bookmarkStart w:id="1754" w:name="_Toc71365925"/>
      <w:bookmarkStart w:id="1755" w:name="_Toc31723070"/>
      <w:bookmarkStart w:id="1756" w:name="_Toc35611438"/>
      <w:bookmarkStart w:id="1757" w:name="_Toc31728084"/>
      <w:r>
        <w:rPr>
          <w:rFonts w:hint="eastAsia"/>
          <w:b/>
          <w:color w:val="auto"/>
          <w:sz w:val="32"/>
          <w:szCs w:val="32"/>
          <w:highlight w:val="none"/>
        </w:rPr>
        <w:t>一、资格证明文件格式</w:t>
      </w:r>
      <w:bookmarkEnd w:id="1752"/>
      <w:bookmarkEnd w:id="1753"/>
      <w:bookmarkEnd w:id="1754"/>
      <w:bookmarkEnd w:id="1755"/>
      <w:bookmarkEnd w:id="1756"/>
      <w:bookmarkEnd w:id="1757"/>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pStyle w:val="12"/>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pacing w:beforeLines="100" w:afterLines="100" w:line="440" w:lineRule="exact"/>
        <w:jc w:val="center"/>
        <w:rPr>
          <w:rFonts w:ascii="宋体" w:hAnsi="Times New Roman" w:eastAsia="宋体" w:cs="Times New Roman"/>
          <w:b/>
          <w:color w:val="auto"/>
          <w:sz w:val="30"/>
          <w:szCs w:val="30"/>
          <w:highlight w:val="none"/>
        </w:rPr>
      </w:pPr>
      <w:r>
        <w:rPr>
          <w:rFonts w:ascii="宋体" w:hAnsi="Times New Roman" w:eastAsia="宋体" w:cs="Times New Roman"/>
          <w:color w:val="auto"/>
          <w:sz w:val="28"/>
          <w:szCs w:val="28"/>
          <w:highlight w:val="none"/>
        </w:rPr>
        <w:br w:type="page"/>
      </w:r>
      <w:r>
        <w:rPr>
          <w:rFonts w:hint="eastAsia" w:ascii="宋体" w:hAnsi="宋体" w:eastAsia="宋体" w:cs="Times New Roman"/>
          <w:b/>
          <w:color w:val="auto"/>
          <w:sz w:val="36"/>
          <w:szCs w:val="36"/>
          <w:highlight w:val="none"/>
        </w:rPr>
        <w:t>目</w:t>
      </w:r>
      <w:r>
        <w:rPr>
          <w:rFonts w:ascii="宋体" w:hAnsi="宋体" w:eastAsia="宋体" w:cs="Times New Roman"/>
          <w:b/>
          <w:color w:val="auto"/>
          <w:sz w:val="36"/>
          <w:szCs w:val="36"/>
          <w:highlight w:val="none"/>
        </w:rPr>
        <w:t xml:space="preserve">    </w:t>
      </w:r>
      <w:r>
        <w:rPr>
          <w:rFonts w:hint="eastAsia" w:ascii="宋体" w:hAnsi="宋体" w:eastAsia="宋体" w:cs="Times New Roman"/>
          <w:b/>
          <w:color w:val="auto"/>
          <w:sz w:val="36"/>
          <w:szCs w:val="36"/>
          <w:highlight w:val="none"/>
        </w:rPr>
        <w:t>录</w:t>
      </w:r>
    </w:p>
    <w:p>
      <w:pPr>
        <w:spacing w:line="360" w:lineRule="auto"/>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（应附有页码）</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供应商资格证明文件（资格证明文件内容按照第二章供应商须知10.1所列的内容按顺序依次提供。）</w:t>
      </w:r>
    </w:p>
    <w:p>
      <w:pPr>
        <w:jc w:val="left"/>
        <w:rPr>
          <w:rFonts w:ascii="Tahoma" w:hAnsi="Tahoma" w:eastAsia="宋体" w:cs="Times New Roman"/>
          <w:bCs/>
          <w:color w:val="auto"/>
          <w:spacing w:val="10"/>
          <w:sz w:val="24"/>
          <w:szCs w:val="20"/>
          <w:highlight w:val="none"/>
        </w:rPr>
      </w:pPr>
    </w:p>
    <w:p>
      <w:pPr>
        <w:jc w:val="left"/>
        <w:rPr>
          <w:rFonts w:ascii="Tahoma" w:hAnsi="Tahoma" w:eastAsia="宋体" w:cs="Times New Roman"/>
          <w:bCs/>
          <w:color w:val="auto"/>
          <w:spacing w:val="10"/>
          <w:sz w:val="24"/>
          <w:szCs w:val="20"/>
          <w:highlight w:val="none"/>
        </w:rPr>
      </w:pPr>
    </w:p>
    <w:p>
      <w:pPr>
        <w:jc w:val="left"/>
        <w:rPr>
          <w:rFonts w:ascii="Tahoma" w:hAnsi="Tahoma" w:eastAsia="宋体" w:cs="Times New Roman"/>
          <w:bCs/>
          <w:color w:val="auto"/>
          <w:spacing w:val="10"/>
          <w:sz w:val="24"/>
          <w:szCs w:val="20"/>
          <w:highlight w:val="none"/>
        </w:rPr>
      </w:pPr>
    </w:p>
    <w:p>
      <w:pPr>
        <w:jc w:val="left"/>
        <w:rPr>
          <w:rFonts w:ascii="Tahoma" w:hAnsi="Tahoma" w:eastAsia="宋体" w:cs="Times New Roman"/>
          <w:bCs/>
          <w:color w:val="auto"/>
          <w:spacing w:val="10"/>
          <w:sz w:val="24"/>
          <w:szCs w:val="20"/>
          <w:highlight w:val="none"/>
        </w:rPr>
      </w:pPr>
    </w:p>
    <w:p>
      <w:pPr>
        <w:adjustRightInd w:val="0"/>
        <w:snapToGrid w:val="0"/>
        <w:spacing w:line="360" w:lineRule="auto"/>
        <w:jc w:val="center"/>
        <w:outlineLvl w:val="0"/>
        <w:rPr>
          <w:rFonts w:ascii="宋体" w:hAnsi="宋体" w:eastAsia="宋体" w:cs="Times New Roman"/>
          <w:b/>
          <w:color w:val="auto"/>
          <w:sz w:val="24"/>
          <w:szCs w:val="24"/>
          <w:highlight w:val="none"/>
        </w:rPr>
      </w:pPr>
      <w:r>
        <w:rPr>
          <w:rFonts w:ascii="宋体" w:hAnsi="宋体" w:eastAsia="宋体" w:cs="Times New Roman"/>
          <w:color w:val="auto"/>
          <w:sz w:val="24"/>
          <w:szCs w:val="24"/>
          <w:highlight w:val="none"/>
        </w:rPr>
        <w:br w:type="page"/>
      </w:r>
    </w:p>
    <w:p>
      <w:pPr>
        <w:spacing w:line="440" w:lineRule="exact"/>
        <w:jc w:val="center"/>
        <w:rPr>
          <w:rFonts w:ascii="宋体" w:hAnsi="Times New Roman" w:eastAsia="宋体" w:cs="Times New Roman"/>
          <w:color w:val="auto"/>
          <w:sz w:val="30"/>
          <w:szCs w:val="30"/>
          <w:highlight w:val="none"/>
        </w:rPr>
      </w:pPr>
      <w:r>
        <w:rPr>
          <w:rFonts w:hint="eastAsia" w:ascii="宋体" w:hAnsi="宋体" w:eastAsia="宋体" w:cs="Times New Roman"/>
          <w:b/>
          <w:color w:val="auto"/>
          <w:sz w:val="30"/>
          <w:szCs w:val="30"/>
          <w:highlight w:val="none"/>
        </w:rPr>
        <w:t>供应商基本情况表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122"/>
        <w:gridCol w:w="796"/>
        <w:gridCol w:w="1409"/>
        <w:gridCol w:w="62"/>
        <w:gridCol w:w="1618"/>
        <w:gridCol w:w="812"/>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供应商名称</w:t>
            </w:r>
          </w:p>
        </w:tc>
        <w:tc>
          <w:tcPr>
            <w:tcW w:w="7341" w:type="dxa"/>
            <w:gridSpan w:val="7"/>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注册地址</w:t>
            </w:r>
          </w:p>
        </w:tc>
        <w:tc>
          <w:tcPr>
            <w:tcW w:w="3389" w:type="dxa"/>
            <w:gridSpan w:val="4"/>
            <w:vAlign w:val="center"/>
          </w:tcPr>
          <w:p>
            <w:pPr>
              <w:jc w:val="center"/>
              <w:rPr>
                <w:rFonts w:ascii="宋体" w:hAnsi="Calibri" w:eastAsia="宋体" w:cs="Times New Roman"/>
                <w:color w:val="auto"/>
                <w:sz w:val="24"/>
                <w:szCs w:val="24"/>
                <w:highlight w:val="none"/>
              </w:rPr>
            </w:pPr>
          </w:p>
        </w:tc>
        <w:tc>
          <w:tcPr>
            <w:tcW w:w="161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p>
        </w:tc>
        <w:tc>
          <w:tcPr>
            <w:tcW w:w="112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p>
        </w:tc>
        <w:tc>
          <w:tcPr>
            <w:tcW w:w="2267" w:type="dxa"/>
            <w:gridSpan w:val="3"/>
            <w:vAlign w:val="center"/>
          </w:tcPr>
          <w:p>
            <w:pPr>
              <w:jc w:val="center"/>
              <w:rPr>
                <w:rFonts w:ascii="宋体" w:hAnsi="Calibri" w:eastAsia="宋体" w:cs="Times New Roman"/>
                <w:color w:val="auto"/>
                <w:sz w:val="24"/>
                <w:szCs w:val="24"/>
                <w:highlight w:val="none"/>
              </w:rPr>
            </w:pPr>
          </w:p>
        </w:tc>
        <w:tc>
          <w:tcPr>
            <w:tcW w:w="161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电</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话</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Calibri" w:eastAsia="宋体" w:cs="Times New Roman"/>
                <w:color w:val="auto"/>
                <w:sz w:val="24"/>
                <w:szCs w:val="24"/>
                <w:highlight w:val="none"/>
              </w:rPr>
            </w:pPr>
          </w:p>
        </w:tc>
        <w:tc>
          <w:tcPr>
            <w:tcW w:w="112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传</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真</w:t>
            </w:r>
          </w:p>
        </w:tc>
        <w:tc>
          <w:tcPr>
            <w:tcW w:w="2267" w:type="dxa"/>
            <w:gridSpan w:val="3"/>
            <w:vAlign w:val="center"/>
          </w:tcPr>
          <w:p>
            <w:pPr>
              <w:jc w:val="center"/>
              <w:rPr>
                <w:rFonts w:ascii="宋体" w:hAnsi="Calibri" w:eastAsia="宋体" w:cs="Times New Roman"/>
                <w:color w:val="auto"/>
                <w:sz w:val="24"/>
                <w:szCs w:val="24"/>
                <w:highlight w:val="none"/>
              </w:rPr>
            </w:pPr>
          </w:p>
        </w:tc>
        <w:tc>
          <w:tcPr>
            <w:tcW w:w="161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网</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统一社会信用代码</w:t>
            </w:r>
          </w:p>
        </w:tc>
        <w:tc>
          <w:tcPr>
            <w:tcW w:w="7341" w:type="dxa"/>
            <w:gridSpan w:val="7"/>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112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796" w:type="dxa"/>
            <w:vAlign w:val="center"/>
          </w:tcPr>
          <w:p>
            <w:pPr>
              <w:jc w:val="center"/>
              <w:rPr>
                <w:rFonts w:ascii="宋体" w:hAnsi="Calibri" w:eastAsia="宋体" w:cs="Times New Roman"/>
                <w:color w:val="auto"/>
                <w:sz w:val="24"/>
                <w:szCs w:val="24"/>
                <w:highlight w:val="none"/>
              </w:rPr>
            </w:pPr>
          </w:p>
        </w:tc>
        <w:tc>
          <w:tcPr>
            <w:tcW w:w="1409"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1680" w:type="dxa"/>
            <w:gridSpan w:val="2"/>
            <w:vAlign w:val="center"/>
          </w:tcPr>
          <w:p>
            <w:pPr>
              <w:jc w:val="center"/>
              <w:rPr>
                <w:rFonts w:ascii="宋体" w:hAnsi="Calibri" w:eastAsia="宋体" w:cs="Times New Roman"/>
                <w:color w:val="auto"/>
                <w:sz w:val="24"/>
                <w:szCs w:val="24"/>
                <w:highlight w:val="none"/>
              </w:rPr>
            </w:pPr>
          </w:p>
        </w:tc>
        <w:tc>
          <w:tcPr>
            <w:tcW w:w="81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1522"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技术负责人</w:t>
            </w:r>
          </w:p>
        </w:tc>
        <w:tc>
          <w:tcPr>
            <w:tcW w:w="112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796" w:type="dxa"/>
            <w:vAlign w:val="center"/>
          </w:tcPr>
          <w:p>
            <w:pPr>
              <w:jc w:val="center"/>
              <w:rPr>
                <w:rFonts w:ascii="宋体" w:hAnsi="Calibri" w:eastAsia="宋体" w:cs="Times New Roman"/>
                <w:color w:val="auto"/>
                <w:sz w:val="24"/>
                <w:szCs w:val="24"/>
                <w:highlight w:val="none"/>
              </w:rPr>
            </w:pPr>
          </w:p>
        </w:tc>
        <w:tc>
          <w:tcPr>
            <w:tcW w:w="1409"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1680" w:type="dxa"/>
            <w:gridSpan w:val="2"/>
            <w:vAlign w:val="center"/>
          </w:tcPr>
          <w:p>
            <w:pPr>
              <w:jc w:val="center"/>
              <w:rPr>
                <w:rFonts w:ascii="宋体" w:hAnsi="Calibri" w:eastAsia="宋体" w:cs="Times New Roman"/>
                <w:color w:val="auto"/>
                <w:sz w:val="24"/>
                <w:szCs w:val="24"/>
                <w:highlight w:val="none"/>
              </w:rPr>
            </w:pPr>
          </w:p>
        </w:tc>
        <w:tc>
          <w:tcPr>
            <w:tcW w:w="81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1522"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成立时间</w:t>
            </w:r>
          </w:p>
        </w:tc>
        <w:tc>
          <w:tcPr>
            <w:tcW w:w="1918" w:type="dxa"/>
            <w:gridSpan w:val="2"/>
            <w:vAlign w:val="center"/>
          </w:tcPr>
          <w:p>
            <w:pPr>
              <w:jc w:val="center"/>
              <w:rPr>
                <w:rFonts w:ascii="宋体" w:hAnsi="Calibri" w:eastAsia="宋体" w:cs="Times New Roman"/>
                <w:color w:val="auto"/>
                <w:sz w:val="24"/>
                <w:szCs w:val="24"/>
                <w:highlight w:val="none"/>
              </w:rPr>
            </w:pPr>
          </w:p>
        </w:tc>
        <w:tc>
          <w:tcPr>
            <w:tcW w:w="5423" w:type="dxa"/>
            <w:gridSpan w:val="5"/>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资质等级</w:t>
            </w:r>
          </w:p>
        </w:tc>
        <w:tc>
          <w:tcPr>
            <w:tcW w:w="1918" w:type="dxa"/>
            <w:gridSpan w:val="2"/>
            <w:vAlign w:val="center"/>
          </w:tcPr>
          <w:p>
            <w:pPr>
              <w:jc w:val="center"/>
              <w:rPr>
                <w:rFonts w:ascii="宋体" w:hAnsi="Calibri" w:eastAsia="宋体" w:cs="Times New Roman"/>
                <w:color w:val="auto"/>
                <w:sz w:val="24"/>
                <w:szCs w:val="24"/>
                <w:highlight w:val="none"/>
              </w:rPr>
            </w:pPr>
          </w:p>
        </w:tc>
        <w:tc>
          <w:tcPr>
            <w:tcW w:w="1409" w:type="dxa"/>
            <w:vMerge w:val="restart"/>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其中</w:t>
            </w:r>
          </w:p>
        </w:tc>
        <w:tc>
          <w:tcPr>
            <w:tcW w:w="1680" w:type="dxa"/>
            <w:gridSpan w:val="2"/>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项目经理</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安全生产许可证号</w:t>
            </w:r>
          </w:p>
        </w:tc>
        <w:tc>
          <w:tcPr>
            <w:tcW w:w="1918" w:type="dxa"/>
            <w:gridSpan w:val="2"/>
            <w:vAlign w:val="center"/>
          </w:tcPr>
          <w:p>
            <w:pPr>
              <w:jc w:val="center"/>
              <w:rPr>
                <w:rFonts w:ascii="宋体" w:hAnsi="Calibri" w:eastAsia="宋体" w:cs="Times New Roman"/>
                <w:color w:val="auto"/>
                <w:sz w:val="24"/>
                <w:szCs w:val="24"/>
                <w:highlight w:val="none"/>
              </w:rPr>
            </w:pPr>
          </w:p>
        </w:tc>
        <w:tc>
          <w:tcPr>
            <w:tcW w:w="1409" w:type="dxa"/>
            <w:vMerge w:val="continue"/>
            <w:vAlign w:val="center"/>
          </w:tcPr>
          <w:p>
            <w:pPr>
              <w:jc w:val="center"/>
              <w:rPr>
                <w:rFonts w:ascii="宋体" w:hAnsi="Calibri" w:eastAsia="宋体" w:cs="Times New Roman"/>
                <w:color w:val="auto"/>
                <w:sz w:val="24"/>
                <w:szCs w:val="24"/>
                <w:highlight w:val="none"/>
              </w:rPr>
            </w:pPr>
          </w:p>
        </w:tc>
        <w:tc>
          <w:tcPr>
            <w:tcW w:w="1680" w:type="dxa"/>
            <w:gridSpan w:val="2"/>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高级职称人员</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注册资金</w:t>
            </w:r>
          </w:p>
        </w:tc>
        <w:tc>
          <w:tcPr>
            <w:tcW w:w="1918" w:type="dxa"/>
            <w:gridSpan w:val="2"/>
            <w:vAlign w:val="center"/>
          </w:tcPr>
          <w:p>
            <w:pPr>
              <w:jc w:val="center"/>
              <w:rPr>
                <w:rFonts w:ascii="宋体" w:hAnsi="Calibri" w:eastAsia="宋体" w:cs="Times New Roman"/>
                <w:color w:val="auto"/>
                <w:sz w:val="24"/>
                <w:szCs w:val="24"/>
                <w:highlight w:val="none"/>
              </w:rPr>
            </w:pPr>
          </w:p>
        </w:tc>
        <w:tc>
          <w:tcPr>
            <w:tcW w:w="1409" w:type="dxa"/>
            <w:vMerge w:val="continue"/>
            <w:vAlign w:val="center"/>
          </w:tcPr>
          <w:p>
            <w:pPr>
              <w:jc w:val="center"/>
              <w:rPr>
                <w:rFonts w:ascii="宋体" w:hAnsi="Calibri" w:eastAsia="宋体" w:cs="Times New Roman"/>
                <w:color w:val="auto"/>
                <w:sz w:val="24"/>
                <w:szCs w:val="24"/>
                <w:highlight w:val="none"/>
              </w:rPr>
            </w:pPr>
          </w:p>
        </w:tc>
        <w:tc>
          <w:tcPr>
            <w:tcW w:w="1680" w:type="dxa"/>
            <w:gridSpan w:val="2"/>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中级职称人员</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开户银行</w:t>
            </w:r>
          </w:p>
        </w:tc>
        <w:tc>
          <w:tcPr>
            <w:tcW w:w="1918" w:type="dxa"/>
            <w:gridSpan w:val="2"/>
            <w:vAlign w:val="center"/>
          </w:tcPr>
          <w:p>
            <w:pPr>
              <w:jc w:val="center"/>
              <w:rPr>
                <w:rFonts w:ascii="宋体" w:hAnsi="Calibri" w:eastAsia="宋体" w:cs="Times New Roman"/>
                <w:color w:val="auto"/>
                <w:sz w:val="24"/>
                <w:szCs w:val="24"/>
                <w:highlight w:val="none"/>
              </w:rPr>
            </w:pPr>
          </w:p>
        </w:tc>
        <w:tc>
          <w:tcPr>
            <w:tcW w:w="1409" w:type="dxa"/>
            <w:vMerge w:val="continue"/>
            <w:vAlign w:val="center"/>
          </w:tcPr>
          <w:p>
            <w:pPr>
              <w:jc w:val="center"/>
              <w:rPr>
                <w:rFonts w:ascii="宋体" w:hAnsi="Calibri" w:eastAsia="宋体" w:cs="Times New Roman"/>
                <w:color w:val="auto"/>
                <w:sz w:val="24"/>
                <w:szCs w:val="24"/>
                <w:highlight w:val="none"/>
              </w:rPr>
            </w:pPr>
          </w:p>
        </w:tc>
        <w:tc>
          <w:tcPr>
            <w:tcW w:w="1680" w:type="dxa"/>
            <w:gridSpan w:val="2"/>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初级职称人员</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账号</w:t>
            </w:r>
          </w:p>
        </w:tc>
        <w:tc>
          <w:tcPr>
            <w:tcW w:w="1918" w:type="dxa"/>
            <w:gridSpan w:val="2"/>
            <w:vAlign w:val="center"/>
          </w:tcPr>
          <w:p>
            <w:pPr>
              <w:jc w:val="center"/>
              <w:rPr>
                <w:rFonts w:ascii="宋体" w:hAnsi="Calibri" w:eastAsia="宋体" w:cs="Times New Roman"/>
                <w:color w:val="auto"/>
                <w:sz w:val="24"/>
                <w:szCs w:val="24"/>
                <w:highlight w:val="none"/>
              </w:rPr>
            </w:pPr>
          </w:p>
        </w:tc>
        <w:tc>
          <w:tcPr>
            <w:tcW w:w="1409" w:type="dxa"/>
            <w:vMerge w:val="continue"/>
            <w:vAlign w:val="center"/>
          </w:tcPr>
          <w:p>
            <w:pPr>
              <w:jc w:val="center"/>
              <w:rPr>
                <w:rFonts w:ascii="宋体" w:hAnsi="Calibri" w:eastAsia="宋体" w:cs="Times New Roman"/>
                <w:color w:val="auto"/>
                <w:sz w:val="24"/>
                <w:szCs w:val="24"/>
                <w:highlight w:val="none"/>
              </w:rPr>
            </w:pPr>
          </w:p>
        </w:tc>
        <w:tc>
          <w:tcPr>
            <w:tcW w:w="1680" w:type="dxa"/>
            <w:gridSpan w:val="2"/>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技</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工</w:t>
            </w:r>
          </w:p>
        </w:tc>
        <w:tc>
          <w:tcPr>
            <w:tcW w:w="2334" w:type="dxa"/>
            <w:gridSpan w:val="2"/>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经营范围</w:t>
            </w:r>
          </w:p>
        </w:tc>
        <w:tc>
          <w:tcPr>
            <w:tcW w:w="7341" w:type="dxa"/>
            <w:gridSpan w:val="7"/>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c>
          <w:tcPr>
            <w:tcW w:w="7341" w:type="dxa"/>
            <w:gridSpan w:val="7"/>
            <w:vAlign w:val="center"/>
          </w:tcPr>
          <w:p>
            <w:pPr>
              <w:jc w:val="center"/>
              <w:rPr>
                <w:rFonts w:ascii="宋体" w:hAnsi="Calibri" w:eastAsia="宋体" w:cs="Times New Roman"/>
                <w:color w:val="auto"/>
                <w:sz w:val="24"/>
                <w:szCs w:val="24"/>
                <w:highlight w:val="none"/>
              </w:rPr>
            </w:pPr>
          </w:p>
        </w:tc>
      </w:tr>
    </w:tbl>
    <w:p>
      <w:pPr>
        <w:tabs>
          <w:tab w:val="center" w:pos="4153"/>
          <w:tab w:val="right" w:pos="8306"/>
        </w:tabs>
        <w:snapToGrid w:val="0"/>
        <w:jc w:val="left"/>
        <w:rPr>
          <w:rFonts w:ascii="宋体" w:hAnsi="Courier New" w:eastAsia="宋体" w:cs="Times New Roman"/>
          <w:color w:val="auto"/>
          <w:sz w:val="18"/>
          <w:szCs w:val="21"/>
          <w:highlight w:val="none"/>
        </w:rPr>
      </w:pPr>
    </w:p>
    <w:p>
      <w:pPr>
        <w:spacing w:line="44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【备注：附有效的企业营业执照副本、企业资质证书副本和安全生产许可证副本等的复印件。以上复印件均须加盖供应商单位公章】</w:t>
      </w:r>
    </w:p>
    <w:p>
      <w:pPr>
        <w:rPr>
          <w:color w:val="auto"/>
          <w:highlight w:val="none"/>
        </w:rPr>
      </w:pPr>
      <w:r>
        <w:rPr>
          <w:rFonts w:hint="eastAsia" w:ascii="宋体" w:hAnsi="宋体" w:eastAsia="宋体" w:cs="Times New Roman"/>
          <w:color w:val="auto"/>
          <w:sz w:val="24"/>
          <w:szCs w:val="24"/>
          <w:highlight w:val="none"/>
        </w:rPr>
        <w:br w:type="page"/>
      </w:r>
    </w:p>
    <w:p>
      <w:pPr>
        <w:snapToGrid w:val="0"/>
        <w:spacing w:beforeLines="50" w:after="50"/>
        <w:jc w:val="left"/>
        <w:rPr>
          <w:rFonts w:ascii="宋体" w:hAnsi="宋体" w:cs="宋体"/>
          <w:b/>
          <w:color w:val="auto"/>
          <w:sz w:val="28"/>
          <w:szCs w:val="28"/>
          <w:highlight w:val="none"/>
        </w:rPr>
      </w:pPr>
      <w:r>
        <w:rPr>
          <w:rFonts w:hint="eastAsia" w:ascii="宋体" w:hAnsi="宋体" w:cs="宋体"/>
          <w:b/>
          <w:color w:val="auto"/>
          <w:sz w:val="28"/>
          <w:szCs w:val="28"/>
          <w:highlight w:val="none"/>
        </w:rPr>
        <w:t>供应商直接控股、管理关系信息表</w:t>
      </w:r>
    </w:p>
    <w:p>
      <w:pPr>
        <w:snapToGrid w:val="0"/>
        <w:spacing w:beforeLines="50" w:after="50"/>
        <w:jc w:val="center"/>
        <w:rPr>
          <w:rFonts w:ascii="宋体" w:hAnsi="宋体" w:cs="宋体"/>
          <w:b/>
          <w:color w:val="auto"/>
          <w:sz w:val="28"/>
          <w:szCs w:val="28"/>
          <w:highlight w:val="none"/>
        </w:rPr>
      </w:pPr>
    </w:p>
    <w:p>
      <w:pPr>
        <w:snapToGrid w:val="0"/>
        <w:spacing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供应商直接控股股东信息表</w:t>
      </w:r>
    </w:p>
    <w:p>
      <w:pPr>
        <w:snapToGrid w:val="0"/>
        <w:spacing w:before="50" w:afterLines="50"/>
        <w:jc w:val="center"/>
        <w:rPr>
          <w:rFonts w:ascii="宋体" w:hAnsi="宋体" w:cs="宋体"/>
          <w:b/>
          <w:color w:val="auto"/>
          <w:sz w:val="32"/>
          <w:szCs w:val="32"/>
          <w:highlight w:val="none"/>
        </w:rPr>
      </w:pPr>
    </w:p>
    <w:tbl>
      <w:tblPr>
        <w:tblStyle w:val="47"/>
        <w:tblW w:w="9719" w:type="dxa"/>
        <w:jc w:val="center"/>
        <w:shd w:val="clear" w:color="auto" w:fill="FBFBFB"/>
        <w:tblLayout w:type="fixed"/>
        <w:tblCellMar>
          <w:top w:w="0" w:type="dxa"/>
          <w:left w:w="0" w:type="dxa"/>
          <w:bottom w:w="0" w:type="dxa"/>
          <w:right w:w="0" w:type="dxa"/>
        </w:tblCellMar>
      </w:tblPr>
      <w:tblGrid>
        <w:gridCol w:w="880"/>
        <w:gridCol w:w="2655"/>
        <w:gridCol w:w="1455"/>
        <w:gridCol w:w="3694"/>
        <w:gridCol w:w="1035"/>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eastAsia="宋体" w:cs="宋体"/>
                <w:b/>
                <w:bCs/>
                <w:color w:val="auto"/>
                <w:kern w:val="0"/>
                <w:sz w:val="24"/>
                <w:highlight w:val="none"/>
              </w:rPr>
              <w:t>出资比例</w:t>
            </w:r>
          </w:p>
        </w:tc>
        <w:tc>
          <w:tcPr>
            <w:tcW w:w="36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eastAsia="宋体" w:cs="宋体"/>
                <w:b/>
                <w:bCs/>
                <w:color w:val="auto"/>
                <w:kern w:val="0"/>
                <w:sz w:val="24"/>
                <w:highlight w:val="none"/>
              </w:rPr>
              <w:t>身份证号码或统一社会信用代码</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6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6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6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6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bl>
    <w:p>
      <w:pPr>
        <w:snapToGrid w:val="0"/>
        <w:spacing w:line="360" w:lineRule="auto"/>
        <w:jc w:val="left"/>
        <w:rPr>
          <w:rFonts w:ascii="宋体" w:hAnsi="宋体" w:cs="宋体"/>
          <w:color w:val="auto"/>
          <w:szCs w:val="21"/>
          <w:highlight w:val="none"/>
        </w:rPr>
      </w:pP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pStyle w:val="69"/>
        <w:rPr>
          <w:rFonts w:ascii="宋体" w:hAnsi="宋体"/>
          <w:b/>
          <w:color w:val="auto"/>
          <w:sz w:val="30"/>
          <w:szCs w:val="30"/>
          <w:highlight w:val="none"/>
        </w:rPr>
      </w:pPr>
    </w:p>
    <w:p>
      <w:pPr>
        <w:pStyle w:val="69"/>
        <w:rPr>
          <w:rFonts w:ascii="宋体" w:hAnsi="宋体"/>
          <w:b/>
          <w:color w:val="auto"/>
          <w:sz w:val="30"/>
          <w:szCs w:val="30"/>
          <w:highlight w:val="none"/>
        </w:rPr>
      </w:pPr>
    </w:p>
    <w:p>
      <w:pPr>
        <w:spacing w:line="360" w:lineRule="auto"/>
        <w:jc w:val="lef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jc w:val="left"/>
        <w:rPr>
          <w:rFonts w:ascii="宋体" w:hAnsi="宋体"/>
          <w:color w:val="auto"/>
          <w:szCs w:val="21"/>
          <w:highlight w:val="none"/>
        </w:rPr>
      </w:pPr>
      <w:r>
        <w:rPr>
          <w:rFonts w:hint="eastAsia" w:ascii="宋体" w:hAnsi="宋体"/>
          <w:color w:val="auto"/>
          <w:szCs w:val="21"/>
          <w:highlight w:val="none"/>
        </w:rPr>
        <w:t>法定代表人或授权代理人：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（签字或盖章）</w:t>
      </w:r>
    </w:p>
    <w:p>
      <w:pPr>
        <w:pStyle w:val="203"/>
        <w:jc w:val="left"/>
        <w:outlineLvl w:val="0"/>
        <w:rPr>
          <w:rFonts w:ascii="宋体" w:hAnsi="宋体"/>
          <w:color w:val="auto"/>
          <w:szCs w:val="21"/>
          <w:highlight w:val="non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jc w:val="center"/>
        <w:rPr>
          <w:rFonts w:ascii="宋体" w:hAnsi="宋体" w:cs="宋体"/>
          <w:b/>
          <w:color w:val="auto"/>
          <w:sz w:val="24"/>
          <w:highlight w:val="none"/>
        </w:rPr>
      </w:pPr>
      <w:r>
        <w:rPr>
          <w:rFonts w:hint="eastAsia" w:ascii="宋体" w:hAnsi="宋体"/>
          <w:color w:val="auto"/>
          <w:szCs w:val="21"/>
          <w:highlight w:val="none"/>
        </w:rPr>
        <w:br w:type="page"/>
      </w:r>
      <w:r>
        <w:rPr>
          <w:rFonts w:hint="eastAsia" w:ascii="宋体" w:hAnsi="宋体" w:cs="宋体"/>
          <w:b/>
          <w:color w:val="auto"/>
          <w:sz w:val="24"/>
          <w:highlight w:val="none"/>
        </w:rPr>
        <w:t>供应商直接管理关系信息表</w:t>
      </w:r>
    </w:p>
    <w:p>
      <w:pPr>
        <w:snapToGrid w:val="0"/>
        <w:jc w:val="center"/>
        <w:rPr>
          <w:rFonts w:ascii="宋体" w:hAnsi="宋体" w:cs="宋体"/>
          <w:b/>
          <w:color w:val="auto"/>
          <w:sz w:val="24"/>
          <w:highlight w:val="none"/>
        </w:rPr>
      </w:pPr>
    </w:p>
    <w:tbl>
      <w:tblPr>
        <w:tblStyle w:val="4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pPr>
              <w:widowControl/>
              <w:wordWrap w:val="0"/>
              <w:spacing w:line="200" w:lineRule="atLeast"/>
              <w:jc w:val="center"/>
              <w:rPr>
                <w:rFonts w:ascii="宋体" w:hAnsi="宋体" w:eastAsia="宋体" w:cs="宋体"/>
                <w:color w:val="auto"/>
                <w:kern w:val="0"/>
                <w:sz w:val="24"/>
                <w:highlight w:val="none"/>
              </w:rPr>
            </w:pPr>
          </w:p>
        </w:tc>
      </w:tr>
    </w:tbl>
    <w:p>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pStyle w:val="23"/>
        <w:spacing w:line="600" w:lineRule="exact"/>
        <w:ind w:firstLine="420"/>
        <w:rPr>
          <w:rFonts w:hint="default" w:hAnsi="宋体"/>
          <w:color w:val="auto"/>
          <w:highlight w:val="none"/>
          <w:u w:val="single"/>
        </w:rPr>
      </w:pPr>
      <w:r>
        <w:rPr>
          <w:rFonts w:hAnsi="宋体"/>
          <w:color w:val="auto"/>
          <w:highlight w:val="none"/>
        </w:rPr>
        <w:t>供应商公章：</w:t>
      </w:r>
      <w:r>
        <w:rPr>
          <w:rFonts w:hAnsi="宋体"/>
          <w:color w:val="auto"/>
          <w:highlight w:val="none"/>
          <w:u w:val="single"/>
        </w:rPr>
        <w:t xml:space="preserve">              </w:t>
      </w:r>
    </w:p>
    <w:p>
      <w:pPr>
        <w:pStyle w:val="23"/>
        <w:spacing w:line="600" w:lineRule="exact"/>
        <w:ind w:firstLine="420"/>
        <w:rPr>
          <w:rFonts w:hint="default" w:hAnsi="宋体"/>
          <w:color w:val="auto"/>
          <w:highlight w:val="none"/>
          <w:u w:val="single"/>
        </w:rPr>
      </w:pPr>
      <w:r>
        <w:rPr>
          <w:rFonts w:hAnsi="宋体"/>
          <w:color w:val="auto"/>
          <w:highlight w:val="none"/>
        </w:rPr>
        <w:t>法定代表人或委托代理人：</w:t>
      </w:r>
      <w:r>
        <w:rPr>
          <w:rFonts w:hAnsi="宋体"/>
          <w:color w:val="auto"/>
          <w:highlight w:val="none"/>
          <w:u w:val="single"/>
        </w:rPr>
        <w:t xml:space="preserve">              </w:t>
      </w:r>
      <w:r>
        <w:rPr>
          <w:rFonts w:hAnsi="宋体"/>
          <w:color w:val="auto"/>
          <w:highlight w:val="none"/>
        </w:rPr>
        <w:t>（签字或盖章）</w:t>
      </w:r>
    </w:p>
    <w:p>
      <w:pPr>
        <w:pStyle w:val="23"/>
        <w:spacing w:line="600" w:lineRule="exact"/>
        <w:ind w:firstLine="420"/>
        <w:rPr>
          <w:rFonts w:hint="default" w:hAnsi="宋体"/>
          <w:color w:val="auto"/>
          <w:highlight w:val="none"/>
        </w:rPr>
      </w:pPr>
      <w:r>
        <w:rPr>
          <w:rFonts w:hAnsi="宋体"/>
          <w:color w:val="auto"/>
          <w:highlight w:val="none"/>
        </w:rPr>
        <w:t xml:space="preserve">日期：  </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 xml:space="preserve"> 月 </w:t>
      </w:r>
      <w:r>
        <w:rPr>
          <w:rFonts w:hAnsi="宋体"/>
          <w:color w:val="auto"/>
          <w:highlight w:val="none"/>
          <w:u w:val="single"/>
        </w:rPr>
        <w:t xml:space="preserve">          </w:t>
      </w:r>
      <w:r>
        <w:rPr>
          <w:rFonts w:hAnsi="宋体"/>
          <w:color w:val="auto"/>
          <w:highlight w:val="none"/>
        </w:rPr>
        <w:t>日</w:t>
      </w:r>
    </w:p>
    <w:p>
      <w:pPr>
        <w:snapToGrid w:val="0"/>
        <w:spacing w:before="156" w:beforeLines="50" w:after="50"/>
        <w:jc w:val="center"/>
        <w:rPr>
          <w:rFonts w:hint="eastAsia" w:ascii="宋体" w:hAnsi="宋体"/>
          <w:b/>
          <w:color w:val="auto"/>
          <w:szCs w:val="21"/>
          <w:highlight w:val="none"/>
        </w:rPr>
      </w:pPr>
      <w:r>
        <w:rPr>
          <w:rFonts w:hint="eastAsia" w:ascii="宋体" w:hAnsi="宋体"/>
          <w:b/>
          <w:color w:val="auto"/>
          <w:szCs w:val="21"/>
          <w:highlight w:val="none"/>
        </w:rPr>
        <w:br w:type="page"/>
      </w:r>
    </w:p>
    <w:p>
      <w:pPr>
        <w:pStyle w:val="203"/>
        <w:jc w:val="center"/>
        <w:outlineLvl w:val="0"/>
        <w:rPr>
          <w:color w:val="auto"/>
          <w:sz w:val="32"/>
          <w:szCs w:val="32"/>
          <w:highlight w:val="none"/>
          <w:u w:val="single"/>
        </w:rPr>
      </w:pPr>
      <w:r>
        <w:rPr>
          <w:b/>
          <w:color w:val="auto"/>
          <w:sz w:val="28"/>
          <w:szCs w:val="28"/>
          <w:highlight w:val="none"/>
        </w:rPr>
        <w:t>项目经理（注册建造师）简历表</w:t>
      </w:r>
    </w:p>
    <w:p>
      <w:pPr>
        <w:pStyle w:val="203"/>
        <w:rPr>
          <w:color w:val="auto"/>
          <w:highlight w:val="none"/>
          <w:u w:val="single"/>
        </w:rPr>
      </w:pPr>
    </w:p>
    <w:p>
      <w:pPr>
        <w:pStyle w:val="203"/>
        <w:rPr>
          <w:color w:val="auto"/>
          <w:szCs w:val="21"/>
          <w:highlight w:val="none"/>
        </w:rPr>
      </w:pPr>
      <w:r>
        <w:rPr>
          <w:color w:val="auto"/>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招标工程项目名称</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工程</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szCs w:val="21"/>
                <w:highlight w:val="none"/>
              </w:rPr>
            </w:pPr>
            <w:r>
              <w:rPr>
                <w:color w:val="auto"/>
                <w:szCs w:val="21"/>
                <w:highlight w:val="none"/>
              </w:rPr>
              <w:t>姓名</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性别</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年龄</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szCs w:val="21"/>
                <w:highlight w:val="none"/>
              </w:rPr>
            </w:pPr>
            <w:r>
              <w:rPr>
                <w:color w:val="auto"/>
                <w:szCs w:val="21"/>
                <w:highlight w:val="none"/>
              </w:rPr>
              <w:t>职务</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职称</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学历</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szCs w:val="21"/>
                <w:highlight w:val="none"/>
              </w:rPr>
            </w:pPr>
            <w:r>
              <w:rPr>
                <w:color w:val="auto"/>
                <w:szCs w:val="21"/>
                <w:highlight w:val="none"/>
              </w:rPr>
              <w:t>参加工作时间</w:t>
            </w:r>
          </w:p>
        </w:tc>
        <w:tc>
          <w:tcPr>
            <w:tcW w:w="1893" w:type="dxa"/>
            <w:gridSpan w:val="2"/>
            <w:noWrap w:val="0"/>
            <w:vAlign w:val="center"/>
          </w:tcPr>
          <w:p>
            <w:pPr>
              <w:jc w:val="center"/>
              <w:rPr>
                <w:color w:val="auto"/>
                <w:szCs w:val="21"/>
                <w:highlight w:val="none"/>
              </w:rPr>
            </w:pPr>
          </w:p>
        </w:tc>
        <w:tc>
          <w:tcPr>
            <w:tcW w:w="2693" w:type="dxa"/>
            <w:gridSpan w:val="4"/>
            <w:noWrap w:val="0"/>
            <w:vAlign w:val="center"/>
          </w:tcPr>
          <w:p>
            <w:pPr>
              <w:jc w:val="center"/>
              <w:rPr>
                <w:color w:val="auto"/>
                <w:szCs w:val="21"/>
                <w:highlight w:val="none"/>
              </w:rPr>
            </w:pPr>
            <w:r>
              <w:rPr>
                <w:color w:val="auto"/>
                <w:szCs w:val="21"/>
                <w:highlight w:val="none"/>
              </w:rPr>
              <w:t>担任项目经理年限</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3423" w:type="dxa"/>
            <w:gridSpan w:val="4"/>
            <w:noWrap w:val="0"/>
            <w:vAlign w:val="center"/>
          </w:tcPr>
          <w:p>
            <w:pPr>
              <w:jc w:val="center"/>
              <w:rPr>
                <w:color w:val="auto"/>
                <w:szCs w:val="21"/>
                <w:highlight w:val="none"/>
              </w:rPr>
            </w:pPr>
            <w:r>
              <w:rPr>
                <w:rFonts w:hint="eastAsia"/>
                <w:color w:val="auto"/>
                <w:szCs w:val="21"/>
                <w:highlight w:val="none"/>
              </w:rPr>
              <w:t>建造师注册</w:t>
            </w:r>
            <w:r>
              <w:rPr>
                <w:color w:val="auto"/>
                <w:szCs w:val="21"/>
                <w:highlight w:val="none"/>
              </w:rPr>
              <w:t>编号</w:t>
            </w:r>
          </w:p>
        </w:tc>
        <w:tc>
          <w:tcPr>
            <w:tcW w:w="5862" w:type="dxa"/>
            <w:gridSpan w:val="7"/>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szCs w:val="21"/>
                <w:highlight w:val="none"/>
              </w:rPr>
            </w:pPr>
            <w:r>
              <w:rPr>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szCs w:val="21"/>
                <w:highlight w:val="none"/>
              </w:rPr>
            </w:pPr>
            <w:r>
              <w:rPr>
                <w:color w:val="auto"/>
                <w:szCs w:val="21"/>
                <w:highlight w:val="none"/>
              </w:rPr>
              <w:t>建设单位</w:t>
            </w:r>
          </w:p>
        </w:tc>
        <w:tc>
          <w:tcPr>
            <w:tcW w:w="1548" w:type="dxa"/>
            <w:noWrap w:val="0"/>
            <w:vAlign w:val="center"/>
          </w:tcPr>
          <w:p>
            <w:pPr>
              <w:jc w:val="center"/>
              <w:rPr>
                <w:color w:val="auto"/>
                <w:szCs w:val="21"/>
                <w:highlight w:val="none"/>
              </w:rPr>
            </w:pPr>
            <w:r>
              <w:rPr>
                <w:color w:val="auto"/>
                <w:szCs w:val="21"/>
                <w:highlight w:val="none"/>
              </w:rPr>
              <w:t>项目名称</w:t>
            </w:r>
          </w:p>
        </w:tc>
        <w:tc>
          <w:tcPr>
            <w:tcW w:w="1547" w:type="dxa"/>
            <w:gridSpan w:val="2"/>
            <w:noWrap w:val="0"/>
            <w:vAlign w:val="center"/>
          </w:tcPr>
          <w:p>
            <w:pPr>
              <w:jc w:val="center"/>
              <w:rPr>
                <w:color w:val="auto"/>
                <w:szCs w:val="21"/>
                <w:highlight w:val="none"/>
              </w:rPr>
            </w:pPr>
            <w:r>
              <w:rPr>
                <w:color w:val="auto"/>
                <w:szCs w:val="21"/>
                <w:highlight w:val="none"/>
              </w:rPr>
              <w:t>建设规模</w:t>
            </w:r>
          </w:p>
        </w:tc>
        <w:tc>
          <w:tcPr>
            <w:tcW w:w="1548" w:type="dxa"/>
            <w:gridSpan w:val="2"/>
            <w:noWrap w:val="0"/>
            <w:vAlign w:val="center"/>
          </w:tcPr>
          <w:p>
            <w:pPr>
              <w:jc w:val="center"/>
              <w:rPr>
                <w:color w:val="auto"/>
                <w:szCs w:val="21"/>
                <w:highlight w:val="none"/>
              </w:rPr>
            </w:pPr>
            <w:r>
              <w:rPr>
                <w:color w:val="auto"/>
                <w:szCs w:val="21"/>
                <w:highlight w:val="none"/>
              </w:rPr>
              <w:t>开、竣工日期</w:t>
            </w:r>
          </w:p>
        </w:tc>
        <w:tc>
          <w:tcPr>
            <w:tcW w:w="1547" w:type="dxa"/>
            <w:gridSpan w:val="2"/>
            <w:noWrap w:val="0"/>
            <w:vAlign w:val="center"/>
          </w:tcPr>
          <w:p>
            <w:pPr>
              <w:jc w:val="center"/>
              <w:rPr>
                <w:color w:val="auto"/>
                <w:szCs w:val="21"/>
                <w:highlight w:val="none"/>
              </w:rPr>
            </w:pPr>
            <w:r>
              <w:rPr>
                <w:color w:val="auto"/>
                <w:szCs w:val="21"/>
                <w:highlight w:val="none"/>
              </w:rPr>
              <w:t>在建或已完</w:t>
            </w:r>
          </w:p>
        </w:tc>
        <w:tc>
          <w:tcPr>
            <w:tcW w:w="1548" w:type="dxa"/>
            <w:gridSpan w:val="2"/>
            <w:noWrap w:val="0"/>
            <w:vAlign w:val="center"/>
          </w:tcPr>
          <w:p>
            <w:pPr>
              <w:jc w:val="center"/>
              <w:rPr>
                <w:color w:val="auto"/>
                <w:szCs w:val="21"/>
                <w:highlight w:val="none"/>
              </w:rPr>
            </w:pPr>
            <w:r>
              <w:rPr>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bl>
    <w:p>
      <w:pPr>
        <w:spacing w:line="360" w:lineRule="auto"/>
        <w:rPr>
          <w:color w:val="auto"/>
          <w:szCs w:val="21"/>
          <w:highlight w:val="none"/>
        </w:rPr>
      </w:pPr>
    </w:p>
    <w:p>
      <w:pPr>
        <w:pStyle w:val="69"/>
        <w:rPr>
          <w:color w:val="auto"/>
          <w:sz w:val="21"/>
          <w:szCs w:val="21"/>
          <w:highlight w:val="none"/>
        </w:rPr>
      </w:pPr>
    </w:p>
    <w:p>
      <w:pPr>
        <w:pStyle w:val="69"/>
        <w:rPr>
          <w:color w:val="auto"/>
          <w:sz w:val="21"/>
          <w:szCs w:val="21"/>
          <w:highlight w:val="none"/>
        </w:rPr>
      </w:pPr>
    </w:p>
    <w:p>
      <w:pPr>
        <w:spacing w:line="360" w:lineRule="auto"/>
        <w:rPr>
          <w:rFonts w:eastAsia="楷体_GB2312"/>
          <w:color w:val="auto"/>
          <w:highlight w:val="none"/>
        </w:rPr>
      </w:pPr>
      <w:r>
        <w:rPr>
          <w:rFonts w:eastAsia="楷体_GB2312"/>
          <w:color w:val="auto"/>
          <w:highlight w:val="none"/>
        </w:rPr>
        <w:t>备注：</w:t>
      </w:r>
    </w:p>
    <w:p>
      <w:pPr>
        <w:spacing w:line="360" w:lineRule="auto"/>
        <w:ind w:firstLine="420" w:firstLineChars="200"/>
        <w:rPr>
          <w:rFonts w:eastAsia="楷体_GB2312"/>
          <w:color w:val="auto"/>
          <w:highlight w:val="none"/>
        </w:rPr>
      </w:pPr>
      <w:r>
        <w:rPr>
          <w:rFonts w:eastAsia="楷体_GB2312"/>
          <w:color w:val="auto"/>
          <w:highlight w:val="none"/>
        </w:rPr>
        <w:t>1、</w:t>
      </w:r>
      <w:r>
        <w:rPr>
          <w:rFonts w:hint="eastAsia" w:eastAsia="楷体_GB2312"/>
          <w:color w:val="auto"/>
          <w:highlight w:val="none"/>
        </w:rPr>
        <w:t>附项目经理注册建造师注册证书、安全生产考核合格证书（B证）和已完工程</w:t>
      </w:r>
      <w:r>
        <w:rPr>
          <w:rFonts w:eastAsia="楷体_GB2312"/>
          <w:color w:val="auto"/>
          <w:highlight w:val="none"/>
        </w:rPr>
        <w:t>中标通知书</w:t>
      </w:r>
      <w:r>
        <w:rPr>
          <w:rFonts w:hint="eastAsia" w:eastAsia="楷体_GB2312"/>
          <w:color w:val="auto"/>
          <w:highlight w:val="none"/>
        </w:rPr>
        <w:t>（如有）或</w:t>
      </w:r>
      <w:r>
        <w:rPr>
          <w:rFonts w:eastAsia="楷体_GB2312"/>
          <w:color w:val="auto"/>
          <w:highlight w:val="none"/>
        </w:rPr>
        <w:t>工程合同协议书</w:t>
      </w:r>
      <w:r>
        <w:rPr>
          <w:rFonts w:hint="eastAsia" w:eastAsia="楷体_GB2312"/>
          <w:color w:val="auto"/>
          <w:highlight w:val="none"/>
        </w:rPr>
        <w:t>或</w:t>
      </w:r>
      <w:r>
        <w:rPr>
          <w:rFonts w:eastAsia="楷体_GB2312"/>
          <w:color w:val="auto"/>
          <w:highlight w:val="none"/>
        </w:rPr>
        <w:t>工程竣工验收证明材料</w:t>
      </w:r>
      <w:r>
        <w:rPr>
          <w:rFonts w:hint="eastAsia" w:eastAsia="楷体_GB2312"/>
          <w:color w:val="auto"/>
          <w:highlight w:val="none"/>
        </w:rPr>
        <w:t>的复印件，以及供应商认为需要增加的其他证明材料复印件，</w:t>
      </w:r>
      <w:r>
        <w:rPr>
          <w:rFonts w:eastAsia="楷体_GB2312"/>
          <w:color w:val="auto"/>
          <w:highlight w:val="none"/>
        </w:rPr>
        <w:t>以</w:t>
      </w:r>
      <w:r>
        <w:rPr>
          <w:rFonts w:hint="eastAsia" w:eastAsia="楷体_GB2312"/>
          <w:color w:val="auto"/>
          <w:highlight w:val="none"/>
        </w:rPr>
        <w:t>上</w:t>
      </w:r>
      <w:r>
        <w:rPr>
          <w:rFonts w:eastAsia="楷体_GB2312"/>
          <w:color w:val="auto"/>
          <w:highlight w:val="none"/>
        </w:rPr>
        <w:t>复印件均须加盖</w:t>
      </w:r>
      <w:r>
        <w:rPr>
          <w:rFonts w:hint="eastAsia" w:eastAsia="楷体_GB2312"/>
          <w:color w:val="auto"/>
          <w:highlight w:val="none"/>
        </w:rPr>
        <w:t>供应商</w:t>
      </w:r>
      <w:r>
        <w:rPr>
          <w:rFonts w:eastAsia="楷体_GB2312"/>
          <w:color w:val="auto"/>
          <w:highlight w:val="none"/>
        </w:rPr>
        <w:t>单位公章</w:t>
      </w:r>
      <w:r>
        <w:rPr>
          <w:rFonts w:hint="eastAsia" w:eastAsia="楷体_GB2312"/>
          <w:color w:val="auto"/>
          <w:highlight w:val="none"/>
        </w:rPr>
        <w:t>。</w:t>
      </w:r>
    </w:p>
    <w:p>
      <w:pPr>
        <w:spacing w:line="360" w:lineRule="auto"/>
        <w:ind w:firstLine="420" w:firstLineChars="200"/>
        <w:rPr>
          <w:rFonts w:eastAsia="楷体_GB2312"/>
          <w:color w:val="auto"/>
          <w:highlight w:val="none"/>
        </w:rPr>
      </w:pPr>
      <w:r>
        <w:rPr>
          <w:rFonts w:hint="eastAsia" w:eastAsia="楷体_GB2312"/>
          <w:color w:val="auto"/>
          <w:highlight w:val="none"/>
        </w:rPr>
        <w:t>2、在建工程和该项目经理在供应商以外的其他单位完成的工程项目，其相关证明材料不需提供复印件。</w:t>
      </w:r>
    </w:p>
    <w:p>
      <w:pPr>
        <w:spacing w:before="120" w:beforeLines="50"/>
        <w:ind w:firstLine="420" w:firstLineChars="200"/>
        <w:rPr>
          <w:rFonts w:eastAsia="楷体_GB2312"/>
          <w:color w:val="auto"/>
          <w:szCs w:val="21"/>
          <w:highlight w:val="none"/>
        </w:rPr>
      </w:pPr>
    </w:p>
    <w:p>
      <w:pPr>
        <w:pStyle w:val="203"/>
        <w:jc w:val="center"/>
        <w:outlineLvl w:val="0"/>
        <w:rPr>
          <w:rFonts w:hint="eastAsia"/>
          <w:color w:val="auto"/>
          <w:sz w:val="32"/>
          <w:szCs w:val="32"/>
          <w:highlight w:val="none"/>
          <w:u w:val="single"/>
        </w:rPr>
      </w:pPr>
      <w:r>
        <w:rPr>
          <w:b/>
          <w:color w:val="auto"/>
          <w:sz w:val="32"/>
          <w:szCs w:val="32"/>
          <w:highlight w:val="none"/>
        </w:rPr>
        <w:br w:type="page"/>
      </w:r>
      <w:r>
        <w:rPr>
          <w:rFonts w:hint="eastAsia"/>
          <w:b/>
          <w:color w:val="auto"/>
          <w:sz w:val="28"/>
          <w:szCs w:val="28"/>
          <w:highlight w:val="none"/>
        </w:rPr>
        <w:t>专职安全员</w:t>
      </w:r>
      <w:r>
        <w:rPr>
          <w:b/>
          <w:color w:val="auto"/>
          <w:sz w:val="28"/>
          <w:szCs w:val="28"/>
          <w:highlight w:val="none"/>
        </w:rPr>
        <w:t>简历表</w:t>
      </w:r>
    </w:p>
    <w:p>
      <w:pPr>
        <w:pStyle w:val="203"/>
        <w:rPr>
          <w:color w:val="auto"/>
          <w:highlight w:val="none"/>
          <w:u w:val="single"/>
        </w:rPr>
      </w:pPr>
    </w:p>
    <w:p>
      <w:pPr>
        <w:pStyle w:val="203"/>
        <w:rPr>
          <w:color w:val="auto"/>
          <w:szCs w:val="21"/>
          <w:highlight w:val="none"/>
        </w:rPr>
      </w:pPr>
      <w:r>
        <w:rPr>
          <w:color w:val="auto"/>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招标工程项目名称</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工程</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szCs w:val="21"/>
                <w:highlight w:val="none"/>
              </w:rPr>
            </w:pPr>
            <w:r>
              <w:rPr>
                <w:color w:val="auto"/>
                <w:szCs w:val="21"/>
                <w:highlight w:val="none"/>
              </w:rPr>
              <w:t>姓名</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性别</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年龄</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szCs w:val="21"/>
                <w:highlight w:val="none"/>
              </w:rPr>
            </w:pPr>
            <w:r>
              <w:rPr>
                <w:color w:val="auto"/>
                <w:szCs w:val="21"/>
                <w:highlight w:val="none"/>
              </w:rPr>
              <w:t>职务</w:t>
            </w:r>
          </w:p>
        </w:tc>
        <w:tc>
          <w:tcPr>
            <w:tcW w:w="2340" w:type="dxa"/>
            <w:gridSpan w:val="3"/>
            <w:noWrap w:val="0"/>
            <w:vAlign w:val="center"/>
          </w:tcPr>
          <w:p>
            <w:pPr>
              <w:jc w:val="center"/>
              <w:rPr>
                <w:color w:val="auto"/>
                <w:szCs w:val="21"/>
                <w:highlight w:val="none"/>
              </w:rPr>
            </w:pPr>
          </w:p>
        </w:tc>
        <w:tc>
          <w:tcPr>
            <w:tcW w:w="1893" w:type="dxa"/>
            <w:gridSpan w:val="2"/>
            <w:noWrap w:val="0"/>
            <w:vAlign w:val="center"/>
          </w:tcPr>
          <w:p>
            <w:pPr>
              <w:jc w:val="center"/>
              <w:rPr>
                <w:color w:val="auto"/>
                <w:szCs w:val="21"/>
                <w:highlight w:val="none"/>
              </w:rPr>
            </w:pPr>
            <w:r>
              <w:rPr>
                <w:color w:val="auto"/>
                <w:szCs w:val="21"/>
                <w:highlight w:val="none"/>
              </w:rPr>
              <w:t>职称</w:t>
            </w:r>
          </w:p>
        </w:tc>
        <w:tc>
          <w:tcPr>
            <w:tcW w:w="1585" w:type="dxa"/>
            <w:gridSpan w:val="2"/>
            <w:noWrap w:val="0"/>
            <w:vAlign w:val="center"/>
          </w:tcPr>
          <w:p>
            <w:pPr>
              <w:jc w:val="center"/>
              <w:rPr>
                <w:color w:val="auto"/>
                <w:szCs w:val="21"/>
                <w:highlight w:val="none"/>
              </w:rPr>
            </w:pPr>
          </w:p>
        </w:tc>
        <w:tc>
          <w:tcPr>
            <w:tcW w:w="1108" w:type="dxa"/>
            <w:gridSpan w:val="2"/>
            <w:noWrap w:val="0"/>
            <w:vAlign w:val="center"/>
          </w:tcPr>
          <w:p>
            <w:pPr>
              <w:jc w:val="center"/>
              <w:rPr>
                <w:color w:val="auto"/>
                <w:szCs w:val="21"/>
                <w:highlight w:val="none"/>
              </w:rPr>
            </w:pPr>
            <w:r>
              <w:rPr>
                <w:color w:val="auto"/>
                <w:szCs w:val="21"/>
                <w:highlight w:val="none"/>
              </w:rPr>
              <w:t>学历</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szCs w:val="21"/>
                <w:highlight w:val="none"/>
              </w:rPr>
            </w:pPr>
            <w:r>
              <w:rPr>
                <w:color w:val="auto"/>
                <w:szCs w:val="21"/>
                <w:highlight w:val="none"/>
              </w:rPr>
              <w:t>参加工作时间</w:t>
            </w:r>
          </w:p>
        </w:tc>
        <w:tc>
          <w:tcPr>
            <w:tcW w:w="1893" w:type="dxa"/>
            <w:gridSpan w:val="2"/>
            <w:noWrap w:val="0"/>
            <w:vAlign w:val="center"/>
          </w:tcPr>
          <w:p>
            <w:pPr>
              <w:jc w:val="center"/>
              <w:rPr>
                <w:color w:val="auto"/>
                <w:szCs w:val="21"/>
                <w:highlight w:val="none"/>
              </w:rPr>
            </w:pPr>
          </w:p>
        </w:tc>
        <w:tc>
          <w:tcPr>
            <w:tcW w:w="2693" w:type="dxa"/>
            <w:gridSpan w:val="4"/>
            <w:noWrap w:val="0"/>
            <w:vAlign w:val="center"/>
          </w:tcPr>
          <w:p>
            <w:pPr>
              <w:jc w:val="center"/>
              <w:rPr>
                <w:color w:val="auto"/>
                <w:szCs w:val="21"/>
                <w:highlight w:val="none"/>
              </w:rPr>
            </w:pPr>
            <w:r>
              <w:rPr>
                <w:color w:val="auto"/>
                <w:szCs w:val="21"/>
                <w:highlight w:val="none"/>
              </w:rPr>
              <w:t>担任年限</w:t>
            </w:r>
          </w:p>
        </w:tc>
        <w:tc>
          <w:tcPr>
            <w:tcW w:w="1276"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3423" w:type="dxa"/>
            <w:gridSpan w:val="4"/>
            <w:noWrap w:val="0"/>
            <w:vAlign w:val="center"/>
          </w:tcPr>
          <w:p>
            <w:pPr>
              <w:jc w:val="center"/>
              <w:rPr>
                <w:color w:val="auto"/>
                <w:szCs w:val="21"/>
                <w:highlight w:val="none"/>
              </w:rPr>
            </w:pPr>
            <w:r>
              <w:rPr>
                <w:rFonts w:hint="eastAsia"/>
                <w:color w:val="auto"/>
                <w:szCs w:val="21"/>
                <w:highlight w:val="none"/>
              </w:rPr>
              <w:t>证书</w:t>
            </w:r>
            <w:r>
              <w:rPr>
                <w:color w:val="auto"/>
                <w:szCs w:val="21"/>
                <w:highlight w:val="none"/>
              </w:rPr>
              <w:t>编号</w:t>
            </w:r>
          </w:p>
        </w:tc>
        <w:tc>
          <w:tcPr>
            <w:tcW w:w="5862" w:type="dxa"/>
            <w:gridSpan w:val="7"/>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szCs w:val="21"/>
                <w:highlight w:val="none"/>
              </w:rPr>
            </w:pPr>
            <w:r>
              <w:rPr>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szCs w:val="21"/>
                <w:highlight w:val="none"/>
              </w:rPr>
            </w:pPr>
            <w:r>
              <w:rPr>
                <w:color w:val="auto"/>
                <w:szCs w:val="21"/>
                <w:highlight w:val="none"/>
              </w:rPr>
              <w:t>建设单位</w:t>
            </w:r>
          </w:p>
        </w:tc>
        <w:tc>
          <w:tcPr>
            <w:tcW w:w="1548" w:type="dxa"/>
            <w:noWrap w:val="0"/>
            <w:vAlign w:val="center"/>
          </w:tcPr>
          <w:p>
            <w:pPr>
              <w:jc w:val="center"/>
              <w:rPr>
                <w:color w:val="auto"/>
                <w:szCs w:val="21"/>
                <w:highlight w:val="none"/>
              </w:rPr>
            </w:pPr>
            <w:r>
              <w:rPr>
                <w:color w:val="auto"/>
                <w:szCs w:val="21"/>
                <w:highlight w:val="none"/>
              </w:rPr>
              <w:t>项目名称</w:t>
            </w:r>
          </w:p>
        </w:tc>
        <w:tc>
          <w:tcPr>
            <w:tcW w:w="1547" w:type="dxa"/>
            <w:gridSpan w:val="2"/>
            <w:noWrap w:val="0"/>
            <w:vAlign w:val="center"/>
          </w:tcPr>
          <w:p>
            <w:pPr>
              <w:jc w:val="center"/>
              <w:rPr>
                <w:color w:val="auto"/>
                <w:szCs w:val="21"/>
                <w:highlight w:val="none"/>
              </w:rPr>
            </w:pPr>
            <w:r>
              <w:rPr>
                <w:color w:val="auto"/>
                <w:szCs w:val="21"/>
                <w:highlight w:val="none"/>
              </w:rPr>
              <w:t>建设规模</w:t>
            </w:r>
          </w:p>
        </w:tc>
        <w:tc>
          <w:tcPr>
            <w:tcW w:w="1548" w:type="dxa"/>
            <w:gridSpan w:val="2"/>
            <w:noWrap w:val="0"/>
            <w:vAlign w:val="center"/>
          </w:tcPr>
          <w:p>
            <w:pPr>
              <w:jc w:val="center"/>
              <w:rPr>
                <w:color w:val="auto"/>
                <w:szCs w:val="21"/>
                <w:highlight w:val="none"/>
              </w:rPr>
            </w:pPr>
            <w:r>
              <w:rPr>
                <w:color w:val="auto"/>
                <w:szCs w:val="21"/>
                <w:highlight w:val="none"/>
              </w:rPr>
              <w:t>开、竣工日期</w:t>
            </w:r>
          </w:p>
        </w:tc>
        <w:tc>
          <w:tcPr>
            <w:tcW w:w="1547" w:type="dxa"/>
            <w:gridSpan w:val="2"/>
            <w:noWrap w:val="0"/>
            <w:vAlign w:val="center"/>
          </w:tcPr>
          <w:p>
            <w:pPr>
              <w:jc w:val="center"/>
              <w:rPr>
                <w:color w:val="auto"/>
                <w:szCs w:val="21"/>
                <w:highlight w:val="none"/>
              </w:rPr>
            </w:pPr>
            <w:r>
              <w:rPr>
                <w:color w:val="auto"/>
                <w:szCs w:val="21"/>
                <w:highlight w:val="none"/>
              </w:rPr>
              <w:t>在建或已完</w:t>
            </w:r>
          </w:p>
        </w:tc>
        <w:tc>
          <w:tcPr>
            <w:tcW w:w="1548" w:type="dxa"/>
            <w:gridSpan w:val="2"/>
            <w:noWrap w:val="0"/>
            <w:vAlign w:val="center"/>
          </w:tcPr>
          <w:p>
            <w:pPr>
              <w:jc w:val="center"/>
              <w:rPr>
                <w:color w:val="auto"/>
                <w:szCs w:val="21"/>
                <w:highlight w:val="none"/>
              </w:rPr>
            </w:pPr>
            <w:r>
              <w:rPr>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szCs w:val="21"/>
                <w:highlight w:val="none"/>
              </w:rPr>
            </w:pPr>
          </w:p>
        </w:tc>
        <w:tc>
          <w:tcPr>
            <w:tcW w:w="1548" w:type="dxa"/>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c>
          <w:tcPr>
            <w:tcW w:w="1547" w:type="dxa"/>
            <w:gridSpan w:val="2"/>
            <w:noWrap w:val="0"/>
            <w:vAlign w:val="center"/>
          </w:tcPr>
          <w:p>
            <w:pPr>
              <w:jc w:val="center"/>
              <w:rPr>
                <w:color w:val="auto"/>
                <w:szCs w:val="21"/>
                <w:highlight w:val="none"/>
              </w:rPr>
            </w:pPr>
          </w:p>
        </w:tc>
        <w:tc>
          <w:tcPr>
            <w:tcW w:w="1548" w:type="dxa"/>
            <w:gridSpan w:val="2"/>
            <w:noWrap w:val="0"/>
            <w:vAlign w:val="center"/>
          </w:tcPr>
          <w:p>
            <w:pPr>
              <w:jc w:val="center"/>
              <w:rPr>
                <w:color w:val="auto"/>
                <w:szCs w:val="21"/>
                <w:highlight w:val="none"/>
              </w:rPr>
            </w:pPr>
          </w:p>
        </w:tc>
      </w:tr>
    </w:tbl>
    <w:p>
      <w:pPr>
        <w:spacing w:line="360" w:lineRule="auto"/>
        <w:rPr>
          <w:color w:val="auto"/>
          <w:szCs w:val="21"/>
          <w:highlight w:val="none"/>
        </w:rPr>
      </w:pPr>
    </w:p>
    <w:p>
      <w:pPr>
        <w:pStyle w:val="69"/>
        <w:rPr>
          <w:color w:val="auto"/>
          <w:sz w:val="21"/>
          <w:szCs w:val="21"/>
          <w:highlight w:val="none"/>
        </w:rPr>
      </w:pPr>
    </w:p>
    <w:p>
      <w:pPr>
        <w:pStyle w:val="69"/>
        <w:rPr>
          <w:color w:val="auto"/>
          <w:sz w:val="21"/>
          <w:szCs w:val="21"/>
          <w:highlight w:val="none"/>
        </w:rPr>
      </w:pPr>
    </w:p>
    <w:p>
      <w:pPr>
        <w:spacing w:line="360" w:lineRule="auto"/>
        <w:rPr>
          <w:rFonts w:eastAsia="楷体_GB2312"/>
          <w:color w:val="auto"/>
          <w:highlight w:val="none"/>
        </w:rPr>
      </w:pPr>
      <w:r>
        <w:rPr>
          <w:rFonts w:eastAsia="楷体_GB2312"/>
          <w:color w:val="auto"/>
          <w:highlight w:val="none"/>
        </w:rPr>
        <w:t>备注：</w:t>
      </w:r>
    </w:p>
    <w:p>
      <w:pPr>
        <w:spacing w:line="360" w:lineRule="auto"/>
        <w:ind w:firstLine="420" w:firstLineChars="200"/>
        <w:rPr>
          <w:rFonts w:hint="eastAsia" w:eastAsia="楷体_GB2312"/>
          <w:color w:val="auto"/>
          <w:highlight w:val="none"/>
        </w:rPr>
      </w:pPr>
      <w:r>
        <w:rPr>
          <w:rFonts w:eastAsia="楷体_GB2312"/>
          <w:color w:val="auto"/>
          <w:highlight w:val="none"/>
        </w:rPr>
        <w:t>1、</w:t>
      </w:r>
      <w:r>
        <w:rPr>
          <w:rFonts w:hint="eastAsia" w:eastAsia="楷体_GB2312"/>
          <w:color w:val="auto"/>
          <w:highlight w:val="none"/>
        </w:rPr>
        <w:t>附专职安全员安全生产考核合格证书(C类)的复印件) (加盖单位公章，必须提供)和已完工程中标通知书(如有)或工程合同协议书或工程竣工验收证明材料的复印件，以及供应商认为需要增加的其他证明材料复印件，以上复印件须加盖供应商单位公章。</w:t>
      </w:r>
    </w:p>
    <w:p>
      <w:pPr>
        <w:spacing w:line="360" w:lineRule="auto"/>
        <w:ind w:firstLine="420" w:firstLineChars="200"/>
        <w:rPr>
          <w:rFonts w:eastAsia="楷体_GB2312"/>
          <w:color w:val="auto"/>
          <w:highlight w:val="none"/>
        </w:rPr>
      </w:pPr>
      <w:r>
        <w:rPr>
          <w:rFonts w:hint="eastAsia" w:eastAsia="楷体_GB2312"/>
          <w:color w:val="auto"/>
          <w:highlight w:val="none"/>
        </w:rPr>
        <w:t>2、在建工程和该项目经理在供应商以外的其他单位完成的工程项目，其相关证明材料不需提供复印件。</w:t>
      </w:r>
    </w:p>
    <w:p>
      <w:pPr>
        <w:spacing w:before="120" w:beforeLines="50"/>
        <w:ind w:firstLine="420" w:firstLineChars="200"/>
        <w:rPr>
          <w:rFonts w:eastAsia="楷体_GB2312"/>
          <w:color w:val="auto"/>
          <w:szCs w:val="21"/>
          <w:highlight w:val="none"/>
        </w:rPr>
      </w:pPr>
    </w:p>
    <w:p>
      <w:pPr>
        <w:jc w:val="center"/>
        <w:rPr>
          <w:rFonts w:ascii="宋体"/>
          <w:b/>
          <w:bCs/>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28"/>
          <w:szCs w:val="28"/>
          <w:highlight w:val="none"/>
        </w:rPr>
        <w:t>建设工程项目管理承诺书</w:t>
      </w:r>
    </w:p>
    <w:p>
      <w:pPr>
        <w:spacing w:line="360" w:lineRule="auto"/>
        <w:jc w:val="center"/>
        <w:rPr>
          <w:rFonts w:ascii="宋体"/>
          <w:b/>
          <w:bCs/>
          <w:color w:val="auto"/>
          <w:sz w:val="24"/>
          <w:highlight w:val="none"/>
        </w:rPr>
      </w:pPr>
    </w:p>
    <w:p>
      <w:pPr>
        <w:spacing w:line="480" w:lineRule="auto"/>
        <w:jc w:val="lef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（招标人名称）：</w:t>
      </w:r>
    </w:p>
    <w:p>
      <w:pPr>
        <w:spacing w:line="480" w:lineRule="auto"/>
        <w:ind w:left="-10" w:firstLine="455" w:firstLineChars="217"/>
        <w:jc w:val="left"/>
        <w:rPr>
          <w:rFonts w:ascii="宋体"/>
          <w:color w:val="auto"/>
          <w:szCs w:val="21"/>
          <w:highlight w:val="none"/>
        </w:rPr>
      </w:pPr>
      <w:r>
        <w:rPr>
          <w:rFonts w:hint="eastAsia" w:ascii="宋体" w:hAnsi="宋体"/>
          <w:color w:val="auto"/>
          <w:szCs w:val="21"/>
          <w:highlight w:val="none"/>
        </w:rPr>
        <w:t>作为参与</w:t>
      </w:r>
      <w:r>
        <w:rPr>
          <w:rFonts w:ascii="宋体" w:hAnsi="宋体"/>
          <w:color w:val="auto"/>
          <w:szCs w:val="21"/>
          <w:highlight w:val="none"/>
          <w:u w:val="single"/>
        </w:rPr>
        <w:t xml:space="preserve">                  </w:t>
      </w:r>
      <w:r>
        <w:rPr>
          <w:rFonts w:hint="eastAsia" w:ascii="宋体" w:hAnsi="宋体"/>
          <w:color w:val="auto"/>
          <w:szCs w:val="21"/>
          <w:highlight w:val="none"/>
        </w:rPr>
        <w:t>（工程名称）项目的磋商方，根据国家、自治区相关文件规定，我方在此向招标人承诺：</w:t>
      </w:r>
    </w:p>
    <w:p>
      <w:pPr>
        <w:spacing w:line="480" w:lineRule="auto"/>
        <w:ind w:left="-10" w:firstLine="455" w:firstLineChars="217"/>
        <w:jc w:val="lef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、一旦中标，我方保证按照政府相关部门的规定，在发出中标通知书之日起</w:t>
      </w:r>
      <w:r>
        <w:rPr>
          <w:rFonts w:ascii="宋体" w:hAnsi="宋体"/>
          <w:color w:val="auto"/>
          <w:szCs w:val="21"/>
          <w:highlight w:val="none"/>
        </w:rPr>
        <w:t>7</w:t>
      </w:r>
      <w:r>
        <w:rPr>
          <w:rFonts w:hint="eastAsia" w:ascii="宋体" w:hAnsi="宋体"/>
          <w:color w:val="auto"/>
          <w:szCs w:val="21"/>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宋体" w:hAnsi="宋体"/>
          <w:color w:val="auto"/>
          <w:szCs w:val="21"/>
          <w:highlight w:val="none"/>
        </w:rPr>
        <w:t>2009</w:t>
      </w:r>
      <w:r>
        <w:rPr>
          <w:rFonts w:hint="eastAsia" w:ascii="宋体" w:hAnsi="宋体"/>
          <w:color w:val="auto"/>
          <w:szCs w:val="21"/>
          <w:highlight w:val="none"/>
        </w:rPr>
        <w:t>〕</w:t>
      </w:r>
      <w:r>
        <w:rPr>
          <w:rFonts w:ascii="宋体" w:hAnsi="宋体"/>
          <w:color w:val="auto"/>
          <w:szCs w:val="21"/>
          <w:highlight w:val="none"/>
        </w:rPr>
        <w:t>50</w:t>
      </w:r>
      <w:r>
        <w:rPr>
          <w:rFonts w:hint="eastAsia" w:ascii="宋体" w:hAnsi="宋体"/>
          <w:color w:val="auto"/>
          <w:szCs w:val="21"/>
          <w:highlight w:val="none"/>
        </w:rPr>
        <w:t>号）从我方农民工工资保障金中先予划支。</w:t>
      </w:r>
    </w:p>
    <w:p>
      <w:pPr>
        <w:spacing w:line="480" w:lineRule="auto"/>
        <w:ind w:left="-10" w:firstLine="455" w:firstLineChars="217"/>
        <w:jc w:val="lef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、一旦中标，我方保证在施工过程中，严格执行《广西壮族自治区建设工程安全文明施工费使用管理细则》（桂建质【</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号）的有关规定，确保建设工程各项安全防护、文明施工措施落实到位。如我方在该项目的承包中出现未按桂建质【</w:t>
      </w:r>
      <w:r>
        <w:rPr>
          <w:rFonts w:ascii="宋体" w:hAnsi="宋体"/>
          <w:color w:val="auto"/>
          <w:szCs w:val="21"/>
          <w:highlight w:val="none"/>
        </w:rPr>
        <w:t>2015</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号文附件一规定执行的情形，我方愿意按照相关规定接受建设单位及有关主管部门的处罚。</w:t>
      </w:r>
    </w:p>
    <w:p>
      <w:pPr>
        <w:spacing w:line="480" w:lineRule="auto"/>
        <w:ind w:left="-2" w:leftChars="-1" w:firstLine="449" w:firstLineChars="214"/>
        <w:jc w:val="lef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480" w:lineRule="auto"/>
        <w:ind w:left="-10" w:firstLine="455" w:firstLineChars="217"/>
        <w:jc w:val="left"/>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、一旦中标，我方保证在施工过程中，严格执行《关于禁止使用不符合规范要求的竹脚手架的通知》（桂建管字〔</w:t>
      </w:r>
      <w:r>
        <w:rPr>
          <w:rFonts w:ascii="宋体" w:hAnsi="宋体"/>
          <w:color w:val="auto"/>
          <w:szCs w:val="21"/>
          <w:highlight w:val="none"/>
        </w:rPr>
        <w:t>2003</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号）的有关规定，不使用竹脚手架。如我方在该项目的承包中出现未按规定执行的情形，我方愿意按照相关规定接受建设单位及有关主管部门的处罚。</w:t>
      </w:r>
    </w:p>
    <w:p>
      <w:pPr>
        <w:spacing w:line="360" w:lineRule="auto"/>
        <w:jc w:val="left"/>
        <w:rPr>
          <w:rFonts w:ascii="宋体"/>
          <w:color w:val="auto"/>
          <w:szCs w:val="21"/>
          <w:highlight w:val="none"/>
        </w:rPr>
      </w:pPr>
    </w:p>
    <w:p>
      <w:pPr>
        <w:pStyle w:val="69"/>
        <w:rPr>
          <w:rFonts w:ascii="宋体"/>
          <w:color w:val="auto"/>
          <w:sz w:val="21"/>
          <w:szCs w:val="21"/>
          <w:highlight w:val="none"/>
        </w:rPr>
      </w:pPr>
    </w:p>
    <w:p>
      <w:pPr>
        <w:pStyle w:val="69"/>
        <w:rPr>
          <w:rFonts w:ascii="宋体"/>
          <w:color w:val="auto"/>
          <w:sz w:val="21"/>
          <w:szCs w:val="21"/>
          <w:highlight w:val="none"/>
        </w:rPr>
      </w:pPr>
    </w:p>
    <w:p>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法定代表人或授权代理人：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（签字或盖章）</w:t>
      </w:r>
    </w:p>
    <w:p>
      <w:pPr>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center"/>
        <w:rPr>
          <w:rFonts w:hint="eastAsia" w:ascii="宋体" w:hAnsi="宋体" w:cs="宋体"/>
          <w:b/>
          <w:color w:val="auto"/>
          <w:szCs w:val="21"/>
          <w:highlight w:val="none"/>
        </w:rPr>
      </w:pPr>
      <w:r>
        <w:rPr>
          <w:rFonts w:hint="eastAsia" w:ascii="宋体" w:hAnsi="宋体"/>
          <w:color w:val="auto"/>
          <w:szCs w:val="21"/>
          <w:highlight w:val="none"/>
        </w:rPr>
        <w:br w:type="page"/>
      </w:r>
      <w:r>
        <w:rPr>
          <w:rFonts w:hint="eastAsia" w:ascii="宋体" w:hAnsi="宋体" w:cs="宋体"/>
          <w:b/>
          <w:color w:val="auto"/>
          <w:szCs w:val="21"/>
          <w:highlight w:val="none"/>
        </w:rPr>
        <w:t>广西壮族自治区建筑工程安全文明施工措施项目清单内容</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（桂建质【2015】16号文附件一）</w:t>
      </w:r>
    </w:p>
    <w:p>
      <w:pPr>
        <w:spacing w:line="360" w:lineRule="auto"/>
        <w:jc w:val="center"/>
        <w:rPr>
          <w:rFonts w:hint="eastAsia" w:ascii="宋体" w:hAnsi="宋体" w:cs="宋体"/>
          <w:color w:val="auto"/>
          <w:szCs w:val="21"/>
          <w:highlight w:val="none"/>
        </w:rPr>
      </w:pPr>
    </w:p>
    <w:p>
      <w:pPr>
        <w:spacing w:line="240" w:lineRule="atLeast"/>
        <w:jc w:val="center"/>
        <w:rPr>
          <w:rFonts w:hint="eastAsia" w:ascii="宋体" w:hAnsi="宋体" w:cs="宋体"/>
          <w:b/>
          <w:bCs/>
          <w:color w:val="auto"/>
          <w:w w:val="90"/>
          <w:szCs w:val="21"/>
          <w:highlight w:val="none"/>
        </w:rPr>
      </w:pPr>
      <w:r>
        <w:rPr>
          <w:rFonts w:hint="eastAsia" w:ascii="宋体" w:hAnsi="宋体" w:cs="宋体"/>
          <w:b/>
          <w:bCs/>
          <w:color w:val="auto"/>
          <w:szCs w:val="21"/>
          <w:highlight w:val="none"/>
        </w:rPr>
        <w:t>广西壮族自治区</w:t>
      </w:r>
      <w:r>
        <w:rPr>
          <w:rFonts w:hint="eastAsia" w:ascii="宋体" w:hAnsi="宋体" w:cs="宋体"/>
          <w:b/>
          <w:bCs/>
          <w:color w:val="auto"/>
          <w:w w:val="90"/>
          <w:szCs w:val="21"/>
          <w:highlight w:val="none"/>
        </w:rPr>
        <w:t>建设工程安全文明施工措施项目清单内容</w:t>
      </w:r>
    </w:p>
    <w:p>
      <w:pPr>
        <w:spacing w:line="240" w:lineRule="atLeast"/>
        <w:jc w:val="center"/>
        <w:rPr>
          <w:rFonts w:hint="eastAsia" w:ascii="宋体" w:hAnsi="宋体" w:cs="宋体"/>
          <w:b/>
          <w:bCs/>
          <w:color w:val="auto"/>
          <w:w w:val="90"/>
          <w:szCs w:val="21"/>
          <w:highlight w:val="none"/>
        </w:rPr>
      </w:pP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20"/>
        <w:gridCol w:w="1231"/>
        <w:gridCol w:w="5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949" w:type="dxa"/>
            <w:tcBorders>
              <w:top w:val="single" w:color="auto" w:sz="12"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1751" w:type="dxa"/>
            <w:gridSpan w:val="2"/>
            <w:tcBorders>
              <w:top w:val="single" w:color="auto" w:sz="12"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977" w:type="dxa"/>
            <w:tcBorders>
              <w:top w:val="single" w:color="auto" w:sz="12"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文明</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与</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环境</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保护</w:t>
            </w: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安全警示</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标志牌</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现场围挡</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现场采用封闭围挡，高度不小于1.8m。</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七牌二图</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企业标志</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场容场貌</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道路畅通。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排水设施齐全畅通。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材料堆放</w:t>
            </w:r>
          </w:p>
        </w:tc>
        <w:tc>
          <w:tcPr>
            <w:tcW w:w="5977" w:type="dxa"/>
            <w:noWrap w:val="0"/>
            <w:vAlign w:val="center"/>
          </w:tcPr>
          <w:p>
            <w:pPr>
              <w:numPr>
                <w:ilvl w:val="0"/>
                <w:numId w:val="2"/>
              </w:numP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rPr>
              <w:t>材料、构件、料具等堆放时，应有名称、品种、规格等标牌。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水泥和其它易飞扬细颗粒建筑材料应封闭存放或采取覆盖等措施。</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现场防火</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垃圾清运</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施工现场应设置密闭式垃圾站，施工垃圾、生活垃圾应分类存放。</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宣传栏、环保及不扰民措施</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临时设施</w:t>
            </w: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现场办公</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生活设施</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施工现场办公、生活区与作业区分开设置，保持安全距离。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施工现场</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临时用电</w:t>
            </w: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配电线路</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按照TN-S系统要求配备五芯电缆、四芯电缆和三芯电缆。</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按要求架设临时用电线路的电杆、横担、瓷夹、瓷瓶等，或电缆埋地的地沟。</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配电箱</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开关箱</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按三级配电要求，配备总配电箱、分配电箱、开关箱三类（铁质）标准电箱，开关箱应符合“一机、一箱、一闸、一漏”，三类电箱中的各类电器应是合格品。</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按两级保护的要求，选取符合容量要求和质量合格的总配电箱和开关箱中的漏电保护器。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接地装置</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现场变配电装置</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49"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1751" w:type="dxa"/>
            <w:gridSpan w:val="2"/>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977"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安全施工</w:t>
            </w:r>
          </w:p>
        </w:tc>
        <w:tc>
          <w:tcPr>
            <w:tcW w:w="520"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高处作业防护</w:t>
            </w: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楼层、屋面、阳台等临边</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通道口</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预留洞口</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电梯井口</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楼梯边</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垂直方向交叉作业</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高处作业</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基坑、物料平台</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安全防护用品</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949"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其它</w:t>
            </w:r>
          </w:p>
        </w:tc>
        <w:tc>
          <w:tcPr>
            <w:tcW w:w="520"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机械设备防护</w:t>
            </w: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中小型机械</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520" w:type="dxa"/>
            <w:vMerge w:val="continue"/>
            <w:noWrap w:val="0"/>
            <w:vAlign w:val="center"/>
          </w:tcPr>
          <w:p>
            <w:pPr>
              <w:spacing w:line="360" w:lineRule="auto"/>
              <w:jc w:val="center"/>
              <w:rPr>
                <w:rFonts w:hint="eastAsia" w:ascii="宋体" w:hAnsi="宋体" w:cs="宋体"/>
                <w:color w:val="auto"/>
                <w:szCs w:val="21"/>
                <w:highlight w:val="none"/>
              </w:rPr>
            </w:pPr>
          </w:p>
        </w:tc>
        <w:tc>
          <w:tcPr>
            <w:tcW w:w="12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垂直运输设备</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垂直运输设备检测、检验、日常维护、保养等。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专家论证审查</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9" w:type="dxa"/>
            <w:vMerge w:val="continue"/>
            <w:noWrap w:val="0"/>
            <w:vAlign w:val="center"/>
          </w:tcPr>
          <w:p>
            <w:pPr>
              <w:spacing w:line="360" w:lineRule="auto"/>
              <w:jc w:val="center"/>
              <w:rPr>
                <w:rFonts w:hint="eastAsia" w:ascii="宋体" w:hAnsi="宋体" w:cs="宋体"/>
                <w:color w:val="auto"/>
                <w:szCs w:val="21"/>
                <w:highlight w:val="none"/>
              </w:rPr>
            </w:pPr>
          </w:p>
        </w:tc>
        <w:tc>
          <w:tcPr>
            <w:tcW w:w="1751" w:type="dxa"/>
            <w:gridSpan w:val="2"/>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应急救援预案</w:t>
            </w:r>
          </w:p>
        </w:tc>
        <w:tc>
          <w:tcPr>
            <w:tcW w:w="5977"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tcBorders>
              <w:bottom w:val="single" w:color="auto" w:sz="12" w:space="0"/>
            </w:tcBorders>
            <w:noWrap w:val="0"/>
            <w:vAlign w:val="center"/>
          </w:tcPr>
          <w:p>
            <w:pPr>
              <w:spacing w:line="360" w:lineRule="auto"/>
              <w:jc w:val="center"/>
              <w:rPr>
                <w:rFonts w:hint="eastAsia" w:ascii="宋体" w:hAnsi="宋体" w:cs="宋体"/>
                <w:color w:val="auto"/>
                <w:szCs w:val="21"/>
                <w:highlight w:val="none"/>
              </w:rPr>
            </w:pPr>
          </w:p>
        </w:tc>
        <w:tc>
          <w:tcPr>
            <w:tcW w:w="1751" w:type="dxa"/>
            <w:gridSpan w:val="2"/>
            <w:tcBorders>
              <w:bottom w:val="single" w:color="auto" w:sz="12"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非正常情况施工</w:t>
            </w:r>
          </w:p>
        </w:tc>
        <w:tc>
          <w:tcPr>
            <w:tcW w:w="5977" w:type="dxa"/>
            <w:tcBorders>
              <w:bottom w:val="single" w:color="auto" w:sz="12"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其它特殊情况下的防护费用，如：城市主干道、人流密集、河边等处施工及文物、古建筑、古树保护等。</w:t>
            </w:r>
          </w:p>
        </w:tc>
      </w:tr>
    </w:tbl>
    <w:p>
      <w:pPr>
        <w:pStyle w:val="207"/>
        <w:spacing w:line="360" w:lineRule="auto"/>
        <w:ind w:firstLine="525" w:firstLineChars="250"/>
        <w:rPr>
          <w:rFonts w:ascii="宋体"/>
          <w:color w:val="auto"/>
          <w:szCs w:val="21"/>
          <w:highlight w:val="none"/>
        </w:rPr>
      </w:pPr>
      <w:r>
        <w:rPr>
          <w:rFonts w:hint="eastAsia" w:ascii="宋体" w:hAnsi="宋体"/>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snapToGrid w:val="0"/>
        <w:spacing w:before="156" w:beforeLines="50" w:after="50"/>
        <w:jc w:val="both"/>
        <w:rPr>
          <w:rFonts w:hint="eastAsia" w:ascii="宋体" w:hAnsi="宋体"/>
          <w:color w:val="auto"/>
          <w:sz w:val="28"/>
          <w:szCs w:val="28"/>
          <w:highlight w:val="none"/>
        </w:rPr>
      </w:pPr>
    </w:p>
    <w:p>
      <w:pPr>
        <w:snapToGrid w:val="0"/>
        <w:spacing w:before="156" w:beforeLines="50" w:after="50"/>
        <w:jc w:val="right"/>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jc w:val="center"/>
        <w:rPr>
          <w:rFonts w:hint="eastAsia" w:ascii="宋体" w:hAnsi="宋体"/>
          <w:b/>
          <w:color w:val="auto"/>
          <w:sz w:val="32"/>
          <w:szCs w:val="32"/>
          <w:highlight w:val="none"/>
        </w:rPr>
      </w:pPr>
      <w:r>
        <w:rPr>
          <w:rFonts w:hint="eastAsia" w:ascii="宋体" w:hAnsi="宋体"/>
          <w:bCs/>
          <w:color w:val="auto"/>
          <w:sz w:val="28"/>
          <w:szCs w:val="28"/>
          <w:highlight w:val="none"/>
        </w:rPr>
        <w:br w:type="page"/>
      </w:r>
      <w:r>
        <w:rPr>
          <w:rFonts w:hint="eastAsia" w:ascii="宋体" w:hAnsi="宋体"/>
          <w:b/>
          <w:color w:val="auto"/>
          <w:sz w:val="32"/>
          <w:szCs w:val="32"/>
          <w:highlight w:val="none"/>
        </w:rPr>
        <w:t>竞标声明</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（供应商名称）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我方愿意参加贵方组织的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项目的竞标，为便于贵方公正、择优地确定成交供应商及其竞标产品和服务，我方就本次竞标有关事项郑重声明如下：</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1.我方向贵方提交的所有响应文件、资料都是准确的和真实的。</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olor w:val="auto"/>
          <w:sz w:val="21"/>
          <w:szCs w:val="21"/>
          <w:highlight w:val="none"/>
        </w:rPr>
        <w:t>我方不是为本次采购项目提供整体设计、规范编制或者项目管理、监理、检测等服务的供应商</w:t>
      </w:r>
      <w:r>
        <w:rPr>
          <w:rFonts w:hint="eastAsia" w:ascii="宋体" w:hAnsi="宋体" w:cs="宋体"/>
          <w:color w:val="auto"/>
          <w:sz w:val="21"/>
          <w:szCs w:val="21"/>
          <w:highlight w:val="none"/>
        </w:rPr>
        <w:t>。</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3.在此，我方宣布同意如下：</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（1）将按磋商文件的约定履行合同责任和义务；</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（2）已详细审查全部磋商文件，包括澄清或者更正公告（如有）；</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（3）同意提供按照贵方可能要求的与磋商有关的一切数据或者资料；</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（4）响应磋商文件规定的竞标有效期。</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4.我方承诺符合《中华人民共和国政府采购法》第二十二条规定：</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内容中</w:t>
      </w:r>
      <w:r>
        <w:rPr>
          <w:rFonts w:hint="eastAsia" w:ascii="宋体" w:hAnsi="宋体" w:cs="宋体"/>
          <w:color w:val="auto"/>
          <w:sz w:val="21"/>
          <w:szCs w:val="21"/>
          <w:highlight w:val="none"/>
        </w:rPr>
        <w:t>未</w:t>
      </w:r>
      <w:r>
        <w:rPr>
          <w:rFonts w:hint="eastAsia" w:ascii="宋体" w:hAnsi="宋体" w:cs="宋体"/>
          <w:color w:val="auto"/>
          <w:kern w:val="0"/>
          <w:sz w:val="21"/>
          <w:szCs w:val="21"/>
          <w:highlight w:val="none"/>
        </w:rPr>
        <w:t>涉及商业秘密；</w:t>
      </w:r>
    </w:p>
    <w:p>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涉及商业秘密的内容有：</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pPr>
        <w:pStyle w:val="23"/>
        <w:spacing w:line="360" w:lineRule="auto"/>
        <w:ind w:firstLine="420" w:firstLineChars="200"/>
        <w:contextualSpacing/>
        <w:rPr>
          <w:rFonts w:hint="eastAsia" w:hAnsi="宋体" w:cs="宋体"/>
          <w:color w:val="auto"/>
          <w:sz w:val="21"/>
          <w:szCs w:val="21"/>
          <w:highlight w:val="none"/>
          <w:u w:val="single"/>
        </w:rPr>
      </w:pPr>
      <w:r>
        <w:rPr>
          <w:rFonts w:hint="eastAsia" w:hAnsi="宋体" w:cs="宋体"/>
          <w:color w:val="auto"/>
          <w:sz w:val="21"/>
          <w:szCs w:val="21"/>
          <w:highlight w:val="none"/>
        </w:rPr>
        <w:t>7.与本磋商有关的一切正式往来信函请寄：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邮政编号：</w:t>
      </w:r>
      <w:r>
        <w:rPr>
          <w:rFonts w:hint="eastAsia" w:hAnsi="宋体" w:cs="宋体"/>
          <w:color w:val="auto"/>
          <w:sz w:val="21"/>
          <w:szCs w:val="21"/>
          <w:highlight w:val="none"/>
          <w:u w:val="single"/>
        </w:rPr>
        <w:t xml:space="preserve">        </w:t>
      </w:r>
    </w:p>
    <w:p>
      <w:pPr>
        <w:pStyle w:val="23"/>
        <w:spacing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电话/传真：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电子函件：</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pStyle w:val="19"/>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pPr>
        <w:pStyle w:val="19"/>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pPr>
        <w:pStyle w:val="19"/>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pPr>
        <w:pStyle w:val="19"/>
        <w:tabs>
          <w:tab w:val="left" w:pos="939"/>
        </w:tabs>
        <w:spacing w:line="360" w:lineRule="auto"/>
        <w:ind w:left="0" w:leftChars="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注：如为联合体竞标，盖章处须加盖联合体各方公章并由联合体各方法定代表人签署，否则其响应文件按无效响应处理。</w:t>
      </w:r>
    </w:p>
    <w:p>
      <w:pPr>
        <w:pStyle w:val="19"/>
        <w:tabs>
          <w:tab w:val="left" w:pos="939"/>
        </w:tabs>
        <w:spacing w:line="360" w:lineRule="auto"/>
        <w:ind w:left="0" w:leftChars="0" w:firstLine="420" w:firstLineChars="200"/>
        <w:rPr>
          <w:rFonts w:hint="eastAsia" w:ascii="宋体" w:hAnsi="宋体" w:cs="宋体"/>
          <w:color w:val="auto"/>
          <w:sz w:val="21"/>
          <w:szCs w:val="21"/>
          <w:highlight w:val="none"/>
        </w:rPr>
      </w:pPr>
    </w:p>
    <w:p>
      <w:pPr>
        <w:spacing w:line="360" w:lineRule="auto"/>
        <w:ind w:firstLine="3780" w:firstLineChars="1800"/>
        <w:contextualSpacing/>
        <w:rPr>
          <w:rFonts w:hint="eastAsia"/>
          <w:color w:val="auto"/>
          <w:sz w:val="21"/>
          <w:szCs w:val="21"/>
          <w:highlight w:val="none"/>
        </w:rPr>
      </w:pPr>
      <w:r>
        <w:rPr>
          <w:rFonts w:hint="eastAsia"/>
          <w:color w:val="auto"/>
          <w:sz w:val="21"/>
          <w:szCs w:val="21"/>
          <w:highlight w:val="none"/>
        </w:rPr>
        <w:t>法定代表人（签字或者盖章）：</w:t>
      </w:r>
      <w:r>
        <w:rPr>
          <w:rFonts w:hint="eastAsia"/>
          <w:color w:val="auto"/>
          <w:sz w:val="21"/>
          <w:szCs w:val="21"/>
          <w:highlight w:val="none"/>
          <w:u w:val="single"/>
        </w:rPr>
        <w:t xml:space="preserve">                             </w:t>
      </w:r>
      <w:r>
        <w:rPr>
          <w:rFonts w:hint="eastAsia"/>
          <w:color w:val="auto"/>
          <w:sz w:val="21"/>
          <w:szCs w:val="21"/>
          <w:highlight w:val="none"/>
        </w:rPr>
        <w:t xml:space="preserve">                                     </w:t>
      </w:r>
    </w:p>
    <w:p>
      <w:pPr>
        <w:spacing w:line="360" w:lineRule="auto"/>
        <w:ind w:firstLine="3780" w:firstLineChars="1800"/>
        <w:contextualSpacing/>
        <w:rPr>
          <w:rFonts w:hint="eastAsia" w:ascii="宋体" w:hAnsi="宋体" w:cs="宋体"/>
          <w:color w:val="auto"/>
          <w:sz w:val="21"/>
          <w:szCs w:val="21"/>
          <w:highlight w:val="none"/>
          <w:u w:val="single"/>
        </w:rPr>
      </w:pPr>
      <w:r>
        <w:rPr>
          <w:rFonts w:hint="eastAsia"/>
          <w:color w:val="auto"/>
          <w:sz w:val="21"/>
          <w:szCs w:val="21"/>
          <w:highlight w:val="none"/>
        </w:rPr>
        <w:t>供应商（盖公章）：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pPr>
        <w:spacing w:line="360" w:lineRule="auto"/>
        <w:ind w:right="480" w:firstLine="210" w:firstLineChars="100"/>
        <w:contextualSpacing/>
        <w:jc w:val="center"/>
        <w:rPr>
          <w:rFonts w:hint="eastAsia"/>
          <w:color w:val="auto"/>
          <w:sz w:val="21"/>
          <w:szCs w:val="21"/>
          <w:highlight w:val="none"/>
        </w:rPr>
      </w:pP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pPr>
        <w:rPr>
          <w:rFonts w:hint="eastAsia" w:ascii="宋体" w:hAnsi="宋体"/>
          <w:bCs/>
          <w:color w:val="auto"/>
          <w:sz w:val="28"/>
          <w:szCs w:val="28"/>
          <w:highlight w:val="none"/>
        </w:rPr>
      </w:pPr>
    </w:p>
    <w:p>
      <w:pPr>
        <w:rPr>
          <w:rFonts w:hint="eastAsia" w:ascii="宋体" w:hAnsi="宋体"/>
          <w:bCs/>
          <w:color w:val="auto"/>
          <w:sz w:val="28"/>
          <w:szCs w:val="28"/>
          <w:highlight w:val="none"/>
        </w:rPr>
      </w:pPr>
      <w:r>
        <w:rPr>
          <w:rFonts w:hint="eastAsia" w:ascii="宋体" w:hAnsi="宋体"/>
          <w:bCs/>
          <w:color w:val="auto"/>
          <w:sz w:val="28"/>
          <w:szCs w:val="28"/>
          <w:highlight w:val="none"/>
        </w:rPr>
        <w:br w:type="page"/>
      </w:r>
    </w:p>
    <w:p>
      <w:pPr>
        <w:snapToGrid w:val="0"/>
        <w:spacing w:before="156" w:beforeLines="50" w:after="50"/>
        <w:jc w:val="right"/>
        <w:rPr>
          <w:rFonts w:hint="eastAsia" w:ascii="方正小标宋简体" w:hAnsi="方正小标宋简体" w:eastAsia="方正小标宋简体" w:cs="方正小标宋简体"/>
          <w:bCs/>
          <w:color w:val="auto"/>
          <w:sz w:val="28"/>
          <w:szCs w:val="28"/>
          <w:highlight w:val="none"/>
        </w:rPr>
      </w:pPr>
      <w:r>
        <w:rPr>
          <w:rFonts w:hint="eastAsia" w:ascii="宋体" w:hAnsi="宋体"/>
          <w:bCs/>
          <w:color w:val="auto"/>
          <w:sz w:val="28"/>
          <w:szCs w:val="28"/>
          <w:highlight w:val="none"/>
        </w:rPr>
        <w:t>正本/副本</w:t>
      </w: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8"/>
          <w:szCs w:val="48"/>
          <w:highlight w:val="none"/>
        </w:rPr>
      </w:pPr>
      <w:r>
        <w:rPr>
          <w:rFonts w:hint="eastAsia" w:ascii="方正小标宋简体" w:hAnsi="方正小标宋简体" w:eastAsia="方正小标宋简体" w:cs="方正小标宋简体"/>
          <w:bCs/>
          <w:color w:val="auto"/>
          <w:sz w:val="48"/>
          <w:szCs w:val="48"/>
          <w:highlight w:val="none"/>
          <w:lang w:eastAsia="zh-CN"/>
        </w:rPr>
        <w:t>报</w:t>
      </w:r>
      <w:r>
        <w:rPr>
          <w:rFonts w:hint="eastAsia" w:ascii="方正小标宋简体" w:hAnsi="方正小标宋简体" w:eastAsia="方正小标宋简体" w:cs="方正小标宋简体"/>
          <w:bCs/>
          <w:color w:val="auto"/>
          <w:sz w:val="48"/>
          <w:szCs w:val="48"/>
          <w:highlight w:val="none"/>
          <w:lang w:val="en-US" w:eastAsia="zh-CN"/>
        </w:rPr>
        <w:t xml:space="preserve">  </w:t>
      </w:r>
      <w:r>
        <w:rPr>
          <w:rFonts w:hint="eastAsia" w:ascii="方正小标宋简体" w:hAnsi="方正小标宋简体" w:eastAsia="方正小标宋简体" w:cs="方正小标宋简体"/>
          <w:bCs/>
          <w:color w:val="auto"/>
          <w:sz w:val="48"/>
          <w:szCs w:val="48"/>
          <w:highlight w:val="none"/>
          <w:lang w:eastAsia="zh-CN"/>
        </w:rPr>
        <w:t>价</w:t>
      </w:r>
      <w:r>
        <w:rPr>
          <w:rFonts w:hint="eastAsia" w:ascii="方正小标宋简体" w:hAnsi="方正小标宋简体" w:eastAsia="方正小标宋简体" w:cs="方正小标宋简体"/>
          <w:bCs/>
          <w:color w:val="auto"/>
          <w:sz w:val="48"/>
          <w:szCs w:val="48"/>
          <w:highlight w:val="none"/>
        </w:rPr>
        <w:t xml:space="preserve">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pStyle w:val="12"/>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right"/>
        <w:rPr>
          <w:rFonts w:hint="eastAsia" w:ascii="宋体" w:hAnsi="宋体"/>
          <w:b/>
          <w:color w:val="auto"/>
          <w:szCs w:val="21"/>
          <w:highlight w:val="none"/>
        </w:rPr>
      </w:pPr>
      <w:r>
        <w:rPr>
          <w:rFonts w:hint="eastAsia" w:ascii="宋体" w:hAnsi="宋体" w:cs="仿宋_GB2312"/>
          <w:color w:val="auto"/>
          <w:sz w:val="32"/>
          <w:szCs w:val="32"/>
          <w:highlight w:val="none"/>
        </w:rPr>
        <w:t>年    月    日</w:t>
      </w:r>
    </w:p>
    <w:p>
      <w:pPr>
        <w:rPr>
          <w:b/>
          <w:color w:val="auto"/>
          <w:sz w:val="28"/>
          <w:szCs w:val="28"/>
          <w:highlight w:val="none"/>
        </w:rPr>
      </w:pPr>
      <w:r>
        <w:rPr>
          <w:b/>
          <w:color w:val="auto"/>
          <w:sz w:val="28"/>
          <w:szCs w:val="28"/>
          <w:highlight w:val="none"/>
        </w:rPr>
        <w:br w:type="page"/>
      </w:r>
    </w:p>
    <w:p>
      <w:pPr>
        <w:spacing w:line="400" w:lineRule="exact"/>
        <w:jc w:val="center"/>
        <w:rPr>
          <w:rFonts w:ascii="宋体" w:hAnsi="宋体" w:eastAsia="宋体" w:cs="Times New Roman"/>
          <w:color w:val="auto"/>
          <w:sz w:val="32"/>
          <w:szCs w:val="32"/>
          <w:highlight w:val="none"/>
        </w:rPr>
      </w:pPr>
      <w:r>
        <w:rPr>
          <w:rFonts w:ascii="宋体" w:hAnsi="宋体" w:eastAsia="宋体" w:cs="Times New Roman"/>
          <w:color w:val="auto"/>
          <w:sz w:val="32"/>
          <w:szCs w:val="32"/>
          <w:highlight w:val="none"/>
        </w:rPr>
        <w:t>目  录</w:t>
      </w:r>
    </w:p>
    <w:p>
      <w:pPr>
        <w:spacing w:line="400" w:lineRule="exact"/>
        <w:ind w:firstLine="420"/>
        <w:rPr>
          <w:rFonts w:ascii="宋体" w:hAnsi="宋体" w:eastAsia="宋体" w:cs="Times New Roman"/>
          <w:color w:val="auto"/>
          <w:sz w:val="32"/>
          <w:szCs w:val="32"/>
          <w:highlight w:val="none"/>
        </w:rPr>
      </w:pPr>
    </w:p>
    <w:p>
      <w:pPr>
        <w:spacing w:line="480" w:lineRule="auto"/>
        <w:ind w:firstLine="991" w:firstLineChars="41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1、磋商函；</w:t>
      </w:r>
    </w:p>
    <w:p>
      <w:pPr>
        <w:spacing w:line="480" w:lineRule="auto"/>
        <w:ind w:firstLine="991" w:firstLineChars="41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2、磋商函附录；</w:t>
      </w:r>
    </w:p>
    <w:p>
      <w:pPr>
        <w:spacing w:line="480" w:lineRule="auto"/>
        <w:ind w:firstLine="991" w:firstLineChars="41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3、磋商报价表；</w:t>
      </w:r>
    </w:p>
    <w:p>
      <w:pPr>
        <w:spacing w:line="480" w:lineRule="auto"/>
        <w:ind w:firstLine="991" w:firstLineChars="41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4、已标价工程量清单。</w:t>
      </w:r>
    </w:p>
    <w:p>
      <w:pPr>
        <w:spacing w:line="500" w:lineRule="exact"/>
        <w:ind w:firstLine="640" w:firstLineChars="200"/>
        <w:jc w:val="center"/>
        <w:rPr>
          <w:rFonts w:ascii="宋体" w:hAnsi="Courier New" w:eastAsia="宋体" w:cs="Times New Roman"/>
          <w:b/>
          <w:color w:val="auto"/>
          <w:sz w:val="32"/>
          <w:szCs w:val="21"/>
          <w:highlight w:val="none"/>
        </w:rPr>
      </w:pPr>
      <w:r>
        <w:rPr>
          <w:rFonts w:ascii="宋体" w:hAnsi="宋体" w:eastAsia="宋体" w:cs="Times New Roman"/>
          <w:color w:val="auto"/>
          <w:sz w:val="32"/>
          <w:szCs w:val="32"/>
          <w:highlight w:val="none"/>
        </w:rPr>
        <w:br w:type="page"/>
      </w:r>
      <w:r>
        <w:rPr>
          <w:rFonts w:hint="eastAsia" w:ascii="宋体" w:hAnsi="宋体" w:eastAsia="宋体" w:cs="Times New Roman"/>
          <w:color w:val="auto"/>
          <w:sz w:val="32"/>
          <w:szCs w:val="32"/>
          <w:highlight w:val="none"/>
          <w:lang w:eastAsia="zh-CN"/>
        </w:rPr>
        <w:t>一、</w:t>
      </w:r>
      <w:r>
        <w:rPr>
          <w:rFonts w:ascii="宋体" w:hAnsi="Courier New" w:eastAsia="宋体" w:cs="Times New Roman"/>
          <w:b/>
          <w:color w:val="auto"/>
          <w:sz w:val="32"/>
          <w:szCs w:val="21"/>
          <w:highlight w:val="none"/>
        </w:rPr>
        <w:t>磋商函（格式）</w:t>
      </w:r>
    </w:p>
    <w:p>
      <w:pPr>
        <w:spacing w:line="440" w:lineRule="exact"/>
        <w:ind w:firstLine="720" w:firstLineChars="300"/>
        <w:rPr>
          <w:rFonts w:ascii="宋体" w:hAnsi="Courier New" w:eastAsia="宋体" w:cs="Times New Roman"/>
          <w:color w:val="auto"/>
          <w:sz w:val="24"/>
          <w:szCs w:val="24"/>
          <w:highlight w:val="none"/>
        </w:rPr>
      </w:pPr>
    </w:p>
    <w:p>
      <w:pPr>
        <w:spacing w:line="440" w:lineRule="exact"/>
        <w:rPr>
          <w:rFonts w:ascii="宋体" w:hAnsi="Courier New" w:eastAsia="宋体" w:cs="Times New Roman"/>
          <w:color w:val="auto"/>
          <w:sz w:val="24"/>
          <w:szCs w:val="24"/>
          <w:highlight w:val="none"/>
          <w:u w:val="single"/>
        </w:rPr>
      </w:pPr>
      <w:r>
        <w:rPr>
          <w:rFonts w:ascii="宋体" w:hAnsi="Courier New" w:eastAsia="宋体" w:cs="Times New Roman"/>
          <w:color w:val="auto"/>
          <w:sz w:val="24"/>
          <w:szCs w:val="24"/>
          <w:highlight w:val="none"/>
        </w:rPr>
        <w:t>致：</w:t>
      </w:r>
      <w:r>
        <w:rPr>
          <w:rFonts w:ascii="宋体" w:hAnsi="Courier New" w:eastAsia="宋体" w:cs="Times New Roman"/>
          <w:color w:val="auto"/>
          <w:sz w:val="24"/>
          <w:szCs w:val="24"/>
          <w:highlight w:val="none"/>
          <w:u w:val="single"/>
        </w:rPr>
        <w:t xml:space="preserve">                       </w:t>
      </w:r>
    </w:p>
    <w:p>
      <w:pPr>
        <w:spacing w:line="440" w:lineRule="exact"/>
        <w:ind w:left="218" w:leftChars="104" w:firstLine="679" w:firstLineChars="283"/>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根据贵方</w:t>
      </w:r>
      <w:r>
        <w:rPr>
          <w:rFonts w:ascii="宋体" w:hAnsi="Courier New" w:eastAsia="宋体" w:cs="Times New Roman"/>
          <w:color w:val="auto"/>
          <w:sz w:val="24"/>
          <w:szCs w:val="24"/>
          <w:highlight w:val="none"/>
          <w:u w:val="single"/>
        </w:rPr>
        <w:t xml:space="preserve">  （项目名称）  </w:t>
      </w:r>
      <w:r>
        <w:rPr>
          <w:rFonts w:ascii="宋体" w:hAnsi="Courier New" w:eastAsia="宋体" w:cs="Times New Roman"/>
          <w:color w:val="auto"/>
          <w:sz w:val="24"/>
          <w:szCs w:val="24"/>
          <w:highlight w:val="none"/>
        </w:rPr>
        <w:t>竞争性磋商文件，项目编号：</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，正式授权下述签字代表</w:t>
      </w:r>
      <w:r>
        <w:rPr>
          <w:rFonts w:ascii="宋体" w:hAnsi="Courier New" w:eastAsia="宋体" w:cs="Times New Roman"/>
          <w:color w:val="auto"/>
          <w:sz w:val="24"/>
          <w:szCs w:val="24"/>
          <w:highlight w:val="none"/>
          <w:u w:val="single"/>
        </w:rPr>
        <w:t xml:space="preserve"> （姓名和职务） </w:t>
      </w:r>
      <w:r>
        <w:rPr>
          <w:rFonts w:ascii="宋体" w:hAnsi="Courier New" w:eastAsia="宋体" w:cs="Times New Roman"/>
          <w:color w:val="auto"/>
          <w:sz w:val="24"/>
          <w:szCs w:val="24"/>
          <w:highlight w:val="none"/>
        </w:rPr>
        <w:t>代表供应商单位</w:t>
      </w:r>
      <w:r>
        <w:rPr>
          <w:rFonts w:ascii="宋体" w:hAnsi="Courier New" w:eastAsia="宋体" w:cs="Times New Roman"/>
          <w:color w:val="auto"/>
          <w:sz w:val="24"/>
          <w:szCs w:val="24"/>
          <w:highlight w:val="none"/>
          <w:u w:val="single"/>
        </w:rPr>
        <w:t xml:space="preserve">                （单位名称）</w:t>
      </w:r>
      <w:r>
        <w:rPr>
          <w:rFonts w:ascii="宋体" w:hAnsi="Courier New" w:eastAsia="宋体" w:cs="Times New Roman"/>
          <w:color w:val="auto"/>
          <w:sz w:val="24"/>
          <w:szCs w:val="24"/>
          <w:highlight w:val="none"/>
        </w:rPr>
        <w:t>。</w:t>
      </w:r>
    </w:p>
    <w:p>
      <w:pPr>
        <w:spacing w:line="440" w:lineRule="exact"/>
        <w:ind w:left="101" w:leftChars="48" w:firstLine="595" w:firstLineChars="248"/>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据此函，签字代表宣布同意如下：</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1、我方承诺已经具备《中华人民共和国政府采购法》中规定的参加政府采购活动的供应商应当具备的条件：</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（1）具有独立承担民事责任的能力；</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（2）具有良好的商业信誉和健全的财务会计制度；</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（3）具有履行合同所必需的设备和专业技术能力；</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（4）有依法缴纳税收和社会保障资金的良好记录；</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（5）参加此项采购活动前三年内，在经营活动中没有重大违法记录。</w:t>
      </w:r>
    </w:p>
    <w:p>
      <w:pPr>
        <w:spacing w:line="44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2、我方已详细审查全部磋商文件，包括修改文件（如有的话）以及全部参考资料和有关附件，已经了解我方对于竞争性磋商文件、采购过程、采购结果有依法进行询问、质疑、投诉的权利及相关渠道和要求。</w:t>
      </w:r>
    </w:p>
    <w:p>
      <w:pPr>
        <w:spacing w:line="44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3、我方在磋商之前已经与贵方进行了充分的沟通，完全理解并接受磋商文件的各项规定和要求，对磋商文件的合理性、合法性不再有异议。</w:t>
      </w:r>
    </w:p>
    <w:p>
      <w:pPr>
        <w:spacing w:line="44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4、响应文件从响应截止日起60天内有效。</w:t>
      </w:r>
    </w:p>
    <w:p>
      <w:pPr>
        <w:spacing w:line="440" w:lineRule="exact"/>
        <w:ind w:firstLine="42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5、如成交，本响应文件至本项目合同履行完毕止均保持有效，我方将按磋商文件及政府采购法律、法规的规定履行合同责任和义务。</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6、同意向贵方提供贵方可能要求的与本磋商有关的任何数据或资料。</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7、我方完全理解贵方不一定要接受最低报价的供应商为成交人。</w:t>
      </w:r>
    </w:p>
    <w:p>
      <w:pPr>
        <w:spacing w:line="440" w:lineRule="exact"/>
        <w:ind w:firstLine="480" w:firstLineChars="2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8、若贵方需要，我方愿意提供我方作出的一切承诺的证明材料。</w:t>
      </w:r>
    </w:p>
    <w:p>
      <w:pPr>
        <w:spacing w:line="440" w:lineRule="exact"/>
        <w:ind w:firstLine="480" w:firstLineChars="200"/>
        <w:rPr>
          <w:rFonts w:ascii="宋体" w:hAnsi="宋体" w:eastAsia="宋体" w:cs="Times New Roman"/>
          <w:color w:val="auto"/>
          <w:sz w:val="24"/>
          <w:szCs w:val="24"/>
          <w:highlight w:val="none"/>
        </w:rPr>
      </w:pPr>
      <w:r>
        <w:rPr>
          <w:rFonts w:ascii="宋体" w:hAnsi="Courier New" w:eastAsia="宋体" w:cs="Times New Roman"/>
          <w:color w:val="auto"/>
          <w:sz w:val="24"/>
          <w:szCs w:val="24"/>
          <w:highlight w:val="none"/>
        </w:rPr>
        <w:t>9、我方将严格遵守《中华人民共和国政府采购法》第七十七条规定，若有下列情形之一的，处以采购金额5</w:t>
      </w:r>
      <w:r>
        <w:rPr>
          <w:rFonts w:ascii="宋体" w:hAnsi="宋体" w:eastAsia="宋体" w:cs="Times New Roman"/>
          <w:color w:val="auto"/>
          <w:sz w:val="24"/>
          <w:szCs w:val="24"/>
          <w:highlight w:val="none"/>
        </w:rPr>
        <w:t>‰以上10‰以下的罚款，列入不良行为记录名单，在一到三年内禁止参加政府采购活动，有违法所得的，并处没收违法所得，情节严重的，由工商行政管理机关吊销营业执照；构成犯罪的，依法追究刑事责任：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（1）提供虚假材料谋取成交的；</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（2）采取不正当手段诋毁、排挤其他供应商的；</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（3）与采购人、其他供应商或者采购代理机构恶意串通的；</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（4）向采购人、采购代理机构行贿或者提供其他不正当利益的；</w:t>
      </w:r>
    </w:p>
    <w:p>
      <w:pPr>
        <w:spacing w:line="44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（5）拒绝有关部门监督检查或提供虚假情况的。</w:t>
      </w:r>
    </w:p>
    <w:p>
      <w:pPr>
        <w:spacing w:line="440" w:lineRule="exact"/>
        <w:rPr>
          <w:rFonts w:ascii="宋体" w:hAnsi="Courier New" w:eastAsia="宋体" w:cs="Times New Roman"/>
          <w:color w:val="auto"/>
          <w:sz w:val="24"/>
          <w:szCs w:val="24"/>
          <w:highlight w:val="none"/>
        </w:rPr>
      </w:pPr>
    </w:p>
    <w:p>
      <w:pPr>
        <w:spacing w:line="440" w:lineRule="exact"/>
        <w:ind w:left="101" w:leftChars="48" w:firstLine="595" w:firstLineChars="248"/>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与本磋商有关的正式通讯地址为：</w:t>
      </w:r>
    </w:p>
    <w:p>
      <w:pPr>
        <w:spacing w:line="440" w:lineRule="exact"/>
        <w:ind w:left="101" w:leftChars="48" w:firstLine="595" w:firstLineChars="248"/>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地址：</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    邮政编码：</w:t>
      </w:r>
      <w:r>
        <w:rPr>
          <w:rFonts w:ascii="宋体" w:hAnsi="Courier New" w:eastAsia="宋体" w:cs="Times New Roman"/>
          <w:color w:val="auto"/>
          <w:sz w:val="24"/>
          <w:szCs w:val="24"/>
          <w:highlight w:val="none"/>
          <w:u w:val="single"/>
        </w:rPr>
        <w:t xml:space="preserve">             </w:t>
      </w:r>
    </w:p>
    <w:p>
      <w:pPr>
        <w:spacing w:line="440" w:lineRule="exact"/>
        <w:ind w:firstLine="720" w:firstLineChars="300"/>
        <w:rPr>
          <w:rFonts w:ascii="宋体" w:hAnsi="Courier New" w:eastAsia="宋体" w:cs="Times New Roman"/>
          <w:color w:val="auto"/>
          <w:sz w:val="24"/>
          <w:szCs w:val="24"/>
          <w:highlight w:val="none"/>
          <w:u w:val="single"/>
        </w:rPr>
      </w:pPr>
      <w:r>
        <w:rPr>
          <w:rFonts w:ascii="宋体" w:hAnsi="Courier New" w:eastAsia="宋体" w:cs="Times New Roman"/>
          <w:color w:val="auto"/>
          <w:sz w:val="24"/>
          <w:szCs w:val="24"/>
          <w:highlight w:val="none"/>
        </w:rPr>
        <w:t>电话、传真或电传：</w:t>
      </w:r>
      <w:r>
        <w:rPr>
          <w:rFonts w:ascii="宋体" w:hAnsi="Courier New" w:eastAsia="宋体" w:cs="Times New Roman"/>
          <w:color w:val="auto"/>
          <w:sz w:val="24"/>
          <w:szCs w:val="24"/>
          <w:highlight w:val="none"/>
          <w:u w:val="single"/>
        </w:rPr>
        <w:t xml:space="preserve">                                               </w:t>
      </w:r>
    </w:p>
    <w:p>
      <w:pPr>
        <w:spacing w:line="440" w:lineRule="exact"/>
        <w:ind w:firstLine="720" w:firstLineChars="3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开户名称：</w:t>
      </w:r>
      <w:r>
        <w:rPr>
          <w:rFonts w:ascii="宋体" w:hAnsi="Courier New" w:eastAsia="宋体" w:cs="Times New Roman"/>
          <w:color w:val="auto"/>
          <w:sz w:val="24"/>
          <w:szCs w:val="24"/>
          <w:highlight w:val="none"/>
          <w:u w:val="single"/>
        </w:rPr>
        <w:t xml:space="preserve">                                                       </w:t>
      </w:r>
    </w:p>
    <w:p>
      <w:pPr>
        <w:spacing w:line="440" w:lineRule="exact"/>
        <w:ind w:firstLine="720" w:firstLineChars="3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开户银行：</w:t>
      </w:r>
      <w:r>
        <w:rPr>
          <w:rFonts w:ascii="宋体" w:hAnsi="Courier New" w:eastAsia="宋体" w:cs="Times New Roman"/>
          <w:color w:val="auto"/>
          <w:sz w:val="24"/>
          <w:szCs w:val="24"/>
          <w:highlight w:val="none"/>
          <w:u w:val="single"/>
        </w:rPr>
        <w:t xml:space="preserve">                                                       </w:t>
      </w:r>
    </w:p>
    <w:p>
      <w:pPr>
        <w:spacing w:line="440" w:lineRule="exact"/>
        <w:ind w:firstLine="720" w:firstLineChars="300"/>
        <w:rPr>
          <w:rFonts w:ascii="宋体" w:hAnsi="Courier New" w:eastAsia="宋体" w:cs="Times New Roman"/>
          <w:color w:val="auto"/>
          <w:sz w:val="24"/>
          <w:szCs w:val="24"/>
          <w:highlight w:val="none"/>
          <w:u w:val="single"/>
        </w:rPr>
      </w:pPr>
      <w:r>
        <w:rPr>
          <w:rFonts w:ascii="宋体" w:hAnsi="Courier New" w:eastAsia="宋体" w:cs="Times New Roman"/>
          <w:color w:val="auto"/>
          <w:sz w:val="24"/>
          <w:szCs w:val="24"/>
          <w:highlight w:val="none"/>
        </w:rPr>
        <w:t>帐    号：</w:t>
      </w:r>
      <w:r>
        <w:rPr>
          <w:rFonts w:ascii="宋体" w:hAnsi="Courier New" w:eastAsia="宋体" w:cs="Times New Roman"/>
          <w:color w:val="auto"/>
          <w:sz w:val="24"/>
          <w:szCs w:val="24"/>
          <w:highlight w:val="none"/>
          <w:u w:val="single"/>
        </w:rPr>
        <w:t xml:space="preserve">                                                       </w:t>
      </w:r>
    </w:p>
    <w:p>
      <w:pPr>
        <w:spacing w:line="360" w:lineRule="auto"/>
        <w:ind w:firstLine="720" w:firstLineChars="300"/>
        <w:jc w:val="left"/>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（盖单位公章）</w:t>
      </w:r>
    </w:p>
    <w:p>
      <w:pPr>
        <w:spacing w:line="440" w:lineRule="exact"/>
        <w:ind w:firstLine="720" w:firstLineChars="3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法定代表人或委托代理人：</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 （签字或盖章）</w:t>
      </w:r>
    </w:p>
    <w:p>
      <w:pPr>
        <w:spacing w:line="440" w:lineRule="exact"/>
        <w:ind w:firstLine="720" w:firstLineChars="30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 xml:space="preserve">日 期：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年</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 月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日</w:t>
      </w:r>
    </w:p>
    <w:p>
      <w:pPr>
        <w:spacing w:line="500" w:lineRule="exact"/>
        <w:ind w:left="101" w:leftChars="48" w:firstLine="520" w:firstLineChars="248"/>
        <w:rPr>
          <w:rFonts w:ascii="宋体" w:hAnsi="Courier New" w:eastAsia="宋体" w:cs="Times New Roman"/>
          <w:color w:val="auto"/>
          <w:szCs w:val="21"/>
          <w:highlight w:val="none"/>
        </w:rPr>
      </w:pPr>
    </w:p>
    <w:p>
      <w:pPr>
        <w:spacing w:line="460" w:lineRule="exact"/>
        <w:ind w:left="101" w:leftChars="48" w:firstLine="520" w:firstLineChars="248"/>
        <w:rPr>
          <w:rFonts w:ascii="宋体" w:hAnsi="Courier New" w:eastAsia="宋体" w:cs="Times New Roman"/>
          <w:color w:val="auto"/>
          <w:szCs w:val="21"/>
          <w:highlight w:val="none"/>
        </w:rPr>
      </w:pPr>
    </w:p>
    <w:p>
      <w:pPr>
        <w:spacing w:line="460" w:lineRule="exact"/>
        <w:ind w:left="101" w:leftChars="48" w:firstLine="520" w:firstLineChars="248"/>
        <w:rPr>
          <w:rFonts w:ascii="宋体" w:hAnsi="Courier New" w:eastAsia="宋体" w:cs="Times New Roman"/>
          <w:color w:val="auto"/>
          <w:szCs w:val="21"/>
          <w:highlight w:val="none"/>
        </w:rPr>
      </w:pPr>
    </w:p>
    <w:p>
      <w:pPr>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ind w:firstLine="420"/>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center"/>
        <w:outlineLvl w:val="0"/>
        <w:rPr>
          <w:rFonts w:ascii="Times New Roman" w:hAnsi="Times New Roman" w:eastAsia="宋体" w:cs="Times New Roman"/>
          <w:b/>
          <w:bCs/>
          <w:color w:val="auto"/>
          <w:szCs w:val="21"/>
          <w:highlight w:val="none"/>
        </w:rPr>
      </w:pPr>
      <w:r>
        <w:rPr>
          <w:rFonts w:ascii="Times New Roman" w:hAnsi="Times New Roman" w:eastAsia="宋体" w:cs="Times New Roman"/>
          <w:b/>
          <w:color w:val="auto"/>
          <w:sz w:val="32"/>
          <w:szCs w:val="21"/>
          <w:highlight w:val="none"/>
        </w:rPr>
        <w:br w:type="page"/>
      </w:r>
      <w:bookmarkStart w:id="1758" w:name="_Toc89333349"/>
      <w:bookmarkStart w:id="1759" w:name="_Toc89333100"/>
      <w:bookmarkStart w:id="1760" w:name="_Toc88065693"/>
      <w:bookmarkStart w:id="1761" w:name="_Toc389065357"/>
      <w:r>
        <w:rPr>
          <w:rFonts w:hint="eastAsia" w:ascii="宋体" w:hAnsi="Courier New" w:eastAsia="宋体" w:cs="Times New Roman"/>
          <w:b/>
          <w:color w:val="auto"/>
          <w:sz w:val="32"/>
          <w:szCs w:val="21"/>
          <w:highlight w:val="none"/>
        </w:rPr>
        <w:t>二、</w:t>
      </w:r>
      <w:r>
        <w:rPr>
          <w:rFonts w:ascii="Times New Roman" w:hAnsi="Times New Roman" w:eastAsia="宋体" w:cs="Times New Roman"/>
          <w:b/>
          <w:color w:val="auto"/>
          <w:sz w:val="32"/>
          <w:szCs w:val="21"/>
          <w:highlight w:val="none"/>
        </w:rPr>
        <w:t>磋商</w:t>
      </w:r>
      <w:r>
        <w:rPr>
          <w:rFonts w:hint="eastAsia" w:ascii="宋体" w:hAnsi="Courier New" w:eastAsia="宋体" w:cs="Times New Roman"/>
          <w:b/>
          <w:color w:val="auto"/>
          <w:sz w:val="32"/>
          <w:szCs w:val="21"/>
          <w:highlight w:val="none"/>
        </w:rPr>
        <w:t>函附录</w:t>
      </w:r>
      <w:bookmarkEnd w:id="1758"/>
      <w:bookmarkEnd w:id="1759"/>
      <w:bookmarkEnd w:id="1760"/>
      <w:bookmarkEnd w:id="1761"/>
    </w:p>
    <w:p>
      <w:pPr>
        <w:jc w:val="cente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项目名称：</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宋体"/>
          <w:color w:val="auto"/>
          <w:sz w:val="24"/>
          <w:szCs w:val="24"/>
          <w:highlight w:val="none"/>
        </w:rPr>
        <w:t>项目招标编号：</w:t>
      </w:r>
      <w:r>
        <w:rPr>
          <w:rFonts w:hint="eastAsia" w:ascii="Times New Roman" w:hAnsi="Times New Roman" w:eastAsia="宋体" w:cs="宋体"/>
          <w:color w:val="auto"/>
          <w:sz w:val="24"/>
          <w:szCs w:val="24"/>
          <w:highlight w:val="none"/>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219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序</w:t>
            </w:r>
            <w:r>
              <w:rPr>
                <w:rFonts w:ascii="Calibri" w:hAnsi="Calibri" w:eastAsia="宋体" w:cs="Times New Roman"/>
                <w:color w:val="auto"/>
                <w:sz w:val="24"/>
                <w:szCs w:val="24"/>
                <w:highlight w:val="none"/>
              </w:rPr>
              <w:t xml:space="preserve"> </w:t>
            </w:r>
            <w:r>
              <w:rPr>
                <w:rFonts w:hint="eastAsia" w:ascii="Calibri" w:hAnsi="Calibri" w:eastAsia="宋体" w:cs="宋体"/>
                <w:color w:val="auto"/>
                <w:sz w:val="24"/>
                <w:szCs w:val="24"/>
                <w:highlight w:val="none"/>
              </w:rPr>
              <w:t>号</w:t>
            </w:r>
          </w:p>
        </w:tc>
        <w:tc>
          <w:tcPr>
            <w:tcW w:w="1985"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条款内容</w:t>
            </w:r>
          </w:p>
        </w:tc>
        <w:tc>
          <w:tcPr>
            <w:tcW w:w="2126"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合同条款号</w:t>
            </w:r>
          </w:p>
        </w:tc>
        <w:tc>
          <w:tcPr>
            <w:tcW w:w="2195"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约定内容</w:t>
            </w:r>
          </w:p>
        </w:tc>
        <w:tc>
          <w:tcPr>
            <w:tcW w:w="1632"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项目经理</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姓名：</w:t>
            </w: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2</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磋商有效期</w:t>
            </w:r>
          </w:p>
        </w:tc>
        <w:tc>
          <w:tcPr>
            <w:tcW w:w="2126" w:type="dxa"/>
            <w:tcMar>
              <w:left w:w="170" w:type="dxa"/>
            </w:tcMar>
            <w:vAlign w:val="center"/>
          </w:tcPr>
          <w:p>
            <w:pPr>
              <w:rPr>
                <w:rFonts w:ascii="Calibri" w:hAnsi="Calibri" w:eastAsia="宋体" w:cs="Times New Roman"/>
                <w:color w:val="auto"/>
                <w:sz w:val="24"/>
                <w:szCs w:val="24"/>
                <w:highlight w:val="none"/>
              </w:rPr>
            </w:pPr>
          </w:p>
        </w:tc>
        <w:tc>
          <w:tcPr>
            <w:tcW w:w="2195" w:type="dxa"/>
            <w:vAlign w:val="center"/>
          </w:tcPr>
          <w:p>
            <w:pPr>
              <w:jc w:val="center"/>
              <w:rPr>
                <w:rFonts w:ascii="Calibri" w:hAnsi="Calibri" w:eastAsia="宋体" w:cs="Times New Roman"/>
                <w:color w:val="auto"/>
                <w:sz w:val="24"/>
                <w:szCs w:val="24"/>
                <w:highlight w:val="none"/>
                <w:u w:val="single"/>
              </w:rPr>
            </w:pPr>
            <w:r>
              <w:rPr>
                <w:rFonts w:ascii="Calibri" w:hAnsi="Calibri" w:eastAsia="宋体" w:cs="Times New Roman"/>
                <w:color w:val="auto"/>
                <w:sz w:val="24"/>
                <w:szCs w:val="24"/>
                <w:highlight w:val="none"/>
                <w:u w:val="single"/>
              </w:rPr>
              <w:t xml:space="preserve">       </w:t>
            </w:r>
            <w:r>
              <w:rPr>
                <w:rFonts w:hint="eastAsia" w:ascii="Calibri" w:hAnsi="Calibri" w:eastAsia="宋体" w:cs="宋体"/>
                <w:color w:val="auto"/>
                <w:sz w:val="24"/>
                <w:szCs w:val="24"/>
                <w:highlight w:val="none"/>
              </w:rPr>
              <w:t>日历天</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3</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工期</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u w:val="single"/>
              </w:rPr>
              <w:t xml:space="preserve">        </w:t>
            </w:r>
            <w:r>
              <w:rPr>
                <w:rFonts w:hint="eastAsia" w:ascii="Calibri" w:hAnsi="Calibri" w:eastAsia="宋体" w:cs="宋体"/>
                <w:color w:val="auto"/>
                <w:sz w:val="24"/>
                <w:szCs w:val="24"/>
                <w:highlight w:val="none"/>
              </w:rPr>
              <w:t>日历天</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4</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缺陷责任期</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5</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发包人支付担保</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6</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承包人履约担保金额</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7</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分包</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见分包项目情况表</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8</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逾期竣工违约金</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合同价款</w:t>
            </w:r>
            <w:r>
              <w:rPr>
                <w:rFonts w:ascii="Calibri" w:hAnsi="Calibri" w:eastAsia="宋体" w:cs="Times New Roman"/>
                <w:color w:val="auto"/>
                <w:sz w:val="24"/>
                <w:szCs w:val="24"/>
                <w:highlight w:val="none"/>
                <w:u w:val="single"/>
              </w:rPr>
              <w:t xml:space="preserve">    </w:t>
            </w:r>
            <w:r>
              <w:rPr>
                <w:rFonts w:ascii="Calibri" w:hAnsi="Calibri" w:eastAsia="宋体" w:cs="Times New Roman"/>
                <w:color w:val="auto"/>
                <w:sz w:val="24"/>
                <w:szCs w:val="24"/>
                <w:highlight w:val="none"/>
              </w:rPr>
              <w:t>%/</w:t>
            </w:r>
            <w:r>
              <w:rPr>
                <w:rFonts w:hint="eastAsia" w:ascii="Calibri" w:hAnsi="Calibri" w:eastAsia="宋体" w:cs="宋体"/>
                <w:color w:val="auto"/>
                <w:sz w:val="24"/>
                <w:szCs w:val="24"/>
                <w:highlight w:val="none"/>
              </w:rPr>
              <w:t>天</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9</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逾期竣工违约金最高限额</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合同价款</w:t>
            </w: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10</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质量标准</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11</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预付款额度</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12</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预付款保函金额</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13</w:t>
            </w:r>
          </w:p>
        </w:tc>
        <w:tc>
          <w:tcPr>
            <w:tcW w:w="1985" w:type="dxa"/>
            <w:vAlign w:val="center"/>
          </w:tcPr>
          <w:p>
            <w:pP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质量保证金额度</w:t>
            </w:r>
          </w:p>
        </w:tc>
        <w:tc>
          <w:tcPr>
            <w:tcW w:w="2126" w:type="dxa"/>
            <w:tcMar>
              <w:left w:w="170" w:type="dxa"/>
            </w:tcMar>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专用条款</w:t>
            </w:r>
          </w:p>
        </w:tc>
        <w:tc>
          <w:tcPr>
            <w:tcW w:w="2195"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结算价的</w:t>
            </w:r>
            <w:r>
              <w:rPr>
                <w:rFonts w:ascii="Calibri" w:hAnsi="Calibri" w:eastAsia="宋体" w:cs="Times New Roman"/>
                <w:color w:val="auto"/>
                <w:sz w:val="24"/>
                <w:szCs w:val="24"/>
                <w:highlight w:val="none"/>
                <w:u w:val="single"/>
              </w:rPr>
              <w:t xml:space="preserve">     </w:t>
            </w:r>
            <w:r>
              <w:rPr>
                <w:rFonts w:ascii="Calibri" w:hAnsi="Calibri" w:eastAsia="宋体" w:cs="Times New Roman"/>
                <w:color w:val="auto"/>
                <w:sz w:val="24"/>
                <w:szCs w:val="24"/>
                <w:highlight w:val="none"/>
              </w:rPr>
              <w:t xml:space="preserve">% </w:t>
            </w:r>
            <w:r>
              <w:rPr>
                <w:rFonts w:ascii="Calibri" w:hAnsi="Calibri" w:eastAsia="宋体" w:cs="Times New Roman"/>
                <w:color w:val="auto"/>
                <w:sz w:val="24"/>
                <w:szCs w:val="24"/>
                <w:highlight w:val="none"/>
                <w:u w:val="single"/>
              </w:rPr>
              <w:t xml:space="preserve"> </w:t>
            </w: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w:t>
            </w:r>
          </w:p>
        </w:tc>
        <w:tc>
          <w:tcPr>
            <w:tcW w:w="1985" w:type="dxa"/>
            <w:vAlign w:val="center"/>
          </w:tcPr>
          <w:p>
            <w:pPr>
              <w:jc w:val="center"/>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w:t>
            </w:r>
          </w:p>
        </w:tc>
        <w:tc>
          <w:tcPr>
            <w:tcW w:w="2126" w:type="dxa"/>
            <w:tcMar>
              <w:left w:w="170" w:type="dxa"/>
            </w:tcMar>
            <w:vAlign w:val="center"/>
          </w:tcPr>
          <w:p>
            <w:pPr>
              <w:rPr>
                <w:rFonts w:ascii="Calibri" w:hAnsi="Calibri" w:eastAsia="宋体" w:cs="Times New Roman"/>
                <w:color w:val="auto"/>
                <w:sz w:val="24"/>
                <w:szCs w:val="24"/>
                <w:highlight w:val="none"/>
              </w:rPr>
            </w:pPr>
          </w:p>
        </w:tc>
        <w:tc>
          <w:tcPr>
            <w:tcW w:w="2195" w:type="dxa"/>
            <w:vAlign w:val="center"/>
          </w:tcPr>
          <w:p>
            <w:pPr>
              <w:jc w:val="center"/>
              <w:rPr>
                <w:rFonts w:ascii="Calibri" w:hAnsi="Calibri" w:eastAsia="宋体" w:cs="Times New Roman"/>
                <w:color w:val="auto"/>
                <w:sz w:val="24"/>
                <w:szCs w:val="24"/>
                <w:highlight w:val="none"/>
              </w:rPr>
            </w:pPr>
          </w:p>
        </w:tc>
        <w:tc>
          <w:tcPr>
            <w:tcW w:w="163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备注：</w:t>
            </w:r>
            <w:r>
              <w:rPr>
                <w:rFonts w:hint="eastAsia" w:ascii="Calibri" w:hAnsi="Calibri" w:eastAsia="宋体" w:cs="Times New Roman"/>
                <w:color w:val="auto"/>
                <w:sz w:val="24"/>
                <w:szCs w:val="24"/>
                <w:highlight w:val="none"/>
              </w:rPr>
              <w:t>供应商</w:t>
            </w:r>
            <w:r>
              <w:rPr>
                <w:rFonts w:hint="eastAsia" w:ascii="Calibri" w:hAnsi="Calibri" w:eastAsia="宋体" w:cs="宋体"/>
                <w:color w:val="auto"/>
                <w:sz w:val="24"/>
                <w:szCs w:val="24"/>
                <w:highlight w:val="none"/>
              </w:rPr>
              <w:t>在响应采购文件中规定的实质性要求和条件的基础上，可做出其他有利于采购人的承诺。此类承诺可在本表中予以补充填写。</w:t>
            </w:r>
          </w:p>
        </w:tc>
      </w:tr>
    </w:tbl>
    <w:p>
      <w:pPr>
        <w:spacing w:line="360" w:lineRule="auto"/>
        <w:jc w:val="left"/>
        <w:rPr>
          <w:rFonts w:ascii="宋体" w:hAnsi="宋体" w:eastAsia="宋体" w:cs="Times New Roman"/>
          <w:color w:val="auto"/>
          <w:sz w:val="24"/>
          <w:szCs w:val="24"/>
          <w:highlight w:val="none"/>
        </w:rPr>
      </w:pPr>
    </w:p>
    <w:p>
      <w:pPr>
        <w:tabs>
          <w:tab w:val="center" w:pos="4153"/>
          <w:tab w:val="right" w:pos="8306"/>
        </w:tabs>
        <w:snapToGrid w:val="0"/>
        <w:jc w:val="left"/>
        <w:rPr>
          <w:rFonts w:ascii="宋体" w:hAnsi="Courier New" w:eastAsia="宋体" w:cs="Times New Roman"/>
          <w:color w:val="auto"/>
          <w:sz w:val="24"/>
          <w:szCs w:val="24"/>
          <w:highlight w:val="none"/>
        </w:rPr>
      </w:pPr>
    </w:p>
    <w:p>
      <w:pPr>
        <w:spacing w:line="360" w:lineRule="auto"/>
        <w:jc w:val="right"/>
        <w:rPr>
          <w:rFonts w:ascii="Times New Roman" w:hAnsi="Times New Roman" w:eastAsia="宋体" w:cs="Times New Roman"/>
          <w:color w:val="auto"/>
          <w:sz w:val="24"/>
          <w:szCs w:val="24"/>
          <w:highlight w:val="none"/>
          <w:u w:val="single"/>
        </w:rPr>
      </w:pP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（盖单位公章）</w:t>
      </w:r>
    </w:p>
    <w:p>
      <w:pPr>
        <w:spacing w:line="600" w:lineRule="exact"/>
        <w:jc w:val="right"/>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法定代表人或委托代理人：</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（签字或盖章） </w:t>
      </w:r>
    </w:p>
    <w:p>
      <w:pPr>
        <w:spacing w:line="440" w:lineRule="exact"/>
        <w:ind w:firstLine="3736" w:firstLineChars="1557"/>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 xml:space="preserve">日 期：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年</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 月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日</w:t>
      </w:r>
    </w:p>
    <w:p>
      <w:pPr>
        <w:spacing w:line="300" w:lineRule="exact"/>
        <w:ind w:left="360" w:hanging="360" w:hangingChars="150"/>
        <w:rPr>
          <w:rFonts w:ascii="Times New Roman" w:hAnsi="宋体" w:eastAsia="宋体" w:cs="Times New Roman"/>
          <w:color w:val="auto"/>
          <w:sz w:val="24"/>
          <w:szCs w:val="24"/>
          <w:highlight w:val="none"/>
        </w:rPr>
      </w:pPr>
    </w:p>
    <w:p>
      <w:pPr>
        <w:jc w:val="center"/>
        <w:outlineLvl w:val="0"/>
        <w:rPr>
          <w:rFonts w:hint="eastAsia" w:ascii="Times New Roman" w:hAnsi="Times New Roman" w:eastAsia="宋体" w:cs="Times New Roman"/>
          <w:b/>
          <w:color w:val="auto"/>
          <w:sz w:val="32"/>
          <w:szCs w:val="21"/>
          <w:highlight w:val="none"/>
        </w:rPr>
      </w:pPr>
      <w:bookmarkStart w:id="1762" w:name="_Toc349639687"/>
      <w:bookmarkStart w:id="1763" w:name="_Toc389065358"/>
      <w:bookmarkStart w:id="1764" w:name="_Toc349557654"/>
      <w:bookmarkStart w:id="1765" w:name="_Toc349640339"/>
      <w:bookmarkStart w:id="1766" w:name="_Toc88065694"/>
      <w:bookmarkStart w:id="1767" w:name="_Toc349215560"/>
      <w:bookmarkStart w:id="1768" w:name="_Toc349555832"/>
      <w:bookmarkStart w:id="1769" w:name="_Toc89333101"/>
      <w:bookmarkStart w:id="1770" w:name="_Toc89333350"/>
      <w:bookmarkStart w:id="1771" w:name="_Toc349558044"/>
    </w:p>
    <w:p>
      <w:pPr>
        <w:jc w:val="center"/>
        <w:outlineLvl w:val="0"/>
        <w:rPr>
          <w:rFonts w:ascii="Times New Roman" w:hAnsi="Times New Roman" w:eastAsia="宋体" w:cs="Times New Roman"/>
          <w:b/>
          <w:color w:val="auto"/>
          <w:sz w:val="32"/>
          <w:szCs w:val="21"/>
          <w:highlight w:val="none"/>
        </w:rPr>
      </w:pPr>
      <w:r>
        <w:rPr>
          <w:rFonts w:hint="eastAsia" w:ascii="Times New Roman" w:hAnsi="Times New Roman" w:eastAsia="宋体" w:cs="Times New Roman"/>
          <w:b/>
          <w:color w:val="auto"/>
          <w:sz w:val="32"/>
          <w:szCs w:val="21"/>
          <w:highlight w:val="none"/>
        </w:rPr>
        <w:t>三、磋商报价表</w:t>
      </w:r>
      <w:bookmarkEnd w:id="1762"/>
      <w:bookmarkEnd w:id="1763"/>
      <w:bookmarkEnd w:id="1764"/>
      <w:bookmarkEnd w:id="1765"/>
      <w:bookmarkEnd w:id="1766"/>
      <w:bookmarkEnd w:id="1767"/>
      <w:bookmarkEnd w:id="1768"/>
      <w:bookmarkEnd w:id="1769"/>
      <w:bookmarkEnd w:id="1770"/>
      <w:bookmarkEnd w:id="1771"/>
    </w:p>
    <w:p>
      <w:pPr>
        <w:jc w:val="center"/>
        <w:outlineLvl w:val="0"/>
        <w:rPr>
          <w:rFonts w:ascii="Times New Roman" w:hAnsi="Times New Roman" w:eastAsia="宋体" w:cs="Times New Roman"/>
          <w:b/>
          <w:bCs/>
          <w:color w:val="auto"/>
          <w:sz w:val="24"/>
          <w:szCs w:val="24"/>
          <w:highlight w:val="none"/>
        </w:rPr>
      </w:pPr>
    </w:p>
    <w:p>
      <w:pPr>
        <w:ind w:left="-178" w:leftChars="-85" w:right="-512" w:rightChars="-244" w:firstLine="960" w:firstLineChars="400"/>
        <w:jc w:val="left"/>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工程规模：</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宋体"/>
          <w:color w:val="auto"/>
          <w:sz w:val="24"/>
          <w:szCs w:val="24"/>
          <w:highlight w:val="none"/>
        </w:rPr>
        <w:t>币种：人民币</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报价</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其中</w:t>
            </w:r>
          </w:p>
        </w:tc>
        <w:tc>
          <w:tcPr>
            <w:tcW w:w="3116"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安全文明施工费</w:t>
            </w:r>
          </w:p>
        </w:tc>
        <w:tc>
          <w:tcPr>
            <w:tcW w:w="1987" w:type="dxa"/>
            <w:vAlign w:val="center"/>
          </w:tcPr>
          <w:p>
            <w:pPr>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vAlign w:val="center"/>
          </w:tcPr>
          <w:p>
            <w:pPr>
              <w:jc w:val="center"/>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widowControl/>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规费中按规定向建安劳保费管理机构缴纳的建安劳保费</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tcPr>
          <w:p>
            <w:pPr>
              <w:widowControl/>
              <w:ind w:right="480"/>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发包人提供材料（如有）</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tcPr>
          <w:p>
            <w:pPr>
              <w:widowControl/>
              <w:ind w:right="480"/>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jc w:val="center"/>
              <w:rPr>
                <w:rFonts w:ascii="Calibri" w:hAnsi="Calibri" w:eastAsia="宋体" w:cs="宋体"/>
                <w:color w:val="auto"/>
                <w:sz w:val="24"/>
                <w:szCs w:val="24"/>
                <w:highlight w:val="none"/>
              </w:rPr>
            </w:pPr>
            <w:r>
              <w:rPr>
                <w:rFonts w:hint="eastAsia" w:ascii="Calibri" w:hAnsi="Calibri" w:eastAsia="宋体" w:cs="宋体"/>
                <w:color w:val="auto"/>
                <w:sz w:val="24"/>
                <w:szCs w:val="24"/>
                <w:highlight w:val="none"/>
              </w:rPr>
              <w:t>承包人提供材料（设备）</w:t>
            </w:r>
          </w:p>
          <w:p>
            <w:pPr>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暂估价（如有）</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tcPr>
          <w:p>
            <w:pPr>
              <w:widowControl/>
              <w:ind w:right="480"/>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暂估专业工程（如有）</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tcPr>
          <w:p>
            <w:pPr>
              <w:widowControl/>
              <w:ind w:right="480"/>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widowControl/>
              <w:ind w:firstLine="1080" w:firstLineChars="450"/>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暂列金额（如有）</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元</w:t>
            </w:r>
          </w:p>
        </w:tc>
        <w:tc>
          <w:tcPr>
            <w:tcW w:w="1702" w:type="dxa"/>
          </w:tcPr>
          <w:p>
            <w:pPr>
              <w:widowControl/>
              <w:ind w:right="480"/>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主要材料</w:t>
            </w:r>
          </w:p>
        </w:tc>
        <w:tc>
          <w:tcPr>
            <w:tcW w:w="3116" w:type="dxa"/>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钢筋</w:t>
            </w:r>
          </w:p>
        </w:tc>
        <w:tc>
          <w:tcPr>
            <w:tcW w:w="1987" w:type="dxa"/>
            <w:vAlign w:val="center"/>
          </w:tcPr>
          <w:p>
            <w:pPr>
              <w:widowControl/>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吨</w:t>
            </w:r>
          </w:p>
        </w:tc>
        <w:tc>
          <w:tcPr>
            <w:tcW w:w="1702" w:type="dxa"/>
          </w:tcPr>
          <w:p>
            <w:pPr>
              <w:widowControl/>
              <w:jc w:val="right"/>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水泥（不含商品混凝土用量）</w:t>
            </w:r>
          </w:p>
        </w:tc>
        <w:tc>
          <w:tcPr>
            <w:tcW w:w="1987" w:type="dxa"/>
            <w:vAlign w:val="center"/>
          </w:tcPr>
          <w:p>
            <w:pPr>
              <w:widowControl/>
              <w:tabs>
                <w:tab w:val="left" w:pos="2398"/>
              </w:tabs>
              <w:ind w:right="18"/>
              <w:jc w:val="right"/>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吨</w:t>
            </w:r>
          </w:p>
        </w:tc>
        <w:tc>
          <w:tcPr>
            <w:tcW w:w="1702" w:type="dxa"/>
          </w:tcPr>
          <w:p>
            <w:pPr>
              <w:widowControl/>
              <w:jc w:val="right"/>
              <w:rPr>
                <w:rFonts w:ascii="Calibri"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pPr>
              <w:widowControl/>
              <w:jc w:val="center"/>
              <w:rPr>
                <w:rFonts w:ascii="Calibri" w:hAnsi="Calibri" w:eastAsia="宋体" w:cs="Times New Roman"/>
                <w:color w:val="auto"/>
                <w:sz w:val="24"/>
                <w:szCs w:val="24"/>
                <w:highlight w:val="none"/>
              </w:rPr>
            </w:pPr>
          </w:p>
        </w:tc>
        <w:tc>
          <w:tcPr>
            <w:tcW w:w="3116" w:type="dxa"/>
            <w:vAlign w:val="center"/>
          </w:tcPr>
          <w:p>
            <w:pPr>
              <w:widowControl/>
              <w:jc w:val="center"/>
              <w:rPr>
                <w:rFonts w:ascii="Calibri" w:hAnsi="Calibri" w:eastAsia="宋体" w:cs="Times New Roman"/>
                <w:color w:val="auto"/>
                <w:sz w:val="24"/>
                <w:szCs w:val="24"/>
                <w:highlight w:val="none"/>
              </w:rPr>
            </w:pPr>
            <w:r>
              <w:rPr>
                <w:rFonts w:hint="eastAsia" w:ascii="Calibri" w:hAnsi="Calibri" w:eastAsia="宋体" w:cs="宋体"/>
                <w:color w:val="auto"/>
                <w:sz w:val="24"/>
                <w:szCs w:val="24"/>
                <w:highlight w:val="none"/>
              </w:rPr>
              <w:t>商品混凝土</w:t>
            </w:r>
          </w:p>
        </w:tc>
        <w:tc>
          <w:tcPr>
            <w:tcW w:w="1987" w:type="dxa"/>
            <w:vAlign w:val="center"/>
          </w:tcPr>
          <w:p>
            <w:pPr>
              <w:widowControl/>
              <w:jc w:val="right"/>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m</w:t>
            </w:r>
            <w:r>
              <w:rPr>
                <w:rFonts w:ascii="Calibri" w:hAnsi="Calibri" w:eastAsia="宋体" w:cs="Times New Roman"/>
                <w:color w:val="auto"/>
                <w:sz w:val="24"/>
                <w:szCs w:val="24"/>
                <w:highlight w:val="none"/>
                <w:vertAlign w:val="superscript"/>
              </w:rPr>
              <w:t>3</w:t>
            </w:r>
          </w:p>
        </w:tc>
        <w:tc>
          <w:tcPr>
            <w:tcW w:w="1702" w:type="dxa"/>
          </w:tcPr>
          <w:p>
            <w:pPr>
              <w:widowControl/>
              <w:jc w:val="right"/>
              <w:rPr>
                <w:rFonts w:ascii="Calibri" w:hAnsi="Calibri" w:eastAsia="宋体" w:cs="Times New Roman"/>
                <w:color w:val="auto"/>
                <w:sz w:val="24"/>
                <w:szCs w:val="24"/>
                <w:highlight w:val="none"/>
              </w:rPr>
            </w:pPr>
          </w:p>
        </w:tc>
      </w:tr>
    </w:tbl>
    <w:p>
      <w:pPr>
        <w:ind w:left="-178" w:leftChars="-85" w:firstLine="177" w:firstLineChars="74"/>
        <w:rPr>
          <w:rFonts w:ascii="Times New Roman" w:hAnsi="Times New Roman" w:eastAsia="宋体" w:cs="Times New Roman"/>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磋商报价规费中含按规定向建安劳保费管理机构缴纳的建安劳保费（依据为桂政发〔2012〕42号、桂建计〔2000〕48号），现行收取标准依据桂建计字〔2000〕48号有关规定执行，即按建筑安装工程造价的2%收取】</w:t>
      </w:r>
    </w:p>
    <w:p>
      <w:pPr>
        <w:spacing w:line="480" w:lineRule="auto"/>
        <w:rPr>
          <w:rFonts w:ascii="Times New Roman" w:hAnsi="Times New Roman" w:eastAsia="宋体" w:cs="Times New Roman"/>
          <w:color w:val="auto"/>
          <w:sz w:val="24"/>
          <w:szCs w:val="24"/>
          <w:highlight w:val="none"/>
        </w:rPr>
      </w:pPr>
    </w:p>
    <w:p>
      <w:pPr>
        <w:rPr>
          <w:rFonts w:ascii="宋体" w:hAnsi="Courier New" w:eastAsia="宋体" w:cs="Times New Roman"/>
          <w:bCs/>
          <w:color w:val="auto"/>
          <w:sz w:val="24"/>
          <w:szCs w:val="24"/>
          <w:highlight w:val="none"/>
        </w:rPr>
      </w:pPr>
    </w:p>
    <w:p>
      <w:pPr>
        <w:keepNext/>
        <w:keepLines/>
        <w:tabs>
          <w:tab w:val="left" w:pos="864"/>
        </w:tabs>
        <w:spacing w:before="280" w:after="290" w:line="376" w:lineRule="auto"/>
        <w:ind w:left="864" w:hanging="864"/>
        <w:outlineLvl w:val="3"/>
        <w:rPr>
          <w:rFonts w:ascii="Arial" w:hAnsi="Arial" w:eastAsia="黑体" w:cs="Times New Roman"/>
          <w:b/>
          <w:bCs/>
          <w:color w:val="auto"/>
          <w:sz w:val="28"/>
          <w:szCs w:val="28"/>
          <w:highlight w:val="none"/>
        </w:rPr>
      </w:pPr>
    </w:p>
    <w:p>
      <w:pPr>
        <w:spacing w:line="600" w:lineRule="exact"/>
        <w:ind w:firstLine="3060"/>
        <w:rPr>
          <w:rFonts w:ascii="宋体" w:hAnsi="Courier New" w:eastAsia="宋体" w:cs="Times New Roman"/>
          <w:color w:val="auto"/>
          <w:sz w:val="24"/>
          <w:szCs w:val="24"/>
          <w:highlight w:val="none"/>
          <w:u w:val="single"/>
        </w:rPr>
      </w:pPr>
      <w:r>
        <w:rPr>
          <w:rFonts w:ascii="宋体" w:hAnsi="Courier New" w:eastAsia="宋体" w:cs="Times New Roman"/>
          <w:color w:val="auto"/>
          <w:sz w:val="24"/>
          <w:szCs w:val="24"/>
          <w:highlight w:val="none"/>
        </w:rPr>
        <w:t>供应商：</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（盖单位公章）</w:t>
      </w:r>
    </w:p>
    <w:p>
      <w:pPr>
        <w:spacing w:line="600" w:lineRule="exact"/>
        <w:ind w:firstLine="306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法定代表人或委托代理人：</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（签字或盖章）</w:t>
      </w:r>
    </w:p>
    <w:p>
      <w:pPr>
        <w:spacing w:line="440" w:lineRule="exact"/>
        <w:ind w:firstLine="3060"/>
        <w:rPr>
          <w:rFonts w:ascii="宋体" w:hAnsi="Courier New" w:eastAsia="宋体" w:cs="Times New Roman"/>
          <w:color w:val="auto"/>
          <w:sz w:val="24"/>
          <w:szCs w:val="24"/>
          <w:highlight w:val="none"/>
        </w:rPr>
      </w:pPr>
      <w:r>
        <w:rPr>
          <w:rFonts w:ascii="宋体" w:hAnsi="Courier New" w:eastAsia="宋体" w:cs="Times New Roman"/>
          <w:color w:val="auto"/>
          <w:sz w:val="24"/>
          <w:szCs w:val="24"/>
          <w:highlight w:val="none"/>
        </w:rPr>
        <w:t xml:space="preserve">日 期：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年</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 xml:space="preserve"> 月 </w:t>
      </w:r>
      <w:r>
        <w:rPr>
          <w:rFonts w:ascii="宋体" w:hAnsi="Courier New" w:eastAsia="宋体" w:cs="Times New Roman"/>
          <w:color w:val="auto"/>
          <w:sz w:val="24"/>
          <w:szCs w:val="24"/>
          <w:highlight w:val="none"/>
          <w:u w:val="single"/>
        </w:rPr>
        <w:t xml:space="preserve">      </w:t>
      </w:r>
      <w:r>
        <w:rPr>
          <w:rFonts w:ascii="宋体" w:hAnsi="Courier New" w:eastAsia="宋体" w:cs="Times New Roman"/>
          <w:color w:val="auto"/>
          <w:sz w:val="24"/>
          <w:szCs w:val="24"/>
          <w:highlight w:val="none"/>
        </w:rPr>
        <w:t>日</w:t>
      </w:r>
    </w:p>
    <w:p>
      <w:pPr>
        <w:pStyle w:val="57"/>
        <w:rPr>
          <w:rFonts w:ascii="宋体" w:hAnsi="Courier New" w:eastAsia="宋体" w:cs="Times New Roman"/>
          <w:color w:val="auto"/>
          <w:sz w:val="24"/>
          <w:szCs w:val="24"/>
          <w:highlight w:val="none"/>
        </w:rPr>
      </w:pPr>
    </w:p>
    <w:p>
      <w:pPr>
        <w:pStyle w:val="57"/>
        <w:rPr>
          <w:rFonts w:ascii="宋体" w:hAnsi="Courier New" w:eastAsia="宋体" w:cs="Times New Roman"/>
          <w:color w:val="auto"/>
          <w:sz w:val="24"/>
          <w:szCs w:val="24"/>
          <w:highlight w:val="none"/>
        </w:rPr>
      </w:pPr>
    </w:p>
    <w:p>
      <w:pPr>
        <w:pStyle w:val="57"/>
        <w:rPr>
          <w:rFonts w:ascii="宋体" w:hAnsi="Courier New" w:eastAsia="宋体" w:cs="Times New Roman"/>
          <w:color w:val="auto"/>
          <w:sz w:val="24"/>
          <w:szCs w:val="24"/>
          <w:highlight w:val="none"/>
        </w:rPr>
      </w:pPr>
    </w:p>
    <w:p>
      <w:pPr>
        <w:pStyle w:val="57"/>
        <w:rPr>
          <w:rFonts w:ascii="宋体" w:hAnsi="Courier New" w:eastAsia="宋体" w:cs="Times New Roman"/>
          <w:color w:val="auto"/>
          <w:sz w:val="24"/>
          <w:szCs w:val="24"/>
          <w:highlight w:val="none"/>
        </w:rPr>
      </w:pPr>
    </w:p>
    <w:p>
      <w:pPr>
        <w:pStyle w:val="57"/>
        <w:rPr>
          <w:rFonts w:ascii="宋体" w:hAnsi="Courier New" w:eastAsia="宋体" w:cs="Times New Roman"/>
          <w:color w:val="auto"/>
          <w:sz w:val="24"/>
          <w:szCs w:val="24"/>
          <w:highlight w:val="none"/>
        </w:rPr>
      </w:pPr>
    </w:p>
    <w:p>
      <w:pPr>
        <w:pStyle w:val="57"/>
        <w:rPr>
          <w:rFonts w:ascii="宋体" w:hAnsi="Courier New" w:eastAsia="宋体" w:cs="Times New Roman"/>
          <w:color w:val="auto"/>
          <w:sz w:val="24"/>
          <w:szCs w:val="24"/>
          <w:highlight w:val="none"/>
        </w:rPr>
      </w:pPr>
    </w:p>
    <w:p>
      <w:pPr>
        <w:jc w:val="center"/>
        <w:outlineLvl w:val="0"/>
        <w:rPr>
          <w:rFonts w:ascii="Times New Roman" w:hAnsi="Times New Roman" w:eastAsia="宋体" w:cs="Times New Roman"/>
          <w:b/>
          <w:bCs/>
          <w:color w:val="auto"/>
          <w:sz w:val="32"/>
          <w:szCs w:val="32"/>
          <w:highlight w:val="none"/>
        </w:rPr>
      </w:pPr>
      <w:r>
        <w:rPr>
          <w:rFonts w:hint="eastAsia" w:ascii="Times New Roman" w:hAnsi="Times New Roman" w:eastAsia="宋体" w:cs="宋体"/>
          <w:b/>
          <w:bCs/>
          <w:color w:val="auto"/>
          <w:sz w:val="32"/>
          <w:szCs w:val="32"/>
          <w:highlight w:val="none"/>
          <w:lang w:eastAsia="zh-CN"/>
        </w:rPr>
        <w:t>四、</w:t>
      </w:r>
      <w:r>
        <w:rPr>
          <w:rFonts w:hint="eastAsia" w:ascii="Times New Roman" w:hAnsi="Times New Roman" w:eastAsia="宋体" w:cs="宋体"/>
          <w:b/>
          <w:bCs/>
          <w:color w:val="auto"/>
          <w:sz w:val="32"/>
          <w:szCs w:val="32"/>
          <w:highlight w:val="none"/>
        </w:rPr>
        <w:t>已标价工程量清单</w:t>
      </w:r>
    </w:p>
    <w:p>
      <w:pPr>
        <w:jc w:val="center"/>
        <w:rPr>
          <w:rFonts w:ascii="Times New Roman" w:hAnsi="Times New Roman" w:eastAsia="宋体" w:cs="Times New Roman"/>
          <w:b/>
          <w:bCs/>
          <w:color w:val="auto"/>
          <w:sz w:val="28"/>
          <w:szCs w:val="28"/>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 </w:t>
      </w:r>
      <w:r>
        <w:rPr>
          <w:rFonts w:hint="eastAsia" w:ascii="Times New Roman" w:hAnsi="Times New Roman" w:eastAsia="宋体" w:cs="宋体"/>
          <w:color w:val="auto"/>
          <w:sz w:val="24"/>
          <w:szCs w:val="24"/>
          <w:highlight w:val="none"/>
        </w:rPr>
        <w:t>已标价工程量清单应按第四章</w:t>
      </w:r>
      <w:r>
        <w:rPr>
          <w:rFonts w:ascii="Times New Roman" w:hAnsi="Times New Roman" w:eastAsia="宋体" w:cs="Times New Roman"/>
          <w:color w:val="auto"/>
          <w:sz w:val="24"/>
          <w:szCs w:val="24"/>
          <w:highlight w:val="none"/>
        </w:rPr>
        <w:t>“</w:t>
      </w:r>
      <w:r>
        <w:rPr>
          <w:rFonts w:hint="eastAsia" w:ascii="Times New Roman" w:hAnsi="Times New Roman" w:eastAsia="宋体" w:cs="宋体"/>
          <w:color w:val="auto"/>
          <w:sz w:val="24"/>
          <w:szCs w:val="24"/>
          <w:highlight w:val="none"/>
        </w:rPr>
        <w:t>工程量清单</w:t>
      </w:r>
      <w:r>
        <w:rPr>
          <w:rFonts w:ascii="Times New Roman" w:hAnsi="Times New Roman" w:eastAsia="宋体" w:cs="Times New Roman"/>
          <w:color w:val="auto"/>
          <w:sz w:val="24"/>
          <w:szCs w:val="24"/>
          <w:highlight w:val="none"/>
        </w:rPr>
        <w:t>”</w:t>
      </w:r>
      <w:r>
        <w:rPr>
          <w:rFonts w:hint="eastAsia" w:ascii="Times New Roman" w:hAnsi="Times New Roman" w:eastAsia="宋体" w:cs="宋体"/>
          <w:color w:val="auto"/>
          <w:sz w:val="24"/>
          <w:szCs w:val="24"/>
          <w:highlight w:val="none"/>
        </w:rPr>
        <w:t>中的相关表格及磋商报价说明填写。构成合同文件的已标价工程量清单包括第四章</w:t>
      </w:r>
      <w:r>
        <w:rPr>
          <w:rFonts w:ascii="Times New Roman" w:hAnsi="Times New Roman" w:eastAsia="宋体" w:cs="Times New Roman"/>
          <w:color w:val="auto"/>
          <w:sz w:val="24"/>
          <w:szCs w:val="24"/>
          <w:highlight w:val="none"/>
        </w:rPr>
        <w:t>“</w:t>
      </w:r>
      <w:r>
        <w:rPr>
          <w:rFonts w:hint="eastAsia" w:ascii="Times New Roman" w:hAnsi="Times New Roman" w:eastAsia="宋体" w:cs="宋体"/>
          <w:color w:val="auto"/>
          <w:sz w:val="24"/>
          <w:szCs w:val="24"/>
          <w:highlight w:val="none"/>
        </w:rPr>
        <w:t>工程量清单</w:t>
      </w:r>
      <w:r>
        <w:rPr>
          <w:rFonts w:ascii="Times New Roman" w:hAnsi="Times New Roman" w:eastAsia="宋体" w:cs="Times New Roman"/>
          <w:color w:val="auto"/>
          <w:sz w:val="24"/>
          <w:szCs w:val="24"/>
          <w:highlight w:val="none"/>
        </w:rPr>
        <w:t>”</w:t>
      </w:r>
      <w:r>
        <w:rPr>
          <w:rFonts w:hint="eastAsia" w:ascii="Times New Roman" w:hAnsi="Times New Roman" w:eastAsia="宋体" w:cs="宋体"/>
          <w:color w:val="auto"/>
          <w:sz w:val="24"/>
          <w:szCs w:val="24"/>
          <w:highlight w:val="none"/>
        </w:rPr>
        <w:t>有关工程量清单、磋商报价以及其他说明的内容。</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2. </w:t>
      </w:r>
      <w:r>
        <w:rPr>
          <w:rFonts w:hint="eastAsia" w:ascii="Times New Roman" w:hAnsi="Times New Roman" w:eastAsia="宋体" w:cs="宋体"/>
          <w:color w:val="auto"/>
          <w:sz w:val="24"/>
          <w:szCs w:val="24"/>
          <w:highlight w:val="none"/>
        </w:rPr>
        <w:t>一般计税法建设工程已标价工程量清单表格按</w:t>
      </w:r>
      <w:r>
        <w:rPr>
          <w:rFonts w:hint="eastAsia" w:ascii="Times New Roman" w:hAnsi="宋体" w:eastAsia="宋体" w:cs="宋体"/>
          <w:color w:val="auto"/>
          <w:kern w:val="0"/>
          <w:sz w:val="24"/>
          <w:szCs w:val="24"/>
          <w:highlight w:val="none"/>
        </w:rPr>
        <w:t>《关于建筑业实施营业税改征增值税后广西壮族自治区建设工程计价依据调整的通知》（桂建标〔</w:t>
      </w:r>
      <w:r>
        <w:rPr>
          <w:rFonts w:ascii="Times New Roman" w:hAnsi="宋体" w:eastAsia="宋体" w:cs="Times New Roman"/>
          <w:color w:val="auto"/>
          <w:kern w:val="0"/>
          <w:sz w:val="24"/>
          <w:szCs w:val="24"/>
          <w:highlight w:val="none"/>
        </w:rPr>
        <w:t>2016</w:t>
      </w:r>
      <w:r>
        <w:rPr>
          <w:rFonts w:hint="eastAsia" w:ascii="Times New Roman" w:hAnsi="宋体" w:eastAsia="宋体" w:cs="宋体"/>
          <w:color w:val="auto"/>
          <w:kern w:val="0"/>
          <w:sz w:val="24"/>
          <w:szCs w:val="24"/>
          <w:highlight w:val="none"/>
        </w:rPr>
        <w:t>〕</w:t>
      </w:r>
      <w:r>
        <w:rPr>
          <w:rFonts w:ascii="Times New Roman" w:hAnsi="宋体" w:eastAsia="宋体" w:cs="Times New Roman"/>
          <w:color w:val="auto"/>
          <w:kern w:val="0"/>
          <w:sz w:val="24"/>
          <w:szCs w:val="24"/>
          <w:highlight w:val="none"/>
        </w:rPr>
        <w:t>17</w:t>
      </w:r>
      <w:r>
        <w:rPr>
          <w:rFonts w:hint="eastAsia" w:ascii="Times New Roman" w:hAnsi="宋体" w:eastAsia="宋体" w:cs="宋体"/>
          <w:color w:val="auto"/>
          <w:kern w:val="0"/>
          <w:sz w:val="24"/>
          <w:szCs w:val="24"/>
          <w:highlight w:val="none"/>
        </w:rPr>
        <w:t>号）</w:t>
      </w:r>
      <w:r>
        <w:rPr>
          <w:rFonts w:hint="eastAsia" w:ascii="宋体" w:hAnsi="宋体" w:eastAsia="宋体" w:cs="宋体"/>
          <w:color w:val="auto"/>
          <w:sz w:val="24"/>
          <w:szCs w:val="24"/>
          <w:highlight w:val="none"/>
        </w:rPr>
        <w:t>附件“增值税一般计税方法工程计价表”</w:t>
      </w:r>
      <w:r>
        <w:rPr>
          <w:rFonts w:hint="eastAsia" w:ascii="Times New Roman" w:hAnsi="Times New Roman" w:eastAsia="宋体" w:cs="宋体"/>
          <w:color w:val="auto"/>
          <w:sz w:val="24"/>
          <w:szCs w:val="24"/>
          <w:highlight w:val="none"/>
        </w:rPr>
        <w:t>要求提供，简易计税法表格按《</w:t>
      </w:r>
      <w:r>
        <w:rPr>
          <w:rFonts w:ascii="Times New Roman" w:hAnsi="Times New Roman" w:eastAsia="宋体" w:cs="Times New Roman"/>
          <w:color w:val="auto"/>
          <w:sz w:val="24"/>
          <w:szCs w:val="24"/>
          <w:highlight w:val="none"/>
        </w:rPr>
        <w:t>&lt;</w:t>
      </w:r>
      <w:r>
        <w:rPr>
          <w:rFonts w:hint="eastAsia" w:ascii="Times New Roman" w:hAnsi="Times New Roman" w:eastAsia="宋体" w:cs="宋体"/>
          <w:color w:val="auto"/>
          <w:sz w:val="24"/>
          <w:szCs w:val="24"/>
          <w:highlight w:val="none"/>
        </w:rPr>
        <w:t>建设工程工程量清单计价规范</w:t>
      </w:r>
      <w:r>
        <w:rPr>
          <w:rFonts w:ascii="Times New Roman" w:hAnsi="Times New Roman" w:eastAsia="宋体" w:cs="Times New Roman"/>
          <w:color w:val="auto"/>
          <w:sz w:val="24"/>
          <w:szCs w:val="24"/>
          <w:highlight w:val="none"/>
        </w:rPr>
        <w:t>&gt;</w:t>
      </w:r>
      <w:r>
        <w:rPr>
          <w:rFonts w:hint="eastAsia" w:ascii="Times New Roman" w:hAnsi="Times New Roman" w:eastAsia="宋体" w:cs="宋体"/>
          <w:color w:val="auto"/>
          <w:sz w:val="24"/>
          <w:szCs w:val="24"/>
          <w:highlight w:val="none"/>
        </w:rPr>
        <w:t>（</w:t>
      </w:r>
      <w:r>
        <w:rPr>
          <w:rFonts w:ascii="Times New Roman" w:hAnsi="Times New Roman" w:eastAsia="宋体" w:cs="Times New Roman"/>
          <w:color w:val="auto"/>
          <w:sz w:val="24"/>
          <w:szCs w:val="24"/>
          <w:highlight w:val="none"/>
        </w:rPr>
        <w:t>GB5050-2013</w:t>
      </w:r>
      <w:r>
        <w:rPr>
          <w:rFonts w:hint="eastAsia" w:ascii="Times New Roman" w:hAnsi="Times New Roman" w:eastAsia="宋体" w:cs="宋体"/>
          <w:color w:val="auto"/>
          <w:sz w:val="24"/>
          <w:szCs w:val="24"/>
          <w:highlight w:val="none"/>
        </w:rPr>
        <w:t>）广西壮族自治区实施细则》要求的表格提供，但规费和税费按照</w:t>
      </w:r>
      <w:r>
        <w:rPr>
          <w:rFonts w:hint="eastAsia" w:ascii="Times New Roman" w:hAnsi="宋体" w:eastAsia="宋体" w:cs="宋体"/>
          <w:color w:val="auto"/>
          <w:kern w:val="0"/>
          <w:sz w:val="24"/>
          <w:szCs w:val="24"/>
          <w:highlight w:val="none"/>
        </w:rPr>
        <w:t>《关于建筑业实施营业税改征增值税后广西壮族自治区建设工程计价依据调整的通知》（桂建标〔</w:t>
      </w:r>
      <w:r>
        <w:rPr>
          <w:rFonts w:ascii="Times New Roman" w:hAnsi="宋体" w:eastAsia="宋体" w:cs="Times New Roman"/>
          <w:color w:val="auto"/>
          <w:kern w:val="0"/>
          <w:sz w:val="24"/>
          <w:szCs w:val="24"/>
          <w:highlight w:val="none"/>
        </w:rPr>
        <w:t>2016</w:t>
      </w:r>
      <w:r>
        <w:rPr>
          <w:rFonts w:hint="eastAsia" w:ascii="Times New Roman" w:hAnsi="宋体" w:eastAsia="宋体" w:cs="宋体"/>
          <w:color w:val="auto"/>
          <w:kern w:val="0"/>
          <w:sz w:val="24"/>
          <w:szCs w:val="24"/>
          <w:highlight w:val="none"/>
        </w:rPr>
        <w:t>〕</w:t>
      </w:r>
      <w:r>
        <w:rPr>
          <w:rFonts w:ascii="Times New Roman" w:hAnsi="宋体" w:eastAsia="宋体" w:cs="Times New Roman"/>
          <w:color w:val="auto"/>
          <w:kern w:val="0"/>
          <w:sz w:val="24"/>
          <w:szCs w:val="24"/>
          <w:highlight w:val="none"/>
        </w:rPr>
        <w:t>17</w:t>
      </w:r>
      <w:r>
        <w:rPr>
          <w:rFonts w:hint="eastAsia" w:ascii="Times New Roman" w:hAnsi="宋体" w:eastAsia="宋体" w:cs="宋体"/>
          <w:color w:val="auto"/>
          <w:kern w:val="0"/>
          <w:sz w:val="24"/>
          <w:szCs w:val="24"/>
          <w:highlight w:val="none"/>
        </w:rPr>
        <w:t>号）</w:t>
      </w:r>
      <w:r>
        <w:rPr>
          <w:rFonts w:hint="eastAsia" w:ascii="宋体" w:hAnsi="宋体" w:eastAsia="宋体" w:cs="宋体"/>
          <w:color w:val="auto"/>
          <w:sz w:val="24"/>
          <w:szCs w:val="24"/>
          <w:highlight w:val="none"/>
        </w:rPr>
        <w:t>调整</w:t>
      </w:r>
      <w:r>
        <w:rPr>
          <w:rFonts w:hint="eastAsia" w:ascii="Times New Roman" w:hAnsi="Times New Roman" w:eastAsia="宋体" w:cs="宋体"/>
          <w:color w:val="auto"/>
          <w:sz w:val="24"/>
          <w:szCs w:val="24"/>
          <w:highlight w:val="none"/>
        </w:rPr>
        <w:t>，具体内容包括：</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 </w:t>
      </w:r>
      <w:r>
        <w:rPr>
          <w:rFonts w:hint="eastAsia" w:ascii="Times New Roman" w:hAnsi="Times New Roman" w:eastAsia="宋体" w:cs="宋体"/>
          <w:color w:val="auto"/>
          <w:sz w:val="24"/>
          <w:szCs w:val="24"/>
          <w:highlight w:val="none"/>
        </w:rPr>
        <w:t>磋商总价（封</w:t>
      </w:r>
      <w:r>
        <w:rPr>
          <w:rFonts w:ascii="Times New Roman" w:hAnsi="Times New Roman" w:eastAsia="宋体" w:cs="Times New Roman"/>
          <w:color w:val="auto"/>
          <w:sz w:val="24"/>
          <w:szCs w:val="24"/>
          <w:highlight w:val="none"/>
        </w:rPr>
        <w:t>-3</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1.2 </w:t>
      </w:r>
      <w:r>
        <w:rPr>
          <w:rFonts w:hint="eastAsia" w:ascii="Times New Roman" w:hAnsi="Times New Roman" w:eastAsia="宋体" w:cs="宋体"/>
          <w:color w:val="auto"/>
          <w:sz w:val="24"/>
          <w:szCs w:val="24"/>
          <w:highlight w:val="none"/>
        </w:rPr>
        <w:t>磋商总价（扉</w:t>
      </w:r>
      <w:r>
        <w:rPr>
          <w:rFonts w:ascii="Times New Roman" w:hAnsi="Times New Roman" w:eastAsia="宋体" w:cs="Times New Roman"/>
          <w:color w:val="auto"/>
          <w:sz w:val="24"/>
          <w:szCs w:val="24"/>
          <w:highlight w:val="none"/>
        </w:rPr>
        <w:t>-3</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1.3 </w:t>
      </w:r>
      <w:r>
        <w:rPr>
          <w:rFonts w:hint="eastAsia" w:ascii="Times New Roman" w:hAnsi="Times New Roman" w:eastAsia="宋体" w:cs="宋体"/>
          <w:color w:val="auto"/>
          <w:sz w:val="24"/>
          <w:szCs w:val="24"/>
          <w:highlight w:val="none"/>
        </w:rPr>
        <w:t>总说明（表</w:t>
      </w:r>
      <w:r>
        <w:rPr>
          <w:rFonts w:ascii="Times New Roman" w:hAnsi="Times New Roman" w:eastAsia="宋体" w:cs="Times New Roman"/>
          <w:color w:val="auto"/>
          <w:sz w:val="24"/>
          <w:szCs w:val="24"/>
          <w:highlight w:val="none"/>
        </w:rPr>
        <w:t>-01</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1.4 </w:t>
      </w:r>
      <w:r>
        <w:rPr>
          <w:rFonts w:hint="eastAsia" w:ascii="Times New Roman" w:hAnsi="Times New Roman" w:eastAsia="宋体" w:cs="宋体"/>
          <w:color w:val="auto"/>
          <w:sz w:val="24"/>
          <w:szCs w:val="24"/>
          <w:highlight w:val="none"/>
        </w:rPr>
        <w:t>建设项目磋商报价汇总表（表</w:t>
      </w:r>
      <w:r>
        <w:rPr>
          <w:rFonts w:ascii="Times New Roman" w:hAnsi="Times New Roman" w:eastAsia="宋体" w:cs="Times New Roman"/>
          <w:color w:val="auto"/>
          <w:sz w:val="24"/>
          <w:szCs w:val="24"/>
          <w:highlight w:val="none"/>
        </w:rPr>
        <w:t>-02</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1.5 </w:t>
      </w:r>
      <w:r>
        <w:rPr>
          <w:rFonts w:hint="eastAsia" w:ascii="Times New Roman" w:hAnsi="Times New Roman" w:eastAsia="宋体" w:cs="宋体"/>
          <w:color w:val="auto"/>
          <w:sz w:val="24"/>
          <w:szCs w:val="24"/>
          <w:highlight w:val="none"/>
        </w:rPr>
        <w:t>单项工程磋商报价汇总表（表</w:t>
      </w:r>
      <w:r>
        <w:rPr>
          <w:rFonts w:ascii="Times New Roman" w:hAnsi="Times New Roman" w:eastAsia="宋体" w:cs="Times New Roman"/>
          <w:color w:val="auto"/>
          <w:sz w:val="24"/>
          <w:szCs w:val="24"/>
          <w:highlight w:val="none"/>
        </w:rPr>
        <w:t>-03</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1.6 </w:t>
      </w:r>
      <w:r>
        <w:rPr>
          <w:rFonts w:hint="eastAsia" w:ascii="Times New Roman" w:hAnsi="Times New Roman" w:eastAsia="宋体" w:cs="宋体"/>
          <w:color w:val="auto"/>
          <w:sz w:val="24"/>
          <w:szCs w:val="24"/>
          <w:highlight w:val="none"/>
        </w:rPr>
        <w:t>单位工程磋商报价汇总表（表</w:t>
      </w:r>
      <w:r>
        <w:rPr>
          <w:rFonts w:ascii="Times New Roman" w:hAnsi="Times New Roman" w:eastAsia="宋体" w:cs="Times New Roman"/>
          <w:color w:val="auto"/>
          <w:sz w:val="24"/>
          <w:szCs w:val="24"/>
          <w:highlight w:val="none"/>
        </w:rPr>
        <w:t>-04</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1.7 </w:t>
      </w:r>
      <w:r>
        <w:rPr>
          <w:rFonts w:hint="eastAsia" w:ascii="Times New Roman" w:hAnsi="Times New Roman" w:eastAsia="宋体" w:cs="宋体"/>
          <w:color w:val="auto"/>
          <w:sz w:val="24"/>
          <w:szCs w:val="24"/>
          <w:highlight w:val="none"/>
        </w:rPr>
        <w:t>分部分项工程和单价措施项目清单与计价表（表</w:t>
      </w:r>
      <w:r>
        <w:rPr>
          <w:rFonts w:ascii="Times New Roman" w:hAnsi="Times New Roman" w:eastAsia="宋体" w:cs="Times New Roman"/>
          <w:color w:val="auto"/>
          <w:sz w:val="24"/>
          <w:szCs w:val="24"/>
          <w:highlight w:val="none"/>
        </w:rPr>
        <w:t>-08</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1.8 </w:t>
      </w:r>
      <w:r>
        <w:rPr>
          <w:rFonts w:hint="eastAsia" w:ascii="Times New Roman" w:hAnsi="Times New Roman" w:eastAsia="宋体" w:cs="宋体"/>
          <w:color w:val="auto"/>
          <w:sz w:val="24"/>
          <w:szCs w:val="24"/>
          <w:highlight w:val="none"/>
        </w:rPr>
        <w:t>工程量清单综合单价分析表（表</w:t>
      </w:r>
      <w:r>
        <w:rPr>
          <w:rFonts w:ascii="Times New Roman" w:hAnsi="Times New Roman" w:eastAsia="宋体" w:cs="Times New Roman"/>
          <w:color w:val="auto"/>
          <w:sz w:val="24"/>
          <w:szCs w:val="24"/>
          <w:highlight w:val="none"/>
        </w:rPr>
        <w:t>-09</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1.9 </w:t>
      </w:r>
      <w:r>
        <w:rPr>
          <w:rFonts w:hint="eastAsia" w:ascii="Times New Roman" w:hAnsi="Times New Roman" w:eastAsia="宋体" w:cs="宋体"/>
          <w:color w:val="auto"/>
          <w:sz w:val="24"/>
          <w:szCs w:val="24"/>
          <w:highlight w:val="none"/>
        </w:rPr>
        <w:t>主要清单项目工料机分析表（表</w:t>
      </w:r>
      <w:r>
        <w:rPr>
          <w:rFonts w:ascii="Times New Roman" w:hAnsi="Times New Roman" w:eastAsia="宋体" w:cs="Times New Roman"/>
          <w:color w:val="auto"/>
          <w:sz w:val="24"/>
          <w:szCs w:val="24"/>
          <w:highlight w:val="none"/>
        </w:rPr>
        <w:t>-10</w:t>
      </w:r>
      <w:r>
        <w:rPr>
          <w:rFonts w:hint="eastAsia" w:ascii="Times New Roman" w:hAnsi="Times New Roman" w:eastAsia="宋体" w:cs="宋体"/>
          <w:color w:val="auto"/>
          <w:sz w:val="24"/>
          <w:szCs w:val="24"/>
          <w:highlight w:val="none"/>
        </w:rPr>
        <w:t>）【备注：可按要求有选择的提供】</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1.10 </w:t>
      </w:r>
      <w:r>
        <w:rPr>
          <w:rFonts w:hint="eastAsia" w:ascii="Times New Roman" w:hAnsi="Times New Roman" w:eastAsia="宋体" w:cs="宋体"/>
          <w:color w:val="auto"/>
          <w:sz w:val="24"/>
          <w:szCs w:val="24"/>
          <w:highlight w:val="none"/>
        </w:rPr>
        <w:t>总价措施项目清单与计价表（表</w:t>
      </w:r>
      <w:r>
        <w:rPr>
          <w:rFonts w:ascii="Times New Roman" w:hAnsi="Times New Roman" w:eastAsia="宋体" w:cs="Times New Roman"/>
          <w:color w:val="auto"/>
          <w:sz w:val="24"/>
          <w:szCs w:val="24"/>
          <w:highlight w:val="none"/>
        </w:rPr>
        <w:t>-11</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1.11 </w:t>
      </w:r>
      <w:r>
        <w:rPr>
          <w:rFonts w:hint="eastAsia" w:ascii="Times New Roman" w:hAnsi="Times New Roman" w:eastAsia="宋体" w:cs="宋体"/>
          <w:color w:val="auto"/>
          <w:sz w:val="24"/>
          <w:szCs w:val="24"/>
          <w:highlight w:val="none"/>
        </w:rPr>
        <w:t>其他项目清单与计价汇总表（表</w:t>
      </w:r>
      <w:r>
        <w:rPr>
          <w:rFonts w:ascii="Times New Roman" w:hAnsi="Times New Roman" w:eastAsia="宋体" w:cs="Times New Roman"/>
          <w:color w:val="auto"/>
          <w:sz w:val="24"/>
          <w:szCs w:val="24"/>
          <w:highlight w:val="none"/>
        </w:rPr>
        <w:t>-12</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1.12 </w:t>
      </w:r>
      <w:r>
        <w:rPr>
          <w:rFonts w:hint="eastAsia" w:ascii="Times New Roman" w:hAnsi="Times New Roman" w:eastAsia="宋体" w:cs="宋体"/>
          <w:color w:val="auto"/>
          <w:sz w:val="24"/>
          <w:szCs w:val="24"/>
          <w:highlight w:val="none"/>
        </w:rPr>
        <w:t>暂列金额明细表（表</w:t>
      </w:r>
      <w:r>
        <w:rPr>
          <w:rFonts w:ascii="Times New Roman" w:hAnsi="Times New Roman" w:eastAsia="宋体" w:cs="Times New Roman"/>
          <w:color w:val="auto"/>
          <w:sz w:val="24"/>
          <w:szCs w:val="24"/>
          <w:highlight w:val="none"/>
        </w:rPr>
        <w:t>12-1</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1.13 </w:t>
      </w:r>
      <w:r>
        <w:rPr>
          <w:rFonts w:hint="eastAsia" w:ascii="Times New Roman" w:hAnsi="Times New Roman" w:eastAsia="宋体" w:cs="宋体"/>
          <w:color w:val="auto"/>
          <w:sz w:val="24"/>
          <w:szCs w:val="24"/>
          <w:highlight w:val="none"/>
        </w:rPr>
        <w:t>材料（工程设备）暂估单价及调整表（表</w:t>
      </w:r>
      <w:r>
        <w:rPr>
          <w:rFonts w:ascii="Times New Roman" w:hAnsi="Times New Roman" w:eastAsia="宋体" w:cs="Times New Roman"/>
          <w:color w:val="auto"/>
          <w:sz w:val="24"/>
          <w:szCs w:val="24"/>
          <w:highlight w:val="none"/>
        </w:rPr>
        <w:t>12-2</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1.14 </w:t>
      </w:r>
      <w:r>
        <w:rPr>
          <w:rFonts w:hint="eastAsia" w:ascii="Times New Roman" w:hAnsi="Times New Roman" w:eastAsia="宋体" w:cs="宋体"/>
          <w:color w:val="auto"/>
          <w:sz w:val="24"/>
          <w:szCs w:val="24"/>
          <w:highlight w:val="none"/>
        </w:rPr>
        <w:t>专业工程暂估价表（表</w:t>
      </w:r>
      <w:r>
        <w:rPr>
          <w:rFonts w:ascii="Times New Roman" w:hAnsi="Times New Roman" w:eastAsia="宋体" w:cs="Times New Roman"/>
          <w:color w:val="auto"/>
          <w:sz w:val="24"/>
          <w:szCs w:val="24"/>
          <w:highlight w:val="none"/>
        </w:rPr>
        <w:t>12-3</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1.15</w:t>
      </w:r>
      <w:r>
        <w:rPr>
          <w:rFonts w:hint="eastAsia" w:ascii="Times New Roman" w:hAnsi="Times New Roman" w:eastAsia="宋体" w:cs="宋体"/>
          <w:color w:val="auto"/>
          <w:sz w:val="24"/>
          <w:szCs w:val="24"/>
          <w:highlight w:val="none"/>
        </w:rPr>
        <w:t>计日工表（表</w:t>
      </w:r>
      <w:r>
        <w:rPr>
          <w:rFonts w:ascii="Times New Roman" w:hAnsi="Times New Roman" w:eastAsia="宋体" w:cs="Times New Roman"/>
          <w:color w:val="auto"/>
          <w:sz w:val="24"/>
          <w:szCs w:val="24"/>
          <w:highlight w:val="none"/>
        </w:rPr>
        <w:t>12-4</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1.16 </w:t>
      </w:r>
      <w:r>
        <w:rPr>
          <w:rFonts w:hint="eastAsia" w:ascii="Times New Roman" w:hAnsi="Times New Roman" w:eastAsia="宋体" w:cs="宋体"/>
          <w:color w:val="auto"/>
          <w:sz w:val="24"/>
          <w:szCs w:val="24"/>
          <w:highlight w:val="none"/>
        </w:rPr>
        <w:t>总承包服务费计价表（表</w:t>
      </w:r>
      <w:r>
        <w:rPr>
          <w:rFonts w:ascii="Times New Roman" w:hAnsi="Times New Roman" w:eastAsia="宋体" w:cs="Times New Roman"/>
          <w:color w:val="auto"/>
          <w:sz w:val="24"/>
          <w:szCs w:val="24"/>
          <w:highlight w:val="none"/>
        </w:rPr>
        <w:t>12-5</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1.17 </w:t>
      </w:r>
      <w:r>
        <w:rPr>
          <w:rFonts w:hint="eastAsia" w:ascii="Times New Roman" w:hAnsi="Times New Roman" w:eastAsia="宋体" w:cs="宋体"/>
          <w:color w:val="auto"/>
          <w:sz w:val="24"/>
          <w:szCs w:val="24"/>
          <w:highlight w:val="none"/>
        </w:rPr>
        <w:t>税前项目清单与计价表（表</w:t>
      </w:r>
      <w:r>
        <w:rPr>
          <w:rFonts w:ascii="Times New Roman" w:hAnsi="Times New Roman" w:eastAsia="宋体" w:cs="Times New Roman"/>
          <w:color w:val="auto"/>
          <w:sz w:val="24"/>
          <w:szCs w:val="24"/>
          <w:highlight w:val="none"/>
        </w:rPr>
        <w:t>-14</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1.18 </w:t>
      </w:r>
      <w:r>
        <w:rPr>
          <w:rFonts w:hint="eastAsia" w:ascii="Times New Roman" w:hAnsi="Times New Roman" w:eastAsia="宋体" w:cs="宋体"/>
          <w:color w:val="auto"/>
          <w:sz w:val="24"/>
          <w:szCs w:val="24"/>
          <w:highlight w:val="none"/>
        </w:rPr>
        <w:t>规费、增值税计价表（表</w:t>
      </w:r>
      <w:r>
        <w:rPr>
          <w:rFonts w:ascii="Times New Roman" w:hAnsi="Times New Roman" w:eastAsia="宋体" w:cs="Times New Roman"/>
          <w:color w:val="auto"/>
          <w:sz w:val="24"/>
          <w:szCs w:val="24"/>
          <w:highlight w:val="none"/>
        </w:rPr>
        <w:t>-15</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1.19 </w:t>
      </w:r>
      <w:r>
        <w:rPr>
          <w:rFonts w:hint="eastAsia" w:ascii="Times New Roman" w:hAnsi="Times New Roman" w:eastAsia="宋体" w:cs="宋体"/>
          <w:color w:val="auto"/>
          <w:sz w:val="24"/>
          <w:szCs w:val="24"/>
          <w:highlight w:val="none"/>
        </w:rPr>
        <w:t>发包人提供主要材料和工程设备一览表（表</w:t>
      </w:r>
      <w:r>
        <w:rPr>
          <w:rFonts w:ascii="Times New Roman" w:hAnsi="Times New Roman" w:eastAsia="宋体" w:cs="Times New Roman"/>
          <w:color w:val="auto"/>
          <w:sz w:val="24"/>
          <w:szCs w:val="24"/>
          <w:highlight w:val="none"/>
        </w:rPr>
        <w:t>-21</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1.20 </w:t>
      </w:r>
      <w:r>
        <w:rPr>
          <w:rFonts w:hint="eastAsia" w:ascii="Times New Roman" w:hAnsi="Times New Roman" w:eastAsia="宋体" w:cs="宋体"/>
          <w:color w:val="auto"/>
          <w:sz w:val="24"/>
          <w:szCs w:val="24"/>
          <w:highlight w:val="none"/>
        </w:rPr>
        <w:t>承包人提供主要材料和工程设备一览表（适用于造价信息差额调整法）（表</w:t>
      </w:r>
      <w:r>
        <w:rPr>
          <w:rFonts w:ascii="Times New Roman" w:hAnsi="Times New Roman" w:eastAsia="宋体" w:cs="Times New Roman"/>
          <w:color w:val="auto"/>
          <w:sz w:val="24"/>
          <w:szCs w:val="24"/>
          <w:highlight w:val="none"/>
        </w:rPr>
        <w:t>-22</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1.21 </w:t>
      </w:r>
      <w:r>
        <w:rPr>
          <w:rFonts w:hint="eastAsia" w:ascii="Times New Roman" w:hAnsi="Times New Roman" w:eastAsia="宋体" w:cs="宋体"/>
          <w:color w:val="auto"/>
          <w:sz w:val="24"/>
          <w:szCs w:val="24"/>
          <w:highlight w:val="none"/>
        </w:rPr>
        <w:t>承包人提供主要材料和工程设备一览表（适用于价格指数差额调整法）（表</w:t>
      </w:r>
      <w:r>
        <w:rPr>
          <w:rFonts w:ascii="Times New Roman" w:hAnsi="Times New Roman" w:eastAsia="宋体" w:cs="Times New Roman"/>
          <w:color w:val="auto"/>
          <w:sz w:val="24"/>
          <w:szCs w:val="24"/>
          <w:highlight w:val="none"/>
        </w:rPr>
        <w:t>-23</w:t>
      </w:r>
      <w:r>
        <w:rPr>
          <w:rFonts w:hint="eastAsia" w:ascii="Times New Roman" w:hAnsi="Times New Roman" w:eastAsia="宋体" w:cs="宋体"/>
          <w:color w:val="auto"/>
          <w:sz w:val="24"/>
          <w:szCs w:val="24"/>
          <w:highlight w:val="none"/>
        </w:rPr>
        <w:t>）</w:t>
      </w:r>
    </w:p>
    <w:p>
      <w:pPr>
        <w:spacing w:line="360" w:lineRule="auto"/>
        <w:ind w:firstLine="720" w:firstLineChars="300"/>
        <w:rPr>
          <w:rFonts w:ascii="Times New Roman" w:hAnsi="Times New Roman" w:eastAsia="宋体" w:cs="Times New Roman"/>
          <w:color w:val="auto"/>
          <w:sz w:val="24"/>
          <w:szCs w:val="24"/>
          <w:highlight w:val="none"/>
        </w:rPr>
      </w:pPr>
    </w:p>
    <w:p>
      <w:pPr>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备注：</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w:t>
      </w:r>
      <w:r>
        <w:rPr>
          <w:rFonts w:hint="eastAsia" w:ascii="Times New Roman" w:hAnsi="Times New Roman" w:eastAsia="宋体" w:cs="Times New Roman"/>
          <w:color w:val="auto"/>
          <w:sz w:val="24"/>
          <w:szCs w:val="24"/>
          <w:highlight w:val="none"/>
        </w:rPr>
        <w:t>1</w:t>
      </w:r>
      <w:r>
        <w:rPr>
          <w:rFonts w:hint="eastAsia" w:ascii="Times New Roman" w:hAnsi="Times New Roman" w:eastAsia="宋体" w:cs="宋体"/>
          <w:color w:val="auto"/>
          <w:sz w:val="24"/>
          <w:szCs w:val="24"/>
          <w:highlight w:val="none"/>
        </w:rPr>
        <w:t>）</w:t>
      </w:r>
      <w:r>
        <w:rPr>
          <w:rFonts w:ascii="Times New Roman" w:hAnsi="Times New Roman" w:eastAsia="宋体" w:cs="Times New Roman"/>
          <w:color w:val="auto"/>
          <w:sz w:val="24"/>
          <w:szCs w:val="24"/>
          <w:highlight w:val="none"/>
        </w:rPr>
        <w:t>1.8</w:t>
      </w:r>
      <w:r>
        <w:rPr>
          <w:rFonts w:hint="eastAsia" w:ascii="Times New Roman" w:hAnsi="Times New Roman" w:eastAsia="宋体" w:cs="宋体"/>
          <w:color w:val="auto"/>
          <w:sz w:val="24"/>
          <w:szCs w:val="24"/>
          <w:highlight w:val="none"/>
        </w:rPr>
        <w:t>工程量清单综合单价分析表和</w:t>
      </w:r>
      <w:r>
        <w:rPr>
          <w:rFonts w:ascii="Times New Roman" w:hAnsi="Times New Roman" w:eastAsia="宋体" w:cs="Times New Roman"/>
          <w:color w:val="auto"/>
          <w:sz w:val="24"/>
          <w:szCs w:val="24"/>
          <w:highlight w:val="none"/>
        </w:rPr>
        <w:t>1.9</w:t>
      </w:r>
      <w:r>
        <w:rPr>
          <w:rFonts w:hint="eastAsia" w:ascii="Times New Roman" w:hAnsi="Times New Roman" w:eastAsia="宋体" w:cs="宋体"/>
          <w:color w:val="auto"/>
          <w:sz w:val="24"/>
          <w:szCs w:val="24"/>
          <w:highlight w:val="none"/>
        </w:rPr>
        <w:t>主要清单项目工料机分析表要求附上。</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w:t>
      </w:r>
      <w:r>
        <w:rPr>
          <w:rFonts w:hint="eastAsia" w:ascii="Times New Roman" w:hAnsi="Times New Roman" w:eastAsia="宋体" w:cs="Times New Roman"/>
          <w:color w:val="auto"/>
          <w:sz w:val="24"/>
          <w:szCs w:val="24"/>
          <w:highlight w:val="none"/>
        </w:rPr>
        <w:t>2</w:t>
      </w:r>
      <w:r>
        <w:rPr>
          <w:rFonts w:hint="eastAsia" w:ascii="Times New Roman" w:hAnsi="Times New Roman" w:eastAsia="宋体" w:cs="宋体"/>
          <w:color w:val="auto"/>
          <w:sz w:val="24"/>
          <w:szCs w:val="24"/>
          <w:highlight w:val="none"/>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①</w:t>
      </w:r>
      <w:r>
        <w:rPr>
          <w:rFonts w:hint="eastAsia" w:ascii="Times New Roman" w:hAnsi="Times New Roman" w:eastAsia="宋体" w:cs="宋体"/>
          <w:color w:val="auto"/>
          <w:sz w:val="24"/>
          <w:szCs w:val="24"/>
          <w:highlight w:val="none"/>
        </w:rPr>
        <w:t>建设项目磋商报价汇总表（表</w:t>
      </w:r>
      <w:r>
        <w:rPr>
          <w:rFonts w:ascii="Times New Roman" w:hAnsi="Times New Roman" w:eastAsia="宋体" w:cs="Times New Roman"/>
          <w:color w:val="auto"/>
          <w:sz w:val="24"/>
          <w:szCs w:val="24"/>
          <w:highlight w:val="none"/>
        </w:rPr>
        <w:t>-02</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②暂列金额明细表（表</w:t>
      </w:r>
      <w:r>
        <w:rPr>
          <w:rFonts w:ascii="Times New Roman" w:hAnsi="Times New Roman" w:eastAsia="宋体" w:cs="Times New Roman"/>
          <w:color w:val="auto"/>
          <w:sz w:val="24"/>
          <w:szCs w:val="24"/>
          <w:highlight w:val="none"/>
        </w:rPr>
        <w:t>12-1</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③材料（工程设备）暂估单位及调整表（表</w:t>
      </w:r>
      <w:r>
        <w:rPr>
          <w:rFonts w:ascii="Times New Roman" w:hAnsi="Times New Roman" w:eastAsia="宋体" w:cs="Times New Roman"/>
          <w:color w:val="auto"/>
          <w:sz w:val="24"/>
          <w:szCs w:val="24"/>
          <w:highlight w:val="none"/>
        </w:rPr>
        <w:t>12-2</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④专业工程暂估价表（表</w:t>
      </w:r>
      <w:r>
        <w:rPr>
          <w:rFonts w:ascii="Times New Roman" w:hAnsi="Times New Roman" w:eastAsia="宋体" w:cs="Times New Roman"/>
          <w:color w:val="auto"/>
          <w:sz w:val="24"/>
          <w:szCs w:val="24"/>
          <w:highlight w:val="none"/>
        </w:rPr>
        <w:t>12-3</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⑤计日工表表</w:t>
      </w:r>
      <w:r>
        <w:rPr>
          <w:rFonts w:ascii="Times New Roman" w:hAnsi="Times New Roman" w:eastAsia="宋体" w:cs="Times New Roman"/>
          <w:color w:val="auto"/>
          <w:sz w:val="24"/>
          <w:szCs w:val="24"/>
          <w:highlight w:val="none"/>
        </w:rPr>
        <w:t>12-4</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⑥总承包服务费计价表（表</w:t>
      </w:r>
      <w:r>
        <w:rPr>
          <w:rFonts w:ascii="Times New Roman" w:hAnsi="Times New Roman" w:eastAsia="宋体" w:cs="Times New Roman"/>
          <w:color w:val="auto"/>
          <w:sz w:val="24"/>
          <w:szCs w:val="24"/>
          <w:highlight w:val="none"/>
        </w:rPr>
        <w:t>12-5</w:t>
      </w:r>
      <w:r>
        <w:rPr>
          <w:rFonts w:hint="eastAsia" w:ascii="Times New Roman" w:hAnsi="Times New Roman" w:eastAsia="宋体" w:cs="宋体"/>
          <w:color w:val="auto"/>
          <w:sz w:val="24"/>
          <w:szCs w:val="24"/>
          <w:highlight w:val="none"/>
        </w:rPr>
        <w:t>）</w:t>
      </w:r>
    </w:p>
    <w:p>
      <w:pPr>
        <w:spacing w:line="360" w:lineRule="auto"/>
        <w:ind w:left="0" w:leftChars="0" w:firstLine="638" w:firstLineChars="266"/>
        <w:rPr>
          <w:rFonts w:ascii="Times New Roman" w:hAnsi="Times New Roman" w:eastAsia="宋体" w:cs="Times New Roman"/>
          <w:color w:val="auto"/>
          <w:sz w:val="24"/>
          <w:szCs w:val="24"/>
          <w:highlight w:val="none"/>
        </w:rPr>
      </w:pPr>
      <w:r>
        <w:rPr>
          <w:rFonts w:hint="eastAsia" w:ascii="Times New Roman" w:hAnsi="Times New Roman" w:eastAsia="宋体" w:cs="宋体"/>
          <w:color w:val="auto"/>
          <w:sz w:val="24"/>
          <w:szCs w:val="24"/>
          <w:highlight w:val="none"/>
        </w:rPr>
        <w:t>⑦税前项目清单与计价表（表</w:t>
      </w:r>
      <w:r>
        <w:rPr>
          <w:rFonts w:ascii="Times New Roman" w:hAnsi="Times New Roman" w:eastAsia="宋体" w:cs="Times New Roman"/>
          <w:color w:val="auto"/>
          <w:sz w:val="24"/>
          <w:szCs w:val="24"/>
          <w:highlight w:val="none"/>
        </w:rPr>
        <w:t>-14</w:t>
      </w:r>
      <w:r>
        <w:rPr>
          <w:rFonts w:hint="eastAsia" w:ascii="Times New Roman" w:hAnsi="Times New Roman" w:eastAsia="宋体" w:cs="宋体"/>
          <w:color w:val="auto"/>
          <w:sz w:val="24"/>
          <w:szCs w:val="24"/>
          <w:highlight w:val="none"/>
        </w:rPr>
        <w:t>）</w:t>
      </w:r>
    </w:p>
    <w:p>
      <w:pPr>
        <w:pStyle w:val="57"/>
        <w:rPr>
          <w:rFonts w:ascii="宋体" w:hAnsi="Courier New" w:eastAsia="宋体" w:cs="Times New Roman"/>
          <w:color w:val="auto"/>
          <w:sz w:val="24"/>
          <w:szCs w:val="24"/>
          <w:highlight w:val="none"/>
        </w:rPr>
      </w:pPr>
    </w:p>
    <w:p>
      <w:pPr>
        <w:rPr>
          <w:b/>
          <w:color w:val="auto"/>
          <w:sz w:val="28"/>
          <w:szCs w:val="28"/>
          <w:highlight w:val="none"/>
        </w:rPr>
      </w:pPr>
      <w:r>
        <w:rPr>
          <w:b/>
          <w:color w:val="auto"/>
          <w:sz w:val="28"/>
          <w:szCs w:val="28"/>
          <w:highlight w:val="none"/>
        </w:rPr>
        <w:br w:type="page"/>
      </w:r>
    </w:p>
    <w:p>
      <w:pPr>
        <w:snapToGrid w:val="0"/>
        <w:spacing w:before="156" w:beforeLines="50" w:after="50"/>
        <w:jc w:val="both"/>
        <w:rPr>
          <w:rFonts w:hint="eastAsia" w:ascii="宋体" w:hAnsi="宋体"/>
          <w:color w:val="auto"/>
          <w:sz w:val="28"/>
          <w:szCs w:val="28"/>
          <w:highlight w:val="none"/>
        </w:rPr>
      </w:pPr>
    </w:p>
    <w:p>
      <w:pPr>
        <w:snapToGrid w:val="0"/>
        <w:spacing w:before="156" w:beforeLines="50" w:after="50"/>
        <w:jc w:val="right"/>
        <w:rPr>
          <w:rFonts w:hint="eastAsia" w:ascii="方正小标宋简体" w:hAnsi="方正小标宋简体" w:eastAsia="方正小标宋简体" w:cs="方正小标宋简体"/>
          <w:bCs/>
          <w:color w:val="auto"/>
          <w:sz w:val="28"/>
          <w:szCs w:val="28"/>
          <w:highlight w:val="none"/>
        </w:rPr>
      </w:pPr>
      <w:r>
        <w:rPr>
          <w:rFonts w:hint="eastAsia" w:ascii="宋体" w:hAnsi="宋体"/>
          <w:color w:val="auto"/>
          <w:sz w:val="28"/>
          <w:szCs w:val="28"/>
          <w:highlight w:val="none"/>
        </w:rPr>
        <w:t xml:space="preserve"> </w:t>
      </w:r>
      <w:r>
        <w:rPr>
          <w:rFonts w:hint="eastAsia" w:ascii="宋体" w:hAnsi="宋体"/>
          <w:bCs/>
          <w:color w:val="auto"/>
          <w:sz w:val="28"/>
          <w:szCs w:val="28"/>
          <w:highlight w:val="none"/>
        </w:rPr>
        <w:t>正本/副本</w:t>
      </w: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8"/>
          <w:szCs w:val="48"/>
          <w:highlight w:val="none"/>
        </w:rPr>
      </w:pPr>
      <w:r>
        <w:rPr>
          <w:rFonts w:hint="eastAsia" w:ascii="方正小标宋简体" w:hAnsi="方正小标宋简体" w:eastAsia="方正小标宋简体" w:cs="方正小标宋简体"/>
          <w:bCs/>
          <w:color w:val="auto"/>
          <w:sz w:val="48"/>
          <w:szCs w:val="48"/>
          <w:highlight w:val="none"/>
          <w:lang w:val="en-US" w:eastAsia="zh-CN"/>
        </w:rPr>
        <w:t xml:space="preserve"> 商  务  </w:t>
      </w:r>
      <w:r>
        <w:rPr>
          <w:rFonts w:hint="eastAsia" w:ascii="方正小标宋简体" w:hAnsi="方正小标宋简体" w:eastAsia="方正小标宋简体" w:cs="方正小标宋简体"/>
          <w:bCs/>
          <w:color w:val="auto"/>
          <w:sz w:val="48"/>
          <w:szCs w:val="48"/>
          <w:highlight w:val="none"/>
          <w:lang w:eastAsia="zh-CN"/>
        </w:rPr>
        <w:t>技</w:t>
      </w:r>
      <w:r>
        <w:rPr>
          <w:rFonts w:hint="eastAsia" w:ascii="方正小标宋简体" w:hAnsi="方正小标宋简体" w:eastAsia="方正小标宋简体" w:cs="方正小标宋简体"/>
          <w:bCs/>
          <w:color w:val="auto"/>
          <w:sz w:val="48"/>
          <w:szCs w:val="48"/>
          <w:highlight w:val="none"/>
          <w:lang w:val="en-US" w:eastAsia="zh-CN"/>
        </w:rPr>
        <w:t xml:space="preserve">  </w:t>
      </w:r>
      <w:r>
        <w:rPr>
          <w:rFonts w:hint="eastAsia" w:ascii="方正小标宋简体" w:hAnsi="方正小标宋简体" w:eastAsia="方正小标宋简体" w:cs="方正小标宋简体"/>
          <w:bCs/>
          <w:color w:val="auto"/>
          <w:sz w:val="48"/>
          <w:szCs w:val="48"/>
          <w:highlight w:val="none"/>
          <w:lang w:eastAsia="zh-CN"/>
        </w:rPr>
        <w:t>术</w:t>
      </w:r>
      <w:r>
        <w:rPr>
          <w:rFonts w:hint="eastAsia" w:ascii="方正小标宋简体" w:hAnsi="方正小标宋简体" w:eastAsia="方正小标宋简体" w:cs="方正小标宋简体"/>
          <w:bCs/>
          <w:color w:val="auto"/>
          <w:sz w:val="48"/>
          <w:szCs w:val="48"/>
          <w:highlight w:val="none"/>
        </w:rPr>
        <w:t xml:space="preserve">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pStyle w:val="12"/>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720" w:firstLineChars="225"/>
        <w:rPr>
          <w:rFonts w:hint="eastAsia" w:ascii="宋体" w:hAnsi="宋体" w:cs="仿宋_GB2312"/>
          <w:bCs/>
          <w:color w:val="auto"/>
          <w:sz w:val="32"/>
          <w:szCs w:val="32"/>
          <w:highlight w:val="none"/>
        </w:rPr>
      </w:pPr>
    </w:p>
    <w:p>
      <w:pPr>
        <w:pStyle w:val="12"/>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right"/>
        <w:rPr>
          <w:rFonts w:hint="eastAsia" w:ascii="宋体" w:hAnsi="宋体"/>
          <w:b/>
          <w:color w:val="auto"/>
          <w:szCs w:val="21"/>
          <w:highlight w:val="none"/>
        </w:rPr>
      </w:pPr>
      <w:r>
        <w:rPr>
          <w:rFonts w:hint="eastAsia" w:ascii="宋体" w:hAnsi="宋体" w:cs="仿宋_GB2312"/>
          <w:color w:val="auto"/>
          <w:sz w:val="32"/>
          <w:szCs w:val="32"/>
          <w:highlight w:val="none"/>
        </w:rPr>
        <w:t>年    月    日</w:t>
      </w:r>
    </w:p>
    <w:p>
      <w:pPr>
        <w:jc w:val="center"/>
        <w:rPr>
          <w:rFonts w:ascii="宋体" w:hAnsi="宋体" w:eastAsia="宋体" w:cs="Times New Roman"/>
          <w:b/>
          <w:color w:val="auto"/>
          <w:sz w:val="32"/>
          <w:szCs w:val="32"/>
          <w:highlight w:val="none"/>
        </w:rPr>
      </w:pPr>
      <w:r>
        <w:rPr>
          <w:b/>
          <w:color w:val="auto"/>
          <w:sz w:val="28"/>
          <w:szCs w:val="28"/>
          <w:highlight w:val="none"/>
        </w:rPr>
        <w:br w:type="page"/>
      </w:r>
      <w:r>
        <w:rPr>
          <w:rFonts w:hint="eastAsia" w:ascii="宋体" w:hAnsi="宋体" w:eastAsia="宋体" w:cs="Times New Roman"/>
          <w:b/>
          <w:color w:val="auto"/>
          <w:sz w:val="32"/>
          <w:szCs w:val="32"/>
          <w:highlight w:val="none"/>
        </w:rPr>
        <w:t>目</w:t>
      </w:r>
      <w:r>
        <w:rPr>
          <w:rFonts w:ascii="宋体" w:hAnsi="宋体" w:eastAsia="宋体" w:cs="Times New Roman"/>
          <w:b/>
          <w:color w:val="auto"/>
          <w:sz w:val="32"/>
          <w:szCs w:val="32"/>
          <w:highlight w:val="none"/>
        </w:rPr>
        <w:t xml:space="preserve">   </w:t>
      </w:r>
      <w:r>
        <w:rPr>
          <w:rFonts w:hint="eastAsia" w:ascii="宋体" w:hAnsi="宋体" w:eastAsia="宋体" w:cs="Times New Roman"/>
          <w:b/>
          <w:color w:val="auto"/>
          <w:sz w:val="32"/>
          <w:szCs w:val="32"/>
          <w:highlight w:val="none"/>
        </w:rPr>
        <w:t>录</w:t>
      </w:r>
    </w:p>
    <w:p>
      <w:pPr>
        <w:jc w:val="left"/>
        <w:rPr>
          <w:rFonts w:ascii="Tahoma" w:hAnsi="Tahoma" w:eastAsia="宋体" w:cs="Times New Roman"/>
          <w:bCs/>
          <w:color w:val="auto"/>
          <w:spacing w:val="10"/>
          <w:sz w:val="24"/>
          <w:szCs w:val="20"/>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Times New Roman"/>
          <w:color w:val="auto"/>
          <w:sz w:val="21"/>
          <w:szCs w:val="21"/>
          <w:highlight w:val="none"/>
        </w:rPr>
        <w:t>法定代表人身份证明原件及身份证复印件（法定代表人签署磋商响应文件时提供）或者</w:t>
      </w:r>
      <w:r>
        <w:rPr>
          <w:rFonts w:hint="eastAsia" w:ascii="宋体" w:hAnsi="宋体" w:eastAsia="宋体" w:cs="Times New Roman"/>
          <w:color w:val="auto"/>
          <w:sz w:val="21"/>
          <w:szCs w:val="21"/>
          <w:highlight w:val="none"/>
          <w:lang w:eastAsia="zh-CN"/>
        </w:rPr>
        <w:t>法定代表人授</w:t>
      </w:r>
      <w:r>
        <w:rPr>
          <w:rFonts w:hint="eastAsia" w:ascii="宋体" w:hAnsi="宋体" w:eastAsia="宋体" w:cs="Times New Roman"/>
          <w:color w:val="auto"/>
          <w:sz w:val="21"/>
          <w:szCs w:val="21"/>
          <w:highlight w:val="none"/>
        </w:rPr>
        <w:t>权委托书原件</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法定代表人身份证明原件及身份证复印件、委托代理的委托代理人身份证复印件（委托代理人签署磋商响应文件时提供）；</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施工组织设计；</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、项目管理机构；</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、企业近年信誉实力一览表（如有）；</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、近年已完成类似工程一览表（如有）；</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、供应商认为需要提供的其他有关资料。</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auto"/>
          <w:sz w:val="32"/>
          <w:szCs w:val="32"/>
          <w:highlight w:val="none"/>
        </w:rPr>
      </w:pPr>
      <w:r>
        <w:rPr>
          <w:color w:val="auto"/>
          <w:highlight w:val="none"/>
        </w:rPr>
        <w:br w:type="page"/>
      </w:r>
      <w:r>
        <w:rPr>
          <w:rFonts w:hint="eastAsia" w:ascii="宋体" w:hAnsi="宋体" w:eastAsia="宋体" w:cs="宋体"/>
          <w:b/>
          <w:bCs/>
          <w:color w:val="auto"/>
          <w:sz w:val="44"/>
          <w:szCs w:val="44"/>
          <w:highlight w:val="none"/>
          <w:lang w:eastAsia="zh-CN"/>
        </w:rPr>
        <w:t>一、</w:t>
      </w:r>
      <w:r>
        <w:rPr>
          <w:rFonts w:hint="eastAsia" w:ascii="宋体" w:hAnsi="宋体" w:eastAsia="宋体" w:cs="宋体"/>
          <w:b/>
          <w:bCs/>
          <w:color w:val="auto"/>
          <w:sz w:val="44"/>
          <w:szCs w:val="44"/>
          <w:highlight w:val="none"/>
        </w:rPr>
        <w:t>法定代表人证明书</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pPr>
        <w:spacing w:line="360" w:lineRule="auto"/>
        <w:contextualSpacing/>
        <w:jc w:val="center"/>
        <w:rPr>
          <w:rFonts w:hint="eastAsia" w:ascii="宋体" w:hAnsi="宋体" w:cs="仿宋_GB2312"/>
          <w:b/>
          <w:color w:val="auto"/>
          <w:sz w:val="24"/>
          <w:highlight w:val="none"/>
        </w:rPr>
      </w:pPr>
    </w:p>
    <w:p>
      <w:pPr>
        <w:spacing w:line="360" w:lineRule="auto"/>
        <w:contextualSpacing/>
        <w:jc w:val="left"/>
        <w:rPr>
          <w:rFonts w:hint="eastAsia" w:ascii="宋体" w:hAnsi="宋体" w:cs="仿宋_GB2312"/>
          <w:color w:val="auto"/>
          <w:sz w:val="24"/>
          <w:highlight w:val="none"/>
        </w:rPr>
      </w:pPr>
    </w:p>
    <w:p>
      <w:pPr>
        <w:adjustRightInd w:val="0"/>
        <w:snapToGrid w:val="0"/>
        <w:spacing w:line="300" w:lineRule="auto"/>
        <w:jc w:val="left"/>
        <w:rPr>
          <w:rFonts w:hint="eastAsia" w:ascii="宋体" w:hAnsi="宋体"/>
          <w:b/>
          <w:color w:val="auto"/>
          <w:szCs w:val="21"/>
          <w:highlight w:val="none"/>
        </w:rPr>
      </w:pPr>
    </w:p>
    <w:p>
      <w:pPr>
        <w:spacing w:line="500" w:lineRule="exact"/>
        <w:jc w:val="both"/>
        <w:rPr>
          <w:rFonts w:hint="eastAsia"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t xml:space="preserve"> </w:t>
      </w:r>
    </w:p>
    <w:p>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pPr>
        <w:spacing w:line="520" w:lineRule="exact"/>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授权委托书</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b/>
          <w:bCs/>
          <w:color w:val="auto"/>
          <w:sz w:val="44"/>
          <w:szCs w:val="44"/>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供应商（盖公章）：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rPr>
          <w:rFonts w:hint="eastAsia" w:ascii="宋体" w:hAnsi="宋体" w:cs="仿宋_GB2312"/>
          <w:color w:val="auto"/>
          <w:sz w:val="24"/>
          <w:highlight w:val="none"/>
        </w:rPr>
      </w:pPr>
    </w:p>
    <w:p>
      <w:pPr>
        <w:keepNext w:val="0"/>
        <w:keepLines w:val="0"/>
        <w:pageBreakBefore w:val="0"/>
        <w:widowControl w:val="0"/>
        <w:kinsoku/>
        <w:wordWrap/>
        <w:overflowPunct/>
        <w:topLinePunct w:val="0"/>
        <w:bidi w:val="0"/>
        <w:snapToGrid/>
        <w:spacing w:line="360" w:lineRule="auto"/>
        <w:textAlignment w:val="auto"/>
        <w:rPr>
          <w:rFonts w:hint="eastAsia"/>
          <w:color w:val="auto"/>
          <w:highlight w:val="none"/>
        </w:rPr>
      </w:pPr>
      <w:r>
        <w:rPr>
          <w:rFonts w:hint="eastAsia" w:ascii="宋体" w:hAnsi="宋体" w:cs="仿宋_GB2312"/>
          <w:color w:val="auto"/>
          <w:sz w:val="24"/>
          <w:highlight w:val="none"/>
        </w:rPr>
        <w:t xml:space="preserve">注：1. </w:t>
      </w:r>
      <w:r>
        <w:rPr>
          <w:rFonts w:hint="eastAsia"/>
          <w:color w:val="auto"/>
          <w:highlight w:val="none"/>
        </w:rPr>
        <w:t>.法定代表人必须在授权委托书上签字或者盖章或者电子签名，委托代理人必</w:t>
      </w:r>
    </w:p>
    <w:p>
      <w:pPr>
        <w:pStyle w:val="57"/>
        <w:keepNext w:val="0"/>
        <w:keepLines w:val="0"/>
        <w:pageBreakBefore w:val="0"/>
        <w:widowControl w:val="0"/>
        <w:kinsoku/>
        <w:wordWrap/>
        <w:overflowPunct/>
        <w:topLinePunct w:val="0"/>
        <w:bidi w:val="0"/>
        <w:snapToGrid/>
        <w:spacing w:line="360" w:lineRule="auto"/>
        <w:textAlignment w:val="auto"/>
        <w:rPr>
          <w:rFonts w:hint="eastAsia"/>
          <w:color w:val="auto"/>
          <w:highlight w:val="none"/>
          <w:lang w:eastAsia="zh-CN"/>
        </w:rPr>
      </w:pPr>
      <w:r>
        <w:rPr>
          <w:rFonts w:hint="eastAsia"/>
          <w:color w:val="auto"/>
          <w:highlight w:val="none"/>
        </w:rPr>
        <w:t>须在授权委托书上签字或者电子签名，否则按无效竞标处理</w:t>
      </w:r>
      <w:r>
        <w:rPr>
          <w:rFonts w:hint="eastAsia"/>
          <w:color w:val="auto"/>
          <w:highlight w:val="none"/>
          <w:lang w:eastAsia="zh-CN"/>
        </w:rPr>
        <w:t>；</w:t>
      </w:r>
    </w:p>
    <w:p>
      <w:pPr>
        <w:pStyle w:val="5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仿宋_GB2312"/>
          <w:color w:val="auto"/>
          <w:sz w:val="24"/>
          <w:highlight w:val="none"/>
        </w:rPr>
      </w:pPr>
      <w:r>
        <w:rPr>
          <w:rFonts w:ascii="宋体" w:hAnsi="宋体" w:cs="仿宋_GB2312"/>
          <w:color w:val="auto"/>
          <w:sz w:val="24"/>
          <w:highlight w:val="none"/>
        </w:rPr>
        <w:t>2.</w:t>
      </w:r>
      <w:bookmarkStart w:id="1772" w:name="_Hlk65853109"/>
      <w:bookmarkStart w:id="1773" w:name="_Hlk65853542"/>
      <w:r>
        <w:rPr>
          <w:rFonts w:hint="eastAsia" w:ascii="宋体" w:hAnsi="宋体" w:cs="仿宋_GB2312"/>
          <w:color w:val="auto"/>
          <w:sz w:val="24"/>
          <w:highlight w:val="none"/>
        </w:rPr>
        <w:t>法人、其他组织竞标时“我方”是指“我单位”，自然人竞标时“我方”是指“本人”。</w:t>
      </w:r>
      <w:bookmarkEnd w:id="1772"/>
    </w:p>
    <w:bookmarkEnd w:id="1773"/>
    <w:p>
      <w:pPr>
        <w:spacing w:line="360" w:lineRule="auto"/>
        <w:ind w:firstLine="420" w:firstLineChars="200"/>
        <w:jc w:val="left"/>
        <w:rPr>
          <w:rFonts w:hint="eastAsia" w:ascii="仿宋_GB2312" w:hAnsi="仿宋_GB2312" w:eastAsia="仿宋_GB2312" w:cs="仿宋_GB2312"/>
          <w:color w:val="auto"/>
          <w:szCs w:val="21"/>
          <w:highlight w:val="none"/>
        </w:rPr>
      </w:pPr>
    </w:p>
    <w:p>
      <w:pPr>
        <w:rPr>
          <w:color w:val="auto"/>
          <w:highlight w:val="none"/>
        </w:rPr>
      </w:pPr>
    </w:p>
    <w:p>
      <w:pPr>
        <w:pStyle w:val="57"/>
        <w:rPr>
          <w:color w:val="auto"/>
          <w:highlight w:val="none"/>
        </w:rPr>
      </w:pPr>
    </w:p>
    <w:p>
      <w:pPr>
        <w:jc w:val="center"/>
        <w:rPr>
          <w:rFonts w:ascii="宋体" w:hAnsi="Times New Roman" w:eastAsia="宋体" w:cs="Times New Roman"/>
          <w:b/>
          <w:color w:val="auto"/>
          <w:sz w:val="44"/>
          <w:szCs w:val="44"/>
          <w:highlight w:val="none"/>
        </w:rPr>
      </w:pPr>
      <w:r>
        <w:rPr>
          <w:b/>
          <w:color w:val="auto"/>
          <w:sz w:val="28"/>
          <w:szCs w:val="28"/>
          <w:highlight w:val="none"/>
        </w:rPr>
        <w:br w:type="page"/>
      </w:r>
      <w:bookmarkStart w:id="1774" w:name="_Toc89333099"/>
      <w:bookmarkStart w:id="1775" w:name="_Toc389065360"/>
      <w:bookmarkStart w:id="1776" w:name="_Toc88065689"/>
      <w:bookmarkStart w:id="1777" w:name="_Toc89333348"/>
      <w:bookmarkStart w:id="1778" w:name="_Toc172364022"/>
      <w:bookmarkStart w:id="1779" w:name="_Toc153274944"/>
      <w:bookmarkStart w:id="1780" w:name="_Toc173579002"/>
      <w:bookmarkStart w:id="1781" w:name="_Toc251052160"/>
      <w:r>
        <w:rPr>
          <w:rFonts w:hint="eastAsia" w:ascii="宋体" w:hAnsi="宋体" w:eastAsia="宋体" w:cs="Times New Roman"/>
          <w:b/>
          <w:color w:val="auto"/>
          <w:sz w:val="44"/>
          <w:szCs w:val="44"/>
          <w:highlight w:val="none"/>
          <w:lang w:eastAsia="zh-CN"/>
        </w:rPr>
        <w:t>二</w:t>
      </w:r>
      <w:r>
        <w:rPr>
          <w:rFonts w:hint="eastAsia" w:ascii="宋体" w:hAnsi="宋体" w:eastAsia="宋体" w:cs="Times New Roman"/>
          <w:b/>
          <w:color w:val="auto"/>
          <w:sz w:val="44"/>
          <w:szCs w:val="44"/>
          <w:highlight w:val="none"/>
        </w:rPr>
        <w:t>、施工组织设计</w:t>
      </w:r>
      <w:bookmarkEnd w:id="1774"/>
      <w:bookmarkEnd w:id="1775"/>
      <w:bookmarkEnd w:id="1776"/>
      <w:bookmarkEnd w:id="1777"/>
    </w:p>
    <w:p>
      <w:pPr>
        <w:spacing w:line="460" w:lineRule="exact"/>
        <w:ind w:firstLine="480" w:firstLineChars="20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w:t>
      </w:r>
      <w:bookmarkEnd w:id="1778"/>
      <w:bookmarkEnd w:id="1779"/>
      <w:bookmarkEnd w:id="1780"/>
      <w:bookmarkEnd w:id="1781"/>
      <w:r>
        <w:rPr>
          <w:rFonts w:hint="eastAsia" w:ascii="宋体" w:hAnsi="宋体" w:eastAsia="宋体" w:cs="Times New Roman"/>
          <w:color w:val="auto"/>
          <w:sz w:val="24"/>
          <w:szCs w:val="24"/>
          <w:highlight w:val="none"/>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80" w:firstLineChars="20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．施工组织设计除采用文字表述外可附下列图表，图表及格式要求附后。</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附表一</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拟投入本工程的主要施工设备表</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附表二</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拟配备本工程的试验和检测仪器设备表（略）</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附表三</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劳动力计划表</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附表四</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计划开、竣工日期和施工进度网络图（略）</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附表五</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施工总平面图（略）</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附表六</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临时用地表（略）</w:t>
      </w: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附表一：拟投入本工程的主要施工设备表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2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设备名称</w:t>
            </w:r>
          </w:p>
        </w:tc>
        <w:tc>
          <w:tcPr>
            <w:tcW w:w="851"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型号</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规格</w:t>
            </w:r>
          </w:p>
        </w:tc>
        <w:tc>
          <w:tcPr>
            <w:tcW w:w="70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709"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国别</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产地</w:t>
            </w:r>
          </w:p>
        </w:tc>
        <w:tc>
          <w:tcPr>
            <w:tcW w:w="851"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制造</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年份</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额定功率</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KW</w:t>
            </w:r>
            <w:r>
              <w:rPr>
                <w:rFonts w:hint="eastAsia" w:ascii="宋体" w:hAnsi="宋体" w:eastAsia="宋体" w:cs="Times New Roman"/>
                <w:color w:val="auto"/>
                <w:sz w:val="24"/>
                <w:szCs w:val="24"/>
                <w:highlight w:val="none"/>
              </w:rPr>
              <w:t>）</w:t>
            </w:r>
          </w:p>
        </w:tc>
        <w:tc>
          <w:tcPr>
            <w:tcW w:w="99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生产</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能力</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用于施</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工部位</w:t>
            </w:r>
          </w:p>
        </w:tc>
        <w:tc>
          <w:tcPr>
            <w:tcW w:w="992"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Calibri" w:eastAsia="宋体" w:cs="Times New Roman"/>
                <w:color w:val="auto"/>
                <w:sz w:val="24"/>
                <w:szCs w:val="24"/>
                <w:highlight w:val="none"/>
              </w:rPr>
            </w:pPr>
          </w:p>
        </w:tc>
        <w:tc>
          <w:tcPr>
            <w:tcW w:w="1226" w:type="dxa"/>
          </w:tcPr>
          <w:p>
            <w:pPr>
              <w:spacing w:line="360" w:lineRule="auto"/>
              <w:ind w:firstLine="480" w:firstLineChars="200"/>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708" w:type="dxa"/>
          </w:tcPr>
          <w:p>
            <w:pPr>
              <w:spacing w:line="360" w:lineRule="auto"/>
              <w:rPr>
                <w:rFonts w:ascii="宋体" w:hAnsi="Calibri" w:eastAsia="宋体" w:cs="Times New Roman"/>
                <w:color w:val="auto"/>
                <w:sz w:val="24"/>
                <w:szCs w:val="24"/>
                <w:highlight w:val="none"/>
              </w:rPr>
            </w:pPr>
          </w:p>
        </w:tc>
        <w:tc>
          <w:tcPr>
            <w:tcW w:w="709"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Calibri" w:eastAsia="宋体" w:cs="Times New Roman"/>
                <w:color w:val="auto"/>
                <w:sz w:val="24"/>
                <w:szCs w:val="24"/>
                <w:highlight w:val="none"/>
              </w:rPr>
            </w:pPr>
          </w:p>
        </w:tc>
        <w:tc>
          <w:tcPr>
            <w:tcW w:w="1226"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708" w:type="dxa"/>
          </w:tcPr>
          <w:p>
            <w:pPr>
              <w:spacing w:line="360" w:lineRule="auto"/>
              <w:rPr>
                <w:rFonts w:ascii="宋体" w:hAnsi="Calibri" w:eastAsia="宋体" w:cs="Times New Roman"/>
                <w:color w:val="auto"/>
                <w:sz w:val="24"/>
                <w:szCs w:val="24"/>
                <w:highlight w:val="none"/>
              </w:rPr>
            </w:pPr>
          </w:p>
        </w:tc>
        <w:tc>
          <w:tcPr>
            <w:tcW w:w="709"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Calibri" w:eastAsia="宋体" w:cs="Times New Roman"/>
                <w:color w:val="auto"/>
                <w:sz w:val="24"/>
                <w:szCs w:val="24"/>
                <w:highlight w:val="none"/>
              </w:rPr>
            </w:pPr>
          </w:p>
        </w:tc>
        <w:tc>
          <w:tcPr>
            <w:tcW w:w="1226"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708" w:type="dxa"/>
          </w:tcPr>
          <w:p>
            <w:pPr>
              <w:spacing w:line="360" w:lineRule="auto"/>
              <w:rPr>
                <w:rFonts w:ascii="宋体" w:hAnsi="Calibri" w:eastAsia="宋体" w:cs="Times New Roman"/>
                <w:color w:val="auto"/>
                <w:sz w:val="24"/>
                <w:szCs w:val="24"/>
                <w:highlight w:val="none"/>
              </w:rPr>
            </w:pPr>
          </w:p>
        </w:tc>
        <w:tc>
          <w:tcPr>
            <w:tcW w:w="709"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Calibri" w:eastAsia="宋体" w:cs="Times New Roman"/>
                <w:color w:val="auto"/>
                <w:sz w:val="24"/>
                <w:szCs w:val="24"/>
                <w:highlight w:val="none"/>
              </w:rPr>
            </w:pPr>
          </w:p>
        </w:tc>
        <w:tc>
          <w:tcPr>
            <w:tcW w:w="1226"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708" w:type="dxa"/>
          </w:tcPr>
          <w:p>
            <w:pPr>
              <w:spacing w:line="360" w:lineRule="auto"/>
              <w:rPr>
                <w:rFonts w:ascii="宋体" w:hAnsi="Calibri" w:eastAsia="宋体" w:cs="Times New Roman"/>
                <w:color w:val="auto"/>
                <w:sz w:val="24"/>
                <w:szCs w:val="24"/>
                <w:highlight w:val="none"/>
              </w:rPr>
            </w:pPr>
          </w:p>
        </w:tc>
        <w:tc>
          <w:tcPr>
            <w:tcW w:w="709"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Calibri" w:eastAsia="宋体" w:cs="Times New Roman"/>
                <w:color w:val="auto"/>
                <w:sz w:val="24"/>
                <w:szCs w:val="24"/>
                <w:highlight w:val="none"/>
              </w:rPr>
            </w:pPr>
          </w:p>
        </w:tc>
        <w:tc>
          <w:tcPr>
            <w:tcW w:w="1226"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708" w:type="dxa"/>
          </w:tcPr>
          <w:p>
            <w:pPr>
              <w:spacing w:line="360" w:lineRule="auto"/>
              <w:rPr>
                <w:rFonts w:ascii="宋体" w:hAnsi="Calibri" w:eastAsia="宋体" w:cs="Times New Roman"/>
                <w:color w:val="auto"/>
                <w:sz w:val="24"/>
                <w:szCs w:val="24"/>
                <w:highlight w:val="none"/>
              </w:rPr>
            </w:pPr>
          </w:p>
        </w:tc>
        <w:tc>
          <w:tcPr>
            <w:tcW w:w="709" w:type="dxa"/>
          </w:tcPr>
          <w:p>
            <w:pPr>
              <w:spacing w:line="360" w:lineRule="auto"/>
              <w:rPr>
                <w:rFonts w:ascii="宋体" w:hAnsi="Calibri" w:eastAsia="宋体" w:cs="Times New Roman"/>
                <w:color w:val="auto"/>
                <w:sz w:val="24"/>
                <w:szCs w:val="24"/>
                <w:highlight w:val="none"/>
              </w:rPr>
            </w:pPr>
          </w:p>
        </w:tc>
        <w:tc>
          <w:tcPr>
            <w:tcW w:w="851"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c>
          <w:tcPr>
            <w:tcW w:w="1134" w:type="dxa"/>
          </w:tcPr>
          <w:p>
            <w:pPr>
              <w:spacing w:line="360" w:lineRule="auto"/>
              <w:rPr>
                <w:rFonts w:ascii="宋体" w:hAnsi="Calibri" w:eastAsia="宋体" w:cs="Times New Roman"/>
                <w:color w:val="auto"/>
                <w:sz w:val="24"/>
                <w:szCs w:val="24"/>
                <w:highlight w:val="none"/>
              </w:rPr>
            </w:pPr>
          </w:p>
        </w:tc>
        <w:tc>
          <w:tcPr>
            <w:tcW w:w="992" w:type="dxa"/>
          </w:tcPr>
          <w:p>
            <w:pPr>
              <w:spacing w:line="360" w:lineRule="auto"/>
              <w:rPr>
                <w:rFonts w:ascii="宋体" w:hAnsi="Calibri" w:eastAsia="宋体" w:cs="Times New Roman"/>
                <w:color w:val="auto"/>
                <w:sz w:val="24"/>
                <w:szCs w:val="24"/>
                <w:highlight w:val="none"/>
              </w:rPr>
            </w:pPr>
          </w:p>
        </w:tc>
      </w:tr>
    </w:tbl>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附表二：拟配备本工程的试验和检测仪器设备表（略）</w:t>
      </w:r>
    </w:p>
    <w:tbl>
      <w:tblPr>
        <w:tblStyle w:val="4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22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仪器设备名称</w:t>
            </w:r>
          </w:p>
        </w:tc>
        <w:tc>
          <w:tcPr>
            <w:tcW w:w="851"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型号</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规格</w:t>
            </w:r>
          </w:p>
        </w:tc>
        <w:tc>
          <w:tcPr>
            <w:tcW w:w="70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709"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国别</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产地</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制造年份</w:t>
            </w:r>
          </w:p>
        </w:tc>
        <w:tc>
          <w:tcPr>
            <w:tcW w:w="127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已使用</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台时数</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用途</w:t>
            </w:r>
          </w:p>
        </w:tc>
        <w:tc>
          <w:tcPr>
            <w:tcW w:w="1559"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2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851"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9"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7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559" w:type="dxa"/>
            <w:vAlign w:val="center"/>
          </w:tcPr>
          <w:p>
            <w:pPr>
              <w:spacing w:line="360" w:lineRule="auto"/>
              <w:ind w:firstLine="480" w:firstLineChars="200"/>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2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851"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9"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7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559" w:type="dxa"/>
            <w:vAlign w:val="center"/>
          </w:tcPr>
          <w:p>
            <w:pPr>
              <w:spacing w:line="360" w:lineRule="auto"/>
              <w:ind w:firstLine="480" w:firstLineChars="200"/>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2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851"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9"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7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559" w:type="dxa"/>
            <w:vAlign w:val="center"/>
          </w:tcPr>
          <w:p>
            <w:pPr>
              <w:spacing w:line="360" w:lineRule="auto"/>
              <w:ind w:firstLine="480" w:firstLineChars="200"/>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2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851"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8"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709"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276"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134" w:type="dxa"/>
            <w:vAlign w:val="center"/>
          </w:tcPr>
          <w:p>
            <w:pPr>
              <w:spacing w:line="360" w:lineRule="auto"/>
              <w:ind w:firstLine="480" w:firstLineChars="200"/>
              <w:rPr>
                <w:rFonts w:ascii="宋体" w:hAnsi="Calibri" w:eastAsia="宋体" w:cs="Times New Roman"/>
                <w:color w:val="auto"/>
                <w:sz w:val="24"/>
                <w:szCs w:val="24"/>
                <w:highlight w:val="none"/>
              </w:rPr>
            </w:pPr>
          </w:p>
        </w:tc>
        <w:tc>
          <w:tcPr>
            <w:tcW w:w="1559" w:type="dxa"/>
            <w:vAlign w:val="center"/>
          </w:tcPr>
          <w:p>
            <w:pPr>
              <w:spacing w:line="360" w:lineRule="auto"/>
              <w:ind w:firstLine="480" w:firstLineChars="200"/>
              <w:rPr>
                <w:rFonts w:ascii="宋体" w:hAnsi="Calibri" w:eastAsia="宋体" w:cs="Times New Roman"/>
                <w:color w:val="auto"/>
                <w:sz w:val="24"/>
                <w:szCs w:val="24"/>
                <w:highlight w:val="none"/>
              </w:rPr>
            </w:pPr>
          </w:p>
        </w:tc>
      </w:tr>
    </w:tbl>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附表三：劳动力计划表</w:t>
      </w:r>
    </w:p>
    <w:p>
      <w:pPr>
        <w:ind w:firstLine="8280" w:firstLineChars="3450"/>
        <w:jc w:val="right"/>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单位：人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工种</w:t>
            </w:r>
          </w:p>
        </w:tc>
        <w:tc>
          <w:tcPr>
            <w:tcW w:w="8506" w:type="dxa"/>
            <w:gridSpan w:val="7"/>
            <w:vAlign w:val="center"/>
          </w:tcPr>
          <w:p>
            <w:pPr>
              <w:spacing w:line="360" w:lineRule="auto"/>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Calibri" w:eastAsia="宋体" w:cs="Times New Roman"/>
                <w:color w:val="auto"/>
                <w:sz w:val="24"/>
                <w:szCs w:val="24"/>
                <w:highlight w:val="none"/>
              </w:rPr>
            </w:pPr>
          </w:p>
        </w:tc>
        <w:tc>
          <w:tcPr>
            <w:tcW w:w="961"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c>
          <w:tcPr>
            <w:tcW w:w="1257" w:type="dxa"/>
            <w:vAlign w:val="center"/>
          </w:tcPr>
          <w:p>
            <w:pPr>
              <w:spacing w:line="360" w:lineRule="auto"/>
              <w:jc w:val="center"/>
              <w:rPr>
                <w:rFonts w:ascii="宋体" w:hAnsi="Calibri" w:eastAsia="宋体" w:cs="Times New Roman"/>
                <w:color w:val="auto"/>
                <w:sz w:val="24"/>
                <w:szCs w:val="24"/>
                <w:highlight w:val="none"/>
              </w:rPr>
            </w:pPr>
          </w:p>
        </w:tc>
        <w:tc>
          <w:tcPr>
            <w:tcW w:w="1258" w:type="dxa"/>
            <w:vAlign w:val="center"/>
          </w:tcPr>
          <w:p>
            <w:pPr>
              <w:spacing w:line="360" w:lineRule="auto"/>
              <w:jc w:val="center"/>
              <w:rPr>
                <w:rFonts w:ascii="宋体" w:hAnsi="Calibri" w:eastAsia="宋体" w:cs="Times New Roman"/>
                <w:color w:val="auto"/>
                <w:sz w:val="24"/>
                <w:szCs w:val="24"/>
                <w:highlight w:val="none"/>
              </w:rPr>
            </w:pPr>
          </w:p>
        </w:tc>
      </w:tr>
    </w:tbl>
    <w:p>
      <w:pPr>
        <w:rPr>
          <w:rFonts w:ascii="宋体" w:hAnsi="Times New Roman" w:eastAsia="宋体" w:cs="Times New Roman"/>
          <w:b/>
          <w:color w:val="auto"/>
          <w:sz w:val="24"/>
          <w:szCs w:val="24"/>
          <w:highlight w:val="none"/>
        </w:rPr>
      </w:pP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附表四：计划开、竣工日期和施工进度计划（网络图或横道图）（略）</w:t>
      </w:r>
    </w:p>
    <w:p>
      <w:pPr>
        <w:spacing w:line="460" w:lineRule="exact"/>
        <w:ind w:left="-6" w:firstLine="42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供应商应提交施工进度计划，说明按磋商文件要求的工期进行施工的各个关键日期。中标的供应商还应按合同条件有关条款的要求提交详细的施工进度计划。</w:t>
      </w:r>
    </w:p>
    <w:p>
      <w:pPr>
        <w:spacing w:line="460" w:lineRule="exact"/>
        <w:ind w:left="-6" w:firstLine="42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施工进度计划可采用网络图（或横道图）表示，说明计划开工日期和各分项工程各阶段的完工日期和分包合同签订的日期。</w:t>
      </w:r>
    </w:p>
    <w:p>
      <w:pPr>
        <w:spacing w:line="460" w:lineRule="exact"/>
        <w:ind w:left="-6" w:firstLine="420"/>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施工进度计划应与施工组织设计相适应。</w:t>
      </w:r>
    </w:p>
    <w:p>
      <w:pPr>
        <w:rPr>
          <w:rFonts w:ascii="宋体" w:hAnsi="Times New Roman" w:eastAsia="宋体" w:cs="Times New Roman"/>
          <w:color w:val="auto"/>
          <w:sz w:val="24"/>
          <w:szCs w:val="24"/>
          <w:highlight w:val="none"/>
        </w:rPr>
      </w:pPr>
    </w:p>
    <w:p>
      <w:pPr>
        <w:rPr>
          <w:rFonts w:ascii="宋体" w:hAnsi="宋体" w:eastAsia="宋体" w:cs="Times New Roman"/>
          <w:color w:val="auto"/>
          <w:sz w:val="24"/>
          <w:szCs w:val="24"/>
          <w:highlight w:val="none"/>
        </w:rPr>
      </w:pP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附表五：施工总平面图（略）</w:t>
      </w:r>
    </w:p>
    <w:p>
      <w:pPr>
        <w:spacing w:line="460" w:lineRule="exact"/>
        <w:ind w:firstLine="480" w:firstLineChars="200"/>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rPr>
          <w:rFonts w:ascii="宋体" w:hAnsi="宋体" w:eastAsia="宋体" w:cs="Times New Roman"/>
          <w:color w:val="auto"/>
          <w:sz w:val="24"/>
          <w:szCs w:val="24"/>
          <w:highlight w:val="none"/>
        </w:rPr>
      </w:pPr>
    </w:p>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附表六：临时用地表（略）</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133"/>
        <w:gridCol w:w="2156"/>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用途</w:t>
            </w:r>
          </w:p>
        </w:tc>
        <w:tc>
          <w:tcPr>
            <w:tcW w:w="2133"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面积（平方米）</w:t>
            </w:r>
          </w:p>
        </w:tc>
        <w:tc>
          <w:tcPr>
            <w:tcW w:w="215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位置</w:t>
            </w:r>
          </w:p>
        </w:tc>
        <w:tc>
          <w:tcPr>
            <w:tcW w:w="216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Calibri" w:eastAsia="宋体" w:cs="Times New Roman"/>
                <w:color w:val="auto"/>
                <w:sz w:val="24"/>
                <w:szCs w:val="24"/>
                <w:highlight w:val="none"/>
              </w:rPr>
            </w:pPr>
          </w:p>
        </w:tc>
        <w:tc>
          <w:tcPr>
            <w:tcW w:w="2133" w:type="dxa"/>
          </w:tcPr>
          <w:p>
            <w:pPr>
              <w:rPr>
                <w:rFonts w:ascii="宋体" w:hAnsi="Calibri" w:eastAsia="宋体" w:cs="Times New Roman"/>
                <w:color w:val="auto"/>
                <w:sz w:val="24"/>
                <w:szCs w:val="24"/>
                <w:highlight w:val="none"/>
              </w:rPr>
            </w:pPr>
          </w:p>
        </w:tc>
        <w:tc>
          <w:tcPr>
            <w:tcW w:w="2156" w:type="dxa"/>
          </w:tcPr>
          <w:p>
            <w:pPr>
              <w:rPr>
                <w:rFonts w:ascii="宋体" w:hAnsi="Calibri" w:eastAsia="宋体" w:cs="Times New Roman"/>
                <w:color w:val="auto"/>
                <w:sz w:val="24"/>
                <w:szCs w:val="24"/>
                <w:highlight w:val="none"/>
              </w:rPr>
            </w:pPr>
          </w:p>
        </w:tc>
        <w:tc>
          <w:tcPr>
            <w:tcW w:w="2168" w:type="dxa"/>
          </w:tcPr>
          <w:p>
            <w:pPr>
              <w:rPr>
                <w:rFonts w:ascii="宋体" w:hAnsi="Calibri" w:eastAsia="宋体" w:cs="Times New Roman"/>
                <w:color w:val="auto"/>
                <w:sz w:val="24"/>
                <w:szCs w:val="24"/>
                <w:highlight w:val="none"/>
              </w:rPr>
            </w:pPr>
          </w:p>
        </w:tc>
      </w:tr>
    </w:tbl>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r>
        <w:rPr>
          <w:rFonts w:ascii="宋体" w:hAnsi="Times New Roman" w:eastAsia="宋体" w:cs="Times New Roman"/>
          <w:color w:val="auto"/>
          <w:sz w:val="24"/>
          <w:szCs w:val="24"/>
          <w:highlight w:val="none"/>
        </w:rPr>
        <w:br w:type="page"/>
      </w:r>
    </w:p>
    <w:p>
      <w:pPr>
        <w:spacing w:beforeLines="50"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eastAsia="zh-CN"/>
        </w:rPr>
        <w:t>三</w:t>
      </w:r>
      <w:r>
        <w:rPr>
          <w:rFonts w:hint="eastAsia" w:ascii="宋体" w:hAnsi="宋体" w:cs="宋体"/>
          <w:b/>
          <w:color w:val="auto"/>
          <w:sz w:val="44"/>
          <w:szCs w:val="44"/>
          <w:highlight w:val="none"/>
        </w:rPr>
        <w:t>、项目管理机构配备情况表</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 xml:space="preserve"> 工程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829" w:type="dxa"/>
            <w:vMerge w:val="restart"/>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16" w:type="dxa"/>
            <w:vMerge w:val="restart"/>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592" w:type="dxa"/>
            <w:gridSpan w:val="4"/>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2126" w:type="dxa"/>
            <w:gridSpan w:val="2"/>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ign w:val="center"/>
          </w:tcPr>
          <w:p>
            <w:pPr>
              <w:ind w:left="223" w:hanging="222" w:hangingChars="106"/>
              <w:jc w:val="center"/>
              <w:rPr>
                <w:rFonts w:ascii="宋体" w:hAnsi="宋体" w:cs="宋体"/>
                <w:color w:val="auto"/>
                <w:szCs w:val="21"/>
                <w:highlight w:val="none"/>
              </w:rPr>
            </w:pPr>
          </w:p>
        </w:tc>
        <w:tc>
          <w:tcPr>
            <w:tcW w:w="829" w:type="dxa"/>
            <w:vMerge w:val="continue"/>
            <w:noWrap/>
            <w:vAlign w:val="center"/>
          </w:tcPr>
          <w:p>
            <w:pPr>
              <w:ind w:left="223" w:hanging="222" w:hangingChars="106"/>
              <w:jc w:val="center"/>
              <w:rPr>
                <w:rFonts w:ascii="宋体" w:hAnsi="宋体" w:cs="宋体"/>
                <w:color w:val="auto"/>
                <w:szCs w:val="21"/>
                <w:highlight w:val="none"/>
              </w:rPr>
            </w:pPr>
          </w:p>
        </w:tc>
        <w:tc>
          <w:tcPr>
            <w:tcW w:w="816" w:type="dxa"/>
            <w:vMerge w:val="continue"/>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1148"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148"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148"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850"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276"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主要项目</w:t>
            </w:r>
          </w:p>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施工员</w:t>
            </w: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质量员</w:t>
            </w: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安全员</w:t>
            </w: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ign w:val="center"/>
          </w:tcPr>
          <w:p>
            <w:pPr>
              <w:ind w:left="223" w:hanging="222" w:hangingChars="106"/>
              <w:jc w:val="center"/>
              <w:rPr>
                <w:rFonts w:ascii="宋体" w:hAnsi="宋体" w:cs="宋体"/>
                <w:color w:val="auto"/>
                <w:szCs w:val="21"/>
                <w:highlight w:val="none"/>
              </w:rPr>
            </w:pP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ign w:val="center"/>
          </w:tcPr>
          <w:p>
            <w:pPr>
              <w:ind w:left="223" w:hanging="222" w:hangingChars="106"/>
              <w:jc w:val="center"/>
              <w:rPr>
                <w:rFonts w:ascii="宋体" w:hAnsi="宋体" w:cs="宋体"/>
                <w:color w:val="auto"/>
                <w:szCs w:val="21"/>
                <w:highlight w:val="none"/>
              </w:rPr>
            </w:pP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材料员</w:t>
            </w: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rFonts w:ascii="宋体" w:hAnsi="宋体" w:cs="宋体"/>
                <w:color w:val="auto"/>
                <w:szCs w:val="21"/>
                <w:highlight w:val="none"/>
              </w:rPr>
            </w:pP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rPr>
                <w:rFonts w:ascii="宋体" w:hAnsi="宋体" w:cs="宋体"/>
                <w:color w:val="auto"/>
                <w:szCs w:val="21"/>
                <w:highlight w:val="none"/>
              </w:rPr>
            </w:pPr>
            <w:r>
              <w:rPr>
                <w:rFonts w:hint="eastAsia" w:ascii="宋体" w:hAnsi="宋体" w:cs="宋体"/>
                <w:color w:val="auto"/>
                <w:szCs w:val="21"/>
                <w:highlight w:val="none"/>
              </w:rPr>
              <w:t>……</w:t>
            </w:r>
          </w:p>
        </w:tc>
        <w:tc>
          <w:tcPr>
            <w:tcW w:w="829" w:type="dxa"/>
            <w:noWrap/>
            <w:vAlign w:val="center"/>
          </w:tcPr>
          <w:p>
            <w:pPr>
              <w:ind w:left="223" w:hanging="222" w:hangingChars="106"/>
              <w:jc w:val="center"/>
              <w:rPr>
                <w:rFonts w:ascii="宋体" w:hAnsi="宋体" w:cs="宋体"/>
                <w:color w:val="auto"/>
                <w:szCs w:val="21"/>
                <w:highlight w:val="none"/>
              </w:rPr>
            </w:pPr>
          </w:p>
        </w:tc>
        <w:tc>
          <w:tcPr>
            <w:tcW w:w="816"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1148" w:type="dxa"/>
            <w:noWrap/>
            <w:vAlign w:val="center"/>
          </w:tcPr>
          <w:p>
            <w:pPr>
              <w:ind w:left="223" w:hanging="222" w:hangingChars="106"/>
              <w:jc w:val="center"/>
              <w:rPr>
                <w:rFonts w:ascii="宋体" w:hAnsi="宋体" w:cs="宋体"/>
                <w:color w:val="auto"/>
                <w:szCs w:val="21"/>
                <w:highlight w:val="none"/>
              </w:rPr>
            </w:pPr>
          </w:p>
        </w:tc>
        <w:tc>
          <w:tcPr>
            <w:tcW w:w="850" w:type="dxa"/>
            <w:noWrap/>
            <w:vAlign w:val="center"/>
          </w:tcPr>
          <w:p>
            <w:pPr>
              <w:ind w:left="223" w:hanging="222" w:hangingChars="106"/>
              <w:jc w:val="center"/>
              <w:rPr>
                <w:rFonts w:ascii="宋体" w:hAnsi="宋体" w:cs="宋体"/>
                <w:color w:val="auto"/>
                <w:szCs w:val="21"/>
                <w:highlight w:val="none"/>
              </w:rPr>
            </w:pPr>
          </w:p>
        </w:tc>
        <w:tc>
          <w:tcPr>
            <w:tcW w:w="1276" w:type="dxa"/>
            <w:noWrap/>
            <w:vAlign w:val="center"/>
          </w:tcPr>
          <w:p>
            <w:pPr>
              <w:ind w:left="223" w:hanging="222" w:hangingChars="106"/>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pPr>
        <w:rPr>
          <w:color w:val="auto"/>
          <w:highlight w:val="none"/>
        </w:rPr>
      </w:pPr>
    </w:p>
    <w:p>
      <w:pPr>
        <w:spacing w:line="360" w:lineRule="auto"/>
        <w:rPr>
          <w:rFonts w:ascii="宋体" w:hAnsi="宋体" w:cs="宋体"/>
          <w:color w:val="auto"/>
          <w:szCs w:val="21"/>
          <w:highlight w:val="none"/>
        </w:rPr>
        <w:sectPr>
          <w:headerReference r:id="rId11" w:type="default"/>
          <w:footerReference r:id="rId12" w:type="default"/>
          <w:pgSz w:w="11907" w:h="16840"/>
          <w:pgMar w:top="1440" w:right="1440" w:bottom="1440" w:left="1797" w:header="851" w:footer="851" w:gutter="0"/>
          <w:cols w:space="720" w:num="1"/>
          <w:docGrid w:linePitch="312" w:charSpace="0"/>
        </w:sectPr>
      </w:pPr>
      <w:r>
        <w:rPr>
          <w:rFonts w:hint="eastAsia" w:ascii="宋体" w:hAnsi="宋体" w:cs="宋体"/>
          <w:color w:val="auto"/>
          <w:szCs w:val="21"/>
          <w:highlight w:val="none"/>
        </w:rPr>
        <w:t>【备注：附以上各岗位人员资格证件等相关证明材料，以及供应商认为需要增加的其他证明材料复印件，以上复印件均须加盖供应商单位公章。】</w:t>
      </w:r>
    </w:p>
    <w:p>
      <w:pPr>
        <w:tabs>
          <w:tab w:val="left" w:pos="826"/>
        </w:tabs>
        <w:snapToGrid w:val="0"/>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lang w:eastAsia="zh-CN"/>
        </w:rPr>
        <w:t>四</w:t>
      </w:r>
      <w:r>
        <w:rPr>
          <w:rFonts w:hint="eastAsia" w:ascii="宋体" w:hAnsi="宋体" w:eastAsia="宋体" w:cs="Times New Roman"/>
          <w:b/>
          <w:color w:val="auto"/>
          <w:sz w:val="44"/>
          <w:szCs w:val="44"/>
          <w:highlight w:val="none"/>
        </w:rPr>
        <w:t>、近年企业信誉实力一览表（如有）</w:t>
      </w:r>
    </w:p>
    <w:p>
      <w:pPr>
        <w:tabs>
          <w:tab w:val="left" w:pos="826"/>
        </w:tabs>
        <w:snapToGrid w:val="0"/>
        <w:ind w:firstLine="482" w:firstLineChars="200"/>
        <w:rPr>
          <w:rFonts w:ascii="宋体" w:hAnsi="Times New Roman" w:eastAsia="宋体" w:cs="Times New Roman"/>
          <w:b/>
          <w:color w:val="auto"/>
          <w:sz w:val="24"/>
          <w:szCs w:val="24"/>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765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6" w:type="dxa"/>
            <w:vAlign w:val="center"/>
          </w:tcPr>
          <w:p>
            <w:pPr>
              <w:jc w:val="center"/>
              <w:rPr>
                <w:rFonts w:ascii="宋体" w:hAnsi="Calibri" w:eastAsia="宋体" w:cs="Times New Roman"/>
                <w:color w:val="auto"/>
                <w:sz w:val="24"/>
                <w:szCs w:val="24"/>
                <w:highlight w:val="none"/>
              </w:rPr>
            </w:pPr>
          </w:p>
        </w:tc>
        <w:tc>
          <w:tcPr>
            <w:tcW w:w="7654" w:type="dxa"/>
            <w:vAlign w:val="center"/>
          </w:tcPr>
          <w:p>
            <w:pPr>
              <w:jc w:val="center"/>
              <w:rPr>
                <w:rFonts w:ascii="宋体" w:hAnsi="Calibri" w:eastAsia="宋体" w:cs="Times New Roman"/>
                <w:color w:val="auto"/>
                <w:sz w:val="24"/>
                <w:szCs w:val="24"/>
                <w:highlight w:val="none"/>
              </w:rPr>
            </w:pPr>
          </w:p>
        </w:tc>
      </w:tr>
    </w:tbl>
    <w:p>
      <w:pPr>
        <w:tabs>
          <w:tab w:val="left" w:pos="826"/>
        </w:tabs>
        <w:snapToGrid w:val="0"/>
        <w:ind w:firstLine="482" w:firstLineChars="200"/>
        <w:rPr>
          <w:rFonts w:ascii="宋体" w:hAnsi="Times New Roman" w:eastAsia="宋体" w:cs="Times New Roman"/>
          <w:b/>
          <w:color w:val="auto"/>
          <w:sz w:val="24"/>
          <w:szCs w:val="24"/>
          <w:highlight w:val="none"/>
        </w:rPr>
      </w:pPr>
    </w:p>
    <w:p>
      <w:pPr>
        <w:widowControl/>
        <w:jc w:val="left"/>
        <w:rPr>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Times New Roman"/>
          <w:color w:val="auto"/>
          <w:szCs w:val="21"/>
          <w:highlight w:val="none"/>
        </w:rPr>
        <w:t>备注：</w:t>
      </w:r>
      <w:r>
        <w:rPr>
          <w:rFonts w:hint="eastAsia" w:ascii="宋体" w:hAnsi="宋体" w:eastAsia="宋体" w:cs="宋体"/>
          <w:color w:val="auto"/>
          <w:kern w:val="0"/>
          <w:szCs w:val="21"/>
          <w:highlight w:val="none"/>
        </w:rPr>
        <w:t>附以上所有奖项、证书的复印件，以及供应商认为需要增加的其他证明材料复印件，以上复印件均须加盖供应商单位公章。</w:t>
      </w:r>
      <w:r>
        <w:rPr>
          <w:rFonts w:hint="eastAsia" w:ascii="宋体" w:hAnsi="宋体" w:eastAsia="宋体" w:cs="宋体"/>
          <w:color w:val="auto"/>
          <w:kern w:val="0"/>
          <w:sz w:val="24"/>
          <w:szCs w:val="24"/>
          <w:highlight w:val="none"/>
        </w:rPr>
        <w:t>】</w:t>
      </w:r>
    </w:p>
    <w:p>
      <w:pPr>
        <w:widowControl/>
        <w:jc w:val="left"/>
        <w:rPr>
          <w:color w:val="auto"/>
          <w:szCs w:val="21"/>
          <w:highlight w:val="none"/>
        </w:rPr>
      </w:pPr>
    </w:p>
    <w:p>
      <w:pPr>
        <w:rPr>
          <w:rFonts w:ascii="Times New Roman" w:hAnsi="Times New Roman" w:eastAsia="宋体" w:cs="Times New Roman"/>
          <w:color w:val="auto"/>
          <w:szCs w:val="24"/>
          <w:highlight w:val="none"/>
        </w:rPr>
      </w:pPr>
    </w:p>
    <w:p>
      <w:pPr>
        <w:tabs>
          <w:tab w:val="left" w:pos="826"/>
        </w:tabs>
        <w:snapToGrid w:val="0"/>
        <w:jc w:val="center"/>
        <w:rPr>
          <w:rFonts w:ascii="宋体" w:hAnsi="宋体" w:eastAsia="宋体" w:cs="Times New Roman"/>
          <w:b/>
          <w:color w:val="auto"/>
          <w:sz w:val="24"/>
          <w:szCs w:val="24"/>
          <w:highlight w:val="none"/>
        </w:rPr>
      </w:pPr>
      <w:r>
        <w:rPr>
          <w:rFonts w:ascii="Times New Roman" w:hAnsi="宋体" w:eastAsia="宋体" w:cs="Times New Roman"/>
          <w:color w:val="auto"/>
          <w:sz w:val="36"/>
          <w:szCs w:val="36"/>
          <w:highlight w:val="none"/>
        </w:rPr>
        <w:br w:type="page"/>
      </w:r>
      <w:r>
        <w:rPr>
          <w:rFonts w:hint="eastAsia" w:ascii="宋体" w:hAnsi="宋体" w:eastAsia="宋体" w:cs="Times New Roman"/>
          <w:b/>
          <w:color w:val="auto"/>
          <w:sz w:val="44"/>
          <w:szCs w:val="44"/>
          <w:highlight w:val="none"/>
          <w:lang w:eastAsia="zh-CN"/>
        </w:rPr>
        <w:t>五</w:t>
      </w:r>
      <w:r>
        <w:rPr>
          <w:rFonts w:hint="eastAsia" w:ascii="宋体" w:hAnsi="宋体" w:eastAsia="宋体" w:cs="Times New Roman"/>
          <w:b/>
          <w:color w:val="auto"/>
          <w:sz w:val="44"/>
          <w:szCs w:val="44"/>
          <w:highlight w:val="none"/>
        </w:rPr>
        <w:t>、近年已完成类似工程一览表（如有）</w:t>
      </w:r>
    </w:p>
    <w:p>
      <w:pPr>
        <w:tabs>
          <w:tab w:val="left" w:pos="826"/>
        </w:tabs>
        <w:snapToGrid w:val="0"/>
        <w:rPr>
          <w:rFonts w:ascii="宋体" w:hAnsi="宋体" w:eastAsia="宋体" w:cs="Times New Roman"/>
          <w:b/>
          <w:color w:val="auto"/>
          <w:sz w:val="24"/>
          <w:szCs w:val="24"/>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77"/>
        <w:gridCol w:w="1417"/>
        <w:gridCol w:w="851"/>
        <w:gridCol w:w="738"/>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477"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发包人名称</w:t>
            </w:r>
          </w:p>
        </w:tc>
        <w:tc>
          <w:tcPr>
            <w:tcW w:w="1417"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工程名称</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及建设地点</w:t>
            </w:r>
          </w:p>
        </w:tc>
        <w:tc>
          <w:tcPr>
            <w:tcW w:w="851"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结构</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类型</w:t>
            </w:r>
          </w:p>
        </w:tc>
        <w:tc>
          <w:tcPr>
            <w:tcW w:w="738"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建设</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规模</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合同金额</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1276"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竣工达到</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质量标准</w:t>
            </w:r>
          </w:p>
        </w:tc>
        <w:tc>
          <w:tcPr>
            <w:tcW w:w="1134" w:type="dxa"/>
            <w:vAlign w:val="center"/>
          </w:tcPr>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开竣工</w:t>
            </w:r>
          </w:p>
          <w:p>
            <w:pPr>
              <w:jc w:val="center"/>
              <w:rPr>
                <w:rFonts w:ascii="宋体" w:hAnsi="Calibri" w:eastAsia="宋体" w:cs="Times New Roman"/>
                <w:color w:val="auto"/>
                <w:sz w:val="24"/>
                <w:szCs w:val="24"/>
                <w:highlight w:val="none"/>
              </w:rPr>
            </w:pPr>
            <w:r>
              <w:rPr>
                <w:rFonts w:hint="eastAsia"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Calibri" w:eastAsia="宋体" w:cs="Times New Roman"/>
                <w:color w:val="auto"/>
                <w:sz w:val="24"/>
                <w:szCs w:val="24"/>
                <w:highlight w:val="none"/>
              </w:rPr>
            </w:pPr>
          </w:p>
        </w:tc>
        <w:tc>
          <w:tcPr>
            <w:tcW w:w="1477" w:type="dxa"/>
            <w:vAlign w:val="center"/>
          </w:tcPr>
          <w:p>
            <w:pPr>
              <w:jc w:val="center"/>
              <w:rPr>
                <w:rFonts w:ascii="宋体" w:hAnsi="Calibri" w:eastAsia="宋体" w:cs="Times New Roman"/>
                <w:color w:val="auto"/>
                <w:sz w:val="24"/>
                <w:szCs w:val="24"/>
                <w:highlight w:val="none"/>
              </w:rPr>
            </w:pPr>
          </w:p>
        </w:tc>
        <w:tc>
          <w:tcPr>
            <w:tcW w:w="1417" w:type="dxa"/>
            <w:vAlign w:val="center"/>
          </w:tcPr>
          <w:p>
            <w:pPr>
              <w:jc w:val="center"/>
              <w:rPr>
                <w:rFonts w:ascii="宋体" w:hAnsi="Calibri" w:eastAsia="宋体" w:cs="Times New Roman"/>
                <w:color w:val="auto"/>
                <w:sz w:val="24"/>
                <w:szCs w:val="24"/>
                <w:highlight w:val="none"/>
              </w:rPr>
            </w:pPr>
          </w:p>
        </w:tc>
        <w:tc>
          <w:tcPr>
            <w:tcW w:w="851" w:type="dxa"/>
            <w:vAlign w:val="center"/>
          </w:tcPr>
          <w:p>
            <w:pPr>
              <w:jc w:val="center"/>
              <w:rPr>
                <w:rFonts w:ascii="宋体" w:hAnsi="Calibri" w:eastAsia="宋体" w:cs="Times New Roman"/>
                <w:color w:val="auto"/>
                <w:sz w:val="24"/>
                <w:szCs w:val="24"/>
                <w:highlight w:val="none"/>
              </w:rPr>
            </w:pPr>
          </w:p>
        </w:tc>
        <w:tc>
          <w:tcPr>
            <w:tcW w:w="738"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c>
          <w:tcPr>
            <w:tcW w:w="1276" w:type="dxa"/>
            <w:vAlign w:val="center"/>
          </w:tcPr>
          <w:p>
            <w:pPr>
              <w:jc w:val="center"/>
              <w:rPr>
                <w:rFonts w:ascii="宋体" w:hAnsi="Calibri" w:eastAsia="宋体" w:cs="Times New Roman"/>
                <w:color w:val="auto"/>
                <w:sz w:val="24"/>
                <w:szCs w:val="24"/>
                <w:highlight w:val="none"/>
              </w:rPr>
            </w:pPr>
          </w:p>
        </w:tc>
        <w:tc>
          <w:tcPr>
            <w:tcW w:w="1134" w:type="dxa"/>
            <w:vAlign w:val="center"/>
          </w:tcPr>
          <w:p>
            <w:pPr>
              <w:jc w:val="center"/>
              <w:rPr>
                <w:rFonts w:ascii="宋体" w:hAnsi="Calibri" w:eastAsia="宋体" w:cs="Times New Roman"/>
                <w:color w:val="auto"/>
                <w:sz w:val="24"/>
                <w:szCs w:val="24"/>
                <w:highlight w:val="none"/>
              </w:rPr>
            </w:pPr>
          </w:p>
        </w:tc>
      </w:tr>
    </w:tbl>
    <w:p>
      <w:pPr>
        <w:rPr>
          <w:rFonts w:ascii="宋体" w:hAnsi="Times New Roman" w:eastAsia="宋体" w:cs="Times New Roman"/>
          <w:color w:val="auto"/>
          <w:szCs w:val="24"/>
          <w:highlight w:val="none"/>
        </w:rPr>
      </w:pPr>
    </w:p>
    <w:p>
      <w:pPr>
        <w:widowControl/>
        <w:jc w:val="left"/>
        <w:rPr>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Times New Roman"/>
          <w:color w:val="auto"/>
          <w:szCs w:val="24"/>
          <w:highlight w:val="none"/>
        </w:rPr>
        <w:t>备注：附以上类似工程的中标（成交）通知书复印件或施工合同、竣工验收复印件，以及供应商认为需要增加的其他证明材料复印件，以上复印件均须加盖供应商单位公章。</w:t>
      </w:r>
      <w:r>
        <w:rPr>
          <w:rFonts w:hint="eastAsia" w:ascii="宋体" w:hAnsi="宋体" w:eastAsia="宋体" w:cs="宋体"/>
          <w:color w:val="auto"/>
          <w:kern w:val="0"/>
          <w:sz w:val="24"/>
          <w:szCs w:val="24"/>
          <w:highlight w:val="none"/>
        </w:rPr>
        <w:t>】</w:t>
      </w:r>
    </w:p>
    <w:p>
      <w:pPr>
        <w:spacing w:line="360" w:lineRule="auto"/>
        <w:rPr>
          <w:rFonts w:ascii="宋体" w:hAnsi="Times New Roman" w:eastAsia="宋体" w:cs="Times New Roman"/>
          <w:color w:val="auto"/>
          <w:szCs w:val="24"/>
          <w:highlight w:val="none"/>
        </w:rPr>
      </w:pPr>
    </w:p>
    <w:p>
      <w:pPr>
        <w:ind w:firstLine="8640" w:firstLineChars="2400"/>
        <w:rPr>
          <w:rFonts w:ascii="宋体" w:hAnsi="宋体" w:eastAsia="宋体" w:cs="Times New Roman"/>
          <w:color w:val="auto"/>
          <w:sz w:val="36"/>
          <w:szCs w:val="36"/>
          <w:highlight w:val="none"/>
        </w:rPr>
      </w:pPr>
    </w:p>
    <w:p>
      <w:pPr>
        <w:rPr>
          <w:rFonts w:ascii="宋体" w:hAnsi="宋体" w:eastAsia="宋体" w:cs="Times New Roman"/>
          <w:color w:val="auto"/>
          <w:sz w:val="32"/>
          <w:szCs w:val="32"/>
          <w:highlight w:val="none"/>
          <w:u w:val="single"/>
        </w:rPr>
      </w:pPr>
      <w:r>
        <w:rPr>
          <w:rFonts w:ascii="宋体" w:hAnsi="宋体" w:eastAsia="宋体" w:cs="Times New Roman"/>
          <w:color w:val="auto"/>
          <w:sz w:val="36"/>
          <w:szCs w:val="36"/>
          <w:highlight w:val="none"/>
        </w:rPr>
        <w:br w:type="page"/>
      </w:r>
    </w:p>
    <w:p>
      <w:pPr>
        <w:spacing w:line="540" w:lineRule="exact"/>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其他文书、文件格式</w:t>
      </w:r>
    </w:p>
    <w:p>
      <w:pPr>
        <w:autoSpaceDE w:val="0"/>
        <w:autoSpaceDN w:val="0"/>
        <w:spacing w:line="300" w:lineRule="auto"/>
        <w:ind w:left="480" w:hanging="480"/>
        <w:rPr>
          <w:rFonts w:ascii="宋体" w:hAnsi="宋体" w:eastAsia="宋体" w:cs="Times New Roman"/>
          <w:b/>
          <w:color w:val="auto"/>
          <w:sz w:val="24"/>
          <w:szCs w:val="24"/>
          <w:highlight w:val="none"/>
        </w:rPr>
      </w:pPr>
    </w:p>
    <w:p>
      <w:pPr>
        <w:rPr>
          <w:rFonts w:ascii="Times New Roman" w:hAnsi="Times New Roman" w:eastAsia="宋体" w:cs="Times New Roman"/>
          <w:color w:val="auto"/>
          <w:szCs w:val="24"/>
          <w:highlight w:val="none"/>
        </w:rPr>
      </w:pPr>
    </w:p>
    <w:p>
      <w:pPr>
        <w:keepNext/>
        <w:keepLines/>
        <w:spacing w:before="146" w:after="330" w:line="500" w:lineRule="exact"/>
        <w:ind w:right="142"/>
        <w:jc w:val="center"/>
        <w:outlineLvl w:val="0"/>
        <w:rPr>
          <w:rFonts w:ascii="Times New Roman" w:hAnsi="Times New Roman" w:eastAsia="宋体" w:cs="Times New Roman"/>
          <w:color w:val="auto"/>
          <w:kern w:val="44"/>
          <w:sz w:val="44"/>
          <w:szCs w:val="44"/>
          <w:highlight w:val="none"/>
        </w:rPr>
      </w:pPr>
      <w:bookmarkStart w:id="1782" w:name="_Toc89333352"/>
      <w:bookmarkStart w:id="1783" w:name="_Toc89333103"/>
      <w:r>
        <w:rPr>
          <w:rFonts w:ascii="Times New Roman" w:hAnsi="Times New Roman" w:eastAsia="宋体" w:cs="Times New Roman"/>
          <w:b/>
          <w:bCs/>
          <w:color w:val="auto"/>
          <w:kern w:val="44"/>
          <w:sz w:val="44"/>
          <w:szCs w:val="44"/>
          <w:highlight w:val="none"/>
        </w:rPr>
        <w:t>中小企业声明函</w:t>
      </w:r>
      <w:bookmarkEnd w:id="1782"/>
      <w:bookmarkEnd w:id="1783"/>
    </w:p>
    <w:p>
      <w:pPr>
        <w:spacing w:before="2" w:line="500" w:lineRule="exact"/>
        <w:ind w:firstLine="708" w:firstLineChars="294"/>
        <w:rPr>
          <w:rFonts w:ascii="宋体" w:hAnsi="宋体" w:eastAsia="宋体" w:cs="宋体"/>
          <w:b/>
          <w:bCs/>
          <w:color w:val="auto"/>
          <w:sz w:val="24"/>
          <w:szCs w:val="24"/>
          <w:highlight w:val="none"/>
        </w:rPr>
      </w:pPr>
    </w:p>
    <w:p>
      <w:pPr>
        <w:spacing w:line="500" w:lineRule="exact"/>
        <w:ind w:right="142" w:firstLine="705" w:firstLineChars="29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本公司（联合体）郑重声明，根据《政府采购促进中小企业发展管理办法》（财库﹝2020﹞46号）的规定，本公司（联合体）参加</w:t>
      </w:r>
      <w:r>
        <w:rPr>
          <w:rFonts w:ascii="宋体" w:hAnsi="宋体" w:eastAsia="宋体" w:cs="Times New Roman"/>
          <w:color w:val="auto"/>
          <w:kern w:val="0"/>
          <w:sz w:val="24"/>
          <w:szCs w:val="24"/>
          <w:highlight w:val="none"/>
          <w:u w:val="single"/>
        </w:rPr>
        <w:t>（单位名称）</w:t>
      </w:r>
      <w:r>
        <w:rPr>
          <w:rFonts w:ascii="宋体" w:hAnsi="宋体" w:eastAsia="宋体" w:cs="Times New Roman"/>
          <w:color w:val="auto"/>
          <w:kern w:val="0"/>
          <w:sz w:val="24"/>
          <w:szCs w:val="24"/>
          <w:highlight w:val="none"/>
        </w:rPr>
        <w:t>的</w:t>
      </w:r>
      <w:r>
        <w:rPr>
          <w:rFonts w:ascii="宋体" w:hAnsi="宋体" w:eastAsia="宋体" w:cs="Times New Roman"/>
          <w:color w:val="auto"/>
          <w:kern w:val="0"/>
          <w:sz w:val="24"/>
          <w:szCs w:val="24"/>
          <w:highlight w:val="none"/>
          <w:u w:val="single"/>
        </w:rPr>
        <w:t>（项目名称）</w:t>
      </w:r>
      <w:r>
        <w:rPr>
          <w:rFonts w:ascii="宋体" w:hAnsi="宋体" w:eastAsia="宋体" w:cs="Times New Roman"/>
          <w:color w:val="auto"/>
          <w:kern w:val="0"/>
          <w:sz w:val="24"/>
          <w:szCs w:val="24"/>
          <w:highlight w:val="none"/>
        </w:rPr>
        <w:t>采购活动，</w:t>
      </w:r>
      <w:r>
        <w:rPr>
          <w:rFonts w:hint="eastAsia" w:ascii="宋体" w:hAnsi="宋体" w:eastAsia="宋体" w:cs="Times New Roman"/>
          <w:color w:val="auto"/>
          <w:kern w:val="0"/>
          <w:sz w:val="24"/>
          <w:szCs w:val="24"/>
          <w:highlight w:val="none"/>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Times New Roman"/>
          <w:color w:val="auto"/>
          <w:sz w:val="24"/>
          <w:szCs w:val="24"/>
          <w:highlight w:val="none"/>
          <w:u w:val="single"/>
        </w:rPr>
        <w:t>（标的名称）</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（采购文件中明确的所属</w:t>
      </w:r>
      <w:r>
        <w:rPr>
          <w:rFonts w:hint="eastAsia" w:ascii="宋体" w:hAnsi="宋体" w:eastAsia="宋体" w:cs="Times New Roman"/>
          <w:color w:val="auto"/>
          <w:sz w:val="24"/>
          <w:szCs w:val="24"/>
          <w:highlight w:val="none"/>
          <w:u w:val="single"/>
        </w:rPr>
        <w:t>行</w:t>
      </w:r>
      <w:r>
        <w:rPr>
          <w:rFonts w:ascii="宋体" w:hAnsi="宋体" w:eastAsia="宋体" w:cs="Times New Roman"/>
          <w:color w:val="auto"/>
          <w:sz w:val="24"/>
          <w:szCs w:val="24"/>
          <w:highlight w:val="none"/>
          <w:u w:val="single"/>
        </w:rPr>
        <w:t>业）</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承建企业为</w:t>
      </w:r>
      <w:r>
        <w:rPr>
          <w:rFonts w:hint="eastAsia" w:ascii="宋体" w:hAnsi="宋体" w:eastAsia="宋体" w:cs="Times New Roman"/>
          <w:color w:val="auto"/>
          <w:sz w:val="24"/>
          <w:szCs w:val="24"/>
          <w:highlight w:val="none"/>
          <w:u w:val="single"/>
        </w:rPr>
        <w:t>（企业名称）</w:t>
      </w:r>
      <w:r>
        <w:rPr>
          <w:rFonts w:hint="eastAsia" w:ascii="宋体" w:hAnsi="宋体" w:eastAsia="宋体" w:cs="Times New Roman"/>
          <w:color w:val="auto"/>
          <w:sz w:val="24"/>
          <w:szCs w:val="24"/>
          <w:highlight w:val="none"/>
        </w:rPr>
        <w:t>，从业人员</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人，营业收入为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（中型企业、</w:t>
      </w:r>
      <w:r>
        <w:rPr>
          <w:rFonts w:hint="eastAsia" w:ascii="宋体" w:hAnsi="宋体" w:eastAsia="宋体" w:cs="Times New Roman"/>
          <w:color w:val="auto"/>
          <w:sz w:val="24"/>
          <w:szCs w:val="24"/>
          <w:highlight w:val="none"/>
          <w:u w:val="single"/>
        </w:rPr>
        <w:t>小型企业、微型企业）</w:t>
      </w:r>
      <w:r>
        <w:rPr>
          <w:rFonts w:hint="eastAsia" w:ascii="宋体" w:hAnsi="宋体" w:eastAsia="宋体" w:cs="Times New Roman"/>
          <w:color w:val="auto"/>
          <w:sz w:val="24"/>
          <w:szCs w:val="24"/>
          <w:highlight w:val="none"/>
        </w:rPr>
        <w:t>；</w:t>
      </w:r>
    </w:p>
    <w:p>
      <w:pPr>
        <w:tabs>
          <w:tab w:val="left" w:pos="1065"/>
          <w:tab w:val="left" w:pos="4262"/>
          <w:tab w:val="left" w:pos="6477"/>
        </w:tabs>
        <w:spacing w:before="20" w:line="500" w:lineRule="exact"/>
        <w:ind w:right="84" w:firstLine="772" w:firstLineChars="322"/>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2.</w:t>
      </w:r>
      <w:r>
        <w:rPr>
          <w:rFonts w:ascii="宋体" w:hAnsi="宋体" w:eastAsia="宋体" w:cs="Times New Roman"/>
          <w:color w:val="auto"/>
          <w:sz w:val="24"/>
          <w:szCs w:val="24"/>
          <w:highlight w:val="none"/>
          <w:u w:val="single"/>
        </w:rPr>
        <w:t>（标的名称）</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（采购文件中明确的所属</w:t>
      </w:r>
      <w:r>
        <w:rPr>
          <w:rFonts w:hint="eastAsia" w:ascii="宋体" w:hAnsi="宋体" w:eastAsia="宋体" w:cs="Times New Roman"/>
          <w:color w:val="auto"/>
          <w:sz w:val="24"/>
          <w:szCs w:val="24"/>
          <w:highlight w:val="none"/>
          <w:u w:val="single"/>
        </w:rPr>
        <w:t>行业</w:t>
      </w:r>
      <w:r>
        <w:rPr>
          <w:rFonts w:ascii="宋体" w:hAnsi="宋体" w:eastAsia="宋体" w:cs="Times New Roman"/>
          <w:color w:val="auto"/>
          <w:sz w:val="24"/>
          <w:szCs w:val="24"/>
          <w:highlight w:val="none"/>
          <w:u w:val="singl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承建企业为</w:t>
      </w:r>
      <w:r>
        <w:rPr>
          <w:rFonts w:hint="eastAsia" w:ascii="宋体" w:hAnsi="宋体" w:eastAsia="宋体" w:cs="Times New Roman"/>
          <w:color w:val="auto"/>
          <w:sz w:val="24"/>
          <w:szCs w:val="24"/>
          <w:highlight w:val="none"/>
          <w:u w:val="single"/>
        </w:rPr>
        <w:t>（企业名称）</w:t>
      </w:r>
      <w:r>
        <w:rPr>
          <w:rFonts w:hint="eastAsia" w:ascii="宋体" w:hAnsi="宋体" w:eastAsia="宋体" w:cs="Times New Roman"/>
          <w:color w:val="auto"/>
          <w:sz w:val="24"/>
          <w:szCs w:val="24"/>
          <w:highlight w:val="none"/>
        </w:rPr>
        <w:t>，从业人员</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人，营业收入为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（中型企业、</w:t>
      </w:r>
      <w:r>
        <w:rPr>
          <w:rFonts w:hint="eastAsia" w:ascii="宋体" w:hAnsi="宋体" w:eastAsia="宋体" w:cs="Times New Roman"/>
          <w:color w:val="auto"/>
          <w:sz w:val="24"/>
          <w:szCs w:val="24"/>
          <w:highlight w:val="none"/>
          <w:u w:val="single"/>
        </w:rPr>
        <w:t>小型企业、微型企业）</w:t>
      </w:r>
      <w:r>
        <w:rPr>
          <w:rFonts w:hint="eastAsia" w:ascii="宋体" w:hAnsi="宋体" w:eastAsia="宋体" w:cs="Times New Roman"/>
          <w:color w:val="auto"/>
          <w:sz w:val="24"/>
          <w:szCs w:val="24"/>
          <w:highlight w:val="none"/>
        </w:rPr>
        <w:t>；</w:t>
      </w:r>
    </w:p>
    <w:p>
      <w:pPr>
        <w:spacing w:before="34" w:line="500" w:lineRule="exact"/>
        <w:ind w:right="142" w:firstLine="705" w:firstLineChars="29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w:t>
      </w:r>
    </w:p>
    <w:p>
      <w:pPr>
        <w:spacing w:before="34" w:line="500" w:lineRule="exact"/>
        <w:ind w:right="142" w:firstLine="705" w:firstLineChars="29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以上企业，不属于大企业的分支机构，不存在控股股东为大企业的情形，也不存在与大企业的负责人为同一人的情形。</w:t>
      </w:r>
    </w:p>
    <w:p>
      <w:pPr>
        <w:spacing w:before="25" w:line="500" w:lineRule="exact"/>
        <w:ind w:right="142" w:firstLine="705" w:firstLineChars="29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本企业对上述声明内容的真实性负责。如有虚假，将依法承担相应责任。</w:t>
      </w:r>
    </w:p>
    <w:p>
      <w:pPr>
        <w:spacing w:before="56" w:line="500" w:lineRule="exact"/>
        <w:ind w:right="1808" w:firstLine="705" w:firstLineChars="294"/>
        <w:rPr>
          <w:rFonts w:ascii="宋体" w:hAnsi="宋体" w:eastAsia="宋体" w:cs="Times New Roman"/>
          <w:color w:val="auto"/>
          <w:kern w:val="0"/>
          <w:sz w:val="24"/>
          <w:szCs w:val="24"/>
          <w:highlight w:val="none"/>
        </w:rPr>
      </w:pPr>
    </w:p>
    <w:p>
      <w:pPr>
        <w:spacing w:before="56" w:line="500" w:lineRule="exact"/>
        <w:ind w:right="650" w:firstLine="5625" w:firstLineChars="234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企业名称（章）： </w:t>
      </w:r>
    </w:p>
    <w:p>
      <w:pPr>
        <w:spacing w:before="56" w:line="500" w:lineRule="exact"/>
        <w:ind w:right="1808" w:firstLine="5625" w:firstLineChars="2344"/>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日 期：</w:t>
      </w:r>
    </w:p>
    <w:p>
      <w:pPr>
        <w:tabs>
          <w:tab w:val="left" w:pos="4860"/>
        </w:tabs>
        <w:spacing w:line="588" w:lineRule="exact"/>
        <w:ind w:right="2224"/>
        <w:rPr>
          <w:rFonts w:ascii="宋体" w:hAnsi="宋体" w:eastAsia="宋体" w:cs="Times New Roman"/>
          <w:b/>
          <w:color w:val="auto"/>
          <w:spacing w:val="6"/>
          <w:sz w:val="32"/>
          <w:szCs w:val="32"/>
          <w:highlight w:val="none"/>
        </w:rPr>
      </w:pPr>
      <w:r>
        <w:rPr>
          <w:rFonts w:ascii="宋体" w:hAnsi="宋体" w:eastAsia="宋体" w:cs="仿宋_GB2312"/>
          <w:color w:val="auto"/>
          <w:sz w:val="24"/>
          <w:szCs w:val="24"/>
          <w:highlight w:val="none"/>
        </w:rPr>
        <w:br w:type="page"/>
      </w:r>
      <w:r>
        <w:rPr>
          <w:rFonts w:hint="eastAsia" w:ascii="宋体" w:hAnsi="宋体" w:eastAsia="宋体" w:cs="仿宋_GB2312"/>
          <w:color w:val="auto"/>
          <w:sz w:val="24"/>
          <w:szCs w:val="24"/>
          <w:highlight w:val="none"/>
        </w:rPr>
        <w:t xml:space="preserve">                        </w:t>
      </w:r>
      <w:r>
        <w:rPr>
          <w:rFonts w:hint="eastAsia" w:ascii="宋体" w:hAnsi="宋体" w:eastAsia="宋体" w:cs="Times New Roman"/>
          <w:b/>
          <w:color w:val="auto"/>
          <w:spacing w:val="6"/>
          <w:sz w:val="32"/>
          <w:szCs w:val="32"/>
          <w:highlight w:val="none"/>
        </w:rPr>
        <w:t>残疾人福利性单位声明函</w:t>
      </w:r>
    </w:p>
    <w:p>
      <w:pPr>
        <w:spacing w:line="588" w:lineRule="exact"/>
        <w:rPr>
          <w:rFonts w:ascii="宋体" w:hAnsi="宋体" w:eastAsia="宋体" w:cs="Times New Roman"/>
          <w:b/>
          <w:color w:val="auto"/>
          <w:spacing w:val="6"/>
          <w:sz w:val="24"/>
          <w:szCs w:val="24"/>
          <w:highlight w:val="none"/>
        </w:rPr>
      </w:pPr>
    </w:p>
    <w:p>
      <w:pPr>
        <w:spacing w:line="588" w:lineRule="exact"/>
        <w:ind w:firstLine="504"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eastAsia="宋体" w:cs="Times New Roman"/>
          <w:color w:val="auto"/>
          <w:spacing w:val="6"/>
          <w:sz w:val="24"/>
          <w:szCs w:val="24"/>
          <w:highlight w:val="none"/>
        </w:rPr>
      </w:pPr>
    </w:p>
    <w:p>
      <w:pPr>
        <w:spacing w:line="588" w:lineRule="exact"/>
        <w:ind w:firstLine="504" w:firstLineChars="200"/>
        <w:rPr>
          <w:rFonts w:ascii="宋体" w:hAnsi="宋体" w:eastAsia="宋体" w:cs="Times New Roman"/>
          <w:color w:val="auto"/>
          <w:spacing w:val="6"/>
          <w:sz w:val="24"/>
          <w:szCs w:val="24"/>
          <w:highlight w:val="none"/>
        </w:rPr>
      </w:pPr>
    </w:p>
    <w:p>
      <w:pPr>
        <w:tabs>
          <w:tab w:val="left" w:pos="4860"/>
        </w:tabs>
        <w:spacing w:line="588" w:lineRule="exact"/>
        <w:ind w:right="1560" w:firstLine="504" w:firstLineChars="200"/>
        <w:jc w:val="center"/>
        <w:rPr>
          <w:rFonts w:ascii="宋体" w:hAnsi="宋体" w:eastAsia="宋体" w:cs="Times New Roman"/>
          <w:strike/>
          <w:color w:val="auto"/>
          <w:spacing w:val="6"/>
          <w:sz w:val="24"/>
          <w:szCs w:val="24"/>
          <w:highlight w:val="none"/>
        </w:rPr>
      </w:pPr>
      <w:r>
        <w:rPr>
          <w:rFonts w:hint="eastAsia" w:ascii="宋体" w:hAnsi="宋体" w:eastAsia="宋体" w:cs="Times New Roman"/>
          <w:color w:val="auto"/>
          <w:spacing w:val="6"/>
          <w:sz w:val="24"/>
          <w:szCs w:val="24"/>
          <w:highlight w:val="none"/>
        </w:rPr>
        <w:t xml:space="preserve">                      供应商名称（公章）：</w:t>
      </w:r>
    </w:p>
    <w:p>
      <w:pPr>
        <w:autoSpaceDE w:val="0"/>
        <w:autoSpaceDN w:val="0"/>
        <w:spacing w:line="300" w:lineRule="auto"/>
        <w:ind w:firstLine="6048" w:firstLineChars="2400"/>
        <w:rPr>
          <w:rFonts w:ascii="宋体" w:hAnsi="宋体" w:eastAsia="宋体" w:cs="Times New Roman"/>
          <w:color w:val="auto"/>
          <w:sz w:val="24"/>
          <w:szCs w:val="24"/>
          <w:highlight w:val="none"/>
          <w:u w:val="single"/>
        </w:rPr>
      </w:pPr>
      <w:r>
        <w:rPr>
          <w:rFonts w:hint="eastAsia" w:ascii="宋体" w:hAnsi="宋体" w:eastAsia="宋体" w:cs="Times New Roman"/>
          <w:color w:val="auto"/>
          <w:spacing w:val="6"/>
          <w:sz w:val="24"/>
          <w:szCs w:val="24"/>
          <w:highlight w:val="none"/>
        </w:rPr>
        <w:t>日期：</w:t>
      </w:r>
    </w:p>
    <w:p>
      <w:pPr>
        <w:spacing w:line="400" w:lineRule="exact"/>
        <w:rPr>
          <w:rFonts w:ascii="宋体" w:hAnsi="Courier New" w:eastAsia="宋体" w:cs="Times New Roman"/>
          <w:color w:val="auto"/>
          <w:szCs w:val="21"/>
          <w:highlight w:val="none"/>
        </w:rPr>
      </w:pPr>
    </w:p>
    <w:p>
      <w:pPr>
        <w:spacing w:line="200" w:lineRule="exact"/>
        <w:rPr>
          <w:rFonts w:ascii="宋体" w:hAnsi="Courier New" w:eastAsia="宋体" w:cs="Times New Roman"/>
          <w:color w:val="auto"/>
          <w:szCs w:val="21"/>
          <w:highlight w:val="none"/>
        </w:rPr>
      </w:pPr>
    </w:p>
    <w:p>
      <w:pPr>
        <w:tabs>
          <w:tab w:val="center" w:pos="4153"/>
          <w:tab w:val="right" w:pos="8306"/>
        </w:tabs>
        <w:snapToGrid w:val="0"/>
        <w:jc w:val="left"/>
        <w:rPr>
          <w:rFonts w:ascii="宋体" w:hAnsi="Courier New" w:eastAsia="宋体" w:cs="Times New Roman"/>
          <w:color w:val="auto"/>
          <w:sz w:val="18"/>
          <w:szCs w:val="20"/>
          <w:highlight w:val="none"/>
        </w:rPr>
      </w:pPr>
    </w:p>
    <w:p>
      <w:pPr>
        <w:tabs>
          <w:tab w:val="center" w:pos="4153"/>
          <w:tab w:val="right" w:pos="8306"/>
        </w:tabs>
        <w:snapToGrid w:val="0"/>
        <w:jc w:val="left"/>
        <w:rPr>
          <w:rFonts w:ascii="宋体" w:hAnsi="Courier New" w:eastAsia="宋体" w:cs="Times New Roman"/>
          <w:color w:val="auto"/>
          <w:sz w:val="18"/>
          <w:szCs w:val="20"/>
          <w:highlight w:val="none"/>
        </w:rPr>
      </w:pPr>
    </w:p>
    <w:p>
      <w:pPr>
        <w:rPr>
          <w:color w:val="auto"/>
          <w:highlight w:val="none"/>
        </w:rPr>
      </w:pPr>
    </w:p>
    <w:sectPr>
      <w:pgSz w:w="11906" w:h="16838"/>
      <w:pgMar w:top="1440" w:right="1274" w:bottom="1440" w:left="12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隶书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55</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rStyle w:val="51"/>
        <w:color w:val="FFFFFF" w:themeColor="background1"/>
        <w14:textFill>
          <w14:solidFill>
            <w14:schemeClr w14:val="bg1"/>
          </w14:solidFill>
        </w14:textFill>
      </w:rPr>
      <w:instrText xml:space="preserve">PAGE  </w:instrText>
    </w:r>
    <w:r>
      <w:rPr>
        <w:color w:val="FFFFFF" w:themeColor="background1"/>
        <w14:textFill>
          <w14:solidFill>
            <w14:schemeClr w14:val="bg1"/>
          </w14:solidFill>
        </w14:textFill>
      </w:rPr>
      <w:fldChar w:fldCharType="separate"/>
    </w:r>
    <w:r>
      <w:rPr>
        <w:rStyle w:val="51"/>
        <w:color w:val="FFFFFF" w:themeColor="background1"/>
        <w14:textFill>
          <w14:solidFill>
            <w14:schemeClr w14:val="bg1"/>
          </w14:solidFill>
        </w14:textFill>
      </w:rPr>
      <w:t>0</w:t>
    </w:r>
    <w:r>
      <w:rPr>
        <w:color w:val="FFFFFF" w:themeColor="background1"/>
        <w14:textFill>
          <w14:solidFill>
            <w14:schemeClr w14:val="bg1"/>
          </w14:solidFill>
        </w14:textFill>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60</w:t>
    </w:r>
    <w: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5421"/>
        <w:tab w:val="clear" w:pos="4153"/>
      </w:tabs>
      <w:jc w:val="both"/>
      <w:rPr>
        <w:rFonts w:hint="eastAsia" w:eastAsiaTheme="minorEastAsia"/>
        <w:color w:val="auto"/>
        <w:sz w:val="21"/>
        <w:szCs w:val="21"/>
        <w:lang w:val="en-US" w:eastAsia="zh-CN"/>
      </w:rPr>
    </w:pPr>
    <w:r>
      <w:rPr>
        <w:rFonts w:hint="eastAsia"/>
        <w:sz w:val="21"/>
        <w:szCs w:val="21"/>
      </w:rPr>
      <w:t>广西宏腾招标代理有限公司</w:t>
    </w:r>
    <w:r>
      <w:rPr>
        <w:rFonts w:hint="eastAsia"/>
        <w:sz w:val="21"/>
        <w:szCs w:val="21"/>
      </w:rPr>
      <w:tab/>
    </w:r>
    <w:r>
      <w:rPr>
        <w:rFonts w:hint="eastAsia"/>
        <w:sz w:val="21"/>
        <w:szCs w:val="21"/>
        <w:lang w:val="en-US" w:eastAsia="zh-CN"/>
      </w:rPr>
      <w:t xml:space="preserve">      </w:t>
    </w:r>
    <w:r>
      <w:rPr>
        <w:rFonts w:hint="eastAsia"/>
        <w:sz w:val="21"/>
        <w:szCs w:val="21"/>
      </w:rPr>
      <w:t xml:space="preserve">        </w:t>
    </w:r>
    <w:r>
      <w:rPr>
        <w:rFonts w:hint="eastAsia"/>
        <w:color w:val="auto"/>
        <w:sz w:val="21"/>
        <w:szCs w:val="21"/>
      </w:rPr>
      <w:t xml:space="preserve">  </w:t>
    </w:r>
    <w:r>
      <w:rPr>
        <w:rFonts w:hint="eastAsia"/>
        <w:color w:val="auto"/>
        <w:sz w:val="21"/>
        <w:szCs w:val="21"/>
        <w:lang w:eastAsia="zh-CN"/>
      </w:rPr>
      <w:t>YLZC2023-C2-82170-HTZB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5421"/>
        <w:tab w:val="clear" w:pos="4153"/>
      </w:tabs>
      <w:jc w:val="both"/>
      <w:rPr>
        <w:rFonts w:hint="eastAsia" w:eastAsiaTheme="minorEastAsia"/>
        <w:color w:val="FF0000"/>
        <w:lang w:eastAsia="zh-CN"/>
      </w:rPr>
    </w:pPr>
    <w:r>
      <w:rPr>
        <w:rFonts w:hint="eastAsia"/>
        <w:sz w:val="21"/>
        <w:szCs w:val="21"/>
      </w:rPr>
      <w:t xml:space="preserve">广西宏腾招标代理有限公司                                         </w:t>
    </w:r>
    <w:r>
      <w:rPr>
        <w:rFonts w:hint="eastAsia"/>
        <w:sz w:val="21"/>
        <w:szCs w:val="21"/>
        <w:lang w:eastAsia="zh-CN"/>
      </w:rPr>
      <w:t>YLZC2023-C2-82170-HTZB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eastAsiaTheme="minorEastAsia"/>
        <w:sz w:val="21"/>
        <w:szCs w:val="21"/>
        <w:lang w:eastAsia="zh-CN"/>
      </w:rPr>
    </w:pPr>
    <w:r>
      <w:rPr>
        <w:rFonts w:hint="eastAsia"/>
        <w:sz w:val="21"/>
        <w:szCs w:val="21"/>
      </w:rPr>
      <w:t xml:space="preserve">广西宏腾招标代理有限公司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YLZC2023-C2-82170-HTZB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D1937"/>
    <w:multiLevelType w:val="singleLevel"/>
    <w:tmpl w:val="ED4D1937"/>
    <w:lvl w:ilvl="0" w:tentative="0">
      <w:start w:val="13"/>
      <w:numFmt w:val="chineseCounting"/>
      <w:suff w:val="nothing"/>
      <w:lvlText w:val="%1、"/>
      <w:lvlJc w:val="left"/>
      <w:rPr>
        <w:rFonts w:hint="eastAsia"/>
      </w:rPr>
    </w:lvl>
  </w:abstractNum>
  <w:abstractNum w:abstractNumId="1">
    <w:nsid w:val="6EDD6596"/>
    <w:multiLevelType w:val="singleLevel"/>
    <w:tmpl w:val="6EDD659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forms" w:enforcement="1" w:cryptProviderType="rsaFull" w:cryptAlgorithmClass="hash" w:cryptAlgorithmType="typeAny" w:cryptAlgorithmSid="4" w:cryptSpinCount="0" w:hash="++pRs8ZgB/5RBbzmOrtboo7UzOk=" w:salt="pBjovwv+ZgjtZZ6k6qQB7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TI0OWE3YWNmMWQ0OTM3MTc5ZDBhYjUxNTRlOGQifQ=="/>
  </w:docVars>
  <w:rsids>
    <w:rsidRoot w:val="006E1228"/>
    <w:rsid w:val="00044A00"/>
    <w:rsid w:val="00045D3C"/>
    <w:rsid w:val="00057D39"/>
    <w:rsid w:val="000729B9"/>
    <w:rsid w:val="00082D22"/>
    <w:rsid w:val="000B26E8"/>
    <w:rsid w:val="000D28B8"/>
    <w:rsid w:val="000F0FD7"/>
    <w:rsid w:val="00106D39"/>
    <w:rsid w:val="001213E7"/>
    <w:rsid w:val="00124648"/>
    <w:rsid w:val="00130FD6"/>
    <w:rsid w:val="00192991"/>
    <w:rsid w:val="001A11CC"/>
    <w:rsid w:val="001B171A"/>
    <w:rsid w:val="001D6E5D"/>
    <w:rsid w:val="001F2BE9"/>
    <w:rsid w:val="00206B4F"/>
    <w:rsid w:val="00216F65"/>
    <w:rsid w:val="00227E23"/>
    <w:rsid w:val="00250482"/>
    <w:rsid w:val="0026686D"/>
    <w:rsid w:val="002B6A67"/>
    <w:rsid w:val="002B7032"/>
    <w:rsid w:val="002C42AC"/>
    <w:rsid w:val="002D2C67"/>
    <w:rsid w:val="002F294D"/>
    <w:rsid w:val="002F6D48"/>
    <w:rsid w:val="00304662"/>
    <w:rsid w:val="00333DCC"/>
    <w:rsid w:val="00340534"/>
    <w:rsid w:val="00343BF0"/>
    <w:rsid w:val="0034469C"/>
    <w:rsid w:val="00350386"/>
    <w:rsid w:val="003529DB"/>
    <w:rsid w:val="0037069E"/>
    <w:rsid w:val="003948DA"/>
    <w:rsid w:val="003C202E"/>
    <w:rsid w:val="003E770E"/>
    <w:rsid w:val="00402AA8"/>
    <w:rsid w:val="00404908"/>
    <w:rsid w:val="00427B2D"/>
    <w:rsid w:val="00451D9E"/>
    <w:rsid w:val="004538BF"/>
    <w:rsid w:val="00467BDE"/>
    <w:rsid w:val="00470DC9"/>
    <w:rsid w:val="004A2A39"/>
    <w:rsid w:val="004A76FC"/>
    <w:rsid w:val="004B6011"/>
    <w:rsid w:val="004C035D"/>
    <w:rsid w:val="004C0E19"/>
    <w:rsid w:val="004E1AAA"/>
    <w:rsid w:val="005363BE"/>
    <w:rsid w:val="00541D66"/>
    <w:rsid w:val="0059375A"/>
    <w:rsid w:val="005A598B"/>
    <w:rsid w:val="005B0E52"/>
    <w:rsid w:val="005B4AD1"/>
    <w:rsid w:val="005B51FA"/>
    <w:rsid w:val="005C2DA7"/>
    <w:rsid w:val="005D375D"/>
    <w:rsid w:val="0061459E"/>
    <w:rsid w:val="00650DAB"/>
    <w:rsid w:val="00675C9E"/>
    <w:rsid w:val="00676CD2"/>
    <w:rsid w:val="00690857"/>
    <w:rsid w:val="00691443"/>
    <w:rsid w:val="006A180E"/>
    <w:rsid w:val="006D68BE"/>
    <w:rsid w:val="006E1228"/>
    <w:rsid w:val="006E2C59"/>
    <w:rsid w:val="006F0F3E"/>
    <w:rsid w:val="006F53F4"/>
    <w:rsid w:val="00720614"/>
    <w:rsid w:val="007251E9"/>
    <w:rsid w:val="00777F77"/>
    <w:rsid w:val="007D3AF2"/>
    <w:rsid w:val="007E22C8"/>
    <w:rsid w:val="007E3D88"/>
    <w:rsid w:val="007F66A5"/>
    <w:rsid w:val="007F7292"/>
    <w:rsid w:val="008103B2"/>
    <w:rsid w:val="00840AF4"/>
    <w:rsid w:val="00847502"/>
    <w:rsid w:val="00851A3C"/>
    <w:rsid w:val="00870B68"/>
    <w:rsid w:val="00877707"/>
    <w:rsid w:val="00893ABA"/>
    <w:rsid w:val="008964AB"/>
    <w:rsid w:val="008A1B28"/>
    <w:rsid w:val="008A57BE"/>
    <w:rsid w:val="008B0AE2"/>
    <w:rsid w:val="008C55DD"/>
    <w:rsid w:val="00902389"/>
    <w:rsid w:val="009336B6"/>
    <w:rsid w:val="00937ABD"/>
    <w:rsid w:val="00955C2F"/>
    <w:rsid w:val="0097432C"/>
    <w:rsid w:val="009B2745"/>
    <w:rsid w:val="009D776A"/>
    <w:rsid w:val="00A14F56"/>
    <w:rsid w:val="00A16F0B"/>
    <w:rsid w:val="00A31805"/>
    <w:rsid w:val="00A40647"/>
    <w:rsid w:val="00A75355"/>
    <w:rsid w:val="00AB3664"/>
    <w:rsid w:val="00AB7D1B"/>
    <w:rsid w:val="00AC0D3D"/>
    <w:rsid w:val="00AD0B2D"/>
    <w:rsid w:val="00AE5133"/>
    <w:rsid w:val="00B236C7"/>
    <w:rsid w:val="00B315D5"/>
    <w:rsid w:val="00B71F9B"/>
    <w:rsid w:val="00B96827"/>
    <w:rsid w:val="00BB7E36"/>
    <w:rsid w:val="00BC44CE"/>
    <w:rsid w:val="00BC51BD"/>
    <w:rsid w:val="00BD3A95"/>
    <w:rsid w:val="00BD4E5B"/>
    <w:rsid w:val="00C37E63"/>
    <w:rsid w:val="00C63877"/>
    <w:rsid w:val="00C63EFB"/>
    <w:rsid w:val="00C879BD"/>
    <w:rsid w:val="00C9753D"/>
    <w:rsid w:val="00CD6588"/>
    <w:rsid w:val="00D02082"/>
    <w:rsid w:val="00D12EA1"/>
    <w:rsid w:val="00D140D2"/>
    <w:rsid w:val="00D230E4"/>
    <w:rsid w:val="00D41D65"/>
    <w:rsid w:val="00D466E2"/>
    <w:rsid w:val="00D5452A"/>
    <w:rsid w:val="00D57F0D"/>
    <w:rsid w:val="00D652A6"/>
    <w:rsid w:val="00D66291"/>
    <w:rsid w:val="00D73C52"/>
    <w:rsid w:val="00D82B41"/>
    <w:rsid w:val="00D951CC"/>
    <w:rsid w:val="00D95F9B"/>
    <w:rsid w:val="00DB2198"/>
    <w:rsid w:val="00DE6900"/>
    <w:rsid w:val="00E33CAD"/>
    <w:rsid w:val="00E4610D"/>
    <w:rsid w:val="00E536EE"/>
    <w:rsid w:val="00E71287"/>
    <w:rsid w:val="00E84A42"/>
    <w:rsid w:val="00E84CFC"/>
    <w:rsid w:val="00EA5B96"/>
    <w:rsid w:val="00ED3796"/>
    <w:rsid w:val="00ED4463"/>
    <w:rsid w:val="00EE6D1D"/>
    <w:rsid w:val="00EF4ACA"/>
    <w:rsid w:val="00EF5498"/>
    <w:rsid w:val="00F029C8"/>
    <w:rsid w:val="00F27CAF"/>
    <w:rsid w:val="00F34EF9"/>
    <w:rsid w:val="00F545BE"/>
    <w:rsid w:val="00F70E39"/>
    <w:rsid w:val="00F9231C"/>
    <w:rsid w:val="00F942F6"/>
    <w:rsid w:val="00F9733B"/>
    <w:rsid w:val="00FA1F1C"/>
    <w:rsid w:val="00FB30A9"/>
    <w:rsid w:val="00FB4CF4"/>
    <w:rsid w:val="00FC167E"/>
    <w:rsid w:val="00FE537F"/>
    <w:rsid w:val="00FE7F9A"/>
    <w:rsid w:val="00FF5B59"/>
    <w:rsid w:val="019329D2"/>
    <w:rsid w:val="01E449DA"/>
    <w:rsid w:val="025033FE"/>
    <w:rsid w:val="02700433"/>
    <w:rsid w:val="029A38EC"/>
    <w:rsid w:val="029B5707"/>
    <w:rsid w:val="03B37630"/>
    <w:rsid w:val="043438CC"/>
    <w:rsid w:val="04ED064B"/>
    <w:rsid w:val="05241B93"/>
    <w:rsid w:val="05C8216B"/>
    <w:rsid w:val="067E1BC4"/>
    <w:rsid w:val="06A9322D"/>
    <w:rsid w:val="07BC57AC"/>
    <w:rsid w:val="083C04C5"/>
    <w:rsid w:val="08AA0601"/>
    <w:rsid w:val="08FD1430"/>
    <w:rsid w:val="0AA67CB9"/>
    <w:rsid w:val="0BBC60BD"/>
    <w:rsid w:val="0BD97994"/>
    <w:rsid w:val="0C450D6C"/>
    <w:rsid w:val="0D2B61B4"/>
    <w:rsid w:val="0D5A03EC"/>
    <w:rsid w:val="0D610B98"/>
    <w:rsid w:val="0E5F2243"/>
    <w:rsid w:val="0ED65EA8"/>
    <w:rsid w:val="0EF16F8A"/>
    <w:rsid w:val="0F0C0596"/>
    <w:rsid w:val="103C350F"/>
    <w:rsid w:val="11114067"/>
    <w:rsid w:val="11162CD7"/>
    <w:rsid w:val="11DE4816"/>
    <w:rsid w:val="12371A27"/>
    <w:rsid w:val="12B96010"/>
    <w:rsid w:val="13B011C1"/>
    <w:rsid w:val="14771CDF"/>
    <w:rsid w:val="15267261"/>
    <w:rsid w:val="15BB0E18"/>
    <w:rsid w:val="163C6B22"/>
    <w:rsid w:val="16FC68BB"/>
    <w:rsid w:val="17966920"/>
    <w:rsid w:val="17997A19"/>
    <w:rsid w:val="17E348D2"/>
    <w:rsid w:val="19395765"/>
    <w:rsid w:val="1A37551F"/>
    <w:rsid w:val="1A444411"/>
    <w:rsid w:val="1AC6751C"/>
    <w:rsid w:val="1B1C1F38"/>
    <w:rsid w:val="1BE06CE1"/>
    <w:rsid w:val="1CA7787C"/>
    <w:rsid w:val="1D024957"/>
    <w:rsid w:val="1D5B7ACC"/>
    <w:rsid w:val="1D6D0123"/>
    <w:rsid w:val="1EBA3314"/>
    <w:rsid w:val="1EF32C98"/>
    <w:rsid w:val="1F10520A"/>
    <w:rsid w:val="1F467C6F"/>
    <w:rsid w:val="1F6A429F"/>
    <w:rsid w:val="20045433"/>
    <w:rsid w:val="20315438"/>
    <w:rsid w:val="20EA62D6"/>
    <w:rsid w:val="21B34182"/>
    <w:rsid w:val="22EE13BE"/>
    <w:rsid w:val="231134BB"/>
    <w:rsid w:val="24B8460D"/>
    <w:rsid w:val="25B52667"/>
    <w:rsid w:val="25FB73FA"/>
    <w:rsid w:val="260F67A9"/>
    <w:rsid w:val="27006D61"/>
    <w:rsid w:val="27856069"/>
    <w:rsid w:val="28520641"/>
    <w:rsid w:val="28582F41"/>
    <w:rsid w:val="2A753388"/>
    <w:rsid w:val="2AF07A82"/>
    <w:rsid w:val="2DAF06A3"/>
    <w:rsid w:val="2F004BB9"/>
    <w:rsid w:val="2F0B779C"/>
    <w:rsid w:val="2FA713F0"/>
    <w:rsid w:val="3378237D"/>
    <w:rsid w:val="338027CE"/>
    <w:rsid w:val="338A4E59"/>
    <w:rsid w:val="340A7BE9"/>
    <w:rsid w:val="34603326"/>
    <w:rsid w:val="35D75540"/>
    <w:rsid w:val="376E6B1A"/>
    <w:rsid w:val="37C7012B"/>
    <w:rsid w:val="37CC512B"/>
    <w:rsid w:val="38325D99"/>
    <w:rsid w:val="387E7F82"/>
    <w:rsid w:val="38CC7F9C"/>
    <w:rsid w:val="38FA3C3B"/>
    <w:rsid w:val="39294E48"/>
    <w:rsid w:val="3A0218C1"/>
    <w:rsid w:val="3A4D2260"/>
    <w:rsid w:val="3A7E0E22"/>
    <w:rsid w:val="3BF533E5"/>
    <w:rsid w:val="3D235CB1"/>
    <w:rsid w:val="3E0C4997"/>
    <w:rsid w:val="3E2E615A"/>
    <w:rsid w:val="3EC340D0"/>
    <w:rsid w:val="3F2742C1"/>
    <w:rsid w:val="3F374184"/>
    <w:rsid w:val="3FE774B4"/>
    <w:rsid w:val="404D19C2"/>
    <w:rsid w:val="41756B51"/>
    <w:rsid w:val="41AB48C0"/>
    <w:rsid w:val="41D97554"/>
    <w:rsid w:val="42375E76"/>
    <w:rsid w:val="42E6622B"/>
    <w:rsid w:val="435766B4"/>
    <w:rsid w:val="438374A9"/>
    <w:rsid w:val="454C6F0E"/>
    <w:rsid w:val="4556774E"/>
    <w:rsid w:val="45AC718B"/>
    <w:rsid w:val="46084EAD"/>
    <w:rsid w:val="46A51DBA"/>
    <w:rsid w:val="46DC3AA0"/>
    <w:rsid w:val="472114B3"/>
    <w:rsid w:val="47703170"/>
    <w:rsid w:val="478B23DE"/>
    <w:rsid w:val="48916DA1"/>
    <w:rsid w:val="48C60564"/>
    <w:rsid w:val="48FB7D98"/>
    <w:rsid w:val="49845F7E"/>
    <w:rsid w:val="49C94E6E"/>
    <w:rsid w:val="49F41101"/>
    <w:rsid w:val="4A203CA4"/>
    <w:rsid w:val="4A455A4A"/>
    <w:rsid w:val="4A9D3546"/>
    <w:rsid w:val="4AFD3FE5"/>
    <w:rsid w:val="4B5F07FC"/>
    <w:rsid w:val="4B8D5369"/>
    <w:rsid w:val="4BC577D3"/>
    <w:rsid w:val="4BD305E2"/>
    <w:rsid w:val="4C1E2465"/>
    <w:rsid w:val="4C6C31D0"/>
    <w:rsid w:val="4CC441C3"/>
    <w:rsid w:val="4CDB0356"/>
    <w:rsid w:val="4E0336C0"/>
    <w:rsid w:val="4E157897"/>
    <w:rsid w:val="4EE60BFB"/>
    <w:rsid w:val="511D0F3D"/>
    <w:rsid w:val="5156490E"/>
    <w:rsid w:val="51777F4D"/>
    <w:rsid w:val="51F64A53"/>
    <w:rsid w:val="53A21BCD"/>
    <w:rsid w:val="53AB400A"/>
    <w:rsid w:val="5452714F"/>
    <w:rsid w:val="545C7FCE"/>
    <w:rsid w:val="54D80E57"/>
    <w:rsid w:val="551477F3"/>
    <w:rsid w:val="55BF6A67"/>
    <w:rsid w:val="56B63AE3"/>
    <w:rsid w:val="570E068D"/>
    <w:rsid w:val="5A765030"/>
    <w:rsid w:val="5B2452CA"/>
    <w:rsid w:val="5B3F6ED3"/>
    <w:rsid w:val="5B5056E5"/>
    <w:rsid w:val="5C484871"/>
    <w:rsid w:val="5C6734A8"/>
    <w:rsid w:val="5D74691C"/>
    <w:rsid w:val="5E0D560C"/>
    <w:rsid w:val="5E196F30"/>
    <w:rsid w:val="5EDA7ADB"/>
    <w:rsid w:val="5F065A2A"/>
    <w:rsid w:val="6065639B"/>
    <w:rsid w:val="6078514B"/>
    <w:rsid w:val="60DD11C7"/>
    <w:rsid w:val="610A2B60"/>
    <w:rsid w:val="616B1315"/>
    <w:rsid w:val="62F153E7"/>
    <w:rsid w:val="630D1083"/>
    <w:rsid w:val="63AE67B1"/>
    <w:rsid w:val="63BC45E5"/>
    <w:rsid w:val="63F32367"/>
    <w:rsid w:val="648116AA"/>
    <w:rsid w:val="64C5396E"/>
    <w:rsid w:val="65077AE2"/>
    <w:rsid w:val="65E27B3D"/>
    <w:rsid w:val="668D5EA9"/>
    <w:rsid w:val="66D60385"/>
    <w:rsid w:val="67066277"/>
    <w:rsid w:val="67226E55"/>
    <w:rsid w:val="685172B7"/>
    <w:rsid w:val="68631D1B"/>
    <w:rsid w:val="68D3360E"/>
    <w:rsid w:val="696919AD"/>
    <w:rsid w:val="69953A76"/>
    <w:rsid w:val="6A2133F4"/>
    <w:rsid w:val="6A570BC4"/>
    <w:rsid w:val="6B581098"/>
    <w:rsid w:val="6BE50CC6"/>
    <w:rsid w:val="6C0B435C"/>
    <w:rsid w:val="6C262F44"/>
    <w:rsid w:val="6CA57458"/>
    <w:rsid w:val="6CBF3FC7"/>
    <w:rsid w:val="6CCE55B8"/>
    <w:rsid w:val="6DA06427"/>
    <w:rsid w:val="71031AA6"/>
    <w:rsid w:val="71233EF6"/>
    <w:rsid w:val="720A5D9A"/>
    <w:rsid w:val="72C61B6B"/>
    <w:rsid w:val="72FD2525"/>
    <w:rsid w:val="7303644A"/>
    <w:rsid w:val="732C5183"/>
    <w:rsid w:val="736C3FAB"/>
    <w:rsid w:val="739A7D73"/>
    <w:rsid w:val="74736F42"/>
    <w:rsid w:val="74BA691F"/>
    <w:rsid w:val="75355FA6"/>
    <w:rsid w:val="753D0260"/>
    <w:rsid w:val="755F77D9"/>
    <w:rsid w:val="76973901"/>
    <w:rsid w:val="7876453C"/>
    <w:rsid w:val="787D2DFF"/>
    <w:rsid w:val="78E84207"/>
    <w:rsid w:val="794B017F"/>
    <w:rsid w:val="79C57617"/>
    <w:rsid w:val="79E461EC"/>
    <w:rsid w:val="7A551D86"/>
    <w:rsid w:val="7B8F3078"/>
    <w:rsid w:val="7DAA15EC"/>
    <w:rsid w:val="7E0F411B"/>
    <w:rsid w:val="7E2D0162"/>
    <w:rsid w:val="7E494870"/>
    <w:rsid w:val="7E600A37"/>
    <w:rsid w:val="7E752216"/>
    <w:rsid w:val="7E906943"/>
    <w:rsid w:val="7EC17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outlineLvl w:val="0"/>
    </w:pPr>
    <w:rPr>
      <w:rFonts w:ascii="Times New Roman" w:hAnsi="Times New Roman" w:eastAsia="宋体" w:cs="Times New Roman"/>
      <w:b/>
      <w:szCs w:val="24"/>
    </w:rPr>
  </w:style>
  <w:style w:type="paragraph" w:styleId="3">
    <w:name w:val="heading 2"/>
    <w:basedOn w:val="1"/>
    <w:next w:val="1"/>
    <w:link w:val="61"/>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3"/>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rPr>
  </w:style>
  <w:style w:type="paragraph" w:styleId="6">
    <w:name w:val="heading 5"/>
    <w:basedOn w:val="1"/>
    <w:next w:val="1"/>
    <w:link w:val="64"/>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65"/>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66"/>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7"/>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68"/>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Times New Roman"/>
    </w:rPr>
  </w:style>
  <w:style w:type="paragraph" w:styleId="12">
    <w:name w:val="Normal Indent"/>
    <w:basedOn w:val="1"/>
    <w:link w:val="70"/>
    <w:qFormat/>
    <w:uiPriority w:val="0"/>
    <w:pPr>
      <w:ind w:firstLine="420"/>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1"/>
    <w:semiHidden/>
    <w:qFormat/>
    <w:uiPriority w:val="0"/>
    <w:pPr>
      <w:shd w:val="clear" w:color="auto" w:fill="000080"/>
    </w:pPr>
    <w:rPr>
      <w:rFonts w:ascii="Times New Roman" w:hAnsi="Times New Roman" w:eastAsia="宋体" w:cs="Times New Roman"/>
      <w:szCs w:val="24"/>
    </w:rPr>
  </w:style>
  <w:style w:type="paragraph" w:styleId="15">
    <w:name w:val="annotation text"/>
    <w:basedOn w:val="1"/>
    <w:link w:val="72"/>
    <w:semiHidden/>
    <w:qFormat/>
    <w:uiPriority w:val="0"/>
    <w:pPr>
      <w:jc w:val="left"/>
    </w:pPr>
    <w:rPr>
      <w:rFonts w:ascii="Times New Roman" w:hAnsi="Times New Roman" w:eastAsia="宋体" w:cs="Times New Roman"/>
      <w:szCs w:val="24"/>
    </w:rPr>
  </w:style>
  <w:style w:type="paragraph" w:styleId="16">
    <w:name w:val="Body Text 3"/>
    <w:basedOn w:val="1"/>
    <w:link w:val="73"/>
    <w:qFormat/>
    <w:uiPriority w:val="0"/>
    <w:pPr>
      <w:spacing w:after="120"/>
    </w:pPr>
    <w:rPr>
      <w:rFonts w:ascii="Times New Roman" w:hAnsi="Times New Roman" w:eastAsia="宋体" w:cs="Times New Roman"/>
      <w:sz w:val="16"/>
      <w:szCs w:val="16"/>
    </w:rPr>
  </w:style>
  <w:style w:type="paragraph" w:styleId="17">
    <w:name w:val="Body Text"/>
    <w:basedOn w:val="1"/>
    <w:next w:val="1"/>
    <w:link w:val="74"/>
    <w:qFormat/>
    <w:uiPriority w:val="0"/>
    <w:pPr>
      <w:spacing w:after="120"/>
    </w:pPr>
    <w:rPr>
      <w:rFonts w:ascii="Times New Roman" w:hAnsi="Times New Roman" w:eastAsia="宋体" w:cs="Times New Roman"/>
      <w:szCs w:val="24"/>
    </w:rPr>
  </w:style>
  <w:style w:type="paragraph" w:styleId="18">
    <w:name w:val="Body Text Indent"/>
    <w:basedOn w:val="1"/>
    <w:next w:val="1"/>
    <w:link w:val="75"/>
    <w:qFormat/>
    <w:uiPriority w:val="0"/>
    <w:pPr>
      <w:spacing w:line="200" w:lineRule="exact"/>
      <w:ind w:firstLine="301"/>
    </w:pPr>
    <w:rPr>
      <w:rFonts w:ascii="宋体" w:hAnsi="Courier New" w:eastAsia="宋体" w:cs="Times New Roman"/>
      <w:spacing w:val="-4"/>
      <w:sz w:val="18"/>
      <w:szCs w:val="20"/>
    </w:rPr>
  </w:style>
  <w:style w:type="paragraph" w:styleId="19">
    <w:name w:val="List 2"/>
    <w:basedOn w:val="1"/>
    <w:unhideWhenUsed/>
    <w:qFormat/>
    <w:uiPriority w:val="99"/>
    <w:pPr>
      <w:ind w:left="100" w:leftChars="200" w:hanging="200" w:hangingChars="200"/>
      <w:contextualSpacing/>
    </w:pPr>
  </w:style>
  <w:style w:type="paragraph" w:styleId="20">
    <w:name w:val="index 4"/>
    <w:basedOn w:val="1"/>
    <w:next w:val="1"/>
    <w:semiHidden/>
    <w:qFormat/>
    <w:uiPriority w:val="0"/>
    <w:pPr>
      <w:ind w:left="840" w:hanging="210"/>
      <w:jc w:val="left"/>
    </w:pPr>
    <w:rPr>
      <w:rFonts w:ascii="Times New Roman" w:hAnsi="Times New Roman" w:eastAsia="宋体" w:cs="Times New Roman"/>
      <w:szCs w:val="24"/>
    </w:rPr>
  </w:style>
  <w:style w:type="paragraph" w:styleId="21">
    <w:name w:val="toc 5"/>
    <w:basedOn w:val="1"/>
    <w:next w:val="1"/>
    <w:qFormat/>
    <w:uiPriority w:val="39"/>
    <w:pPr>
      <w:ind w:left="1680" w:leftChars="800"/>
    </w:pPr>
    <w:rPr>
      <w:rFonts w:ascii="Calibri" w:hAnsi="Calibri" w:eastAsia="宋体" w:cs="Times New Roman"/>
    </w:rPr>
  </w:style>
  <w:style w:type="paragraph" w:styleId="22">
    <w:name w:val="toc 3"/>
    <w:basedOn w:val="1"/>
    <w:next w:val="1"/>
    <w:qFormat/>
    <w:uiPriority w:val="39"/>
    <w:pPr>
      <w:ind w:left="840" w:leftChars="400"/>
    </w:pPr>
    <w:rPr>
      <w:rFonts w:ascii="Times New Roman" w:hAnsi="Times New Roman" w:eastAsia="宋体" w:cs="Times New Roman"/>
      <w:szCs w:val="24"/>
    </w:rPr>
  </w:style>
  <w:style w:type="paragraph" w:styleId="23">
    <w:name w:val="Plain Text"/>
    <w:basedOn w:val="1"/>
    <w:next w:val="5"/>
    <w:link w:val="76"/>
    <w:qFormat/>
    <w:uiPriority w:val="0"/>
    <w:rPr>
      <w:rFonts w:hint="eastAsia" w:ascii="宋体" w:hAnsi="Courier New" w:eastAsia="宋体" w:cs="Times New Roman"/>
      <w:szCs w:val="21"/>
    </w:rPr>
  </w:style>
  <w:style w:type="paragraph" w:styleId="24">
    <w:name w:val="toc 8"/>
    <w:basedOn w:val="1"/>
    <w:next w:val="1"/>
    <w:qFormat/>
    <w:uiPriority w:val="39"/>
    <w:pPr>
      <w:ind w:left="2940" w:leftChars="1400"/>
    </w:pPr>
    <w:rPr>
      <w:rFonts w:ascii="Calibri" w:hAnsi="Calibri" w:eastAsia="宋体" w:cs="Times New Roman"/>
    </w:rPr>
  </w:style>
  <w:style w:type="paragraph" w:styleId="25">
    <w:name w:val="Date"/>
    <w:basedOn w:val="1"/>
    <w:next w:val="1"/>
    <w:link w:val="77"/>
    <w:qFormat/>
    <w:uiPriority w:val="0"/>
    <w:pPr>
      <w:ind w:left="100" w:leftChars="2500"/>
    </w:pPr>
    <w:rPr>
      <w:rFonts w:ascii="Times New Roman" w:hAnsi="Times New Roman" w:eastAsia="宋体" w:cs="Times New Roman"/>
      <w:szCs w:val="24"/>
    </w:rPr>
  </w:style>
  <w:style w:type="paragraph" w:styleId="26">
    <w:name w:val="Body Text Indent 2"/>
    <w:basedOn w:val="1"/>
    <w:link w:val="78"/>
    <w:qFormat/>
    <w:uiPriority w:val="0"/>
    <w:pPr>
      <w:spacing w:line="420" w:lineRule="exact"/>
      <w:ind w:firstLine="409" w:firstLineChars="195"/>
    </w:pPr>
    <w:rPr>
      <w:rFonts w:ascii="Times New Roman" w:hAnsi="Times New Roman" w:eastAsia="宋体" w:cs="Times New Roman"/>
      <w:szCs w:val="24"/>
    </w:rPr>
  </w:style>
  <w:style w:type="paragraph" w:styleId="27">
    <w:name w:val="Balloon Text"/>
    <w:basedOn w:val="1"/>
    <w:link w:val="79"/>
    <w:semiHidden/>
    <w:qFormat/>
    <w:uiPriority w:val="0"/>
    <w:rPr>
      <w:rFonts w:ascii="Times New Roman" w:hAnsi="Times New Roman" w:eastAsia="宋体" w:cs="Times New Roman"/>
      <w:sz w:val="18"/>
      <w:szCs w:val="18"/>
    </w:rPr>
  </w:style>
  <w:style w:type="paragraph" w:styleId="28">
    <w:name w:val="footer"/>
    <w:basedOn w:val="1"/>
    <w:link w:val="59"/>
    <w:unhideWhenUsed/>
    <w:qFormat/>
    <w:uiPriority w:val="0"/>
    <w:pPr>
      <w:tabs>
        <w:tab w:val="center" w:pos="4153"/>
        <w:tab w:val="right" w:pos="8306"/>
      </w:tabs>
      <w:snapToGrid w:val="0"/>
      <w:jc w:val="left"/>
    </w:pPr>
    <w:rPr>
      <w:sz w:val="18"/>
      <w:szCs w:val="18"/>
    </w:rPr>
  </w:style>
  <w:style w:type="paragraph" w:styleId="29">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820"/>
      </w:tabs>
      <w:ind w:left="540"/>
      <w:jc w:val="left"/>
    </w:pPr>
    <w:rPr>
      <w:rFonts w:ascii="宋体" w:hAnsi="宋体" w:eastAsia="宋体" w:cs="Times New Roman"/>
      <w:b/>
      <w:bCs/>
      <w:caps/>
      <w:szCs w:val="21"/>
    </w:rPr>
  </w:style>
  <w:style w:type="paragraph" w:styleId="31">
    <w:name w:val="toc 4"/>
    <w:basedOn w:val="1"/>
    <w:next w:val="1"/>
    <w:qFormat/>
    <w:uiPriority w:val="39"/>
    <w:pPr>
      <w:ind w:left="1260" w:leftChars="600"/>
    </w:pPr>
    <w:rPr>
      <w:rFonts w:ascii="Calibri" w:hAnsi="Calibri" w:eastAsia="宋体" w:cs="Times New Roman"/>
    </w:rPr>
  </w:style>
  <w:style w:type="paragraph" w:styleId="32">
    <w:name w:val="index heading"/>
    <w:basedOn w:val="1"/>
    <w:next w:val="33"/>
    <w:qFormat/>
    <w:uiPriority w:val="0"/>
    <w:rPr>
      <w:rFonts w:ascii="Times New Roman" w:hAnsi="Times New Roman" w:eastAsia="宋体" w:cs="Times New Roman"/>
      <w:szCs w:val="21"/>
    </w:rPr>
  </w:style>
  <w:style w:type="paragraph" w:styleId="33">
    <w:name w:val="index 1"/>
    <w:basedOn w:val="1"/>
    <w:next w:val="1"/>
    <w:semiHidden/>
    <w:unhideWhenUsed/>
    <w:qFormat/>
    <w:uiPriority w:val="0"/>
  </w:style>
  <w:style w:type="paragraph" w:styleId="34">
    <w:name w:val="Subtitle"/>
    <w:basedOn w:val="1"/>
    <w:next w:val="1"/>
    <w:link w:val="80"/>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footnote text"/>
    <w:basedOn w:val="1"/>
    <w:link w:val="81"/>
    <w:qFormat/>
    <w:uiPriority w:val="0"/>
    <w:pPr>
      <w:adjustRightInd w:val="0"/>
      <w:spacing w:line="312" w:lineRule="atLeast"/>
      <w:jc w:val="left"/>
      <w:textAlignment w:val="baseline"/>
    </w:pPr>
    <w:rPr>
      <w:rFonts w:ascii="Times New Roman" w:hAnsi="Times New Roman" w:eastAsia="宋体" w:cs="Times New Roman"/>
      <w:kern w:val="0"/>
      <w:sz w:val="18"/>
      <w:szCs w:val="20"/>
    </w:rPr>
  </w:style>
  <w:style w:type="paragraph" w:styleId="36">
    <w:name w:val="toc 6"/>
    <w:basedOn w:val="1"/>
    <w:next w:val="1"/>
    <w:qFormat/>
    <w:uiPriority w:val="39"/>
    <w:pPr>
      <w:ind w:left="2100" w:leftChars="1000"/>
    </w:pPr>
    <w:rPr>
      <w:rFonts w:ascii="Calibri" w:hAnsi="Calibri" w:eastAsia="宋体" w:cs="Times New Roman"/>
    </w:rPr>
  </w:style>
  <w:style w:type="paragraph" w:styleId="37">
    <w:name w:val="Body Text Indent 3"/>
    <w:basedOn w:val="1"/>
    <w:link w:val="82"/>
    <w:qFormat/>
    <w:uiPriority w:val="0"/>
    <w:pPr>
      <w:spacing w:after="120"/>
      <w:ind w:left="420" w:leftChars="200"/>
    </w:pPr>
    <w:rPr>
      <w:rFonts w:ascii="Times New Roman" w:hAnsi="Times New Roman" w:eastAsia="宋体" w:cs="Times New Roman"/>
      <w:sz w:val="16"/>
      <w:szCs w:val="16"/>
    </w:rPr>
  </w:style>
  <w:style w:type="paragraph" w:styleId="38">
    <w:name w:val="toc 2"/>
    <w:basedOn w:val="1"/>
    <w:next w:val="1"/>
    <w:qFormat/>
    <w:uiPriority w:val="39"/>
    <w:pPr>
      <w:tabs>
        <w:tab w:val="right" w:leader="dot" w:pos="8280"/>
      </w:tabs>
      <w:spacing w:line="320" w:lineRule="exact"/>
      <w:ind w:left="1080"/>
      <w:jc w:val="left"/>
    </w:pPr>
    <w:rPr>
      <w:rFonts w:ascii="宋体" w:hAnsi="宋体" w:eastAsia="宋体" w:cs="Times New Roman"/>
      <w:smallCaps/>
      <w:szCs w:val="21"/>
    </w:rPr>
  </w:style>
  <w:style w:type="paragraph" w:styleId="39">
    <w:name w:val="toc 9"/>
    <w:basedOn w:val="1"/>
    <w:next w:val="1"/>
    <w:qFormat/>
    <w:uiPriority w:val="39"/>
    <w:pPr>
      <w:ind w:left="3360" w:leftChars="1600"/>
    </w:pPr>
    <w:rPr>
      <w:rFonts w:ascii="Calibri" w:hAnsi="Calibri" w:eastAsia="宋体" w:cs="Times New Roman"/>
    </w:rPr>
  </w:style>
  <w:style w:type="paragraph" w:styleId="40">
    <w:name w:val="Body Text 2"/>
    <w:basedOn w:val="1"/>
    <w:link w:val="83"/>
    <w:qFormat/>
    <w:uiPriority w:val="0"/>
    <w:pPr>
      <w:spacing w:after="120" w:line="480" w:lineRule="auto"/>
    </w:pPr>
    <w:rPr>
      <w:rFonts w:ascii="Times New Roman" w:hAnsi="Times New Roman" w:eastAsia="宋体" w:cs="Times New Roman"/>
      <w:szCs w:val="24"/>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85"/>
    <w:qFormat/>
    <w:uiPriority w:val="0"/>
    <w:pPr>
      <w:spacing w:before="240" w:after="60"/>
      <w:jc w:val="center"/>
      <w:outlineLvl w:val="0"/>
    </w:pPr>
    <w:rPr>
      <w:rFonts w:ascii="Cambria" w:hAnsi="Cambria" w:eastAsia="Times New Roman" w:cs="Times New Roman"/>
      <w:b/>
      <w:bCs/>
      <w:sz w:val="32"/>
      <w:szCs w:val="32"/>
    </w:rPr>
  </w:style>
  <w:style w:type="paragraph" w:styleId="44">
    <w:name w:val="annotation subject"/>
    <w:basedOn w:val="15"/>
    <w:next w:val="15"/>
    <w:link w:val="86"/>
    <w:semiHidden/>
    <w:qFormat/>
    <w:uiPriority w:val="0"/>
    <w:rPr>
      <w:b/>
      <w:bCs/>
    </w:rPr>
  </w:style>
  <w:style w:type="paragraph" w:styleId="45">
    <w:name w:val="Body Text First Indent"/>
    <w:basedOn w:val="17"/>
    <w:link w:val="87"/>
    <w:qFormat/>
    <w:uiPriority w:val="0"/>
    <w:pPr>
      <w:ind w:firstLine="420" w:firstLineChars="100"/>
    </w:pPr>
  </w:style>
  <w:style w:type="paragraph" w:styleId="46">
    <w:name w:val="Body Text First Indent 2"/>
    <w:basedOn w:val="18"/>
    <w:link w:val="88"/>
    <w:unhideWhenUsed/>
    <w:qFormat/>
    <w:uiPriority w:val="0"/>
    <w:pPr>
      <w:spacing w:after="120"/>
      <w:ind w:left="420" w:leftChars="200" w:firstLine="420"/>
    </w:pPr>
    <w:rPr>
      <w:rFonts w:hint="eastAsia"/>
      <w:sz w:val="21"/>
      <w:szCs w:val="21"/>
    </w:rPr>
  </w:style>
  <w:style w:type="table" w:styleId="48">
    <w:name w:val="Table Grid"/>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rPr>
      <w:rFonts w:ascii="Tahoma" w:hAnsi="Tahoma"/>
      <w:sz w:val="24"/>
      <w:szCs w:val="20"/>
    </w:rPr>
  </w:style>
  <w:style w:type="character" w:styleId="52">
    <w:name w:val="FollowedHyperlink"/>
    <w:qFormat/>
    <w:uiPriority w:val="0"/>
    <w:rPr>
      <w:color w:val="575656"/>
      <w:u w:val="none"/>
    </w:rPr>
  </w:style>
  <w:style w:type="character" w:styleId="53">
    <w:name w:val="Emphasis"/>
    <w:qFormat/>
    <w:uiPriority w:val="0"/>
    <w:rPr>
      <w:i/>
      <w:iCs/>
    </w:rPr>
  </w:style>
  <w:style w:type="character" w:styleId="54">
    <w:name w:val="Hyperlink"/>
    <w:qFormat/>
    <w:uiPriority w:val="99"/>
    <w:rPr>
      <w:color w:val="575656"/>
      <w:u w:val="none"/>
    </w:rPr>
  </w:style>
  <w:style w:type="character" w:styleId="55">
    <w:name w:val="annotation reference"/>
    <w:semiHidden/>
    <w:qFormat/>
    <w:uiPriority w:val="0"/>
    <w:rPr>
      <w:sz w:val="21"/>
      <w:szCs w:val="21"/>
    </w:rPr>
  </w:style>
  <w:style w:type="character" w:styleId="56">
    <w:name w:val="HTML Sample"/>
    <w:basedOn w:val="49"/>
    <w:semiHidden/>
    <w:unhideWhenUsed/>
    <w:qFormat/>
    <w:uiPriority w:val="99"/>
    <w:rPr>
      <w:rFonts w:ascii="Courier New" w:hAnsi="Courier New"/>
    </w:rPr>
  </w:style>
  <w:style w:type="paragraph" w:customStyle="1" w:styleId="5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58">
    <w:name w:val="页眉 Char"/>
    <w:basedOn w:val="49"/>
    <w:link w:val="29"/>
    <w:qFormat/>
    <w:uiPriority w:val="0"/>
    <w:rPr>
      <w:sz w:val="18"/>
      <w:szCs w:val="18"/>
    </w:rPr>
  </w:style>
  <w:style w:type="character" w:customStyle="1" w:styleId="59">
    <w:name w:val="页脚 Char"/>
    <w:basedOn w:val="49"/>
    <w:link w:val="28"/>
    <w:qFormat/>
    <w:uiPriority w:val="0"/>
    <w:rPr>
      <w:sz w:val="18"/>
      <w:szCs w:val="18"/>
    </w:rPr>
  </w:style>
  <w:style w:type="character" w:customStyle="1" w:styleId="60">
    <w:name w:val="标题 1 Char"/>
    <w:basedOn w:val="49"/>
    <w:link w:val="2"/>
    <w:qFormat/>
    <w:uiPriority w:val="0"/>
    <w:rPr>
      <w:rFonts w:ascii="Times New Roman" w:hAnsi="Times New Roman" w:eastAsia="宋体" w:cs="Times New Roman"/>
      <w:b/>
      <w:szCs w:val="24"/>
    </w:rPr>
  </w:style>
  <w:style w:type="character" w:customStyle="1" w:styleId="61">
    <w:name w:val="标题 2 Char"/>
    <w:basedOn w:val="49"/>
    <w:link w:val="3"/>
    <w:qFormat/>
    <w:uiPriority w:val="9"/>
    <w:rPr>
      <w:rFonts w:ascii="Arial" w:hAnsi="Arial" w:eastAsia="黑体" w:cs="Times New Roman"/>
      <w:b/>
      <w:bCs/>
      <w:sz w:val="32"/>
      <w:szCs w:val="32"/>
    </w:rPr>
  </w:style>
  <w:style w:type="character" w:customStyle="1" w:styleId="62">
    <w:name w:val="标题 3 Char"/>
    <w:basedOn w:val="49"/>
    <w:link w:val="4"/>
    <w:qFormat/>
    <w:uiPriority w:val="0"/>
    <w:rPr>
      <w:rFonts w:ascii="Times New Roman" w:hAnsi="Times New Roman" w:eastAsia="宋体" w:cs="Times New Roman"/>
      <w:b/>
      <w:bCs/>
      <w:sz w:val="32"/>
      <w:szCs w:val="32"/>
    </w:rPr>
  </w:style>
  <w:style w:type="character" w:customStyle="1" w:styleId="63">
    <w:name w:val="标题 4 Char"/>
    <w:basedOn w:val="49"/>
    <w:link w:val="5"/>
    <w:qFormat/>
    <w:uiPriority w:val="0"/>
    <w:rPr>
      <w:rFonts w:ascii="Arial" w:hAnsi="Arial" w:eastAsia="黑体" w:cs="Times New Roman"/>
      <w:b/>
      <w:bCs/>
      <w:sz w:val="28"/>
      <w:szCs w:val="28"/>
    </w:rPr>
  </w:style>
  <w:style w:type="character" w:customStyle="1" w:styleId="64">
    <w:name w:val="标题 5 Char"/>
    <w:basedOn w:val="49"/>
    <w:link w:val="6"/>
    <w:qFormat/>
    <w:uiPriority w:val="0"/>
    <w:rPr>
      <w:rFonts w:ascii="Times New Roman" w:hAnsi="Times New Roman" w:eastAsia="宋体" w:cs="Times New Roman"/>
      <w:b/>
      <w:bCs/>
      <w:sz w:val="28"/>
      <w:szCs w:val="28"/>
    </w:rPr>
  </w:style>
  <w:style w:type="character" w:customStyle="1" w:styleId="65">
    <w:name w:val="标题 6 Char"/>
    <w:basedOn w:val="49"/>
    <w:link w:val="7"/>
    <w:qFormat/>
    <w:uiPriority w:val="0"/>
    <w:rPr>
      <w:rFonts w:ascii="Arial" w:hAnsi="Arial" w:eastAsia="黑体" w:cs="Times New Roman"/>
      <w:b/>
      <w:bCs/>
      <w:sz w:val="24"/>
      <w:szCs w:val="24"/>
    </w:rPr>
  </w:style>
  <w:style w:type="character" w:customStyle="1" w:styleId="66">
    <w:name w:val="标题 7 Char"/>
    <w:basedOn w:val="49"/>
    <w:link w:val="8"/>
    <w:qFormat/>
    <w:uiPriority w:val="0"/>
    <w:rPr>
      <w:rFonts w:ascii="Times New Roman" w:hAnsi="Times New Roman" w:eastAsia="宋体" w:cs="Times New Roman"/>
      <w:b/>
      <w:bCs/>
      <w:sz w:val="24"/>
      <w:szCs w:val="24"/>
    </w:rPr>
  </w:style>
  <w:style w:type="character" w:customStyle="1" w:styleId="67">
    <w:name w:val="标题 8 Char"/>
    <w:basedOn w:val="49"/>
    <w:link w:val="9"/>
    <w:qFormat/>
    <w:uiPriority w:val="0"/>
    <w:rPr>
      <w:rFonts w:ascii="Arial" w:hAnsi="Arial" w:eastAsia="黑体" w:cs="Times New Roman"/>
      <w:sz w:val="24"/>
      <w:szCs w:val="24"/>
    </w:rPr>
  </w:style>
  <w:style w:type="character" w:customStyle="1" w:styleId="68">
    <w:name w:val="标题 9 Char"/>
    <w:basedOn w:val="49"/>
    <w:link w:val="10"/>
    <w:qFormat/>
    <w:uiPriority w:val="0"/>
    <w:rPr>
      <w:rFonts w:ascii="Arial" w:hAnsi="Arial" w:eastAsia="黑体" w:cs="Times New Roman"/>
      <w:szCs w:val="21"/>
    </w:rPr>
  </w:style>
  <w:style w:type="paragraph" w:customStyle="1" w:styleId="69">
    <w:name w:val="表格文字"/>
    <w:basedOn w:val="18"/>
    <w:qFormat/>
    <w:uiPriority w:val="0"/>
    <w:pPr>
      <w:jc w:val="left"/>
    </w:pPr>
    <w:rPr>
      <w:rFonts w:ascii="Times New Roman" w:hAnsi="Times New Roman" w:eastAsia="宋体" w:cs="Times New Roman"/>
      <w:bCs/>
      <w:spacing w:val="10"/>
      <w:sz w:val="24"/>
      <w:szCs w:val="24"/>
    </w:rPr>
  </w:style>
  <w:style w:type="character" w:customStyle="1" w:styleId="70">
    <w:name w:val="正文缩进 Char"/>
    <w:link w:val="12"/>
    <w:qFormat/>
    <w:uiPriority w:val="0"/>
    <w:rPr>
      <w:rFonts w:ascii="Times New Roman" w:hAnsi="Times New Roman" w:eastAsia="宋体" w:cs="Times New Roman"/>
      <w:szCs w:val="20"/>
    </w:rPr>
  </w:style>
  <w:style w:type="character" w:customStyle="1" w:styleId="71">
    <w:name w:val="文档结构图 Char"/>
    <w:basedOn w:val="49"/>
    <w:link w:val="14"/>
    <w:qFormat/>
    <w:uiPriority w:val="0"/>
    <w:rPr>
      <w:rFonts w:ascii="Times New Roman" w:hAnsi="Times New Roman" w:eastAsia="宋体" w:cs="Times New Roman"/>
      <w:szCs w:val="24"/>
      <w:shd w:val="clear" w:color="auto" w:fill="000080"/>
    </w:rPr>
  </w:style>
  <w:style w:type="character" w:customStyle="1" w:styleId="72">
    <w:name w:val="批注文字 Char"/>
    <w:basedOn w:val="49"/>
    <w:link w:val="15"/>
    <w:qFormat/>
    <w:uiPriority w:val="0"/>
    <w:rPr>
      <w:rFonts w:ascii="Times New Roman" w:hAnsi="Times New Roman" w:eastAsia="宋体" w:cs="Times New Roman"/>
      <w:szCs w:val="24"/>
    </w:rPr>
  </w:style>
  <w:style w:type="character" w:customStyle="1" w:styleId="73">
    <w:name w:val="正文文本 3 Char"/>
    <w:basedOn w:val="49"/>
    <w:link w:val="16"/>
    <w:qFormat/>
    <w:uiPriority w:val="0"/>
    <w:rPr>
      <w:rFonts w:ascii="Times New Roman" w:hAnsi="Times New Roman" w:eastAsia="宋体" w:cs="Times New Roman"/>
      <w:sz w:val="16"/>
      <w:szCs w:val="16"/>
    </w:rPr>
  </w:style>
  <w:style w:type="character" w:customStyle="1" w:styleId="74">
    <w:name w:val="正文文本 Char"/>
    <w:basedOn w:val="49"/>
    <w:link w:val="17"/>
    <w:qFormat/>
    <w:uiPriority w:val="0"/>
    <w:rPr>
      <w:rFonts w:ascii="Times New Roman" w:hAnsi="Times New Roman" w:eastAsia="宋体" w:cs="Times New Roman"/>
      <w:szCs w:val="24"/>
    </w:rPr>
  </w:style>
  <w:style w:type="character" w:customStyle="1" w:styleId="75">
    <w:name w:val="正文文本缩进 Char"/>
    <w:basedOn w:val="49"/>
    <w:link w:val="18"/>
    <w:qFormat/>
    <w:uiPriority w:val="0"/>
    <w:rPr>
      <w:rFonts w:ascii="宋体" w:hAnsi="Courier New" w:eastAsia="宋体" w:cs="Times New Roman"/>
      <w:spacing w:val="-4"/>
      <w:sz w:val="18"/>
      <w:szCs w:val="20"/>
    </w:rPr>
  </w:style>
  <w:style w:type="character" w:customStyle="1" w:styleId="76">
    <w:name w:val="纯文本 Char"/>
    <w:basedOn w:val="49"/>
    <w:link w:val="23"/>
    <w:qFormat/>
    <w:uiPriority w:val="0"/>
    <w:rPr>
      <w:rFonts w:ascii="宋体" w:hAnsi="Courier New" w:eastAsia="宋体" w:cs="Times New Roman"/>
      <w:szCs w:val="21"/>
    </w:rPr>
  </w:style>
  <w:style w:type="character" w:customStyle="1" w:styleId="77">
    <w:name w:val="日期 Char"/>
    <w:basedOn w:val="49"/>
    <w:link w:val="25"/>
    <w:qFormat/>
    <w:uiPriority w:val="0"/>
    <w:rPr>
      <w:rFonts w:ascii="Times New Roman" w:hAnsi="Times New Roman" w:eastAsia="宋体" w:cs="Times New Roman"/>
      <w:szCs w:val="24"/>
    </w:rPr>
  </w:style>
  <w:style w:type="character" w:customStyle="1" w:styleId="78">
    <w:name w:val="正文文本缩进 2 Char"/>
    <w:basedOn w:val="49"/>
    <w:link w:val="26"/>
    <w:qFormat/>
    <w:uiPriority w:val="0"/>
    <w:rPr>
      <w:rFonts w:ascii="Times New Roman" w:hAnsi="Times New Roman" w:eastAsia="宋体" w:cs="Times New Roman"/>
      <w:szCs w:val="24"/>
    </w:rPr>
  </w:style>
  <w:style w:type="character" w:customStyle="1" w:styleId="79">
    <w:name w:val="批注框文本 Char"/>
    <w:basedOn w:val="49"/>
    <w:link w:val="27"/>
    <w:qFormat/>
    <w:uiPriority w:val="0"/>
    <w:rPr>
      <w:rFonts w:ascii="Times New Roman" w:hAnsi="Times New Roman" w:eastAsia="宋体" w:cs="Times New Roman"/>
      <w:sz w:val="18"/>
      <w:szCs w:val="18"/>
    </w:rPr>
  </w:style>
  <w:style w:type="character" w:customStyle="1" w:styleId="80">
    <w:name w:val="副标题 Char"/>
    <w:basedOn w:val="49"/>
    <w:link w:val="34"/>
    <w:qFormat/>
    <w:uiPriority w:val="0"/>
    <w:rPr>
      <w:rFonts w:ascii="Cambria" w:hAnsi="Cambria" w:eastAsia="宋体" w:cs="Times New Roman"/>
      <w:b/>
      <w:bCs/>
      <w:kern w:val="28"/>
      <w:sz w:val="32"/>
      <w:szCs w:val="32"/>
    </w:rPr>
  </w:style>
  <w:style w:type="character" w:customStyle="1" w:styleId="81">
    <w:name w:val="脚注文本 Char"/>
    <w:basedOn w:val="49"/>
    <w:link w:val="35"/>
    <w:qFormat/>
    <w:uiPriority w:val="0"/>
    <w:rPr>
      <w:rFonts w:ascii="Times New Roman" w:hAnsi="Times New Roman" w:eastAsia="宋体" w:cs="Times New Roman"/>
      <w:kern w:val="0"/>
      <w:sz w:val="18"/>
      <w:szCs w:val="20"/>
    </w:rPr>
  </w:style>
  <w:style w:type="character" w:customStyle="1" w:styleId="82">
    <w:name w:val="正文文本缩进 3 Char"/>
    <w:basedOn w:val="49"/>
    <w:link w:val="37"/>
    <w:qFormat/>
    <w:uiPriority w:val="0"/>
    <w:rPr>
      <w:rFonts w:ascii="Times New Roman" w:hAnsi="Times New Roman" w:eastAsia="宋体" w:cs="Times New Roman"/>
      <w:sz w:val="16"/>
      <w:szCs w:val="16"/>
    </w:rPr>
  </w:style>
  <w:style w:type="character" w:customStyle="1" w:styleId="83">
    <w:name w:val="正文文本 2 Char"/>
    <w:basedOn w:val="49"/>
    <w:link w:val="40"/>
    <w:qFormat/>
    <w:uiPriority w:val="0"/>
    <w:rPr>
      <w:rFonts w:ascii="Times New Roman" w:hAnsi="Times New Roman" w:eastAsia="宋体" w:cs="Times New Roman"/>
      <w:szCs w:val="24"/>
    </w:rPr>
  </w:style>
  <w:style w:type="character" w:customStyle="1" w:styleId="84">
    <w:name w:val="HTML 预设格式 Char"/>
    <w:basedOn w:val="49"/>
    <w:link w:val="41"/>
    <w:qFormat/>
    <w:uiPriority w:val="0"/>
    <w:rPr>
      <w:rFonts w:ascii="黑体" w:hAnsi="Courier New" w:eastAsia="黑体" w:cs="Courier New"/>
      <w:kern w:val="0"/>
      <w:sz w:val="20"/>
      <w:szCs w:val="20"/>
    </w:rPr>
  </w:style>
  <w:style w:type="character" w:customStyle="1" w:styleId="85">
    <w:name w:val="标题 Char"/>
    <w:basedOn w:val="49"/>
    <w:link w:val="43"/>
    <w:qFormat/>
    <w:uiPriority w:val="0"/>
    <w:rPr>
      <w:rFonts w:ascii="Cambria" w:hAnsi="Cambria" w:eastAsia="Times New Roman" w:cs="Times New Roman"/>
      <w:b/>
      <w:bCs/>
      <w:sz w:val="32"/>
      <w:szCs w:val="32"/>
      <w:lang w:val="en-US" w:eastAsia="zh-CN"/>
    </w:rPr>
  </w:style>
  <w:style w:type="character" w:customStyle="1" w:styleId="86">
    <w:name w:val="批注主题 Char"/>
    <w:basedOn w:val="72"/>
    <w:link w:val="44"/>
    <w:qFormat/>
    <w:uiPriority w:val="0"/>
    <w:rPr>
      <w:b/>
      <w:bCs/>
    </w:rPr>
  </w:style>
  <w:style w:type="character" w:customStyle="1" w:styleId="87">
    <w:name w:val="正文首行缩进 Char"/>
    <w:basedOn w:val="74"/>
    <w:link w:val="45"/>
    <w:qFormat/>
    <w:uiPriority w:val="0"/>
  </w:style>
  <w:style w:type="character" w:customStyle="1" w:styleId="88">
    <w:name w:val="正文首行缩进 2 Char"/>
    <w:basedOn w:val="75"/>
    <w:link w:val="46"/>
    <w:qFormat/>
    <w:uiPriority w:val="0"/>
    <w:rPr>
      <w:szCs w:val="21"/>
    </w:rPr>
  </w:style>
  <w:style w:type="character" w:customStyle="1" w:styleId="89">
    <w:name w:val="普通文字 Char Char3"/>
    <w:qFormat/>
    <w:uiPriority w:val="0"/>
    <w:rPr>
      <w:rFonts w:ascii="宋体" w:hAnsi="Courier New" w:eastAsia="宋体"/>
      <w:kern w:val="2"/>
      <w:sz w:val="21"/>
      <w:szCs w:val="21"/>
      <w:lang w:bidi="ar-SA"/>
    </w:rPr>
  </w:style>
  <w:style w:type="character" w:customStyle="1" w:styleId="90">
    <w:name w:val="Char Char3"/>
    <w:qFormat/>
    <w:uiPriority w:val="0"/>
    <w:rPr>
      <w:rFonts w:ascii="Calibri" w:hAnsi="Calibri" w:eastAsia="宋体"/>
      <w:lang w:bidi="ar-SA"/>
    </w:rPr>
  </w:style>
  <w:style w:type="character" w:customStyle="1" w:styleId="91">
    <w:name w:val="标题4 Char Char"/>
    <w:link w:val="92"/>
    <w:qFormat/>
    <w:uiPriority w:val="0"/>
    <w:rPr>
      <w:rFonts w:ascii="Arial" w:hAnsi="Arial"/>
      <w:b/>
      <w:bCs/>
      <w:sz w:val="24"/>
      <w:szCs w:val="32"/>
    </w:rPr>
  </w:style>
  <w:style w:type="paragraph" w:customStyle="1" w:styleId="92">
    <w:name w:val="标题4"/>
    <w:basedOn w:val="3"/>
    <w:next w:val="20"/>
    <w:link w:val="91"/>
    <w:qFormat/>
    <w:uiPriority w:val="0"/>
    <w:pPr>
      <w:spacing w:before="60" w:after="60" w:line="413" w:lineRule="auto"/>
    </w:pPr>
    <w:rPr>
      <w:rFonts w:eastAsiaTheme="minorEastAsia" w:cstheme="minorBidi"/>
      <w:sz w:val="24"/>
    </w:rPr>
  </w:style>
  <w:style w:type="character" w:customStyle="1" w:styleId="93">
    <w:name w:val="105v1"/>
    <w:qFormat/>
    <w:uiPriority w:val="0"/>
    <w:rPr>
      <w:rFonts w:hint="default" w:ascii="ˎ̥" w:hAnsi="ˎ̥"/>
      <w:sz w:val="21"/>
      <w:szCs w:val="21"/>
    </w:rPr>
  </w:style>
  <w:style w:type="character" w:customStyle="1" w:styleId="94">
    <w:name w:val="Title Char"/>
    <w:qFormat/>
    <w:uiPriority w:val="0"/>
    <w:rPr>
      <w:rFonts w:ascii="Cambria" w:hAnsi="Cambria"/>
      <w:b/>
      <w:sz w:val="32"/>
      <w:lang w:bidi="ar-SA"/>
    </w:rPr>
  </w:style>
  <w:style w:type="character" w:customStyle="1" w:styleId="95">
    <w:name w:val="书籍标题1"/>
    <w:qFormat/>
    <w:uiPriority w:val="0"/>
    <w:rPr>
      <w:b/>
      <w:bCs/>
      <w:smallCaps/>
      <w:spacing w:val="5"/>
    </w:rPr>
  </w:style>
  <w:style w:type="character" w:customStyle="1" w:styleId="96">
    <w:name w:val="apple-converted-space"/>
    <w:basedOn w:val="49"/>
    <w:qFormat/>
    <w:uiPriority w:val="0"/>
    <w:rPr>
      <w:rFonts w:ascii="Tahoma" w:hAnsi="Tahoma"/>
      <w:sz w:val="24"/>
      <w:szCs w:val="20"/>
    </w:rPr>
  </w:style>
  <w:style w:type="character" w:customStyle="1" w:styleId="97">
    <w:name w:val="Char Char21"/>
    <w:qFormat/>
    <w:uiPriority w:val="0"/>
    <w:rPr>
      <w:rFonts w:eastAsia="宋体"/>
      <w:kern w:val="2"/>
      <w:sz w:val="21"/>
      <w:lang w:val="en-US" w:eastAsia="zh-CN" w:bidi="ar-SA"/>
    </w:rPr>
  </w:style>
  <w:style w:type="character" w:customStyle="1" w:styleId="98">
    <w:name w:val="Char Char"/>
    <w:qFormat/>
    <w:uiPriority w:val="0"/>
    <w:rPr>
      <w:rFonts w:eastAsia="宋体"/>
      <w:kern w:val="2"/>
      <w:sz w:val="21"/>
      <w:szCs w:val="24"/>
      <w:lang w:val="en-US" w:eastAsia="zh-CN" w:bidi="ar-SA"/>
    </w:rPr>
  </w:style>
  <w:style w:type="character" w:customStyle="1" w:styleId="99">
    <w:name w:val="NormalCharacter"/>
    <w:semiHidden/>
    <w:qFormat/>
    <w:uiPriority w:val="0"/>
    <w:rPr>
      <w:kern w:val="2"/>
      <w:sz w:val="21"/>
      <w:szCs w:val="21"/>
      <w:lang w:val="en-US" w:eastAsia="zh-CN" w:bidi="ar-SA"/>
    </w:rPr>
  </w:style>
  <w:style w:type="character" w:customStyle="1" w:styleId="100">
    <w:name w:val="Plain Text Char"/>
    <w:qFormat/>
    <w:uiPriority w:val="0"/>
    <w:rPr>
      <w:rFonts w:ascii="宋体" w:hAnsi="Courier New" w:eastAsia="宋体"/>
      <w:sz w:val="24"/>
      <w:lang w:bidi="ar-SA"/>
    </w:rPr>
  </w:style>
  <w:style w:type="character" w:customStyle="1" w:styleId="101">
    <w:name w:val="Char Char14"/>
    <w:qFormat/>
    <w:uiPriority w:val="0"/>
    <w:rPr>
      <w:rFonts w:ascii="Arial" w:hAnsi="Arial" w:eastAsia="宋体"/>
      <w:b/>
      <w:bCs/>
      <w:kern w:val="2"/>
      <w:sz w:val="21"/>
      <w:szCs w:val="28"/>
      <w:lang w:val="en-US" w:eastAsia="zh-CN" w:bidi="ar-SA"/>
    </w:rPr>
  </w:style>
  <w:style w:type="character" w:customStyle="1" w:styleId="102">
    <w:name w:val="Balloon Text Char"/>
    <w:qFormat/>
    <w:uiPriority w:val="0"/>
    <w:rPr>
      <w:sz w:val="18"/>
      <w:lang w:bidi="ar-SA"/>
    </w:rPr>
  </w:style>
  <w:style w:type="character" w:customStyle="1" w:styleId="103">
    <w:name w:val="标题 Char1"/>
    <w:qFormat/>
    <w:uiPriority w:val="0"/>
    <w:rPr>
      <w:rFonts w:ascii="Cambria" w:hAnsi="Cambria" w:eastAsia="宋体" w:cs="Times New Roman"/>
      <w:b/>
      <w:bCs/>
      <w:sz w:val="32"/>
      <w:szCs w:val="32"/>
    </w:rPr>
  </w:style>
  <w:style w:type="character" w:customStyle="1" w:styleId="104">
    <w:name w:val="Heading 3 Char"/>
    <w:qFormat/>
    <w:uiPriority w:val="0"/>
    <w:rPr>
      <w:rFonts w:cs="Times New Roman"/>
      <w:b/>
      <w:bCs/>
      <w:kern w:val="2"/>
      <w:sz w:val="32"/>
      <w:szCs w:val="32"/>
    </w:rPr>
  </w:style>
  <w:style w:type="character" w:customStyle="1" w:styleId="105">
    <w:name w:val="textcontents"/>
    <w:qFormat/>
    <w:uiPriority w:val="0"/>
    <w:rPr>
      <w:rFonts w:cs="Times New Roman"/>
    </w:rPr>
  </w:style>
  <w:style w:type="character" w:customStyle="1" w:styleId="106">
    <w:name w:val="正文文本 Char1"/>
    <w:qFormat/>
    <w:uiPriority w:val="0"/>
    <w:rPr>
      <w:kern w:val="2"/>
      <w:sz w:val="21"/>
      <w:szCs w:val="24"/>
    </w:rPr>
  </w:style>
  <w:style w:type="character" w:customStyle="1" w:styleId="107">
    <w:name w:val="批注文字 Char Char"/>
    <w:qFormat/>
    <w:uiPriority w:val="0"/>
    <w:rPr>
      <w:rFonts w:ascii="宋体" w:hAnsi="Times New Roman" w:eastAsia="宋体" w:cs="Times New Roman"/>
      <w:sz w:val="28"/>
      <w:szCs w:val="20"/>
    </w:rPr>
  </w:style>
  <w:style w:type="character" w:customStyle="1" w:styleId="108">
    <w:name w:val="Char Char22"/>
    <w:qFormat/>
    <w:uiPriority w:val="0"/>
    <w:rPr>
      <w:rFonts w:ascii="Times New Roman" w:hAnsi="Times New Roman" w:eastAsia="宋体" w:cs="Times New Roman"/>
      <w:b/>
      <w:bCs/>
      <w:kern w:val="44"/>
      <w:sz w:val="32"/>
      <w:szCs w:val="44"/>
    </w:rPr>
  </w:style>
  <w:style w:type="character" w:customStyle="1" w:styleId="109">
    <w:name w:val="引用 Char1"/>
    <w:qFormat/>
    <w:uiPriority w:val="0"/>
    <w:rPr>
      <w:rFonts w:ascii="Times New Roman" w:hAnsi="Times New Roman" w:eastAsia="宋体" w:cs="Times New Roman"/>
      <w:i/>
      <w:iCs/>
      <w:color w:val="000000"/>
      <w:szCs w:val="24"/>
    </w:rPr>
  </w:style>
  <w:style w:type="character" w:customStyle="1" w:styleId="110">
    <w:name w:val="Char Char10"/>
    <w:qFormat/>
    <w:uiPriority w:val="0"/>
    <w:rPr>
      <w:rFonts w:eastAsia="宋体"/>
      <w:b/>
      <w:bCs/>
      <w:kern w:val="2"/>
      <w:sz w:val="32"/>
      <w:szCs w:val="32"/>
      <w:lang w:bidi="ar-SA"/>
    </w:rPr>
  </w:style>
  <w:style w:type="character" w:customStyle="1" w:styleId="111">
    <w:name w:val="Char Char4"/>
    <w:qFormat/>
    <w:uiPriority w:val="0"/>
    <w:rPr>
      <w:rFonts w:ascii="Calibri" w:hAnsi="Calibri" w:eastAsia="宋体"/>
      <w:sz w:val="18"/>
      <w:szCs w:val="18"/>
      <w:lang w:bidi="ar-SA"/>
    </w:rPr>
  </w:style>
  <w:style w:type="character" w:customStyle="1" w:styleId="112">
    <w:name w:val="Char Char2"/>
    <w:qFormat/>
    <w:uiPriority w:val="0"/>
    <w:rPr>
      <w:rFonts w:ascii="宋体" w:hAnsi="Courier New" w:eastAsia="宋体"/>
      <w:kern w:val="2"/>
      <w:sz w:val="21"/>
      <w:lang w:val="en-US" w:eastAsia="zh-CN" w:bidi="ar-SA"/>
    </w:rPr>
  </w:style>
  <w:style w:type="character" w:customStyle="1" w:styleId="113">
    <w:name w:val="Header Char"/>
    <w:qFormat/>
    <w:uiPriority w:val="0"/>
    <w:rPr>
      <w:rFonts w:eastAsia="宋体"/>
      <w:kern w:val="2"/>
      <w:sz w:val="18"/>
      <w:szCs w:val="18"/>
      <w:lang w:val="en-US" w:eastAsia="zh-CN" w:bidi="ar-SA"/>
    </w:rPr>
  </w:style>
  <w:style w:type="character" w:customStyle="1" w:styleId="114">
    <w:name w:val="Comment Text Char"/>
    <w:qFormat/>
    <w:uiPriority w:val="0"/>
    <w:rPr>
      <w:rFonts w:cs="Times New Roman"/>
      <w:sz w:val="24"/>
      <w:szCs w:val="24"/>
    </w:rPr>
  </w:style>
  <w:style w:type="character" w:customStyle="1" w:styleId="115">
    <w:name w:val="Heading 1 Char"/>
    <w:qFormat/>
    <w:uiPriority w:val="0"/>
    <w:rPr>
      <w:rFonts w:eastAsia="宋体"/>
      <w:b/>
      <w:bCs/>
      <w:kern w:val="44"/>
      <w:sz w:val="32"/>
      <w:szCs w:val="44"/>
      <w:lang w:val="en-US" w:eastAsia="zh-CN" w:bidi="ar-SA"/>
    </w:rPr>
  </w:style>
  <w:style w:type="character" w:customStyle="1" w:styleId="116">
    <w:name w:val="Char Char15"/>
    <w:qFormat/>
    <w:uiPriority w:val="0"/>
    <w:rPr>
      <w:rFonts w:ascii="宋体" w:hAnsi="宋体" w:eastAsia="宋体"/>
      <w:b/>
      <w:bCs/>
      <w:sz w:val="24"/>
      <w:szCs w:val="32"/>
      <w:lang w:val="en-US" w:eastAsia="zh-CN" w:bidi="ar-SA"/>
    </w:rPr>
  </w:style>
  <w:style w:type="character" w:customStyle="1" w:styleId="117">
    <w:name w:val="Char Char16"/>
    <w:qFormat/>
    <w:uiPriority w:val="0"/>
    <w:rPr>
      <w:rFonts w:ascii="Arial" w:hAnsi="Arial" w:eastAsia="黑体"/>
      <w:b/>
      <w:bCs/>
      <w:kern w:val="2"/>
      <w:sz w:val="32"/>
      <w:szCs w:val="32"/>
      <w:lang w:val="en-US" w:eastAsia="zh-CN" w:bidi="ar-SA"/>
    </w:rPr>
  </w:style>
  <w:style w:type="character" w:customStyle="1" w:styleId="118">
    <w:name w:val="Char Char7"/>
    <w:qFormat/>
    <w:uiPriority w:val="0"/>
    <w:rPr>
      <w:rFonts w:eastAsia="宋体"/>
      <w:kern w:val="2"/>
      <w:sz w:val="52"/>
      <w:szCs w:val="24"/>
      <w:lang w:val="en-US" w:eastAsia="zh-CN" w:bidi="ar-SA"/>
    </w:rPr>
  </w:style>
  <w:style w:type="character" w:customStyle="1" w:styleId="119">
    <w:name w:val="Heading 2 Char"/>
    <w:qFormat/>
    <w:uiPriority w:val="0"/>
    <w:rPr>
      <w:rFonts w:ascii="Arial" w:hAnsi="Arial" w:eastAsia="黑体"/>
      <w:b/>
      <w:bCs/>
      <w:kern w:val="2"/>
      <w:sz w:val="32"/>
      <w:szCs w:val="32"/>
      <w:lang w:val="en-US" w:eastAsia="zh-CN" w:bidi="ar-SA"/>
    </w:rPr>
  </w:style>
  <w:style w:type="character" w:customStyle="1" w:styleId="120">
    <w:name w:val="不明显强调1"/>
    <w:qFormat/>
    <w:uiPriority w:val="0"/>
    <w:rPr>
      <w:i/>
      <w:iCs/>
      <w:color w:val="808080"/>
    </w:rPr>
  </w:style>
  <w:style w:type="character" w:customStyle="1" w:styleId="121">
    <w:name w:val="Date Char"/>
    <w:qFormat/>
    <w:uiPriority w:val="0"/>
    <w:rPr>
      <w:rFonts w:eastAsia="宋体"/>
      <w:kern w:val="2"/>
      <w:sz w:val="21"/>
      <w:szCs w:val="24"/>
      <w:lang w:val="en-US" w:eastAsia="zh-CN" w:bidi="ar-SA"/>
    </w:rPr>
  </w:style>
  <w:style w:type="character" w:customStyle="1" w:styleId="122">
    <w:name w:val="明显参考1"/>
    <w:qFormat/>
    <w:uiPriority w:val="0"/>
    <w:rPr>
      <w:b/>
      <w:bCs/>
      <w:smallCaps/>
      <w:color w:val="C0504D"/>
      <w:spacing w:val="5"/>
      <w:u w:val="single"/>
    </w:rPr>
  </w:style>
  <w:style w:type="character" w:customStyle="1" w:styleId="123">
    <w:name w:val="批注主题 Char1"/>
    <w:qFormat/>
    <w:uiPriority w:val="0"/>
    <w:rPr>
      <w:rFonts w:ascii="Times New Roman" w:hAnsi="Times New Roman" w:eastAsia="宋体" w:cs="Times New Roman"/>
      <w:b/>
      <w:bCs/>
      <w:szCs w:val="24"/>
    </w:rPr>
  </w:style>
  <w:style w:type="character" w:customStyle="1" w:styleId="124">
    <w:name w:val="Char Char18"/>
    <w:qFormat/>
    <w:uiPriority w:val="0"/>
    <w:rPr>
      <w:rFonts w:ascii="Times New Roman" w:hAnsi="Times New Roman" w:eastAsia="宋体" w:cs="Times New Roman"/>
      <w:b/>
      <w:bCs/>
      <w:sz w:val="28"/>
      <w:szCs w:val="28"/>
    </w:rPr>
  </w:style>
  <w:style w:type="character" w:customStyle="1" w:styleId="125">
    <w:name w:val="Char Char5"/>
    <w:qFormat/>
    <w:uiPriority w:val="0"/>
    <w:rPr>
      <w:rFonts w:eastAsia="宋体"/>
      <w:kern w:val="2"/>
      <w:sz w:val="21"/>
      <w:szCs w:val="24"/>
      <w:lang w:val="en-US" w:eastAsia="zh-CN" w:bidi="ar-SA"/>
    </w:rPr>
  </w:style>
  <w:style w:type="character" w:customStyle="1" w:styleId="126">
    <w:name w:val="Footer Char"/>
    <w:qFormat/>
    <w:uiPriority w:val="0"/>
    <w:rPr>
      <w:rFonts w:eastAsia="宋体"/>
      <w:kern w:val="2"/>
      <w:sz w:val="18"/>
      <w:szCs w:val="18"/>
      <w:lang w:val="en-US" w:eastAsia="zh-CN" w:bidi="ar-SA"/>
    </w:rPr>
  </w:style>
  <w:style w:type="character" w:customStyle="1" w:styleId="127">
    <w:name w:val="Char Char19"/>
    <w:qFormat/>
    <w:uiPriority w:val="0"/>
    <w:rPr>
      <w:rFonts w:ascii="Arial" w:hAnsi="Arial" w:eastAsia="宋体" w:cs="Times New Roman"/>
      <w:b/>
      <w:bCs/>
      <w:szCs w:val="28"/>
    </w:rPr>
  </w:style>
  <w:style w:type="character" w:customStyle="1" w:styleId="128">
    <w:name w:val="Char Char181"/>
    <w:qFormat/>
    <w:locked/>
    <w:uiPriority w:val="0"/>
    <w:rPr>
      <w:rFonts w:ascii="宋体" w:hAnsi="Courier New" w:eastAsia="宋体"/>
      <w:kern w:val="2"/>
      <w:sz w:val="21"/>
      <w:lang w:val="en-US" w:eastAsia="zh-CN" w:bidi="ar-SA"/>
    </w:rPr>
  </w:style>
  <w:style w:type="character" w:customStyle="1" w:styleId="129">
    <w:name w:val="Char Char20"/>
    <w:qFormat/>
    <w:uiPriority w:val="0"/>
    <w:rPr>
      <w:rFonts w:ascii="Times New Roman" w:hAnsi="Times New Roman" w:eastAsia="宋体" w:cs="Times New Roman"/>
      <w:b/>
      <w:bCs/>
      <w:sz w:val="24"/>
      <w:szCs w:val="32"/>
    </w:rPr>
  </w:style>
  <w:style w:type="character" w:customStyle="1" w:styleId="130">
    <w:name w:val="Heading 5 Char"/>
    <w:qFormat/>
    <w:uiPriority w:val="0"/>
    <w:rPr>
      <w:rFonts w:eastAsia="宋体"/>
      <w:b/>
      <w:bCs/>
      <w:kern w:val="2"/>
      <w:sz w:val="28"/>
      <w:szCs w:val="28"/>
      <w:lang w:val="en-US" w:eastAsia="zh-CN" w:bidi="ar-SA"/>
    </w:rPr>
  </w:style>
  <w:style w:type="character" w:customStyle="1" w:styleId="131">
    <w:name w:val="批注框文本 Char1"/>
    <w:qFormat/>
    <w:uiPriority w:val="0"/>
    <w:rPr>
      <w:rFonts w:ascii="Times New Roman" w:hAnsi="Times New Roman" w:eastAsia="宋体" w:cs="Times New Roman"/>
      <w:sz w:val="18"/>
      <w:szCs w:val="18"/>
    </w:rPr>
  </w:style>
  <w:style w:type="character" w:customStyle="1" w:styleId="132">
    <w:name w:val="Char Char6"/>
    <w:qFormat/>
    <w:uiPriority w:val="0"/>
    <w:rPr>
      <w:rFonts w:eastAsia="宋体"/>
      <w:b/>
      <w:bCs/>
      <w:kern w:val="44"/>
      <w:sz w:val="32"/>
      <w:szCs w:val="44"/>
      <w:lang w:val="en-US" w:eastAsia="zh-CN" w:bidi="ar-SA"/>
    </w:rPr>
  </w:style>
  <w:style w:type="character" w:customStyle="1" w:styleId="133">
    <w:name w:val="引用 Char"/>
    <w:qFormat/>
    <w:uiPriority w:val="0"/>
    <w:rPr>
      <w:i/>
      <w:iCs/>
      <w:color w:val="000000"/>
    </w:rPr>
  </w:style>
  <w:style w:type="paragraph" w:styleId="134">
    <w:name w:val="Quote"/>
    <w:basedOn w:val="1"/>
    <w:next w:val="1"/>
    <w:link w:val="135"/>
    <w:qFormat/>
    <w:uiPriority w:val="0"/>
    <w:rPr>
      <w:i/>
      <w:iCs/>
      <w:color w:val="000000"/>
    </w:rPr>
  </w:style>
  <w:style w:type="character" w:customStyle="1" w:styleId="135">
    <w:name w:val="引用 Char2"/>
    <w:basedOn w:val="49"/>
    <w:link w:val="134"/>
    <w:qFormat/>
    <w:uiPriority w:val="29"/>
    <w:rPr>
      <w:i/>
      <w:iCs/>
      <w:color w:val="000000" w:themeColor="text1"/>
      <w14:textFill>
        <w14:solidFill>
          <w14:schemeClr w14:val="tx1"/>
        </w14:solidFill>
      </w14:textFill>
    </w:rPr>
  </w:style>
  <w:style w:type="character" w:customStyle="1" w:styleId="136">
    <w:name w:val="普通文字 Char Char2"/>
    <w:qFormat/>
    <w:uiPriority w:val="0"/>
    <w:rPr>
      <w:rFonts w:ascii="宋体" w:hAnsi="Courier New" w:eastAsia="宋体"/>
      <w:kern w:val="2"/>
      <w:sz w:val="21"/>
      <w:lang w:val="en-US" w:eastAsia="zh-CN" w:bidi="ar-SA"/>
    </w:rPr>
  </w:style>
  <w:style w:type="character" w:customStyle="1" w:styleId="137">
    <w:name w:val="Char Char211"/>
    <w:qFormat/>
    <w:uiPriority w:val="0"/>
    <w:rPr>
      <w:rFonts w:ascii="Arial" w:hAnsi="Arial" w:eastAsia="黑体" w:cs="Times New Roman"/>
      <w:b/>
      <w:bCs/>
      <w:sz w:val="32"/>
      <w:szCs w:val="32"/>
    </w:rPr>
  </w:style>
  <w:style w:type="character" w:customStyle="1" w:styleId="138">
    <w:name w:val="Char Char13"/>
    <w:qFormat/>
    <w:uiPriority w:val="0"/>
    <w:rPr>
      <w:rFonts w:eastAsia="宋体"/>
      <w:b/>
      <w:bCs/>
      <w:kern w:val="2"/>
      <w:sz w:val="28"/>
      <w:szCs w:val="28"/>
      <w:lang w:val="en-US" w:eastAsia="zh-CN" w:bidi="ar-SA"/>
    </w:rPr>
  </w:style>
  <w:style w:type="character" w:customStyle="1" w:styleId="139">
    <w:name w:val="日期 Char1"/>
    <w:qFormat/>
    <w:uiPriority w:val="0"/>
    <w:rPr>
      <w:rFonts w:ascii="Times New Roman" w:hAnsi="Times New Roman" w:eastAsia="宋体" w:cs="Times New Roman"/>
      <w:szCs w:val="24"/>
    </w:rPr>
  </w:style>
  <w:style w:type="character" w:customStyle="1" w:styleId="140">
    <w:name w:val="Footnote Text Char"/>
    <w:qFormat/>
    <w:uiPriority w:val="0"/>
    <w:rPr>
      <w:rFonts w:eastAsia="宋体"/>
      <w:sz w:val="18"/>
      <w:lang w:val="en-US" w:eastAsia="zh-CN" w:bidi="ar-SA"/>
    </w:rPr>
  </w:style>
  <w:style w:type="character" w:customStyle="1" w:styleId="141">
    <w:name w:val="明显强调1"/>
    <w:qFormat/>
    <w:uiPriority w:val="0"/>
    <w:rPr>
      <w:b/>
      <w:bCs/>
      <w:i/>
      <w:iCs/>
      <w:color w:val="4F81BD"/>
    </w:rPr>
  </w:style>
  <w:style w:type="character" w:customStyle="1" w:styleId="142">
    <w:name w:val="Char Char9"/>
    <w:qFormat/>
    <w:uiPriority w:val="0"/>
    <w:rPr>
      <w:rFonts w:eastAsia="宋体"/>
      <w:b/>
      <w:bCs/>
      <w:kern w:val="44"/>
      <w:sz w:val="32"/>
      <w:szCs w:val="44"/>
      <w:lang w:val="en-US" w:eastAsia="zh-CN" w:bidi="ar-SA"/>
    </w:rPr>
  </w:style>
  <w:style w:type="character" w:customStyle="1" w:styleId="143">
    <w:name w:val="文档结构图 Char1"/>
    <w:qFormat/>
    <w:uiPriority w:val="0"/>
    <w:rPr>
      <w:rFonts w:ascii="宋体" w:hAnsi="Times New Roman" w:eastAsia="宋体" w:cs="Times New Roman"/>
      <w:sz w:val="18"/>
      <w:szCs w:val="18"/>
    </w:rPr>
  </w:style>
  <w:style w:type="character" w:customStyle="1" w:styleId="144">
    <w:name w:val="Char Char24"/>
    <w:qFormat/>
    <w:uiPriority w:val="0"/>
    <w:rPr>
      <w:rFonts w:eastAsia="宋体"/>
      <w:b/>
      <w:bCs/>
      <w:kern w:val="44"/>
      <w:sz w:val="32"/>
      <w:szCs w:val="44"/>
      <w:lang w:val="en-US" w:eastAsia="zh-CN" w:bidi="ar-SA"/>
    </w:rPr>
  </w:style>
  <w:style w:type="character" w:customStyle="1" w:styleId="145">
    <w:name w:val="明显引用 Char"/>
    <w:qFormat/>
    <w:uiPriority w:val="0"/>
    <w:rPr>
      <w:b/>
      <w:bCs/>
      <w:i/>
      <w:iCs/>
      <w:color w:val="4F81BD"/>
    </w:rPr>
  </w:style>
  <w:style w:type="paragraph" w:styleId="146">
    <w:name w:val="Intense Quote"/>
    <w:basedOn w:val="1"/>
    <w:next w:val="1"/>
    <w:link w:val="147"/>
    <w:qFormat/>
    <w:uiPriority w:val="0"/>
    <w:pPr>
      <w:pBdr>
        <w:bottom w:val="single" w:color="4F81BD" w:sz="4" w:space="4"/>
      </w:pBdr>
      <w:spacing w:before="200" w:after="280"/>
      <w:ind w:left="936" w:right="936"/>
    </w:pPr>
    <w:rPr>
      <w:b/>
      <w:bCs/>
      <w:i/>
      <w:iCs/>
      <w:color w:val="4F81BD"/>
    </w:rPr>
  </w:style>
  <w:style w:type="character" w:customStyle="1" w:styleId="147">
    <w:name w:val="明显引用 Char1"/>
    <w:basedOn w:val="49"/>
    <w:link w:val="146"/>
    <w:qFormat/>
    <w:uiPriority w:val="0"/>
    <w:rPr>
      <w:b/>
      <w:bCs/>
      <w:i/>
      <w:iCs/>
      <w:color w:val="4F81BD" w:themeColor="accent1"/>
      <w14:textFill>
        <w14:solidFill>
          <w14:schemeClr w14:val="accent1"/>
        </w14:solidFill>
      </w14:textFill>
    </w:rPr>
  </w:style>
  <w:style w:type="character" w:customStyle="1" w:styleId="148">
    <w:name w:val="Body Text Indent 2 Char"/>
    <w:qFormat/>
    <w:uiPriority w:val="0"/>
    <w:rPr>
      <w:rFonts w:eastAsia="宋体"/>
      <w:kern w:val="2"/>
      <w:sz w:val="21"/>
      <w:szCs w:val="24"/>
      <w:lang w:val="en-US" w:eastAsia="zh-CN" w:bidi="ar-SA"/>
    </w:rPr>
  </w:style>
  <w:style w:type="character" w:customStyle="1" w:styleId="149">
    <w:name w:val="纯文本 Char1"/>
    <w:qFormat/>
    <w:locked/>
    <w:uiPriority w:val="0"/>
    <w:rPr>
      <w:rFonts w:ascii="宋体" w:hAnsi="Courier New" w:eastAsia="宋体"/>
      <w:kern w:val="2"/>
      <w:sz w:val="21"/>
      <w:lang w:val="en-US" w:eastAsia="zh-CN" w:bidi="ar-SA"/>
    </w:rPr>
  </w:style>
  <w:style w:type="character" w:customStyle="1" w:styleId="150">
    <w:name w:val="Comment Subject Char"/>
    <w:qFormat/>
    <w:uiPriority w:val="0"/>
    <w:rPr>
      <w:b/>
      <w:sz w:val="24"/>
      <w:lang w:bidi="ar-SA"/>
    </w:rPr>
  </w:style>
  <w:style w:type="character" w:customStyle="1" w:styleId="151">
    <w:name w:val="Document Map Char"/>
    <w:qFormat/>
    <w:uiPriority w:val="0"/>
    <w:rPr>
      <w:rFonts w:eastAsia="宋体"/>
      <w:kern w:val="2"/>
      <w:sz w:val="21"/>
      <w:szCs w:val="24"/>
      <w:lang w:val="en-US" w:eastAsia="zh-CN" w:bidi="ar-SA"/>
    </w:rPr>
  </w:style>
  <w:style w:type="character" w:customStyle="1" w:styleId="152">
    <w:name w:val="标题 Char2"/>
    <w:qFormat/>
    <w:uiPriority w:val="0"/>
    <w:rPr>
      <w:rFonts w:ascii="Cambria" w:hAnsi="Cambria" w:eastAsia="宋体" w:cs="Times New Roman"/>
      <w:b/>
      <w:bCs/>
      <w:sz w:val="32"/>
      <w:szCs w:val="32"/>
    </w:rPr>
  </w:style>
  <w:style w:type="character" w:customStyle="1" w:styleId="153">
    <w:name w:val="Comment Text Char1"/>
    <w:qFormat/>
    <w:uiPriority w:val="0"/>
    <w:rPr>
      <w:sz w:val="24"/>
      <w:lang w:bidi="ar-SA"/>
    </w:rPr>
  </w:style>
  <w:style w:type="character" w:customStyle="1" w:styleId="154">
    <w:name w:val="htd0"/>
    <w:basedOn w:val="49"/>
    <w:qFormat/>
    <w:uiPriority w:val="0"/>
    <w:rPr>
      <w:rFonts w:ascii="Tahoma" w:hAnsi="Tahoma"/>
      <w:sz w:val="24"/>
      <w:szCs w:val="20"/>
    </w:rPr>
  </w:style>
  <w:style w:type="character" w:customStyle="1" w:styleId="155">
    <w:name w:val="Body Text Indent Char"/>
    <w:qFormat/>
    <w:uiPriority w:val="0"/>
    <w:rPr>
      <w:rFonts w:ascii="宋体" w:hAnsi="宋体" w:eastAsia="宋体"/>
      <w:kern w:val="2"/>
      <w:sz w:val="21"/>
      <w:lang w:val="en-US" w:eastAsia="zh-CN" w:bidi="ar-SA"/>
    </w:rPr>
  </w:style>
  <w:style w:type="character" w:customStyle="1" w:styleId="156">
    <w:name w:val="Heading 4 Char"/>
    <w:qFormat/>
    <w:uiPriority w:val="0"/>
    <w:rPr>
      <w:rFonts w:ascii="Arial" w:hAnsi="Arial" w:eastAsia="宋体"/>
      <w:b/>
      <w:bCs/>
      <w:kern w:val="2"/>
      <w:sz w:val="21"/>
      <w:szCs w:val="28"/>
      <w:lang w:val="en-US" w:eastAsia="zh-CN" w:bidi="ar-SA"/>
    </w:rPr>
  </w:style>
  <w:style w:type="character" w:customStyle="1" w:styleId="157">
    <w:name w:val="Char Char23"/>
    <w:qFormat/>
    <w:uiPriority w:val="0"/>
    <w:rPr>
      <w:rFonts w:eastAsia="宋体"/>
      <w:b/>
      <w:bCs/>
      <w:kern w:val="44"/>
      <w:sz w:val="32"/>
      <w:szCs w:val="44"/>
      <w:lang w:val="en-US" w:eastAsia="zh-CN" w:bidi="ar-SA"/>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4"/>
    <w:link w:val="158"/>
    <w:qFormat/>
    <w:uiPriority w:val="0"/>
    <w:pPr>
      <w:spacing w:line="413" w:lineRule="auto"/>
    </w:pPr>
    <w:rPr>
      <w:rFonts w:ascii="Arial" w:hAnsi="Arial" w:eastAsiaTheme="minorEastAsia" w:cstheme="minorBidi"/>
      <w:sz w:val="24"/>
    </w:rPr>
  </w:style>
  <w:style w:type="character" w:customStyle="1" w:styleId="160">
    <w:name w:val="Heading 3 Char1"/>
    <w:qFormat/>
    <w:uiPriority w:val="0"/>
    <w:rPr>
      <w:rFonts w:eastAsia="宋体"/>
      <w:b/>
      <w:bCs/>
      <w:kern w:val="2"/>
      <w:sz w:val="24"/>
      <w:szCs w:val="32"/>
      <w:lang w:val="en-US" w:eastAsia="zh-CN" w:bidi="ar-SA"/>
    </w:rPr>
  </w:style>
  <w:style w:type="character" w:customStyle="1" w:styleId="161">
    <w:name w:val="批注文字 Char1"/>
    <w:qFormat/>
    <w:uiPriority w:val="0"/>
    <w:rPr>
      <w:rFonts w:ascii="Times New Roman" w:hAnsi="Times New Roman" w:eastAsia="宋体" w:cs="Times New Roman"/>
      <w:szCs w:val="24"/>
    </w:rPr>
  </w:style>
  <w:style w:type="character" w:customStyle="1" w:styleId="162">
    <w:name w:val="不明显参考1"/>
    <w:qFormat/>
    <w:uiPriority w:val="0"/>
    <w:rPr>
      <w:smallCaps/>
      <w:color w:val="C0504D"/>
      <w:u w:val="single"/>
    </w:rPr>
  </w:style>
  <w:style w:type="paragraph" w:customStyle="1" w:styleId="163">
    <w:name w:val="Default Paragraph Font Para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64">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66">
    <w:name w:val="修订1"/>
    <w:qFormat/>
    <w:uiPriority w:val="0"/>
    <w:rPr>
      <w:rFonts w:ascii="Times New Roman" w:hAnsi="Times New Roman" w:eastAsia="宋体" w:cs="Times New Roman"/>
      <w:kern w:val="2"/>
      <w:sz w:val="21"/>
      <w:szCs w:val="24"/>
      <w:lang w:val="en-US" w:eastAsia="zh-CN" w:bidi="ar-SA"/>
    </w:rPr>
  </w:style>
  <w:style w:type="paragraph" w:customStyle="1" w:styleId="16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68">
    <w:name w:val="Char Char Char Char"/>
    <w:basedOn w:val="1"/>
    <w:qFormat/>
    <w:uiPriority w:val="0"/>
    <w:rPr>
      <w:rFonts w:ascii="Tahoma" w:hAnsi="Tahoma" w:eastAsia="宋体" w:cs="Times New Roman"/>
      <w:sz w:val="24"/>
      <w:szCs w:val="20"/>
    </w:rPr>
  </w:style>
  <w:style w:type="paragraph" w:customStyle="1" w:styleId="16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0">
    <w:name w:val="2"/>
    <w:basedOn w:val="1"/>
    <w:next w:val="23"/>
    <w:qFormat/>
    <w:uiPriority w:val="0"/>
    <w:rPr>
      <w:rFonts w:ascii="宋体" w:hAnsi="Courier New" w:eastAsia="宋体" w:cs="Times New Roman"/>
      <w:szCs w:val="20"/>
    </w:rPr>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4">
    <w:name w:val="List Paragraph"/>
    <w:basedOn w:val="1"/>
    <w:qFormat/>
    <w:uiPriority w:val="0"/>
    <w:pPr>
      <w:ind w:firstLine="420" w:firstLineChars="200"/>
    </w:pPr>
    <w:rPr>
      <w:rFonts w:ascii="Calibri" w:hAnsi="Calibri" w:eastAsia="宋体" w:cs="Times New Roman"/>
    </w:rPr>
  </w:style>
  <w:style w:type="paragraph" w:customStyle="1" w:styleId="175">
    <w:name w:val="_Style 5"/>
    <w:basedOn w:val="1"/>
    <w:qFormat/>
    <w:uiPriority w:val="0"/>
    <w:pPr>
      <w:tabs>
        <w:tab w:val="left" w:pos="360"/>
      </w:tabs>
      <w:spacing w:line="360" w:lineRule="auto"/>
      <w:ind w:left="482" w:firstLine="200" w:firstLineChars="200"/>
    </w:pPr>
    <w:rPr>
      <w:rFonts w:ascii="Times New Roman" w:hAnsi="Times New Roman" w:eastAsia="宋体" w:cs="Times New Roman"/>
      <w:szCs w:val="24"/>
    </w:rPr>
  </w:style>
  <w:style w:type="paragraph" w:customStyle="1" w:styleId="176">
    <w:name w:val="列出段落1"/>
    <w:basedOn w:val="1"/>
    <w:qFormat/>
    <w:uiPriority w:val="0"/>
    <w:pPr>
      <w:spacing w:line="360" w:lineRule="auto"/>
      <w:ind w:firstLine="420" w:firstLineChars="200"/>
    </w:pPr>
    <w:rPr>
      <w:rFonts w:ascii="宋体" w:hAnsi="宋体" w:eastAsia="宋体" w:cs="宋体"/>
      <w:sz w:val="24"/>
      <w:szCs w:val="24"/>
    </w:rPr>
  </w:style>
  <w:style w:type="paragraph" w:customStyle="1" w:styleId="17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78">
    <w:name w:val="2-2ji"/>
    <w:basedOn w:val="3"/>
    <w:qFormat/>
    <w:uiPriority w:val="0"/>
    <w:pPr>
      <w:spacing w:before="0" w:after="0" w:line="360" w:lineRule="auto"/>
      <w:jc w:val="center"/>
    </w:pPr>
    <w:rPr>
      <w:rFonts w:ascii="宋体" w:hAnsi="宋体" w:eastAsia="宋体"/>
      <w:sz w:val="36"/>
      <w:szCs w:val="24"/>
    </w:rPr>
  </w:style>
  <w:style w:type="paragraph" w:customStyle="1" w:styleId="179">
    <w:name w:val="Char Char Char"/>
    <w:basedOn w:val="1"/>
    <w:qFormat/>
    <w:uiPriority w:val="0"/>
    <w:rPr>
      <w:rFonts w:ascii="Tahoma" w:hAnsi="Tahoma" w:eastAsia="宋体" w:cs="Times New Roman"/>
      <w:sz w:val="24"/>
      <w:szCs w:val="20"/>
    </w:rPr>
  </w:style>
  <w:style w:type="paragraph" w:customStyle="1" w:styleId="180">
    <w:name w:val="_Style 1"/>
    <w:basedOn w:val="1"/>
    <w:qFormat/>
    <w:uiPriority w:val="0"/>
    <w:rPr>
      <w:rFonts w:ascii="Times New Roman" w:hAnsi="Times New Roman" w:eastAsia="宋体" w:cs="Times New Roman"/>
      <w:szCs w:val="20"/>
    </w:rPr>
  </w:style>
  <w:style w:type="paragraph" w:customStyle="1" w:styleId="181">
    <w:name w:val="p0"/>
    <w:basedOn w:val="1"/>
    <w:qFormat/>
    <w:uiPriority w:val="0"/>
    <w:pPr>
      <w:widowControl/>
    </w:pPr>
    <w:rPr>
      <w:rFonts w:ascii="Calibri" w:hAnsi="Calibri" w:eastAsia="宋体" w:cs="宋体"/>
      <w:kern w:val="0"/>
      <w:szCs w:val="21"/>
    </w:rPr>
  </w:style>
  <w:style w:type="paragraph" w:customStyle="1" w:styleId="182">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paragraph" w:customStyle="1" w:styleId="183">
    <w:name w:val="Char2 Char Char Char"/>
    <w:basedOn w:val="1"/>
    <w:qFormat/>
    <w:uiPriority w:val="0"/>
    <w:rPr>
      <w:rFonts w:ascii="Tahoma" w:hAnsi="Tahoma" w:eastAsia="宋体" w:cs="Times New Roman"/>
      <w:sz w:val="24"/>
      <w:szCs w:val="20"/>
    </w:rPr>
  </w:style>
  <w:style w:type="paragraph" w:customStyle="1" w:styleId="184">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0"/>
    </w:rPr>
  </w:style>
  <w:style w:type="paragraph" w:customStyle="1" w:styleId="186">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88">
    <w:name w:val="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11"/>
    <w:basedOn w:val="1"/>
    <w:qFormat/>
    <w:uiPriority w:val="0"/>
    <w:pPr>
      <w:ind w:firstLine="420" w:firstLineChars="200"/>
    </w:pPr>
    <w:rPr>
      <w:rFonts w:ascii="Times New Roman" w:hAnsi="Times New Roman" w:eastAsia="宋体" w:cs="Times New Roman"/>
      <w:szCs w:val="24"/>
    </w:rPr>
  </w:style>
  <w:style w:type="paragraph" w:customStyle="1" w:styleId="190">
    <w:name w:val="样式1"/>
    <w:basedOn w:val="1"/>
    <w:qFormat/>
    <w:uiPriority w:val="0"/>
    <w:pPr>
      <w:tabs>
        <w:tab w:val="left" w:pos="709"/>
      </w:tabs>
      <w:adjustRightInd w:val="0"/>
      <w:ind w:left="709" w:hanging="709"/>
    </w:pPr>
    <w:rPr>
      <w:rFonts w:ascii="宋体" w:hAnsi="宋体" w:eastAsia="宋体" w:cs="Times New Roman"/>
      <w:kern w:val="0"/>
      <w:szCs w:val="21"/>
    </w:rPr>
  </w:style>
  <w:style w:type="paragraph" w:customStyle="1" w:styleId="191">
    <w:name w:val="Char Char Char1"/>
    <w:basedOn w:val="1"/>
    <w:qFormat/>
    <w:uiPriority w:val="0"/>
    <w:rPr>
      <w:rFonts w:ascii="Tahoma" w:hAnsi="Tahoma" w:eastAsia="宋体" w:cs="Times New Roman"/>
      <w:sz w:val="24"/>
      <w:szCs w:val="20"/>
    </w:rPr>
  </w:style>
  <w:style w:type="paragraph" w:customStyle="1" w:styleId="192">
    <w:name w:val="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93">
    <w:name w:val="_Style 37"/>
    <w:basedOn w:val="1"/>
    <w:next w:val="1"/>
    <w:qFormat/>
    <w:uiPriority w:val="0"/>
    <w:rPr>
      <w:rFonts w:ascii="Times New Roman" w:hAnsi="Times New Roman" w:eastAsia="宋体" w:cs="Times New Roman"/>
      <w:szCs w:val="24"/>
    </w:rPr>
  </w:style>
  <w:style w:type="paragraph" w:customStyle="1" w:styleId="194">
    <w:name w:val="reader-word-layer reader-word-s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6">
    <w:name w:val="TOC 标题1"/>
    <w:basedOn w:val="2"/>
    <w:next w:val="1"/>
    <w:qFormat/>
    <w:uiPriority w:val="39"/>
    <w:pPr>
      <w:keepLines/>
      <w:spacing w:before="340" w:after="330" w:line="576" w:lineRule="auto"/>
      <w:outlineLvl w:val="9"/>
    </w:pPr>
    <w:rPr>
      <w:rFonts w:ascii="Calibri" w:hAnsi="Calibri" w:eastAsia="黑体"/>
      <w:bCs/>
      <w:kern w:val="44"/>
      <w:sz w:val="44"/>
      <w:szCs w:val="4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199">
    <w:name w:val="Char Char1"/>
    <w:basedOn w:val="1"/>
    <w:qFormat/>
    <w:uiPriority w:val="0"/>
    <w:rPr>
      <w:rFonts w:ascii="仿宋_GB2312" w:hAnsi="Times New Roman" w:eastAsia="仿宋_GB2312" w:cs="Times New Roman"/>
      <w:b/>
      <w:sz w:val="32"/>
      <w:szCs w:val="32"/>
    </w:rPr>
  </w:style>
  <w:style w:type="paragraph" w:customStyle="1" w:styleId="20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1"/>
      <w:szCs w:val="20"/>
    </w:rPr>
  </w:style>
  <w:style w:type="paragraph" w:customStyle="1" w:styleId="201">
    <w:name w:val="Table Paragraph"/>
    <w:basedOn w:val="1"/>
    <w:qFormat/>
    <w:uiPriority w:val="1"/>
    <w:rPr>
      <w:rFonts w:ascii="Times New Roman" w:hAnsi="Times New Roman" w:eastAsia="宋体" w:cs="Times New Roman"/>
      <w:szCs w:val="24"/>
    </w:rPr>
  </w:style>
  <w:style w:type="paragraph" w:customStyle="1" w:styleId="202">
    <w:name w:val="_Style 76"/>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styleId="203">
    <w:name w:val="No Spacing"/>
    <w:link w:val="204"/>
    <w:qFormat/>
    <w:uiPriority w:val="1"/>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204">
    <w:name w:val="无间隔 Char"/>
    <w:basedOn w:val="49"/>
    <w:link w:val="203"/>
    <w:qFormat/>
    <w:uiPriority w:val="1"/>
    <w:rPr>
      <w:rFonts w:ascii="Times New Roman" w:hAnsi="Times New Roman" w:eastAsia="宋体" w:cs="Times New Roman"/>
      <w:szCs w:val="24"/>
    </w:rPr>
  </w:style>
  <w:style w:type="paragraph" w:customStyle="1" w:styleId="2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06">
    <w:name w:val="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题注5"/>
    <w:basedOn w:val="1"/>
    <w:next w:val="13"/>
    <w:qFormat/>
    <w:uiPriority w:val="0"/>
    <w:pPr>
      <w:jc w:val="center"/>
    </w:pPr>
    <w:rPr>
      <w:rFonts w:ascii="Times New Roman" w:hAnsi="Times New Roman" w:eastAsia="宋体" w:cs="Times New Roman"/>
      <w:b/>
      <w:bCs/>
      <w:color w:val="000000"/>
      <w:sz w:val="24"/>
      <w:szCs w:val="24"/>
    </w:rPr>
  </w:style>
  <w:style w:type="paragraph" w:customStyle="1" w:styleId="210">
    <w:name w:val="Char Char Char Char1"/>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B2FC-4DD4-4A9B-980D-3ED887E329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102</Pages>
  <Words>52665</Words>
  <Characters>55729</Characters>
  <Lines>501</Lines>
  <Paragraphs>141</Paragraphs>
  <TotalTime>2</TotalTime>
  <ScaleCrop>false</ScaleCrop>
  <LinksUpToDate>false</LinksUpToDate>
  <CharactersWithSpaces>66786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2021-12-02T02:08:00Z</dcterms:created>
  <dc:creator>PC</dc:creator>
  <cp:lastModifiedBy>雲</cp:lastModifiedBy>
  <cp:lastPrinted>2023-07-31T03:06:00Z</cp:lastPrinted>
  <dcterms:modified xsi:type="dcterms:W3CDTF">2023-07-31T07:10:45Z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4933B81DE64B4DDA95AB917C377D1715_13</vt:lpwstr>
  </property>
</Properties>
</file>