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bidi w:val="0"/>
        <w:jc w:val="center"/>
        <w:rPr>
          <w:b/>
          <w:color w:val="auto"/>
          <w:spacing w:val="73"/>
          <w:sz w:val="44"/>
          <w:highlight w:val="none"/>
        </w:rPr>
      </w:pPr>
      <w:bookmarkStart w:id="25" w:name="_GoBack"/>
      <w:bookmarkEnd w:id="25"/>
      <w:r>
        <w:rPr>
          <w:color w:val="auto"/>
          <w:highlight w:val="none"/>
        </w:rPr>
        <w:drawing>
          <wp:anchor distT="0" distB="0" distL="114300" distR="114300" simplePos="0" relativeHeight="251661312" behindDoc="0" locked="0" layoutInCell="1" allowOverlap="1">
            <wp:simplePos x="0" y="0"/>
            <wp:positionH relativeFrom="column">
              <wp:posOffset>58420</wp:posOffset>
            </wp:positionH>
            <wp:positionV relativeFrom="paragraph">
              <wp:posOffset>253365</wp:posOffset>
            </wp:positionV>
            <wp:extent cx="6581775" cy="8692515"/>
            <wp:effectExtent l="0" t="0" r="9525" b="13335"/>
            <wp:wrapSquare wrapText="bothSides"/>
            <wp:docPr id="19"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
                    <pic:cNvPicPr>
                      <a:picLocks noChangeAspect="1"/>
                    </pic:cNvPicPr>
                  </pic:nvPicPr>
                  <pic:blipFill>
                    <a:blip r:embed="rId22"/>
                    <a:stretch>
                      <a:fillRect/>
                    </a:stretch>
                  </pic:blipFill>
                  <pic:spPr>
                    <a:xfrm>
                      <a:off x="0" y="0"/>
                      <a:ext cx="6581775" cy="8692515"/>
                    </a:xfrm>
                    <a:prstGeom prst="rect">
                      <a:avLst/>
                    </a:prstGeom>
                    <a:noFill/>
                    <a:ln>
                      <a:noFill/>
                    </a:ln>
                  </pic:spPr>
                </pic:pic>
              </a:graphicData>
            </a:graphic>
          </wp:anchor>
        </w:drawing>
      </w:r>
    </w:p>
    <w:p>
      <w:pPr>
        <w:pStyle w:val="2"/>
        <w:rPr>
          <w:color w:val="auto"/>
          <w:highlight w:val="none"/>
        </w:rPr>
      </w:pPr>
    </w:p>
    <w:p>
      <w:pPr>
        <w:jc w:val="center"/>
        <w:rPr>
          <w:b/>
          <w:color w:val="auto"/>
          <w:sz w:val="44"/>
          <w:highlight w:val="none"/>
        </w:rPr>
      </w:pPr>
      <w:r>
        <w:rPr>
          <w:b/>
          <w:color w:val="auto"/>
          <w:spacing w:val="73"/>
          <w:sz w:val="44"/>
          <w:highlight w:val="none"/>
        </w:rPr>
        <w:t>目 录</w:t>
      </w:r>
    </w:p>
    <w:p>
      <w:pPr>
        <w:rPr>
          <w:color w:val="auto"/>
          <w:highlight w:val="none"/>
        </w:rPr>
      </w:pPr>
      <w:r>
        <w:rPr>
          <w:color w:val="auto"/>
          <w:w w:val="99"/>
          <w:highlight w:val="none"/>
        </w:rPr>
        <w:t xml:space="preserve"> </w:t>
      </w:r>
    </w:p>
    <w:p>
      <w:pPr>
        <w:spacing w:before="0" w:beforeLines="0" w:after="0" w:afterLines="0" w:line="240" w:lineRule="auto"/>
        <w:ind w:left="0" w:leftChars="0" w:right="0" w:rightChars="0" w:firstLine="0" w:firstLineChars="0"/>
        <w:jc w:val="center"/>
        <w:rPr>
          <w:color w:val="auto"/>
          <w:highlight w:val="none"/>
        </w:rPr>
      </w:pPr>
      <w:r>
        <w:rPr>
          <w:b/>
          <w:bCs/>
          <w:color w:val="auto"/>
          <w:sz w:val="24"/>
          <w:szCs w:val="24"/>
          <w:highlight w:val="none"/>
        </w:rPr>
        <w:t xml:space="preserve"> </w:t>
      </w:r>
    </w:p>
    <w:sdt>
      <w:sdtPr>
        <w:rPr>
          <w:rFonts w:ascii="宋体" w:hAnsi="宋体" w:eastAsia="宋体" w:cs="宋体"/>
          <w:color w:val="auto"/>
          <w:sz w:val="21"/>
          <w:szCs w:val="22"/>
          <w:highlight w:val="none"/>
          <w:lang w:val="en-US" w:eastAsia="zh-CN" w:bidi="ar-SA"/>
        </w:rPr>
        <w:id w:val="147482205"/>
        <w15:color w:val="DBDBDB"/>
        <w:docPartObj>
          <w:docPartGallery w:val="Table of Contents"/>
          <w:docPartUnique/>
        </w:docPartObj>
      </w:sdtPr>
      <w:sdtEndPr>
        <w:rPr>
          <w:rFonts w:ascii="宋体" w:hAnsi="Calibri" w:eastAsia="宋体" w:cs="宋体"/>
          <w:color w:val="auto"/>
          <w:sz w:val="24"/>
          <w:szCs w:val="24"/>
          <w:highlight w:val="none"/>
          <w:lang w:val="en-US" w:eastAsia="zh-CN" w:bidi="ar-SA"/>
        </w:rPr>
      </w:sdtEndPr>
      <w:sdtContent>
        <w:p>
          <w:pPr>
            <w:tabs>
              <w:tab w:val="left" w:leader="dot" w:pos="9278"/>
            </w:tabs>
            <w:ind w:left="658" w:leftChars="0"/>
            <w:rPr>
              <w:color w:val="auto"/>
              <w:highlight w:val="none"/>
            </w:rPr>
          </w:pPr>
        </w:p>
        <w:p>
          <w:pPr>
            <w:pStyle w:val="29"/>
            <w:tabs>
              <w:tab w:val="right" w:leader="dot" w:pos="10380"/>
            </w:tabs>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TOC \o "1-1" \h \u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HYPERLINK \l _Toc21909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第一章 竞争性磋商公告</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PAGEREF _Toc21909 \h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3</w:t>
          </w:r>
          <w:r>
            <w:rPr>
              <w:rFonts w:hint="eastAsia" w:ascii="宋体" w:hAnsi="宋体" w:eastAsia="宋体" w:cs="宋体"/>
              <w:color w:val="auto"/>
              <w:sz w:val="28"/>
              <w:szCs w:val="28"/>
              <w:highlight w:val="none"/>
            </w:rPr>
            <w:fldChar w:fldCharType="end"/>
          </w:r>
          <w:r>
            <w:rPr>
              <w:rFonts w:hint="eastAsia" w:ascii="宋体" w:hAnsi="宋体" w:eastAsia="宋体" w:cs="宋体"/>
              <w:color w:val="auto"/>
              <w:sz w:val="28"/>
              <w:szCs w:val="28"/>
              <w:highlight w:val="none"/>
            </w:rPr>
            <w:fldChar w:fldCharType="end"/>
          </w:r>
        </w:p>
        <w:p>
          <w:pPr>
            <w:pStyle w:val="29"/>
            <w:tabs>
              <w:tab w:val="right" w:leader="dot" w:pos="10380"/>
            </w:tabs>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HYPERLINK \l _Toc21906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第二章 供应商须知</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PAGEREF _Toc21906 \h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6</w:t>
          </w:r>
          <w:r>
            <w:rPr>
              <w:rFonts w:hint="eastAsia" w:ascii="宋体" w:hAnsi="宋体" w:eastAsia="宋体" w:cs="宋体"/>
              <w:color w:val="auto"/>
              <w:sz w:val="28"/>
              <w:szCs w:val="28"/>
              <w:highlight w:val="none"/>
            </w:rPr>
            <w:fldChar w:fldCharType="end"/>
          </w:r>
          <w:r>
            <w:rPr>
              <w:rFonts w:hint="eastAsia" w:ascii="宋体" w:hAnsi="宋体" w:eastAsia="宋体" w:cs="宋体"/>
              <w:color w:val="auto"/>
              <w:sz w:val="28"/>
              <w:szCs w:val="28"/>
              <w:highlight w:val="none"/>
            </w:rPr>
            <w:fldChar w:fldCharType="end"/>
          </w:r>
        </w:p>
        <w:p>
          <w:pPr>
            <w:pStyle w:val="29"/>
            <w:tabs>
              <w:tab w:val="right" w:leader="dot" w:pos="10380"/>
            </w:tabs>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HYPERLINK \l _Toc23956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第三章 评审程序、评审方法和评审标准</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PAGEREF _Toc23956 \h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23</w:t>
          </w:r>
          <w:r>
            <w:rPr>
              <w:rFonts w:hint="eastAsia" w:ascii="宋体" w:hAnsi="宋体" w:eastAsia="宋体" w:cs="宋体"/>
              <w:color w:val="auto"/>
              <w:sz w:val="28"/>
              <w:szCs w:val="28"/>
              <w:highlight w:val="none"/>
            </w:rPr>
            <w:fldChar w:fldCharType="end"/>
          </w:r>
          <w:r>
            <w:rPr>
              <w:rFonts w:hint="eastAsia" w:ascii="宋体" w:hAnsi="宋体" w:eastAsia="宋体" w:cs="宋体"/>
              <w:color w:val="auto"/>
              <w:sz w:val="28"/>
              <w:szCs w:val="28"/>
              <w:highlight w:val="none"/>
            </w:rPr>
            <w:fldChar w:fldCharType="end"/>
          </w:r>
        </w:p>
        <w:p>
          <w:pPr>
            <w:pStyle w:val="29"/>
            <w:tabs>
              <w:tab w:val="right" w:leader="dot" w:pos="10380"/>
            </w:tabs>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HYPERLINK \l _Toc20240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第四章 工程量清单</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PAGEREF _Toc20240 \h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31</w:t>
          </w:r>
          <w:r>
            <w:rPr>
              <w:rFonts w:hint="eastAsia" w:ascii="宋体" w:hAnsi="宋体" w:eastAsia="宋体" w:cs="宋体"/>
              <w:color w:val="auto"/>
              <w:sz w:val="28"/>
              <w:szCs w:val="28"/>
              <w:highlight w:val="none"/>
            </w:rPr>
            <w:fldChar w:fldCharType="end"/>
          </w:r>
          <w:r>
            <w:rPr>
              <w:rFonts w:hint="eastAsia" w:ascii="宋体" w:hAnsi="宋体" w:eastAsia="宋体" w:cs="宋体"/>
              <w:color w:val="auto"/>
              <w:sz w:val="28"/>
              <w:szCs w:val="28"/>
              <w:highlight w:val="none"/>
            </w:rPr>
            <w:fldChar w:fldCharType="end"/>
          </w:r>
        </w:p>
        <w:p>
          <w:pPr>
            <w:pStyle w:val="29"/>
            <w:tabs>
              <w:tab w:val="right" w:leader="dot" w:pos="10380"/>
            </w:tabs>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HYPERLINK \l _Toc14786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第五章 图纸</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PAGEREF _Toc14786 \h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32</w:t>
          </w:r>
          <w:r>
            <w:rPr>
              <w:rFonts w:hint="eastAsia" w:ascii="宋体" w:hAnsi="宋体" w:eastAsia="宋体" w:cs="宋体"/>
              <w:color w:val="auto"/>
              <w:sz w:val="28"/>
              <w:szCs w:val="28"/>
              <w:highlight w:val="none"/>
            </w:rPr>
            <w:fldChar w:fldCharType="end"/>
          </w:r>
          <w:r>
            <w:rPr>
              <w:rFonts w:hint="eastAsia" w:ascii="宋体" w:hAnsi="宋体" w:eastAsia="宋体" w:cs="宋体"/>
              <w:color w:val="auto"/>
              <w:sz w:val="28"/>
              <w:szCs w:val="28"/>
              <w:highlight w:val="none"/>
            </w:rPr>
            <w:fldChar w:fldCharType="end"/>
          </w:r>
        </w:p>
        <w:p>
          <w:pPr>
            <w:pStyle w:val="29"/>
            <w:tabs>
              <w:tab w:val="right" w:leader="dot" w:pos="10380"/>
            </w:tabs>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HYPERLINK \l _Toc26921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第六章 技术标准和要求</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PAGEREF _Toc26921 \h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33</w:t>
          </w:r>
          <w:r>
            <w:rPr>
              <w:rFonts w:hint="eastAsia" w:ascii="宋体" w:hAnsi="宋体" w:eastAsia="宋体" w:cs="宋体"/>
              <w:color w:val="auto"/>
              <w:sz w:val="28"/>
              <w:szCs w:val="28"/>
              <w:highlight w:val="none"/>
            </w:rPr>
            <w:fldChar w:fldCharType="end"/>
          </w:r>
          <w:r>
            <w:rPr>
              <w:rFonts w:hint="eastAsia" w:ascii="宋体" w:hAnsi="宋体" w:eastAsia="宋体" w:cs="宋体"/>
              <w:color w:val="auto"/>
              <w:sz w:val="28"/>
              <w:szCs w:val="28"/>
              <w:highlight w:val="none"/>
            </w:rPr>
            <w:fldChar w:fldCharType="end"/>
          </w:r>
        </w:p>
        <w:p>
          <w:pPr>
            <w:pStyle w:val="29"/>
            <w:tabs>
              <w:tab w:val="right" w:leader="dot" w:pos="10380"/>
            </w:tabs>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HYPERLINK \l _Toc17838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第七章 响应文件格式</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PAGEREF _Toc17838 \h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34</w:t>
          </w:r>
          <w:r>
            <w:rPr>
              <w:rFonts w:hint="eastAsia" w:ascii="宋体" w:hAnsi="宋体" w:eastAsia="宋体" w:cs="宋体"/>
              <w:color w:val="auto"/>
              <w:sz w:val="28"/>
              <w:szCs w:val="28"/>
              <w:highlight w:val="none"/>
            </w:rPr>
            <w:fldChar w:fldCharType="end"/>
          </w:r>
          <w:r>
            <w:rPr>
              <w:rFonts w:hint="eastAsia" w:ascii="宋体" w:hAnsi="宋体" w:eastAsia="宋体" w:cs="宋体"/>
              <w:color w:val="auto"/>
              <w:sz w:val="28"/>
              <w:szCs w:val="28"/>
              <w:highlight w:val="none"/>
            </w:rPr>
            <w:fldChar w:fldCharType="end"/>
          </w:r>
        </w:p>
        <w:p>
          <w:pPr>
            <w:pStyle w:val="29"/>
            <w:tabs>
              <w:tab w:val="right" w:leader="dot" w:pos="10380"/>
            </w:tabs>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HYPERLINK \l _Toc1121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第八章 合同文本</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PAGEREF _Toc1121 \h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75</w:t>
          </w:r>
          <w:r>
            <w:rPr>
              <w:rFonts w:hint="eastAsia" w:ascii="宋体" w:hAnsi="宋体" w:eastAsia="宋体" w:cs="宋体"/>
              <w:color w:val="auto"/>
              <w:sz w:val="28"/>
              <w:szCs w:val="28"/>
              <w:highlight w:val="none"/>
            </w:rPr>
            <w:fldChar w:fldCharType="end"/>
          </w:r>
          <w:r>
            <w:rPr>
              <w:rFonts w:hint="eastAsia" w:ascii="宋体" w:hAnsi="宋体" w:eastAsia="宋体" w:cs="宋体"/>
              <w:color w:val="auto"/>
              <w:sz w:val="28"/>
              <w:szCs w:val="28"/>
              <w:highlight w:val="none"/>
            </w:rPr>
            <w:fldChar w:fldCharType="end"/>
          </w:r>
        </w:p>
        <w:p>
          <w:pPr>
            <w:pStyle w:val="51"/>
            <w:rPr>
              <w:color w:val="auto"/>
              <w:highlight w:val="none"/>
            </w:rPr>
          </w:pPr>
          <w:r>
            <w:rPr>
              <w:rFonts w:hint="eastAsia" w:ascii="宋体" w:hAnsi="宋体" w:eastAsia="宋体" w:cs="宋体"/>
              <w:color w:val="auto"/>
              <w:sz w:val="28"/>
              <w:szCs w:val="28"/>
              <w:highlight w:val="none"/>
            </w:rPr>
            <w:fldChar w:fldCharType="end"/>
          </w:r>
        </w:p>
      </w:sdtContent>
    </w:sdt>
    <w:p>
      <w:pPr>
        <w:rPr>
          <w:color w:val="auto"/>
          <w:sz w:val="24"/>
          <w:highlight w:val="none"/>
        </w:rPr>
        <w:sectPr>
          <w:headerReference r:id="rId3" w:type="default"/>
          <w:footerReference r:id="rId4" w:type="default"/>
          <w:pgSz w:w="11900" w:h="16850"/>
          <w:pgMar w:top="1400" w:right="760" w:bottom="1280" w:left="760" w:header="1158" w:footer="1526" w:gutter="0"/>
          <w:pgNumType w:start="1"/>
          <w:cols w:space="720" w:num="1"/>
        </w:sectPr>
      </w:pPr>
    </w:p>
    <w:p>
      <w:pPr>
        <w:pStyle w:val="3"/>
        <w:numPr>
          <w:ilvl w:val="0"/>
          <w:numId w:val="1"/>
        </w:numPr>
        <w:spacing w:before="40" w:line="360" w:lineRule="auto"/>
        <w:rPr>
          <w:color w:val="auto"/>
          <w:highlight w:val="none"/>
        </w:rPr>
      </w:pPr>
      <w:bookmarkStart w:id="0" w:name="_bookmark0"/>
      <w:bookmarkEnd w:id="0"/>
      <w:bookmarkStart w:id="1" w:name="_Toc21909"/>
      <w:bookmarkStart w:id="2" w:name="_Hlk120863665"/>
      <w:r>
        <w:rPr>
          <w:color w:val="auto"/>
          <w:highlight w:val="none"/>
        </w:rPr>
        <w:t>竞争性磋商公告</w:t>
      </w:r>
      <w:bookmarkEnd w:id="1"/>
      <w:bookmarkEnd w:id="2"/>
    </w:p>
    <w:p>
      <w:pPr>
        <w:keepNext w:val="0"/>
        <w:keepLines w:val="0"/>
        <w:pageBreakBefore w:val="0"/>
        <w:widowControl w:val="0"/>
        <w:kinsoku/>
        <w:wordWrap/>
        <w:overflowPunct/>
        <w:topLinePunct w:val="0"/>
        <w:autoSpaceDE w:val="0"/>
        <w:autoSpaceDN w:val="0"/>
        <w:bidi w:val="0"/>
        <w:adjustRightInd/>
        <w:snapToGrid/>
        <w:spacing w:line="360" w:lineRule="auto"/>
        <w:jc w:val="center"/>
        <w:textAlignment w:val="auto"/>
        <w:rPr>
          <w:rFonts w:hint="eastAsia" w:ascii="宋体" w:hAnsi="宋体" w:cs="宋体"/>
          <w:b/>
          <w:bCs/>
          <w:color w:val="auto"/>
          <w:sz w:val="24"/>
          <w:highlight w:val="none"/>
        </w:rPr>
      </w:pPr>
      <w:r>
        <w:rPr>
          <w:rFonts w:hint="eastAsia" w:ascii="宋体" w:hAnsi="宋体" w:cs="宋体"/>
          <w:b/>
          <w:bCs/>
          <w:color w:val="auto"/>
          <w:sz w:val="24"/>
          <w:highlight w:val="none"/>
        </w:rPr>
        <w:t xml:space="preserve">广西宏腾招标代理有限公司 </w:t>
      </w:r>
    </w:p>
    <w:p>
      <w:pPr>
        <w:keepNext w:val="0"/>
        <w:keepLines w:val="0"/>
        <w:pageBreakBefore w:val="0"/>
        <w:widowControl w:val="0"/>
        <w:kinsoku/>
        <w:wordWrap/>
        <w:overflowPunct/>
        <w:topLinePunct w:val="0"/>
        <w:autoSpaceDE w:val="0"/>
        <w:autoSpaceDN w:val="0"/>
        <w:bidi w:val="0"/>
        <w:adjustRightInd/>
        <w:snapToGrid/>
        <w:spacing w:line="360" w:lineRule="auto"/>
        <w:jc w:val="center"/>
        <w:textAlignment w:val="auto"/>
        <w:rPr>
          <w:rFonts w:hint="eastAsia" w:ascii="宋体" w:hAnsi="宋体" w:cs="宋体"/>
          <w:b/>
          <w:bCs/>
          <w:color w:val="auto"/>
          <w:sz w:val="24"/>
          <w:highlight w:val="none"/>
        </w:rPr>
      </w:pPr>
      <w:r>
        <w:rPr>
          <w:rFonts w:hint="eastAsia" w:cs="宋体"/>
          <w:b/>
          <w:bCs/>
          <w:color w:val="auto"/>
          <w:sz w:val="24"/>
          <w:highlight w:val="none"/>
          <w:lang w:eastAsia="zh-CN"/>
        </w:rPr>
        <w:t>北流市大伦镇平田垌大桥建设工程</w:t>
      </w:r>
      <w:r>
        <w:rPr>
          <w:rFonts w:hint="eastAsia" w:ascii="宋体" w:hAnsi="宋体" w:cs="宋体"/>
          <w:b/>
          <w:bCs/>
          <w:color w:val="auto"/>
          <w:sz w:val="24"/>
          <w:highlight w:val="none"/>
        </w:rPr>
        <w:t>（项目编号：</w:t>
      </w:r>
      <w:r>
        <w:rPr>
          <w:rFonts w:hint="eastAsia" w:cs="宋体"/>
          <w:b/>
          <w:bCs/>
          <w:color w:val="auto"/>
          <w:sz w:val="24"/>
          <w:highlight w:val="none"/>
          <w:lang w:eastAsia="zh-CN"/>
        </w:rPr>
        <w:t>YLZC2023-C2-84447-HTZB</w:t>
      </w:r>
      <w:r>
        <w:rPr>
          <w:rFonts w:hint="eastAsia" w:ascii="宋体" w:hAnsi="宋体" w:cs="宋体"/>
          <w:b/>
          <w:bCs/>
          <w:color w:val="auto"/>
          <w:sz w:val="24"/>
          <w:highlight w:val="none"/>
        </w:rPr>
        <w:t>）</w:t>
      </w:r>
    </w:p>
    <w:p>
      <w:pPr>
        <w:keepNext w:val="0"/>
        <w:keepLines w:val="0"/>
        <w:pageBreakBefore w:val="0"/>
        <w:widowControl w:val="0"/>
        <w:kinsoku/>
        <w:wordWrap/>
        <w:overflowPunct/>
        <w:topLinePunct w:val="0"/>
        <w:autoSpaceDE w:val="0"/>
        <w:autoSpaceDN w:val="0"/>
        <w:bidi w:val="0"/>
        <w:adjustRightInd/>
        <w:snapToGrid/>
        <w:spacing w:line="360" w:lineRule="auto"/>
        <w:jc w:val="center"/>
        <w:textAlignment w:val="auto"/>
        <w:rPr>
          <w:rFonts w:hint="eastAsia" w:ascii="宋体" w:hAnsi="宋体" w:cs="宋体"/>
          <w:b/>
          <w:bCs/>
          <w:color w:val="auto"/>
          <w:sz w:val="24"/>
          <w:highlight w:val="none"/>
        </w:rPr>
      </w:pPr>
      <w:r>
        <w:rPr>
          <w:rFonts w:hint="eastAsia" w:ascii="宋体" w:hAnsi="宋体" w:cs="宋体"/>
          <w:b/>
          <w:bCs/>
          <w:color w:val="auto"/>
          <w:sz w:val="24"/>
          <w:highlight w:val="none"/>
        </w:rPr>
        <w:t>竞争性磋商公告</w:t>
      </w:r>
    </w:p>
    <w:tbl>
      <w:tblPr>
        <w:tblStyle w:val="41"/>
        <w:tblW w:w="10266" w:type="dxa"/>
        <w:tblInd w:w="33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2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4" w:hRule="atLeast"/>
        </w:trPr>
        <w:tc>
          <w:tcPr>
            <w:tcW w:w="10266" w:type="dxa"/>
          </w:tcPr>
          <w:p>
            <w:pPr>
              <w:keepNext w:val="0"/>
              <w:keepLines w:val="0"/>
              <w:pageBreakBefore w:val="0"/>
              <w:widowControl w:val="0"/>
              <w:kinsoku/>
              <w:wordWrap w:val="0"/>
              <w:overflowPunct/>
              <w:topLinePunct w:val="0"/>
              <w:autoSpaceDE w:val="0"/>
              <w:autoSpaceDN w:val="0"/>
              <w:bidi w:val="0"/>
              <w:adjustRightInd/>
              <w:snapToGrid/>
              <w:spacing w:before="0" w:beforeLines="100" w:line="360" w:lineRule="auto"/>
              <w:textAlignment w:val="auto"/>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项目概况</w:t>
            </w:r>
          </w:p>
          <w:p>
            <w:pPr>
              <w:pStyle w:val="51"/>
              <w:keepNext w:val="0"/>
              <w:keepLines w:val="0"/>
              <w:pageBreakBefore w:val="0"/>
              <w:widowControl w:val="0"/>
              <w:kinsoku/>
              <w:overflowPunct/>
              <w:topLinePunct w:val="0"/>
              <w:autoSpaceDE w:val="0"/>
              <w:autoSpaceDN w:val="0"/>
              <w:bidi w:val="0"/>
              <w:snapToGrid/>
              <w:spacing w:line="360" w:lineRule="auto"/>
              <w:ind w:firstLine="210" w:firstLineChars="100"/>
              <w:textAlignment w:val="auto"/>
              <w:rPr>
                <w:rFonts w:hint="eastAsia"/>
                <w:color w:val="auto"/>
                <w:highlight w:val="none"/>
                <w:vertAlign w:val="baseline"/>
              </w:rPr>
            </w:pPr>
            <w:r>
              <w:rPr>
                <w:rFonts w:hint="eastAsia" w:asciiTheme="minorEastAsia" w:hAnsiTheme="minorEastAsia" w:eastAsiaTheme="minorEastAsia"/>
                <w:color w:val="auto"/>
                <w:sz w:val="21"/>
                <w:szCs w:val="21"/>
                <w:highlight w:val="none"/>
                <w:u w:val="single"/>
                <w:lang w:val="en-US" w:eastAsia="zh-CN"/>
              </w:rPr>
              <w:t>北流市大伦镇平田垌大桥建设工程</w:t>
            </w:r>
            <w:r>
              <w:rPr>
                <w:rFonts w:hint="eastAsia" w:asciiTheme="minorEastAsia" w:hAnsiTheme="minorEastAsia" w:eastAsiaTheme="minorEastAsia"/>
                <w:color w:val="auto"/>
                <w:sz w:val="21"/>
                <w:szCs w:val="21"/>
                <w:highlight w:val="none"/>
                <w:u w:val="none"/>
                <w:lang w:val="en-US" w:eastAsia="zh-CN"/>
              </w:rPr>
              <w:t>采购项目</w:t>
            </w:r>
            <w:r>
              <w:rPr>
                <w:rFonts w:asciiTheme="minorEastAsia" w:hAnsiTheme="minorEastAsia" w:eastAsiaTheme="minorEastAsia"/>
                <w:color w:val="auto"/>
                <w:sz w:val="21"/>
                <w:szCs w:val="21"/>
                <w:highlight w:val="none"/>
              </w:rPr>
              <w:t>的潜在供应商应在“政采云”平台（https://www.zcygov.cn）获取</w:t>
            </w:r>
            <w:r>
              <w:rPr>
                <w:rFonts w:hint="eastAsia" w:asciiTheme="minorEastAsia" w:hAnsiTheme="minorEastAsia" w:eastAsiaTheme="minorEastAsia"/>
                <w:color w:val="auto"/>
                <w:sz w:val="21"/>
                <w:szCs w:val="21"/>
                <w:highlight w:val="none"/>
                <w:lang w:eastAsia="zh-CN"/>
              </w:rPr>
              <w:t>采购</w:t>
            </w:r>
            <w:r>
              <w:rPr>
                <w:rFonts w:asciiTheme="minorEastAsia" w:hAnsiTheme="minorEastAsia" w:eastAsiaTheme="minorEastAsia"/>
                <w:color w:val="auto"/>
                <w:sz w:val="21"/>
                <w:szCs w:val="21"/>
                <w:highlight w:val="none"/>
              </w:rPr>
              <w:t>文件，并于</w:t>
            </w:r>
            <w:r>
              <w:rPr>
                <w:rFonts w:hint="eastAsia" w:asciiTheme="minorEastAsia" w:hAnsiTheme="minorEastAsia" w:eastAsiaTheme="minorEastAsia"/>
                <w:color w:val="auto"/>
                <w:sz w:val="21"/>
                <w:szCs w:val="21"/>
                <w:highlight w:val="none"/>
                <w:lang w:eastAsia="zh-CN"/>
              </w:rPr>
              <w:t>2024年1月11日</w:t>
            </w:r>
            <w:r>
              <w:rPr>
                <w:rFonts w:asciiTheme="minorEastAsia" w:hAnsiTheme="minorEastAsia" w:eastAsiaTheme="minorEastAsia"/>
                <w:color w:val="auto"/>
                <w:sz w:val="21"/>
                <w:szCs w:val="21"/>
                <w:highlight w:val="none"/>
              </w:rPr>
              <w:t>北京时间</w:t>
            </w:r>
            <w:r>
              <w:rPr>
                <w:rFonts w:hint="eastAsia" w:asciiTheme="minorEastAsia" w:hAnsiTheme="minorEastAsia" w:eastAsiaTheme="minorEastAsia"/>
                <w:color w:val="auto"/>
                <w:sz w:val="21"/>
                <w:szCs w:val="21"/>
                <w:highlight w:val="none"/>
                <w:lang w:val="en-US" w:eastAsia="zh-CN"/>
              </w:rPr>
              <w:t>15:00（北京时间）前</w:t>
            </w:r>
            <w:r>
              <w:rPr>
                <w:rFonts w:hint="eastAsia" w:asciiTheme="minorEastAsia" w:hAnsiTheme="minorEastAsia" w:eastAsiaTheme="minorEastAsia"/>
                <w:color w:val="auto"/>
                <w:sz w:val="21"/>
                <w:szCs w:val="21"/>
                <w:highlight w:val="none"/>
                <w:lang w:eastAsia="zh-CN"/>
              </w:rPr>
              <w:t>提</w:t>
            </w:r>
            <w:r>
              <w:rPr>
                <w:rFonts w:asciiTheme="minorEastAsia" w:hAnsiTheme="minorEastAsia" w:eastAsiaTheme="minorEastAsia"/>
                <w:color w:val="auto"/>
                <w:sz w:val="21"/>
                <w:szCs w:val="21"/>
                <w:highlight w:val="none"/>
              </w:rPr>
              <w:t>交响应</w:t>
            </w:r>
            <w:r>
              <w:rPr>
                <w:rFonts w:hint="eastAsia" w:asciiTheme="minorEastAsia" w:hAnsiTheme="minorEastAsia" w:eastAsiaTheme="minorEastAsia"/>
                <w:color w:val="auto"/>
                <w:sz w:val="21"/>
                <w:szCs w:val="21"/>
                <w:highlight w:val="none"/>
              </w:rPr>
              <w:t>文件。</w:t>
            </w:r>
          </w:p>
        </w:tc>
      </w:tr>
    </w:tbl>
    <w:p>
      <w:pPr>
        <w:keepNext w:val="0"/>
        <w:keepLines w:val="0"/>
        <w:pageBreakBefore w:val="0"/>
        <w:widowControl w:val="0"/>
        <w:kinsoku/>
        <w:wordWrap w:val="0"/>
        <w:overflowPunct/>
        <w:topLinePunct w:val="0"/>
        <w:autoSpaceDE w:val="0"/>
        <w:autoSpaceDN w:val="0"/>
        <w:bidi w:val="0"/>
        <w:adjustRightInd/>
        <w:snapToGrid/>
        <w:spacing w:line="360" w:lineRule="auto"/>
        <w:textAlignment w:val="auto"/>
        <w:rPr>
          <w:rFonts w:asciiTheme="minorEastAsia" w:hAnsiTheme="minorEastAsia" w:eastAsiaTheme="minorEastAsia"/>
          <w:b/>
          <w:bCs/>
          <w:color w:val="auto"/>
          <w:sz w:val="21"/>
          <w:szCs w:val="21"/>
          <w:highlight w:val="none"/>
        </w:rPr>
      </w:pPr>
      <w:bookmarkStart w:id="3" w:name="_Hlk120863806"/>
    </w:p>
    <w:p>
      <w:pPr>
        <w:keepNext w:val="0"/>
        <w:keepLines w:val="0"/>
        <w:pageBreakBefore w:val="0"/>
        <w:widowControl w:val="0"/>
        <w:kinsoku/>
        <w:wordWrap w:val="0"/>
        <w:overflowPunct/>
        <w:topLinePunct w:val="0"/>
        <w:autoSpaceDE w:val="0"/>
        <w:autoSpaceDN w:val="0"/>
        <w:bidi w:val="0"/>
        <w:adjustRightInd/>
        <w:snapToGrid/>
        <w:spacing w:line="360" w:lineRule="auto"/>
        <w:ind w:left="425" w:leftChars="193" w:firstLine="1"/>
        <w:textAlignment w:val="auto"/>
        <w:rPr>
          <w:rFonts w:asciiTheme="minorEastAsia" w:hAnsiTheme="minorEastAsia" w:eastAsiaTheme="minorEastAsia"/>
          <w:b/>
          <w:bCs/>
          <w:color w:val="auto"/>
          <w:sz w:val="21"/>
          <w:szCs w:val="21"/>
          <w:highlight w:val="none"/>
        </w:rPr>
      </w:pPr>
      <w:r>
        <w:rPr>
          <w:rFonts w:asciiTheme="minorEastAsia" w:hAnsiTheme="minorEastAsia" w:eastAsiaTheme="minorEastAsia"/>
          <w:b/>
          <w:bCs/>
          <w:color w:val="auto"/>
          <w:sz w:val="21"/>
          <w:szCs w:val="21"/>
          <w:highlight w:val="none"/>
        </w:rPr>
        <w:t>一、项目基本情况</w:t>
      </w:r>
      <w:r>
        <w:rPr>
          <w:rFonts w:asciiTheme="minorEastAsia" w:hAnsiTheme="minorEastAsia" w:eastAsiaTheme="minorEastAsia"/>
          <w:b/>
          <w:bCs/>
          <w:color w:val="auto"/>
          <w:w w:val="99"/>
          <w:sz w:val="21"/>
          <w:szCs w:val="21"/>
          <w:highlight w:val="none"/>
        </w:rPr>
        <w:t xml:space="preserve"> </w:t>
      </w:r>
    </w:p>
    <w:p>
      <w:pPr>
        <w:spacing w:line="360" w:lineRule="auto"/>
        <w:ind w:left="425" w:leftChars="193" w:firstLine="295"/>
        <w:rPr>
          <w:rFonts w:hint="eastAsia" w:asciiTheme="minorEastAsia" w:hAnsiTheme="minorEastAsia" w:eastAsiaTheme="minorEastAsia"/>
          <w:color w:val="auto"/>
          <w:sz w:val="21"/>
          <w:szCs w:val="21"/>
          <w:highlight w:val="none"/>
          <w:lang w:eastAsia="zh-CN"/>
        </w:rPr>
      </w:pPr>
      <w:r>
        <w:rPr>
          <w:rFonts w:asciiTheme="minorEastAsia" w:hAnsiTheme="minorEastAsia" w:eastAsiaTheme="minorEastAsia"/>
          <w:color w:val="auto"/>
          <w:sz w:val="21"/>
          <w:szCs w:val="21"/>
          <w:highlight w:val="none"/>
        </w:rPr>
        <w:t>项目编号：</w:t>
      </w:r>
      <w:r>
        <w:rPr>
          <w:rFonts w:hint="eastAsia" w:asciiTheme="minorEastAsia" w:hAnsiTheme="minorEastAsia" w:eastAsiaTheme="minorEastAsia"/>
          <w:color w:val="auto"/>
          <w:sz w:val="21"/>
          <w:szCs w:val="21"/>
          <w:highlight w:val="none"/>
          <w:lang w:eastAsia="zh-CN"/>
        </w:rPr>
        <w:t>YLZC2023-C2-84447-HTZB</w:t>
      </w:r>
    </w:p>
    <w:p>
      <w:pPr>
        <w:spacing w:line="360" w:lineRule="auto"/>
        <w:ind w:left="425" w:leftChars="193" w:firstLine="295"/>
        <w:rPr>
          <w:rFonts w:hint="eastAsia" w:asciiTheme="minorEastAsia" w:hAnsiTheme="minorEastAsia" w:eastAsiaTheme="minorEastAsia"/>
          <w:color w:val="auto"/>
          <w:sz w:val="21"/>
          <w:szCs w:val="21"/>
          <w:highlight w:val="none"/>
          <w:lang w:eastAsia="zh-CN"/>
        </w:rPr>
      </w:pPr>
      <w:r>
        <w:rPr>
          <w:rFonts w:asciiTheme="minorEastAsia" w:hAnsiTheme="minorEastAsia" w:eastAsiaTheme="minorEastAsia"/>
          <w:color w:val="auto"/>
          <w:sz w:val="21"/>
          <w:szCs w:val="21"/>
          <w:highlight w:val="none"/>
        </w:rPr>
        <w:t>项目名称：</w:t>
      </w:r>
      <w:r>
        <w:rPr>
          <w:rFonts w:hint="eastAsia" w:asciiTheme="minorEastAsia" w:hAnsiTheme="minorEastAsia" w:eastAsiaTheme="minorEastAsia"/>
          <w:color w:val="auto"/>
          <w:sz w:val="21"/>
          <w:szCs w:val="21"/>
          <w:highlight w:val="none"/>
          <w:lang w:eastAsia="zh-CN"/>
        </w:rPr>
        <w:t>北流市大伦镇平田垌大桥建设工程</w:t>
      </w:r>
    </w:p>
    <w:p>
      <w:pPr>
        <w:spacing w:line="360" w:lineRule="auto"/>
        <w:ind w:left="425" w:leftChars="193" w:firstLine="295"/>
        <w:rPr>
          <w:rFonts w:asciiTheme="minorEastAsia" w:hAnsiTheme="minorEastAsia" w:eastAsiaTheme="minorEastAsia"/>
          <w:color w:val="auto"/>
          <w:sz w:val="21"/>
          <w:szCs w:val="21"/>
          <w:highlight w:val="none"/>
        </w:rPr>
      </w:pPr>
      <w:r>
        <w:rPr>
          <w:rFonts w:asciiTheme="minorEastAsia" w:hAnsiTheme="minorEastAsia" w:eastAsiaTheme="minorEastAsia"/>
          <w:color w:val="auto"/>
          <w:sz w:val="21"/>
          <w:szCs w:val="21"/>
          <w:highlight w:val="none"/>
        </w:rPr>
        <w:t xml:space="preserve">采购方式：竞争性磋商 </w:t>
      </w:r>
    </w:p>
    <w:p>
      <w:pPr>
        <w:spacing w:line="360" w:lineRule="auto"/>
        <w:ind w:left="425" w:leftChars="193" w:firstLine="295"/>
        <w:rPr>
          <w:rFonts w:asciiTheme="minorEastAsia" w:hAnsiTheme="minorEastAsia" w:eastAsiaTheme="minorEastAsia"/>
          <w:color w:val="auto"/>
          <w:sz w:val="21"/>
          <w:szCs w:val="21"/>
          <w:highlight w:val="none"/>
        </w:rPr>
      </w:pPr>
      <w:r>
        <w:rPr>
          <w:rFonts w:asciiTheme="minorEastAsia" w:hAnsiTheme="minorEastAsia" w:eastAsiaTheme="minorEastAsia"/>
          <w:color w:val="auto"/>
          <w:sz w:val="21"/>
          <w:szCs w:val="21"/>
          <w:highlight w:val="none"/>
        </w:rPr>
        <w:t>预算总金额（元）：</w:t>
      </w:r>
      <w:r>
        <w:rPr>
          <w:rFonts w:hint="eastAsia" w:asciiTheme="minorEastAsia" w:hAnsiTheme="minorEastAsia" w:eastAsiaTheme="minorEastAsia"/>
          <w:color w:val="auto"/>
          <w:sz w:val="21"/>
          <w:szCs w:val="21"/>
          <w:highlight w:val="none"/>
          <w:lang w:val="en-US" w:eastAsia="zh-CN"/>
        </w:rPr>
        <w:t>3603089.42</w:t>
      </w:r>
    </w:p>
    <w:p>
      <w:pPr>
        <w:keepNext w:val="0"/>
        <w:keepLines w:val="0"/>
        <w:pageBreakBefore w:val="0"/>
        <w:widowControl w:val="0"/>
        <w:kinsoku/>
        <w:wordWrap/>
        <w:overflowPunct/>
        <w:topLinePunct w:val="0"/>
        <w:autoSpaceDE w:val="0"/>
        <w:autoSpaceDN w:val="0"/>
        <w:bidi w:val="0"/>
        <w:adjustRightInd/>
        <w:snapToGrid/>
        <w:spacing w:after="0" w:afterLines="100" w:line="360" w:lineRule="auto"/>
        <w:ind w:left="425" w:leftChars="193" w:firstLine="295"/>
        <w:textAlignment w:val="auto"/>
        <w:rPr>
          <w:rFonts w:hint="eastAsia" w:asciiTheme="minorEastAsia" w:hAnsiTheme="minorEastAsia" w:eastAsiaTheme="minorEastAsia"/>
          <w:color w:val="auto"/>
          <w:sz w:val="21"/>
          <w:szCs w:val="21"/>
          <w:highlight w:val="none"/>
          <w:lang w:eastAsia="zh-CN"/>
        </w:rPr>
      </w:pPr>
      <w:r>
        <w:rPr>
          <w:rFonts w:hint="eastAsia" w:asciiTheme="minorEastAsia" w:hAnsiTheme="minorEastAsia" w:eastAsiaTheme="minorEastAsia"/>
          <w:color w:val="auto"/>
          <w:sz w:val="21"/>
          <w:szCs w:val="21"/>
          <w:highlight w:val="none"/>
          <w:lang w:eastAsia="zh-CN"/>
        </w:rPr>
        <w:t>采购需求：</w:t>
      </w:r>
      <w:bookmarkEnd w:id="3"/>
      <w:r>
        <w:rPr>
          <w:rFonts w:hint="eastAsia" w:asciiTheme="minorEastAsia" w:hAnsiTheme="minorEastAsia" w:eastAsiaTheme="minorEastAsia"/>
          <w:color w:val="auto"/>
          <w:sz w:val="21"/>
          <w:szCs w:val="21"/>
          <w:highlight w:val="none"/>
          <w:lang w:eastAsia="zh-CN"/>
        </w:rPr>
        <w:t xml:space="preserve"> </w:t>
      </w:r>
    </w:p>
    <w:p>
      <w:pPr>
        <w:spacing w:line="360" w:lineRule="auto"/>
        <w:ind w:left="425" w:leftChars="193" w:firstLine="295"/>
        <w:rPr>
          <w:rFonts w:hint="eastAsia" w:asciiTheme="minorEastAsia" w:hAnsiTheme="minorEastAsia" w:eastAsiaTheme="minorEastAsia"/>
          <w:color w:val="auto"/>
          <w:sz w:val="21"/>
          <w:szCs w:val="21"/>
          <w:highlight w:val="none"/>
          <w:lang w:val="en-US" w:eastAsia="zh-CN"/>
        </w:rPr>
      </w:pPr>
      <w:r>
        <w:rPr>
          <w:rFonts w:hint="eastAsia" w:asciiTheme="minorEastAsia" w:hAnsiTheme="minorEastAsia" w:eastAsiaTheme="minorEastAsia"/>
          <w:color w:val="auto"/>
          <w:sz w:val="21"/>
          <w:szCs w:val="21"/>
          <w:highlight w:val="none"/>
          <w:lang w:val="en-US" w:eastAsia="zh-CN"/>
        </w:rPr>
        <w:t>标项名称:</w:t>
      </w:r>
      <w:r>
        <w:rPr>
          <w:rFonts w:hint="eastAsia" w:asciiTheme="minorEastAsia" w:hAnsiTheme="minorEastAsia" w:eastAsiaTheme="minorEastAsia"/>
          <w:color w:val="auto"/>
          <w:sz w:val="21"/>
          <w:szCs w:val="21"/>
          <w:highlight w:val="none"/>
          <w:lang w:eastAsia="zh-CN"/>
        </w:rPr>
        <w:t>北流市大伦镇平田垌大桥建设工程</w:t>
      </w:r>
    </w:p>
    <w:p>
      <w:pPr>
        <w:spacing w:line="360" w:lineRule="auto"/>
        <w:ind w:left="425" w:leftChars="193" w:firstLine="295"/>
        <w:rPr>
          <w:rFonts w:hint="eastAsia" w:asciiTheme="minorEastAsia" w:hAnsiTheme="minorEastAsia" w:eastAsiaTheme="minorEastAsia"/>
          <w:color w:val="auto"/>
          <w:sz w:val="21"/>
          <w:szCs w:val="21"/>
          <w:highlight w:val="none"/>
          <w:lang w:val="en-US" w:eastAsia="zh-CN"/>
        </w:rPr>
      </w:pPr>
      <w:r>
        <w:rPr>
          <w:rFonts w:hint="eastAsia" w:asciiTheme="minorEastAsia" w:hAnsiTheme="minorEastAsia" w:eastAsiaTheme="minorEastAsia"/>
          <w:color w:val="auto"/>
          <w:sz w:val="21"/>
          <w:szCs w:val="21"/>
          <w:highlight w:val="none"/>
          <w:lang w:val="en-US" w:eastAsia="zh-CN"/>
        </w:rPr>
        <w:t>数量:1</w:t>
      </w:r>
    </w:p>
    <w:p>
      <w:pPr>
        <w:spacing w:line="360" w:lineRule="auto"/>
        <w:ind w:left="425" w:leftChars="193" w:firstLine="295"/>
        <w:rPr>
          <w:rFonts w:hint="eastAsia" w:asciiTheme="minorEastAsia" w:hAnsiTheme="minorEastAsia" w:eastAsiaTheme="minorEastAsia"/>
          <w:color w:val="auto"/>
          <w:sz w:val="21"/>
          <w:szCs w:val="21"/>
          <w:highlight w:val="none"/>
          <w:lang w:eastAsia="zh-CN"/>
        </w:rPr>
      </w:pPr>
      <w:r>
        <w:rPr>
          <w:rFonts w:hint="eastAsia" w:asciiTheme="minorEastAsia" w:hAnsiTheme="minorEastAsia" w:eastAsiaTheme="minorEastAsia"/>
          <w:color w:val="auto"/>
          <w:sz w:val="21"/>
          <w:szCs w:val="21"/>
          <w:highlight w:val="none"/>
          <w:lang w:eastAsia="zh-CN"/>
        </w:rPr>
        <w:t>预算金额（元）：</w:t>
      </w:r>
      <w:r>
        <w:rPr>
          <w:rFonts w:hint="eastAsia" w:asciiTheme="minorEastAsia" w:hAnsiTheme="minorEastAsia" w:eastAsiaTheme="minorEastAsia"/>
          <w:color w:val="auto"/>
          <w:sz w:val="21"/>
          <w:szCs w:val="21"/>
          <w:highlight w:val="none"/>
          <w:lang w:val="en-US" w:eastAsia="zh-CN"/>
        </w:rPr>
        <w:t>3603089.42</w:t>
      </w:r>
    </w:p>
    <w:p>
      <w:pPr>
        <w:spacing w:line="360" w:lineRule="auto"/>
        <w:ind w:left="425" w:leftChars="193" w:firstLine="295"/>
        <w:rPr>
          <w:rFonts w:hint="eastAsia" w:asciiTheme="minorEastAsia" w:hAnsiTheme="minorEastAsia" w:eastAsiaTheme="minorEastAsia"/>
          <w:color w:val="auto"/>
          <w:sz w:val="21"/>
          <w:szCs w:val="21"/>
          <w:highlight w:val="none"/>
          <w:lang w:val="en-US" w:eastAsia="zh-CN"/>
        </w:rPr>
      </w:pPr>
      <w:r>
        <w:rPr>
          <w:rFonts w:hint="eastAsia" w:asciiTheme="minorEastAsia" w:hAnsiTheme="minorEastAsia" w:eastAsiaTheme="minorEastAsia"/>
          <w:color w:val="auto"/>
          <w:sz w:val="21"/>
          <w:szCs w:val="21"/>
          <w:highlight w:val="none"/>
          <w:lang w:val="en-US" w:eastAsia="zh-CN"/>
        </w:rPr>
        <w:t>简要规格描述或项目基本概况介绍、用途：本项目主要建设内容有:平田垌大桥临时工程施工便道长60m、架设临时输电线路长300m、预制箱梁平面底座184㎡,桥梁桩基础φ150cm桩基总长73m，墩柱式下构φ130cm墩柱总长18.95m，3*25m预应力混凝土装配式小箱梁上构，15cm厚C40现浇水泥混凝土桥面铺装97. 8m³,桥梁附属结构现浇C30混凝土防撞护栏65.6m³，桥头引道工程浆砌片石挡土墙1316.17m³。如需进一步了解详细内容，详见竞争性磋商文件、工程量清单和工程建设相关资料。</w:t>
      </w:r>
    </w:p>
    <w:p>
      <w:pPr>
        <w:spacing w:line="360" w:lineRule="auto"/>
        <w:ind w:left="425" w:leftChars="193" w:firstLine="295"/>
        <w:rPr>
          <w:rFonts w:hint="eastAsia" w:asciiTheme="minorEastAsia" w:hAnsiTheme="minorEastAsia" w:eastAsiaTheme="minorEastAsia"/>
          <w:color w:val="auto"/>
          <w:sz w:val="21"/>
          <w:szCs w:val="21"/>
          <w:highlight w:val="none"/>
          <w:lang w:val="en-US" w:eastAsia="zh-CN"/>
        </w:rPr>
      </w:pPr>
      <w:r>
        <w:rPr>
          <w:rFonts w:hint="eastAsia" w:asciiTheme="minorEastAsia" w:hAnsiTheme="minorEastAsia" w:eastAsiaTheme="minorEastAsia"/>
          <w:color w:val="auto"/>
          <w:sz w:val="21"/>
          <w:szCs w:val="21"/>
          <w:highlight w:val="none"/>
          <w:lang w:val="en-US" w:eastAsia="zh-CN"/>
        </w:rPr>
        <w:t>最高限价（如有）：/</w:t>
      </w:r>
    </w:p>
    <w:p>
      <w:pPr>
        <w:spacing w:line="360" w:lineRule="auto"/>
        <w:ind w:left="425" w:leftChars="193" w:firstLine="295"/>
        <w:rPr>
          <w:rFonts w:hint="eastAsia" w:asciiTheme="minorEastAsia" w:hAnsiTheme="minorEastAsia" w:eastAsiaTheme="minorEastAsia"/>
          <w:color w:val="auto"/>
          <w:sz w:val="21"/>
          <w:szCs w:val="21"/>
          <w:highlight w:val="none"/>
          <w:lang w:val="en-US" w:eastAsia="zh-CN"/>
        </w:rPr>
      </w:pPr>
      <w:r>
        <w:rPr>
          <w:rFonts w:hint="eastAsia" w:asciiTheme="minorEastAsia" w:hAnsiTheme="minorEastAsia" w:eastAsiaTheme="minorEastAsia"/>
          <w:color w:val="auto"/>
          <w:sz w:val="21"/>
          <w:szCs w:val="21"/>
          <w:highlight w:val="none"/>
          <w:lang w:val="en-US" w:eastAsia="zh-CN"/>
        </w:rPr>
        <w:t>合同履约期限：365日历天</w:t>
      </w:r>
    </w:p>
    <w:p>
      <w:pPr>
        <w:keepNext w:val="0"/>
        <w:keepLines w:val="0"/>
        <w:pageBreakBefore w:val="0"/>
        <w:widowControl w:val="0"/>
        <w:kinsoku/>
        <w:wordWrap/>
        <w:overflowPunct/>
        <w:topLinePunct w:val="0"/>
        <w:autoSpaceDE w:val="0"/>
        <w:autoSpaceDN w:val="0"/>
        <w:bidi w:val="0"/>
        <w:adjustRightInd/>
        <w:snapToGrid/>
        <w:spacing w:after="0" w:afterLines="100" w:line="360" w:lineRule="auto"/>
        <w:ind w:left="425" w:leftChars="193" w:firstLine="295"/>
        <w:textAlignment w:val="auto"/>
        <w:rPr>
          <w:rFonts w:asciiTheme="minorEastAsia" w:hAnsiTheme="minorEastAsia" w:eastAsiaTheme="minorEastAsia"/>
          <w:b/>
          <w:bCs/>
          <w:color w:val="auto"/>
          <w:sz w:val="21"/>
          <w:szCs w:val="21"/>
          <w:highlight w:val="none"/>
        </w:rPr>
      </w:pPr>
      <w:r>
        <w:rPr>
          <w:rFonts w:hint="eastAsia" w:asciiTheme="minorEastAsia" w:hAnsiTheme="minorEastAsia" w:eastAsiaTheme="minorEastAsia"/>
          <w:color w:val="auto"/>
          <w:sz w:val="21"/>
          <w:szCs w:val="21"/>
          <w:highlight w:val="none"/>
          <w:lang w:val="en-US" w:eastAsia="zh-CN"/>
        </w:rPr>
        <w:t>本标项（否）接受联合体投标</w:t>
      </w:r>
      <w:bookmarkStart w:id="4" w:name="_Hlk120864027"/>
    </w:p>
    <w:p>
      <w:pPr>
        <w:spacing w:line="360" w:lineRule="auto"/>
        <w:ind w:left="425" w:leftChars="193" w:firstLine="1"/>
        <w:rPr>
          <w:rFonts w:asciiTheme="minorEastAsia" w:hAnsiTheme="minorEastAsia" w:eastAsiaTheme="minorEastAsia"/>
          <w:b/>
          <w:bCs/>
          <w:color w:val="auto"/>
          <w:sz w:val="21"/>
          <w:szCs w:val="21"/>
          <w:highlight w:val="none"/>
        </w:rPr>
      </w:pPr>
      <w:r>
        <w:rPr>
          <w:rFonts w:asciiTheme="minorEastAsia" w:hAnsiTheme="minorEastAsia" w:eastAsiaTheme="minorEastAsia"/>
          <w:b/>
          <w:bCs/>
          <w:color w:val="auto"/>
          <w:sz w:val="21"/>
          <w:szCs w:val="21"/>
          <w:highlight w:val="none"/>
        </w:rPr>
        <w:t>二、申请人的资格条件：</w:t>
      </w:r>
      <w:r>
        <w:rPr>
          <w:rFonts w:asciiTheme="minorEastAsia" w:hAnsiTheme="minorEastAsia" w:eastAsiaTheme="minorEastAsia"/>
          <w:b/>
          <w:bCs/>
          <w:color w:val="auto"/>
          <w:w w:val="99"/>
          <w:sz w:val="21"/>
          <w:szCs w:val="21"/>
          <w:highlight w:val="none"/>
        </w:rPr>
        <w:t xml:space="preserve"> </w:t>
      </w:r>
    </w:p>
    <w:p>
      <w:pPr>
        <w:spacing w:line="360" w:lineRule="auto"/>
        <w:ind w:left="425" w:leftChars="193" w:firstLine="295"/>
        <w:rPr>
          <w:rFonts w:asciiTheme="minorEastAsia" w:hAnsiTheme="minorEastAsia" w:eastAsiaTheme="minorEastAsia"/>
          <w:color w:val="auto"/>
          <w:sz w:val="21"/>
          <w:szCs w:val="21"/>
          <w:highlight w:val="none"/>
        </w:rPr>
      </w:pPr>
      <w:r>
        <w:rPr>
          <w:rFonts w:asciiTheme="minorEastAsia" w:hAnsiTheme="minorEastAsia" w:eastAsiaTheme="minorEastAsia"/>
          <w:color w:val="auto"/>
          <w:sz w:val="21"/>
          <w:szCs w:val="21"/>
          <w:highlight w:val="none"/>
        </w:rPr>
        <w:t xml:space="preserve">1.满足《中华人民共和国政府采购法》第二十二条规定； </w:t>
      </w:r>
    </w:p>
    <w:p>
      <w:pPr>
        <w:spacing w:line="360" w:lineRule="auto"/>
        <w:ind w:left="425" w:leftChars="193" w:firstLine="295"/>
        <w:rPr>
          <w:rFonts w:asciiTheme="minorEastAsia" w:hAnsiTheme="minorEastAsia" w:eastAsiaTheme="minorEastAsia"/>
          <w:color w:val="auto"/>
          <w:sz w:val="21"/>
          <w:szCs w:val="21"/>
          <w:highlight w:val="none"/>
        </w:rPr>
      </w:pPr>
      <w:r>
        <w:rPr>
          <w:rFonts w:asciiTheme="minorEastAsia" w:hAnsiTheme="minorEastAsia" w:eastAsiaTheme="minorEastAsia"/>
          <w:color w:val="auto"/>
          <w:spacing w:val="-1"/>
          <w:sz w:val="21"/>
          <w:szCs w:val="21"/>
          <w:highlight w:val="none"/>
        </w:rPr>
        <w:t>2.落实政府采购政策需满足的资格要求</w:t>
      </w:r>
      <w:r>
        <w:rPr>
          <w:rFonts w:asciiTheme="minorEastAsia" w:hAnsiTheme="minorEastAsia" w:eastAsiaTheme="minorEastAsia"/>
          <w:color w:val="auto"/>
          <w:spacing w:val="-1"/>
          <w:sz w:val="21"/>
          <w:szCs w:val="21"/>
          <w:highlight w:val="none"/>
          <w:u w:val="none"/>
        </w:rPr>
        <w:t>：</w:t>
      </w:r>
      <w:r>
        <w:rPr>
          <w:rFonts w:asciiTheme="minorEastAsia" w:hAnsiTheme="minorEastAsia" w:eastAsiaTheme="minorEastAsia"/>
          <w:color w:val="auto"/>
          <w:spacing w:val="-2"/>
          <w:sz w:val="21"/>
          <w:szCs w:val="21"/>
          <w:highlight w:val="none"/>
          <w:u w:val="none"/>
        </w:rPr>
        <w:t>本项目属于专门面向中小企业采购的项目, 供应商应</w:t>
      </w:r>
      <w:r>
        <w:rPr>
          <w:rFonts w:hint="eastAsia" w:asciiTheme="minorEastAsia" w:hAnsiTheme="minorEastAsia" w:eastAsiaTheme="minorEastAsia"/>
          <w:color w:val="auto"/>
          <w:spacing w:val="-2"/>
          <w:sz w:val="21"/>
          <w:szCs w:val="21"/>
          <w:highlight w:val="none"/>
          <w:u w:val="none"/>
        </w:rPr>
        <w:t>为</w:t>
      </w:r>
      <w:r>
        <w:rPr>
          <w:rFonts w:asciiTheme="minorEastAsia" w:hAnsiTheme="minorEastAsia" w:eastAsiaTheme="minorEastAsia"/>
          <w:color w:val="auto"/>
          <w:sz w:val="21"/>
          <w:szCs w:val="21"/>
          <w:highlight w:val="none"/>
          <w:u w:val="none"/>
        </w:rPr>
        <w:t>中小微企业或监狱企业或残疾人福利性单位。</w:t>
      </w:r>
    </w:p>
    <w:p>
      <w:pPr>
        <w:spacing w:line="360" w:lineRule="auto"/>
        <w:ind w:left="425" w:leftChars="193" w:firstLine="295"/>
        <w:rPr>
          <w:rFonts w:asciiTheme="minorEastAsia" w:hAnsiTheme="minorEastAsia" w:eastAsiaTheme="minorEastAsia"/>
          <w:color w:val="auto"/>
          <w:sz w:val="21"/>
          <w:szCs w:val="21"/>
          <w:highlight w:val="none"/>
        </w:rPr>
      </w:pPr>
      <w:r>
        <w:rPr>
          <w:rFonts w:asciiTheme="minorEastAsia" w:hAnsiTheme="minorEastAsia" w:eastAsiaTheme="minorEastAsia"/>
          <w:color w:val="auto"/>
          <w:sz w:val="21"/>
          <w:szCs w:val="21"/>
          <w:highlight w:val="none"/>
        </w:rPr>
        <w:t>3.本项目的特定资格要求：</w:t>
      </w:r>
    </w:p>
    <w:p>
      <w:pPr>
        <w:spacing w:line="360" w:lineRule="auto"/>
        <w:ind w:left="425" w:leftChars="193" w:firstLine="295"/>
        <w:rPr>
          <w:rFonts w:hint="eastAsia" w:asciiTheme="minorEastAsia" w:hAnsiTheme="minorEastAsia" w:eastAsiaTheme="minorEastAsia"/>
          <w:color w:val="auto"/>
          <w:spacing w:val="-1"/>
          <w:sz w:val="21"/>
          <w:szCs w:val="21"/>
          <w:highlight w:val="none"/>
        </w:rPr>
      </w:pPr>
      <w:r>
        <w:rPr>
          <w:rFonts w:hint="eastAsia" w:ascii="宋体" w:hAnsi="宋体" w:cs="宋体"/>
          <w:color w:val="auto"/>
          <w:szCs w:val="21"/>
          <w:highlight w:val="none"/>
          <w:lang w:bidi="ar"/>
        </w:rPr>
        <w:t xml:space="preserve"> </w:t>
      </w:r>
      <w:r>
        <w:rPr>
          <w:rFonts w:hint="eastAsia" w:asciiTheme="minorEastAsia" w:hAnsiTheme="minorEastAsia" w:eastAsiaTheme="minorEastAsia"/>
          <w:color w:val="auto"/>
          <w:spacing w:val="-1"/>
          <w:sz w:val="21"/>
          <w:szCs w:val="21"/>
          <w:highlight w:val="none"/>
        </w:rPr>
        <w:t xml:space="preserve"> 3.1</w:t>
      </w:r>
      <w:r>
        <w:rPr>
          <w:rFonts w:hint="eastAsia" w:asciiTheme="minorEastAsia" w:hAnsiTheme="minorEastAsia" w:eastAsiaTheme="minorEastAsia"/>
          <w:color w:val="auto"/>
          <w:spacing w:val="-1"/>
          <w:sz w:val="21"/>
          <w:szCs w:val="21"/>
          <w:highlight w:val="none"/>
          <w:lang w:val="en-US" w:eastAsia="zh-CN"/>
        </w:rPr>
        <w:t xml:space="preserve"> </w:t>
      </w:r>
      <w:r>
        <w:rPr>
          <w:rFonts w:hint="eastAsia" w:asciiTheme="minorEastAsia" w:hAnsiTheme="minorEastAsia" w:eastAsiaTheme="minorEastAsia"/>
          <w:color w:val="auto"/>
          <w:spacing w:val="-1"/>
          <w:sz w:val="21"/>
          <w:szCs w:val="21"/>
          <w:highlight w:val="none"/>
        </w:rPr>
        <w:t>具备公路工程施工总承包叁级以上（含叁级）资质，且具有省级或以上建设行政主管部门颁发的建筑施工企业安全生产许可证的施工企业，并在人员、设备、资金等方面具有相应的施工能力；</w:t>
      </w:r>
    </w:p>
    <w:p>
      <w:pPr>
        <w:spacing w:line="360" w:lineRule="auto"/>
        <w:ind w:left="425" w:leftChars="193" w:firstLine="486" w:firstLineChars="234"/>
        <w:rPr>
          <w:rFonts w:hint="eastAsia" w:asciiTheme="minorEastAsia" w:hAnsiTheme="minorEastAsia" w:eastAsiaTheme="minorEastAsia"/>
          <w:color w:val="auto"/>
          <w:spacing w:val="-1"/>
          <w:sz w:val="21"/>
          <w:szCs w:val="21"/>
          <w:highlight w:val="none"/>
          <w:lang w:eastAsia="zh-CN"/>
        </w:rPr>
      </w:pPr>
      <w:r>
        <w:rPr>
          <w:rFonts w:hint="eastAsia" w:asciiTheme="minorEastAsia" w:hAnsiTheme="minorEastAsia" w:eastAsiaTheme="minorEastAsia"/>
          <w:color w:val="auto"/>
          <w:spacing w:val="-1"/>
          <w:sz w:val="21"/>
          <w:szCs w:val="21"/>
          <w:highlight w:val="none"/>
        </w:rPr>
        <w:t>3.2</w:t>
      </w:r>
      <w:r>
        <w:rPr>
          <w:rFonts w:hint="eastAsia" w:asciiTheme="minorEastAsia" w:hAnsiTheme="minorEastAsia" w:eastAsiaTheme="minorEastAsia"/>
          <w:color w:val="auto"/>
          <w:spacing w:val="-1"/>
          <w:sz w:val="21"/>
          <w:szCs w:val="21"/>
          <w:highlight w:val="none"/>
          <w:lang w:val="en-US" w:eastAsia="zh-CN"/>
        </w:rPr>
        <w:t xml:space="preserve"> </w:t>
      </w:r>
      <w:r>
        <w:rPr>
          <w:rFonts w:hint="eastAsia" w:asciiTheme="minorEastAsia" w:hAnsiTheme="minorEastAsia" w:eastAsiaTheme="minorEastAsia"/>
          <w:color w:val="auto"/>
          <w:spacing w:val="-1"/>
          <w:sz w:val="21"/>
          <w:szCs w:val="21"/>
          <w:highlight w:val="none"/>
        </w:rPr>
        <w:t>投标人拟派项目经理须具备公路工程专业贰级以上（含贰级）注册建造师执业资格，并获得有效的安全生产考核合格证（交安B），并未在其他在施建设工程项目中任职，且为本单位在职职工</w:t>
      </w:r>
      <w:r>
        <w:rPr>
          <w:rFonts w:hint="eastAsia" w:asciiTheme="minorEastAsia" w:hAnsiTheme="minorEastAsia" w:eastAsiaTheme="minorEastAsia"/>
          <w:color w:val="auto"/>
          <w:spacing w:val="-1"/>
          <w:sz w:val="21"/>
          <w:szCs w:val="21"/>
          <w:highlight w:val="none"/>
          <w:lang w:eastAsia="zh-CN"/>
        </w:rPr>
        <w:t>。</w:t>
      </w:r>
    </w:p>
    <w:p>
      <w:pPr>
        <w:spacing w:line="360" w:lineRule="auto"/>
        <w:ind w:left="425" w:leftChars="193" w:firstLine="1"/>
        <w:rPr>
          <w:rFonts w:asciiTheme="minorEastAsia" w:hAnsiTheme="minorEastAsia" w:eastAsiaTheme="minorEastAsia"/>
          <w:b/>
          <w:bCs/>
          <w:color w:val="auto"/>
          <w:sz w:val="21"/>
          <w:szCs w:val="21"/>
          <w:highlight w:val="none"/>
        </w:rPr>
      </w:pPr>
      <w:r>
        <w:rPr>
          <w:rFonts w:asciiTheme="minorEastAsia" w:hAnsiTheme="minorEastAsia" w:eastAsiaTheme="minorEastAsia"/>
          <w:b/>
          <w:bCs/>
          <w:color w:val="auto"/>
          <w:sz w:val="21"/>
          <w:szCs w:val="21"/>
          <w:highlight w:val="none"/>
        </w:rPr>
        <w:t>三、获取竞争性磋商文件</w:t>
      </w:r>
      <w:r>
        <w:rPr>
          <w:rFonts w:asciiTheme="minorEastAsia" w:hAnsiTheme="minorEastAsia" w:eastAsiaTheme="minorEastAsia"/>
          <w:b/>
          <w:bCs/>
          <w:color w:val="auto"/>
          <w:w w:val="99"/>
          <w:sz w:val="21"/>
          <w:szCs w:val="21"/>
          <w:highlight w:val="none"/>
        </w:rPr>
        <w:t xml:space="preserve"> </w:t>
      </w:r>
    </w:p>
    <w:p>
      <w:pPr>
        <w:spacing w:line="360" w:lineRule="auto"/>
        <w:ind w:left="425" w:leftChars="193" w:firstLine="295"/>
        <w:rPr>
          <w:rFonts w:hint="eastAsia" w:cs="宋体" w:asciiTheme="minorEastAsia" w:hAnsiTheme="minorEastAsia" w:eastAsiaTheme="minorEastAsia"/>
          <w:color w:val="auto"/>
          <w:spacing w:val="-14"/>
          <w:sz w:val="21"/>
          <w:szCs w:val="21"/>
          <w:highlight w:val="none"/>
          <w:lang w:val="en-US" w:eastAsia="zh-CN"/>
        </w:rPr>
      </w:pPr>
      <w:r>
        <w:rPr>
          <w:rFonts w:asciiTheme="minorEastAsia" w:hAnsiTheme="minorEastAsia" w:eastAsiaTheme="minorEastAsia"/>
          <w:color w:val="auto"/>
          <w:sz w:val="21"/>
          <w:szCs w:val="21"/>
          <w:highlight w:val="none"/>
        </w:rPr>
        <w:t>时间：</w:t>
      </w:r>
      <w:r>
        <w:rPr>
          <w:rFonts w:hint="eastAsia" w:asciiTheme="minorEastAsia" w:hAnsiTheme="minorEastAsia" w:eastAsiaTheme="minorEastAsia"/>
          <w:color w:val="auto"/>
          <w:sz w:val="21"/>
          <w:szCs w:val="21"/>
          <w:highlight w:val="none"/>
          <w:u w:val="none"/>
          <w:lang w:val="en-US" w:eastAsia="zh-CN"/>
        </w:rPr>
        <w:t xml:space="preserve">2023 </w:t>
      </w:r>
      <w:r>
        <w:rPr>
          <w:rFonts w:asciiTheme="minorEastAsia" w:hAnsiTheme="minorEastAsia" w:eastAsiaTheme="minorEastAsia"/>
          <w:color w:val="auto"/>
          <w:spacing w:val="-32"/>
          <w:sz w:val="21"/>
          <w:szCs w:val="21"/>
          <w:highlight w:val="none"/>
          <w:u w:val="none"/>
        </w:rPr>
        <w:t>年</w:t>
      </w:r>
      <w:r>
        <w:rPr>
          <w:rFonts w:hint="eastAsia" w:asciiTheme="minorEastAsia" w:hAnsiTheme="minorEastAsia" w:eastAsiaTheme="minorEastAsia"/>
          <w:color w:val="auto"/>
          <w:spacing w:val="-32"/>
          <w:sz w:val="21"/>
          <w:szCs w:val="21"/>
          <w:highlight w:val="none"/>
          <w:u w:val="none"/>
          <w:lang w:val="en-US" w:eastAsia="zh-CN"/>
        </w:rPr>
        <w:t xml:space="preserve"> </w:t>
      </w:r>
      <w:r>
        <w:rPr>
          <w:rFonts w:hint="eastAsia" w:asciiTheme="minorEastAsia" w:hAnsiTheme="minorEastAsia" w:eastAsiaTheme="minorEastAsia"/>
          <w:color w:val="auto"/>
          <w:sz w:val="21"/>
          <w:szCs w:val="21"/>
          <w:highlight w:val="none"/>
          <w:u w:val="none"/>
          <w:lang w:val="en-US" w:eastAsia="zh-CN"/>
        </w:rPr>
        <w:t xml:space="preserve">12 </w:t>
      </w:r>
      <w:r>
        <w:rPr>
          <w:rFonts w:asciiTheme="minorEastAsia" w:hAnsiTheme="minorEastAsia" w:eastAsiaTheme="minorEastAsia"/>
          <w:color w:val="auto"/>
          <w:spacing w:val="-32"/>
          <w:sz w:val="21"/>
          <w:szCs w:val="21"/>
          <w:highlight w:val="none"/>
          <w:u w:val="none"/>
        </w:rPr>
        <w:t>月</w:t>
      </w:r>
      <w:r>
        <w:rPr>
          <w:rFonts w:hint="eastAsia" w:asciiTheme="minorEastAsia" w:hAnsiTheme="minorEastAsia" w:eastAsiaTheme="minorEastAsia"/>
          <w:color w:val="auto"/>
          <w:spacing w:val="-32"/>
          <w:sz w:val="21"/>
          <w:szCs w:val="21"/>
          <w:highlight w:val="none"/>
          <w:u w:val="none"/>
          <w:lang w:val="en-US" w:eastAsia="zh-CN"/>
        </w:rPr>
        <w:t xml:space="preserve"> </w:t>
      </w:r>
      <w:r>
        <w:rPr>
          <w:rFonts w:hint="eastAsia" w:asciiTheme="minorEastAsia" w:hAnsiTheme="minorEastAsia" w:eastAsiaTheme="minorEastAsia"/>
          <w:color w:val="auto"/>
          <w:sz w:val="21"/>
          <w:szCs w:val="21"/>
          <w:highlight w:val="none"/>
          <w:u w:val="none"/>
          <w:lang w:val="en-US" w:eastAsia="zh-CN"/>
        </w:rPr>
        <w:t xml:space="preserve">29 </w:t>
      </w:r>
      <w:r>
        <w:rPr>
          <w:rFonts w:asciiTheme="minorEastAsia" w:hAnsiTheme="minorEastAsia" w:eastAsiaTheme="minorEastAsia"/>
          <w:color w:val="auto"/>
          <w:spacing w:val="-14"/>
          <w:sz w:val="21"/>
          <w:szCs w:val="21"/>
          <w:highlight w:val="none"/>
          <w:u w:val="none"/>
        </w:rPr>
        <w:t>日</w:t>
      </w:r>
      <w:r>
        <w:rPr>
          <w:rFonts w:asciiTheme="minorEastAsia" w:hAnsiTheme="minorEastAsia" w:eastAsiaTheme="minorEastAsia"/>
          <w:color w:val="auto"/>
          <w:sz w:val="21"/>
          <w:szCs w:val="21"/>
          <w:highlight w:val="none"/>
          <w:u w:val="none"/>
        </w:rPr>
        <w:t>起</w:t>
      </w:r>
      <w:r>
        <w:rPr>
          <w:rFonts w:asciiTheme="minorEastAsia" w:hAnsiTheme="minorEastAsia" w:eastAsiaTheme="minorEastAsia"/>
          <w:color w:val="auto"/>
          <w:spacing w:val="-25"/>
          <w:sz w:val="21"/>
          <w:szCs w:val="21"/>
          <w:highlight w:val="none"/>
          <w:u w:val="none"/>
        </w:rPr>
        <w:t>至</w:t>
      </w:r>
      <w:r>
        <w:rPr>
          <w:rFonts w:hint="eastAsia" w:asciiTheme="minorEastAsia" w:hAnsiTheme="minorEastAsia" w:eastAsiaTheme="minorEastAsia"/>
          <w:color w:val="auto"/>
          <w:sz w:val="21"/>
          <w:szCs w:val="21"/>
          <w:highlight w:val="none"/>
          <w:u w:val="none"/>
          <w:lang w:val="en-US" w:eastAsia="zh-CN"/>
        </w:rPr>
        <w:t xml:space="preserve">2024 </w:t>
      </w:r>
      <w:r>
        <w:rPr>
          <w:rFonts w:asciiTheme="minorEastAsia" w:hAnsiTheme="minorEastAsia" w:eastAsiaTheme="minorEastAsia"/>
          <w:color w:val="auto"/>
          <w:spacing w:val="-32"/>
          <w:sz w:val="21"/>
          <w:szCs w:val="21"/>
          <w:highlight w:val="none"/>
          <w:u w:val="none"/>
        </w:rPr>
        <w:t>年</w:t>
      </w:r>
      <w:r>
        <w:rPr>
          <w:rFonts w:hint="eastAsia" w:asciiTheme="minorEastAsia" w:hAnsiTheme="minorEastAsia" w:eastAsiaTheme="minorEastAsia"/>
          <w:color w:val="auto"/>
          <w:spacing w:val="-32"/>
          <w:sz w:val="21"/>
          <w:szCs w:val="21"/>
          <w:highlight w:val="none"/>
          <w:u w:val="none"/>
          <w:lang w:val="en-US" w:eastAsia="zh-CN"/>
        </w:rPr>
        <w:t xml:space="preserve"> </w:t>
      </w:r>
      <w:r>
        <w:rPr>
          <w:rFonts w:hint="eastAsia" w:asciiTheme="minorEastAsia" w:hAnsiTheme="minorEastAsia" w:eastAsiaTheme="minorEastAsia"/>
          <w:color w:val="auto"/>
          <w:sz w:val="21"/>
          <w:szCs w:val="21"/>
          <w:highlight w:val="none"/>
          <w:u w:val="none"/>
          <w:lang w:val="en-US" w:eastAsia="zh-CN"/>
        </w:rPr>
        <w:t>1</w:t>
      </w:r>
      <w:r>
        <w:rPr>
          <w:rFonts w:asciiTheme="minorEastAsia" w:hAnsiTheme="minorEastAsia" w:eastAsiaTheme="minorEastAsia"/>
          <w:color w:val="auto"/>
          <w:spacing w:val="-32"/>
          <w:sz w:val="21"/>
          <w:szCs w:val="21"/>
          <w:highlight w:val="none"/>
          <w:u w:val="none"/>
        </w:rPr>
        <w:t>月</w:t>
      </w:r>
      <w:r>
        <w:rPr>
          <w:rFonts w:hint="eastAsia" w:asciiTheme="minorEastAsia" w:hAnsiTheme="minorEastAsia" w:eastAsiaTheme="minorEastAsia"/>
          <w:color w:val="auto"/>
          <w:spacing w:val="-32"/>
          <w:sz w:val="21"/>
          <w:szCs w:val="21"/>
          <w:highlight w:val="none"/>
          <w:u w:val="none"/>
          <w:lang w:val="en-US" w:eastAsia="zh-CN"/>
        </w:rPr>
        <w:t xml:space="preserve"> 8 </w:t>
      </w:r>
      <w:r>
        <w:rPr>
          <w:rFonts w:asciiTheme="minorEastAsia" w:hAnsiTheme="minorEastAsia" w:eastAsiaTheme="minorEastAsia"/>
          <w:color w:val="auto"/>
          <w:spacing w:val="-14"/>
          <w:sz w:val="21"/>
          <w:szCs w:val="21"/>
          <w:highlight w:val="none"/>
          <w:u w:val="none"/>
        </w:rPr>
        <w:t>日</w:t>
      </w:r>
      <w:r>
        <w:rPr>
          <w:rFonts w:asciiTheme="minorEastAsia" w:hAnsiTheme="minorEastAsia" w:eastAsiaTheme="minorEastAsia"/>
          <w:color w:val="auto"/>
          <w:spacing w:val="-14"/>
          <w:sz w:val="21"/>
          <w:szCs w:val="21"/>
          <w:highlight w:val="none"/>
        </w:rPr>
        <w:t>，每天上午</w:t>
      </w:r>
      <w:r>
        <w:rPr>
          <w:rFonts w:hint="eastAsia" w:asciiTheme="minorEastAsia" w:hAnsiTheme="minorEastAsia" w:eastAsiaTheme="minorEastAsia"/>
          <w:color w:val="auto"/>
          <w:spacing w:val="-14"/>
          <w:sz w:val="21"/>
          <w:szCs w:val="21"/>
          <w:highlight w:val="none"/>
        </w:rPr>
        <w:t>上午</w:t>
      </w:r>
      <w:r>
        <w:rPr>
          <w:rFonts w:hint="eastAsia" w:cs="宋体" w:asciiTheme="minorEastAsia" w:hAnsiTheme="minorEastAsia" w:eastAsiaTheme="minorEastAsia"/>
          <w:color w:val="auto"/>
          <w:spacing w:val="-14"/>
          <w:sz w:val="21"/>
          <w:szCs w:val="21"/>
          <w:highlight w:val="none"/>
        </w:rPr>
        <w:t>0</w:t>
      </w:r>
      <w:r>
        <w:rPr>
          <w:rFonts w:hint="eastAsia" w:cs="宋体" w:asciiTheme="minorEastAsia" w:hAnsiTheme="minorEastAsia" w:eastAsiaTheme="minorEastAsia"/>
          <w:color w:val="auto"/>
          <w:spacing w:val="-14"/>
          <w:sz w:val="21"/>
          <w:szCs w:val="21"/>
          <w:highlight w:val="none"/>
          <w:lang w:val="en-US" w:eastAsia="zh-CN"/>
        </w:rPr>
        <w:t>0</w:t>
      </w:r>
      <w:r>
        <w:rPr>
          <w:rFonts w:hint="eastAsia" w:cs="宋体" w:asciiTheme="minorEastAsia" w:hAnsiTheme="minorEastAsia" w:eastAsiaTheme="minorEastAsia"/>
          <w:color w:val="auto"/>
          <w:spacing w:val="-14"/>
          <w:sz w:val="21"/>
          <w:szCs w:val="21"/>
          <w:highlight w:val="none"/>
        </w:rPr>
        <w:t>:00至12:00</w:t>
      </w:r>
      <w:r>
        <w:rPr>
          <w:rFonts w:hint="eastAsia" w:cs="宋体" w:asciiTheme="minorEastAsia" w:hAnsiTheme="minorEastAsia" w:eastAsiaTheme="minorEastAsia"/>
          <w:color w:val="auto"/>
          <w:spacing w:val="-14"/>
          <w:sz w:val="21"/>
          <w:szCs w:val="21"/>
          <w:highlight w:val="none"/>
          <w:lang w:eastAsia="zh-CN"/>
        </w:rPr>
        <w:t>，</w:t>
      </w:r>
      <w:r>
        <w:rPr>
          <w:rFonts w:hint="eastAsia" w:cs="宋体" w:asciiTheme="minorEastAsia" w:hAnsiTheme="minorEastAsia" w:eastAsiaTheme="minorEastAsia"/>
          <w:color w:val="auto"/>
          <w:spacing w:val="-14"/>
          <w:sz w:val="21"/>
          <w:szCs w:val="21"/>
          <w:highlight w:val="none"/>
        </w:rPr>
        <w:t>下午</w:t>
      </w:r>
      <w:r>
        <w:rPr>
          <w:rFonts w:hint="eastAsia" w:cs="宋体" w:asciiTheme="minorEastAsia" w:hAnsiTheme="minorEastAsia" w:eastAsiaTheme="minorEastAsia"/>
          <w:color w:val="auto"/>
          <w:spacing w:val="-14"/>
          <w:sz w:val="21"/>
          <w:szCs w:val="21"/>
          <w:highlight w:val="none"/>
          <w:lang w:val="en-US" w:eastAsia="zh-CN"/>
        </w:rPr>
        <w:t>12</w:t>
      </w:r>
      <w:r>
        <w:rPr>
          <w:rFonts w:hint="eastAsia" w:cs="宋体" w:asciiTheme="minorEastAsia" w:hAnsiTheme="minorEastAsia" w:eastAsiaTheme="minorEastAsia"/>
          <w:color w:val="auto"/>
          <w:spacing w:val="-14"/>
          <w:sz w:val="21"/>
          <w:szCs w:val="21"/>
          <w:highlight w:val="none"/>
        </w:rPr>
        <w:t>:00至</w:t>
      </w:r>
      <w:r>
        <w:rPr>
          <w:rFonts w:hint="eastAsia" w:cs="宋体" w:asciiTheme="minorEastAsia" w:hAnsiTheme="minorEastAsia" w:eastAsiaTheme="minorEastAsia"/>
          <w:color w:val="auto"/>
          <w:spacing w:val="-14"/>
          <w:sz w:val="21"/>
          <w:szCs w:val="21"/>
          <w:highlight w:val="none"/>
          <w:lang w:val="en-US" w:eastAsia="zh-CN"/>
        </w:rPr>
        <w:t>23</w:t>
      </w:r>
      <w:r>
        <w:rPr>
          <w:rFonts w:hint="eastAsia" w:cs="宋体" w:asciiTheme="minorEastAsia" w:hAnsiTheme="minorEastAsia" w:eastAsiaTheme="minorEastAsia"/>
          <w:color w:val="auto"/>
          <w:spacing w:val="-14"/>
          <w:sz w:val="21"/>
          <w:szCs w:val="21"/>
          <w:highlight w:val="none"/>
        </w:rPr>
        <w:t>:</w:t>
      </w:r>
      <w:r>
        <w:rPr>
          <w:rFonts w:hint="eastAsia" w:cs="宋体" w:asciiTheme="minorEastAsia" w:hAnsiTheme="minorEastAsia" w:eastAsiaTheme="minorEastAsia"/>
          <w:color w:val="auto"/>
          <w:spacing w:val="-14"/>
          <w:sz w:val="21"/>
          <w:szCs w:val="21"/>
          <w:highlight w:val="none"/>
          <w:lang w:val="en-US" w:eastAsia="zh-CN"/>
        </w:rPr>
        <w:t>59</w:t>
      </w:r>
      <w:r>
        <w:rPr>
          <w:rFonts w:cs="宋体" w:asciiTheme="minorEastAsia" w:hAnsiTheme="minorEastAsia" w:eastAsiaTheme="minorEastAsia"/>
          <w:color w:val="auto"/>
          <w:spacing w:val="-14"/>
          <w:sz w:val="21"/>
          <w:szCs w:val="21"/>
          <w:highlight w:val="none"/>
        </w:rPr>
        <w:t>（北京时间，法定节假日除外）</w:t>
      </w:r>
      <w:r>
        <w:rPr>
          <w:rFonts w:hint="eastAsia" w:cs="宋体" w:asciiTheme="minorEastAsia" w:hAnsiTheme="minorEastAsia" w:eastAsiaTheme="minorEastAsia"/>
          <w:color w:val="auto"/>
          <w:spacing w:val="-14"/>
          <w:sz w:val="21"/>
          <w:szCs w:val="21"/>
          <w:highlight w:val="none"/>
          <w:lang w:eastAsia="zh-CN"/>
        </w:rPr>
        <w:t>。</w:t>
      </w:r>
    </w:p>
    <w:p>
      <w:pPr>
        <w:spacing w:line="360" w:lineRule="auto"/>
        <w:ind w:left="425" w:leftChars="193" w:firstLine="295"/>
        <w:rPr>
          <w:rFonts w:asciiTheme="minorEastAsia" w:hAnsiTheme="minorEastAsia" w:eastAsiaTheme="minorEastAsia"/>
          <w:color w:val="auto"/>
          <w:sz w:val="21"/>
          <w:szCs w:val="21"/>
          <w:highlight w:val="none"/>
        </w:rPr>
      </w:pPr>
      <w:r>
        <w:rPr>
          <w:rFonts w:asciiTheme="minorEastAsia" w:hAnsiTheme="minorEastAsia" w:eastAsiaTheme="minorEastAsia"/>
          <w:color w:val="auto"/>
          <w:sz w:val="21"/>
          <w:szCs w:val="21"/>
          <w:highlight w:val="none"/>
        </w:rPr>
        <w:t>地点：“政采云”平台（https:/</w:t>
      </w:r>
      <w:r>
        <w:rPr>
          <w:color w:val="auto"/>
          <w:highlight w:val="none"/>
        </w:rPr>
        <w:fldChar w:fldCharType="begin"/>
      </w:r>
      <w:r>
        <w:rPr>
          <w:color w:val="auto"/>
          <w:highlight w:val="none"/>
        </w:rPr>
        <w:instrText xml:space="preserve"> HYPERLINK "http://www.zcygov.cn/" \h </w:instrText>
      </w:r>
      <w:r>
        <w:rPr>
          <w:color w:val="auto"/>
          <w:highlight w:val="none"/>
        </w:rPr>
        <w:fldChar w:fldCharType="separate"/>
      </w:r>
      <w:r>
        <w:rPr>
          <w:rFonts w:asciiTheme="minorEastAsia" w:hAnsiTheme="minorEastAsia" w:eastAsiaTheme="minorEastAsia"/>
          <w:color w:val="auto"/>
          <w:sz w:val="21"/>
          <w:szCs w:val="21"/>
          <w:highlight w:val="none"/>
        </w:rPr>
        <w:t>/www.zcygov.cn</w:t>
      </w:r>
      <w:r>
        <w:rPr>
          <w:rFonts w:asciiTheme="minorEastAsia" w:hAnsiTheme="minorEastAsia" w:eastAsiaTheme="minorEastAsia"/>
          <w:color w:val="auto"/>
          <w:sz w:val="21"/>
          <w:szCs w:val="21"/>
          <w:highlight w:val="none"/>
        </w:rPr>
        <w:fldChar w:fldCharType="end"/>
      </w:r>
      <w:r>
        <w:rPr>
          <w:rFonts w:asciiTheme="minorEastAsia" w:hAnsiTheme="minorEastAsia" w:eastAsiaTheme="minorEastAsia"/>
          <w:color w:val="auto"/>
          <w:sz w:val="21"/>
          <w:szCs w:val="21"/>
          <w:highlight w:val="none"/>
        </w:rPr>
        <w:t xml:space="preserve">） </w:t>
      </w:r>
    </w:p>
    <w:p>
      <w:pPr>
        <w:spacing w:line="360" w:lineRule="auto"/>
        <w:ind w:left="425" w:leftChars="193" w:firstLine="295"/>
        <w:rPr>
          <w:rFonts w:asciiTheme="minorEastAsia" w:hAnsiTheme="minorEastAsia" w:eastAsiaTheme="minorEastAsia"/>
          <w:color w:val="auto"/>
          <w:sz w:val="21"/>
          <w:szCs w:val="21"/>
          <w:highlight w:val="none"/>
        </w:rPr>
      </w:pPr>
      <w:r>
        <w:rPr>
          <w:rFonts w:asciiTheme="minorEastAsia" w:hAnsiTheme="minorEastAsia" w:eastAsiaTheme="minorEastAsia"/>
          <w:color w:val="auto"/>
          <w:spacing w:val="-9"/>
          <w:sz w:val="21"/>
          <w:szCs w:val="21"/>
          <w:highlight w:val="none"/>
        </w:rPr>
        <w:t>方式：</w:t>
      </w:r>
      <w:r>
        <w:rPr>
          <w:rFonts w:hint="eastAsia" w:asciiTheme="minorEastAsia" w:hAnsiTheme="minorEastAsia" w:eastAsiaTheme="minorEastAsia"/>
          <w:color w:val="auto"/>
          <w:spacing w:val="-9"/>
          <w:sz w:val="21"/>
          <w:szCs w:val="21"/>
          <w:highlight w:val="none"/>
        </w:rPr>
        <w:t>供应商登录政采云平台https://www.zcygov.cn/在线申请获取采购文件（进入“项目采购”应用，在获取采购文件菜单中选择项目，申请获取采购文件）</w:t>
      </w:r>
      <w:r>
        <w:rPr>
          <w:rFonts w:asciiTheme="minorEastAsia" w:hAnsiTheme="minorEastAsia" w:eastAsiaTheme="minorEastAsia"/>
          <w:color w:val="auto"/>
          <w:sz w:val="21"/>
          <w:szCs w:val="21"/>
          <w:highlight w:val="none"/>
        </w:rPr>
        <w:t xml:space="preserve"> </w:t>
      </w:r>
    </w:p>
    <w:p>
      <w:pPr>
        <w:spacing w:line="360" w:lineRule="auto"/>
        <w:ind w:left="425" w:leftChars="193" w:firstLine="295"/>
        <w:rPr>
          <w:rFonts w:asciiTheme="minorEastAsia" w:hAnsiTheme="minorEastAsia" w:eastAsiaTheme="minorEastAsia"/>
          <w:color w:val="auto"/>
          <w:sz w:val="21"/>
          <w:szCs w:val="21"/>
          <w:highlight w:val="none"/>
        </w:rPr>
      </w:pPr>
      <w:r>
        <w:rPr>
          <w:rFonts w:asciiTheme="minorEastAsia" w:hAnsiTheme="minorEastAsia" w:eastAsiaTheme="minorEastAsia"/>
          <w:color w:val="auto"/>
          <w:sz w:val="21"/>
          <w:szCs w:val="21"/>
          <w:highlight w:val="none"/>
        </w:rPr>
        <w:t>售价（元）：</w:t>
      </w:r>
      <w:r>
        <w:rPr>
          <w:rFonts w:asciiTheme="minorEastAsia" w:hAnsiTheme="minorEastAsia" w:eastAsiaTheme="minorEastAsia"/>
          <w:color w:val="auto"/>
          <w:sz w:val="21"/>
          <w:szCs w:val="21"/>
          <w:highlight w:val="none"/>
          <w:u w:val="none"/>
        </w:rPr>
        <w:t xml:space="preserve">0 </w:t>
      </w:r>
    </w:p>
    <w:p>
      <w:pPr>
        <w:spacing w:line="360" w:lineRule="auto"/>
        <w:ind w:left="425" w:leftChars="193" w:firstLine="1"/>
        <w:rPr>
          <w:rFonts w:asciiTheme="minorEastAsia" w:hAnsiTheme="minorEastAsia" w:eastAsiaTheme="minorEastAsia"/>
          <w:color w:val="auto"/>
          <w:sz w:val="21"/>
          <w:szCs w:val="21"/>
          <w:highlight w:val="none"/>
        </w:rPr>
      </w:pPr>
      <w:r>
        <w:rPr>
          <w:rFonts w:asciiTheme="minorEastAsia" w:hAnsiTheme="minorEastAsia" w:eastAsiaTheme="minorEastAsia"/>
          <w:b/>
          <w:bCs/>
          <w:color w:val="auto"/>
          <w:sz w:val="21"/>
          <w:szCs w:val="21"/>
          <w:highlight w:val="none"/>
        </w:rPr>
        <w:t>四、响应文件提交</w:t>
      </w:r>
      <w:r>
        <w:rPr>
          <w:rFonts w:asciiTheme="minorEastAsia" w:hAnsiTheme="minorEastAsia" w:eastAsiaTheme="minorEastAsia"/>
          <w:color w:val="auto"/>
          <w:w w:val="99"/>
          <w:sz w:val="21"/>
          <w:szCs w:val="21"/>
          <w:highlight w:val="none"/>
        </w:rPr>
        <w:t xml:space="preserve"> </w:t>
      </w:r>
    </w:p>
    <w:p>
      <w:pPr>
        <w:spacing w:line="360" w:lineRule="auto"/>
        <w:ind w:left="425" w:leftChars="193" w:firstLine="295"/>
        <w:rPr>
          <w:rFonts w:asciiTheme="minorEastAsia" w:hAnsiTheme="minorEastAsia" w:eastAsiaTheme="minorEastAsia"/>
          <w:color w:val="auto"/>
          <w:sz w:val="21"/>
          <w:szCs w:val="21"/>
          <w:highlight w:val="none"/>
        </w:rPr>
      </w:pPr>
      <w:r>
        <w:rPr>
          <w:rFonts w:asciiTheme="minorEastAsia" w:hAnsiTheme="minorEastAsia" w:eastAsiaTheme="minorEastAsia"/>
          <w:color w:val="auto"/>
          <w:sz w:val="21"/>
          <w:szCs w:val="21"/>
          <w:highlight w:val="none"/>
        </w:rPr>
        <w:t>截止时间：</w:t>
      </w:r>
      <w:r>
        <w:rPr>
          <w:rFonts w:hint="eastAsia" w:asciiTheme="minorEastAsia" w:hAnsiTheme="minorEastAsia" w:eastAsiaTheme="minorEastAsia"/>
          <w:color w:val="auto"/>
          <w:sz w:val="21"/>
          <w:szCs w:val="21"/>
          <w:highlight w:val="none"/>
          <w:lang w:eastAsia="zh-CN"/>
        </w:rPr>
        <w:t>2024年1月11日</w:t>
      </w:r>
      <w:r>
        <w:rPr>
          <w:rFonts w:hint="eastAsia" w:asciiTheme="minorEastAsia" w:hAnsiTheme="minorEastAsia" w:eastAsiaTheme="minorEastAsia"/>
          <w:color w:val="auto"/>
          <w:sz w:val="21"/>
          <w:szCs w:val="21"/>
          <w:highlight w:val="none"/>
          <w:lang w:val="en-US" w:eastAsia="zh-CN"/>
        </w:rPr>
        <w:t xml:space="preserve"> 15:00</w:t>
      </w:r>
      <w:r>
        <w:rPr>
          <w:rFonts w:hint="eastAsia" w:asciiTheme="minorEastAsia" w:hAnsiTheme="minorEastAsia" w:eastAsiaTheme="minorEastAsia"/>
          <w:color w:val="auto"/>
          <w:sz w:val="21"/>
          <w:szCs w:val="21"/>
          <w:highlight w:val="none"/>
        </w:rPr>
        <w:t>（北京时间）</w:t>
      </w:r>
    </w:p>
    <w:p>
      <w:pPr>
        <w:spacing w:line="360" w:lineRule="auto"/>
        <w:ind w:left="425" w:leftChars="193" w:firstLine="295"/>
        <w:rPr>
          <w:rFonts w:asciiTheme="minorEastAsia" w:hAnsiTheme="minorEastAsia" w:eastAsiaTheme="minorEastAsia"/>
          <w:color w:val="auto"/>
          <w:sz w:val="21"/>
          <w:szCs w:val="21"/>
          <w:highlight w:val="none"/>
        </w:rPr>
      </w:pPr>
      <w:r>
        <w:rPr>
          <w:rFonts w:asciiTheme="minorEastAsia" w:hAnsiTheme="minorEastAsia" w:eastAsiaTheme="minorEastAsia"/>
          <w:color w:val="auto"/>
          <w:sz w:val="21"/>
          <w:szCs w:val="21"/>
          <w:highlight w:val="none"/>
        </w:rPr>
        <w:t>地点：政府采购云平台（https:/</w:t>
      </w:r>
      <w:r>
        <w:rPr>
          <w:color w:val="auto"/>
          <w:highlight w:val="none"/>
        </w:rPr>
        <w:fldChar w:fldCharType="begin"/>
      </w:r>
      <w:r>
        <w:rPr>
          <w:color w:val="auto"/>
          <w:highlight w:val="none"/>
        </w:rPr>
        <w:instrText xml:space="preserve"> HYPERLINK "http://www.zcygov.cn/" \h </w:instrText>
      </w:r>
      <w:r>
        <w:rPr>
          <w:color w:val="auto"/>
          <w:highlight w:val="none"/>
        </w:rPr>
        <w:fldChar w:fldCharType="separate"/>
      </w:r>
      <w:r>
        <w:rPr>
          <w:rFonts w:asciiTheme="minorEastAsia" w:hAnsiTheme="minorEastAsia" w:eastAsiaTheme="minorEastAsia"/>
          <w:color w:val="auto"/>
          <w:sz w:val="21"/>
          <w:szCs w:val="21"/>
          <w:highlight w:val="none"/>
        </w:rPr>
        <w:t>/www.zcygov.cn/</w:t>
      </w:r>
      <w:r>
        <w:rPr>
          <w:rFonts w:asciiTheme="minorEastAsia" w:hAnsiTheme="minorEastAsia" w:eastAsiaTheme="minorEastAsia"/>
          <w:color w:val="auto"/>
          <w:sz w:val="21"/>
          <w:szCs w:val="21"/>
          <w:highlight w:val="none"/>
        </w:rPr>
        <w:fldChar w:fldCharType="end"/>
      </w:r>
      <w:r>
        <w:rPr>
          <w:rFonts w:asciiTheme="minorEastAsia" w:hAnsiTheme="minorEastAsia" w:eastAsiaTheme="minorEastAsia"/>
          <w:color w:val="auto"/>
          <w:sz w:val="21"/>
          <w:szCs w:val="21"/>
          <w:highlight w:val="none"/>
        </w:rPr>
        <w:t xml:space="preserve">）在线提交响应文件 </w:t>
      </w:r>
    </w:p>
    <w:p>
      <w:pPr>
        <w:spacing w:line="360" w:lineRule="auto"/>
        <w:ind w:left="425" w:leftChars="193" w:firstLine="1"/>
        <w:rPr>
          <w:rFonts w:asciiTheme="minorEastAsia" w:hAnsiTheme="minorEastAsia" w:eastAsiaTheme="minorEastAsia"/>
          <w:b/>
          <w:bCs/>
          <w:color w:val="auto"/>
          <w:sz w:val="21"/>
          <w:szCs w:val="21"/>
          <w:highlight w:val="none"/>
        </w:rPr>
      </w:pPr>
      <w:r>
        <w:rPr>
          <w:rFonts w:asciiTheme="minorEastAsia" w:hAnsiTheme="minorEastAsia" w:eastAsiaTheme="minorEastAsia"/>
          <w:b/>
          <w:bCs/>
          <w:color w:val="auto"/>
          <w:sz w:val="21"/>
          <w:szCs w:val="21"/>
          <w:highlight w:val="none"/>
        </w:rPr>
        <w:t>五、响应文件开启 </w:t>
      </w:r>
    </w:p>
    <w:p>
      <w:pPr>
        <w:spacing w:line="360" w:lineRule="auto"/>
        <w:ind w:left="425" w:leftChars="193" w:firstLine="295"/>
        <w:rPr>
          <w:rFonts w:asciiTheme="minorEastAsia" w:hAnsiTheme="minorEastAsia" w:eastAsiaTheme="minorEastAsia"/>
          <w:color w:val="auto"/>
          <w:sz w:val="21"/>
          <w:szCs w:val="21"/>
          <w:highlight w:val="none"/>
        </w:rPr>
      </w:pPr>
      <w:r>
        <w:rPr>
          <w:rFonts w:asciiTheme="minorEastAsia" w:hAnsiTheme="minorEastAsia" w:eastAsiaTheme="minorEastAsia"/>
          <w:color w:val="auto"/>
          <w:sz w:val="21"/>
          <w:szCs w:val="21"/>
          <w:highlight w:val="none"/>
        </w:rPr>
        <w:t>1.时间：</w:t>
      </w:r>
      <w:r>
        <w:rPr>
          <w:rFonts w:hint="eastAsia" w:asciiTheme="minorEastAsia" w:hAnsiTheme="minorEastAsia" w:eastAsiaTheme="minorEastAsia"/>
          <w:color w:val="auto"/>
          <w:sz w:val="21"/>
          <w:szCs w:val="21"/>
          <w:highlight w:val="none"/>
          <w:lang w:eastAsia="zh-CN"/>
        </w:rPr>
        <w:t>2024年1月11日</w:t>
      </w:r>
      <w:r>
        <w:rPr>
          <w:rFonts w:hint="eastAsia" w:asciiTheme="minorEastAsia" w:hAnsiTheme="minorEastAsia" w:eastAsiaTheme="minorEastAsia"/>
          <w:color w:val="auto"/>
          <w:sz w:val="21"/>
          <w:szCs w:val="21"/>
          <w:highlight w:val="none"/>
          <w:lang w:val="en-US" w:eastAsia="zh-CN"/>
        </w:rPr>
        <w:t xml:space="preserve"> 15:00</w:t>
      </w:r>
      <w:r>
        <w:rPr>
          <w:rFonts w:hint="eastAsia" w:asciiTheme="minorEastAsia" w:hAnsiTheme="minorEastAsia" w:eastAsiaTheme="minorEastAsia"/>
          <w:color w:val="auto"/>
          <w:sz w:val="21"/>
          <w:szCs w:val="21"/>
          <w:highlight w:val="none"/>
        </w:rPr>
        <w:t>（北京时间）</w:t>
      </w:r>
    </w:p>
    <w:p>
      <w:pPr>
        <w:spacing w:line="360" w:lineRule="auto"/>
        <w:ind w:left="425" w:leftChars="193" w:firstLine="295"/>
        <w:rPr>
          <w:rFonts w:hint="eastAsia" w:eastAsia="宋体" w:asciiTheme="minorEastAsia" w:hAnsiTheme="minorEastAsia"/>
          <w:color w:val="auto"/>
          <w:sz w:val="21"/>
          <w:szCs w:val="21"/>
          <w:highlight w:val="none"/>
          <w:lang w:val="en-US" w:eastAsia="zh-CN"/>
        </w:rPr>
      </w:pPr>
      <w:r>
        <w:rPr>
          <w:rFonts w:asciiTheme="minorEastAsia" w:hAnsiTheme="minorEastAsia" w:eastAsiaTheme="minorEastAsia"/>
          <w:color w:val="auto"/>
          <w:sz w:val="21"/>
          <w:szCs w:val="21"/>
          <w:highlight w:val="none"/>
        </w:rPr>
        <w:t>2.地点：</w:t>
      </w:r>
      <w:r>
        <w:rPr>
          <w:rFonts w:hint="eastAsia" w:ascii="宋体" w:hAnsi="宋体" w:cs="宋体"/>
          <w:color w:val="auto"/>
          <w:sz w:val="21"/>
          <w:szCs w:val="21"/>
          <w:highlight w:val="none"/>
        </w:rPr>
        <w:t>网上开标大厅网上开标大厅</w:t>
      </w:r>
      <w:r>
        <w:rPr>
          <w:rFonts w:hint="eastAsia" w:cs="宋体"/>
          <w:color w:val="auto"/>
          <w:sz w:val="21"/>
          <w:szCs w:val="21"/>
          <w:highlight w:val="none"/>
          <w:lang w:eastAsia="zh-CN"/>
        </w:rPr>
        <w:t>二</w:t>
      </w:r>
    </w:p>
    <w:p>
      <w:pPr>
        <w:spacing w:line="360" w:lineRule="auto"/>
        <w:ind w:left="425" w:leftChars="193" w:firstLine="1"/>
        <w:rPr>
          <w:rFonts w:asciiTheme="minorEastAsia" w:hAnsiTheme="minorEastAsia" w:eastAsiaTheme="minorEastAsia"/>
          <w:b/>
          <w:bCs/>
          <w:color w:val="auto"/>
          <w:sz w:val="21"/>
          <w:szCs w:val="21"/>
          <w:highlight w:val="none"/>
        </w:rPr>
      </w:pPr>
      <w:r>
        <w:rPr>
          <w:rFonts w:asciiTheme="minorEastAsia" w:hAnsiTheme="minorEastAsia" w:eastAsiaTheme="minorEastAsia"/>
          <w:b/>
          <w:bCs/>
          <w:color w:val="auto"/>
          <w:sz w:val="21"/>
          <w:szCs w:val="21"/>
          <w:highlight w:val="none"/>
        </w:rPr>
        <w:t>六、公告期限</w:t>
      </w:r>
      <w:r>
        <w:rPr>
          <w:rFonts w:asciiTheme="minorEastAsia" w:hAnsiTheme="minorEastAsia" w:eastAsiaTheme="minorEastAsia"/>
          <w:b/>
          <w:bCs/>
          <w:color w:val="auto"/>
          <w:w w:val="99"/>
          <w:sz w:val="21"/>
          <w:szCs w:val="21"/>
          <w:highlight w:val="none"/>
        </w:rPr>
        <w:t xml:space="preserve"> </w:t>
      </w:r>
    </w:p>
    <w:p>
      <w:pPr>
        <w:spacing w:line="360" w:lineRule="auto"/>
        <w:ind w:left="425" w:leftChars="193" w:firstLine="295"/>
        <w:rPr>
          <w:rFonts w:asciiTheme="minorEastAsia" w:hAnsiTheme="minorEastAsia" w:eastAsiaTheme="minorEastAsia"/>
          <w:color w:val="auto"/>
          <w:sz w:val="21"/>
          <w:szCs w:val="21"/>
          <w:highlight w:val="none"/>
        </w:rPr>
      </w:pPr>
      <w:r>
        <w:rPr>
          <w:rFonts w:asciiTheme="minorEastAsia" w:hAnsiTheme="minorEastAsia" w:eastAsiaTheme="minorEastAsia"/>
          <w:color w:val="auto"/>
          <w:sz w:val="21"/>
          <w:szCs w:val="21"/>
          <w:highlight w:val="none"/>
        </w:rPr>
        <w:t xml:space="preserve">自本公告发布之日起 3 个工作日。 </w:t>
      </w:r>
    </w:p>
    <w:p>
      <w:pPr>
        <w:spacing w:line="360" w:lineRule="auto"/>
        <w:ind w:left="425" w:leftChars="193" w:firstLine="1"/>
        <w:rPr>
          <w:rFonts w:asciiTheme="minorEastAsia" w:hAnsiTheme="minorEastAsia" w:eastAsiaTheme="minorEastAsia"/>
          <w:b/>
          <w:bCs/>
          <w:color w:val="auto"/>
          <w:sz w:val="21"/>
          <w:szCs w:val="21"/>
          <w:highlight w:val="none"/>
        </w:rPr>
      </w:pPr>
      <w:r>
        <w:rPr>
          <w:rFonts w:hint="eastAsia" w:asciiTheme="minorEastAsia" w:hAnsiTheme="minorEastAsia" w:eastAsiaTheme="minorEastAsia"/>
          <w:b/>
          <w:bCs/>
          <w:color w:val="auto"/>
          <w:sz w:val="21"/>
          <w:szCs w:val="21"/>
          <w:highlight w:val="none"/>
        </w:rPr>
        <w:t>七、</w:t>
      </w:r>
      <w:r>
        <w:rPr>
          <w:rFonts w:asciiTheme="minorEastAsia" w:hAnsiTheme="minorEastAsia" w:eastAsiaTheme="minorEastAsia"/>
          <w:b/>
          <w:bCs/>
          <w:color w:val="auto"/>
          <w:sz w:val="21"/>
          <w:szCs w:val="21"/>
          <w:highlight w:val="none"/>
        </w:rPr>
        <w:t>其他补充事宜</w:t>
      </w:r>
      <w:r>
        <w:rPr>
          <w:rFonts w:asciiTheme="minorEastAsia" w:hAnsiTheme="minorEastAsia" w:eastAsiaTheme="minorEastAsia"/>
          <w:b/>
          <w:bCs/>
          <w:color w:val="auto"/>
          <w:w w:val="99"/>
          <w:sz w:val="21"/>
          <w:szCs w:val="21"/>
          <w:highlight w:val="none"/>
        </w:rPr>
        <w:t xml:space="preserve"> </w:t>
      </w:r>
    </w:p>
    <w:p>
      <w:pPr>
        <w:spacing w:line="360" w:lineRule="auto"/>
        <w:ind w:left="425" w:leftChars="193" w:firstLine="295"/>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pacing w:val="-3"/>
          <w:sz w:val="21"/>
          <w:szCs w:val="21"/>
          <w:highlight w:val="none"/>
        </w:rPr>
        <w:t>1</w:t>
      </w:r>
      <w:r>
        <w:rPr>
          <w:rFonts w:asciiTheme="minorEastAsia" w:hAnsiTheme="minorEastAsia" w:eastAsiaTheme="minorEastAsia"/>
          <w:color w:val="auto"/>
          <w:spacing w:val="-3"/>
          <w:sz w:val="21"/>
          <w:szCs w:val="21"/>
          <w:highlight w:val="none"/>
        </w:rPr>
        <w:t>.网上查询地址：</w:t>
      </w:r>
      <w:r>
        <w:rPr>
          <w:rFonts w:asciiTheme="minorEastAsia" w:hAnsiTheme="minorEastAsia" w:eastAsiaTheme="minorEastAsia"/>
          <w:color w:val="auto"/>
          <w:sz w:val="21"/>
          <w:szCs w:val="21"/>
          <w:highlight w:val="none"/>
        </w:rPr>
        <w:t xml:space="preserve"> </w:t>
      </w:r>
    </w:p>
    <w:p>
      <w:pPr>
        <w:spacing w:line="360" w:lineRule="auto"/>
        <w:ind w:left="425" w:leftChars="193" w:firstLine="295"/>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中国政府采购网（www.ccgp.gov.cn）、广西壮族自治区政府采购网（http://zfcg.gxzf.gov.cn/）、全国公共资源交易平台（广西•玉林）（ggzy.yulin.gov.cn）</w:t>
      </w:r>
      <w:r>
        <w:rPr>
          <w:rFonts w:asciiTheme="minorEastAsia" w:hAnsiTheme="minorEastAsia" w:eastAsiaTheme="minorEastAsia"/>
          <w:color w:val="auto"/>
          <w:sz w:val="21"/>
          <w:szCs w:val="21"/>
          <w:highlight w:val="none"/>
        </w:rPr>
        <w:t xml:space="preserve">。 </w:t>
      </w:r>
    </w:p>
    <w:p>
      <w:pPr>
        <w:spacing w:line="360" w:lineRule="auto"/>
        <w:ind w:left="425" w:leftChars="193" w:firstLine="295"/>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pacing w:val="-3"/>
          <w:sz w:val="21"/>
          <w:szCs w:val="21"/>
          <w:highlight w:val="none"/>
        </w:rPr>
        <w:t>2</w:t>
      </w:r>
      <w:r>
        <w:rPr>
          <w:rFonts w:asciiTheme="minorEastAsia" w:hAnsiTheme="minorEastAsia" w:eastAsiaTheme="minorEastAsia"/>
          <w:color w:val="auto"/>
          <w:spacing w:val="-3"/>
          <w:sz w:val="21"/>
          <w:szCs w:val="21"/>
          <w:highlight w:val="none"/>
        </w:rPr>
        <w:t>.本项目需要落实的政府采购政策</w:t>
      </w:r>
      <w:r>
        <w:rPr>
          <w:rFonts w:asciiTheme="minorEastAsia" w:hAnsiTheme="minorEastAsia" w:eastAsiaTheme="minorEastAsia"/>
          <w:color w:val="auto"/>
          <w:sz w:val="21"/>
          <w:szCs w:val="21"/>
          <w:highlight w:val="none"/>
        </w:rPr>
        <w:t xml:space="preserve"> </w:t>
      </w:r>
    </w:p>
    <w:p>
      <w:pPr>
        <w:spacing w:line="360" w:lineRule="auto"/>
        <w:ind w:left="425" w:leftChars="193" w:firstLine="295"/>
        <w:rPr>
          <w:rFonts w:asciiTheme="minorEastAsia" w:hAnsiTheme="minorEastAsia" w:eastAsiaTheme="minorEastAsia"/>
          <w:color w:val="auto"/>
          <w:sz w:val="21"/>
          <w:szCs w:val="21"/>
          <w:highlight w:val="none"/>
        </w:rPr>
      </w:pPr>
      <w:r>
        <w:rPr>
          <w:rFonts w:asciiTheme="minorEastAsia" w:hAnsiTheme="minorEastAsia" w:eastAsiaTheme="minorEastAsia"/>
          <w:color w:val="auto"/>
          <w:spacing w:val="-3"/>
          <w:sz w:val="21"/>
          <w:szCs w:val="21"/>
          <w:highlight w:val="none"/>
        </w:rPr>
        <w:t>政府</w:t>
      </w:r>
      <w:r>
        <w:rPr>
          <w:rFonts w:asciiTheme="minorEastAsia" w:hAnsiTheme="minorEastAsia" w:eastAsiaTheme="minorEastAsia"/>
          <w:color w:val="auto"/>
          <w:sz w:val="21"/>
          <w:szCs w:val="21"/>
          <w:highlight w:val="none"/>
        </w:rPr>
        <w:t xml:space="preserve">采购促进中小企业发展。 </w:t>
      </w:r>
    </w:p>
    <w:p>
      <w:pPr>
        <w:spacing w:line="360" w:lineRule="auto"/>
        <w:ind w:left="425" w:leftChars="193" w:firstLine="295"/>
        <w:rPr>
          <w:rFonts w:asciiTheme="minorEastAsia" w:hAnsiTheme="minorEastAsia" w:eastAsiaTheme="minorEastAsia"/>
          <w:color w:val="auto"/>
          <w:sz w:val="21"/>
          <w:szCs w:val="21"/>
          <w:highlight w:val="none"/>
        </w:rPr>
      </w:pPr>
      <w:r>
        <w:rPr>
          <w:rFonts w:asciiTheme="minorEastAsia" w:hAnsiTheme="minorEastAsia" w:eastAsiaTheme="minorEastAsia"/>
          <w:color w:val="auto"/>
          <w:sz w:val="21"/>
          <w:szCs w:val="21"/>
          <w:highlight w:val="none"/>
        </w:rPr>
        <w:t xml:space="preserve">政府采购促进残疾人就业政策。 </w:t>
      </w:r>
    </w:p>
    <w:p>
      <w:pPr>
        <w:spacing w:line="360" w:lineRule="auto"/>
        <w:ind w:left="425" w:leftChars="193" w:firstLine="295"/>
        <w:rPr>
          <w:rFonts w:asciiTheme="minorEastAsia" w:hAnsiTheme="minorEastAsia" w:eastAsiaTheme="minorEastAsia"/>
          <w:color w:val="auto"/>
          <w:sz w:val="21"/>
          <w:szCs w:val="21"/>
          <w:highlight w:val="none"/>
        </w:rPr>
      </w:pPr>
      <w:r>
        <w:rPr>
          <w:rFonts w:asciiTheme="minorEastAsia" w:hAnsiTheme="minorEastAsia" w:eastAsiaTheme="minorEastAsia"/>
          <w:color w:val="auto"/>
          <w:sz w:val="21"/>
          <w:szCs w:val="21"/>
          <w:highlight w:val="none"/>
        </w:rPr>
        <w:t>政府采</w:t>
      </w:r>
      <w:r>
        <w:rPr>
          <w:rFonts w:asciiTheme="minorEastAsia" w:hAnsiTheme="minorEastAsia" w:eastAsiaTheme="minorEastAsia"/>
          <w:color w:val="auto"/>
          <w:spacing w:val="-3"/>
          <w:sz w:val="21"/>
          <w:szCs w:val="21"/>
          <w:highlight w:val="none"/>
        </w:rPr>
        <w:t>购支持监狱企业发展</w:t>
      </w:r>
      <w:r>
        <w:rPr>
          <w:rFonts w:hint="eastAsia" w:asciiTheme="minorEastAsia" w:hAnsiTheme="minorEastAsia" w:eastAsiaTheme="minorEastAsia"/>
          <w:color w:val="auto"/>
          <w:spacing w:val="-3"/>
          <w:sz w:val="21"/>
          <w:szCs w:val="21"/>
          <w:highlight w:val="none"/>
        </w:rPr>
        <w:t>。</w:t>
      </w:r>
    </w:p>
    <w:p>
      <w:pPr>
        <w:spacing w:line="360" w:lineRule="auto"/>
        <w:ind w:left="425" w:leftChars="193" w:right="31" w:rightChars="14" w:firstLine="295"/>
        <w:rPr>
          <w:rFonts w:asciiTheme="minorEastAsia" w:hAnsiTheme="minorEastAsia" w:eastAsiaTheme="minorEastAsia"/>
          <w:color w:val="auto"/>
          <w:spacing w:val="-3"/>
          <w:sz w:val="21"/>
          <w:szCs w:val="21"/>
          <w:highlight w:val="none"/>
        </w:rPr>
      </w:pPr>
      <w:r>
        <w:rPr>
          <w:rFonts w:hint="eastAsia" w:asciiTheme="minorEastAsia" w:hAnsiTheme="minorEastAsia" w:eastAsiaTheme="minorEastAsia"/>
          <w:color w:val="auto"/>
          <w:spacing w:val="-3"/>
          <w:sz w:val="21"/>
          <w:szCs w:val="21"/>
          <w:highlight w:val="none"/>
        </w:rPr>
        <w:t>3</w:t>
      </w:r>
      <w:r>
        <w:rPr>
          <w:rFonts w:asciiTheme="minorEastAsia" w:hAnsiTheme="minorEastAsia" w:eastAsiaTheme="minorEastAsia"/>
          <w:color w:val="auto"/>
          <w:spacing w:val="-3"/>
          <w:sz w:val="21"/>
          <w:szCs w:val="21"/>
          <w:highlight w:val="none"/>
        </w:rPr>
        <w:t>.供应商竞标注意事项</w:t>
      </w:r>
    </w:p>
    <w:p>
      <w:pPr>
        <w:spacing w:line="360" w:lineRule="auto"/>
        <w:ind w:left="425" w:leftChars="193" w:right="31" w:rightChars="14" w:firstLine="295"/>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pacing w:val="-3"/>
          <w:sz w:val="21"/>
          <w:szCs w:val="21"/>
          <w:highlight w:val="none"/>
        </w:rPr>
        <w:t>（1）</w:t>
      </w:r>
      <w:r>
        <w:rPr>
          <w:rFonts w:asciiTheme="minorEastAsia" w:hAnsiTheme="minorEastAsia" w:eastAsiaTheme="minorEastAsia"/>
          <w:color w:val="auto"/>
          <w:spacing w:val="-3"/>
          <w:sz w:val="21"/>
          <w:szCs w:val="21"/>
          <w:highlight w:val="none"/>
        </w:rPr>
        <w:t>本项目为全流程电子化采购项目，通过“政采云”平台</w:t>
      </w:r>
      <w:r>
        <w:rPr>
          <w:rFonts w:asciiTheme="minorEastAsia" w:hAnsiTheme="minorEastAsia" w:eastAsiaTheme="minorEastAsia"/>
          <w:color w:val="auto"/>
          <w:sz w:val="21"/>
          <w:szCs w:val="21"/>
          <w:highlight w:val="none"/>
        </w:rPr>
        <w:t>（https：</w:t>
      </w:r>
      <w:r>
        <w:rPr>
          <w:color w:val="auto"/>
          <w:highlight w:val="none"/>
        </w:rPr>
        <w:fldChar w:fldCharType="begin"/>
      </w:r>
      <w:r>
        <w:rPr>
          <w:color w:val="auto"/>
          <w:highlight w:val="none"/>
        </w:rPr>
        <w:instrText xml:space="preserve"> HYPERLINK "http://www.zcygov.cn/" \h </w:instrText>
      </w:r>
      <w:r>
        <w:rPr>
          <w:color w:val="auto"/>
          <w:highlight w:val="none"/>
        </w:rPr>
        <w:fldChar w:fldCharType="separate"/>
      </w:r>
      <w:r>
        <w:rPr>
          <w:rFonts w:asciiTheme="minorEastAsia" w:hAnsiTheme="minorEastAsia" w:eastAsiaTheme="minorEastAsia"/>
          <w:color w:val="auto"/>
          <w:sz w:val="21"/>
          <w:szCs w:val="21"/>
          <w:highlight w:val="none"/>
        </w:rPr>
        <w:t>//www.zcygov.cn</w:t>
      </w:r>
      <w:r>
        <w:rPr>
          <w:rFonts w:asciiTheme="minorEastAsia" w:hAnsiTheme="minorEastAsia" w:eastAsiaTheme="minorEastAsia"/>
          <w:color w:val="auto"/>
          <w:sz w:val="21"/>
          <w:szCs w:val="21"/>
          <w:highlight w:val="none"/>
        </w:rPr>
        <w:fldChar w:fldCharType="end"/>
      </w:r>
      <w:r>
        <w:rPr>
          <w:rFonts w:asciiTheme="minorEastAsia" w:hAnsiTheme="minorEastAsia" w:eastAsiaTheme="minorEastAsia"/>
          <w:color w:val="auto"/>
          <w:sz w:val="21"/>
          <w:szCs w:val="21"/>
          <w:highlight w:val="none"/>
        </w:rPr>
        <w:t>）实行</w:t>
      </w:r>
      <w:r>
        <w:rPr>
          <w:rFonts w:asciiTheme="minorEastAsia" w:hAnsiTheme="minorEastAsia" w:eastAsiaTheme="minorEastAsia"/>
          <w:color w:val="auto"/>
          <w:spacing w:val="-12"/>
          <w:sz w:val="21"/>
          <w:szCs w:val="21"/>
          <w:highlight w:val="none"/>
        </w:rPr>
        <w:t>在线电子竞标，供应商应先安装“政采云电子交易客户端”</w:t>
      </w:r>
      <w:r>
        <w:rPr>
          <w:rFonts w:asciiTheme="minorEastAsia" w:hAnsiTheme="minorEastAsia" w:eastAsiaTheme="minorEastAsia"/>
          <w:color w:val="auto"/>
          <w:spacing w:val="-41"/>
          <w:sz w:val="21"/>
          <w:szCs w:val="21"/>
          <w:highlight w:val="none"/>
        </w:rPr>
        <w:t>（</w:t>
      </w:r>
      <w:r>
        <w:rPr>
          <w:rFonts w:asciiTheme="minorEastAsia" w:hAnsiTheme="minorEastAsia" w:eastAsiaTheme="minorEastAsia"/>
          <w:color w:val="auto"/>
          <w:spacing w:val="-11"/>
          <w:sz w:val="21"/>
          <w:szCs w:val="21"/>
          <w:highlight w:val="none"/>
        </w:rPr>
        <w:t>请自行前往“政采云”平台进行下载</w:t>
      </w:r>
      <w:r>
        <w:rPr>
          <w:rFonts w:asciiTheme="minorEastAsia" w:hAnsiTheme="minorEastAsia" w:eastAsiaTheme="minorEastAsia"/>
          <w:color w:val="auto"/>
          <w:spacing w:val="-22"/>
          <w:sz w:val="21"/>
          <w:szCs w:val="21"/>
          <w:highlight w:val="none"/>
        </w:rPr>
        <w:t xml:space="preserve">）， </w:t>
      </w:r>
      <w:r>
        <w:rPr>
          <w:rFonts w:asciiTheme="minorEastAsia" w:hAnsiTheme="minorEastAsia" w:eastAsiaTheme="minorEastAsia"/>
          <w:color w:val="auto"/>
          <w:spacing w:val="-3"/>
          <w:sz w:val="21"/>
          <w:szCs w:val="21"/>
          <w:highlight w:val="none"/>
        </w:rPr>
        <w:t>并按照本项目竞争性磋商文件和“政采云”平台的要求编制、加密后在提交响应文件截止时间前通</w:t>
      </w:r>
      <w:r>
        <w:rPr>
          <w:rFonts w:asciiTheme="minorEastAsia" w:hAnsiTheme="minorEastAsia" w:eastAsiaTheme="minorEastAsia"/>
          <w:color w:val="auto"/>
          <w:spacing w:val="-11"/>
          <w:sz w:val="21"/>
          <w:szCs w:val="21"/>
          <w:highlight w:val="none"/>
        </w:rPr>
        <w:t>过网络上传至 “政采云”平台</w:t>
      </w:r>
      <w:r>
        <w:rPr>
          <w:rFonts w:asciiTheme="minorEastAsia" w:hAnsiTheme="minorEastAsia" w:eastAsiaTheme="minorEastAsia"/>
          <w:color w:val="auto"/>
          <w:spacing w:val="-3"/>
          <w:sz w:val="21"/>
          <w:szCs w:val="21"/>
          <w:highlight w:val="none"/>
        </w:rPr>
        <w:t>（</w:t>
      </w:r>
      <w:r>
        <w:rPr>
          <w:rFonts w:asciiTheme="minorEastAsia" w:hAnsiTheme="minorEastAsia" w:eastAsiaTheme="minorEastAsia"/>
          <w:color w:val="auto"/>
          <w:spacing w:val="-6"/>
          <w:sz w:val="21"/>
          <w:szCs w:val="21"/>
          <w:highlight w:val="none"/>
        </w:rPr>
        <w:t>加密的电子响应文件是指后缀名为</w:t>
      </w:r>
      <w:r>
        <w:rPr>
          <w:rFonts w:asciiTheme="minorEastAsia" w:hAnsiTheme="minorEastAsia" w:eastAsiaTheme="minorEastAsia"/>
          <w:color w:val="auto"/>
          <w:spacing w:val="-7"/>
          <w:sz w:val="21"/>
          <w:szCs w:val="21"/>
          <w:highlight w:val="none"/>
        </w:rPr>
        <w:t>“jmbs</w:t>
      </w:r>
      <w:r>
        <w:rPr>
          <w:rFonts w:asciiTheme="minorEastAsia" w:hAnsiTheme="minorEastAsia" w:eastAsiaTheme="minorEastAsia"/>
          <w:color w:val="auto"/>
          <w:spacing w:val="-3"/>
          <w:sz w:val="21"/>
          <w:szCs w:val="21"/>
          <w:highlight w:val="none"/>
        </w:rPr>
        <w:t>”的文件</w:t>
      </w:r>
      <w:r>
        <w:rPr>
          <w:rFonts w:asciiTheme="minorEastAsia" w:hAnsiTheme="minorEastAsia" w:eastAsiaTheme="minorEastAsia"/>
          <w:color w:val="auto"/>
          <w:spacing w:val="-38"/>
          <w:sz w:val="21"/>
          <w:szCs w:val="21"/>
          <w:highlight w:val="none"/>
        </w:rPr>
        <w:t>）</w:t>
      </w:r>
      <w:r>
        <w:rPr>
          <w:rFonts w:asciiTheme="minorEastAsia" w:hAnsiTheme="minorEastAsia" w:eastAsiaTheme="minorEastAsia"/>
          <w:color w:val="auto"/>
          <w:spacing w:val="-12"/>
          <w:sz w:val="21"/>
          <w:szCs w:val="21"/>
          <w:highlight w:val="none"/>
        </w:rPr>
        <w:t>，供应商在“政</w:t>
      </w:r>
      <w:r>
        <w:rPr>
          <w:rFonts w:asciiTheme="minorEastAsia" w:hAnsiTheme="minorEastAsia" w:eastAsiaTheme="minorEastAsia"/>
          <w:color w:val="auto"/>
          <w:spacing w:val="-11"/>
          <w:sz w:val="21"/>
          <w:szCs w:val="21"/>
          <w:highlight w:val="none"/>
        </w:rPr>
        <w:t>采云”平台提交电子响应文件时，请填写参加远程采购活动经办人联系方式。</w:t>
      </w:r>
      <w:r>
        <w:rPr>
          <w:rFonts w:asciiTheme="minorEastAsia" w:hAnsiTheme="minorEastAsia" w:eastAsiaTheme="minorEastAsia"/>
          <w:color w:val="auto"/>
          <w:spacing w:val="-7"/>
          <w:sz w:val="21"/>
          <w:szCs w:val="21"/>
          <w:highlight w:val="none"/>
        </w:rPr>
        <w:t xml:space="preserve">供应商登录“政采云” </w:t>
      </w:r>
      <w:r>
        <w:rPr>
          <w:rFonts w:asciiTheme="minorEastAsia" w:hAnsiTheme="minorEastAsia" w:eastAsiaTheme="minorEastAsia"/>
          <w:color w:val="auto"/>
          <w:spacing w:val="-12"/>
          <w:sz w:val="21"/>
          <w:szCs w:val="21"/>
          <w:highlight w:val="none"/>
        </w:rPr>
        <w:t>平台，依次进入“服务中心-项目采购-操作流程-电子招投标-政府采购项目电子交易管理操作指南-</w:t>
      </w:r>
      <w:r>
        <w:rPr>
          <w:rFonts w:asciiTheme="minorEastAsia" w:hAnsiTheme="minorEastAsia" w:eastAsiaTheme="minorEastAsia"/>
          <w:color w:val="auto"/>
          <w:spacing w:val="-6"/>
          <w:sz w:val="21"/>
          <w:szCs w:val="21"/>
          <w:highlight w:val="none"/>
        </w:rPr>
        <w:t>供应商”查看电子竞标具体操作流程。</w:t>
      </w:r>
      <w:r>
        <w:rPr>
          <w:rFonts w:asciiTheme="minorEastAsia" w:hAnsiTheme="minorEastAsia" w:eastAsiaTheme="minorEastAsia"/>
          <w:color w:val="auto"/>
          <w:sz w:val="21"/>
          <w:szCs w:val="21"/>
          <w:highlight w:val="none"/>
        </w:rPr>
        <w:t xml:space="preserve"> </w:t>
      </w:r>
    </w:p>
    <w:p>
      <w:pPr>
        <w:spacing w:line="360" w:lineRule="auto"/>
        <w:ind w:left="425" w:leftChars="193" w:right="31" w:rightChars="14" w:firstLine="295"/>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pacing w:val="-4"/>
          <w:sz w:val="21"/>
          <w:szCs w:val="21"/>
          <w:highlight w:val="none"/>
        </w:rPr>
        <w:t>（2）</w:t>
      </w:r>
      <w:r>
        <w:rPr>
          <w:rFonts w:asciiTheme="minorEastAsia" w:hAnsiTheme="minorEastAsia" w:eastAsiaTheme="minorEastAsia"/>
          <w:color w:val="auto"/>
          <w:spacing w:val="-4"/>
          <w:sz w:val="21"/>
          <w:szCs w:val="21"/>
          <w:highlight w:val="none"/>
        </w:rPr>
        <w:t>未进行</w:t>
      </w:r>
      <w:r>
        <w:rPr>
          <w:rFonts w:asciiTheme="minorEastAsia" w:hAnsiTheme="minorEastAsia" w:eastAsiaTheme="minorEastAsia"/>
          <w:color w:val="auto"/>
          <w:spacing w:val="-12"/>
          <w:sz w:val="21"/>
          <w:szCs w:val="21"/>
          <w:highlight w:val="none"/>
        </w:rPr>
        <w:t>网上注册并办理数字证书（CA 认证）的供应商将无法参与本项目政府采购活动，供应商应当在提交响应文件截止时间前，完成电子交易平台上的 CA 数字证书办理及响应文件的提交（供应商可登录“广西政府采购网”，依次进入“办事服务-下载专区”或者登陆“政采云”平台， 依次进入“服务中心-入驻与配置”中查看 CA 数字证书办理操作流程。如在操作过程中遇到问题或者需要技术支持，请致电政采云</w:t>
      </w:r>
      <w:r>
        <w:rPr>
          <w:rFonts w:asciiTheme="minorEastAsia" w:hAnsiTheme="minorEastAsia" w:eastAsiaTheme="minorEastAsia"/>
          <w:color w:val="auto"/>
          <w:spacing w:val="-4"/>
          <w:sz w:val="21"/>
          <w:szCs w:val="21"/>
          <w:highlight w:val="none"/>
        </w:rPr>
        <w:t>客服热线：</w:t>
      </w:r>
      <w:r>
        <w:rPr>
          <w:rFonts w:asciiTheme="minorEastAsia" w:hAnsiTheme="minorEastAsia" w:eastAsiaTheme="minorEastAsia"/>
          <w:color w:val="auto"/>
          <w:sz w:val="21"/>
          <w:szCs w:val="21"/>
          <w:highlight w:val="none"/>
        </w:rPr>
        <w:t>400-881-7190）</w:t>
      </w:r>
      <w:r>
        <w:rPr>
          <w:rFonts w:asciiTheme="minorEastAsia" w:hAnsiTheme="minorEastAsia" w:eastAsiaTheme="minorEastAsia"/>
          <w:color w:val="auto"/>
          <w:spacing w:val="-3"/>
          <w:sz w:val="21"/>
          <w:szCs w:val="21"/>
          <w:highlight w:val="none"/>
        </w:rPr>
        <w:t>。</w:t>
      </w:r>
      <w:r>
        <w:rPr>
          <w:rFonts w:asciiTheme="minorEastAsia" w:hAnsiTheme="minorEastAsia" w:eastAsiaTheme="minorEastAsia"/>
          <w:color w:val="auto"/>
          <w:sz w:val="21"/>
          <w:szCs w:val="21"/>
          <w:highlight w:val="none"/>
        </w:rPr>
        <w:t xml:space="preserve"> </w:t>
      </w:r>
    </w:p>
    <w:p>
      <w:pPr>
        <w:spacing w:line="360" w:lineRule="auto"/>
        <w:ind w:left="425" w:leftChars="193" w:firstLine="295"/>
        <w:rPr>
          <w:rFonts w:asciiTheme="minorEastAsia" w:hAnsiTheme="minorEastAsia" w:eastAsiaTheme="minorEastAsia"/>
          <w:color w:val="auto"/>
          <w:spacing w:val="-12"/>
          <w:sz w:val="21"/>
          <w:szCs w:val="21"/>
          <w:highlight w:val="none"/>
        </w:rPr>
      </w:pPr>
      <w:r>
        <w:rPr>
          <w:rFonts w:hint="eastAsia" w:asciiTheme="minorEastAsia" w:hAnsiTheme="minorEastAsia" w:eastAsiaTheme="minorEastAsia"/>
          <w:color w:val="auto"/>
          <w:sz w:val="21"/>
          <w:szCs w:val="21"/>
          <w:highlight w:val="none"/>
        </w:rPr>
        <w:t>（3）</w:t>
      </w:r>
      <w:r>
        <w:rPr>
          <w:rFonts w:asciiTheme="minorEastAsia" w:hAnsiTheme="minorEastAsia" w:eastAsiaTheme="minorEastAsia"/>
          <w:color w:val="auto"/>
          <w:sz w:val="21"/>
          <w:szCs w:val="21"/>
          <w:highlight w:val="none"/>
        </w:rPr>
        <w:t>CA</w:t>
      </w:r>
      <w:r>
        <w:rPr>
          <w:rFonts w:asciiTheme="minorEastAsia" w:hAnsiTheme="minorEastAsia" w:eastAsiaTheme="minorEastAsia"/>
          <w:color w:val="auto"/>
          <w:spacing w:val="-9"/>
          <w:sz w:val="21"/>
          <w:szCs w:val="21"/>
          <w:highlight w:val="none"/>
        </w:rPr>
        <w:t xml:space="preserve"> 证书</w:t>
      </w:r>
      <w:r>
        <w:rPr>
          <w:rFonts w:asciiTheme="minorEastAsia" w:hAnsiTheme="minorEastAsia" w:eastAsiaTheme="minorEastAsia"/>
          <w:color w:val="auto"/>
          <w:spacing w:val="-12"/>
          <w:sz w:val="21"/>
          <w:szCs w:val="21"/>
          <w:highlight w:val="none"/>
        </w:rPr>
        <w:t xml:space="preserve">在线解密：首次响应文件开启时，需携带制作响应文件时用来加密的有效数字证书（CA 认证）登录“政采云”平台电子开标大厅现场按规定时间对加密的响应文件进行解密，否则后果自负。 </w:t>
      </w:r>
    </w:p>
    <w:p>
      <w:pPr>
        <w:spacing w:line="360" w:lineRule="auto"/>
        <w:ind w:left="425" w:leftChars="193" w:firstLine="295"/>
        <w:rPr>
          <w:rFonts w:asciiTheme="minorEastAsia" w:hAnsiTheme="minorEastAsia" w:eastAsiaTheme="minorEastAsia"/>
          <w:b w:val="0"/>
          <w:bCs w:val="0"/>
          <w:color w:val="auto"/>
          <w:sz w:val="21"/>
          <w:szCs w:val="21"/>
          <w:highlight w:val="none"/>
        </w:rPr>
      </w:pPr>
      <w:r>
        <w:rPr>
          <w:rFonts w:asciiTheme="minorEastAsia" w:hAnsiTheme="minorEastAsia" w:eastAsiaTheme="minorEastAsia"/>
          <w:color w:val="auto"/>
          <w:sz w:val="21"/>
          <w:szCs w:val="21"/>
          <w:highlight w:val="none"/>
        </w:rPr>
        <w:t>注：1）</w:t>
      </w:r>
      <w:r>
        <w:rPr>
          <w:rFonts w:asciiTheme="minorEastAsia" w:hAnsiTheme="minorEastAsia" w:eastAsiaTheme="minorEastAsia"/>
          <w:color w:val="auto"/>
          <w:spacing w:val="-12"/>
          <w:sz w:val="21"/>
          <w:szCs w:val="21"/>
          <w:highlight w:val="none"/>
        </w:rPr>
        <w:t>为确保网上操作合法、有效和安全，请供应商确保在电子竞标过程中能够对相关数据电文进行加密和使用电子签章，妥善保管 CA 数字证书并使用有效的 CA 数字证书参与整个采购活动。2） 供应商应当在提交响应文件截止时间前完成电子响应文件的提交（上传），提交响应文件截止时间前可以补充、修改或者撤回响应文件。补充或者修改响应文件的，应当先行撤回原响应文件，补充、修改后重新提交（上传），提交响应文件截止时间前未完成提交（上传）的，视为撤回响应文件。提交响应文件截止时间以后提交</w:t>
      </w:r>
      <w:r>
        <w:rPr>
          <w:rFonts w:asciiTheme="minorEastAsia" w:hAnsiTheme="minorEastAsia" w:eastAsiaTheme="minorEastAsia"/>
          <w:color w:val="auto"/>
          <w:sz w:val="21"/>
          <w:szCs w:val="21"/>
          <w:highlight w:val="none"/>
        </w:rPr>
        <w:t>（</w:t>
      </w:r>
      <w:r>
        <w:rPr>
          <w:rFonts w:asciiTheme="minorEastAsia" w:hAnsiTheme="minorEastAsia" w:eastAsiaTheme="minorEastAsia"/>
          <w:color w:val="auto"/>
          <w:spacing w:val="-2"/>
          <w:sz w:val="21"/>
          <w:szCs w:val="21"/>
          <w:highlight w:val="none"/>
        </w:rPr>
        <w:t>上传</w:t>
      </w:r>
      <w:r>
        <w:rPr>
          <w:rFonts w:asciiTheme="minorEastAsia" w:hAnsiTheme="minorEastAsia" w:eastAsiaTheme="minorEastAsia"/>
          <w:color w:val="auto"/>
          <w:spacing w:val="-3"/>
          <w:sz w:val="21"/>
          <w:szCs w:val="21"/>
          <w:highlight w:val="none"/>
        </w:rPr>
        <w:t>）的响应文件，“政采云”平</w:t>
      </w:r>
      <w:r>
        <w:rPr>
          <w:rFonts w:asciiTheme="minorEastAsia" w:hAnsiTheme="minorEastAsia" w:eastAsiaTheme="minorEastAsia"/>
          <w:b w:val="0"/>
          <w:bCs w:val="0"/>
          <w:color w:val="auto"/>
          <w:spacing w:val="-3"/>
          <w:sz w:val="21"/>
          <w:szCs w:val="21"/>
          <w:highlight w:val="none"/>
        </w:rPr>
        <w:t>台将予以拒收。</w:t>
      </w:r>
      <w:r>
        <w:rPr>
          <w:rFonts w:asciiTheme="minorEastAsia" w:hAnsiTheme="minorEastAsia" w:eastAsiaTheme="minorEastAsia"/>
          <w:b w:val="0"/>
          <w:bCs w:val="0"/>
          <w:color w:val="auto"/>
          <w:sz w:val="21"/>
          <w:szCs w:val="21"/>
          <w:highlight w:val="none"/>
        </w:rPr>
        <w:t xml:space="preserve"> </w:t>
      </w:r>
    </w:p>
    <w:p>
      <w:pPr>
        <w:spacing w:line="360" w:lineRule="auto"/>
        <w:ind w:left="425" w:leftChars="193" w:firstLine="295"/>
        <w:rPr>
          <w:rFonts w:asciiTheme="minorEastAsia" w:hAnsiTheme="minorEastAsia" w:eastAsiaTheme="minorEastAsia"/>
          <w:b w:val="0"/>
          <w:bCs w:val="0"/>
          <w:color w:val="auto"/>
          <w:sz w:val="21"/>
          <w:szCs w:val="21"/>
          <w:highlight w:val="none"/>
        </w:rPr>
      </w:pPr>
      <w:r>
        <w:rPr>
          <w:rFonts w:hint="eastAsia" w:asciiTheme="minorEastAsia" w:hAnsiTheme="minorEastAsia" w:eastAsiaTheme="minorEastAsia"/>
          <w:b w:val="0"/>
          <w:bCs w:val="0"/>
          <w:color w:val="auto"/>
          <w:spacing w:val="-4"/>
          <w:sz w:val="21"/>
          <w:szCs w:val="21"/>
          <w:highlight w:val="none"/>
        </w:rPr>
        <w:t>（4）</w:t>
      </w:r>
      <w:r>
        <w:rPr>
          <w:rFonts w:asciiTheme="minorEastAsia" w:hAnsiTheme="minorEastAsia" w:eastAsiaTheme="minorEastAsia"/>
          <w:b w:val="0"/>
          <w:bCs w:val="0"/>
          <w:color w:val="auto"/>
          <w:spacing w:val="-4"/>
          <w:sz w:val="21"/>
          <w:szCs w:val="21"/>
          <w:highlight w:val="none"/>
        </w:rPr>
        <w:t>供应商需要在具备有摄像头及语音功能且互联网网络状况良好的电脑登录“政采云”平台</w:t>
      </w:r>
      <w:r>
        <w:rPr>
          <w:rFonts w:asciiTheme="minorEastAsia" w:hAnsiTheme="minorEastAsia" w:eastAsiaTheme="minorEastAsia"/>
          <w:b w:val="0"/>
          <w:bCs w:val="0"/>
          <w:color w:val="auto"/>
          <w:spacing w:val="-3"/>
          <w:sz w:val="21"/>
          <w:szCs w:val="21"/>
          <w:highlight w:val="none"/>
        </w:rPr>
        <w:t>远程开标大厅参与本次磋商，否则后果自负。</w:t>
      </w:r>
      <w:r>
        <w:rPr>
          <w:rFonts w:asciiTheme="minorEastAsia" w:hAnsiTheme="minorEastAsia" w:eastAsiaTheme="minorEastAsia"/>
          <w:b w:val="0"/>
          <w:bCs w:val="0"/>
          <w:color w:val="auto"/>
          <w:sz w:val="21"/>
          <w:szCs w:val="21"/>
          <w:highlight w:val="none"/>
        </w:rPr>
        <w:t xml:space="preserve"> </w:t>
      </w:r>
    </w:p>
    <w:p>
      <w:pPr>
        <w:spacing w:line="360" w:lineRule="auto"/>
        <w:ind w:left="425" w:leftChars="193" w:firstLine="1"/>
        <w:rPr>
          <w:rFonts w:asciiTheme="minorEastAsia" w:hAnsiTheme="minorEastAsia" w:eastAsiaTheme="minorEastAsia"/>
          <w:b/>
          <w:bCs/>
          <w:color w:val="auto"/>
          <w:sz w:val="21"/>
          <w:szCs w:val="21"/>
          <w:highlight w:val="none"/>
        </w:rPr>
      </w:pPr>
      <w:r>
        <w:rPr>
          <w:rFonts w:hint="eastAsia" w:asciiTheme="minorEastAsia" w:hAnsiTheme="minorEastAsia" w:eastAsiaTheme="minorEastAsia"/>
          <w:b/>
          <w:bCs/>
          <w:color w:val="auto"/>
          <w:sz w:val="21"/>
          <w:szCs w:val="21"/>
          <w:highlight w:val="none"/>
        </w:rPr>
        <w:t>八、</w:t>
      </w:r>
      <w:r>
        <w:rPr>
          <w:rFonts w:asciiTheme="minorEastAsia" w:hAnsiTheme="minorEastAsia" w:eastAsiaTheme="minorEastAsia"/>
          <w:b/>
          <w:bCs/>
          <w:color w:val="auto"/>
          <w:sz w:val="21"/>
          <w:szCs w:val="21"/>
          <w:highlight w:val="none"/>
        </w:rPr>
        <w:t>凡对本次采购提出询问，请按以下方式联系</w:t>
      </w:r>
      <w:r>
        <w:rPr>
          <w:rFonts w:asciiTheme="minorEastAsia" w:hAnsiTheme="minorEastAsia" w:eastAsiaTheme="minorEastAsia"/>
          <w:b/>
          <w:bCs/>
          <w:color w:val="auto"/>
          <w:w w:val="99"/>
          <w:sz w:val="21"/>
          <w:szCs w:val="21"/>
          <w:highlight w:val="none"/>
        </w:rPr>
        <w:t xml:space="preserve"> </w:t>
      </w:r>
    </w:p>
    <w:p>
      <w:pPr>
        <w:spacing w:line="360" w:lineRule="auto"/>
        <w:ind w:left="425" w:leftChars="193" w:firstLine="295"/>
        <w:rPr>
          <w:rFonts w:asciiTheme="minorEastAsia" w:hAnsiTheme="minorEastAsia" w:eastAsiaTheme="minorEastAsia"/>
          <w:color w:val="auto"/>
          <w:spacing w:val="-4"/>
          <w:sz w:val="21"/>
          <w:szCs w:val="21"/>
          <w:highlight w:val="none"/>
        </w:rPr>
      </w:pPr>
      <w:r>
        <w:rPr>
          <w:rFonts w:hint="eastAsia" w:asciiTheme="minorEastAsia" w:hAnsiTheme="minorEastAsia" w:eastAsiaTheme="minorEastAsia"/>
          <w:color w:val="auto"/>
          <w:spacing w:val="-4"/>
          <w:sz w:val="21"/>
          <w:szCs w:val="21"/>
          <w:highlight w:val="none"/>
        </w:rPr>
        <w:t>1</w:t>
      </w:r>
      <w:r>
        <w:rPr>
          <w:rFonts w:asciiTheme="minorEastAsia" w:hAnsiTheme="minorEastAsia" w:eastAsiaTheme="minorEastAsia"/>
          <w:color w:val="auto"/>
          <w:spacing w:val="-4"/>
          <w:sz w:val="21"/>
          <w:szCs w:val="21"/>
          <w:highlight w:val="none"/>
        </w:rPr>
        <w:t xml:space="preserve">.采购人信息 </w:t>
      </w:r>
    </w:p>
    <w:p>
      <w:pPr>
        <w:spacing w:line="360" w:lineRule="auto"/>
        <w:ind w:left="425" w:leftChars="193" w:firstLine="295"/>
        <w:rPr>
          <w:rFonts w:asciiTheme="minorEastAsia" w:hAnsiTheme="minorEastAsia" w:eastAsiaTheme="minorEastAsia"/>
          <w:color w:val="auto"/>
          <w:spacing w:val="-4"/>
          <w:sz w:val="21"/>
          <w:szCs w:val="21"/>
          <w:highlight w:val="none"/>
        </w:rPr>
      </w:pPr>
      <w:r>
        <w:rPr>
          <w:rFonts w:asciiTheme="minorEastAsia" w:hAnsiTheme="minorEastAsia" w:eastAsiaTheme="minorEastAsia"/>
          <w:color w:val="auto"/>
          <w:spacing w:val="-4"/>
          <w:sz w:val="21"/>
          <w:szCs w:val="21"/>
          <w:highlight w:val="none"/>
        </w:rPr>
        <w:t>名    称：</w:t>
      </w:r>
      <w:r>
        <w:rPr>
          <w:rFonts w:hint="eastAsia" w:asciiTheme="minorEastAsia" w:hAnsiTheme="minorEastAsia" w:eastAsiaTheme="minorEastAsia"/>
          <w:color w:val="auto"/>
          <w:spacing w:val="-4"/>
          <w:sz w:val="21"/>
          <w:szCs w:val="21"/>
          <w:highlight w:val="none"/>
          <w:lang w:eastAsia="zh-CN"/>
        </w:rPr>
        <w:t xml:space="preserve">北流市大伦镇人民政府  </w:t>
      </w:r>
    </w:p>
    <w:p>
      <w:pPr>
        <w:spacing w:line="360" w:lineRule="auto"/>
        <w:ind w:left="425" w:leftChars="193" w:firstLine="295"/>
        <w:rPr>
          <w:rFonts w:hint="eastAsia" w:asciiTheme="minorEastAsia" w:hAnsiTheme="minorEastAsia" w:eastAsiaTheme="minorEastAsia"/>
          <w:color w:val="auto"/>
          <w:spacing w:val="-4"/>
          <w:sz w:val="21"/>
          <w:szCs w:val="21"/>
          <w:highlight w:val="none"/>
          <w:lang w:eastAsia="zh-CN"/>
        </w:rPr>
      </w:pPr>
      <w:r>
        <w:rPr>
          <w:rFonts w:asciiTheme="minorEastAsia" w:hAnsiTheme="minorEastAsia" w:eastAsiaTheme="minorEastAsia"/>
          <w:color w:val="auto"/>
          <w:spacing w:val="-4"/>
          <w:sz w:val="21"/>
          <w:szCs w:val="21"/>
          <w:highlight w:val="none"/>
        </w:rPr>
        <w:t>地    址：</w:t>
      </w:r>
      <w:r>
        <w:rPr>
          <w:rFonts w:hint="eastAsia" w:asciiTheme="minorEastAsia" w:hAnsiTheme="minorEastAsia" w:eastAsiaTheme="minorEastAsia"/>
          <w:color w:val="auto"/>
          <w:spacing w:val="-4"/>
          <w:sz w:val="21"/>
          <w:szCs w:val="21"/>
          <w:highlight w:val="none"/>
        </w:rPr>
        <w:t>北流市大伦镇</w:t>
      </w:r>
    </w:p>
    <w:p>
      <w:pPr>
        <w:spacing w:line="360" w:lineRule="auto"/>
        <w:ind w:left="425" w:leftChars="193" w:firstLine="295"/>
        <w:rPr>
          <w:rFonts w:hint="eastAsia" w:asciiTheme="minorEastAsia" w:hAnsiTheme="minorEastAsia" w:eastAsiaTheme="minorEastAsia"/>
          <w:color w:val="auto"/>
          <w:spacing w:val="-4"/>
          <w:sz w:val="21"/>
          <w:szCs w:val="21"/>
          <w:highlight w:val="none"/>
          <w:lang w:eastAsia="zh-CN"/>
        </w:rPr>
      </w:pPr>
      <w:r>
        <w:rPr>
          <w:rFonts w:hint="eastAsia" w:asciiTheme="minorEastAsia" w:hAnsiTheme="minorEastAsia" w:eastAsiaTheme="minorEastAsia"/>
          <w:color w:val="auto"/>
          <w:spacing w:val="-4"/>
          <w:sz w:val="21"/>
          <w:szCs w:val="21"/>
          <w:highlight w:val="none"/>
          <w:lang w:eastAsia="zh-CN"/>
        </w:rPr>
        <w:t>项目</w:t>
      </w:r>
      <w:r>
        <w:rPr>
          <w:rFonts w:asciiTheme="minorEastAsia" w:hAnsiTheme="minorEastAsia" w:eastAsiaTheme="minorEastAsia"/>
          <w:color w:val="auto"/>
          <w:spacing w:val="-4"/>
          <w:sz w:val="21"/>
          <w:szCs w:val="21"/>
          <w:highlight w:val="none"/>
        </w:rPr>
        <w:t xml:space="preserve">联系人：茹志晓 </w:t>
      </w:r>
    </w:p>
    <w:p>
      <w:pPr>
        <w:spacing w:line="360" w:lineRule="auto"/>
        <w:ind w:left="425" w:leftChars="193" w:firstLine="295"/>
        <w:rPr>
          <w:rFonts w:asciiTheme="minorEastAsia" w:hAnsiTheme="minorEastAsia" w:eastAsiaTheme="minorEastAsia"/>
          <w:color w:val="auto"/>
          <w:spacing w:val="-4"/>
          <w:sz w:val="21"/>
          <w:szCs w:val="21"/>
          <w:highlight w:val="none"/>
        </w:rPr>
      </w:pPr>
      <w:r>
        <w:rPr>
          <w:rFonts w:hint="eastAsia" w:asciiTheme="minorEastAsia" w:hAnsiTheme="minorEastAsia" w:eastAsiaTheme="minorEastAsia"/>
          <w:color w:val="auto"/>
          <w:spacing w:val="-4"/>
          <w:sz w:val="21"/>
          <w:szCs w:val="21"/>
          <w:highlight w:val="none"/>
          <w:lang w:eastAsia="zh-CN"/>
        </w:rPr>
        <w:t>项目</w:t>
      </w:r>
      <w:r>
        <w:rPr>
          <w:rFonts w:asciiTheme="minorEastAsia" w:hAnsiTheme="minorEastAsia" w:eastAsiaTheme="minorEastAsia"/>
          <w:color w:val="auto"/>
          <w:spacing w:val="-4"/>
          <w:sz w:val="21"/>
          <w:szCs w:val="21"/>
          <w:highlight w:val="none"/>
        </w:rPr>
        <w:t>联</w:t>
      </w:r>
      <w:r>
        <w:rPr>
          <w:rFonts w:hint="eastAsia" w:asciiTheme="minorEastAsia" w:hAnsiTheme="minorEastAsia" w:eastAsiaTheme="minorEastAsia"/>
          <w:color w:val="auto"/>
          <w:spacing w:val="-4"/>
          <w:sz w:val="21"/>
          <w:szCs w:val="21"/>
          <w:highlight w:val="none"/>
          <w:lang w:eastAsia="zh-CN"/>
        </w:rPr>
        <w:t>方式</w:t>
      </w:r>
      <w:r>
        <w:rPr>
          <w:rFonts w:asciiTheme="minorEastAsia" w:hAnsiTheme="minorEastAsia" w:eastAsiaTheme="minorEastAsia"/>
          <w:color w:val="auto"/>
          <w:spacing w:val="-4"/>
          <w:sz w:val="21"/>
          <w:szCs w:val="21"/>
          <w:highlight w:val="none"/>
        </w:rPr>
        <w:t>：0775-6696788</w:t>
      </w:r>
    </w:p>
    <w:p>
      <w:pPr>
        <w:spacing w:line="360" w:lineRule="auto"/>
        <w:ind w:left="425" w:leftChars="193" w:firstLine="295"/>
        <w:rPr>
          <w:rFonts w:asciiTheme="minorEastAsia" w:hAnsiTheme="minorEastAsia" w:eastAsiaTheme="minorEastAsia"/>
          <w:color w:val="auto"/>
          <w:spacing w:val="-4"/>
          <w:sz w:val="21"/>
          <w:szCs w:val="21"/>
          <w:highlight w:val="none"/>
        </w:rPr>
      </w:pPr>
      <w:r>
        <w:rPr>
          <w:rFonts w:asciiTheme="minorEastAsia" w:hAnsiTheme="minorEastAsia" w:eastAsiaTheme="minorEastAsia"/>
          <w:color w:val="auto"/>
          <w:spacing w:val="-4"/>
          <w:sz w:val="21"/>
          <w:szCs w:val="21"/>
          <w:highlight w:val="none"/>
        </w:rPr>
        <w:t xml:space="preserve">2.采购代理机构信息 </w:t>
      </w:r>
    </w:p>
    <w:p>
      <w:pPr>
        <w:spacing w:line="360" w:lineRule="auto"/>
        <w:ind w:left="425" w:leftChars="193" w:firstLine="295"/>
        <w:rPr>
          <w:rFonts w:hint="eastAsia" w:cs="宋体" w:asciiTheme="minorEastAsia" w:hAnsiTheme="minorEastAsia" w:eastAsiaTheme="minorEastAsia"/>
          <w:color w:val="auto"/>
          <w:spacing w:val="-4"/>
          <w:sz w:val="21"/>
          <w:szCs w:val="21"/>
          <w:highlight w:val="none"/>
        </w:rPr>
      </w:pPr>
      <w:r>
        <w:rPr>
          <w:rFonts w:asciiTheme="minorEastAsia" w:hAnsiTheme="minorEastAsia" w:eastAsiaTheme="minorEastAsia"/>
          <w:color w:val="auto"/>
          <w:spacing w:val="-4"/>
          <w:sz w:val="21"/>
          <w:szCs w:val="21"/>
          <w:highlight w:val="none"/>
        </w:rPr>
        <w:t xml:space="preserve">名 </w:t>
      </w:r>
      <w:r>
        <w:rPr>
          <w:rFonts w:hint="eastAsia" w:asciiTheme="minorEastAsia" w:hAnsiTheme="minorEastAsia" w:eastAsiaTheme="minorEastAsia"/>
          <w:color w:val="auto"/>
          <w:spacing w:val="-4"/>
          <w:sz w:val="21"/>
          <w:szCs w:val="21"/>
          <w:highlight w:val="none"/>
          <w:lang w:val="en-US" w:eastAsia="zh-CN"/>
        </w:rPr>
        <w:t xml:space="preserve"> </w:t>
      </w:r>
      <w:r>
        <w:rPr>
          <w:rFonts w:asciiTheme="minorEastAsia" w:hAnsiTheme="minorEastAsia" w:eastAsiaTheme="minorEastAsia"/>
          <w:color w:val="auto"/>
          <w:spacing w:val="-4"/>
          <w:sz w:val="21"/>
          <w:szCs w:val="21"/>
          <w:highlight w:val="none"/>
        </w:rPr>
        <w:t>称：</w:t>
      </w:r>
      <w:r>
        <w:rPr>
          <w:rFonts w:hint="eastAsia" w:cs="宋体" w:asciiTheme="minorEastAsia" w:hAnsiTheme="minorEastAsia" w:eastAsiaTheme="minorEastAsia"/>
          <w:color w:val="auto"/>
          <w:spacing w:val="-4"/>
          <w:sz w:val="21"/>
          <w:szCs w:val="21"/>
          <w:highlight w:val="none"/>
        </w:rPr>
        <w:t xml:space="preserve">广西宏腾招标代理有限公司 </w:t>
      </w:r>
    </w:p>
    <w:p>
      <w:pPr>
        <w:spacing w:line="360" w:lineRule="auto"/>
        <w:ind w:left="425" w:leftChars="193" w:firstLine="295"/>
        <w:rPr>
          <w:rFonts w:asciiTheme="minorEastAsia" w:hAnsiTheme="minorEastAsia" w:eastAsiaTheme="minorEastAsia"/>
          <w:color w:val="auto"/>
          <w:spacing w:val="-4"/>
          <w:sz w:val="21"/>
          <w:szCs w:val="21"/>
          <w:highlight w:val="none"/>
        </w:rPr>
      </w:pPr>
      <w:r>
        <w:rPr>
          <w:rFonts w:asciiTheme="minorEastAsia" w:hAnsiTheme="minorEastAsia" w:eastAsiaTheme="minorEastAsia"/>
          <w:color w:val="auto"/>
          <w:spacing w:val="-4"/>
          <w:sz w:val="21"/>
          <w:szCs w:val="21"/>
          <w:highlight w:val="none"/>
        </w:rPr>
        <w:t>地  址：</w:t>
      </w:r>
      <w:r>
        <w:rPr>
          <w:rFonts w:hint="eastAsia" w:asciiTheme="minorEastAsia" w:hAnsiTheme="minorEastAsia" w:eastAsiaTheme="minorEastAsia"/>
          <w:color w:val="auto"/>
          <w:spacing w:val="-4"/>
          <w:sz w:val="21"/>
          <w:szCs w:val="21"/>
          <w:highlight w:val="none"/>
        </w:rPr>
        <w:t>广西北流市永顺别墅七区0023号</w:t>
      </w:r>
    </w:p>
    <w:p>
      <w:pPr>
        <w:spacing w:line="360" w:lineRule="auto"/>
        <w:ind w:left="425" w:leftChars="193" w:firstLine="295"/>
        <w:rPr>
          <w:rFonts w:asciiTheme="minorEastAsia" w:hAnsiTheme="minorEastAsia" w:eastAsiaTheme="minorEastAsia"/>
          <w:color w:val="auto"/>
          <w:spacing w:val="-3"/>
          <w:sz w:val="21"/>
          <w:szCs w:val="21"/>
          <w:highlight w:val="none"/>
        </w:rPr>
      </w:pPr>
      <w:r>
        <w:rPr>
          <w:rFonts w:asciiTheme="minorEastAsia" w:hAnsiTheme="minorEastAsia" w:eastAsiaTheme="minorEastAsia"/>
          <w:color w:val="auto"/>
          <w:spacing w:val="-4"/>
          <w:sz w:val="21"/>
          <w:szCs w:val="21"/>
          <w:highlight w:val="none"/>
        </w:rPr>
        <w:t>项目联系人</w:t>
      </w:r>
      <w:r>
        <w:rPr>
          <w:rFonts w:asciiTheme="minorEastAsia" w:hAnsiTheme="minorEastAsia" w:eastAsiaTheme="minorEastAsia"/>
          <w:color w:val="auto"/>
          <w:spacing w:val="-3"/>
          <w:sz w:val="21"/>
          <w:szCs w:val="21"/>
          <w:highlight w:val="none"/>
        </w:rPr>
        <w:t>：</w:t>
      </w:r>
      <w:r>
        <w:rPr>
          <w:rFonts w:hint="eastAsia" w:asciiTheme="minorEastAsia" w:hAnsiTheme="minorEastAsia" w:eastAsiaTheme="minorEastAsia"/>
          <w:color w:val="auto"/>
          <w:spacing w:val="-3"/>
          <w:sz w:val="21"/>
          <w:szCs w:val="21"/>
          <w:highlight w:val="none"/>
        </w:rPr>
        <w:t>胡玲</w:t>
      </w:r>
    </w:p>
    <w:p>
      <w:pPr>
        <w:spacing w:line="360" w:lineRule="auto"/>
        <w:ind w:left="425" w:leftChars="193" w:firstLine="295"/>
        <w:rPr>
          <w:rFonts w:asciiTheme="minorEastAsia" w:hAnsiTheme="minorEastAsia" w:eastAsiaTheme="minorEastAsia"/>
          <w:color w:val="auto"/>
          <w:spacing w:val="-4"/>
          <w:sz w:val="21"/>
          <w:szCs w:val="21"/>
          <w:highlight w:val="none"/>
        </w:rPr>
      </w:pPr>
      <w:r>
        <w:rPr>
          <w:rFonts w:hint="eastAsia" w:asciiTheme="minorEastAsia" w:hAnsiTheme="minorEastAsia" w:eastAsiaTheme="minorEastAsia"/>
          <w:color w:val="auto"/>
          <w:spacing w:val="-4"/>
          <w:sz w:val="21"/>
          <w:szCs w:val="21"/>
          <w:highlight w:val="none"/>
          <w:lang w:eastAsia="zh-CN"/>
        </w:rPr>
        <w:t>项目联系方式</w:t>
      </w:r>
      <w:r>
        <w:rPr>
          <w:rFonts w:asciiTheme="minorEastAsia" w:hAnsiTheme="minorEastAsia" w:eastAsiaTheme="minorEastAsia"/>
          <w:color w:val="auto"/>
          <w:spacing w:val="-4"/>
          <w:sz w:val="21"/>
          <w:szCs w:val="21"/>
          <w:highlight w:val="none"/>
        </w:rPr>
        <w:t>：</w:t>
      </w:r>
      <w:r>
        <w:rPr>
          <w:rFonts w:hint="eastAsia" w:asciiTheme="minorEastAsia" w:hAnsiTheme="minorEastAsia" w:eastAsiaTheme="minorEastAsia"/>
          <w:color w:val="auto"/>
          <w:spacing w:val="-4"/>
          <w:sz w:val="21"/>
          <w:szCs w:val="21"/>
          <w:highlight w:val="none"/>
        </w:rPr>
        <w:t>0775-2710889</w:t>
      </w:r>
    </w:p>
    <w:p>
      <w:pPr>
        <w:spacing w:line="360" w:lineRule="auto"/>
        <w:ind w:left="425" w:leftChars="193" w:firstLine="295"/>
        <w:rPr>
          <w:rFonts w:asciiTheme="minorEastAsia" w:hAnsiTheme="minorEastAsia" w:eastAsiaTheme="minorEastAsia"/>
          <w:color w:val="auto"/>
          <w:spacing w:val="-4"/>
          <w:sz w:val="21"/>
          <w:szCs w:val="21"/>
          <w:highlight w:val="none"/>
        </w:rPr>
      </w:pPr>
      <w:r>
        <w:rPr>
          <w:rFonts w:hint="eastAsia" w:asciiTheme="minorEastAsia" w:hAnsiTheme="minorEastAsia" w:eastAsiaTheme="minorEastAsia"/>
          <w:color w:val="auto"/>
          <w:spacing w:val="-4"/>
          <w:sz w:val="21"/>
          <w:szCs w:val="21"/>
          <w:highlight w:val="none"/>
          <w:lang w:val="en-US" w:eastAsia="zh-CN"/>
        </w:rPr>
        <w:t>3</w:t>
      </w:r>
      <w:r>
        <w:rPr>
          <w:rFonts w:asciiTheme="minorEastAsia" w:hAnsiTheme="minorEastAsia" w:eastAsiaTheme="minorEastAsia"/>
          <w:color w:val="auto"/>
          <w:spacing w:val="-4"/>
          <w:sz w:val="21"/>
          <w:szCs w:val="21"/>
          <w:highlight w:val="none"/>
        </w:rPr>
        <w:t xml:space="preserve">.监督部门 </w:t>
      </w:r>
    </w:p>
    <w:p>
      <w:pPr>
        <w:spacing w:line="360" w:lineRule="auto"/>
        <w:ind w:left="425" w:leftChars="193" w:firstLine="295"/>
        <w:rPr>
          <w:rFonts w:asciiTheme="minorEastAsia" w:hAnsiTheme="minorEastAsia" w:eastAsiaTheme="minorEastAsia"/>
          <w:color w:val="auto"/>
          <w:spacing w:val="-4"/>
          <w:sz w:val="21"/>
          <w:szCs w:val="21"/>
          <w:highlight w:val="none"/>
        </w:rPr>
      </w:pPr>
      <w:r>
        <w:rPr>
          <w:rFonts w:asciiTheme="minorEastAsia" w:hAnsiTheme="minorEastAsia" w:eastAsiaTheme="minorEastAsia"/>
          <w:color w:val="auto"/>
          <w:spacing w:val="-4"/>
          <w:sz w:val="21"/>
          <w:szCs w:val="21"/>
          <w:highlight w:val="none"/>
        </w:rPr>
        <w:t>名 称：北流市</w:t>
      </w:r>
      <w:r>
        <w:rPr>
          <w:rFonts w:hint="eastAsia" w:asciiTheme="minorEastAsia" w:hAnsiTheme="minorEastAsia" w:eastAsiaTheme="minorEastAsia"/>
          <w:color w:val="auto"/>
          <w:spacing w:val="-4"/>
          <w:sz w:val="21"/>
          <w:szCs w:val="21"/>
          <w:highlight w:val="none"/>
        </w:rPr>
        <w:t>财政局</w:t>
      </w:r>
    </w:p>
    <w:p>
      <w:pPr>
        <w:spacing w:line="360" w:lineRule="auto"/>
        <w:ind w:left="425" w:leftChars="193" w:firstLine="295"/>
        <w:rPr>
          <w:rFonts w:asciiTheme="minorEastAsia" w:hAnsiTheme="minorEastAsia" w:eastAsiaTheme="minorEastAsia"/>
          <w:color w:val="auto"/>
          <w:spacing w:val="-4"/>
          <w:sz w:val="21"/>
          <w:szCs w:val="21"/>
          <w:highlight w:val="none"/>
        </w:rPr>
      </w:pPr>
      <w:r>
        <w:rPr>
          <w:rFonts w:asciiTheme="minorEastAsia" w:hAnsiTheme="minorEastAsia" w:eastAsiaTheme="minorEastAsia"/>
          <w:color w:val="auto"/>
          <w:spacing w:val="-4"/>
          <w:sz w:val="21"/>
          <w:szCs w:val="21"/>
          <w:highlight w:val="none"/>
        </w:rPr>
        <w:t>电 话：0775-6235685</w:t>
      </w:r>
      <w:bookmarkEnd w:id="4"/>
    </w:p>
    <w:p>
      <w:pPr>
        <w:keepNext w:val="0"/>
        <w:keepLines w:val="0"/>
        <w:pageBreakBefore w:val="0"/>
        <w:widowControl w:val="0"/>
        <w:kinsoku/>
        <w:wordWrap/>
        <w:overflowPunct/>
        <w:topLinePunct w:val="0"/>
        <w:autoSpaceDE w:val="0"/>
        <w:autoSpaceDN w:val="0"/>
        <w:bidi w:val="0"/>
        <w:snapToGrid/>
        <w:spacing w:line="360" w:lineRule="auto"/>
        <w:jc w:val="right"/>
        <w:textAlignment w:val="auto"/>
        <w:rPr>
          <w:color w:val="auto"/>
          <w:highlight w:val="none"/>
        </w:rPr>
      </w:pPr>
    </w:p>
    <w:p>
      <w:pPr>
        <w:pStyle w:val="51"/>
        <w:keepNext w:val="0"/>
        <w:keepLines w:val="0"/>
        <w:pageBreakBefore w:val="0"/>
        <w:widowControl w:val="0"/>
        <w:kinsoku/>
        <w:wordWrap/>
        <w:overflowPunct/>
        <w:topLinePunct w:val="0"/>
        <w:autoSpaceDE w:val="0"/>
        <w:autoSpaceDN w:val="0"/>
        <w:bidi w:val="0"/>
        <w:adjustRightInd w:val="0"/>
        <w:snapToGrid/>
        <w:spacing w:line="360" w:lineRule="auto"/>
        <w:jc w:val="right"/>
        <w:textAlignment w:val="auto"/>
        <w:rPr>
          <w:rFonts w:hint="eastAsia"/>
          <w:color w:val="auto"/>
          <w:highlight w:val="none"/>
        </w:rPr>
      </w:pPr>
    </w:p>
    <w:p>
      <w:pPr>
        <w:pStyle w:val="51"/>
        <w:keepNext w:val="0"/>
        <w:keepLines w:val="0"/>
        <w:pageBreakBefore w:val="0"/>
        <w:widowControl w:val="0"/>
        <w:kinsoku/>
        <w:wordWrap/>
        <w:overflowPunct/>
        <w:topLinePunct w:val="0"/>
        <w:autoSpaceDE w:val="0"/>
        <w:autoSpaceDN w:val="0"/>
        <w:bidi w:val="0"/>
        <w:adjustRightInd w:val="0"/>
        <w:snapToGrid/>
        <w:spacing w:line="360" w:lineRule="auto"/>
        <w:jc w:val="right"/>
        <w:textAlignment w:val="auto"/>
        <w:rPr>
          <w:rFonts w:hint="eastAsia"/>
          <w:color w:val="auto"/>
          <w:highlight w:val="none"/>
        </w:rPr>
      </w:pPr>
      <w:r>
        <w:rPr>
          <w:rFonts w:hint="eastAsia"/>
          <w:color w:val="auto"/>
          <w:highlight w:val="none"/>
        </w:rPr>
        <w:t xml:space="preserve">广西宏腾招标代理有限公司 </w:t>
      </w:r>
    </w:p>
    <w:p>
      <w:pPr>
        <w:pStyle w:val="51"/>
        <w:keepNext w:val="0"/>
        <w:keepLines w:val="0"/>
        <w:pageBreakBefore w:val="0"/>
        <w:widowControl w:val="0"/>
        <w:kinsoku/>
        <w:wordWrap/>
        <w:overflowPunct/>
        <w:topLinePunct w:val="0"/>
        <w:autoSpaceDE w:val="0"/>
        <w:autoSpaceDN w:val="0"/>
        <w:bidi w:val="0"/>
        <w:adjustRightInd w:val="0"/>
        <w:snapToGrid/>
        <w:spacing w:line="360" w:lineRule="auto"/>
        <w:jc w:val="center"/>
        <w:textAlignment w:val="auto"/>
        <w:rPr>
          <w:color w:val="auto"/>
          <w:highlight w:val="none"/>
        </w:rPr>
        <w:sectPr>
          <w:pgSz w:w="11900" w:h="16850"/>
          <w:pgMar w:top="993" w:right="760" w:bottom="1320" w:left="760" w:header="1158" w:footer="1081" w:gutter="0"/>
          <w:cols w:space="720" w:num="1"/>
        </w:sectPr>
      </w:pPr>
      <w:r>
        <w:rPr>
          <w:rFonts w:hint="eastAsia"/>
          <w:color w:val="auto"/>
          <w:highlight w:val="none"/>
          <w:lang w:val="en-US" w:eastAsia="zh-CN"/>
        </w:rPr>
        <w:t xml:space="preserve">                                                           </w:t>
      </w:r>
      <w:r>
        <w:rPr>
          <w:rFonts w:hint="eastAsia"/>
          <w:color w:val="auto"/>
          <w:highlight w:val="none"/>
        </w:rPr>
        <w:t>202</w:t>
      </w:r>
      <w:r>
        <w:rPr>
          <w:rFonts w:hint="eastAsia"/>
          <w:color w:val="auto"/>
          <w:highlight w:val="none"/>
          <w:lang w:val="en-US" w:eastAsia="zh-CN"/>
        </w:rPr>
        <w:t>3</w:t>
      </w:r>
      <w:r>
        <w:rPr>
          <w:rFonts w:hint="eastAsia"/>
          <w:color w:val="auto"/>
          <w:highlight w:val="none"/>
        </w:rPr>
        <w:t>年</w:t>
      </w:r>
      <w:r>
        <w:rPr>
          <w:rFonts w:hint="eastAsia"/>
          <w:color w:val="auto"/>
          <w:highlight w:val="none"/>
          <w:lang w:val="en-US" w:eastAsia="zh-CN"/>
        </w:rPr>
        <w:t>12</w:t>
      </w:r>
      <w:r>
        <w:rPr>
          <w:rFonts w:hint="eastAsia"/>
          <w:color w:val="auto"/>
          <w:highlight w:val="none"/>
        </w:rPr>
        <w:t>月</w:t>
      </w:r>
      <w:r>
        <w:rPr>
          <w:rFonts w:hint="eastAsia"/>
          <w:color w:val="auto"/>
          <w:highlight w:val="none"/>
          <w:lang w:val="en-US" w:eastAsia="zh-CN"/>
        </w:rPr>
        <w:t>29</w:t>
      </w:r>
      <w:r>
        <w:rPr>
          <w:rFonts w:hint="eastAsia"/>
          <w:color w:val="auto"/>
          <w:highlight w:val="none"/>
        </w:rPr>
        <w:t>日</w:t>
      </w:r>
    </w:p>
    <w:p>
      <w:pPr>
        <w:pStyle w:val="3"/>
        <w:spacing w:before="9"/>
        <w:ind w:left="2"/>
        <w:rPr>
          <w:color w:val="auto"/>
          <w:highlight w:val="none"/>
        </w:rPr>
      </w:pPr>
      <w:bookmarkStart w:id="5" w:name="_bookmark1"/>
      <w:bookmarkEnd w:id="5"/>
      <w:bookmarkStart w:id="6" w:name="_Toc21906"/>
      <w:r>
        <w:rPr>
          <w:color w:val="auto"/>
          <w:highlight w:val="none"/>
        </w:rPr>
        <w:t>第二章 供应商须知</w:t>
      </w:r>
      <w:bookmarkEnd w:id="6"/>
    </w:p>
    <w:p>
      <w:pPr>
        <w:spacing w:line="360" w:lineRule="auto"/>
        <w:jc w:val="center"/>
        <w:rPr>
          <w:color w:val="auto"/>
          <w:sz w:val="32"/>
          <w:szCs w:val="32"/>
          <w:highlight w:val="none"/>
        </w:rPr>
      </w:pPr>
      <w:r>
        <w:rPr>
          <w:color w:val="auto"/>
          <w:sz w:val="32"/>
          <w:szCs w:val="32"/>
          <w:highlight w:val="none"/>
        </w:rPr>
        <w:t>供应商须知前附表</w:t>
      </w:r>
    </w:p>
    <w:tbl>
      <w:tblPr>
        <w:tblStyle w:val="41"/>
        <w:tblW w:w="0" w:type="auto"/>
        <w:tblInd w:w="67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34"/>
        <w:gridCol w:w="809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3" w:hRule="atLeast"/>
        </w:trPr>
        <w:tc>
          <w:tcPr>
            <w:tcW w:w="1134" w:type="dxa"/>
            <w:vAlign w:val="center"/>
          </w:tcPr>
          <w:p>
            <w:pPr>
              <w:spacing w:line="360" w:lineRule="auto"/>
              <w:rPr>
                <w:b/>
                <w:color w:val="auto"/>
                <w:sz w:val="24"/>
                <w:szCs w:val="24"/>
                <w:highlight w:val="none"/>
              </w:rPr>
            </w:pPr>
            <w:bookmarkStart w:id="7" w:name="_Hlk120864396"/>
            <w:r>
              <w:rPr>
                <w:b/>
                <w:color w:val="auto"/>
                <w:w w:val="98"/>
                <w:sz w:val="24"/>
                <w:szCs w:val="24"/>
                <w:highlight w:val="none"/>
              </w:rPr>
              <w:t xml:space="preserve"> </w:t>
            </w:r>
            <w:r>
              <w:rPr>
                <w:rFonts w:hint="eastAsia"/>
                <w:b/>
                <w:color w:val="auto"/>
                <w:sz w:val="24"/>
                <w:szCs w:val="24"/>
                <w:highlight w:val="none"/>
              </w:rPr>
              <w:t>序号</w:t>
            </w:r>
          </w:p>
        </w:tc>
        <w:tc>
          <w:tcPr>
            <w:tcW w:w="8091" w:type="dxa"/>
            <w:vAlign w:val="center"/>
          </w:tcPr>
          <w:p>
            <w:pPr>
              <w:spacing w:line="360" w:lineRule="auto"/>
              <w:jc w:val="center"/>
              <w:rPr>
                <w:b/>
                <w:color w:val="auto"/>
                <w:sz w:val="24"/>
                <w:szCs w:val="24"/>
                <w:highlight w:val="none"/>
              </w:rPr>
            </w:pPr>
            <w:r>
              <w:rPr>
                <w:rFonts w:hint="eastAsia"/>
                <w:b/>
                <w:color w:val="auto"/>
                <w:sz w:val="24"/>
                <w:szCs w:val="24"/>
                <w:highlight w:val="none"/>
              </w:rPr>
              <w:t>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1" w:hRule="atLeast"/>
        </w:trPr>
        <w:tc>
          <w:tcPr>
            <w:tcW w:w="1134" w:type="dxa"/>
            <w:vAlign w:val="center"/>
          </w:tcPr>
          <w:p>
            <w:pPr>
              <w:spacing w:line="400" w:lineRule="exact"/>
              <w:jc w:val="center"/>
              <w:rPr>
                <w:b/>
                <w:color w:val="auto"/>
                <w:sz w:val="21"/>
                <w:szCs w:val="21"/>
                <w:highlight w:val="none"/>
              </w:rPr>
            </w:pPr>
            <w:r>
              <w:rPr>
                <w:rFonts w:hint="eastAsia"/>
                <w:b/>
                <w:color w:val="auto"/>
                <w:sz w:val="21"/>
                <w:szCs w:val="21"/>
                <w:highlight w:val="none"/>
              </w:rPr>
              <w:t>1</w:t>
            </w:r>
          </w:p>
        </w:tc>
        <w:tc>
          <w:tcPr>
            <w:tcW w:w="8091" w:type="dxa"/>
          </w:tcPr>
          <w:p>
            <w:pPr>
              <w:spacing w:line="400" w:lineRule="exact"/>
              <w:rPr>
                <w:color w:val="auto"/>
                <w:sz w:val="21"/>
                <w:highlight w:val="none"/>
              </w:rPr>
            </w:pPr>
            <w:r>
              <w:rPr>
                <w:rFonts w:hint="eastAsia"/>
                <w:color w:val="auto"/>
                <w:sz w:val="21"/>
                <w:highlight w:val="none"/>
              </w:rPr>
              <w:t>项</w:t>
            </w:r>
            <w:r>
              <w:rPr>
                <w:color w:val="auto"/>
                <w:sz w:val="21"/>
                <w:highlight w:val="none"/>
              </w:rPr>
              <w:t xml:space="preserve">目概况： </w:t>
            </w:r>
          </w:p>
          <w:p>
            <w:pPr>
              <w:numPr>
                <w:ilvl w:val="0"/>
                <w:numId w:val="0"/>
              </w:numPr>
              <w:spacing w:line="400" w:lineRule="exact"/>
              <w:ind w:firstLine="210" w:firstLineChars="100"/>
              <w:rPr>
                <w:rFonts w:hint="eastAsia" w:eastAsia="宋体"/>
                <w:color w:val="auto"/>
                <w:sz w:val="21"/>
                <w:highlight w:val="none"/>
                <w:lang w:eastAsia="zh-CN"/>
              </w:rPr>
            </w:pPr>
            <w:r>
              <w:rPr>
                <w:rFonts w:hint="eastAsia" w:ascii="宋体" w:hAnsi="宋体" w:eastAsia="宋体" w:cs="宋体"/>
                <w:color w:val="auto"/>
                <w:sz w:val="21"/>
                <w:szCs w:val="22"/>
                <w:highlight w:val="none"/>
                <w:lang w:val="en-US" w:eastAsia="zh-CN" w:bidi="ar-SA"/>
              </w:rPr>
              <w:t>1.</w:t>
            </w:r>
            <w:r>
              <w:rPr>
                <w:color w:val="auto"/>
                <w:sz w:val="21"/>
                <w:highlight w:val="none"/>
              </w:rPr>
              <w:t>项目名称：</w:t>
            </w:r>
            <w:r>
              <w:rPr>
                <w:rFonts w:hint="eastAsia"/>
                <w:color w:val="auto"/>
                <w:sz w:val="21"/>
                <w:highlight w:val="none"/>
                <w:lang w:eastAsia="zh-CN"/>
              </w:rPr>
              <w:t>北流市大伦镇平田垌大桥建设工程</w:t>
            </w:r>
          </w:p>
          <w:p>
            <w:pPr>
              <w:numPr>
                <w:ilvl w:val="0"/>
                <w:numId w:val="0"/>
              </w:numPr>
              <w:spacing w:line="400" w:lineRule="exact"/>
              <w:ind w:firstLine="210" w:firstLineChars="100"/>
              <w:rPr>
                <w:rFonts w:hint="eastAsia" w:eastAsia="宋体"/>
                <w:color w:val="auto"/>
                <w:sz w:val="21"/>
                <w:highlight w:val="none"/>
                <w:lang w:eastAsia="zh-CN"/>
              </w:rPr>
            </w:pPr>
            <w:r>
              <w:rPr>
                <w:rFonts w:hint="eastAsia" w:ascii="宋体" w:hAnsi="宋体" w:eastAsia="宋体" w:cs="宋体"/>
                <w:color w:val="auto"/>
                <w:sz w:val="21"/>
                <w:szCs w:val="22"/>
                <w:highlight w:val="none"/>
                <w:lang w:val="en-US" w:eastAsia="zh-CN" w:bidi="ar-SA"/>
              </w:rPr>
              <w:t>2.</w:t>
            </w:r>
            <w:r>
              <w:rPr>
                <w:color w:val="auto"/>
                <w:sz w:val="21"/>
                <w:highlight w:val="none"/>
              </w:rPr>
              <w:t>项目编号：</w:t>
            </w:r>
            <w:r>
              <w:rPr>
                <w:rFonts w:hint="eastAsia"/>
                <w:color w:val="auto"/>
                <w:sz w:val="21"/>
                <w:highlight w:val="none"/>
                <w:lang w:eastAsia="zh-CN"/>
              </w:rPr>
              <w:t>YLZC2023-C2-84447-HTZB</w:t>
            </w:r>
          </w:p>
          <w:p>
            <w:pPr>
              <w:spacing w:line="400" w:lineRule="exact"/>
              <w:ind w:firstLine="204" w:firstLineChars="100"/>
              <w:rPr>
                <w:rFonts w:hint="eastAsia" w:eastAsia="宋体"/>
                <w:color w:val="auto"/>
                <w:spacing w:val="-3"/>
                <w:sz w:val="21"/>
                <w:highlight w:val="none"/>
                <w:lang w:val="en-US" w:eastAsia="zh-CN"/>
              </w:rPr>
            </w:pPr>
            <w:r>
              <w:rPr>
                <w:rFonts w:hint="eastAsia"/>
                <w:color w:val="auto"/>
                <w:spacing w:val="-3"/>
                <w:sz w:val="21"/>
                <w:highlight w:val="none"/>
              </w:rPr>
              <w:t>3</w:t>
            </w:r>
            <w:r>
              <w:rPr>
                <w:color w:val="auto"/>
                <w:spacing w:val="-3"/>
                <w:sz w:val="21"/>
                <w:highlight w:val="none"/>
              </w:rPr>
              <w:t>.建设地点：</w:t>
            </w:r>
            <w:r>
              <w:rPr>
                <w:rFonts w:hint="eastAsia"/>
                <w:color w:val="auto"/>
                <w:spacing w:val="-3"/>
                <w:sz w:val="21"/>
                <w:highlight w:val="none"/>
                <w:lang w:eastAsia="zh-CN"/>
              </w:rPr>
              <w:t>北流市大伦镇</w:t>
            </w:r>
          </w:p>
          <w:p>
            <w:pPr>
              <w:spacing w:line="400" w:lineRule="exact"/>
              <w:ind w:firstLine="210" w:firstLineChars="100"/>
              <w:rPr>
                <w:color w:val="auto"/>
                <w:sz w:val="21"/>
                <w:highlight w:val="none"/>
              </w:rPr>
            </w:pPr>
            <w:r>
              <w:rPr>
                <w:rFonts w:hint="eastAsia"/>
                <w:color w:val="auto"/>
                <w:sz w:val="21"/>
                <w:highlight w:val="none"/>
              </w:rPr>
              <w:t>4.工程概况：</w:t>
            </w:r>
            <w:r>
              <w:rPr>
                <w:rFonts w:hint="eastAsia" w:asciiTheme="minorEastAsia" w:hAnsiTheme="minorEastAsia" w:eastAsiaTheme="minorEastAsia"/>
                <w:color w:val="auto"/>
                <w:sz w:val="21"/>
                <w:szCs w:val="21"/>
                <w:highlight w:val="none"/>
                <w:lang w:val="en-US" w:eastAsia="zh-CN"/>
              </w:rPr>
              <w:t>本项目主要建设内容有:平田垌大桥临时工程施工便道长60m、架设临时输电线路长300m、预制箱梁平面底座184㎡,桥梁桩基础φ150cm桩基总长73m，墩柱式下构φ130cm墩柱总长18.95m，3*25m预应力混凝土装配式小箱梁上构，15cm厚C40现浇水泥混凝土桥面铺装97. 8m³,桥梁附属结构现浇C30混凝土防撞护栏65.6m³，桥头引道工程浆砌片石挡土墙1316.17m³。如需进一步了解详细内容，详见竞争性磋商文件、工程量清单和工程建设相关资料。</w:t>
            </w:r>
            <w:r>
              <w:rPr>
                <w:color w:val="auto"/>
                <w:sz w:val="21"/>
                <w:highlight w:val="none"/>
              </w:rPr>
              <w:t xml:space="preserve"> </w:t>
            </w:r>
          </w:p>
          <w:p>
            <w:pPr>
              <w:spacing w:line="400" w:lineRule="exact"/>
              <w:ind w:firstLine="210" w:firstLineChars="100"/>
              <w:rPr>
                <w:color w:val="auto"/>
                <w:sz w:val="21"/>
                <w:highlight w:val="none"/>
              </w:rPr>
            </w:pPr>
            <w:r>
              <w:rPr>
                <w:rFonts w:hint="eastAsia"/>
                <w:color w:val="auto"/>
                <w:sz w:val="21"/>
                <w:highlight w:val="none"/>
              </w:rPr>
              <w:t>6</w:t>
            </w:r>
            <w:r>
              <w:rPr>
                <w:color w:val="auto"/>
                <w:sz w:val="21"/>
                <w:highlight w:val="none"/>
              </w:rPr>
              <w:t xml:space="preserve">.资金来源及出资比例：财政拨款，100%。 </w:t>
            </w:r>
          </w:p>
          <w:p>
            <w:pPr>
              <w:spacing w:line="400" w:lineRule="exact"/>
              <w:ind w:firstLine="210" w:firstLineChars="100"/>
              <w:rPr>
                <w:color w:val="auto"/>
                <w:sz w:val="21"/>
                <w:highlight w:val="none"/>
              </w:rPr>
            </w:pPr>
            <w:r>
              <w:rPr>
                <w:rFonts w:hint="eastAsia"/>
                <w:color w:val="auto"/>
                <w:sz w:val="21"/>
                <w:highlight w:val="none"/>
              </w:rPr>
              <w:t>7</w:t>
            </w:r>
            <w:r>
              <w:rPr>
                <w:color w:val="auto"/>
                <w:sz w:val="21"/>
                <w:highlight w:val="none"/>
              </w:rPr>
              <w:t xml:space="preserve">.发包方式：综合单价，包工包料。 </w:t>
            </w:r>
          </w:p>
          <w:p>
            <w:pPr>
              <w:spacing w:line="400" w:lineRule="exact"/>
              <w:ind w:firstLine="210" w:firstLineChars="100"/>
              <w:rPr>
                <w:color w:val="auto"/>
                <w:sz w:val="21"/>
                <w:highlight w:val="none"/>
              </w:rPr>
            </w:pPr>
            <w:r>
              <w:rPr>
                <w:rFonts w:hint="eastAsia"/>
                <w:color w:val="auto"/>
                <w:sz w:val="21"/>
                <w:highlight w:val="none"/>
              </w:rPr>
              <w:t>8</w:t>
            </w:r>
            <w:r>
              <w:rPr>
                <w:color w:val="auto"/>
                <w:sz w:val="21"/>
                <w:highlight w:val="none"/>
              </w:rPr>
              <w:t>.要求工期：</w:t>
            </w:r>
            <w:r>
              <w:rPr>
                <w:rFonts w:hint="eastAsia"/>
                <w:color w:val="auto"/>
                <w:sz w:val="21"/>
                <w:highlight w:val="none"/>
                <w:lang w:val="en-US" w:eastAsia="zh-CN"/>
              </w:rPr>
              <w:t>365</w:t>
            </w:r>
            <w:r>
              <w:rPr>
                <w:color w:val="auto"/>
                <w:sz w:val="21"/>
                <w:highlight w:val="none"/>
              </w:rPr>
              <w:t xml:space="preserve">日历天。 </w:t>
            </w:r>
          </w:p>
          <w:p>
            <w:pPr>
              <w:spacing w:line="400" w:lineRule="exact"/>
              <w:ind w:firstLine="210" w:firstLineChars="100"/>
              <w:rPr>
                <w:b/>
                <w:color w:val="auto"/>
                <w:sz w:val="21"/>
                <w:szCs w:val="21"/>
                <w:highlight w:val="none"/>
              </w:rPr>
            </w:pPr>
            <w:r>
              <w:rPr>
                <w:rFonts w:hint="eastAsia"/>
                <w:color w:val="auto"/>
                <w:sz w:val="21"/>
                <w:highlight w:val="none"/>
              </w:rPr>
              <w:t>9</w:t>
            </w:r>
            <w:r>
              <w:rPr>
                <w:color w:val="auto"/>
                <w:sz w:val="21"/>
                <w:highlight w:val="none"/>
              </w:rPr>
              <w:t>.质量要求：达到国家施工验收规范合格标准。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1" w:hRule="atLeast"/>
        </w:trPr>
        <w:tc>
          <w:tcPr>
            <w:tcW w:w="1134" w:type="dxa"/>
            <w:vAlign w:val="center"/>
          </w:tcPr>
          <w:p>
            <w:pPr>
              <w:spacing w:line="400" w:lineRule="exact"/>
              <w:jc w:val="center"/>
              <w:rPr>
                <w:b/>
                <w:color w:val="auto"/>
                <w:sz w:val="21"/>
                <w:szCs w:val="21"/>
                <w:highlight w:val="none"/>
              </w:rPr>
            </w:pPr>
            <w:r>
              <w:rPr>
                <w:rFonts w:hint="eastAsia"/>
                <w:b/>
                <w:color w:val="auto"/>
                <w:sz w:val="21"/>
                <w:szCs w:val="21"/>
                <w:highlight w:val="none"/>
              </w:rPr>
              <w:t>2</w:t>
            </w:r>
          </w:p>
        </w:tc>
        <w:tc>
          <w:tcPr>
            <w:tcW w:w="8091" w:type="dxa"/>
          </w:tcPr>
          <w:p>
            <w:pPr>
              <w:spacing w:line="400" w:lineRule="exact"/>
              <w:rPr>
                <w:color w:val="auto"/>
                <w:sz w:val="21"/>
                <w:highlight w:val="none"/>
              </w:rPr>
            </w:pPr>
            <w:r>
              <w:rPr>
                <w:rFonts w:hint="eastAsia"/>
                <w:color w:val="auto"/>
                <w:spacing w:val="-3"/>
                <w:sz w:val="21"/>
                <w:highlight w:val="none"/>
              </w:rPr>
              <w:t>1</w:t>
            </w:r>
            <w:r>
              <w:rPr>
                <w:color w:val="auto"/>
                <w:spacing w:val="-3"/>
                <w:sz w:val="21"/>
                <w:highlight w:val="none"/>
              </w:rPr>
              <w:t>.供应商的资格条件：详见竞争性磋商公告</w:t>
            </w:r>
            <w:r>
              <w:rPr>
                <w:color w:val="auto"/>
                <w:sz w:val="21"/>
                <w:highlight w:val="none"/>
              </w:rPr>
              <w:t xml:space="preserve"> </w:t>
            </w:r>
          </w:p>
          <w:p>
            <w:pPr>
              <w:spacing w:line="400" w:lineRule="exact"/>
              <w:rPr>
                <w:color w:val="auto"/>
                <w:sz w:val="21"/>
                <w:highlight w:val="none"/>
              </w:rPr>
            </w:pPr>
            <w:r>
              <w:rPr>
                <w:rFonts w:hint="eastAsia"/>
                <w:color w:val="auto"/>
                <w:spacing w:val="-3"/>
                <w:sz w:val="21"/>
                <w:highlight w:val="none"/>
              </w:rPr>
              <w:t>2</w:t>
            </w:r>
            <w:r>
              <w:rPr>
                <w:color w:val="auto"/>
                <w:spacing w:val="-3"/>
                <w:sz w:val="21"/>
                <w:highlight w:val="none"/>
              </w:rPr>
              <w:t xml:space="preserve">.供应商出现下列情形之一的，不得参加政府采购活动： </w:t>
            </w:r>
          </w:p>
          <w:p>
            <w:pPr>
              <w:spacing w:line="400" w:lineRule="exact"/>
              <w:ind w:firstLine="200" w:firstLineChars="100"/>
              <w:rPr>
                <w:color w:val="auto"/>
                <w:sz w:val="21"/>
                <w:highlight w:val="none"/>
              </w:rPr>
            </w:pPr>
            <w:r>
              <w:rPr>
                <w:rFonts w:hint="eastAsia"/>
                <w:color w:val="auto"/>
                <w:spacing w:val="-5"/>
                <w:sz w:val="21"/>
                <w:highlight w:val="none"/>
              </w:rPr>
              <w:t>2</w:t>
            </w:r>
            <w:r>
              <w:rPr>
                <w:color w:val="auto"/>
                <w:spacing w:val="-5"/>
                <w:sz w:val="21"/>
                <w:highlight w:val="none"/>
              </w:rPr>
              <w:t>.1 单位负责人为同一人或者存在直接控股、管理关系的不同供应商，不得参加同一</w:t>
            </w:r>
            <w:r>
              <w:rPr>
                <w:color w:val="auto"/>
                <w:spacing w:val="-14"/>
                <w:sz w:val="21"/>
                <w:highlight w:val="none"/>
              </w:rPr>
              <w:t>合同项下的政府采购活动。为本项目提供过整体设计、规范编制或者项目管理、监理、</w:t>
            </w:r>
            <w:r>
              <w:rPr>
                <w:color w:val="auto"/>
                <w:spacing w:val="-7"/>
                <w:sz w:val="21"/>
                <w:highlight w:val="none"/>
              </w:rPr>
              <w:t xml:space="preserve">检测等服务的供应商，不得再参加本项目上述服务以外的其他采购活动。 </w:t>
            </w:r>
          </w:p>
          <w:p>
            <w:pPr>
              <w:spacing w:line="400" w:lineRule="exact"/>
              <w:ind w:firstLine="186" w:firstLineChars="100"/>
              <w:rPr>
                <w:color w:val="auto"/>
                <w:sz w:val="21"/>
                <w:highlight w:val="none"/>
              </w:rPr>
            </w:pPr>
            <w:r>
              <w:rPr>
                <w:rFonts w:hint="eastAsia"/>
                <w:color w:val="auto"/>
                <w:spacing w:val="-12"/>
                <w:sz w:val="21"/>
                <w:highlight w:val="none"/>
              </w:rPr>
              <w:t>2</w:t>
            </w:r>
            <w:r>
              <w:rPr>
                <w:color w:val="auto"/>
                <w:spacing w:val="-12"/>
                <w:sz w:val="21"/>
                <w:highlight w:val="none"/>
              </w:rPr>
              <w:t>.2 对在“信用中国”网站</w:t>
            </w:r>
            <w:r>
              <w:rPr>
                <w:color w:val="auto"/>
                <w:sz w:val="21"/>
                <w:highlight w:val="none"/>
              </w:rPr>
              <w:t>(www.creditchina.gov.cn</w:t>
            </w:r>
            <w:r>
              <w:rPr>
                <w:color w:val="auto"/>
                <w:spacing w:val="-7"/>
                <w:sz w:val="21"/>
                <w:highlight w:val="none"/>
              </w:rPr>
              <w:t>) 、中国政府采购网(</w:t>
            </w:r>
            <w:r>
              <w:rPr>
                <w:color w:val="auto"/>
                <w:sz w:val="21"/>
                <w:highlight w:val="none"/>
              </w:rPr>
              <w:t>www.ccgp. gov.cn)</w:t>
            </w:r>
            <w:r>
              <w:rPr>
                <w:color w:val="auto"/>
                <w:spacing w:val="-4"/>
                <w:sz w:val="21"/>
                <w:highlight w:val="none"/>
              </w:rPr>
              <w:t>被列入失信被执行人、重大税收违法案件当事人名单、政府采购严重违法失</w:t>
            </w:r>
            <w:r>
              <w:rPr>
                <w:color w:val="auto"/>
                <w:spacing w:val="-8"/>
                <w:sz w:val="21"/>
                <w:highlight w:val="none"/>
              </w:rPr>
              <w:t>信行为记录名单及其他不符合《中华人民共和国政府采购法》第二十二条规定条件的</w:t>
            </w:r>
            <w:r>
              <w:rPr>
                <w:color w:val="auto"/>
                <w:sz w:val="21"/>
                <w:highlight w:val="none"/>
              </w:rPr>
              <w:t>供应商，不得参与政府采购活动。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1134" w:type="dxa"/>
          </w:tcPr>
          <w:p>
            <w:pPr>
              <w:spacing w:line="400" w:lineRule="exact"/>
              <w:jc w:val="center"/>
              <w:rPr>
                <w:b/>
                <w:color w:val="auto"/>
                <w:sz w:val="21"/>
                <w:szCs w:val="21"/>
                <w:highlight w:val="none"/>
              </w:rPr>
            </w:pPr>
            <w:r>
              <w:rPr>
                <w:rFonts w:hint="eastAsia"/>
                <w:b/>
                <w:color w:val="auto"/>
                <w:sz w:val="21"/>
                <w:szCs w:val="21"/>
                <w:highlight w:val="none"/>
              </w:rPr>
              <w:t>3</w:t>
            </w:r>
          </w:p>
        </w:tc>
        <w:tc>
          <w:tcPr>
            <w:tcW w:w="8091" w:type="dxa"/>
          </w:tcPr>
          <w:p>
            <w:pPr>
              <w:spacing w:line="400" w:lineRule="exact"/>
              <w:rPr>
                <w:color w:val="auto"/>
                <w:spacing w:val="-3"/>
                <w:sz w:val="21"/>
                <w:highlight w:val="none"/>
              </w:rPr>
            </w:pPr>
            <w:r>
              <w:rPr>
                <w:color w:val="auto"/>
                <w:sz w:val="21"/>
                <w:highlight w:val="none"/>
              </w:rPr>
              <w:t>是否接受联合体竞标：详见竞争性磋商公告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trPr>
        <w:tc>
          <w:tcPr>
            <w:tcW w:w="1134" w:type="dxa"/>
          </w:tcPr>
          <w:p>
            <w:pPr>
              <w:spacing w:line="400" w:lineRule="exact"/>
              <w:jc w:val="center"/>
              <w:rPr>
                <w:b/>
                <w:color w:val="auto"/>
                <w:sz w:val="21"/>
                <w:szCs w:val="21"/>
                <w:highlight w:val="none"/>
              </w:rPr>
            </w:pPr>
            <w:r>
              <w:rPr>
                <w:rFonts w:hint="eastAsia"/>
                <w:b/>
                <w:color w:val="auto"/>
                <w:sz w:val="21"/>
                <w:szCs w:val="21"/>
                <w:highlight w:val="none"/>
              </w:rPr>
              <w:t>4</w:t>
            </w:r>
          </w:p>
        </w:tc>
        <w:tc>
          <w:tcPr>
            <w:tcW w:w="8091" w:type="dxa"/>
          </w:tcPr>
          <w:p>
            <w:pPr>
              <w:spacing w:line="400" w:lineRule="exact"/>
              <w:rPr>
                <w:color w:val="auto"/>
                <w:sz w:val="21"/>
                <w:highlight w:val="none"/>
              </w:rPr>
            </w:pPr>
            <w:r>
              <w:rPr>
                <w:rFonts w:hint="eastAsia"/>
                <w:color w:val="auto"/>
                <w:sz w:val="21"/>
                <w:highlight w:val="none"/>
              </w:rPr>
              <w:t>联合体竞标要求如下：无。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trPr>
        <w:tc>
          <w:tcPr>
            <w:tcW w:w="1134" w:type="dxa"/>
          </w:tcPr>
          <w:p>
            <w:pPr>
              <w:spacing w:line="400" w:lineRule="exact"/>
              <w:jc w:val="center"/>
              <w:rPr>
                <w:b/>
                <w:color w:val="auto"/>
                <w:sz w:val="21"/>
                <w:szCs w:val="21"/>
                <w:highlight w:val="none"/>
              </w:rPr>
            </w:pPr>
            <w:r>
              <w:rPr>
                <w:rFonts w:hint="eastAsia"/>
                <w:b/>
                <w:color w:val="auto"/>
                <w:sz w:val="21"/>
                <w:szCs w:val="21"/>
                <w:highlight w:val="none"/>
              </w:rPr>
              <w:t>5</w:t>
            </w:r>
          </w:p>
        </w:tc>
        <w:tc>
          <w:tcPr>
            <w:tcW w:w="8091" w:type="dxa"/>
          </w:tcPr>
          <w:p>
            <w:pPr>
              <w:spacing w:line="400" w:lineRule="exact"/>
              <w:rPr>
                <w:color w:val="auto"/>
                <w:sz w:val="21"/>
                <w:highlight w:val="none"/>
              </w:rPr>
            </w:pPr>
            <w:r>
              <w:rPr>
                <w:color w:val="auto"/>
                <w:sz w:val="21"/>
                <w:highlight w:val="none"/>
              </w:rPr>
              <w:t>不允许分包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trPr>
        <w:tc>
          <w:tcPr>
            <w:tcW w:w="1134" w:type="dxa"/>
            <w:vAlign w:val="center"/>
          </w:tcPr>
          <w:p>
            <w:pPr>
              <w:spacing w:line="400" w:lineRule="exact"/>
              <w:jc w:val="center"/>
              <w:rPr>
                <w:b/>
                <w:color w:val="auto"/>
                <w:sz w:val="21"/>
                <w:szCs w:val="21"/>
                <w:highlight w:val="none"/>
              </w:rPr>
            </w:pPr>
            <w:r>
              <w:rPr>
                <w:rFonts w:hint="eastAsia"/>
                <w:b/>
                <w:color w:val="auto"/>
                <w:sz w:val="21"/>
                <w:szCs w:val="21"/>
                <w:highlight w:val="none"/>
              </w:rPr>
              <w:t>6</w:t>
            </w:r>
          </w:p>
        </w:tc>
        <w:tc>
          <w:tcPr>
            <w:tcW w:w="8091" w:type="dxa"/>
          </w:tcPr>
          <w:p>
            <w:pPr>
              <w:spacing w:line="400" w:lineRule="exact"/>
              <w:rPr>
                <w:b/>
                <w:color w:val="auto"/>
                <w:sz w:val="21"/>
                <w:highlight w:val="none"/>
              </w:rPr>
            </w:pPr>
            <w:r>
              <w:rPr>
                <w:b/>
                <w:color w:val="auto"/>
                <w:sz w:val="21"/>
                <w:highlight w:val="none"/>
              </w:rPr>
              <w:t>资格证明文件</w:t>
            </w:r>
            <w:r>
              <w:rPr>
                <w:b/>
                <w:color w:val="auto"/>
                <w:w w:val="99"/>
                <w:sz w:val="21"/>
                <w:highlight w:val="none"/>
              </w:rPr>
              <w:t xml:space="preserve"> </w:t>
            </w:r>
          </w:p>
          <w:p>
            <w:pPr>
              <w:spacing w:line="400" w:lineRule="exact"/>
              <w:ind w:firstLine="200" w:firstLineChars="100"/>
              <w:rPr>
                <w:color w:val="auto"/>
                <w:sz w:val="21"/>
                <w:highlight w:val="none"/>
              </w:rPr>
            </w:pPr>
            <w:r>
              <w:rPr>
                <w:color w:val="auto"/>
                <w:spacing w:val="-5"/>
                <w:sz w:val="21"/>
                <w:highlight w:val="none"/>
              </w:rPr>
              <w:t>1.供应商基本情况表</w:t>
            </w:r>
            <w:r>
              <w:rPr>
                <w:color w:val="auto"/>
                <w:sz w:val="21"/>
                <w:highlight w:val="none"/>
              </w:rPr>
              <w:t>（</w:t>
            </w:r>
            <w:r>
              <w:rPr>
                <w:color w:val="auto"/>
                <w:spacing w:val="-3"/>
                <w:sz w:val="21"/>
                <w:highlight w:val="none"/>
              </w:rPr>
              <w:t>格式后附</w:t>
            </w:r>
            <w:r>
              <w:rPr>
                <w:color w:val="auto"/>
                <w:spacing w:val="-16"/>
                <w:sz w:val="21"/>
                <w:highlight w:val="none"/>
              </w:rPr>
              <w:t>）（</w:t>
            </w:r>
            <w:r>
              <w:rPr>
                <w:color w:val="auto"/>
                <w:spacing w:val="-6"/>
                <w:sz w:val="21"/>
                <w:highlight w:val="none"/>
              </w:rPr>
              <w:t>附有效的营业执照、企业资质证书、安全生产</w:t>
            </w:r>
            <w:r>
              <w:rPr>
                <w:color w:val="auto"/>
                <w:spacing w:val="-4"/>
                <w:sz w:val="21"/>
                <w:highlight w:val="none"/>
              </w:rPr>
              <w:t>许可证扫描件</w:t>
            </w:r>
            <w:r>
              <w:rPr>
                <w:color w:val="auto"/>
                <w:sz w:val="21"/>
                <w:highlight w:val="none"/>
              </w:rPr>
              <w:t>）；（</w:t>
            </w:r>
            <w:r>
              <w:rPr>
                <w:b/>
                <w:color w:val="auto"/>
                <w:spacing w:val="-3"/>
                <w:sz w:val="21"/>
                <w:highlight w:val="none"/>
              </w:rPr>
              <w:t>必须提供，否则响应文件按无效响应处理</w:t>
            </w:r>
            <w:r>
              <w:rPr>
                <w:color w:val="auto"/>
                <w:spacing w:val="-3"/>
                <w:sz w:val="21"/>
                <w:highlight w:val="none"/>
              </w:rPr>
              <w:t>）</w:t>
            </w:r>
            <w:r>
              <w:rPr>
                <w:color w:val="auto"/>
                <w:sz w:val="21"/>
                <w:highlight w:val="none"/>
              </w:rPr>
              <w:t xml:space="preserve"> </w:t>
            </w:r>
          </w:p>
          <w:p>
            <w:pPr>
              <w:spacing w:line="400" w:lineRule="exact"/>
              <w:ind w:firstLine="210" w:firstLineChars="100"/>
              <w:rPr>
                <w:color w:val="auto"/>
                <w:sz w:val="21"/>
                <w:highlight w:val="none"/>
              </w:rPr>
            </w:pPr>
            <w:r>
              <w:rPr>
                <w:rFonts w:hint="eastAsia"/>
                <w:color w:val="auto"/>
                <w:sz w:val="21"/>
                <w:highlight w:val="none"/>
                <w:lang w:val="en-US" w:eastAsia="zh-CN"/>
              </w:rPr>
              <w:t>2</w:t>
            </w:r>
            <w:r>
              <w:rPr>
                <w:color w:val="auto"/>
                <w:sz w:val="21"/>
                <w:highlight w:val="none"/>
              </w:rPr>
              <w:t>.建设工程项目管理承诺书（格式后附）；</w:t>
            </w:r>
            <w:r>
              <w:rPr>
                <w:b/>
                <w:bCs/>
                <w:color w:val="auto"/>
                <w:sz w:val="21"/>
                <w:highlight w:val="none"/>
              </w:rPr>
              <w:t>（必须提供，否则响应文件按无效响应处理）</w:t>
            </w:r>
            <w:r>
              <w:rPr>
                <w:color w:val="auto"/>
                <w:sz w:val="21"/>
                <w:highlight w:val="none"/>
              </w:rPr>
              <w:t xml:space="preserve"> </w:t>
            </w:r>
          </w:p>
          <w:p>
            <w:pPr>
              <w:spacing w:line="400" w:lineRule="exact"/>
              <w:ind w:firstLine="210" w:firstLineChars="100"/>
              <w:rPr>
                <w:color w:val="auto"/>
                <w:sz w:val="21"/>
                <w:highlight w:val="none"/>
              </w:rPr>
            </w:pPr>
            <w:r>
              <w:rPr>
                <w:rFonts w:hint="eastAsia"/>
                <w:color w:val="auto"/>
                <w:sz w:val="21"/>
                <w:highlight w:val="none"/>
                <w:lang w:val="en-US" w:eastAsia="zh-CN"/>
              </w:rPr>
              <w:t>3</w:t>
            </w:r>
            <w:r>
              <w:rPr>
                <w:color w:val="auto"/>
                <w:sz w:val="21"/>
                <w:highlight w:val="none"/>
              </w:rPr>
              <w:t>.供应商依法缴纳税收的相关材料（</w:t>
            </w:r>
            <w:r>
              <w:rPr>
                <w:rFonts w:hint="eastAsia"/>
                <w:color w:val="auto"/>
                <w:sz w:val="21"/>
                <w:highlight w:val="none"/>
                <w:lang w:val="en-US" w:eastAsia="zh-CN"/>
              </w:rPr>
              <w:t>2023</w:t>
            </w:r>
            <w:r>
              <w:rPr>
                <w:color w:val="auto"/>
                <w:sz w:val="21"/>
                <w:highlight w:val="none"/>
              </w:rPr>
              <w:t>年</w:t>
            </w:r>
            <w:r>
              <w:rPr>
                <w:rFonts w:hint="eastAsia"/>
                <w:color w:val="auto"/>
                <w:sz w:val="21"/>
                <w:highlight w:val="none"/>
                <w:lang w:val="en-US" w:eastAsia="zh-CN"/>
              </w:rPr>
              <w:t>6</w:t>
            </w:r>
            <w:r>
              <w:rPr>
                <w:color w:val="auto"/>
                <w:sz w:val="21"/>
                <w:highlight w:val="none"/>
              </w:rPr>
              <w:t>月至响应文件递交截止时间前连续</w:t>
            </w:r>
            <w:r>
              <w:rPr>
                <w:color w:val="auto"/>
                <w:sz w:val="21"/>
                <w:highlight w:val="none"/>
                <w:u w:val="single"/>
              </w:rPr>
              <w:t xml:space="preserve"> 3 </w:t>
            </w:r>
            <w:r>
              <w:rPr>
                <w:color w:val="auto"/>
                <w:sz w:val="21"/>
                <w:highlight w:val="none"/>
              </w:rPr>
              <w:t>个月的依法缴纳税收的凭据复印件；依法免税的，必须提供相应文件证明其依法免税。从成立之日起到响应文件提交截止时间止不足要求月数的，只需提供从成立之日起的依法缴纳税收相应证明文件）；</w:t>
            </w:r>
            <w:r>
              <w:rPr>
                <w:b/>
                <w:bCs/>
                <w:color w:val="auto"/>
                <w:sz w:val="21"/>
                <w:highlight w:val="none"/>
              </w:rPr>
              <w:t>（必须提供，否则响应文件按无效响应处理）</w:t>
            </w:r>
            <w:r>
              <w:rPr>
                <w:color w:val="auto"/>
                <w:sz w:val="21"/>
                <w:highlight w:val="none"/>
              </w:rPr>
              <w:t xml:space="preserve"> </w:t>
            </w:r>
          </w:p>
          <w:p>
            <w:pPr>
              <w:spacing w:line="400" w:lineRule="exact"/>
              <w:ind w:firstLine="210" w:firstLineChars="100"/>
              <w:rPr>
                <w:color w:val="auto"/>
                <w:sz w:val="21"/>
                <w:highlight w:val="none"/>
              </w:rPr>
            </w:pPr>
            <w:r>
              <w:rPr>
                <w:rFonts w:hint="eastAsia"/>
                <w:color w:val="auto"/>
                <w:sz w:val="21"/>
                <w:highlight w:val="none"/>
                <w:lang w:val="en-US" w:eastAsia="zh-CN"/>
              </w:rPr>
              <w:t>4</w:t>
            </w:r>
            <w:r>
              <w:rPr>
                <w:color w:val="auto"/>
                <w:sz w:val="21"/>
                <w:highlight w:val="none"/>
              </w:rPr>
              <w:t>.供应商依法缴纳社会保障资金的相关材料[202</w:t>
            </w:r>
            <w:r>
              <w:rPr>
                <w:rFonts w:hint="eastAsia"/>
                <w:color w:val="auto"/>
                <w:sz w:val="21"/>
                <w:highlight w:val="none"/>
                <w:lang w:val="en-US" w:eastAsia="zh-CN"/>
              </w:rPr>
              <w:t>3</w:t>
            </w:r>
            <w:r>
              <w:rPr>
                <w:color w:val="auto"/>
                <w:sz w:val="21"/>
                <w:highlight w:val="none"/>
              </w:rPr>
              <w:t>年</w:t>
            </w:r>
            <w:r>
              <w:rPr>
                <w:rFonts w:hint="eastAsia"/>
                <w:color w:val="auto"/>
                <w:sz w:val="21"/>
                <w:highlight w:val="none"/>
                <w:lang w:val="en-US" w:eastAsia="zh-CN"/>
              </w:rPr>
              <w:t>6</w:t>
            </w:r>
            <w:r>
              <w:rPr>
                <w:color w:val="auto"/>
                <w:sz w:val="21"/>
                <w:highlight w:val="none"/>
              </w:rPr>
              <w:t>月至响应文件递交截止时间前连续</w:t>
            </w:r>
            <w:r>
              <w:rPr>
                <w:color w:val="auto"/>
                <w:sz w:val="21"/>
                <w:highlight w:val="none"/>
                <w:u w:val="single"/>
              </w:rPr>
              <w:t xml:space="preserve"> 3 </w:t>
            </w:r>
            <w:r>
              <w:rPr>
                <w:color w:val="auto"/>
                <w:sz w:val="21"/>
                <w:highlight w:val="none"/>
              </w:rPr>
              <w:t>个月的依法缴纳社会保障资金的缴费凭证（专用收据或者社会保险缴纳清单）复印件；依法不需要缴纳社会保障资金的，必须提供相应文件证明不需要缴纳社会保障资金。从成立之日起到响应文件提交截止时间止不足要求月数的只需提供从成立之日起的依法缴纳社会保障资金的相应证明文件]；</w:t>
            </w:r>
            <w:r>
              <w:rPr>
                <w:b/>
                <w:bCs/>
                <w:color w:val="auto"/>
                <w:sz w:val="21"/>
                <w:highlight w:val="none"/>
              </w:rPr>
              <w:t>（必须提供， 否则响应文件按无效响应处理）</w:t>
            </w:r>
            <w:r>
              <w:rPr>
                <w:color w:val="auto"/>
                <w:sz w:val="21"/>
                <w:highlight w:val="none"/>
              </w:rPr>
              <w:t xml:space="preserve"> </w:t>
            </w:r>
          </w:p>
          <w:p>
            <w:pPr>
              <w:spacing w:line="400" w:lineRule="exact"/>
              <w:ind w:firstLine="210" w:firstLineChars="100"/>
              <w:rPr>
                <w:color w:val="auto"/>
                <w:sz w:val="21"/>
                <w:highlight w:val="none"/>
              </w:rPr>
            </w:pPr>
            <w:r>
              <w:rPr>
                <w:rFonts w:hint="eastAsia"/>
                <w:color w:val="auto"/>
                <w:sz w:val="21"/>
                <w:highlight w:val="none"/>
                <w:lang w:val="en-US" w:eastAsia="zh-CN"/>
              </w:rPr>
              <w:t>5</w:t>
            </w:r>
            <w:r>
              <w:rPr>
                <w:color w:val="auto"/>
                <w:sz w:val="21"/>
                <w:highlight w:val="none"/>
              </w:rPr>
              <w:t>.供应商财务状况报告（</w:t>
            </w:r>
            <w:r>
              <w:rPr>
                <w:rFonts w:hint="eastAsia"/>
                <w:color w:val="auto"/>
                <w:sz w:val="21"/>
                <w:highlight w:val="none"/>
                <w:lang w:val="en-US" w:eastAsia="zh-CN"/>
              </w:rPr>
              <w:t>2022</w:t>
            </w:r>
            <w:r>
              <w:rPr>
                <w:color w:val="auto"/>
                <w:sz w:val="21"/>
                <w:highlight w:val="none"/>
              </w:rPr>
              <w:t>年度经会计师事务所或审计机构审计的财务会计报表复印件，或者银行出具的资信证明，或者中国人民银行征信中心出具的信用报告（企业竞标的提供企业信用报告，自然人竞标的提供个人信用报告）；供应商属于成立时间在规定年度之后的法人或其他组织，需提供成立之日起至响应文件提交截止时间前的月报表或银行出具的资信证明或者中国人民银行征信中心出具的企业信用报告；资信证明应在有效期内，未注明有效期的，银行出具时间至响应文件提交截止时间不超过一年）；</w:t>
            </w:r>
            <w:r>
              <w:rPr>
                <w:b/>
                <w:bCs/>
                <w:color w:val="auto"/>
                <w:sz w:val="21"/>
                <w:highlight w:val="none"/>
              </w:rPr>
              <w:t>（必须提供，否则响应文件按无效响应处理）</w:t>
            </w:r>
            <w:r>
              <w:rPr>
                <w:color w:val="auto"/>
                <w:sz w:val="21"/>
                <w:highlight w:val="none"/>
              </w:rPr>
              <w:t xml:space="preserve"> </w:t>
            </w:r>
          </w:p>
          <w:p>
            <w:pPr>
              <w:spacing w:line="400" w:lineRule="exact"/>
              <w:ind w:firstLine="210" w:firstLineChars="100"/>
              <w:rPr>
                <w:color w:val="auto"/>
                <w:sz w:val="21"/>
                <w:highlight w:val="none"/>
              </w:rPr>
            </w:pPr>
            <w:r>
              <w:rPr>
                <w:rFonts w:hint="eastAsia"/>
                <w:color w:val="auto"/>
                <w:sz w:val="21"/>
                <w:highlight w:val="none"/>
                <w:lang w:val="en-US" w:eastAsia="zh-CN"/>
              </w:rPr>
              <w:t>6</w:t>
            </w:r>
            <w:r>
              <w:rPr>
                <w:color w:val="auto"/>
                <w:sz w:val="21"/>
                <w:highlight w:val="none"/>
              </w:rPr>
              <w:t>.</w:t>
            </w:r>
            <w:r>
              <w:rPr>
                <w:rFonts w:hint="eastAsia"/>
                <w:color w:val="auto"/>
                <w:sz w:val="21"/>
                <w:highlight w:val="none"/>
              </w:rPr>
              <w:t>项目经理注册建造师资格证件复印件、安全生产考核合格证交安（B类）</w:t>
            </w:r>
            <w:r>
              <w:rPr>
                <w:color w:val="auto"/>
                <w:sz w:val="21"/>
                <w:highlight w:val="none"/>
              </w:rPr>
              <w:t>扫描件；</w:t>
            </w:r>
            <w:r>
              <w:rPr>
                <w:rFonts w:hint="eastAsia"/>
                <w:b/>
                <w:bCs/>
                <w:color w:val="auto"/>
                <w:sz w:val="21"/>
                <w:highlight w:val="none"/>
              </w:rPr>
              <w:t>（必须提供，否则响应文件按无效响应处理）</w:t>
            </w:r>
            <w:r>
              <w:rPr>
                <w:color w:val="auto"/>
                <w:sz w:val="21"/>
                <w:highlight w:val="none"/>
              </w:rPr>
              <w:t xml:space="preserve"> </w:t>
            </w:r>
          </w:p>
          <w:p>
            <w:pPr>
              <w:spacing w:line="400" w:lineRule="exact"/>
              <w:ind w:firstLine="210" w:firstLineChars="100"/>
              <w:rPr>
                <w:color w:val="auto"/>
                <w:sz w:val="21"/>
                <w:highlight w:val="none"/>
              </w:rPr>
            </w:pPr>
            <w:r>
              <w:rPr>
                <w:rFonts w:hint="eastAsia"/>
                <w:color w:val="auto"/>
                <w:sz w:val="21"/>
                <w:highlight w:val="none"/>
                <w:lang w:val="en-US" w:eastAsia="zh-CN"/>
              </w:rPr>
              <w:t>7</w:t>
            </w:r>
            <w:r>
              <w:rPr>
                <w:color w:val="auto"/>
                <w:sz w:val="21"/>
                <w:highlight w:val="none"/>
              </w:rPr>
              <w:t>.项目经理未在其他在施建设工程项目中任职的承诺函；（必须提供，否则响</w:t>
            </w:r>
            <w:r>
              <w:rPr>
                <w:b/>
                <w:color w:val="auto"/>
                <w:sz w:val="21"/>
                <w:highlight w:val="none"/>
              </w:rPr>
              <w:t>应文件按无效响应处理</w:t>
            </w:r>
            <w:r>
              <w:rPr>
                <w:color w:val="auto"/>
                <w:sz w:val="21"/>
                <w:highlight w:val="none"/>
              </w:rPr>
              <w:t xml:space="preserve">） </w:t>
            </w:r>
          </w:p>
          <w:p>
            <w:pPr>
              <w:spacing w:line="400" w:lineRule="exact"/>
              <w:ind w:firstLine="198" w:firstLineChars="100"/>
              <w:rPr>
                <w:color w:val="auto"/>
                <w:sz w:val="21"/>
                <w:highlight w:val="none"/>
              </w:rPr>
            </w:pPr>
            <w:r>
              <w:rPr>
                <w:rFonts w:hint="eastAsia"/>
                <w:color w:val="auto"/>
                <w:spacing w:val="-6"/>
                <w:sz w:val="21"/>
                <w:highlight w:val="none"/>
                <w:lang w:val="en-US" w:eastAsia="zh-CN"/>
              </w:rPr>
              <w:t>8</w:t>
            </w:r>
            <w:r>
              <w:rPr>
                <w:color w:val="auto"/>
                <w:spacing w:val="-6"/>
                <w:sz w:val="21"/>
                <w:highlight w:val="none"/>
              </w:rPr>
              <w:t>.供应商直接控股、管理关系信息表</w:t>
            </w:r>
            <w:r>
              <w:rPr>
                <w:color w:val="auto"/>
                <w:spacing w:val="-3"/>
                <w:sz w:val="21"/>
                <w:highlight w:val="none"/>
              </w:rPr>
              <w:t>（格式后附</w:t>
            </w:r>
            <w:r>
              <w:rPr>
                <w:color w:val="auto"/>
                <w:spacing w:val="-16"/>
                <w:sz w:val="21"/>
                <w:highlight w:val="none"/>
              </w:rPr>
              <w:t>）；（</w:t>
            </w:r>
            <w:r>
              <w:rPr>
                <w:b/>
                <w:color w:val="auto"/>
                <w:spacing w:val="-3"/>
                <w:sz w:val="21"/>
                <w:highlight w:val="none"/>
              </w:rPr>
              <w:t>必须提供，否则响应文件按无效响应处理</w:t>
            </w:r>
            <w:r>
              <w:rPr>
                <w:color w:val="auto"/>
                <w:spacing w:val="-3"/>
                <w:sz w:val="21"/>
                <w:highlight w:val="none"/>
              </w:rPr>
              <w:t>）</w:t>
            </w:r>
            <w:r>
              <w:rPr>
                <w:color w:val="auto"/>
                <w:sz w:val="21"/>
                <w:highlight w:val="none"/>
              </w:rPr>
              <w:t xml:space="preserve"> </w:t>
            </w:r>
          </w:p>
          <w:p>
            <w:pPr>
              <w:spacing w:line="400" w:lineRule="exact"/>
              <w:ind w:firstLine="208" w:firstLineChars="100"/>
              <w:rPr>
                <w:color w:val="auto"/>
                <w:sz w:val="21"/>
                <w:highlight w:val="none"/>
              </w:rPr>
            </w:pPr>
            <w:r>
              <w:rPr>
                <w:rFonts w:hint="eastAsia"/>
                <w:color w:val="auto"/>
                <w:spacing w:val="-1"/>
                <w:sz w:val="21"/>
                <w:highlight w:val="none"/>
                <w:lang w:val="en-US" w:eastAsia="zh-CN"/>
              </w:rPr>
              <w:t>9</w:t>
            </w:r>
            <w:r>
              <w:rPr>
                <w:color w:val="auto"/>
                <w:spacing w:val="-1"/>
                <w:sz w:val="21"/>
                <w:highlight w:val="none"/>
              </w:rPr>
              <w:t>.竞标声明</w:t>
            </w:r>
            <w:r>
              <w:rPr>
                <w:color w:val="auto"/>
                <w:spacing w:val="-3"/>
                <w:sz w:val="21"/>
                <w:highlight w:val="none"/>
              </w:rPr>
              <w:t>（格式后附</w:t>
            </w:r>
            <w:r>
              <w:rPr>
                <w:color w:val="auto"/>
                <w:sz w:val="21"/>
                <w:highlight w:val="none"/>
              </w:rPr>
              <w:t>）；（</w:t>
            </w:r>
            <w:r>
              <w:rPr>
                <w:b/>
                <w:color w:val="auto"/>
                <w:spacing w:val="-1"/>
                <w:sz w:val="21"/>
                <w:highlight w:val="none"/>
              </w:rPr>
              <w:t>必须提供，否则响应文件按无效响应处理</w:t>
            </w:r>
            <w:r>
              <w:rPr>
                <w:color w:val="auto"/>
                <w:spacing w:val="-5"/>
                <w:sz w:val="21"/>
                <w:highlight w:val="none"/>
              </w:rPr>
              <w:t>）</w:t>
            </w:r>
            <w:r>
              <w:rPr>
                <w:color w:val="auto"/>
                <w:sz w:val="21"/>
                <w:highlight w:val="none"/>
              </w:rPr>
              <w:t xml:space="preserve"> </w:t>
            </w:r>
          </w:p>
          <w:p>
            <w:pPr>
              <w:spacing w:line="400" w:lineRule="exact"/>
              <w:ind w:firstLine="200" w:firstLineChars="100"/>
              <w:rPr>
                <w:color w:val="auto"/>
                <w:sz w:val="21"/>
                <w:highlight w:val="none"/>
              </w:rPr>
            </w:pPr>
            <w:r>
              <w:rPr>
                <w:rFonts w:hint="eastAsia"/>
                <w:color w:val="auto"/>
                <w:spacing w:val="-5"/>
                <w:sz w:val="21"/>
                <w:highlight w:val="none"/>
                <w:lang w:val="en-US" w:eastAsia="zh-CN"/>
              </w:rPr>
              <w:t>10</w:t>
            </w:r>
            <w:r>
              <w:rPr>
                <w:color w:val="auto"/>
                <w:spacing w:val="-5"/>
                <w:sz w:val="21"/>
                <w:highlight w:val="none"/>
              </w:rPr>
              <w:t>.无串通竞标行为的承诺函</w:t>
            </w:r>
            <w:r>
              <w:rPr>
                <w:color w:val="auto"/>
                <w:sz w:val="21"/>
                <w:highlight w:val="none"/>
              </w:rPr>
              <w:t>（</w:t>
            </w:r>
            <w:r>
              <w:rPr>
                <w:color w:val="auto"/>
                <w:spacing w:val="-3"/>
                <w:sz w:val="21"/>
                <w:highlight w:val="none"/>
              </w:rPr>
              <w:t>格式后附</w:t>
            </w:r>
            <w:r>
              <w:rPr>
                <w:color w:val="auto"/>
                <w:spacing w:val="-20"/>
                <w:sz w:val="21"/>
                <w:highlight w:val="none"/>
              </w:rPr>
              <w:t>）；（</w:t>
            </w:r>
            <w:r>
              <w:rPr>
                <w:b/>
                <w:color w:val="auto"/>
                <w:spacing w:val="-4"/>
                <w:sz w:val="21"/>
                <w:highlight w:val="none"/>
              </w:rPr>
              <w:t>必须提供，否则响应文件按无效响应处理</w:t>
            </w:r>
            <w:r>
              <w:rPr>
                <w:color w:val="auto"/>
                <w:spacing w:val="-3"/>
                <w:sz w:val="21"/>
                <w:highlight w:val="none"/>
              </w:rPr>
              <w:t>）</w:t>
            </w:r>
            <w:r>
              <w:rPr>
                <w:color w:val="auto"/>
                <w:sz w:val="21"/>
                <w:highlight w:val="none"/>
              </w:rPr>
              <w:t xml:space="preserve"> </w:t>
            </w:r>
          </w:p>
          <w:p>
            <w:pPr>
              <w:spacing w:line="400" w:lineRule="exact"/>
              <w:ind w:firstLine="198" w:firstLineChars="100"/>
              <w:rPr>
                <w:color w:val="auto"/>
                <w:sz w:val="21"/>
                <w:highlight w:val="none"/>
              </w:rPr>
            </w:pPr>
            <w:r>
              <w:rPr>
                <w:rFonts w:hint="eastAsia"/>
                <w:color w:val="auto"/>
                <w:spacing w:val="-6"/>
                <w:sz w:val="21"/>
                <w:highlight w:val="none"/>
                <w:lang w:val="en-US" w:eastAsia="zh-CN"/>
              </w:rPr>
              <w:t>11</w:t>
            </w:r>
            <w:r>
              <w:rPr>
                <w:color w:val="auto"/>
                <w:spacing w:val="-6"/>
                <w:sz w:val="21"/>
                <w:highlight w:val="none"/>
              </w:rPr>
              <w:t>.供应商为中小微企业或者监狱企业或者残疾人福利性单位的资格证明材料【供应</w:t>
            </w:r>
            <w:r>
              <w:rPr>
                <w:color w:val="auto"/>
                <w:spacing w:val="-8"/>
                <w:sz w:val="21"/>
                <w:highlight w:val="none"/>
              </w:rPr>
              <w:t>商为中小微企业的应当提供《中小企业声明函》；供应商为残疾人福利性单位的</w:t>
            </w:r>
            <w:r>
              <w:rPr>
                <w:color w:val="auto"/>
                <w:spacing w:val="-11"/>
                <w:sz w:val="21"/>
                <w:highlight w:val="none"/>
              </w:rPr>
              <w:t>应当提供《残疾人福利性单位声明函》；供应商为监狱企业的应当提供由省级以</w:t>
            </w:r>
            <w:r>
              <w:rPr>
                <w:color w:val="auto"/>
                <w:spacing w:val="-10"/>
                <w:sz w:val="21"/>
                <w:highlight w:val="none"/>
              </w:rPr>
              <w:t>上监狱管理局、戒毒管理局</w:t>
            </w:r>
            <w:r>
              <w:rPr>
                <w:color w:val="auto"/>
                <w:spacing w:val="-3"/>
                <w:sz w:val="21"/>
                <w:highlight w:val="none"/>
              </w:rPr>
              <w:t>（含新疆生产建设兵团</w:t>
            </w:r>
            <w:r>
              <w:rPr>
                <w:color w:val="auto"/>
                <w:spacing w:val="-25"/>
                <w:sz w:val="21"/>
                <w:highlight w:val="none"/>
              </w:rPr>
              <w:t>）</w:t>
            </w:r>
            <w:r>
              <w:rPr>
                <w:color w:val="auto"/>
                <w:spacing w:val="-3"/>
                <w:sz w:val="21"/>
                <w:highlight w:val="none"/>
              </w:rPr>
              <w:t>出具的属于监狱企业的证明文件】</w:t>
            </w:r>
            <w:r>
              <w:rPr>
                <w:color w:val="auto"/>
                <w:sz w:val="21"/>
                <w:highlight w:val="none"/>
              </w:rPr>
              <w:t>（</w:t>
            </w:r>
            <w:r>
              <w:rPr>
                <w:color w:val="auto"/>
                <w:spacing w:val="-3"/>
                <w:sz w:val="21"/>
                <w:highlight w:val="none"/>
              </w:rPr>
              <w:t>声明函格式后附</w:t>
            </w:r>
            <w:r>
              <w:rPr>
                <w:color w:val="auto"/>
                <w:sz w:val="21"/>
                <w:highlight w:val="none"/>
              </w:rPr>
              <w:t>）；（</w:t>
            </w:r>
            <w:r>
              <w:rPr>
                <w:b/>
                <w:color w:val="auto"/>
                <w:spacing w:val="-3"/>
                <w:sz w:val="21"/>
                <w:highlight w:val="none"/>
              </w:rPr>
              <w:t>必须提供，否则响应文件按无效响应处理</w:t>
            </w:r>
            <w:r>
              <w:rPr>
                <w:color w:val="auto"/>
                <w:spacing w:val="-3"/>
                <w:sz w:val="21"/>
                <w:highlight w:val="none"/>
              </w:rPr>
              <w:t>）</w:t>
            </w:r>
            <w:r>
              <w:rPr>
                <w:color w:val="auto"/>
                <w:sz w:val="21"/>
                <w:highlight w:val="none"/>
              </w:rPr>
              <w:t xml:space="preserve"> </w:t>
            </w:r>
          </w:p>
          <w:p>
            <w:pPr>
              <w:spacing w:line="400" w:lineRule="exact"/>
              <w:ind w:firstLine="204" w:firstLineChars="100"/>
              <w:rPr>
                <w:color w:val="auto"/>
                <w:spacing w:val="-3"/>
                <w:sz w:val="21"/>
                <w:highlight w:val="none"/>
              </w:rPr>
            </w:pPr>
            <w:r>
              <w:rPr>
                <w:rFonts w:hint="eastAsia"/>
                <w:color w:val="auto"/>
                <w:spacing w:val="-3"/>
                <w:sz w:val="21"/>
                <w:highlight w:val="none"/>
                <w:lang w:val="en-US" w:eastAsia="zh-CN"/>
              </w:rPr>
              <w:t>12</w:t>
            </w:r>
            <w:r>
              <w:rPr>
                <w:color w:val="auto"/>
                <w:spacing w:val="-3"/>
                <w:sz w:val="21"/>
                <w:highlight w:val="none"/>
              </w:rPr>
              <w:t xml:space="preserve">.除磋商文件规定必须提供以外，供应商认为需要提供的其他证明材料； </w:t>
            </w:r>
          </w:p>
          <w:p>
            <w:pPr>
              <w:spacing w:line="400" w:lineRule="exact"/>
              <w:ind w:firstLine="205" w:firstLineChars="100"/>
              <w:rPr>
                <w:b/>
                <w:color w:val="auto"/>
                <w:spacing w:val="-3"/>
                <w:w w:val="99"/>
                <w:sz w:val="21"/>
                <w:highlight w:val="none"/>
              </w:rPr>
            </w:pPr>
            <w:r>
              <w:rPr>
                <w:b/>
                <w:color w:val="auto"/>
                <w:spacing w:val="-3"/>
                <w:sz w:val="21"/>
                <w:highlight w:val="none"/>
              </w:rPr>
              <w:t>注：</w:t>
            </w:r>
            <w:r>
              <w:rPr>
                <w:b/>
                <w:color w:val="auto"/>
                <w:spacing w:val="-3"/>
                <w:w w:val="99"/>
                <w:sz w:val="21"/>
                <w:highlight w:val="none"/>
              </w:rPr>
              <w:t xml:space="preserve"> </w:t>
            </w:r>
          </w:p>
          <w:p>
            <w:pPr>
              <w:spacing w:line="400" w:lineRule="exact"/>
              <w:ind w:firstLine="188" w:firstLineChars="100"/>
              <w:rPr>
                <w:b/>
                <w:color w:val="auto"/>
                <w:sz w:val="21"/>
                <w:highlight w:val="none"/>
              </w:rPr>
            </w:pPr>
            <w:r>
              <w:rPr>
                <w:rFonts w:hint="eastAsia"/>
                <w:b/>
                <w:color w:val="auto"/>
                <w:spacing w:val="-10"/>
                <w:w w:val="99"/>
                <w:sz w:val="21"/>
                <w:highlight w:val="none"/>
              </w:rPr>
              <w:t>1</w:t>
            </w:r>
            <w:r>
              <w:rPr>
                <w:b/>
                <w:color w:val="auto"/>
                <w:spacing w:val="-10"/>
                <w:w w:val="99"/>
                <w:sz w:val="21"/>
                <w:highlight w:val="none"/>
              </w:rPr>
              <w:t>.</w:t>
            </w:r>
            <w:r>
              <w:rPr>
                <w:b/>
                <w:color w:val="auto"/>
                <w:spacing w:val="-10"/>
                <w:sz w:val="21"/>
                <w:highlight w:val="none"/>
              </w:rPr>
              <w:t>以上标明“必须提供”的材料属于复印件的，必须加盖供应商电子签章，否则</w:t>
            </w:r>
            <w:r>
              <w:rPr>
                <w:b/>
                <w:color w:val="auto"/>
                <w:spacing w:val="-9"/>
                <w:sz w:val="21"/>
                <w:highlight w:val="none"/>
              </w:rPr>
              <w:t>响应文件按无效处理。</w:t>
            </w:r>
            <w:r>
              <w:rPr>
                <w:b/>
                <w:color w:val="auto"/>
                <w:spacing w:val="-9"/>
                <w:w w:val="99"/>
                <w:sz w:val="21"/>
                <w:highlight w:val="none"/>
              </w:rPr>
              <w:t xml:space="preserve"> </w:t>
            </w:r>
          </w:p>
          <w:p>
            <w:pPr>
              <w:spacing w:line="400" w:lineRule="exact"/>
              <w:ind w:firstLine="209" w:firstLineChars="100"/>
              <w:rPr>
                <w:b/>
                <w:color w:val="auto"/>
                <w:sz w:val="21"/>
                <w:highlight w:val="none"/>
              </w:rPr>
            </w:pPr>
            <w:r>
              <w:rPr>
                <w:rFonts w:hint="eastAsia"/>
                <w:b/>
                <w:color w:val="auto"/>
                <w:spacing w:val="-1"/>
                <w:sz w:val="21"/>
                <w:highlight w:val="none"/>
              </w:rPr>
              <w:t>2</w:t>
            </w:r>
            <w:r>
              <w:rPr>
                <w:b/>
                <w:color w:val="auto"/>
                <w:spacing w:val="-10"/>
                <w:w w:val="99"/>
                <w:sz w:val="21"/>
                <w:highlight w:val="none"/>
              </w:rPr>
              <w:t>.</w:t>
            </w:r>
            <w:r>
              <w:rPr>
                <w:b/>
                <w:color w:val="auto"/>
                <w:spacing w:val="-1"/>
                <w:sz w:val="21"/>
                <w:highlight w:val="none"/>
              </w:rPr>
              <w:t>分公司参加竞标的，应当取得总公司授权</w:t>
            </w:r>
            <w:r>
              <w:rPr>
                <w:rFonts w:hint="eastAsia"/>
                <w:b/>
                <w:color w:val="auto"/>
                <w:spacing w:val="-1"/>
                <w:sz w:val="21"/>
                <w:highlight w:val="none"/>
                <w:lang w:val="en-US" w:eastAsia="zh-CN"/>
              </w:rPr>
              <w:t>或出具总公司的有关文件（或制度等）能够证明总公司授权其独立开展业务的证明</w:t>
            </w:r>
            <w:r>
              <w:rPr>
                <w:b/>
                <w:color w:val="auto"/>
                <w:spacing w:val="-1"/>
                <w:sz w:val="21"/>
                <w:highlight w:val="none"/>
              </w:rPr>
              <w:t>；</w:t>
            </w:r>
          </w:p>
          <w:p>
            <w:pPr>
              <w:spacing w:line="400" w:lineRule="exact"/>
              <w:ind w:firstLine="205" w:firstLineChars="100"/>
              <w:rPr>
                <w:color w:val="auto"/>
                <w:sz w:val="21"/>
                <w:highlight w:val="none"/>
              </w:rPr>
            </w:pPr>
            <w:r>
              <w:rPr>
                <w:rFonts w:hint="eastAsia"/>
                <w:b/>
                <w:color w:val="auto"/>
                <w:spacing w:val="-3"/>
                <w:sz w:val="21"/>
                <w:highlight w:val="none"/>
              </w:rPr>
              <w:t>3</w:t>
            </w:r>
            <w:r>
              <w:rPr>
                <w:b/>
                <w:color w:val="auto"/>
                <w:spacing w:val="-3"/>
                <w:sz w:val="21"/>
                <w:highlight w:val="none"/>
              </w:rPr>
              <w:t>.若竞争性磋商文件中有专门标注的某关联点，并要求供应商在电子投标系统</w:t>
            </w:r>
            <w:r>
              <w:rPr>
                <w:b/>
                <w:color w:val="auto"/>
                <w:spacing w:val="-10"/>
                <w:sz w:val="21"/>
                <w:highlight w:val="none"/>
              </w:rPr>
              <w:t>中作出响应的，如供应商未对关联点进行响应或者在响应文件其它内容进行描述，造</w:t>
            </w:r>
            <w:r>
              <w:rPr>
                <w:b/>
                <w:color w:val="auto"/>
                <w:spacing w:val="-3"/>
                <w:sz w:val="21"/>
                <w:highlight w:val="none"/>
              </w:rPr>
              <w:t>成电子评审不能查询的责任由供应商自行承担。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trPr>
        <w:tc>
          <w:tcPr>
            <w:tcW w:w="1134" w:type="dxa"/>
            <w:vAlign w:val="center"/>
          </w:tcPr>
          <w:p>
            <w:pPr>
              <w:spacing w:line="400" w:lineRule="exact"/>
              <w:jc w:val="center"/>
              <w:rPr>
                <w:b/>
                <w:color w:val="auto"/>
                <w:sz w:val="21"/>
                <w:szCs w:val="21"/>
                <w:highlight w:val="none"/>
              </w:rPr>
            </w:pPr>
            <w:r>
              <w:rPr>
                <w:rFonts w:hint="eastAsia"/>
                <w:b/>
                <w:color w:val="auto"/>
                <w:sz w:val="21"/>
                <w:szCs w:val="21"/>
                <w:highlight w:val="none"/>
              </w:rPr>
              <w:t>7</w:t>
            </w:r>
          </w:p>
        </w:tc>
        <w:tc>
          <w:tcPr>
            <w:tcW w:w="8091" w:type="dxa"/>
          </w:tcPr>
          <w:p>
            <w:pPr>
              <w:spacing w:line="400" w:lineRule="exact"/>
              <w:rPr>
                <w:b/>
                <w:color w:val="auto"/>
                <w:sz w:val="21"/>
                <w:highlight w:val="none"/>
              </w:rPr>
            </w:pPr>
            <w:r>
              <w:rPr>
                <w:rFonts w:hint="eastAsia"/>
                <w:b/>
                <w:color w:val="auto"/>
                <w:sz w:val="21"/>
                <w:highlight w:val="none"/>
                <w:lang w:eastAsia="zh-CN"/>
              </w:rPr>
              <w:t>报价</w:t>
            </w:r>
            <w:r>
              <w:rPr>
                <w:b/>
                <w:color w:val="auto"/>
                <w:sz w:val="21"/>
                <w:highlight w:val="none"/>
              </w:rPr>
              <w:t>文件</w:t>
            </w:r>
            <w:r>
              <w:rPr>
                <w:b/>
                <w:color w:val="auto"/>
                <w:w w:val="99"/>
                <w:sz w:val="21"/>
                <w:highlight w:val="none"/>
              </w:rPr>
              <w:t xml:space="preserve"> </w:t>
            </w:r>
          </w:p>
          <w:p>
            <w:pPr>
              <w:spacing w:line="400" w:lineRule="exact"/>
              <w:ind w:firstLine="208" w:firstLineChars="100"/>
              <w:rPr>
                <w:b/>
                <w:color w:val="auto"/>
                <w:sz w:val="21"/>
                <w:highlight w:val="none"/>
              </w:rPr>
            </w:pPr>
            <w:r>
              <w:rPr>
                <w:rFonts w:hint="eastAsia"/>
                <w:color w:val="auto"/>
                <w:spacing w:val="-1"/>
                <w:sz w:val="21"/>
                <w:highlight w:val="none"/>
              </w:rPr>
              <w:t>1</w:t>
            </w:r>
            <w:r>
              <w:rPr>
                <w:color w:val="auto"/>
                <w:spacing w:val="-1"/>
                <w:sz w:val="21"/>
                <w:highlight w:val="none"/>
              </w:rPr>
              <w:t>.磋商函</w:t>
            </w:r>
            <w:r>
              <w:rPr>
                <w:color w:val="auto"/>
                <w:sz w:val="21"/>
                <w:highlight w:val="none"/>
              </w:rPr>
              <w:t>（</w:t>
            </w:r>
            <w:r>
              <w:rPr>
                <w:color w:val="auto"/>
                <w:spacing w:val="-3"/>
                <w:sz w:val="21"/>
                <w:highlight w:val="none"/>
              </w:rPr>
              <w:t>格式后附</w:t>
            </w:r>
            <w:r>
              <w:rPr>
                <w:color w:val="auto"/>
                <w:sz w:val="21"/>
                <w:highlight w:val="none"/>
              </w:rPr>
              <w:t>）；（</w:t>
            </w:r>
            <w:r>
              <w:rPr>
                <w:b/>
                <w:color w:val="auto"/>
                <w:spacing w:val="-2"/>
                <w:sz w:val="21"/>
                <w:highlight w:val="none"/>
              </w:rPr>
              <w:t>必须提供，否则响应文件按无效响应处理</w:t>
            </w:r>
            <w:r>
              <w:rPr>
                <w:color w:val="auto"/>
                <w:spacing w:val="-5"/>
                <w:sz w:val="21"/>
                <w:highlight w:val="none"/>
              </w:rPr>
              <w:t>）</w:t>
            </w:r>
            <w:r>
              <w:rPr>
                <w:b/>
                <w:color w:val="auto"/>
                <w:w w:val="99"/>
                <w:sz w:val="21"/>
                <w:highlight w:val="none"/>
              </w:rPr>
              <w:t xml:space="preserve"> </w:t>
            </w:r>
          </w:p>
          <w:p>
            <w:pPr>
              <w:spacing w:line="400" w:lineRule="exact"/>
              <w:ind w:firstLine="204" w:firstLineChars="100"/>
              <w:rPr>
                <w:color w:val="auto"/>
                <w:sz w:val="21"/>
                <w:highlight w:val="none"/>
              </w:rPr>
            </w:pPr>
            <w:r>
              <w:rPr>
                <w:rFonts w:hint="eastAsia"/>
                <w:color w:val="auto"/>
                <w:spacing w:val="-3"/>
                <w:sz w:val="21"/>
                <w:highlight w:val="none"/>
              </w:rPr>
              <w:t>2</w:t>
            </w:r>
            <w:r>
              <w:rPr>
                <w:color w:val="auto"/>
                <w:spacing w:val="-3"/>
                <w:sz w:val="21"/>
                <w:highlight w:val="none"/>
              </w:rPr>
              <w:t>.磋商函附录</w:t>
            </w:r>
            <w:r>
              <w:rPr>
                <w:color w:val="auto"/>
                <w:spacing w:val="-1"/>
                <w:sz w:val="21"/>
                <w:highlight w:val="none"/>
              </w:rPr>
              <w:t>（</w:t>
            </w:r>
            <w:r>
              <w:rPr>
                <w:color w:val="auto"/>
                <w:spacing w:val="-3"/>
                <w:sz w:val="21"/>
                <w:highlight w:val="none"/>
              </w:rPr>
              <w:t>格式后附</w:t>
            </w:r>
            <w:r>
              <w:rPr>
                <w:color w:val="auto"/>
                <w:sz w:val="21"/>
                <w:highlight w:val="none"/>
              </w:rPr>
              <w:t>）；（</w:t>
            </w:r>
            <w:r>
              <w:rPr>
                <w:b/>
                <w:color w:val="auto"/>
                <w:spacing w:val="-1"/>
                <w:sz w:val="21"/>
                <w:highlight w:val="none"/>
              </w:rPr>
              <w:t>必须提供，否则响应文件按无效响应处理</w:t>
            </w:r>
            <w:r>
              <w:rPr>
                <w:color w:val="auto"/>
                <w:spacing w:val="-5"/>
                <w:sz w:val="21"/>
                <w:highlight w:val="none"/>
              </w:rPr>
              <w:t>）</w:t>
            </w:r>
            <w:r>
              <w:rPr>
                <w:color w:val="auto"/>
                <w:sz w:val="21"/>
                <w:highlight w:val="none"/>
              </w:rPr>
              <w:t xml:space="preserve"> </w:t>
            </w:r>
          </w:p>
          <w:p>
            <w:pPr>
              <w:spacing w:line="400" w:lineRule="exact"/>
              <w:ind w:firstLine="204" w:firstLineChars="100"/>
              <w:rPr>
                <w:color w:val="auto"/>
                <w:sz w:val="21"/>
                <w:highlight w:val="none"/>
              </w:rPr>
            </w:pPr>
            <w:r>
              <w:rPr>
                <w:rFonts w:hint="eastAsia"/>
                <w:color w:val="auto"/>
                <w:spacing w:val="-3"/>
                <w:sz w:val="21"/>
                <w:highlight w:val="none"/>
              </w:rPr>
              <w:t>3</w:t>
            </w:r>
            <w:r>
              <w:rPr>
                <w:color w:val="auto"/>
                <w:spacing w:val="-3"/>
                <w:sz w:val="21"/>
                <w:highlight w:val="none"/>
              </w:rPr>
              <w:t>.磋商报价表</w:t>
            </w:r>
            <w:r>
              <w:rPr>
                <w:color w:val="auto"/>
                <w:spacing w:val="-1"/>
                <w:sz w:val="21"/>
                <w:highlight w:val="none"/>
              </w:rPr>
              <w:t>（</w:t>
            </w:r>
            <w:r>
              <w:rPr>
                <w:color w:val="auto"/>
                <w:spacing w:val="-3"/>
                <w:sz w:val="21"/>
                <w:highlight w:val="none"/>
              </w:rPr>
              <w:t>格式后附</w:t>
            </w:r>
            <w:r>
              <w:rPr>
                <w:color w:val="auto"/>
                <w:sz w:val="21"/>
                <w:highlight w:val="none"/>
              </w:rPr>
              <w:t>）；（</w:t>
            </w:r>
            <w:r>
              <w:rPr>
                <w:b/>
                <w:color w:val="auto"/>
                <w:spacing w:val="-1"/>
                <w:sz w:val="21"/>
                <w:highlight w:val="none"/>
              </w:rPr>
              <w:t>必须提供，否则响应文件按无效响应处理</w:t>
            </w:r>
            <w:r>
              <w:rPr>
                <w:color w:val="auto"/>
                <w:spacing w:val="-5"/>
                <w:sz w:val="21"/>
                <w:highlight w:val="none"/>
              </w:rPr>
              <w:t>）</w:t>
            </w:r>
            <w:r>
              <w:rPr>
                <w:color w:val="auto"/>
                <w:sz w:val="21"/>
                <w:highlight w:val="none"/>
              </w:rPr>
              <w:t xml:space="preserve"> </w:t>
            </w:r>
          </w:p>
          <w:p>
            <w:pPr>
              <w:spacing w:line="400" w:lineRule="exact"/>
              <w:ind w:firstLine="204" w:firstLineChars="100"/>
              <w:rPr>
                <w:color w:val="auto"/>
                <w:sz w:val="21"/>
                <w:highlight w:val="none"/>
              </w:rPr>
            </w:pPr>
            <w:r>
              <w:rPr>
                <w:rFonts w:hint="eastAsia"/>
                <w:color w:val="auto"/>
                <w:spacing w:val="-3"/>
                <w:sz w:val="21"/>
                <w:highlight w:val="none"/>
              </w:rPr>
              <w:t>4</w:t>
            </w:r>
            <w:r>
              <w:rPr>
                <w:color w:val="auto"/>
                <w:spacing w:val="-3"/>
                <w:sz w:val="21"/>
                <w:highlight w:val="none"/>
              </w:rPr>
              <w:t>.已标价工程量清单；（</w:t>
            </w:r>
            <w:r>
              <w:rPr>
                <w:b/>
                <w:color w:val="auto"/>
                <w:spacing w:val="-2"/>
                <w:sz w:val="21"/>
                <w:highlight w:val="none"/>
              </w:rPr>
              <w:t>必须提供，否则响应文件按无效响应处理</w:t>
            </w:r>
            <w:r>
              <w:rPr>
                <w:color w:val="auto"/>
                <w:spacing w:val="-3"/>
                <w:sz w:val="21"/>
                <w:highlight w:val="none"/>
              </w:rPr>
              <w:t>）</w:t>
            </w:r>
            <w:r>
              <w:rPr>
                <w:color w:val="auto"/>
                <w:sz w:val="21"/>
                <w:highlight w:val="none"/>
              </w:rPr>
              <w:t xml:space="preserve"> </w:t>
            </w:r>
          </w:p>
          <w:p>
            <w:pPr>
              <w:spacing w:line="400" w:lineRule="exact"/>
              <w:ind w:firstLine="204" w:firstLineChars="100"/>
              <w:rPr>
                <w:color w:val="auto"/>
                <w:spacing w:val="-3"/>
                <w:sz w:val="21"/>
                <w:highlight w:val="none"/>
              </w:rPr>
            </w:pPr>
            <w:r>
              <w:rPr>
                <w:rFonts w:hint="eastAsia"/>
                <w:color w:val="auto"/>
                <w:spacing w:val="-3"/>
                <w:sz w:val="21"/>
                <w:highlight w:val="none"/>
              </w:rPr>
              <w:t>5</w:t>
            </w:r>
            <w:r>
              <w:rPr>
                <w:color w:val="auto"/>
                <w:spacing w:val="-3"/>
                <w:sz w:val="21"/>
                <w:highlight w:val="none"/>
              </w:rPr>
              <w:t>.除磋商文件规定必须提供以外，供应商认为需要提供的其他材料；</w:t>
            </w:r>
          </w:p>
          <w:p>
            <w:pPr>
              <w:spacing w:line="400" w:lineRule="exact"/>
              <w:ind w:firstLine="205" w:firstLineChars="100"/>
              <w:rPr>
                <w:b/>
                <w:color w:val="auto"/>
                <w:spacing w:val="-3"/>
                <w:w w:val="99"/>
                <w:sz w:val="21"/>
                <w:highlight w:val="none"/>
              </w:rPr>
            </w:pPr>
            <w:r>
              <w:rPr>
                <w:b/>
                <w:color w:val="auto"/>
                <w:spacing w:val="-3"/>
                <w:sz w:val="21"/>
                <w:highlight w:val="none"/>
              </w:rPr>
              <w:t>备注：</w:t>
            </w:r>
            <w:r>
              <w:rPr>
                <w:b/>
                <w:color w:val="auto"/>
                <w:spacing w:val="-3"/>
                <w:w w:val="99"/>
                <w:sz w:val="21"/>
                <w:highlight w:val="none"/>
              </w:rPr>
              <w:t xml:space="preserve"> </w:t>
            </w:r>
          </w:p>
          <w:p>
            <w:pPr>
              <w:spacing w:line="400" w:lineRule="exact"/>
              <w:ind w:firstLine="200" w:firstLineChars="100"/>
              <w:rPr>
                <w:b/>
                <w:color w:val="auto"/>
                <w:sz w:val="21"/>
                <w:highlight w:val="none"/>
              </w:rPr>
            </w:pPr>
            <w:r>
              <w:rPr>
                <w:rFonts w:hint="eastAsia"/>
                <w:b/>
                <w:color w:val="auto"/>
                <w:spacing w:val="-4"/>
                <w:w w:val="99"/>
                <w:sz w:val="21"/>
                <w:highlight w:val="none"/>
              </w:rPr>
              <w:t>1</w:t>
            </w:r>
            <w:r>
              <w:rPr>
                <w:b/>
                <w:color w:val="auto"/>
                <w:spacing w:val="-4"/>
                <w:w w:val="99"/>
                <w:sz w:val="21"/>
                <w:highlight w:val="none"/>
              </w:rPr>
              <w:t>.</w:t>
            </w:r>
            <w:r>
              <w:rPr>
                <w:b/>
                <w:color w:val="auto"/>
                <w:spacing w:val="-4"/>
                <w:sz w:val="21"/>
                <w:highlight w:val="none"/>
              </w:rPr>
              <w:t>以上标明“必须提供”的材料属于复印件的，必须加盖供应商电子签章，否</w:t>
            </w:r>
            <w:r>
              <w:rPr>
                <w:b/>
                <w:color w:val="auto"/>
                <w:spacing w:val="-2"/>
                <w:sz w:val="21"/>
                <w:highlight w:val="none"/>
              </w:rPr>
              <w:t>则响应文件按无效响应处理。</w:t>
            </w:r>
          </w:p>
          <w:p>
            <w:pPr>
              <w:spacing w:line="400" w:lineRule="exact"/>
              <w:ind w:firstLine="205" w:firstLineChars="100"/>
              <w:rPr>
                <w:b/>
                <w:color w:val="auto"/>
                <w:sz w:val="21"/>
                <w:highlight w:val="none"/>
              </w:rPr>
            </w:pPr>
            <w:r>
              <w:rPr>
                <w:rFonts w:hint="eastAsia"/>
                <w:b/>
                <w:color w:val="auto"/>
                <w:spacing w:val="-3"/>
                <w:sz w:val="21"/>
                <w:highlight w:val="none"/>
              </w:rPr>
              <w:t>2</w:t>
            </w:r>
            <w:r>
              <w:rPr>
                <w:b/>
                <w:color w:val="auto"/>
                <w:spacing w:val="-3"/>
                <w:sz w:val="21"/>
                <w:highlight w:val="none"/>
              </w:rPr>
              <w:t>.若竞争性磋商文件中有专门标注的某关联点，并要求供应商在电子投标系统</w:t>
            </w:r>
            <w:r>
              <w:rPr>
                <w:b/>
                <w:color w:val="auto"/>
                <w:spacing w:val="-10"/>
                <w:sz w:val="21"/>
                <w:highlight w:val="none"/>
              </w:rPr>
              <w:t>中作出响应的，如供应商未对关联点进行响应或者在响应文件其它内容进行描述，造</w:t>
            </w:r>
            <w:r>
              <w:rPr>
                <w:b/>
                <w:color w:val="auto"/>
                <w:spacing w:val="-3"/>
                <w:sz w:val="21"/>
                <w:highlight w:val="none"/>
              </w:rPr>
              <w:t>成电子评审不能查询的责任由供应商自行承担。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trPr>
        <w:tc>
          <w:tcPr>
            <w:tcW w:w="1134" w:type="dxa"/>
            <w:vAlign w:val="center"/>
          </w:tcPr>
          <w:p>
            <w:pPr>
              <w:spacing w:line="400" w:lineRule="exact"/>
              <w:jc w:val="center"/>
              <w:rPr>
                <w:b/>
                <w:color w:val="auto"/>
                <w:sz w:val="21"/>
                <w:szCs w:val="21"/>
                <w:highlight w:val="none"/>
              </w:rPr>
            </w:pPr>
            <w:r>
              <w:rPr>
                <w:rFonts w:hint="eastAsia"/>
                <w:b/>
                <w:color w:val="auto"/>
                <w:sz w:val="21"/>
                <w:szCs w:val="21"/>
                <w:highlight w:val="none"/>
              </w:rPr>
              <w:t>8</w:t>
            </w:r>
          </w:p>
        </w:tc>
        <w:tc>
          <w:tcPr>
            <w:tcW w:w="8091" w:type="dxa"/>
          </w:tcPr>
          <w:p>
            <w:pPr>
              <w:spacing w:line="400" w:lineRule="exact"/>
              <w:rPr>
                <w:b/>
                <w:color w:val="auto"/>
                <w:sz w:val="21"/>
                <w:highlight w:val="none"/>
              </w:rPr>
            </w:pPr>
            <w:r>
              <w:rPr>
                <w:rFonts w:hint="eastAsia"/>
                <w:b/>
                <w:color w:val="auto"/>
                <w:sz w:val="21"/>
                <w:highlight w:val="none"/>
                <w:lang w:eastAsia="zh-CN"/>
              </w:rPr>
              <w:t>商务</w:t>
            </w:r>
            <w:r>
              <w:rPr>
                <w:b/>
                <w:color w:val="auto"/>
                <w:sz w:val="21"/>
                <w:highlight w:val="none"/>
              </w:rPr>
              <w:t>技术文件</w:t>
            </w:r>
            <w:r>
              <w:rPr>
                <w:b/>
                <w:color w:val="auto"/>
                <w:w w:val="99"/>
                <w:sz w:val="21"/>
                <w:highlight w:val="none"/>
              </w:rPr>
              <w:t xml:space="preserve"> </w:t>
            </w:r>
          </w:p>
          <w:p>
            <w:pPr>
              <w:spacing w:line="400" w:lineRule="exact"/>
              <w:ind w:firstLine="210" w:firstLineChars="100"/>
              <w:rPr>
                <w:color w:val="auto"/>
                <w:sz w:val="21"/>
                <w:highlight w:val="none"/>
              </w:rPr>
            </w:pPr>
            <w:r>
              <w:rPr>
                <w:rFonts w:hint="eastAsia"/>
                <w:color w:val="auto"/>
                <w:sz w:val="21"/>
                <w:highlight w:val="none"/>
                <w:lang w:val="en-US" w:eastAsia="zh-CN"/>
              </w:rPr>
              <w:t>1</w:t>
            </w:r>
            <w:r>
              <w:rPr>
                <w:color w:val="auto"/>
                <w:sz w:val="21"/>
                <w:highlight w:val="none"/>
              </w:rPr>
              <w:t>.法定代表人身份证明书及法定代表人有效身份证正反面扫描件（格式后附）；</w:t>
            </w:r>
            <w:r>
              <w:rPr>
                <w:b/>
                <w:bCs/>
                <w:color w:val="auto"/>
                <w:sz w:val="21"/>
                <w:highlight w:val="none"/>
              </w:rPr>
              <w:t>（必须提供，否则响应文件按无效响应处理）</w:t>
            </w:r>
            <w:r>
              <w:rPr>
                <w:color w:val="auto"/>
                <w:sz w:val="21"/>
                <w:highlight w:val="none"/>
              </w:rPr>
              <w:t xml:space="preserve"> </w:t>
            </w:r>
          </w:p>
          <w:p>
            <w:pPr>
              <w:spacing w:line="400" w:lineRule="exact"/>
              <w:ind w:firstLine="210" w:firstLineChars="100"/>
              <w:rPr>
                <w:rFonts w:hint="eastAsia"/>
                <w:color w:val="auto"/>
                <w:spacing w:val="-2"/>
                <w:sz w:val="21"/>
                <w:highlight w:val="none"/>
              </w:rPr>
            </w:pPr>
            <w:r>
              <w:rPr>
                <w:rFonts w:hint="eastAsia"/>
                <w:color w:val="auto"/>
                <w:sz w:val="21"/>
                <w:highlight w:val="none"/>
                <w:lang w:val="en-US" w:eastAsia="zh-CN"/>
              </w:rPr>
              <w:t>2</w:t>
            </w:r>
            <w:r>
              <w:rPr>
                <w:color w:val="auto"/>
                <w:sz w:val="21"/>
                <w:highlight w:val="none"/>
              </w:rPr>
              <w:t>.授权委托书及委托代理人有效身份证正反面扫描件（格式后附）；</w:t>
            </w:r>
            <w:r>
              <w:rPr>
                <w:b/>
                <w:bCs/>
                <w:color w:val="auto"/>
                <w:sz w:val="21"/>
                <w:highlight w:val="none"/>
              </w:rPr>
              <w:t>（委托时必须提供，否则响应文件按无效响应处理）</w:t>
            </w:r>
          </w:p>
          <w:p>
            <w:pPr>
              <w:spacing w:line="400" w:lineRule="exact"/>
              <w:ind w:firstLine="206" w:firstLineChars="100"/>
              <w:rPr>
                <w:b/>
                <w:color w:val="auto"/>
                <w:sz w:val="21"/>
                <w:highlight w:val="none"/>
              </w:rPr>
            </w:pPr>
            <w:r>
              <w:rPr>
                <w:rFonts w:hint="eastAsia"/>
                <w:color w:val="auto"/>
                <w:spacing w:val="-2"/>
                <w:sz w:val="21"/>
                <w:highlight w:val="none"/>
                <w:lang w:val="en-US" w:eastAsia="zh-CN"/>
              </w:rPr>
              <w:t>3</w:t>
            </w:r>
            <w:r>
              <w:rPr>
                <w:color w:val="auto"/>
                <w:spacing w:val="-2"/>
                <w:sz w:val="21"/>
                <w:highlight w:val="none"/>
              </w:rPr>
              <w:t>.施工组织设计</w:t>
            </w:r>
            <w:r>
              <w:rPr>
                <w:color w:val="auto"/>
                <w:spacing w:val="-3"/>
                <w:sz w:val="21"/>
                <w:highlight w:val="none"/>
              </w:rPr>
              <w:t>；（</w:t>
            </w:r>
            <w:r>
              <w:rPr>
                <w:b/>
                <w:color w:val="auto"/>
                <w:spacing w:val="-2"/>
                <w:sz w:val="21"/>
                <w:highlight w:val="none"/>
              </w:rPr>
              <w:t>必须提供，否则响应文件按无效响应处理</w:t>
            </w:r>
            <w:r>
              <w:rPr>
                <w:color w:val="auto"/>
                <w:spacing w:val="-3"/>
                <w:sz w:val="21"/>
                <w:highlight w:val="none"/>
              </w:rPr>
              <w:t>）</w:t>
            </w:r>
            <w:r>
              <w:rPr>
                <w:b/>
                <w:color w:val="auto"/>
                <w:w w:val="99"/>
                <w:sz w:val="21"/>
                <w:highlight w:val="none"/>
              </w:rPr>
              <w:t xml:space="preserve"> </w:t>
            </w:r>
          </w:p>
          <w:p>
            <w:pPr>
              <w:spacing w:line="400" w:lineRule="exact"/>
              <w:ind w:firstLine="200" w:firstLineChars="100"/>
              <w:rPr>
                <w:color w:val="auto"/>
                <w:sz w:val="21"/>
                <w:highlight w:val="none"/>
              </w:rPr>
            </w:pPr>
            <w:r>
              <w:rPr>
                <w:rFonts w:hint="eastAsia"/>
                <w:color w:val="auto"/>
                <w:spacing w:val="-5"/>
                <w:sz w:val="21"/>
                <w:highlight w:val="none"/>
                <w:lang w:val="en-US" w:eastAsia="zh-CN"/>
              </w:rPr>
              <w:t>4</w:t>
            </w:r>
            <w:r>
              <w:rPr>
                <w:color w:val="auto"/>
                <w:spacing w:val="-5"/>
                <w:sz w:val="21"/>
                <w:highlight w:val="none"/>
              </w:rPr>
              <w:t>.项目管理机构配备情况表</w:t>
            </w:r>
            <w:r>
              <w:rPr>
                <w:color w:val="auto"/>
                <w:sz w:val="21"/>
                <w:highlight w:val="none"/>
              </w:rPr>
              <w:t>（</w:t>
            </w:r>
            <w:r>
              <w:rPr>
                <w:color w:val="auto"/>
                <w:spacing w:val="-3"/>
                <w:sz w:val="21"/>
                <w:highlight w:val="none"/>
              </w:rPr>
              <w:t>格式后附</w:t>
            </w:r>
            <w:r>
              <w:rPr>
                <w:color w:val="auto"/>
                <w:spacing w:val="-20"/>
                <w:sz w:val="21"/>
                <w:highlight w:val="none"/>
              </w:rPr>
              <w:t>）；（</w:t>
            </w:r>
            <w:r>
              <w:rPr>
                <w:b/>
                <w:color w:val="auto"/>
                <w:spacing w:val="-4"/>
                <w:sz w:val="21"/>
                <w:highlight w:val="none"/>
              </w:rPr>
              <w:t>必须提供，否则响应文件按无效响应处理</w:t>
            </w:r>
            <w:r>
              <w:rPr>
                <w:color w:val="auto"/>
                <w:spacing w:val="-3"/>
                <w:sz w:val="21"/>
                <w:highlight w:val="none"/>
              </w:rPr>
              <w:t>）</w:t>
            </w:r>
            <w:r>
              <w:rPr>
                <w:color w:val="auto"/>
                <w:sz w:val="21"/>
                <w:highlight w:val="none"/>
              </w:rPr>
              <w:t xml:space="preserve"> </w:t>
            </w:r>
          </w:p>
          <w:p>
            <w:pPr>
              <w:spacing w:line="400" w:lineRule="exact"/>
              <w:ind w:firstLine="204" w:firstLineChars="100"/>
              <w:rPr>
                <w:color w:val="auto"/>
                <w:spacing w:val="-3"/>
                <w:sz w:val="21"/>
                <w:highlight w:val="none"/>
              </w:rPr>
            </w:pPr>
            <w:r>
              <w:rPr>
                <w:rFonts w:hint="eastAsia"/>
                <w:color w:val="auto"/>
                <w:spacing w:val="-3"/>
                <w:sz w:val="21"/>
                <w:highlight w:val="none"/>
                <w:lang w:val="en-US" w:eastAsia="zh-CN"/>
              </w:rPr>
              <w:t>5</w:t>
            </w:r>
            <w:r>
              <w:rPr>
                <w:color w:val="auto"/>
                <w:spacing w:val="-3"/>
                <w:sz w:val="21"/>
                <w:highlight w:val="none"/>
              </w:rPr>
              <w:t xml:space="preserve">.除磋商文件规定必须提供以外，供应商认为需要提供的其他材料； </w:t>
            </w:r>
          </w:p>
          <w:p>
            <w:pPr>
              <w:spacing w:line="400" w:lineRule="exact"/>
              <w:rPr>
                <w:color w:val="auto"/>
                <w:spacing w:val="-3"/>
                <w:sz w:val="21"/>
                <w:highlight w:val="none"/>
              </w:rPr>
            </w:pPr>
            <w:r>
              <w:rPr>
                <w:b/>
                <w:color w:val="auto"/>
                <w:spacing w:val="-3"/>
                <w:sz w:val="21"/>
                <w:highlight w:val="none"/>
              </w:rPr>
              <w:t>备注：</w:t>
            </w:r>
            <w:r>
              <w:rPr>
                <w:b/>
                <w:color w:val="auto"/>
                <w:spacing w:val="-3"/>
                <w:w w:val="99"/>
                <w:sz w:val="21"/>
                <w:highlight w:val="none"/>
              </w:rPr>
              <w:t xml:space="preserve"> </w:t>
            </w:r>
          </w:p>
          <w:p>
            <w:pPr>
              <w:spacing w:line="400" w:lineRule="exact"/>
              <w:ind w:firstLine="211" w:firstLineChars="100"/>
              <w:rPr>
                <w:b/>
                <w:color w:val="auto"/>
                <w:sz w:val="21"/>
                <w:highlight w:val="none"/>
              </w:rPr>
            </w:pPr>
            <w:r>
              <w:rPr>
                <w:rFonts w:hint="eastAsia"/>
                <w:b/>
                <w:color w:val="auto"/>
                <w:sz w:val="21"/>
                <w:highlight w:val="none"/>
              </w:rPr>
              <w:t>1</w:t>
            </w:r>
            <w:r>
              <w:rPr>
                <w:b/>
                <w:color w:val="auto"/>
                <w:sz w:val="21"/>
                <w:highlight w:val="none"/>
              </w:rPr>
              <w:t>. 以上标明“必须提供”的材料属于复印件的，必须加盖供应商电子签章，否</w:t>
            </w:r>
            <w:r>
              <w:rPr>
                <w:b/>
                <w:color w:val="auto"/>
                <w:spacing w:val="-2"/>
                <w:sz w:val="21"/>
                <w:highlight w:val="none"/>
              </w:rPr>
              <w:t>则响应文件按无效响应处理。</w:t>
            </w:r>
            <w:r>
              <w:rPr>
                <w:b/>
                <w:color w:val="auto"/>
                <w:spacing w:val="-2"/>
                <w:w w:val="99"/>
                <w:sz w:val="21"/>
                <w:highlight w:val="none"/>
              </w:rPr>
              <w:t xml:space="preserve"> </w:t>
            </w:r>
          </w:p>
          <w:p>
            <w:pPr>
              <w:spacing w:line="400" w:lineRule="exact"/>
              <w:ind w:firstLine="211" w:firstLineChars="100"/>
              <w:rPr>
                <w:b/>
                <w:color w:val="auto"/>
                <w:sz w:val="21"/>
                <w:highlight w:val="none"/>
              </w:rPr>
            </w:pPr>
            <w:r>
              <w:rPr>
                <w:rFonts w:hint="eastAsia"/>
                <w:b/>
                <w:color w:val="auto"/>
                <w:sz w:val="21"/>
                <w:highlight w:val="none"/>
              </w:rPr>
              <w:t>2</w:t>
            </w:r>
            <w:r>
              <w:rPr>
                <w:b/>
                <w:color w:val="auto"/>
                <w:sz w:val="21"/>
                <w:highlight w:val="none"/>
              </w:rPr>
              <w:t>. 若竞争性磋商文件中有专门标注的某关联点，并要求供应商在电子投标系统</w:t>
            </w:r>
            <w:r>
              <w:rPr>
                <w:b/>
                <w:color w:val="auto"/>
                <w:spacing w:val="-9"/>
                <w:sz w:val="21"/>
                <w:highlight w:val="none"/>
              </w:rPr>
              <w:t>中作出响应的，如供应商未对关联点进行响应或者在响应文件其它内容进行描述，造</w:t>
            </w:r>
            <w:r>
              <w:rPr>
                <w:b/>
                <w:color w:val="auto"/>
                <w:sz w:val="21"/>
                <w:highlight w:val="none"/>
              </w:rPr>
              <w:t>成电子评审不能查询的责任由供应商自行承担。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trPr>
        <w:tc>
          <w:tcPr>
            <w:tcW w:w="1134" w:type="dxa"/>
            <w:vAlign w:val="center"/>
          </w:tcPr>
          <w:p>
            <w:pPr>
              <w:spacing w:line="400" w:lineRule="exact"/>
              <w:jc w:val="center"/>
              <w:rPr>
                <w:b/>
                <w:color w:val="auto"/>
                <w:sz w:val="21"/>
                <w:szCs w:val="21"/>
                <w:highlight w:val="none"/>
              </w:rPr>
            </w:pPr>
            <w:r>
              <w:rPr>
                <w:rFonts w:hint="eastAsia"/>
                <w:b/>
                <w:color w:val="auto"/>
                <w:sz w:val="21"/>
                <w:szCs w:val="21"/>
                <w:highlight w:val="none"/>
              </w:rPr>
              <w:t>9</w:t>
            </w:r>
          </w:p>
        </w:tc>
        <w:tc>
          <w:tcPr>
            <w:tcW w:w="8091" w:type="dxa"/>
          </w:tcPr>
          <w:p>
            <w:pPr>
              <w:spacing w:line="400" w:lineRule="exact"/>
              <w:rPr>
                <w:b/>
                <w:color w:val="auto"/>
                <w:sz w:val="21"/>
                <w:highlight w:val="none"/>
              </w:rPr>
            </w:pPr>
            <w:r>
              <w:rPr>
                <w:b/>
                <w:color w:val="auto"/>
                <w:sz w:val="21"/>
                <w:highlight w:val="none"/>
              </w:rPr>
              <w:t>企业信誉实力文件（如有）</w:t>
            </w:r>
            <w:r>
              <w:rPr>
                <w:b/>
                <w:color w:val="auto"/>
                <w:w w:val="99"/>
                <w:sz w:val="21"/>
                <w:highlight w:val="none"/>
              </w:rPr>
              <w:t xml:space="preserve"> </w:t>
            </w:r>
          </w:p>
          <w:p>
            <w:pPr>
              <w:spacing w:line="400" w:lineRule="exact"/>
              <w:ind w:firstLine="204" w:firstLineChars="100"/>
              <w:rPr>
                <w:color w:val="auto"/>
                <w:sz w:val="21"/>
                <w:highlight w:val="none"/>
              </w:rPr>
            </w:pPr>
            <w:r>
              <w:rPr>
                <w:rFonts w:hint="eastAsia"/>
                <w:color w:val="auto"/>
                <w:spacing w:val="-3"/>
                <w:sz w:val="21"/>
                <w:highlight w:val="none"/>
              </w:rPr>
              <w:t>1</w:t>
            </w:r>
            <w:r>
              <w:rPr>
                <w:color w:val="auto"/>
                <w:spacing w:val="-3"/>
                <w:sz w:val="21"/>
                <w:highlight w:val="none"/>
              </w:rPr>
              <w:t>.已完成类似工程一览表（</w:t>
            </w:r>
            <w:r>
              <w:rPr>
                <w:color w:val="auto"/>
                <w:spacing w:val="-1"/>
                <w:sz w:val="21"/>
                <w:highlight w:val="none"/>
              </w:rPr>
              <w:t>格式后附</w:t>
            </w:r>
            <w:r>
              <w:rPr>
                <w:color w:val="auto"/>
                <w:spacing w:val="-3"/>
                <w:sz w:val="21"/>
                <w:highlight w:val="none"/>
              </w:rPr>
              <w:t>）；</w:t>
            </w:r>
            <w:r>
              <w:rPr>
                <w:color w:val="auto"/>
                <w:sz w:val="21"/>
                <w:highlight w:val="none"/>
              </w:rPr>
              <w:t xml:space="preserve"> </w:t>
            </w:r>
          </w:p>
          <w:p>
            <w:pPr>
              <w:spacing w:line="400" w:lineRule="exact"/>
              <w:ind w:firstLine="204" w:firstLineChars="100"/>
              <w:rPr>
                <w:b/>
                <w:color w:val="auto"/>
                <w:sz w:val="21"/>
                <w:highlight w:val="none"/>
              </w:rPr>
            </w:pPr>
            <w:r>
              <w:rPr>
                <w:rFonts w:hint="eastAsia"/>
                <w:color w:val="auto"/>
                <w:spacing w:val="-3"/>
                <w:sz w:val="21"/>
                <w:highlight w:val="none"/>
              </w:rPr>
              <w:t>2</w:t>
            </w:r>
            <w:r>
              <w:rPr>
                <w:color w:val="auto"/>
                <w:spacing w:val="-3"/>
                <w:sz w:val="21"/>
                <w:highlight w:val="none"/>
              </w:rPr>
              <w:t>.企业信誉实力一览表</w:t>
            </w:r>
            <w:r>
              <w:rPr>
                <w:color w:val="auto"/>
                <w:sz w:val="21"/>
                <w:highlight w:val="none"/>
              </w:rPr>
              <w:t>（</w:t>
            </w:r>
            <w:r>
              <w:rPr>
                <w:color w:val="auto"/>
                <w:spacing w:val="-3"/>
                <w:sz w:val="21"/>
                <w:highlight w:val="none"/>
              </w:rPr>
              <w:t>格式后附</w:t>
            </w:r>
            <w:r>
              <w:rPr>
                <w:color w:val="auto"/>
                <w:sz w:val="21"/>
                <w:highlight w:val="none"/>
              </w:rPr>
              <w:t>）；</w:t>
            </w:r>
            <w:r>
              <w:rPr>
                <w:b/>
                <w:color w:val="auto"/>
                <w:spacing w:val="-3"/>
                <w:w w:val="99"/>
                <w:sz w:val="21"/>
                <w:highlight w:val="none"/>
              </w:rPr>
              <w:t xml:space="preserve"> </w:t>
            </w:r>
            <w:r>
              <w:rPr>
                <w:b/>
                <w:color w:val="auto"/>
                <w:w w:val="99"/>
                <w:sz w:val="21"/>
                <w:highlight w:val="none"/>
              </w:rPr>
              <w:t xml:space="preserve"> </w:t>
            </w:r>
          </w:p>
          <w:p>
            <w:pPr>
              <w:spacing w:line="400" w:lineRule="exact"/>
              <w:ind w:firstLine="204" w:firstLineChars="100"/>
              <w:rPr>
                <w:color w:val="auto"/>
                <w:spacing w:val="-3"/>
                <w:sz w:val="21"/>
                <w:highlight w:val="none"/>
              </w:rPr>
            </w:pPr>
            <w:r>
              <w:rPr>
                <w:rFonts w:hint="eastAsia"/>
                <w:color w:val="auto"/>
                <w:spacing w:val="-3"/>
                <w:sz w:val="21"/>
                <w:highlight w:val="none"/>
              </w:rPr>
              <w:t>3</w:t>
            </w:r>
            <w:r>
              <w:rPr>
                <w:color w:val="auto"/>
                <w:spacing w:val="-3"/>
                <w:sz w:val="21"/>
                <w:highlight w:val="none"/>
              </w:rPr>
              <w:t>.供应商认为需要提供的其他材料。</w:t>
            </w:r>
          </w:p>
          <w:p>
            <w:pPr>
              <w:spacing w:line="400" w:lineRule="exact"/>
              <w:rPr>
                <w:b/>
                <w:color w:val="auto"/>
                <w:sz w:val="21"/>
                <w:highlight w:val="none"/>
              </w:rPr>
            </w:pPr>
            <w:r>
              <w:rPr>
                <w:b/>
                <w:color w:val="auto"/>
                <w:spacing w:val="-3"/>
                <w:sz w:val="21"/>
                <w:highlight w:val="none"/>
              </w:rPr>
              <w:t>备注：</w:t>
            </w:r>
            <w:r>
              <w:rPr>
                <w:b/>
                <w:color w:val="auto"/>
                <w:spacing w:val="-3"/>
                <w:w w:val="99"/>
                <w:sz w:val="21"/>
                <w:highlight w:val="none"/>
              </w:rPr>
              <w:t xml:space="preserve"> </w:t>
            </w:r>
          </w:p>
          <w:p>
            <w:pPr>
              <w:spacing w:line="400" w:lineRule="exact"/>
              <w:ind w:firstLine="105" w:firstLineChars="50"/>
              <w:rPr>
                <w:b/>
                <w:color w:val="auto"/>
                <w:sz w:val="21"/>
                <w:highlight w:val="none"/>
              </w:rPr>
            </w:pPr>
            <w:r>
              <w:rPr>
                <w:rFonts w:hint="eastAsia"/>
                <w:b/>
                <w:color w:val="auto"/>
                <w:sz w:val="21"/>
                <w:highlight w:val="none"/>
              </w:rPr>
              <w:t>1</w:t>
            </w:r>
            <w:r>
              <w:rPr>
                <w:b/>
                <w:color w:val="auto"/>
                <w:sz w:val="21"/>
                <w:highlight w:val="none"/>
              </w:rPr>
              <w:t>. 以上标明“必须提供”的材料属于复印件的，必须加盖供应商电子签章，否</w:t>
            </w:r>
            <w:r>
              <w:rPr>
                <w:b/>
                <w:color w:val="auto"/>
                <w:spacing w:val="-2"/>
                <w:sz w:val="21"/>
                <w:highlight w:val="none"/>
              </w:rPr>
              <w:t>则响应文件按无效响应处理。</w:t>
            </w:r>
            <w:r>
              <w:rPr>
                <w:b/>
                <w:color w:val="auto"/>
                <w:spacing w:val="-2"/>
                <w:w w:val="99"/>
                <w:sz w:val="21"/>
                <w:highlight w:val="none"/>
              </w:rPr>
              <w:t xml:space="preserve"> </w:t>
            </w:r>
          </w:p>
          <w:p>
            <w:pPr>
              <w:spacing w:line="400" w:lineRule="exact"/>
              <w:ind w:firstLine="105" w:firstLineChars="50"/>
              <w:rPr>
                <w:b/>
                <w:color w:val="auto"/>
                <w:sz w:val="21"/>
                <w:highlight w:val="none"/>
              </w:rPr>
            </w:pPr>
            <w:r>
              <w:rPr>
                <w:rFonts w:hint="eastAsia"/>
                <w:b/>
                <w:color w:val="auto"/>
                <w:sz w:val="21"/>
                <w:highlight w:val="none"/>
              </w:rPr>
              <w:t>2</w:t>
            </w:r>
            <w:r>
              <w:rPr>
                <w:b/>
                <w:color w:val="auto"/>
                <w:sz w:val="21"/>
                <w:highlight w:val="none"/>
              </w:rPr>
              <w:t>. 若竞争性磋商文件中有专门标注的某关联点，并要求供应商在电子投标系统</w:t>
            </w:r>
            <w:r>
              <w:rPr>
                <w:b/>
                <w:color w:val="auto"/>
                <w:spacing w:val="-10"/>
                <w:sz w:val="21"/>
                <w:highlight w:val="none"/>
              </w:rPr>
              <w:t>中作出响应的，如供应商未对关联点进行响应或者在响应文件其它内容进行描述，造</w:t>
            </w:r>
            <w:r>
              <w:rPr>
                <w:b/>
                <w:color w:val="auto"/>
                <w:sz w:val="21"/>
                <w:highlight w:val="none"/>
              </w:rPr>
              <w:t>成电子评审不能查询的责任由供应商自行承担。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trPr>
        <w:tc>
          <w:tcPr>
            <w:tcW w:w="1134" w:type="dxa"/>
            <w:vAlign w:val="center"/>
          </w:tcPr>
          <w:p>
            <w:pPr>
              <w:spacing w:line="400" w:lineRule="exact"/>
              <w:jc w:val="center"/>
              <w:rPr>
                <w:b/>
                <w:color w:val="auto"/>
                <w:sz w:val="21"/>
                <w:szCs w:val="21"/>
                <w:highlight w:val="none"/>
              </w:rPr>
            </w:pPr>
            <w:r>
              <w:rPr>
                <w:rFonts w:hint="eastAsia"/>
                <w:b/>
                <w:color w:val="auto"/>
                <w:sz w:val="21"/>
                <w:szCs w:val="21"/>
                <w:highlight w:val="none"/>
              </w:rPr>
              <w:t>1</w:t>
            </w:r>
            <w:r>
              <w:rPr>
                <w:b/>
                <w:color w:val="auto"/>
                <w:sz w:val="21"/>
                <w:szCs w:val="21"/>
                <w:highlight w:val="none"/>
              </w:rPr>
              <w:t>0</w:t>
            </w:r>
          </w:p>
        </w:tc>
        <w:tc>
          <w:tcPr>
            <w:tcW w:w="8091" w:type="dxa"/>
          </w:tcPr>
          <w:p>
            <w:pPr>
              <w:spacing w:line="400" w:lineRule="exact"/>
              <w:rPr>
                <w:color w:val="auto"/>
                <w:sz w:val="21"/>
                <w:highlight w:val="none"/>
              </w:rPr>
            </w:pPr>
            <w:r>
              <w:rPr>
                <w:color w:val="auto"/>
                <w:sz w:val="21"/>
                <w:highlight w:val="none"/>
              </w:rPr>
              <w:t xml:space="preserve">竞标报价内容及要求： </w:t>
            </w:r>
          </w:p>
          <w:p>
            <w:pPr>
              <w:spacing w:line="400" w:lineRule="exact"/>
              <w:ind w:firstLine="102" w:firstLineChars="50"/>
              <w:rPr>
                <w:color w:val="auto"/>
                <w:sz w:val="21"/>
                <w:highlight w:val="none"/>
              </w:rPr>
            </w:pPr>
            <w:r>
              <w:rPr>
                <w:rFonts w:hint="eastAsia"/>
                <w:color w:val="auto"/>
                <w:spacing w:val="-3"/>
                <w:sz w:val="21"/>
                <w:highlight w:val="none"/>
              </w:rPr>
              <w:t>1</w:t>
            </w:r>
            <w:r>
              <w:rPr>
                <w:color w:val="auto"/>
                <w:spacing w:val="-3"/>
                <w:sz w:val="21"/>
                <w:highlight w:val="none"/>
              </w:rPr>
              <w:t>.供应商必须就所竞标的全部内容作完整报价，漏项报价的或有选择的或有条件的报价，其竞标将视为无效。</w:t>
            </w:r>
            <w:r>
              <w:rPr>
                <w:color w:val="auto"/>
                <w:sz w:val="21"/>
                <w:highlight w:val="none"/>
              </w:rPr>
              <w:t xml:space="preserve"> </w:t>
            </w:r>
          </w:p>
          <w:p>
            <w:pPr>
              <w:spacing w:line="400" w:lineRule="exact"/>
              <w:ind w:firstLine="102" w:firstLineChars="50"/>
              <w:rPr>
                <w:color w:val="auto"/>
                <w:sz w:val="21"/>
                <w:highlight w:val="none"/>
              </w:rPr>
            </w:pPr>
            <w:r>
              <w:rPr>
                <w:rFonts w:hint="eastAsia"/>
                <w:color w:val="auto"/>
                <w:spacing w:val="-3"/>
                <w:sz w:val="21"/>
                <w:highlight w:val="none"/>
              </w:rPr>
              <w:t>2</w:t>
            </w:r>
            <w:r>
              <w:rPr>
                <w:color w:val="auto"/>
                <w:spacing w:val="-3"/>
                <w:sz w:val="21"/>
                <w:highlight w:val="none"/>
              </w:rPr>
              <w:t>.本项目采用工程量清单报价方式, 供应商应使用符合该数据交换标准的计价软</w:t>
            </w:r>
            <w:r>
              <w:rPr>
                <w:color w:val="auto"/>
                <w:spacing w:val="-8"/>
                <w:sz w:val="21"/>
                <w:highlight w:val="none"/>
              </w:rPr>
              <w:t>件导入电子工程量清单，填写单价和计算总额价，完成已标价工程量清单的编制。严</w:t>
            </w:r>
            <w:r>
              <w:rPr>
                <w:color w:val="auto"/>
                <w:spacing w:val="-9"/>
                <w:sz w:val="21"/>
                <w:highlight w:val="none"/>
              </w:rPr>
              <w:t>禁供应商修改工程量清单的项目结构、标段名称、单项工程名称、单位工程名称、项</w:t>
            </w:r>
            <w:r>
              <w:rPr>
                <w:color w:val="auto"/>
                <w:spacing w:val="-12"/>
                <w:sz w:val="21"/>
                <w:highlight w:val="none"/>
              </w:rPr>
              <w:t>目编码、项目名称、项目特征、计量单位、工程量、清单顺序和序号。供应商不得对</w:t>
            </w:r>
            <w:r>
              <w:rPr>
                <w:color w:val="auto"/>
                <w:spacing w:val="-6"/>
                <w:sz w:val="21"/>
                <w:highlight w:val="none"/>
              </w:rPr>
              <w:t>工程量清单项目进行增减调整。</w:t>
            </w:r>
            <w:r>
              <w:rPr>
                <w:color w:val="auto"/>
                <w:sz w:val="21"/>
                <w:highlight w:val="none"/>
              </w:rPr>
              <w:t xml:space="preserve"> </w:t>
            </w:r>
          </w:p>
          <w:p>
            <w:pPr>
              <w:spacing w:line="400" w:lineRule="exact"/>
              <w:ind w:firstLine="102" w:firstLineChars="50"/>
              <w:rPr>
                <w:color w:val="auto"/>
                <w:spacing w:val="-1"/>
                <w:sz w:val="21"/>
                <w:highlight w:val="none"/>
              </w:rPr>
            </w:pPr>
            <w:r>
              <w:rPr>
                <w:rFonts w:hint="eastAsia"/>
                <w:color w:val="auto"/>
                <w:spacing w:val="-3"/>
                <w:sz w:val="21"/>
                <w:highlight w:val="none"/>
              </w:rPr>
              <w:t>3</w:t>
            </w:r>
            <w:r>
              <w:rPr>
                <w:color w:val="auto"/>
                <w:spacing w:val="-3"/>
                <w:sz w:val="21"/>
                <w:highlight w:val="none"/>
              </w:rPr>
              <w:t>.供应商在响应文件递交截止时间前修改磋商报价表中的磋商总报价，应同时修</w:t>
            </w:r>
            <w:r>
              <w:rPr>
                <w:color w:val="auto"/>
                <w:spacing w:val="-5"/>
                <w:sz w:val="21"/>
                <w:highlight w:val="none"/>
              </w:rPr>
              <w:t xml:space="preserve">改第七章“响应文件格式”中的相应报价。此修改须符合“供应商须知”第 </w:t>
            </w:r>
            <w:r>
              <w:rPr>
                <w:color w:val="auto"/>
                <w:sz w:val="21"/>
                <w:highlight w:val="none"/>
              </w:rPr>
              <w:t>21</w:t>
            </w:r>
            <w:r>
              <w:rPr>
                <w:color w:val="auto"/>
                <w:spacing w:val="-14"/>
                <w:sz w:val="21"/>
                <w:highlight w:val="none"/>
              </w:rPr>
              <w:t xml:space="preserve"> 条的</w:t>
            </w:r>
            <w:r>
              <w:rPr>
                <w:color w:val="auto"/>
                <w:spacing w:val="-1"/>
                <w:sz w:val="21"/>
                <w:highlight w:val="none"/>
              </w:rPr>
              <w:t>有关要求。</w:t>
            </w:r>
          </w:p>
          <w:p>
            <w:pPr>
              <w:spacing w:line="400" w:lineRule="exact"/>
              <w:ind w:firstLine="102" w:firstLineChars="50"/>
              <w:rPr>
                <w:color w:val="auto"/>
                <w:sz w:val="21"/>
                <w:highlight w:val="none"/>
              </w:rPr>
            </w:pPr>
            <w:r>
              <w:rPr>
                <w:rFonts w:hint="eastAsia"/>
                <w:color w:val="auto"/>
                <w:spacing w:val="-3"/>
                <w:sz w:val="21"/>
                <w:highlight w:val="none"/>
              </w:rPr>
              <w:t>4</w:t>
            </w:r>
            <w:r>
              <w:rPr>
                <w:color w:val="auto"/>
                <w:spacing w:val="-3"/>
                <w:sz w:val="21"/>
                <w:highlight w:val="none"/>
              </w:rPr>
              <w:t>.因设计变更引起工程项目、工程量变化的，工程量清单报价表中有相同细目的</w:t>
            </w:r>
            <w:r>
              <w:rPr>
                <w:color w:val="auto"/>
                <w:spacing w:val="-8"/>
                <w:sz w:val="21"/>
                <w:highlight w:val="none"/>
              </w:rPr>
              <w:t>按供应商竞标时的成交单价进行结算，工程量清单报价表中有类似细目的参考类似成</w:t>
            </w:r>
            <w:r>
              <w:rPr>
                <w:color w:val="auto"/>
                <w:spacing w:val="-10"/>
                <w:sz w:val="21"/>
                <w:highlight w:val="none"/>
              </w:rPr>
              <w:t>交单价结算；新增项目有定额的套定额计算，其中材料价格有信息的按信息价，无信</w:t>
            </w:r>
            <w:r>
              <w:rPr>
                <w:color w:val="auto"/>
                <w:sz w:val="21"/>
                <w:highlight w:val="none"/>
              </w:rPr>
              <w:t>息的按市</w:t>
            </w:r>
            <w:r>
              <w:rPr>
                <w:rFonts w:hint="eastAsia"/>
                <w:color w:val="auto"/>
                <w:sz w:val="21"/>
                <w:highlight w:val="none"/>
              </w:rPr>
              <w:t>场</w:t>
            </w:r>
            <w:r>
              <w:rPr>
                <w:color w:val="auto"/>
                <w:sz w:val="21"/>
                <w:highlight w:val="none"/>
              </w:rPr>
              <w:t>价；新增项目无定额可套的，由发包人、承包人根据市场价格协商</w:t>
            </w:r>
            <w:r>
              <w:rPr>
                <w:rFonts w:hint="eastAsia"/>
                <w:color w:val="auto"/>
                <w:sz w:val="21"/>
                <w:highlight w:val="none"/>
              </w:rPr>
              <w:t>决定新</w:t>
            </w:r>
            <w:r>
              <w:rPr>
                <w:color w:val="auto"/>
                <w:spacing w:val="-7"/>
                <w:sz w:val="21"/>
                <w:highlight w:val="none"/>
              </w:rPr>
              <w:t>增项目的单价应经有资质的审核机构审定。国家和自治区政策性调整有关费用标准</w:t>
            </w:r>
            <w:r>
              <w:rPr>
                <w:color w:val="auto"/>
                <w:spacing w:val="-5"/>
                <w:sz w:val="21"/>
                <w:highlight w:val="none"/>
              </w:rPr>
              <w:t>的，按文件规定执行。</w:t>
            </w:r>
            <w:r>
              <w:rPr>
                <w:color w:val="auto"/>
                <w:sz w:val="21"/>
                <w:highlight w:val="none"/>
              </w:rPr>
              <w:t xml:space="preserve"> </w:t>
            </w:r>
          </w:p>
          <w:p>
            <w:pPr>
              <w:spacing w:line="400" w:lineRule="exact"/>
              <w:ind w:firstLine="102" w:firstLineChars="50"/>
              <w:rPr>
                <w:color w:val="auto"/>
                <w:sz w:val="21"/>
                <w:highlight w:val="none"/>
              </w:rPr>
            </w:pPr>
            <w:r>
              <w:rPr>
                <w:rFonts w:hint="eastAsia"/>
                <w:color w:val="auto"/>
                <w:spacing w:val="-3"/>
                <w:sz w:val="21"/>
                <w:highlight w:val="none"/>
              </w:rPr>
              <w:t>5</w:t>
            </w:r>
            <w:r>
              <w:rPr>
                <w:color w:val="auto"/>
                <w:spacing w:val="-3"/>
                <w:sz w:val="21"/>
                <w:highlight w:val="none"/>
              </w:rPr>
              <w:t>.供应商应认真填写工程量清单中所列的所有各细目的单价和总额价，填写工程量清单时应注意：</w:t>
            </w:r>
            <w:r>
              <w:rPr>
                <w:color w:val="auto"/>
                <w:sz w:val="21"/>
                <w:highlight w:val="none"/>
              </w:rPr>
              <w:t xml:space="preserve"> </w:t>
            </w:r>
          </w:p>
          <w:p>
            <w:pPr>
              <w:spacing w:line="400" w:lineRule="exact"/>
              <w:ind w:firstLine="210" w:firstLineChars="100"/>
              <w:rPr>
                <w:color w:val="auto"/>
                <w:sz w:val="21"/>
                <w:highlight w:val="none"/>
              </w:rPr>
            </w:pPr>
            <w:r>
              <w:rPr>
                <w:color w:val="auto"/>
                <w:sz w:val="21"/>
                <w:highlight w:val="none"/>
              </w:rPr>
              <w:t xml:space="preserve">①有工程数量的应报单价和总价。 </w:t>
            </w:r>
          </w:p>
          <w:p>
            <w:pPr>
              <w:spacing w:line="400" w:lineRule="exact"/>
              <w:ind w:firstLine="210" w:firstLineChars="100"/>
              <w:rPr>
                <w:color w:val="auto"/>
                <w:sz w:val="21"/>
                <w:highlight w:val="none"/>
              </w:rPr>
            </w:pPr>
            <w:r>
              <w:rPr>
                <w:color w:val="auto"/>
                <w:sz w:val="21"/>
                <w:highlight w:val="none"/>
              </w:rPr>
              <w:t xml:space="preserve">②无工程数量的项目不报价（或只报单价不报总价）。 </w:t>
            </w:r>
          </w:p>
          <w:p>
            <w:pPr>
              <w:spacing w:line="400" w:lineRule="exact"/>
              <w:ind w:firstLine="192" w:firstLineChars="100"/>
              <w:rPr>
                <w:color w:val="auto"/>
                <w:sz w:val="21"/>
                <w:highlight w:val="none"/>
              </w:rPr>
            </w:pPr>
            <w:r>
              <w:rPr>
                <w:color w:val="auto"/>
                <w:spacing w:val="-9"/>
                <w:sz w:val="21"/>
                <w:highlight w:val="none"/>
              </w:rPr>
              <w:t>③竞标时，采购人要求报价的细目，供应商没有填入单价或总额价的细目，其费用应视为已分配在工程量清单的其它单价或总额价中，承包人必须按监理工程师的指令完</w:t>
            </w:r>
            <w:r>
              <w:rPr>
                <w:color w:val="auto"/>
                <w:spacing w:val="-5"/>
                <w:sz w:val="21"/>
                <w:highlight w:val="none"/>
              </w:rPr>
              <w:t xml:space="preserve">成工程量清单中未填入单价或总额价的工程细目，但不能得到支付与结算。 </w:t>
            </w:r>
          </w:p>
          <w:p>
            <w:pPr>
              <w:spacing w:line="400" w:lineRule="exact"/>
              <w:ind w:firstLine="204" w:firstLineChars="100"/>
              <w:rPr>
                <w:color w:val="auto"/>
                <w:sz w:val="21"/>
                <w:highlight w:val="none"/>
              </w:rPr>
            </w:pPr>
            <w:r>
              <w:rPr>
                <w:color w:val="auto"/>
                <w:spacing w:val="-3"/>
                <w:sz w:val="21"/>
                <w:highlight w:val="none"/>
              </w:rPr>
              <w:t>6.采购人所提供的工程量清单，应认为已包括按正常施工工艺完成工程量清单项</w:t>
            </w:r>
            <w:r>
              <w:rPr>
                <w:color w:val="auto"/>
                <w:spacing w:val="-8"/>
                <w:sz w:val="21"/>
                <w:highlight w:val="none"/>
              </w:rPr>
              <w:t>目各单项的有关内容。凡工程量清单所示工程所必不可少的附属工程、相关工程、衔</w:t>
            </w:r>
            <w:r>
              <w:rPr>
                <w:color w:val="auto"/>
                <w:spacing w:val="-5"/>
                <w:sz w:val="21"/>
                <w:highlight w:val="none"/>
              </w:rPr>
              <w:t xml:space="preserve">接与后续工程所需的费用，供应商应计入相关项目的单价中。 </w:t>
            </w:r>
          </w:p>
          <w:p>
            <w:pPr>
              <w:spacing w:line="400" w:lineRule="exact"/>
              <w:ind w:firstLine="204" w:firstLineChars="100"/>
              <w:rPr>
                <w:color w:val="auto"/>
                <w:sz w:val="21"/>
                <w:highlight w:val="none"/>
              </w:rPr>
            </w:pPr>
            <w:r>
              <w:rPr>
                <w:rFonts w:hint="eastAsia"/>
                <w:color w:val="auto"/>
                <w:spacing w:val="-3"/>
                <w:sz w:val="21"/>
                <w:highlight w:val="none"/>
              </w:rPr>
              <w:t>7</w:t>
            </w:r>
            <w:r>
              <w:rPr>
                <w:color w:val="auto"/>
                <w:spacing w:val="-3"/>
                <w:sz w:val="21"/>
                <w:highlight w:val="none"/>
              </w:rPr>
              <w:t>.承包人的临时占地（含预制厂、料厂、拌和站、借弃土场、项目部驻地等</w:t>
            </w:r>
            <w:r>
              <w:rPr>
                <w:color w:val="auto"/>
                <w:sz w:val="21"/>
                <w:highlight w:val="none"/>
              </w:rPr>
              <w:t>）租</w:t>
            </w:r>
            <w:r>
              <w:rPr>
                <w:color w:val="auto"/>
                <w:spacing w:val="-10"/>
                <w:sz w:val="21"/>
                <w:highlight w:val="none"/>
              </w:rPr>
              <w:t>用费</w:t>
            </w:r>
            <w:r>
              <w:rPr>
                <w:color w:val="auto"/>
                <w:spacing w:val="-3"/>
                <w:sz w:val="21"/>
                <w:highlight w:val="none"/>
              </w:rPr>
              <w:t>（含拆迁补偿</w:t>
            </w:r>
            <w:r>
              <w:rPr>
                <w:color w:val="auto"/>
                <w:spacing w:val="-20"/>
                <w:sz w:val="21"/>
                <w:highlight w:val="none"/>
              </w:rPr>
              <w:t>）</w:t>
            </w:r>
            <w:r>
              <w:rPr>
                <w:color w:val="auto"/>
                <w:spacing w:val="-8"/>
                <w:sz w:val="21"/>
                <w:highlight w:val="none"/>
              </w:rPr>
              <w:t>、临时用地的环保、恢复及所有临时性占地的青苗补偿及地面附</w:t>
            </w:r>
            <w:r>
              <w:rPr>
                <w:color w:val="auto"/>
                <w:spacing w:val="-10"/>
                <w:sz w:val="21"/>
                <w:highlight w:val="none"/>
              </w:rPr>
              <w:t>着物发生的费用均由承包人负责；由于承包人原因引起工期延长造成承包人临时占地</w:t>
            </w:r>
            <w:r>
              <w:rPr>
                <w:color w:val="auto"/>
                <w:spacing w:val="-5"/>
                <w:sz w:val="21"/>
                <w:highlight w:val="none"/>
              </w:rPr>
              <w:t xml:space="preserve">的租用费增加由承包人负责。以上费用在竞标价中自行考虑。 </w:t>
            </w:r>
          </w:p>
          <w:p>
            <w:pPr>
              <w:spacing w:line="400" w:lineRule="exact"/>
              <w:ind w:firstLine="204" w:firstLineChars="100"/>
              <w:rPr>
                <w:color w:val="auto"/>
                <w:sz w:val="21"/>
                <w:highlight w:val="none"/>
              </w:rPr>
            </w:pPr>
            <w:r>
              <w:rPr>
                <w:rFonts w:hint="eastAsia"/>
                <w:color w:val="auto"/>
                <w:spacing w:val="-3"/>
                <w:sz w:val="21"/>
                <w:highlight w:val="none"/>
              </w:rPr>
              <w:t>8</w:t>
            </w:r>
            <w:r>
              <w:rPr>
                <w:color w:val="auto"/>
                <w:spacing w:val="-3"/>
                <w:sz w:val="21"/>
                <w:highlight w:val="none"/>
              </w:rPr>
              <w:t>.除非合同中另有规定，具有标价的工程量清单中所报单价和合价，以及报价汇</w:t>
            </w:r>
            <w:r>
              <w:rPr>
                <w:color w:val="auto"/>
                <w:spacing w:val="-10"/>
                <w:sz w:val="21"/>
                <w:highlight w:val="none"/>
              </w:rPr>
              <w:t>总表中的价格应包括施工设备、劳务、管理、材料、安装、维护、保险、利润</w:t>
            </w:r>
            <w:r>
              <w:rPr>
                <w:color w:val="auto"/>
                <w:sz w:val="21"/>
                <w:highlight w:val="none"/>
              </w:rPr>
              <w:t>（</w:t>
            </w:r>
            <w:r>
              <w:rPr>
                <w:color w:val="auto"/>
                <w:spacing w:val="-2"/>
                <w:sz w:val="21"/>
                <w:highlight w:val="none"/>
              </w:rPr>
              <w:t>含安</w:t>
            </w:r>
            <w:r>
              <w:rPr>
                <w:color w:val="auto"/>
                <w:spacing w:val="-3"/>
                <w:sz w:val="21"/>
                <w:highlight w:val="none"/>
              </w:rPr>
              <w:t>全文明施工费</w:t>
            </w:r>
            <w:r>
              <w:rPr>
                <w:color w:val="auto"/>
                <w:spacing w:val="-20"/>
                <w:sz w:val="21"/>
                <w:highlight w:val="none"/>
              </w:rPr>
              <w:t>）</w:t>
            </w:r>
            <w:r>
              <w:rPr>
                <w:color w:val="auto"/>
                <w:spacing w:val="-8"/>
                <w:sz w:val="21"/>
                <w:highlight w:val="none"/>
              </w:rPr>
              <w:t>、政策性文件规定及合同包含的应有风险、责任等各项应有费用，经</w:t>
            </w:r>
            <w:r>
              <w:rPr>
                <w:color w:val="auto"/>
                <w:spacing w:val="-5"/>
                <w:sz w:val="21"/>
                <w:highlight w:val="none"/>
              </w:rPr>
              <w:t>磋商小组审核严重不平衡的报价将不予接受。</w:t>
            </w:r>
            <w:r>
              <w:rPr>
                <w:color w:val="auto"/>
                <w:sz w:val="21"/>
                <w:highlight w:val="none"/>
              </w:rPr>
              <w:t xml:space="preserve"> </w:t>
            </w:r>
          </w:p>
          <w:p>
            <w:pPr>
              <w:spacing w:line="400" w:lineRule="exact"/>
              <w:ind w:firstLine="204" w:firstLineChars="100"/>
              <w:rPr>
                <w:color w:val="auto"/>
                <w:sz w:val="21"/>
                <w:highlight w:val="none"/>
              </w:rPr>
            </w:pPr>
            <w:r>
              <w:rPr>
                <w:rFonts w:hint="eastAsia"/>
                <w:color w:val="auto"/>
                <w:spacing w:val="-3"/>
                <w:sz w:val="21"/>
                <w:highlight w:val="none"/>
              </w:rPr>
              <w:t>9</w:t>
            </w:r>
            <w:r>
              <w:rPr>
                <w:color w:val="auto"/>
                <w:spacing w:val="-3"/>
                <w:sz w:val="21"/>
                <w:highlight w:val="none"/>
              </w:rPr>
              <w:t xml:space="preserve">.供应商的竞标报价须按竞争性磋商文件及澄清答疑中所确认的工程量清单及清单顺序进行报价，否则，将视为实质上不响应竞争性磋商文件的要求。 </w:t>
            </w:r>
          </w:p>
          <w:p>
            <w:pPr>
              <w:spacing w:line="400" w:lineRule="exact"/>
              <w:ind w:firstLine="198" w:firstLineChars="100"/>
              <w:rPr>
                <w:b/>
                <w:color w:val="auto"/>
                <w:sz w:val="21"/>
                <w:highlight w:val="none"/>
              </w:rPr>
            </w:pPr>
            <w:r>
              <w:rPr>
                <w:rFonts w:hint="eastAsia"/>
                <w:color w:val="auto"/>
                <w:spacing w:val="-6"/>
                <w:sz w:val="21"/>
                <w:highlight w:val="none"/>
              </w:rPr>
              <w:t>1</w:t>
            </w:r>
            <w:r>
              <w:rPr>
                <w:color w:val="auto"/>
                <w:spacing w:val="-6"/>
                <w:sz w:val="21"/>
                <w:highlight w:val="none"/>
              </w:rPr>
              <w:t>0.供应商在进行工程量清单竞标时，应按照采购人的工程量清单进行报价。供应</w:t>
            </w:r>
            <w:r>
              <w:rPr>
                <w:color w:val="auto"/>
                <w:spacing w:val="-9"/>
                <w:sz w:val="21"/>
                <w:highlight w:val="none"/>
              </w:rPr>
              <w:t>商对自己所填写的项目编码、项目名称、项目特征、计量单位、工程数量负责。如项</w:t>
            </w:r>
            <w:r>
              <w:rPr>
                <w:color w:val="auto"/>
                <w:spacing w:val="-5"/>
                <w:sz w:val="21"/>
                <w:highlight w:val="none"/>
              </w:rPr>
              <w:t xml:space="preserve">目编码、项目名称、项目特征、计量单位、工程数量与采购人提供的无法一一对应， </w:t>
            </w:r>
            <w:r>
              <w:rPr>
                <w:color w:val="auto"/>
                <w:spacing w:val="-10"/>
                <w:sz w:val="21"/>
                <w:highlight w:val="none"/>
              </w:rPr>
              <w:t>该清单项目作废，该清单项目的费用视为包含在其他清单中；如作废的清单项目达到</w:t>
            </w:r>
            <w:r>
              <w:rPr>
                <w:color w:val="auto"/>
                <w:sz w:val="21"/>
                <w:highlight w:val="none"/>
              </w:rPr>
              <w:t>3</w:t>
            </w:r>
            <w:r>
              <w:rPr>
                <w:color w:val="auto"/>
                <w:spacing w:val="-53"/>
                <w:sz w:val="21"/>
                <w:highlight w:val="none"/>
              </w:rPr>
              <w:t xml:space="preserve"> </w:t>
            </w:r>
            <w:r>
              <w:rPr>
                <w:color w:val="auto"/>
                <w:spacing w:val="-35"/>
                <w:sz w:val="21"/>
                <w:highlight w:val="none"/>
              </w:rPr>
              <w:t>项以上</w:t>
            </w:r>
            <w:r>
              <w:rPr>
                <w:color w:val="auto"/>
                <w:sz w:val="21"/>
                <w:highlight w:val="none"/>
              </w:rPr>
              <w:t>（</w:t>
            </w:r>
            <w:r>
              <w:rPr>
                <w:color w:val="auto"/>
                <w:spacing w:val="-2"/>
                <w:sz w:val="21"/>
                <w:highlight w:val="none"/>
              </w:rPr>
              <w:t>含本数</w:t>
            </w:r>
            <w:r>
              <w:rPr>
                <w:color w:val="auto"/>
                <w:spacing w:val="-101"/>
                <w:sz w:val="21"/>
                <w:highlight w:val="none"/>
              </w:rPr>
              <w:t>）</w:t>
            </w:r>
            <w:r>
              <w:rPr>
                <w:color w:val="auto"/>
                <w:spacing w:val="-3"/>
                <w:sz w:val="21"/>
                <w:highlight w:val="none"/>
              </w:rPr>
              <w:t>或作废的清单项目造价累计超过单位工程竞标报价的</w:t>
            </w:r>
            <w:r>
              <w:rPr>
                <w:color w:val="auto"/>
                <w:spacing w:val="-52"/>
                <w:sz w:val="21"/>
                <w:highlight w:val="none"/>
              </w:rPr>
              <w:t xml:space="preserve"> </w:t>
            </w:r>
            <w:r>
              <w:rPr>
                <w:color w:val="auto"/>
                <w:sz w:val="21"/>
                <w:highlight w:val="none"/>
              </w:rPr>
              <w:t>2</w:t>
            </w:r>
            <w:r>
              <w:rPr>
                <w:color w:val="auto"/>
                <w:spacing w:val="-99"/>
                <w:sz w:val="21"/>
                <w:highlight w:val="none"/>
              </w:rPr>
              <w:t>%</w:t>
            </w:r>
            <w:r>
              <w:rPr>
                <w:color w:val="auto"/>
                <w:spacing w:val="-3"/>
                <w:sz w:val="21"/>
                <w:highlight w:val="none"/>
              </w:rPr>
              <w:t>（</w:t>
            </w:r>
            <w:r>
              <w:rPr>
                <w:color w:val="auto"/>
                <w:sz w:val="21"/>
                <w:highlight w:val="none"/>
              </w:rPr>
              <w:t>含本数</w:t>
            </w:r>
            <w:r>
              <w:rPr>
                <w:color w:val="auto"/>
                <w:spacing w:val="-101"/>
                <w:sz w:val="21"/>
                <w:highlight w:val="none"/>
              </w:rPr>
              <w:t>）</w:t>
            </w:r>
            <w:r>
              <w:rPr>
                <w:color w:val="auto"/>
                <w:sz w:val="21"/>
                <w:highlight w:val="none"/>
              </w:rPr>
              <w:t>，视为不响应竞争性磋商文件实质性内容，作废标处理。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trPr>
        <w:tc>
          <w:tcPr>
            <w:tcW w:w="1134" w:type="dxa"/>
          </w:tcPr>
          <w:p>
            <w:pPr>
              <w:spacing w:line="400" w:lineRule="exact"/>
              <w:jc w:val="center"/>
              <w:rPr>
                <w:b/>
                <w:color w:val="auto"/>
                <w:sz w:val="21"/>
                <w:szCs w:val="21"/>
                <w:highlight w:val="none"/>
              </w:rPr>
            </w:pPr>
            <w:r>
              <w:rPr>
                <w:rFonts w:hint="eastAsia"/>
                <w:b/>
                <w:color w:val="auto"/>
                <w:sz w:val="21"/>
                <w:szCs w:val="21"/>
                <w:highlight w:val="none"/>
              </w:rPr>
              <w:t>1</w:t>
            </w:r>
            <w:r>
              <w:rPr>
                <w:b/>
                <w:color w:val="auto"/>
                <w:sz w:val="21"/>
                <w:szCs w:val="21"/>
                <w:highlight w:val="none"/>
              </w:rPr>
              <w:t>1</w:t>
            </w:r>
          </w:p>
        </w:tc>
        <w:tc>
          <w:tcPr>
            <w:tcW w:w="8091" w:type="dxa"/>
          </w:tcPr>
          <w:p>
            <w:pPr>
              <w:spacing w:line="400" w:lineRule="exact"/>
              <w:rPr>
                <w:color w:val="auto"/>
                <w:sz w:val="21"/>
                <w:highlight w:val="none"/>
              </w:rPr>
            </w:pPr>
            <w:r>
              <w:rPr>
                <w:color w:val="auto"/>
                <w:sz w:val="21"/>
                <w:highlight w:val="none"/>
              </w:rPr>
              <w:t xml:space="preserve">竞标有效期：自首次响应文件提交截止之日起 </w:t>
            </w:r>
            <w:r>
              <w:rPr>
                <w:rFonts w:hint="eastAsia"/>
                <w:color w:val="auto"/>
                <w:sz w:val="21"/>
                <w:highlight w:val="none"/>
                <w:u w:val="single"/>
                <w:lang w:val="en-US" w:eastAsia="zh-CN"/>
              </w:rPr>
              <w:t>9</w:t>
            </w:r>
            <w:r>
              <w:rPr>
                <w:color w:val="auto"/>
                <w:sz w:val="21"/>
                <w:highlight w:val="none"/>
                <w:u w:val="single"/>
              </w:rPr>
              <w:t>0</w:t>
            </w:r>
            <w:r>
              <w:rPr>
                <w:color w:val="auto"/>
                <w:sz w:val="21"/>
                <w:highlight w:val="none"/>
              </w:rPr>
              <w:t xml:space="preserve">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trPr>
        <w:tc>
          <w:tcPr>
            <w:tcW w:w="1134" w:type="dxa"/>
          </w:tcPr>
          <w:p>
            <w:pPr>
              <w:spacing w:line="400" w:lineRule="exact"/>
              <w:jc w:val="center"/>
              <w:rPr>
                <w:b/>
                <w:color w:val="auto"/>
                <w:sz w:val="21"/>
                <w:szCs w:val="21"/>
                <w:highlight w:val="none"/>
              </w:rPr>
            </w:pPr>
            <w:r>
              <w:rPr>
                <w:rFonts w:hint="eastAsia"/>
                <w:b/>
                <w:color w:val="auto"/>
                <w:sz w:val="21"/>
                <w:szCs w:val="21"/>
                <w:highlight w:val="none"/>
              </w:rPr>
              <w:t>1</w:t>
            </w:r>
            <w:r>
              <w:rPr>
                <w:b/>
                <w:color w:val="auto"/>
                <w:sz w:val="21"/>
                <w:szCs w:val="21"/>
                <w:highlight w:val="none"/>
              </w:rPr>
              <w:t>2</w:t>
            </w:r>
          </w:p>
        </w:tc>
        <w:tc>
          <w:tcPr>
            <w:tcW w:w="8091" w:type="dxa"/>
          </w:tcPr>
          <w:p>
            <w:pPr>
              <w:spacing w:line="400" w:lineRule="exact"/>
              <w:rPr>
                <w:color w:val="auto"/>
                <w:sz w:val="21"/>
                <w:highlight w:val="none"/>
              </w:rPr>
            </w:pPr>
            <w:r>
              <w:rPr>
                <w:color w:val="auto"/>
                <w:sz w:val="21"/>
                <w:highlight w:val="none"/>
              </w:rPr>
              <w:t>本项目不收取磋商保证金。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trPr>
        <w:tc>
          <w:tcPr>
            <w:tcW w:w="1134" w:type="dxa"/>
          </w:tcPr>
          <w:p>
            <w:pPr>
              <w:spacing w:line="400" w:lineRule="exact"/>
              <w:jc w:val="center"/>
              <w:rPr>
                <w:b/>
                <w:color w:val="auto"/>
                <w:sz w:val="21"/>
                <w:szCs w:val="21"/>
                <w:highlight w:val="none"/>
              </w:rPr>
            </w:pPr>
            <w:r>
              <w:rPr>
                <w:rFonts w:hint="eastAsia"/>
                <w:b/>
                <w:color w:val="auto"/>
                <w:sz w:val="21"/>
                <w:szCs w:val="21"/>
                <w:highlight w:val="none"/>
              </w:rPr>
              <w:t>1</w:t>
            </w:r>
            <w:r>
              <w:rPr>
                <w:b/>
                <w:color w:val="auto"/>
                <w:sz w:val="21"/>
                <w:szCs w:val="21"/>
                <w:highlight w:val="none"/>
              </w:rPr>
              <w:t>3</w:t>
            </w:r>
          </w:p>
        </w:tc>
        <w:tc>
          <w:tcPr>
            <w:tcW w:w="8091" w:type="dxa"/>
          </w:tcPr>
          <w:p>
            <w:pPr>
              <w:spacing w:line="400" w:lineRule="exact"/>
              <w:rPr>
                <w:color w:val="auto"/>
                <w:sz w:val="21"/>
                <w:highlight w:val="none"/>
              </w:rPr>
            </w:pPr>
            <w:r>
              <w:rPr>
                <w:color w:val="auto"/>
                <w:sz w:val="21"/>
                <w:highlight w:val="none"/>
              </w:rPr>
              <w:t>本项目不接受电子备份响应文件。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trPr>
        <w:tc>
          <w:tcPr>
            <w:tcW w:w="1134" w:type="dxa"/>
            <w:vAlign w:val="center"/>
          </w:tcPr>
          <w:p>
            <w:pPr>
              <w:spacing w:line="400" w:lineRule="exact"/>
              <w:jc w:val="center"/>
              <w:rPr>
                <w:b/>
                <w:color w:val="auto"/>
                <w:sz w:val="21"/>
                <w:szCs w:val="21"/>
                <w:highlight w:val="none"/>
              </w:rPr>
            </w:pPr>
            <w:r>
              <w:rPr>
                <w:rFonts w:hint="eastAsia"/>
                <w:b/>
                <w:color w:val="auto"/>
                <w:sz w:val="21"/>
                <w:szCs w:val="21"/>
                <w:highlight w:val="none"/>
              </w:rPr>
              <w:t>1</w:t>
            </w:r>
            <w:r>
              <w:rPr>
                <w:b/>
                <w:color w:val="auto"/>
                <w:sz w:val="21"/>
                <w:szCs w:val="21"/>
                <w:highlight w:val="none"/>
              </w:rPr>
              <w:t>4</w:t>
            </w:r>
          </w:p>
        </w:tc>
        <w:tc>
          <w:tcPr>
            <w:tcW w:w="8091" w:type="dxa"/>
          </w:tcPr>
          <w:p>
            <w:pPr>
              <w:spacing w:line="400" w:lineRule="exact"/>
              <w:rPr>
                <w:color w:val="auto"/>
                <w:sz w:val="21"/>
                <w:highlight w:val="none"/>
              </w:rPr>
            </w:pPr>
            <w:r>
              <w:rPr>
                <w:color w:val="auto"/>
                <w:sz w:val="21"/>
                <w:highlight w:val="none"/>
              </w:rPr>
              <w:t>响应文件提交截止时间：详见竞争性磋商公告。</w:t>
            </w:r>
          </w:p>
          <w:p>
            <w:pPr>
              <w:spacing w:line="400" w:lineRule="exact"/>
              <w:rPr>
                <w:color w:val="auto"/>
                <w:sz w:val="21"/>
                <w:highlight w:val="none"/>
              </w:rPr>
            </w:pPr>
            <w:r>
              <w:rPr>
                <w:color w:val="auto"/>
                <w:sz w:val="21"/>
                <w:highlight w:val="none"/>
              </w:rPr>
              <w:t>响应文件提交地点：详见竞争性磋商公告。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trPr>
        <w:tc>
          <w:tcPr>
            <w:tcW w:w="1134" w:type="dxa"/>
          </w:tcPr>
          <w:p>
            <w:pPr>
              <w:spacing w:line="400" w:lineRule="exact"/>
              <w:jc w:val="center"/>
              <w:rPr>
                <w:b/>
                <w:color w:val="auto"/>
                <w:sz w:val="21"/>
                <w:szCs w:val="21"/>
                <w:highlight w:val="none"/>
              </w:rPr>
            </w:pPr>
            <w:r>
              <w:rPr>
                <w:rFonts w:hint="eastAsia"/>
                <w:b/>
                <w:color w:val="auto"/>
                <w:sz w:val="21"/>
                <w:szCs w:val="21"/>
                <w:highlight w:val="none"/>
              </w:rPr>
              <w:t>1</w:t>
            </w:r>
            <w:r>
              <w:rPr>
                <w:b/>
                <w:color w:val="auto"/>
                <w:sz w:val="21"/>
                <w:szCs w:val="21"/>
                <w:highlight w:val="none"/>
              </w:rPr>
              <w:t>5</w:t>
            </w:r>
          </w:p>
        </w:tc>
        <w:tc>
          <w:tcPr>
            <w:tcW w:w="8091" w:type="dxa"/>
          </w:tcPr>
          <w:p>
            <w:pPr>
              <w:spacing w:line="400" w:lineRule="exact"/>
              <w:rPr>
                <w:color w:val="auto"/>
                <w:sz w:val="21"/>
                <w:highlight w:val="none"/>
              </w:rPr>
            </w:pPr>
            <w:r>
              <w:rPr>
                <w:color w:val="auto"/>
                <w:sz w:val="21"/>
                <w:highlight w:val="none"/>
              </w:rPr>
              <w:t>磋商小组的人数：</w:t>
            </w:r>
            <w:r>
              <w:rPr>
                <w:color w:val="auto"/>
                <w:sz w:val="21"/>
                <w:highlight w:val="none"/>
                <w:u w:val="single"/>
              </w:rPr>
              <w:t>3</w:t>
            </w:r>
            <w:r>
              <w:rPr>
                <w:color w:val="auto"/>
                <w:sz w:val="21"/>
                <w:highlight w:val="none"/>
              </w:rPr>
              <w:t xml:space="preserve"> 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trPr>
        <w:tc>
          <w:tcPr>
            <w:tcW w:w="1134" w:type="dxa"/>
            <w:vAlign w:val="center"/>
          </w:tcPr>
          <w:p>
            <w:pPr>
              <w:spacing w:line="400" w:lineRule="exact"/>
              <w:jc w:val="center"/>
              <w:rPr>
                <w:b/>
                <w:color w:val="auto"/>
                <w:sz w:val="21"/>
                <w:szCs w:val="21"/>
                <w:highlight w:val="none"/>
              </w:rPr>
            </w:pPr>
            <w:r>
              <w:rPr>
                <w:rFonts w:hint="eastAsia"/>
                <w:b/>
                <w:color w:val="auto"/>
                <w:sz w:val="21"/>
                <w:szCs w:val="21"/>
                <w:highlight w:val="none"/>
              </w:rPr>
              <w:t>1</w:t>
            </w:r>
            <w:r>
              <w:rPr>
                <w:b/>
                <w:color w:val="auto"/>
                <w:sz w:val="21"/>
                <w:szCs w:val="21"/>
                <w:highlight w:val="none"/>
              </w:rPr>
              <w:t>6</w:t>
            </w:r>
          </w:p>
        </w:tc>
        <w:tc>
          <w:tcPr>
            <w:tcW w:w="8091" w:type="dxa"/>
          </w:tcPr>
          <w:p>
            <w:pPr>
              <w:spacing w:line="400" w:lineRule="exact"/>
              <w:rPr>
                <w:color w:val="auto"/>
                <w:sz w:val="21"/>
                <w:highlight w:val="none"/>
              </w:rPr>
            </w:pPr>
            <w:r>
              <w:rPr>
                <w:color w:val="auto"/>
                <w:sz w:val="21"/>
                <w:highlight w:val="none"/>
              </w:rPr>
              <w:t>磋商的顺序：</w:t>
            </w:r>
          </w:p>
          <w:p>
            <w:pPr>
              <w:spacing w:line="400" w:lineRule="exact"/>
              <w:ind w:firstLine="192" w:firstLineChars="100"/>
              <w:rPr>
                <w:color w:val="auto"/>
                <w:sz w:val="21"/>
                <w:highlight w:val="none"/>
              </w:rPr>
            </w:pPr>
            <w:r>
              <w:rPr>
                <w:color w:val="auto"/>
                <w:spacing w:val="-9"/>
                <w:sz w:val="21"/>
                <w:highlight w:val="none"/>
              </w:rPr>
              <w:t>按照供应商签到的顺序，集中与单一供应商分别进行磋商，并给予所有参加磋商</w:t>
            </w:r>
            <w:r>
              <w:rPr>
                <w:color w:val="auto"/>
                <w:spacing w:val="-5"/>
                <w:sz w:val="21"/>
                <w:highlight w:val="none"/>
              </w:rPr>
              <w:t xml:space="preserve">的供应商平等的磋商机会。 </w:t>
            </w:r>
          </w:p>
          <w:p>
            <w:pPr>
              <w:spacing w:line="400" w:lineRule="exact"/>
              <w:ind w:firstLine="210" w:firstLineChars="100"/>
              <w:rPr>
                <w:color w:val="auto"/>
                <w:sz w:val="21"/>
                <w:highlight w:val="none"/>
              </w:rPr>
            </w:pPr>
            <w:r>
              <w:rPr>
                <w:color w:val="auto"/>
                <w:sz w:val="21"/>
                <w:highlight w:val="none"/>
              </w:rPr>
              <w:t>在“政府采购云平台”通知磋商时，若某供应商不在“政府采购云平台”线上时（该供应商排序到最后磋商），按照签到的顺序由其下一位供应商先参与磋商。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trPr>
        <w:tc>
          <w:tcPr>
            <w:tcW w:w="1134" w:type="dxa"/>
          </w:tcPr>
          <w:p>
            <w:pPr>
              <w:spacing w:line="400" w:lineRule="exact"/>
              <w:jc w:val="center"/>
              <w:rPr>
                <w:b/>
                <w:color w:val="auto"/>
                <w:sz w:val="21"/>
                <w:szCs w:val="21"/>
                <w:highlight w:val="none"/>
              </w:rPr>
            </w:pPr>
            <w:r>
              <w:rPr>
                <w:rFonts w:hint="eastAsia"/>
                <w:b/>
                <w:color w:val="auto"/>
                <w:sz w:val="21"/>
                <w:szCs w:val="21"/>
                <w:highlight w:val="none"/>
              </w:rPr>
              <w:t>1</w:t>
            </w:r>
            <w:r>
              <w:rPr>
                <w:b/>
                <w:color w:val="auto"/>
                <w:sz w:val="21"/>
                <w:szCs w:val="21"/>
                <w:highlight w:val="none"/>
              </w:rPr>
              <w:t>7</w:t>
            </w:r>
          </w:p>
        </w:tc>
        <w:tc>
          <w:tcPr>
            <w:tcW w:w="8091" w:type="dxa"/>
          </w:tcPr>
          <w:p>
            <w:pPr>
              <w:spacing w:line="400" w:lineRule="exact"/>
              <w:rPr>
                <w:color w:val="auto"/>
                <w:sz w:val="21"/>
                <w:highlight w:val="none"/>
              </w:rPr>
            </w:pPr>
            <w:r>
              <w:rPr>
                <w:color w:val="auto"/>
                <w:sz w:val="21"/>
                <w:highlight w:val="none"/>
              </w:rPr>
              <w:t>本项目不收取履约保证金。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trPr>
        <w:tc>
          <w:tcPr>
            <w:tcW w:w="1134" w:type="dxa"/>
            <w:vAlign w:val="center"/>
          </w:tcPr>
          <w:p>
            <w:pPr>
              <w:spacing w:line="400" w:lineRule="exact"/>
              <w:jc w:val="center"/>
              <w:rPr>
                <w:b/>
                <w:color w:val="auto"/>
                <w:sz w:val="21"/>
                <w:szCs w:val="21"/>
                <w:highlight w:val="none"/>
              </w:rPr>
            </w:pPr>
            <w:r>
              <w:rPr>
                <w:rFonts w:hint="eastAsia"/>
                <w:b/>
                <w:color w:val="auto"/>
                <w:sz w:val="21"/>
                <w:szCs w:val="21"/>
                <w:highlight w:val="none"/>
              </w:rPr>
              <w:t>1</w:t>
            </w:r>
            <w:r>
              <w:rPr>
                <w:b/>
                <w:color w:val="auto"/>
                <w:sz w:val="21"/>
                <w:szCs w:val="21"/>
                <w:highlight w:val="none"/>
              </w:rPr>
              <w:t>8</w:t>
            </w:r>
          </w:p>
        </w:tc>
        <w:tc>
          <w:tcPr>
            <w:tcW w:w="8091" w:type="dxa"/>
          </w:tcPr>
          <w:p>
            <w:pPr>
              <w:spacing w:line="400" w:lineRule="exact"/>
              <w:rPr>
                <w:color w:val="auto"/>
                <w:sz w:val="21"/>
                <w:highlight w:val="none"/>
              </w:rPr>
            </w:pPr>
            <w:r>
              <w:rPr>
                <w:color w:val="auto"/>
                <w:sz w:val="21"/>
                <w:highlight w:val="none"/>
              </w:rPr>
              <w:t xml:space="preserve">签订合同携带的证明材料：  </w:t>
            </w:r>
          </w:p>
          <w:p>
            <w:pPr>
              <w:spacing w:line="400" w:lineRule="exact"/>
              <w:ind w:firstLine="192" w:firstLineChars="100"/>
              <w:rPr>
                <w:color w:val="auto"/>
                <w:sz w:val="21"/>
                <w:highlight w:val="none"/>
              </w:rPr>
            </w:pPr>
            <w:r>
              <w:rPr>
                <w:color w:val="auto"/>
                <w:spacing w:val="-9"/>
                <w:sz w:val="21"/>
                <w:highlight w:val="none"/>
              </w:rPr>
              <w:t>委托代理人负责签订合同的，须携带授权委托书及委托代理人身份证原件等其他资格</w:t>
            </w:r>
            <w:r>
              <w:rPr>
                <w:color w:val="auto"/>
                <w:spacing w:val="-8"/>
                <w:sz w:val="21"/>
                <w:highlight w:val="none"/>
              </w:rPr>
              <w:t>证件。</w:t>
            </w:r>
            <w:r>
              <w:rPr>
                <w:color w:val="auto"/>
                <w:sz w:val="21"/>
                <w:highlight w:val="none"/>
              </w:rPr>
              <w:t xml:space="preserve"> </w:t>
            </w:r>
          </w:p>
          <w:p>
            <w:pPr>
              <w:spacing w:line="400" w:lineRule="exact"/>
              <w:ind w:firstLine="210" w:firstLineChars="100"/>
              <w:rPr>
                <w:color w:val="auto"/>
                <w:sz w:val="21"/>
                <w:highlight w:val="none"/>
              </w:rPr>
            </w:pPr>
            <w:r>
              <w:rPr>
                <w:color w:val="auto"/>
                <w:sz w:val="21"/>
                <w:highlight w:val="none"/>
              </w:rPr>
              <w:t>法定代表人负责签订合同的，须携带法定代表人身份证明原件及身份证原件等其他证明材料。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trPr>
        <w:tc>
          <w:tcPr>
            <w:tcW w:w="1134" w:type="dxa"/>
            <w:vAlign w:val="center"/>
          </w:tcPr>
          <w:p>
            <w:pPr>
              <w:spacing w:line="400" w:lineRule="exact"/>
              <w:jc w:val="center"/>
              <w:rPr>
                <w:b/>
                <w:color w:val="auto"/>
                <w:sz w:val="21"/>
                <w:szCs w:val="21"/>
                <w:highlight w:val="none"/>
              </w:rPr>
            </w:pPr>
            <w:r>
              <w:rPr>
                <w:b/>
                <w:color w:val="auto"/>
                <w:sz w:val="21"/>
                <w:szCs w:val="21"/>
                <w:highlight w:val="none"/>
              </w:rPr>
              <w:t>19</w:t>
            </w:r>
          </w:p>
        </w:tc>
        <w:tc>
          <w:tcPr>
            <w:tcW w:w="8091" w:type="dxa"/>
          </w:tcPr>
          <w:p>
            <w:pPr>
              <w:spacing w:line="400" w:lineRule="exact"/>
              <w:rPr>
                <w:color w:val="auto"/>
                <w:sz w:val="21"/>
                <w:highlight w:val="none"/>
              </w:rPr>
            </w:pPr>
            <w:r>
              <w:rPr>
                <w:color w:val="auto"/>
                <w:sz w:val="21"/>
                <w:highlight w:val="none"/>
              </w:rPr>
              <w:t xml:space="preserve">接收质疑函方式：以书面形式。 </w:t>
            </w:r>
          </w:p>
          <w:p>
            <w:pPr>
              <w:spacing w:line="400" w:lineRule="exact"/>
              <w:ind w:firstLine="210" w:firstLineChars="100"/>
              <w:rPr>
                <w:color w:val="auto"/>
                <w:sz w:val="21"/>
                <w:highlight w:val="none"/>
              </w:rPr>
            </w:pPr>
            <w:r>
              <w:rPr>
                <w:color w:val="auto"/>
                <w:sz w:val="21"/>
                <w:highlight w:val="none"/>
              </w:rPr>
              <w:t>质疑联系部门及联系方式：</w:t>
            </w:r>
            <w:r>
              <w:rPr>
                <w:rFonts w:hint="eastAsia"/>
                <w:color w:val="auto"/>
                <w:sz w:val="21"/>
                <w:highlight w:val="none"/>
                <w:lang w:eastAsia="zh-CN"/>
              </w:rPr>
              <w:t>广西宏腾招标代理有限公司</w:t>
            </w:r>
            <w:r>
              <w:rPr>
                <w:color w:val="auto"/>
                <w:sz w:val="21"/>
                <w:highlight w:val="none"/>
              </w:rPr>
              <w:t>招标部，</w:t>
            </w:r>
          </w:p>
          <w:p>
            <w:pPr>
              <w:spacing w:line="400" w:lineRule="exact"/>
              <w:ind w:firstLine="210" w:firstLineChars="100"/>
              <w:rPr>
                <w:color w:val="auto"/>
                <w:sz w:val="21"/>
                <w:highlight w:val="none"/>
              </w:rPr>
            </w:pPr>
            <w:r>
              <w:rPr>
                <w:color w:val="auto"/>
                <w:sz w:val="21"/>
                <w:highlight w:val="none"/>
              </w:rPr>
              <w:t>联系电话</w:t>
            </w:r>
            <w:r>
              <w:rPr>
                <w:rFonts w:hint="eastAsia"/>
                <w:color w:val="auto"/>
                <w:sz w:val="21"/>
                <w:highlight w:val="none"/>
                <w:lang w:eastAsia="zh-CN"/>
              </w:rPr>
              <w:t>：0775-2710889</w:t>
            </w:r>
            <w:r>
              <w:rPr>
                <w:color w:val="auto"/>
                <w:sz w:val="21"/>
                <w:highlight w:val="none"/>
              </w:rPr>
              <w:t>，通讯地址：</w:t>
            </w:r>
            <w:r>
              <w:rPr>
                <w:rFonts w:hint="eastAsia"/>
                <w:color w:val="auto"/>
                <w:sz w:val="21"/>
                <w:highlight w:val="none"/>
                <w:lang w:eastAsia="zh-CN"/>
              </w:rPr>
              <w:t>广西北流市永顺别墅七区0023号</w:t>
            </w:r>
            <w:r>
              <w:rPr>
                <w:rFonts w:hint="eastAsia"/>
                <w:color w:val="auto"/>
                <w:sz w:val="21"/>
                <w:highlight w:val="none"/>
              </w:rPr>
              <w:t>。</w:t>
            </w:r>
          </w:p>
          <w:p>
            <w:pPr>
              <w:spacing w:line="400" w:lineRule="exact"/>
              <w:ind w:firstLine="210" w:firstLineChars="100"/>
              <w:rPr>
                <w:color w:val="auto"/>
                <w:sz w:val="21"/>
                <w:highlight w:val="none"/>
              </w:rPr>
            </w:pPr>
            <w:r>
              <w:rPr>
                <w:color w:val="auto"/>
                <w:sz w:val="21"/>
                <w:highlight w:val="none"/>
              </w:rPr>
              <w:t>业务时间：工作日每天上午8时00分到12时00分，下午3时00分到6时00分。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trPr>
        <w:tc>
          <w:tcPr>
            <w:tcW w:w="1134" w:type="dxa"/>
            <w:vAlign w:val="center"/>
          </w:tcPr>
          <w:p>
            <w:pPr>
              <w:spacing w:line="400" w:lineRule="exact"/>
              <w:jc w:val="center"/>
              <w:rPr>
                <w:b/>
                <w:color w:val="auto"/>
                <w:sz w:val="21"/>
                <w:szCs w:val="21"/>
                <w:highlight w:val="none"/>
              </w:rPr>
            </w:pPr>
            <w:r>
              <w:rPr>
                <w:rFonts w:hint="eastAsia"/>
                <w:b/>
                <w:color w:val="auto"/>
                <w:sz w:val="21"/>
                <w:szCs w:val="21"/>
                <w:highlight w:val="none"/>
              </w:rPr>
              <w:t>2</w:t>
            </w:r>
            <w:r>
              <w:rPr>
                <w:b/>
                <w:color w:val="auto"/>
                <w:sz w:val="21"/>
                <w:szCs w:val="21"/>
                <w:highlight w:val="none"/>
              </w:rPr>
              <w:t>0</w:t>
            </w:r>
          </w:p>
        </w:tc>
        <w:tc>
          <w:tcPr>
            <w:tcW w:w="8091" w:type="dxa"/>
          </w:tcPr>
          <w:p>
            <w:pPr>
              <w:spacing w:line="400" w:lineRule="exact"/>
              <w:rPr>
                <w:color w:val="auto"/>
                <w:sz w:val="21"/>
                <w:highlight w:val="none"/>
              </w:rPr>
            </w:pPr>
            <w:r>
              <w:rPr>
                <w:color w:val="auto"/>
                <w:sz w:val="21"/>
                <w:highlight w:val="none"/>
              </w:rPr>
              <w:t>1.</w:t>
            </w:r>
            <w:r>
              <w:rPr>
                <w:color w:val="auto"/>
                <w:spacing w:val="-3"/>
                <w:sz w:val="21"/>
                <w:highlight w:val="none"/>
              </w:rPr>
              <w:t>采购代理费支付方式：</w:t>
            </w:r>
            <w:r>
              <w:rPr>
                <w:color w:val="auto"/>
                <w:sz w:val="21"/>
                <w:highlight w:val="none"/>
              </w:rPr>
              <w:t xml:space="preserve"> </w:t>
            </w:r>
          </w:p>
          <w:p>
            <w:pPr>
              <w:spacing w:line="400" w:lineRule="exact"/>
              <w:ind w:firstLine="204" w:firstLineChars="100"/>
              <w:rPr>
                <w:color w:val="auto"/>
                <w:sz w:val="21"/>
                <w:highlight w:val="none"/>
              </w:rPr>
            </w:pPr>
            <w:r>
              <w:rPr>
                <w:color w:val="auto"/>
                <w:spacing w:val="-3"/>
                <w:sz w:val="21"/>
                <w:highlight w:val="none"/>
              </w:rPr>
              <w:t>本项目代理服务费由</w:t>
            </w:r>
            <w:r>
              <w:rPr>
                <w:color w:val="auto"/>
                <w:spacing w:val="1"/>
                <w:sz w:val="21"/>
                <w:highlight w:val="none"/>
                <w:u w:val="single"/>
              </w:rPr>
              <w:t xml:space="preserve"> 成交供应商 </w:t>
            </w:r>
            <w:r>
              <w:rPr>
                <w:color w:val="auto"/>
                <w:spacing w:val="-7"/>
                <w:sz w:val="21"/>
                <w:highlight w:val="none"/>
              </w:rPr>
              <w:t>领取成交通知书前，一次性向采购代理机构支付。</w:t>
            </w:r>
            <w:r>
              <w:rPr>
                <w:color w:val="auto"/>
                <w:sz w:val="21"/>
                <w:highlight w:val="none"/>
              </w:rPr>
              <w:t>2.</w:t>
            </w:r>
            <w:r>
              <w:rPr>
                <w:color w:val="auto"/>
                <w:spacing w:val="-3"/>
                <w:sz w:val="21"/>
                <w:highlight w:val="none"/>
              </w:rPr>
              <w:t>采购代理费收取标准：</w:t>
            </w:r>
            <w:r>
              <w:rPr>
                <w:rFonts w:hint="eastAsia"/>
                <w:color w:val="auto"/>
                <w:spacing w:val="-5"/>
                <w:sz w:val="21"/>
                <w:highlight w:val="none"/>
              </w:rPr>
              <w:t>本项目采购代理服务费按以下方式计算（成交价100万元内部分，按 1.0 % 计算，成交价100万～500万内，按0.7%计算，按差额定率累进法计算后即为代理服务费）。</w:t>
            </w:r>
          </w:p>
          <w:p>
            <w:pPr>
              <w:spacing w:line="400" w:lineRule="exact"/>
              <w:rPr>
                <w:color w:val="auto"/>
                <w:sz w:val="21"/>
                <w:highlight w:val="none"/>
              </w:rPr>
            </w:pPr>
            <w:r>
              <w:rPr>
                <w:color w:val="auto"/>
                <w:sz w:val="21"/>
                <w:highlight w:val="none"/>
              </w:rPr>
              <w:t xml:space="preserve">3. 采购代理费收取银行账户 </w:t>
            </w:r>
          </w:p>
          <w:p>
            <w:pPr>
              <w:spacing w:line="400" w:lineRule="exact"/>
              <w:ind w:firstLine="210" w:firstLineChars="100"/>
              <w:rPr>
                <w:rFonts w:hint="eastAsia" w:eastAsia="宋体"/>
                <w:color w:val="auto"/>
                <w:sz w:val="21"/>
                <w:highlight w:val="none"/>
                <w:lang w:eastAsia="zh-CN"/>
              </w:rPr>
            </w:pPr>
            <w:r>
              <w:rPr>
                <w:color w:val="auto"/>
                <w:sz w:val="21"/>
                <w:highlight w:val="none"/>
              </w:rPr>
              <w:t>开户名称：</w:t>
            </w:r>
            <w:r>
              <w:rPr>
                <w:rFonts w:hint="eastAsia"/>
                <w:color w:val="auto"/>
                <w:sz w:val="21"/>
                <w:highlight w:val="none"/>
                <w:lang w:eastAsia="zh-CN"/>
              </w:rPr>
              <w:t>广西宏腾招标代理有限公司</w:t>
            </w:r>
          </w:p>
          <w:p>
            <w:pPr>
              <w:spacing w:line="400" w:lineRule="exact"/>
              <w:ind w:firstLine="210" w:firstLineChars="100"/>
              <w:rPr>
                <w:color w:val="auto"/>
                <w:sz w:val="21"/>
                <w:highlight w:val="none"/>
              </w:rPr>
            </w:pPr>
            <w:r>
              <w:rPr>
                <w:color w:val="auto"/>
                <w:sz w:val="21"/>
                <w:highlight w:val="none"/>
              </w:rPr>
              <w:t>开户银行：</w:t>
            </w:r>
            <w:r>
              <w:rPr>
                <w:rFonts w:hint="eastAsia"/>
                <w:color w:val="auto"/>
                <w:sz w:val="21"/>
                <w:highlight w:val="none"/>
              </w:rPr>
              <w:t>广西北流柳银村镇银行股份有限公司</w:t>
            </w:r>
          </w:p>
          <w:p>
            <w:pPr>
              <w:spacing w:line="400" w:lineRule="exact"/>
              <w:ind w:firstLine="210" w:firstLineChars="100"/>
              <w:rPr>
                <w:color w:val="auto"/>
                <w:sz w:val="21"/>
                <w:highlight w:val="none"/>
              </w:rPr>
            </w:pPr>
            <w:r>
              <w:rPr>
                <w:color w:val="auto"/>
                <w:sz w:val="21"/>
                <w:highlight w:val="none"/>
              </w:rPr>
              <w:t>银行账号：85200500000000007947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trPr>
        <w:tc>
          <w:tcPr>
            <w:tcW w:w="1134" w:type="dxa"/>
            <w:vAlign w:val="center"/>
          </w:tcPr>
          <w:p>
            <w:pPr>
              <w:spacing w:line="400" w:lineRule="exact"/>
              <w:jc w:val="center"/>
              <w:rPr>
                <w:b/>
                <w:color w:val="auto"/>
                <w:sz w:val="21"/>
                <w:szCs w:val="21"/>
                <w:highlight w:val="none"/>
              </w:rPr>
            </w:pPr>
            <w:r>
              <w:rPr>
                <w:rFonts w:hint="eastAsia"/>
                <w:b/>
                <w:color w:val="auto"/>
                <w:sz w:val="21"/>
                <w:szCs w:val="21"/>
                <w:highlight w:val="none"/>
              </w:rPr>
              <w:t>2</w:t>
            </w:r>
            <w:r>
              <w:rPr>
                <w:b/>
                <w:color w:val="auto"/>
                <w:sz w:val="21"/>
                <w:szCs w:val="21"/>
                <w:highlight w:val="none"/>
              </w:rPr>
              <w:t>1</w:t>
            </w:r>
          </w:p>
        </w:tc>
        <w:tc>
          <w:tcPr>
            <w:tcW w:w="8091" w:type="dxa"/>
          </w:tcPr>
          <w:p>
            <w:pPr>
              <w:spacing w:line="400" w:lineRule="exact"/>
              <w:rPr>
                <w:color w:val="auto"/>
                <w:sz w:val="21"/>
                <w:highlight w:val="none"/>
              </w:rPr>
            </w:pPr>
            <w:r>
              <w:rPr>
                <w:color w:val="auto"/>
                <w:sz w:val="21"/>
                <w:highlight w:val="none"/>
              </w:rPr>
              <w:t xml:space="preserve">本采购项目涉及中小企业采购，现明确以下内容： </w:t>
            </w:r>
          </w:p>
          <w:p>
            <w:pPr>
              <w:spacing w:line="400" w:lineRule="exact"/>
              <w:ind w:firstLine="196" w:firstLineChars="100"/>
              <w:rPr>
                <w:color w:val="auto"/>
                <w:sz w:val="21"/>
                <w:highlight w:val="none"/>
              </w:rPr>
            </w:pPr>
            <w:r>
              <w:rPr>
                <w:color w:val="auto"/>
                <w:spacing w:val="-7"/>
                <w:sz w:val="21"/>
                <w:highlight w:val="none"/>
              </w:rPr>
              <w:t>本项目属于专门面向中小企业采购的项目，供应商应为中小微企业或监狱企业或残</w:t>
            </w:r>
            <w:r>
              <w:rPr>
                <w:color w:val="auto"/>
                <w:spacing w:val="-5"/>
                <w:sz w:val="21"/>
                <w:highlight w:val="none"/>
              </w:rPr>
              <w:t>疾人福利性单位；</w:t>
            </w:r>
            <w:r>
              <w:rPr>
                <w:color w:val="auto"/>
                <w:sz w:val="21"/>
                <w:highlight w:val="none"/>
              </w:rPr>
              <w:t xml:space="preserve"> </w:t>
            </w:r>
          </w:p>
          <w:p>
            <w:pPr>
              <w:spacing w:line="400" w:lineRule="exact"/>
              <w:ind w:firstLine="204" w:firstLineChars="100"/>
              <w:rPr>
                <w:color w:val="auto"/>
                <w:sz w:val="21"/>
                <w:highlight w:val="none"/>
              </w:rPr>
            </w:pPr>
            <w:r>
              <w:rPr>
                <w:color w:val="auto"/>
                <w:spacing w:val="-3"/>
                <w:sz w:val="21"/>
                <w:highlight w:val="none"/>
              </w:rPr>
              <w:t>中小企业预留预算金额：</w:t>
            </w:r>
            <w:r>
              <w:rPr>
                <w:rFonts w:hint="eastAsia"/>
                <w:color w:val="auto"/>
                <w:spacing w:val="-3"/>
                <w:sz w:val="21"/>
                <w:highlight w:val="none"/>
                <w:lang w:val="en-US" w:eastAsia="zh-CN"/>
              </w:rPr>
              <w:t xml:space="preserve">3603089.42 </w:t>
            </w:r>
            <w:r>
              <w:rPr>
                <w:color w:val="auto"/>
                <w:spacing w:val="-9"/>
                <w:sz w:val="21"/>
                <w:highlight w:val="none"/>
              </w:rPr>
              <w:t>元；中小企业预留份额：</w:t>
            </w:r>
            <w:r>
              <w:rPr>
                <w:color w:val="auto"/>
                <w:sz w:val="21"/>
                <w:highlight w:val="none"/>
                <w:u w:val="single"/>
              </w:rPr>
              <w:t>100%</w:t>
            </w:r>
            <w:r>
              <w:rPr>
                <w:color w:val="auto"/>
                <w:sz w:val="21"/>
                <w:highlight w:val="none"/>
              </w:rPr>
              <w:t xml:space="preserve">； </w:t>
            </w:r>
          </w:p>
          <w:p>
            <w:pPr>
              <w:spacing w:line="400" w:lineRule="exact"/>
              <w:ind w:firstLine="210" w:firstLineChars="100"/>
              <w:rPr>
                <w:color w:val="auto"/>
                <w:sz w:val="21"/>
                <w:szCs w:val="21"/>
                <w:highlight w:val="none"/>
              </w:rPr>
            </w:pPr>
            <w:r>
              <w:rPr>
                <w:rFonts w:hint="eastAsia"/>
                <w:color w:val="auto"/>
                <w:sz w:val="21"/>
                <w:szCs w:val="21"/>
                <w:highlight w:val="none"/>
              </w:rPr>
              <w:t>预付款金额：</w:t>
            </w:r>
            <w:r>
              <w:rPr>
                <w:rFonts w:hint="eastAsia"/>
                <w:color w:val="auto"/>
                <w:sz w:val="21"/>
                <w:szCs w:val="21"/>
                <w:highlight w:val="none"/>
                <w:u w:val="single"/>
                <w:lang w:val="en-US" w:eastAsia="zh-CN"/>
              </w:rPr>
              <w:t>30%</w:t>
            </w:r>
            <w:r>
              <w:rPr>
                <w:rFonts w:hint="eastAsia"/>
                <w:color w:val="auto"/>
                <w:sz w:val="21"/>
                <w:szCs w:val="21"/>
                <w:highlight w:val="none"/>
              </w:rPr>
              <w:t xml:space="preserve">签约合同价； </w:t>
            </w:r>
          </w:p>
          <w:p>
            <w:pPr>
              <w:spacing w:line="400" w:lineRule="exact"/>
              <w:ind w:firstLine="204" w:firstLineChars="100"/>
              <w:rPr>
                <w:color w:val="auto"/>
                <w:sz w:val="21"/>
                <w:highlight w:val="none"/>
              </w:rPr>
            </w:pPr>
            <w:r>
              <w:rPr>
                <w:color w:val="auto"/>
                <w:spacing w:val="-3"/>
                <w:sz w:val="21"/>
                <w:highlight w:val="none"/>
              </w:rPr>
              <w:t xml:space="preserve">本项目不接受联合体，不允许分包； </w:t>
            </w:r>
          </w:p>
          <w:p>
            <w:pPr>
              <w:spacing w:line="400" w:lineRule="exact"/>
              <w:ind w:firstLine="196" w:firstLineChars="100"/>
              <w:rPr>
                <w:color w:val="auto"/>
                <w:sz w:val="21"/>
                <w:highlight w:val="none"/>
              </w:rPr>
            </w:pPr>
            <w:r>
              <w:rPr>
                <w:color w:val="auto"/>
                <w:spacing w:val="-7"/>
                <w:sz w:val="21"/>
                <w:highlight w:val="none"/>
              </w:rPr>
              <w:t>本项目属于专门面向中小企业采购的项目，不再进行价格扣除及用扣除后的价格参</w:t>
            </w:r>
            <w:r>
              <w:rPr>
                <w:color w:val="auto"/>
                <w:spacing w:val="-5"/>
                <w:sz w:val="21"/>
                <w:highlight w:val="none"/>
              </w:rPr>
              <w:t xml:space="preserve">加评审； </w:t>
            </w:r>
          </w:p>
          <w:p>
            <w:pPr>
              <w:spacing w:line="400" w:lineRule="exact"/>
              <w:ind w:firstLine="196" w:firstLineChars="100"/>
              <w:rPr>
                <w:color w:val="auto"/>
                <w:sz w:val="21"/>
                <w:highlight w:val="none"/>
              </w:rPr>
            </w:pPr>
            <w:r>
              <w:rPr>
                <w:color w:val="auto"/>
                <w:spacing w:val="-7"/>
                <w:sz w:val="21"/>
                <w:highlight w:val="none"/>
              </w:rPr>
              <w:t>因本项目属于专门面向中小企业采购的项目，规定依据《政府采购促进中小企业发</w:t>
            </w:r>
            <w:r>
              <w:rPr>
                <w:color w:val="auto"/>
                <w:spacing w:val="-11"/>
                <w:sz w:val="21"/>
                <w:highlight w:val="none"/>
              </w:rPr>
              <w:t>展管理办法》规定享受扶持政策获得政府采购合同的，小微企业不得将合同分包给大</w:t>
            </w:r>
            <w:r>
              <w:rPr>
                <w:color w:val="auto"/>
                <w:spacing w:val="-6"/>
                <w:sz w:val="21"/>
                <w:highlight w:val="none"/>
              </w:rPr>
              <w:t>中型企业，中型企业不得将合同分包给大型企业；</w:t>
            </w:r>
            <w:r>
              <w:rPr>
                <w:color w:val="auto"/>
                <w:sz w:val="21"/>
                <w:highlight w:val="none"/>
              </w:rPr>
              <w:t xml:space="preserve"> </w:t>
            </w:r>
          </w:p>
          <w:p>
            <w:pPr>
              <w:spacing w:line="400" w:lineRule="exact"/>
              <w:ind w:firstLine="204" w:firstLineChars="100"/>
              <w:rPr>
                <w:color w:val="auto"/>
                <w:sz w:val="21"/>
                <w:highlight w:val="none"/>
              </w:rPr>
            </w:pPr>
            <w:r>
              <w:rPr>
                <w:color w:val="auto"/>
                <w:spacing w:val="-3"/>
                <w:sz w:val="21"/>
                <w:highlight w:val="none"/>
              </w:rPr>
              <w:t>本项目采购标的对应的中小企业划分标准所属行业：</w:t>
            </w:r>
            <w:r>
              <w:rPr>
                <w:color w:val="auto"/>
                <w:spacing w:val="-2"/>
                <w:sz w:val="21"/>
                <w:highlight w:val="none"/>
                <w:u w:val="single"/>
              </w:rPr>
              <w:t>建筑业</w:t>
            </w:r>
            <w:r>
              <w:rPr>
                <w:color w:val="auto"/>
                <w:spacing w:val="-3"/>
                <w:sz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trPr>
        <w:tc>
          <w:tcPr>
            <w:tcW w:w="1134" w:type="dxa"/>
            <w:vAlign w:val="center"/>
          </w:tcPr>
          <w:p>
            <w:pPr>
              <w:spacing w:line="400" w:lineRule="exact"/>
              <w:jc w:val="center"/>
              <w:rPr>
                <w:b/>
                <w:color w:val="auto"/>
                <w:sz w:val="21"/>
                <w:szCs w:val="21"/>
                <w:highlight w:val="none"/>
              </w:rPr>
            </w:pPr>
            <w:r>
              <w:rPr>
                <w:rFonts w:hint="eastAsia"/>
                <w:b/>
                <w:color w:val="auto"/>
                <w:sz w:val="21"/>
                <w:szCs w:val="21"/>
                <w:highlight w:val="none"/>
              </w:rPr>
              <w:t>2</w:t>
            </w:r>
            <w:r>
              <w:rPr>
                <w:b/>
                <w:color w:val="auto"/>
                <w:sz w:val="21"/>
                <w:szCs w:val="21"/>
                <w:highlight w:val="none"/>
              </w:rPr>
              <w:t>2</w:t>
            </w:r>
          </w:p>
        </w:tc>
        <w:tc>
          <w:tcPr>
            <w:tcW w:w="8091" w:type="dxa"/>
          </w:tcPr>
          <w:p>
            <w:pPr>
              <w:spacing w:line="400" w:lineRule="exact"/>
              <w:rPr>
                <w:color w:val="auto"/>
                <w:sz w:val="21"/>
                <w:highlight w:val="none"/>
              </w:rPr>
            </w:pPr>
            <w:r>
              <w:rPr>
                <w:color w:val="auto"/>
                <w:spacing w:val="-9"/>
                <w:sz w:val="21"/>
                <w:highlight w:val="none"/>
              </w:rPr>
              <w:t>解释：构成本磋商文件的各个组成文件应互为解释，互为说明；除磋商文件中有特别规定外，仅适用于竞标阶段的规定，按更正公告</w:t>
            </w:r>
            <w:r>
              <w:rPr>
                <w:color w:val="auto"/>
                <w:spacing w:val="-3"/>
                <w:sz w:val="21"/>
                <w:highlight w:val="none"/>
              </w:rPr>
              <w:t>（</w:t>
            </w:r>
            <w:r>
              <w:rPr>
                <w:color w:val="auto"/>
                <w:spacing w:val="-2"/>
                <w:sz w:val="21"/>
                <w:highlight w:val="none"/>
              </w:rPr>
              <w:t>澄清公告</w:t>
            </w:r>
            <w:r>
              <w:rPr>
                <w:color w:val="auto"/>
                <w:spacing w:val="-13"/>
                <w:sz w:val="21"/>
                <w:highlight w:val="none"/>
              </w:rPr>
              <w:t>）</w:t>
            </w:r>
            <w:r>
              <w:rPr>
                <w:color w:val="auto"/>
                <w:spacing w:val="-7"/>
                <w:sz w:val="21"/>
                <w:highlight w:val="none"/>
              </w:rPr>
              <w:t>、竞争性磋商公告、供</w:t>
            </w:r>
            <w:r>
              <w:rPr>
                <w:color w:val="auto"/>
                <w:spacing w:val="-11"/>
                <w:sz w:val="21"/>
                <w:highlight w:val="none"/>
              </w:rPr>
              <w:t>应商须知、采购需求、评审程序、评审方法和评审标准、响应文件格式、合同文本的先后顺序解释；同一组成文件中就同一事项的规定或者约定不一致的，以编排顺序在后者为准；同一组成文件不同版本之间有不一致的，以形成时间在后者为准；更正公</w:t>
            </w:r>
            <w:r>
              <w:rPr>
                <w:color w:val="auto"/>
                <w:spacing w:val="-15"/>
                <w:sz w:val="21"/>
                <w:highlight w:val="none"/>
              </w:rPr>
              <w:t>告</w:t>
            </w:r>
            <w:r>
              <w:rPr>
                <w:color w:val="auto"/>
                <w:spacing w:val="-3"/>
                <w:sz w:val="21"/>
                <w:highlight w:val="none"/>
              </w:rPr>
              <w:t>（澄清公告</w:t>
            </w:r>
            <w:r>
              <w:rPr>
                <w:color w:val="auto"/>
                <w:spacing w:val="-15"/>
                <w:sz w:val="21"/>
                <w:highlight w:val="none"/>
              </w:rPr>
              <w:t>）</w:t>
            </w:r>
            <w:r>
              <w:rPr>
                <w:color w:val="auto"/>
                <w:spacing w:val="-4"/>
                <w:sz w:val="21"/>
                <w:highlight w:val="none"/>
              </w:rPr>
              <w:t>与同步更新的磋商文件不一致时以更正公告</w:t>
            </w:r>
            <w:r>
              <w:rPr>
                <w:color w:val="auto"/>
                <w:sz w:val="21"/>
                <w:highlight w:val="none"/>
              </w:rPr>
              <w:t>（</w:t>
            </w:r>
            <w:r>
              <w:rPr>
                <w:color w:val="auto"/>
                <w:spacing w:val="-3"/>
                <w:sz w:val="21"/>
                <w:highlight w:val="none"/>
              </w:rPr>
              <w:t>澄清公告</w:t>
            </w:r>
            <w:r>
              <w:rPr>
                <w:color w:val="auto"/>
                <w:spacing w:val="-17"/>
                <w:sz w:val="21"/>
                <w:highlight w:val="none"/>
              </w:rPr>
              <w:t>）</w:t>
            </w:r>
            <w:r>
              <w:rPr>
                <w:color w:val="auto"/>
                <w:spacing w:val="-5"/>
                <w:sz w:val="21"/>
                <w:highlight w:val="none"/>
              </w:rPr>
              <w:t>为准。按本</w:t>
            </w:r>
            <w:r>
              <w:rPr>
                <w:color w:val="auto"/>
                <w:sz w:val="21"/>
                <w:highlight w:val="none"/>
              </w:rPr>
              <w:t>款前述规定仍不能形成结论的，由采购人或者采购代理机构负责解释。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trPr>
        <w:tc>
          <w:tcPr>
            <w:tcW w:w="1134" w:type="dxa"/>
            <w:vAlign w:val="center"/>
          </w:tcPr>
          <w:p>
            <w:pPr>
              <w:spacing w:line="400" w:lineRule="exact"/>
              <w:jc w:val="center"/>
              <w:rPr>
                <w:b/>
                <w:color w:val="auto"/>
                <w:sz w:val="21"/>
                <w:szCs w:val="21"/>
                <w:highlight w:val="none"/>
              </w:rPr>
            </w:pPr>
            <w:r>
              <w:rPr>
                <w:b/>
                <w:color w:val="auto"/>
                <w:sz w:val="21"/>
                <w:szCs w:val="21"/>
                <w:highlight w:val="none"/>
              </w:rPr>
              <w:t>23</w:t>
            </w:r>
          </w:p>
        </w:tc>
        <w:tc>
          <w:tcPr>
            <w:tcW w:w="8091" w:type="dxa"/>
          </w:tcPr>
          <w:p>
            <w:pPr>
              <w:spacing w:line="400" w:lineRule="exact"/>
              <w:rPr>
                <w:color w:val="auto"/>
                <w:sz w:val="21"/>
                <w:highlight w:val="none"/>
              </w:rPr>
            </w:pPr>
            <w:r>
              <w:rPr>
                <w:rFonts w:hint="eastAsia"/>
                <w:color w:val="auto"/>
                <w:spacing w:val="-9"/>
                <w:sz w:val="21"/>
                <w:highlight w:val="none"/>
              </w:rPr>
              <w:t>1</w:t>
            </w:r>
            <w:r>
              <w:rPr>
                <w:color w:val="auto"/>
                <w:spacing w:val="-9"/>
                <w:sz w:val="21"/>
                <w:highlight w:val="none"/>
              </w:rPr>
              <w:t>.</w:t>
            </w:r>
            <w:r>
              <w:rPr>
                <w:color w:val="auto"/>
                <w:spacing w:val="-8"/>
                <w:sz w:val="21"/>
                <w:highlight w:val="none"/>
              </w:rPr>
              <w:t>本磋商文件中描述供应商的“公章”是指根据我国对公章的管理规定，用供应商法</w:t>
            </w:r>
            <w:r>
              <w:rPr>
                <w:color w:val="auto"/>
                <w:spacing w:val="-14"/>
                <w:sz w:val="21"/>
                <w:highlight w:val="none"/>
              </w:rPr>
              <w:t>定主体行为名称制作的印章，除本磋商文件有特殊规定外，供应商的财务章、部门章、</w:t>
            </w:r>
            <w:r>
              <w:rPr>
                <w:color w:val="auto"/>
                <w:spacing w:val="-12"/>
                <w:sz w:val="21"/>
                <w:highlight w:val="none"/>
              </w:rPr>
              <w:t>分公司章、工会章、合同章、竞标</w:t>
            </w:r>
            <w:r>
              <w:rPr>
                <w:color w:val="auto"/>
                <w:sz w:val="21"/>
                <w:highlight w:val="none"/>
              </w:rPr>
              <w:t>/</w:t>
            </w:r>
            <w:r>
              <w:rPr>
                <w:color w:val="auto"/>
                <w:spacing w:val="-1"/>
                <w:sz w:val="21"/>
                <w:highlight w:val="none"/>
              </w:rPr>
              <w:t>投标专用章、业务专用章及银行的转账章、现金</w:t>
            </w:r>
            <w:r>
              <w:rPr>
                <w:color w:val="auto"/>
                <w:spacing w:val="-3"/>
                <w:sz w:val="21"/>
                <w:highlight w:val="none"/>
              </w:rPr>
              <w:t>收讫章、现金付讫章等其他形式印章均不能代替公章。</w:t>
            </w:r>
            <w:r>
              <w:rPr>
                <w:color w:val="auto"/>
                <w:sz w:val="21"/>
                <w:highlight w:val="none"/>
              </w:rPr>
              <w:t xml:space="preserve"> </w:t>
            </w:r>
          </w:p>
          <w:p>
            <w:pPr>
              <w:spacing w:line="400" w:lineRule="exact"/>
              <w:rPr>
                <w:color w:val="auto"/>
                <w:sz w:val="21"/>
                <w:highlight w:val="none"/>
              </w:rPr>
            </w:pPr>
            <w:r>
              <w:rPr>
                <w:rFonts w:hint="eastAsia"/>
                <w:color w:val="auto"/>
                <w:spacing w:val="-6"/>
                <w:sz w:val="21"/>
                <w:highlight w:val="none"/>
              </w:rPr>
              <w:t>2</w:t>
            </w:r>
            <w:r>
              <w:rPr>
                <w:color w:val="auto"/>
                <w:spacing w:val="-6"/>
                <w:sz w:val="21"/>
                <w:highlight w:val="none"/>
              </w:rPr>
              <w:t xml:space="preserve">.本磋商文件所称的“电子签章”、“电子签名”，是指经“政采云”平台认可的 </w:t>
            </w:r>
            <w:r>
              <w:rPr>
                <w:color w:val="auto"/>
                <w:sz w:val="21"/>
                <w:highlight w:val="none"/>
              </w:rPr>
              <w:t>C A</w:t>
            </w:r>
            <w:r>
              <w:rPr>
                <w:color w:val="auto"/>
                <w:spacing w:val="-8"/>
                <w:sz w:val="21"/>
                <w:highlight w:val="none"/>
              </w:rPr>
              <w:t xml:space="preserve"> 认证的电子签名数据为表现形式的印章，可用于签署电子响应文件，电子印章与实</w:t>
            </w:r>
            <w:r>
              <w:rPr>
                <w:color w:val="auto"/>
                <w:spacing w:val="-5"/>
                <w:sz w:val="21"/>
                <w:highlight w:val="none"/>
              </w:rPr>
              <w:t xml:space="preserve">物印章具有同等法律效力，不因其采用电子化表现形式而否定其法律效力。 </w:t>
            </w:r>
          </w:p>
          <w:p>
            <w:pPr>
              <w:spacing w:line="400" w:lineRule="exact"/>
              <w:rPr>
                <w:color w:val="auto"/>
                <w:sz w:val="21"/>
                <w:highlight w:val="none"/>
              </w:rPr>
            </w:pPr>
            <w:r>
              <w:rPr>
                <w:rFonts w:hint="eastAsia"/>
                <w:color w:val="auto"/>
                <w:spacing w:val="-8"/>
                <w:sz w:val="21"/>
                <w:highlight w:val="none"/>
              </w:rPr>
              <w:t>3</w:t>
            </w:r>
            <w:r>
              <w:rPr>
                <w:color w:val="auto"/>
                <w:spacing w:val="-8"/>
                <w:sz w:val="21"/>
                <w:highlight w:val="none"/>
              </w:rPr>
              <w:t>.供应商为其他组织或者自然人时，本磋商文件规定的法定代表人指负责人或者自然</w:t>
            </w:r>
            <w:r>
              <w:rPr>
                <w:color w:val="auto"/>
                <w:spacing w:val="-12"/>
                <w:sz w:val="21"/>
                <w:highlight w:val="none"/>
              </w:rPr>
              <w:t>人。本磋商文件所称负责人是指参加竞标的其他组织营业执照或者执业许可证等证照</w:t>
            </w:r>
            <w:r>
              <w:rPr>
                <w:color w:val="auto"/>
                <w:spacing w:val="-11"/>
                <w:sz w:val="21"/>
                <w:highlight w:val="none"/>
              </w:rPr>
              <w:t>上的负责人，本磋商文件所称自然人指参与竞标的自然人本人，且应具备独立承担民</w:t>
            </w:r>
            <w:r>
              <w:rPr>
                <w:color w:val="auto"/>
                <w:spacing w:val="-7"/>
                <w:sz w:val="21"/>
                <w:highlight w:val="none"/>
              </w:rPr>
              <w:t xml:space="preserve">事责任能力，自然人应当为年满 </w:t>
            </w:r>
            <w:r>
              <w:rPr>
                <w:color w:val="auto"/>
                <w:sz w:val="21"/>
                <w:highlight w:val="none"/>
              </w:rPr>
              <w:t>18</w:t>
            </w:r>
            <w:r>
              <w:rPr>
                <w:color w:val="auto"/>
                <w:spacing w:val="-6"/>
                <w:sz w:val="21"/>
                <w:highlight w:val="none"/>
              </w:rPr>
              <w:t xml:space="preserve"> 岁以上成年人</w:t>
            </w:r>
            <w:r>
              <w:rPr>
                <w:color w:val="auto"/>
                <w:spacing w:val="-3"/>
                <w:sz w:val="21"/>
                <w:highlight w:val="none"/>
              </w:rPr>
              <w:t>（十六周岁以上的未成年人，以自己的劳动收入为主要生活来源的，视为完全民事行为能力人）</w:t>
            </w:r>
            <w:r>
              <w:rPr>
                <w:color w:val="auto"/>
                <w:sz w:val="21"/>
                <w:highlight w:val="none"/>
              </w:rPr>
              <w:t xml:space="preserve">。 </w:t>
            </w:r>
          </w:p>
          <w:p>
            <w:pPr>
              <w:spacing w:line="400" w:lineRule="exact"/>
              <w:rPr>
                <w:color w:val="auto"/>
                <w:sz w:val="21"/>
                <w:szCs w:val="21"/>
                <w:highlight w:val="none"/>
              </w:rPr>
            </w:pPr>
            <w:r>
              <w:rPr>
                <w:rFonts w:hint="eastAsia"/>
                <w:color w:val="auto"/>
                <w:spacing w:val="-8"/>
                <w:sz w:val="21"/>
                <w:highlight w:val="none"/>
              </w:rPr>
              <w:t>4</w:t>
            </w:r>
            <w:r>
              <w:rPr>
                <w:color w:val="auto"/>
                <w:spacing w:val="-8"/>
                <w:sz w:val="21"/>
                <w:highlight w:val="none"/>
              </w:rPr>
              <w:t>.</w:t>
            </w:r>
            <w:r>
              <w:rPr>
                <w:rFonts w:hint="eastAsia"/>
                <w:color w:val="auto"/>
                <w:sz w:val="21"/>
                <w:szCs w:val="21"/>
                <w:highlight w:val="none"/>
              </w:rPr>
              <w:t>本文件中描述供应商的“签字”是指供应商的法定代表人或委托代理人亲自在文件规定签署处亲笔写上个人的名字的行为，私章、签字章、印鉴、影印等其它形式均不能代替亲笔签字。如供应商在办理CA时已申请法定代表人或委托代理人电子签字的，法定代表人或委托代理人签字处可采用电子签字。</w:t>
            </w:r>
          </w:p>
          <w:p>
            <w:pPr>
              <w:spacing w:line="400" w:lineRule="exact"/>
              <w:rPr>
                <w:color w:val="auto"/>
                <w:spacing w:val="-9"/>
                <w:sz w:val="21"/>
                <w:highlight w:val="none"/>
              </w:rPr>
            </w:pPr>
            <w:r>
              <w:rPr>
                <w:rFonts w:hint="eastAsia"/>
                <w:color w:val="auto"/>
                <w:spacing w:val="-17"/>
                <w:sz w:val="21"/>
                <w:highlight w:val="none"/>
              </w:rPr>
              <w:t>5</w:t>
            </w:r>
            <w:r>
              <w:rPr>
                <w:color w:val="auto"/>
                <w:spacing w:val="-17"/>
                <w:sz w:val="21"/>
                <w:highlight w:val="none"/>
              </w:rPr>
              <w:t>.本磋商文件所称的“以上”“以下”“以内”“届满”，包括本数；所称的“不满”</w:t>
            </w:r>
            <w:r>
              <w:rPr>
                <w:color w:val="auto"/>
                <w:sz w:val="21"/>
                <w:highlight w:val="none"/>
              </w:rPr>
              <w:t>“超过”“以外”，不包括本数。</w:t>
            </w:r>
          </w:p>
        </w:tc>
      </w:tr>
      <w:bookmarkEnd w:id="7"/>
    </w:tbl>
    <w:p>
      <w:pPr>
        <w:pStyle w:val="2"/>
        <w:spacing w:before="5"/>
        <w:rPr>
          <w:color w:val="auto"/>
          <w:highlight w:val="none"/>
        </w:rPr>
        <w:sectPr>
          <w:headerReference r:id="rId5" w:type="default"/>
          <w:footerReference r:id="rId6" w:type="default"/>
          <w:pgSz w:w="11900" w:h="16850"/>
          <w:pgMar w:top="1418" w:right="760" w:bottom="1320" w:left="760" w:header="1440" w:footer="1081" w:gutter="0"/>
          <w:cols w:space="720" w:num="1"/>
        </w:sectPr>
      </w:pPr>
      <w:r>
        <w:rPr>
          <w:color w:val="auto"/>
          <w:highlight w:val="none"/>
        </w:rPr>
        <mc:AlternateContent>
          <mc:Choice Requires="wps">
            <w:drawing>
              <wp:anchor distT="0" distB="0" distL="114300" distR="114300" simplePos="0" relativeHeight="251660288" behindDoc="0" locked="0" layoutInCell="1" allowOverlap="1">
                <wp:simplePos x="0" y="0"/>
                <wp:positionH relativeFrom="page">
                  <wp:posOffset>882650</wp:posOffset>
                </wp:positionH>
                <wp:positionV relativeFrom="page">
                  <wp:posOffset>880745</wp:posOffset>
                </wp:positionV>
                <wp:extent cx="5793740" cy="8890"/>
                <wp:effectExtent l="0" t="0" r="0" b="0"/>
                <wp:wrapNone/>
                <wp:docPr id="2" name="矩形 10"/>
                <wp:cNvGraphicFramePr/>
                <a:graphic xmlns:a="http://schemas.openxmlformats.org/drawingml/2006/main">
                  <a:graphicData uri="http://schemas.microsoft.com/office/word/2010/wordprocessingShape">
                    <wps:wsp>
                      <wps:cNvSpPr/>
                      <wps:spPr>
                        <a:xfrm>
                          <a:off x="0" y="0"/>
                          <a:ext cx="5793740" cy="8890"/>
                        </a:xfrm>
                        <a:prstGeom prst="rect">
                          <a:avLst/>
                        </a:prstGeom>
                        <a:solidFill>
                          <a:srgbClr val="000000"/>
                        </a:solidFill>
                        <a:ln>
                          <a:noFill/>
                        </a:ln>
                      </wps:spPr>
                      <wps:bodyPr upright="1"/>
                    </wps:wsp>
                  </a:graphicData>
                </a:graphic>
              </wp:anchor>
            </w:drawing>
          </mc:Choice>
          <mc:Fallback>
            <w:pict>
              <v:rect id="矩形 10" o:spid="_x0000_s1026" o:spt="1" style="position:absolute;left:0pt;margin-left:69.5pt;margin-top:69.35pt;height:0.7pt;width:456.2pt;mso-position-horizontal-relative:page;mso-position-vertical-relative:page;z-index:251660288;mso-width-relative:page;mso-height-relative:page;" fillcolor="#000000" filled="t" stroked="f" coordsize="21600,21600" o:gfxdata="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">
                <v:fill on="t" focussize="0,0"/>
                <v:stroke on="f"/>
                <v:imagedata o:title=""/>
                <o:lock v:ext="edit" aspectratio="f"/>
              </v:rect>
            </w:pict>
          </mc:Fallback>
        </mc:AlternateContent>
      </w:r>
    </w:p>
    <w:p>
      <w:pPr>
        <w:pStyle w:val="2"/>
        <w:jc w:val="center"/>
        <w:rPr>
          <w:b/>
          <w:bCs/>
          <w:color w:val="auto"/>
          <w:sz w:val="44"/>
          <w:szCs w:val="44"/>
          <w:highlight w:val="none"/>
        </w:rPr>
      </w:pPr>
      <w:bookmarkStart w:id="8" w:name="_Hlk120864540"/>
      <w:r>
        <w:rPr>
          <w:b/>
          <w:bCs/>
          <w:color w:val="auto"/>
          <w:sz w:val="40"/>
          <w:szCs w:val="40"/>
          <w:highlight w:val="none"/>
        </w:rPr>
        <w:t>供应商须知正文</w:t>
      </w:r>
      <w:bookmarkEnd w:id="8"/>
    </w:p>
    <w:p>
      <w:pPr>
        <w:spacing w:before="29"/>
        <w:ind w:left="164"/>
        <w:jc w:val="center"/>
        <w:rPr>
          <w:b/>
          <w:color w:val="auto"/>
          <w:sz w:val="32"/>
          <w:highlight w:val="none"/>
        </w:rPr>
      </w:pPr>
      <w:bookmarkStart w:id="9" w:name="_Hlk120864579"/>
      <w:r>
        <w:rPr>
          <w:b/>
          <w:color w:val="auto"/>
          <w:sz w:val="32"/>
          <w:highlight w:val="none"/>
        </w:rPr>
        <w:t>一、总则</w:t>
      </w:r>
      <w:r>
        <w:rPr>
          <w:b/>
          <w:color w:val="auto"/>
          <w:w w:val="98"/>
          <w:sz w:val="32"/>
          <w:highlight w:val="none"/>
        </w:rPr>
        <w:t xml:space="preserve"> </w:t>
      </w:r>
    </w:p>
    <w:p>
      <w:pPr>
        <w:pStyle w:val="2"/>
        <w:spacing w:line="400" w:lineRule="exact"/>
        <w:ind w:left="565" w:leftChars="257"/>
        <w:rPr>
          <w:b/>
          <w:bCs/>
          <w:color w:val="auto"/>
          <w:sz w:val="24"/>
          <w:szCs w:val="24"/>
          <w:highlight w:val="none"/>
        </w:rPr>
      </w:pPr>
      <w:r>
        <w:rPr>
          <w:rFonts w:hint="eastAsia"/>
          <w:b/>
          <w:bCs/>
          <w:color w:val="auto"/>
          <w:sz w:val="24"/>
          <w:szCs w:val="24"/>
          <w:highlight w:val="none"/>
        </w:rPr>
        <w:t>1</w:t>
      </w:r>
      <w:r>
        <w:rPr>
          <w:b/>
          <w:bCs/>
          <w:color w:val="auto"/>
          <w:sz w:val="24"/>
          <w:szCs w:val="24"/>
          <w:highlight w:val="none"/>
        </w:rPr>
        <w:t xml:space="preserve">. </w:t>
      </w:r>
      <w:r>
        <w:rPr>
          <w:rFonts w:hint="eastAsia"/>
          <w:b/>
          <w:bCs/>
          <w:color w:val="auto"/>
          <w:sz w:val="24"/>
          <w:szCs w:val="24"/>
          <w:highlight w:val="none"/>
        </w:rPr>
        <w:t>适用范围</w:t>
      </w:r>
    </w:p>
    <w:p>
      <w:pPr>
        <w:pStyle w:val="2"/>
        <w:spacing w:line="400" w:lineRule="exact"/>
        <w:ind w:left="565" w:leftChars="257" w:firstLine="155"/>
        <w:rPr>
          <w:color w:val="auto"/>
          <w:highlight w:val="none"/>
        </w:rPr>
      </w:pPr>
      <w:r>
        <w:rPr>
          <w:rFonts w:hint="eastAsia"/>
          <w:color w:val="auto"/>
          <w:spacing w:val="-4"/>
          <w:highlight w:val="none"/>
        </w:rPr>
        <w:t>1</w:t>
      </w:r>
      <w:r>
        <w:rPr>
          <w:color w:val="auto"/>
          <w:spacing w:val="-4"/>
          <w:highlight w:val="none"/>
        </w:rPr>
        <w:t>.1 本项目采购人、采购代理机构、供应商、磋商小组的相关行为均受《中华人民共和国政府采购法》、《中华人民共和国政府采购法实施条例》、《政府采购竞争性磋商采购方式管理暂行办法》、《财政部关于政府采购竞争性磋商采购方式管理暂行办法有关问题的补充通知》及本项目本</w:t>
      </w:r>
      <w:r>
        <w:rPr>
          <w:color w:val="auto"/>
          <w:spacing w:val="-3"/>
          <w:highlight w:val="none"/>
        </w:rPr>
        <w:t xml:space="preserve">级和上级财政部门政府采购有关规定的约束和保护。 </w:t>
      </w:r>
    </w:p>
    <w:p>
      <w:pPr>
        <w:pStyle w:val="2"/>
        <w:spacing w:line="400" w:lineRule="exact"/>
        <w:ind w:left="565" w:leftChars="257" w:firstLine="210" w:firstLineChars="100"/>
        <w:rPr>
          <w:color w:val="auto"/>
          <w:highlight w:val="none"/>
        </w:rPr>
      </w:pPr>
      <w:r>
        <w:rPr>
          <w:color w:val="auto"/>
          <w:highlight w:val="none"/>
        </w:rPr>
        <w:t>1.2 本竞争性磋商文件</w:t>
      </w:r>
      <w:r>
        <w:rPr>
          <w:color w:val="auto"/>
          <w:spacing w:val="-3"/>
          <w:highlight w:val="none"/>
        </w:rPr>
        <w:t>（</w:t>
      </w:r>
      <w:r>
        <w:rPr>
          <w:color w:val="auto"/>
          <w:highlight w:val="none"/>
        </w:rPr>
        <w:t>以下简称磋商文件）</w:t>
      </w:r>
      <w:r>
        <w:rPr>
          <w:color w:val="auto"/>
          <w:spacing w:val="-3"/>
          <w:highlight w:val="none"/>
        </w:rPr>
        <w:t>适用于本项目的所有采购程序和环节</w:t>
      </w:r>
      <w:r>
        <w:rPr>
          <w:color w:val="auto"/>
          <w:highlight w:val="none"/>
        </w:rPr>
        <w:t>（</w:t>
      </w:r>
      <w:r>
        <w:rPr>
          <w:color w:val="auto"/>
          <w:spacing w:val="-4"/>
          <w:highlight w:val="none"/>
        </w:rPr>
        <w:t>法律、法</w:t>
      </w:r>
      <w:r>
        <w:rPr>
          <w:color w:val="auto"/>
          <w:spacing w:val="-3"/>
          <w:highlight w:val="none"/>
        </w:rPr>
        <w:t>规另有规定的，从其规定</w:t>
      </w:r>
      <w:r>
        <w:rPr>
          <w:color w:val="auto"/>
          <w:highlight w:val="none"/>
        </w:rPr>
        <w:t>）</w:t>
      </w:r>
      <w:r>
        <w:rPr>
          <w:color w:val="auto"/>
          <w:spacing w:val="-3"/>
          <w:highlight w:val="none"/>
        </w:rPr>
        <w:t>。</w:t>
      </w:r>
      <w:r>
        <w:rPr>
          <w:color w:val="auto"/>
          <w:highlight w:val="none"/>
        </w:rPr>
        <w:t xml:space="preserve"> </w:t>
      </w:r>
    </w:p>
    <w:p>
      <w:pPr>
        <w:pStyle w:val="2"/>
        <w:spacing w:line="400" w:lineRule="exact"/>
        <w:ind w:left="565" w:leftChars="257"/>
        <w:rPr>
          <w:b/>
          <w:bCs/>
          <w:color w:val="auto"/>
          <w:sz w:val="24"/>
          <w:szCs w:val="24"/>
          <w:highlight w:val="none"/>
        </w:rPr>
      </w:pPr>
      <w:r>
        <w:rPr>
          <w:rFonts w:hint="eastAsia"/>
          <w:b/>
          <w:bCs/>
          <w:color w:val="auto"/>
          <w:sz w:val="24"/>
          <w:szCs w:val="24"/>
          <w:highlight w:val="none"/>
        </w:rPr>
        <w:t>2</w:t>
      </w:r>
      <w:r>
        <w:rPr>
          <w:b/>
          <w:bCs/>
          <w:color w:val="auto"/>
          <w:sz w:val="24"/>
          <w:szCs w:val="24"/>
          <w:highlight w:val="none"/>
        </w:rPr>
        <w:t xml:space="preserve">. </w:t>
      </w:r>
      <w:r>
        <w:rPr>
          <w:rFonts w:hint="eastAsia"/>
          <w:b/>
          <w:bCs/>
          <w:color w:val="auto"/>
          <w:sz w:val="24"/>
          <w:szCs w:val="24"/>
          <w:highlight w:val="none"/>
        </w:rPr>
        <w:t>定义</w:t>
      </w:r>
    </w:p>
    <w:p>
      <w:pPr>
        <w:pStyle w:val="2"/>
        <w:spacing w:line="400" w:lineRule="exact"/>
        <w:ind w:left="565" w:leftChars="257" w:firstLine="204" w:firstLineChars="100"/>
        <w:rPr>
          <w:color w:val="auto"/>
          <w:sz w:val="19"/>
          <w:highlight w:val="none"/>
        </w:rPr>
      </w:pPr>
      <w:r>
        <w:rPr>
          <w:color w:val="auto"/>
          <w:spacing w:val="-3"/>
          <w:highlight w:val="none"/>
        </w:rPr>
        <w:t xml:space="preserve">1.1 “采购人”是指依法进行政府采购的国家机关、事业单位、团体组织。 </w:t>
      </w:r>
    </w:p>
    <w:p>
      <w:pPr>
        <w:pStyle w:val="2"/>
        <w:spacing w:line="400" w:lineRule="exact"/>
        <w:ind w:left="565" w:leftChars="257" w:firstLine="204" w:firstLineChars="100"/>
        <w:rPr>
          <w:color w:val="auto"/>
          <w:sz w:val="19"/>
          <w:highlight w:val="none"/>
        </w:rPr>
      </w:pPr>
      <w:r>
        <w:rPr>
          <w:color w:val="auto"/>
          <w:spacing w:val="-3"/>
          <w:highlight w:val="none"/>
        </w:rPr>
        <w:t>1.2 “采购代理机构”是指政府采购集中采购机构和集中采购机构以外的采购代理机构。</w:t>
      </w:r>
      <w:r>
        <w:rPr>
          <w:color w:val="auto"/>
          <w:highlight w:val="none"/>
        </w:rPr>
        <w:t xml:space="preserve"> </w:t>
      </w:r>
    </w:p>
    <w:p>
      <w:pPr>
        <w:pStyle w:val="2"/>
        <w:spacing w:line="400" w:lineRule="exact"/>
        <w:ind w:left="565" w:leftChars="257" w:firstLine="204" w:firstLineChars="100"/>
        <w:rPr>
          <w:color w:val="auto"/>
          <w:sz w:val="19"/>
          <w:highlight w:val="none"/>
        </w:rPr>
      </w:pPr>
      <w:r>
        <w:rPr>
          <w:color w:val="auto"/>
          <w:spacing w:val="-3"/>
          <w:highlight w:val="none"/>
        </w:rPr>
        <w:t>1.3 “供应商”是指向采购人提供货物、工程或者服务的法人、其他组织或者自然人。</w:t>
      </w:r>
      <w:r>
        <w:rPr>
          <w:color w:val="auto"/>
          <w:highlight w:val="none"/>
        </w:rPr>
        <w:t xml:space="preserve"> </w:t>
      </w:r>
    </w:p>
    <w:p>
      <w:pPr>
        <w:pStyle w:val="2"/>
        <w:spacing w:line="400" w:lineRule="exact"/>
        <w:ind w:left="565" w:leftChars="257" w:firstLine="204" w:firstLineChars="100"/>
        <w:rPr>
          <w:color w:val="auto"/>
          <w:sz w:val="19"/>
          <w:highlight w:val="none"/>
        </w:rPr>
      </w:pPr>
      <w:r>
        <w:rPr>
          <w:color w:val="auto"/>
          <w:spacing w:val="-3"/>
          <w:highlight w:val="none"/>
        </w:rPr>
        <w:t>1.4 “工程”</w:t>
      </w:r>
      <w:r>
        <w:rPr>
          <w:color w:val="auto"/>
          <w:spacing w:val="-5"/>
          <w:highlight w:val="none"/>
        </w:rPr>
        <w:t>是指建设工程，包括建筑物和构筑物的新建、改建、扩建、装修、拆除、修缮等。</w:t>
      </w:r>
      <w:r>
        <w:rPr>
          <w:color w:val="auto"/>
          <w:highlight w:val="none"/>
        </w:rPr>
        <w:t xml:space="preserve"> </w:t>
      </w:r>
    </w:p>
    <w:p>
      <w:pPr>
        <w:pStyle w:val="2"/>
        <w:spacing w:line="400" w:lineRule="exact"/>
        <w:ind w:left="565" w:leftChars="257" w:firstLine="204" w:firstLineChars="100"/>
        <w:rPr>
          <w:color w:val="auto"/>
          <w:sz w:val="19"/>
          <w:highlight w:val="none"/>
        </w:rPr>
      </w:pPr>
      <w:r>
        <w:rPr>
          <w:color w:val="auto"/>
          <w:spacing w:val="-3"/>
          <w:highlight w:val="none"/>
        </w:rPr>
        <w:t>1.5 “竞标”</w:t>
      </w:r>
      <w:r>
        <w:rPr>
          <w:color w:val="auto"/>
          <w:spacing w:val="-8"/>
          <w:highlight w:val="none"/>
        </w:rPr>
        <w:t>是指供应商按照本项目竞争性磋商公告或者邀请函规定的方式获取磋商文件、提</w:t>
      </w:r>
      <w:r>
        <w:rPr>
          <w:color w:val="auto"/>
          <w:spacing w:val="-3"/>
          <w:highlight w:val="none"/>
        </w:rPr>
        <w:t>交响应文件并希望获得标的的行为。</w:t>
      </w:r>
      <w:r>
        <w:rPr>
          <w:color w:val="auto"/>
          <w:highlight w:val="none"/>
        </w:rPr>
        <w:t xml:space="preserve"> </w:t>
      </w:r>
    </w:p>
    <w:p>
      <w:pPr>
        <w:pStyle w:val="2"/>
        <w:spacing w:line="400" w:lineRule="exact"/>
        <w:ind w:left="565" w:leftChars="257" w:firstLine="194" w:firstLineChars="100"/>
        <w:rPr>
          <w:color w:val="auto"/>
          <w:sz w:val="19"/>
          <w:highlight w:val="none"/>
        </w:rPr>
      </w:pPr>
      <w:r>
        <w:rPr>
          <w:color w:val="auto"/>
          <w:spacing w:val="-8"/>
          <w:highlight w:val="none"/>
        </w:rPr>
        <w:t>1.6 “书面形式”</w:t>
      </w:r>
      <w:r>
        <w:rPr>
          <w:color w:val="auto"/>
          <w:spacing w:val="-7"/>
          <w:highlight w:val="none"/>
        </w:rPr>
        <w:t>是指合同书、信件和数据电文</w:t>
      </w:r>
      <w:r>
        <w:rPr>
          <w:color w:val="auto"/>
          <w:spacing w:val="-3"/>
          <w:highlight w:val="none"/>
        </w:rPr>
        <w:t>（</w:t>
      </w:r>
      <w:r>
        <w:rPr>
          <w:color w:val="auto"/>
          <w:spacing w:val="-7"/>
          <w:highlight w:val="none"/>
        </w:rPr>
        <w:t>包括电报、电传、传真、电子数据交换和电子邮件</w:t>
      </w:r>
      <w:r>
        <w:rPr>
          <w:color w:val="auto"/>
          <w:spacing w:val="-3"/>
          <w:highlight w:val="none"/>
        </w:rPr>
        <w:t>）等可以有形地表现所载内容的形式。</w:t>
      </w:r>
      <w:r>
        <w:rPr>
          <w:color w:val="auto"/>
          <w:highlight w:val="none"/>
        </w:rPr>
        <w:t xml:space="preserve"> </w:t>
      </w:r>
    </w:p>
    <w:p>
      <w:pPr>
        <w:pStyle w:val="2"/>
        <w:spacing w:line="400" w:lineRule="exact"/>
        <w:ind w:left="565" w:leftChars="257" w:firstLine="194" w:firstLineChars="100"/>
        <w:rPr>
          <w:color w:val="auto"/>
          <w:sz w:val="19"/>
          <w:highlight w:val="none"/>
        </w:rPr>
      </w:pPr>
      <w:r>
        <w:rPr>
          <w:color w:val="auto"/>
          <w:spacing w:val="-8"/>
          <w:highlight w:val="none"/>
        </w:rPr>
        <w:t>1.7 “响应文件”</w:t>
      </w:r>
      <w:r>
        <w:rPr>
          <w:color w:val="auto"/>
          <w:spacing w:val="-9"/>
          <w:highlight w:val="none"/>
        </w:rPr>
        <w:t>是指：供应商根据本磋商文件要求，编制包含资格证明、报价商务技术等所有</w:t>
      </w:r>
      <w:r>
        <w:rPr>
          <w:color w:val="auto"/>
          <w:spacing w:val="-6"/>
          <w:highlight w:val="none"/>
        </w:rPr>
        <w:t>内容的文件。</w:t>
      </w:r>
      <w:r>
        <w:rPr>
          <w:color w:val="auto"/>
          <w:highlight w:val="none"/>
        </w:rPr>
        <w:t xml:space="preserve"> </w:t>
      </w:r>
    </w:p>
    <w:p>
      <w:pPr>
        <w:pStyle w:val="2"/>
        <w:spacing w:line="400" w:lineRule="exact"/>
        <w:ind w:left="565" w:leftChars="257" w:firstLine="194" w:firstLineChars="100"/>
        <w:rPr>
          <w:color w:val="auto"/>
          <w:sz w:val="19"/>
          <w:highlight w:val="none"/>
        </w:rPr>
      </w:pPr>
      <w:r>
        <w:rPr>
          <w:color w:val="auto"/>
          <w:spacing w:val="-8"/>
          <w:highlight w:val="none"/>
        </w:rPr>
        <w:t>1.8 “实质性要求”是指磋商文件中已经指明不满足则响应文件按无效响应处理的条款，或者</w:t>
      </w:r>
      <w:r>
        <w:rPr>
          <w:color w:val="auto"/>
          <w:spacing w:val="-3"/>
          <w:highlight w:val="none"/>
        </w:rPr>
        <w:t xml:space="preserve">不能负偏离的条款，或者采购需求中带“▲”的条款。 </w:t>
      </w:r>
    </w:p>
    <w:p>
      <w:pPr>
        <w:pStyle w:val="2"/>
        <w:spacing w:line="400" w:lineRule="exact"/>
        <w:ind w:left="565" w:leftChars="257" w:firstLine="192" w:firstLineChars="100"/>
        <w:rPr>
          <w:color w:val="auto"/>
          <w:sz w:val="19"/>
          <w:highlight w:val="none"/>
        </w:rPr>
      </w:pPr>
      <w:r>
        <w:rPr>
          <w:color w:val="auto"/>
          <w:spacing w:val="-9"/>
          <w:highlight w:val="none"/>
        </w:rPr>
        <w:t>1.9 “正偏离”，是指响应文件对磋商文件“采购需求”中有关条款作出的响应优于条款要求并</w:t>
      </w:r>
      <w:r>
        <w:rPr>
          <w:color w:val="auto"/>
          <w:spacing w:val="-5"/>
          <w:highlight w:val="none"/>
        </w:rPr>
        <w:t>有利于采购人的情形。</w:t>
      </w:r>
      <w:r>
        <w:rPr>
          <w:color w:val="auto"/>
          <w:highlight w:val="none"/>
        </w:rPr>
        <w:t xml:space="preserve"> </w:t>
      </w:r>
    </w:p>
    <w:p>
      <w:pPr>
        <w:pStyle w:val="2"/>
        <w:spacing w:line="400" w:lineRule="exact"/>
        <w:ind w:left="565" w:leftChars="257" w:firstLine="202" w:firstLineChars="100"/>
        <w:rPr>
          <w:color w:val="auto"/>
          <w:sz w:val="19"/>
          <w:highlight w:val="none"/>
        </w:rPr>
      </w:pPr>
      <w:r>
        <w:rPr>
          <w:color w:val="auto"/>
          <w:spacing w:val="-4"/>
          <w:highlight w:val="none"/>
        </w:rPr>
        <w:t>2.10 “负偏离”，是指响应文件对磋商文件“采购需求”中有关条款作出的响应不满足条款要</w:t>
      </w:r>
      <w:r>
        <w:rPr>
          <w:color w:val="auto"/>
          <w:spacing w:val="-3"/>
          <w:highlight w:val="none"/>
        </w:rPr>
        <w:t>求，导致采购人要求</w:t>
      </w:r>
      <w:r>
        <w:rPr>
          <w:color w:val="auto"/>
          <w:spacing w:val="-4"/>
          <w:highlight w:val="none"/>
        </w:rPr>
        <w:t>不能</w:t>
      </w:r>
      <w:r>
        <w:rPr>
          <w:color w:val="auto"/>
          <w:spacing w:val="-3"/>
          <w:highlight w:val="none"/>
        </w:rPr>
        <w:t>得到满足的情形。</w:t>
      </w:r>
      <w:r>
        <w:rPr>
          <w:color w:val="auto"/>
          <w:highlight w:val="none"/>
        </w:rPr>
        <w:t xml:space="preserve"> </w:t>
      </w:r>
    </w:p>
    <w:p>
      <w:pPr>
        <w:pStyle w:val="2"/>
        <w:spacing w:line="400" w:lineRule="exact"/>
        <w:ind w:left="565" w:leftChars="257" w:firstLine="204" w:firstLineChars="100"/>
        <w:rPr>
          <w:color w:val="auto"/>
          <w:sz w:val="19"/>
          <w:highlight w:val="none"/>
        </w:rPr>
      </w:pPr>
      <w:r>
        <w:rPr>
          <w:color w:val="auto"/>
          <w:spacing w:val="-3"/>
          <w:highlight w:val="none"/>
        </w:rPr>
        <w:t xml:space="preserve">2.11 “允许负偏离的条款”是指采购需求中的不属于“实质性要求”的条款。 </w:t>
      </w:r>
    </w:p>
    <w:p>
      <w:pPr>
        <w:pStyle w:val="2"/>
        <w:spacing w:line="400" w:lineRule="exact"/>
        <w:ind w:left="565" w:leftChars="257" w:firstLine="204" w:firstLineChars="100"/>
        <w:rPr>
          <w:color w:val="auto"/>
          <w:sz w:val="19"/>
          <w:highlight w:val="none"/>
        </w:rPr>
      </w:pPr>
      <w:r>
        <w:rPr>
          <w:color w:val="auto"/>
          <w:spacing w:val="-3"/>
          <w:highlight w:val="none"/>
        </w:rPr>
        <w:t>2.12“首次报价”是指供应商提交的首次响应文件中的报价。</w:t>
      </w:r>
      <w:r>
        <w:rPr>
          <w:color w:val="auto"/>
          <w:highlight w:val="none"/>
        </w:rPr>
        <w:t xml:space="preserve"> </w:t>
      </w:r>
    </w:p>
    <w:p>
      <w:pPr>
        <w:pStyle w:val="2"/>
        <w:spacing w:line="400" w:lineRule="exact"/>
        <w:ind w:left="565" w:leftChars="257"/>
        <w:rPr>
          <w:b/>
          <w:bCs/>
          <w:color w:val="auto"/>
          <w:sz w:val="24"/>
          <w:szCs w:val="24"/>
          <w:highlight w:val="none"/>
        </w:rPr>
      </w:pPr>
      <w:r>
        <w:rPr>
          <w:rFonts w:hint="eastAsia"/>
          <w:b/>
          <w:bCs/>
          <w:color w:val="auto"/>
          <w:sz w:val="24"/>
          <w:szCs w:val="24"/>
          <w:highlight w:val="none"/>
        </w:rPr>
        <w:t>3</w:t>
      </w:r>
      <w:r>
        <w:rPr>
          <w:b/>
          <w:bCs/>
          <w:color w:val="auto"/>
          <w:sz w:val="24"/>
          <w:szCs w:val="24"/>
          <w:highlight w:val="none"/>
        </w:rPr>
        <w:t xml:space="preserve">. </w:t>
      </w:r>
      <w:r>
        <w:rPr>
          <w:rFonts w:hint="eastAsia"/>
          <w:b/>
          <w:bCs/>
          <w:color w:val="auto"/>
          <w:sz w:val="24"/>
          <w:szCs w:val="24"/>
          <w:highlight w:val="none"/>
        </w:rPr>
        <w:t>供应商的资格条件</w:t>
      </w:r>
    </w:p>
    <w:p>
      <w:pPr>
        <w:pStyle w:val="2"/>
        <w:spacing w:line="400" w:lineRule="exact"/>
        <w:ind w:left="565" w:leftChars="257" w:firstLine="204" w:firstLineChars="100"/>
        <w:rPr>
          <w:color w:val="auto"/>
          <w:highlight w:val="none"/>
        </w:rPr>
      </w:pPr>
      <w:r>
        <w:rPr>
          <w:rFonts w:hint="eastAsia"/>
          <w:color w:val="auto"/>
          <w:spacing w:val="-3"/>
          <w:highlight w:val="none"/>
        </w:rPr>
        <w:t>3</w:t>
      </w:r>
      <w:r>
        <w:rPr>
          <w:color w:val="auto"/>
          <w:spacing w:val="-3"/>
          <w:highlight w:val="none"/>
        </w:rPr>
        <w:t xml:space="preserve">.1供应商的资格条件详见“供应商须知前附表”。 </w:t>
      </w:r>
    </w:p>
    <w:p>
      <w:pPr>
        <w:pStyle w:val="2"/>
        <w:spacing w:line="400" w:lineRule="exact"/>
        <w:ind w:left="565" w:leftChars="257"/>
        <w:rPr>
          <w:b/>
          <w:bCs/>
          <w:color w:val="auto"/>
          <w:sz w:val="24"/>
          <w:szCs w:val="24"/>
          <w:highlight w:val="none"/>
        </w:rPr>
      </w:pPr>
      <w:r>
        <w:rPr>
          <w:rFonts w:hint="eastAsia"/>
          <w:b/>
          <w:bCs/>
          <w:color w:val="auto"/>
          <w:sz w:val="24"/>
          <w:szCs w:val="24"/>
          <w:highlight w:val="none"/>
        </w:rPr>
        <w:t>4</w:t>
      </w:r>
      <w:r>
        <w:rPr>
          <w:b/>
          <w:bCs/>
          <w:color w:val="auto"/>
          <w:sz w:val="24"/>
          <w:szCs w:val="24"/>
          <w:highlight w:val="none"/>
        </w:rPr>
        <w:t xml:space="preserve">. </w:t>
      </w:r>
      <w:r>
        <w:rPr>
          <w:rFonts w:hint="eastAsia"/>
          <w:b/>
          <w:bCs/>
          <w:color w:val="auto"/>
          <w:sz w:val="24"/>
          <w:szCs w:val="24"/>
          <w:highlight w:val="none"/>
        </w:rPr>
        <w:t>竞标费用</w:t>
      </w:r>
    </w:p>
    <w:p>
      <w:pPr>
        <w:pStyle w:val="2"/>
        <w:spacing w:line="400" w:lineRule="exact"/>
        <w:ind w:left="565" w:leftChars="257" w:firstLine="210" w:firstLineChars="100"/>
        <w:rPr>
          <w:color w:val="auto"/>
          <w:highlight w:val="none"/>
        </w:rPr>
      </w:pPr>
      <w:r>
        <w:rPr>
          <w:rFonts w:hint="eastAsia"/>
          <w:color w:val="auto"/>
          <w:highlight w:val="none"/>
        </w:rPr>
        <w:t>4</w:t>
      </w:r>
      <w:r>
        <w:rPr>
          <w:color w:val="auto"/>
          <w:highlight w:val="none"/>
        </w:rPr>
        <w:t xml:space="preserve">.1 供应商应承担参与本次采购活动有关的所有费用，包括但不限于获取磋商文件、勘查现场、编制和提交响应文件、参加磋商与应答、签订合同等，不论竞标结果如何，均应自行承担。 </w:t>
      </w:r>
    </w:p>
    <w:p>
      <w:pPr>
        <w:pStyle w:val="2"/>
        <w:spacing w:line="400" w:lineRule="exact"/>
        <w:ind w:left="565" w:leftChars="257"/>
        <w:rPr>
          <w:b/>
          <w:bCs/>
          <w:color w:val="auto"/>
          <w:sz w:val="24"/>
          <w:szCs w:val="24"/>
          <w:highlight w:val="none"/>
        </w:rPr>
      </w:pPr>
      <w:r>
        <w:rPr>
          <w:rFonts w:hint="eastAsia"/>
          <w:b/>
          <w:bCs/>
          <w:color w:val="auto"/>
          <w:sz w:val="24"/>
          <w:szCs w:val="24"/>
          <w:highlight w:val="none"/>
        </w:rPr>
        <w:t>5</w:t>
      </w:r>
      <w:r>
        <w:rPr>
          <w:b/>
          <w:bCs/>
          <w:color w:val="auto"/>
          <w:sz w:val="24"/>
          <w:szCs w:val="24"/>
          <w:highlight w:val="none"/>
        </w:rPr>
        <w:t xml:space="preserve">. </w:t>
      </w:r>
      <w:r>
        <w:rPr>
          <w:rFonts w:hint="eastAsia"/>
          <w:b/>
          <w:bCs/>
          <w:color w:val="auto"/>
          <w:sz w:val="24"/>
          <w:szCs w:val="24"/>
          <w:highlight w:val="none"/>
        </w:rPr>
        <w:t>联合体竞标</w:t>
      </w:r>
    </w:p>
    <w:p>
      <w:pPr>
        <w:pStyle w:val="2"/>
        <w:spacing w:line="400" w:lineRule="exact"/>
        <w:ind w:left="565" w:leftChars="257" w:firstLine="210" w:firstLineChars="100"/>
        <w:rPr>
          <w:color w:val="auto"/>
          <w:highlight w:val="none"/>
        </w:rPr>
      </w:pPr>
      <w:r>
        <w:rPr>
          <w:rFonts w:hint="eastAsia"/>
          <w:color w:val="auto"/>
          <w:highlight w:val="none"/>
        </w:rPr>
        <w:t>5</w:t>
      </w:r>
      <w:r>
        <w:rPr>
          <w:color w:val="auto"/>
          <w:highlight w:val="none"/>
        </w:rPr>
        <w:t xml:space="preserve">.1 本项目是否接受联合体竞标，详见“供应商须知前附表”。 </w:t>
      </w:r>
    </w:p>
    <w:p>
      <w:pPr>
        <w:pStyle w:val="2"/>
        <w:spacing w:line="400" w:lineRule="exact"/>
        <w:ind w:left="565" w:leftChars="257" w:firstLine="210" w:firstLineChars="100"/>
        <w:rPr>
          <w:color w:val="auto"/>
          <w:highlight w:val="none"/>
        </w:rPr>
      </w:pPr>
      <w:r>
        <w:rPr>
          <w:rFonts w:hint="eastAsia"/>
          <w:color w:val="auto"/>
          <w:highlight w:val="none"/>
        </w:rPr>
        <w:t>5</w:t>
      </w:r>
      <w:r>
        <w:rPr>
          <w:color w:val="auto"/>
          <w:highlight w:val="none"/>
        </w:rPr>
        <w:t xml:space="preserve">.2 如接受联合体竞标，联合体竞标要求详见“供应商须知前附表”。 </w:t>
      </w:r>
    </w:p>
    <w:p>
      <w:pPr>
        <w:pStyle w:val="2"/>
        <w:spacing w:line="400" w:lineRule="exact"/>
        <w:ind w:left="565" w:leftChars="257"/>
        <w:rPr>
          <w:b/>
          <w:bCs/>
          <w:color w:val="auto"/>
          <w:sz w:val="24"/>
          <w:szCs w:val="24"/>
          <w:highlight w:val="none"/>
        </w:rPr>
      </w:pPr>
      <w:r>
        <w:rPr>
          <w:rFonts w:hint="eastAsia"/>
          <w:b/>
          <w:bCs/>
          <w:color w:val="auto"/>
          <w:sz w:val="24"/>
          <w:szCs w:val="24"/>
          <w:highlight w:val="none"/>
        </w:rPr>
        <w:t>6</w:t>
      </w:r>
      <w:r>
        <w:rPr>
          <w:b/>
          <w:bCs/>
          <w:color w:val="auto"/>
          <w:sz w:val="24"/>
          <w:szCs w:val="24"/>
          <w:highlight w:val="none"/>
        </w:rPr>
        <w:t xml:space="preserve">. </w:t>
      </w:r>
      <w:r>
        <w:rPr>
          <w:rFonts w:hint="eastAsia"/>
          <w:b/>
          <w:bCs/>
          <w:color w:val="auto"/>
          <w:sz w:val="24"/>
          <w:szCs w:val="24"/>
          <w:highlight w:val="none"/>
        </w:rPr>
        <w:t>转包与分包</w:t>
      </w:r>
    </w:p>
    <w:p>
      <w:pPr>
        <w:pStyle w:val="2"/>
        <w:spacing w:line="400" w:lineRule="exact"/>
        <w:ind w:left="565" w:leftChars="257" w:firstLine="204" w:firstLineChars="100"/>
        <w:rPr>
          <w:color w:val="auto"/>
          <w:highlight w:val="none"/>
        </w:rPr>
      </w:pPr>
      <w:r>
        <w:rPr>
          <w:rFonts w:hint="eastAsia"/>
          <w:color w:val="auto"/>
          <w:spacing w:val="-3"/>
          <w:highlight w:val="none"/>
        </w:rPr>
        <w:t>6</w:t>
      </w:r>
      <w:r>
        <w:rPr>
          <w:color w:val="auto"/>
          <w:spacing w:val="-3"/>
          <w:highlight w:val="none"/>
        </w:rPr>
        <w:t>.1 本项目不允许转包。</w:t>
      </w:r>
      <w:r>
        <w:rPr>
          <w:color w:val="auto"/>
          <w:highlight w:val="none"/>
        </w:rPr>
        <w:t xml:space="preserve"> </w:t>
      </w:r>
    </w:p>
    <w:p>
      <w:pPr>
        <w:pStyle w:val="2"/>
        <w:spacing w:line="400" w:lineRule="exact"/>
        <w:ind w:left="565" w:leftChars="257"/>
        <w:rPr>
          <w:color w:val="auto"/>
          <w:highlight w:val="none"/>
        </w:rPr>
      </w:pPr>
      <w:r>
        <w:rPr>
          <w:color w:val="auto"/>
          <w:highlight w:val="none"/>
        </w:rPr>
        <w:t xml:space="preserve">  6.2 本项目是否允许分包详见“供应商须知前附表”，本项目不允许违法分包。允许分包的非主体、非关键性工作，根据法律法规规定承担该工作需要行政许可的，如该工作由供应商自行承担，供应商应具备相应的行政许可，如供应商不具备相应的行政许可必须采用分包的方式，但分包供应商应具备相应行政许可。 </w:t>
      </w:r>
    </w:p>
    <w:p>
      <w:pPr>
        <w:pStyle w:val="2"/>
        <w:spacing w:line="400" w:lineRule="exact"/>
        <w:ind w:left="565" w:leftChars="257" w:firstLine="210" w:firstLineChars="100"/>
        <w:rPr>
          <w:color w:val="auto"/>
          <w:highlight w:val="none"/>
        </w:rPr>
      </w:pPr>
      <w:r>
        <w:rPr>
          <w:color w:val="auto"/>
          <w:highlight w:val="none"/>
        </w:rPr>
        <w:t>6.3</w:t>
      </w:r>
      <w:r>
        <w:rPr>
          <w:color w:val="auto"/>
          <w:spacing w:val="-4"/>
          <w:highlight w:val="none"/>
        </w:rPr>
        <w:t xml:space="preserve"> 供应商根据磋商文件的规定和采购项目的实际情况，拟在成交后将成交项目的非主体、非关键性工作分包的，应当在响应文件中载明分包承担主体，分包承担主体应当具备相应资质条件且</w:t>
      </w:r>
      <w:r>
        <w:rPr>
          <w:color w:val="auto"/>
          <w:spacing w:val="-3"/>
          <w:highlight w:val="none"/>
        </w:rPr>
        <w:t>不得再次分包。</w:t>
      </w:r>
      <w:r>
        <w:rPr>
          <w:color w:val="auto"/>
          <w:highlight w:val="none"/>
        </w:rPr>
        <w:t xml:space="preserve"> </w:t>
      </w:r>
    </w:p>
    <w:p>
      <w:pPr>
        <w:pStyle w:val="2"/>
        <w:spacing w:line="400" w:lineRule="exact"/>
        <w:ind w:left="565" w:leftChars="257"/>
        <w:rPr>
          <w:b/>
          <w:bCs/>
          <w:color w:val="auto"/>
          <w:sz w:val="24"/>
          <w:szCs w:val="24"/>
          <w:highlight w:val="none"/>
        </w:rPr>
      </w:pPr>
      <w:r>
        <w:rPr>
          <w:rFonts w:hint="eastAsia"/>
          <w:b/>
          <w:bCs/>
          <w:color w:val="auto"/>
          <w:sz w:val="24"/>
          <w:szCs w:val="24"/>
          <w:highlight w:val="none"/>
        </w:rPr>
        <w:t>7</w:t>
      </w:r>
      <w:r>
        <w:rPr>
          <w:b/>
          <w:bCs/>
          <w:color w:val="auto"/>
          <w:sz w:val="24"/>
          <w:szCs w:val="24"/>
          <w:highlight w:val="none"/>
        </w:rPr>
        <w:t xml:space="preserve">. </w:t>
      </w:r>
      <w:r>
        <w:rPr>
          <w:rFonts w:hint="eastAsia"/>
          <w:b/>
          <w:bCs/>
          <w:color w:val="auto"/>
          <w:sz w:val="24"/>
          <w:szCs w:val="24"/>
          <w:highlight w:val="none"/>
        </w:rPr>
        <w:t>特别说明</w:t>
      </w:r>
    </w:p>
    <w:p>
      <w:pPr>
        <w:pStyle w:val="2"/>
        <w:spacing w:line="400" w:lineRule="exact"/>
        <w:ind w:left="565" w:leftChars="257" w:firstLine="198" w:firstLineChars="100"/>
        <w:rPr>
          <w:color w:val="auto"/>
          <w:highlight w:val="none"/>
        </w:rPr>
      </w:pPr>
      <w:r>
        <w:rPr>
          <w:rFonts w:hint="eastAsia"/>
          <w:color w:val="auto"/>
          <w:spacing w:val="-6"/>
          <w:highlight w:val="none"/>
        </w:rPr>
        <w:t>7</w:t>
      </w:r>
      <w:r>
        <w:rPr>
          <w:color w:val="auto"/>
          <w:spacing w:val="-6"/>
          <w:highlight w:val="none"/>
        </w:rPr>
        <w:t xml:space="preserve">.1 如果本磋商文件要求提供供应商或制造商的资格、信誉、荣誉、业绩与企业认证等材料的， </w:t>
      </w:r>
      <w:r>
        <w:rPr>
          <w:color w:val="auto"/>
          <w:spacing w:val="-4"/>
          <w:highlight w:val="none"/>
        </w:rPr>
        <w:t>资格、信誉、荣誉、业绩与企业认证等必须为供应商或者制造商所拥有或自身获得 。</w:t>
      </w:r>
      <w:r>
        <w:rPr>
          <w:color w:val="auto"/>
          <w:highlight w:val="none"/>
        </w:rPr>
        <w:t xml:space="preserve"> </w:t>
      </w:r>
    </w:p>
    <w:p>
      <w:pPr>
        <w:pStyle w:val="2"/>
        <w:spacing w:line="400" w:lineRule="exact"/>
        <w:ind w:left="565" w:leftChars="257" w:firstLine="202" w:firstLineChars="100"/>
        <w:rPr>
          <w:color w:val="auto"/>
          <w:highlight w:val="none"/>
        </w:rPr>
      </w:pPr>
      <w:r>
        <w:rPr>
          <w:rFonts w:hint="eastAsia"/>
          <w:color w:val="auto"/>
          <w:spacing w:val="-4"/>
          <w:highlight w:val="none"/>
        </w:rPr>
        <w:t>7</w:t>
      </w:r>
      <w:r>
        <w:rPr>
          <w:color w:val="auto"/>
          <w:spacing w:val="-4"/>
          <w:highlight w:val="none"/>
        </w:rPr>
        <w:t>.2 供应商应仔细阅读磋商文件的所有内容，按照磋商文件的要求提交响应文件，并对所提供</w:t>
      </w:r>
      <w:r>
        <w:rPr>
          <w:color w:val="auto"/>
          <w:spacing w:val="-3"/>
          <w:highlight w:val="none"/>
        </w:rPr>
        <w:t>的全部资料的真实性承担法律责任。</w:t>
      </w:r>
      <w:r>
        <w:rPr>
          <w:color w:val="auto"/>
          <w:highlight w:val="none"/>
        </w:rPr>
        <w:t xml:space="preserve"> </w:t>
      </w:r>
    </w:p>
    <w:p>
      <w:pPr>
        <w:pStyle w:val="2"/>
        <w:spacing w:line="400" w:lineRule="exact"/>
        <w:ind w:left="565" w:leftChars="257" w:firstLine="202" w:firstLineChars="100"/>
        <w:rPr>
          <w:color w:val="auto"/>
          <w:highlight w:val="none"/>
        </w:rPr>
      </w:pPr>
      <w:r>
        <w:rPr>
          <w:rFonts w:hint="eastAsia"/>
          <w:color w:val="auto"/>
          <w:spacing w:val="-4"/>
          <w:highlight w:val="none"/>
        </w:rPr>
        <w:t>7</w:t>
      </w:r>
      <w:r>
        <w:rPr>
          <w:color w:val="auto"/>
          <w:spacing w:val="-4"/>
          <w:highlight w:val="none"/>
        </w:rPr>
        <w:t>.3 供应商在竞标活动中提供任何疑似虚假材料，将报监管部门查处；签订合同后发现的，成交供应商须依照《中华人民共和国消费者权益保护法》规定赔偿采购人，且民事赔偿并不免除违法</w:t>
      </w:r>
      <w:r>
        <w:rPr>
          <w:color w:val="auto"/>
          <w:spacing w:val="-3"/>
          <w:highlight w:val="none"/>
        </w:rPr>
        <w:t xml:space="preserve">供应商的行政与刑事责任。 </w:t>
      </w:r>
    </w:p>
    <w:p>
      <w:pPr>
        <w:pStyle w:val="2"/>
        <w:spacing w:line="400" w:lineRule="exact"/>
        <w:ind w:left="565" w:leftChars="257" w:firstLine="204" w:firstLineChars="100"/>
        <w:rPr>
          <w:color w:val="auto"/>
          <w:highlight w:val="none"/>
        </w:rPr>
      </w:pPr>
      <w:r>
        <w:rPr>
          <w:rFonts w:hint="eastAsia"/>
          <w:color w:val="auto"/>
          <w:spacing w:val="-3"/>
          <w:highlight w:val="none"/>
        </w:rPr>
        <w:t>7</w:t>
      </w:r>
      <w:r>
        <w:rPr>
          <w:color w:val="auto"/>
          <w:spacing w:val="-3"/>
          <w:highlight w:val="none"/>
        </w:rPr>
        <w:t xml:space="preserve">.4 在政府采购活动中，采购人员及相关人员与供应商有下列利害关系之一的，应当回避： </w:t>
      </w:r>
    </w:p>
    <w:p>
      <w:pPr>
        <w:pStyle w:val="2"/>
        <w:spacing w:line="400" w:lineRule="exact"/>
        <w:ind w:left="565" w:leftChars="257" w:firstLine="190" w:firstLineChars="100"/>
        <w:rPr>
          <w:color w:val="auto"/>
          <w:highlight w:val="none"/>
        </w:rPr>
      </w:pPr>
      <w:r>
        <w:rPr>
          <w:rFonts w:hint="eastAsia"/>
          <w:color w:val="auto"/>
          <w:spacing w:val="-10"/>
          <w:highlight w:val="none"/>
        </w:rPr>
        <w:t>（1）</w:t>
      </w:r>
      <w:r>
        <w:rPr>
          <w:color w:val="auto"/>
          <w:spacing w:val="-10"/>
          <w:highlight w:val="none"/>
        </w:rPr>
        <w:t xml:space="preserve">参加采购活动前 </w:t>
      </w:r>
      <w:r>
        <w:rPr>
          <w:color w:val="auto"/>
          <w:highlight w:val="none"/>
        </w:rPr>
        <w:t>3</w:t>
      </w:r>
      <w:r>
        <w:rPr>
          <w:color w:val="auto"/>
          <w:spacing w:val="-9"/>
          <w:highlight w:val="none"/>
        </w:rPr>
        <w:t xml:space="preserve"> 年内与供应商存在劳动关系； </w:t>
      </w:r>
    </w:p>
    <w:p>
      <w:pPr>
        <w:pStyle w:val="2"/>
        <w:spacing w:line="400" w:lineRule="exact"/>
        <w:ind w:left="565" w:leftChars="257" w:firstLine="190" w:firstLineChars="100"/>
        <w:rPr>
          <w:color w:val="auto"/>
          <w:highlight w:val="none"/>
        </w:rPr>
      </w:pPr>
      <w:r>
        <w:rPr>
          <w:rFonts w:hint="eastAsia"/>
          <w:color w:val="auto"/>
          <w:spacing w:val="-10"/>
          <w:highlight w:val="none"/>
        </w:rPr>
        <w:t>（2）</w:t>
      </w:r>
      <w:r>
        <w:rPr>
          <w:color w:val="auto"/>
          <w:spacing w:val="-10"/>
          <w:highlight w:val="none"/>
        </w:rPr>
        <w:t xml:space="preserve">参加采购活动前 </w:t>
      </w:r>
      <w:r>
        <w:rPr>
          <w:color w:val="auto"/>
          <w:highlight w:val="none"/>
        </w:rPr>
        <w:t>3</w:t>
      </w:r>
      <w:r>
        <w:rPr>
          <w:color w:val="auto"/>
          <w:spacing w:val="-9"/>
          <w:highlight w:val="none"/>
        </w:rPr>
        <w:t xml:space="preserve"> 年内担任供应商的董事、监事；</w:t>
      </w:r>
      <w:r>
        <w:rPr>
          <w:color w:val="auto"/>
          <w:highlight w:val="none"/>
        </w:rPr>
        <w:t xml:space="preserve"> </w:t>
      </w:r>
    </w:p>
    <w:p>
      <w:pPr>
        <w:pStyle w:val="2"/>
        <w:spacing w:line="400" w:lineRule="exact"/>
        <w:ind w:left="565" w:leftChars="257" w:firstLine="190" w:firstLineChars="100"/>
        <w:rPr>
          <w:color w:val="auto"/>
          <w:highlight w:val="none"/>
        </w:rPr>
      </w:pPr>
      <w:r>
        <w:rPr>
          <w:rFonts w:hint="eastAsia"/>
          <w:color w:val="auto"/>
          <w:spacing w:val="-10"/>
          <w:highlight w:val="none"/>
        </w:rPr>
        <w:t>（3）</w:t>
      </w:r>
      <w:r>
        <w:rPr>
          <w:color w:val="auto"/>
          <w:spacing w:val="-10"/>
          <w:highlight w:val="none"/>
        </w:rPr>
        <w:t xml:space="preserve">参加采购活动前 </w:t>
      </w:r>
      <w:r>
        <w:rPr>
          <w:color w:val="auto"/>
          <w:highlight w:val="none"/>
        </w:rPr>
        <w:t>3</w:t>
      </w:r>
      <w:r>
        <w:rPr>
          <w:color w:val="auto"/>
          <w:spacing w:val="-9"/>
          <w:highlight w:val="none"/>
        </w:rPr>
        <w:t xml:space="preserve"> 年内是供应商的控股股东或者实际控制人；</w:t>
      </w:r>
      <w:r>
        <w:rPr>
          <w:color w:val="auto"/>
          <w:highlight w:val="none"/>
        </w:rPr>
        <w:t xml:space="preserve"> </w:t>
      </w:r>
    </w:p>
    <w:p>
      <w:pPr>
        <w:pStyle w:val="2"/>
        <w:spacing w:line="400" w:lineRule="exact"/>
        <w:ind w:left="565" w:leftChars="257" w:firstLine="186" w:firstLineChars="100"/>
        <w:rPr>
          <w:color w:val="auto"/>
          <w:highlight w:val="none"/>
        </w:rPr>
      </w:pPr>
      <w:r>
        <w:rPr>
          <w:rFonts w:hint="eastAsia"/>
          <w:color w:val="auto"/>
          <w:spacing w:val="-12"/>
          <w:highlight w:val="none"/>
        </w:rPr>
        <w:t>（4）</w:t>
      </w:r>
      <w:r>
        <w:rPr>
          <w:color w:val="auto"/>
          <w:spacing w:val="-12"/>
          <w:highlight w:val="none"/>
        </w:rPr>
        <w:t>与供应商的法定代表人或者负责人有夫妻、直系血亲、三代以内旁系血亲或者近姻亲关系；</w:t>
      </w:r>
      <w:r>
        <w:rPr>
          <w:color w:val="auto"/>
          <w:highlight w:val="none"/>
        </w:rPr>
        <w:t xml:space="preserve"> </w:t>
      </w:r>
    </w:p>
    <w:p>
      <w:pPr>
        <w:pStyle w:val="2"/>
        <w:spacing w:line="400" w:lineRule="exact"/>
        <w:ind w:left="565" w:leftChars="257" w:firstLine="204" w:firstLineChars="100"/>
        <w:rPr>
          <w:color w:val="auto"/>
          <w:highlight w:val="none"/>
        </w:rPr>
      </w:pPr>
      <w:r>
        <w:rPr>
          <w:rFonts w:hint="eastAsia"/>
          <w:color w:val="auto"/>
          <w:spacing w:val="-3"/>
          <w:highlight w:val="none"/>
        </w:rPr>
        <w:t>（5）</w:t>
      </w:r>
      <w:r>
        <w:rPr>
          <w:color w:val="auto"/>
          <w:spacing w:val="-3"/>
          <w:highlight w:val="none"/>
        </w:rPr>
        <w:t xml:space="preserve">与供应商有其他可能影响政府采购活动公平、公正进行的关系。 </w:t>
      </w:r>
    </w:p>
    <w:p>
      <w:pPr>
        <w:pStyle w:val="2"/>
        <w:spacing w:line="400" w:lineRule="exact"/>
        <w:ind w:left="565" w:leftChars="257" w:firstLine="210" w:firstLineChars="100"/>
        <w:rPr>
          <w:color w:val="auto"/>
          <w:highlight w:val="none"/>
        </w:rPr>
      </w:pPr>
      <w:r>
        <w:rPr>
          <w:color w:val="auto"/>
          <w:highlight w:val="none"/>
        </w:rPr>
        <w:t xml:space="preserve">供应商认为采购人员及相关人员与其他供应商有利害关系的，可以向采购人或者采购代理机构书面提出回避申请，并说明理由。采购人或者采购代理机构应当及时询问被申请回避人员，有利害关系的被申请回避人员应当回避。 </w:t>
      </w:r>
    </w:p>
    <w:p>
      <w:pPr>
        <w:pStyle w:val="2"/>
        <w:spacing w:line="400" w:lineRule="exact"/>
        <w:ind w:left="565" w:leftChars="257" w:firstLine="204" w:firstLineChars="100"/>
        <w:rPr>
          <w:color w:val="auto"/>
          <w:highlight w:val="none"/>
        </w:rPr>
      </w:pPr>
      <w:r>
        <w:rPr>
          <w:rFonts w:hint="eastAsia"/>
          <w:color w:val="auto"/>
          <w:spacing w:val="-3"/>
          <w:highlight w:val="none"/>
        </w:rPr>
        <w:t>7</w:t>
      </w:r>
      <w:r>
        <w:rPr>
          <w:color w:val="auto"/>
          <w:spacing w:val="-3"/>
          <w:highlight w:val="none"/>
        </w:rPr>
        <w:t>.5 有下列情形之一的视为供应商相互串通竞标，响应文件将被视为无效：</w:t>
      </w:r>
      <w:r>
        <w:rPr>
          <w:color w:val="auto"/>
          <w:highlight w:val="none"/>
        </w:rPr>
        <w:t xml:space="preserve"> </w:t>
      </w:r>
    </w:p>
    <w:p>
      <w:pPr>
        <w:pStyle w:val="2"/>
        <w:spacing w:line="400" w:lineRule="exact"/>
        <w:ind w:left="565" w:leftChars="257" w:firstLine="204" w:firstLineChars="100"/>
        <w:rPr>
          <w:color w:val="auto"/>
          <w:highlight w:val="none"/>
        </w:rPr>
      </w:pPr>
      <w:r>
        <w:rPr>
          <w:rFonts w:hint="eastAsia"/>
          <w:color w:val="auto"/>
          <w:spacing w:val="-3"/>
          <w:highlight w:val="none"/>
        </w:rPr>
        <w:t>（1）</w:t>
      </w:r>
      <w:r>
        <w:rPr>
          <w:color w:val="auto"/>
          <w:spacing w:val="-3"/>
          <w:highlight w:val="none"/>
        </w:rPr>
        <w:t xml:space="preserve">不同供应商的响应文件由同一单位或者个人编制； </w:t>
      </w:r>
      <w:r>
        <w:rPr>
          <w:color w:val="auto"/>
          <w:highlight w:val="none"/>
        </w:rPr>
        <w:t xml:space="preserve"> </w:t>
      </w:r>
    </w:p>
    <w:p>
      <w:pPr>
        <w:pStyle w:val="2"/>
        <w:spacing w:line="400" w:lineRule="exact"/>
        <w:ind w:left="565" w:leftChars="257" w:firstLine="204" w:firstLineChars="100"/>
        <w:rPr>
          <w:color w:val="auto"/>
          <w:highlight w:val="none"/>
        </w:rPr>
      </w:pPr>
      <w:r>
        <w:rPr>
          <w:rFonts w:hint="eastAsia"/>
          <w:color w:val="auto"/>
          <w:spacing w:val="-3"/>
          <w:highlight w:val="none"/>
        </w:rPr>
        <w:t>（2）</w:t>
      </w:r>
      <w:r>
        <w:rPr>
          <w:color w:val="auto"/>
          <w:spacing w:val="-3"/>
          <w:highlight w:val="none"/>
        </w:rPr>
        <w:t>不同供应商委托同一单位或者个人办理竞标事宜；</w:t>
      </w:r>
      <w:r>
        <w:rPr>
          <w:color w:val="auto"/>
          <w:highlight w:val="none"/>
        </w:rPr>
        <w:t xml:space="preserve"> </w:t>
      </w:r>
    </w:p>
    <w:p>
      <w:pPr>
        <w:pStyle w:val="2"/>
        <w:spacing w:line="400" w:lineRule="exact"/>
        <w:ind w:left="565" w:leftChars="257" w:firstLine="204" w:firstLineChars="100"/>
        <w:rPr>
          <w:color w:val="auto"/>
          <w:highlight w:val="none"/>
        </w:rPr>
      </w:pPr>
      <w:r>
        <w:rPr>
          <w:rFonts w:hint="eastAsia"/>
          <w:color w:val="auto"/>
          <w:spacing w:val="-3"/>
          <w:highlight w:val="none"/>
        </w:rPr>
        <w:t>（3）</w:t>
      </w:r>
      <w:r>
        <w:rPr>
          <w:color w:val="auto"/>
          <w:spacing w:val="-3"/>
          <w:highlight w:val="none"/>
        </w:rPr>
        <w:t>不同的供应商的响应文件载明的项目管理员为同一个人；</w:t>
      </w:r>
      <w:r>
        <w:rPr>
          <w:color w:val="auto"/>
          <w:highlight w:val="none"/>
        </w:rPr>
        <w:t xml:space="preserve"> </w:t>
      </w:r>
    </w:p>
    <w:p>
      <w:pPr>
        <w:pStyle w:val="2"/>
        <w:spacing w:line="400" w:lineRule="exact"/>
        <w:ind w:left="565" w:leftChars="257" w:firstLine="204" w:firstLineChars="100"/>
        <w:rPr>
          <w:color w:val="auto"/>
          <w:highlight w:val="none"/>
        </w:rPr>
      </w:pPr>
      <w:r>
        <w:rPr>
          <w:rFonts w:hint="eastAsia"/>
          <w:color w:val="auto"/>
          <w:spacing w:val="-3"/>
          <w:highlight w:val="none"/>
        </w:rPr>
        <w:t>（4）</w:t>
      </w:r>
      <w:r>
        <w:rPr>
          <w:color w:val="auto"/>
          <w:spacing w:val="-3"/>
          <w:highlight w:val="none"/>
        </w:rPr>
        <w:t>不同供应商的响应文件异常一致或者报价呈规律性差异；</w:t>
      </w:r>
      <w:r>
        <w:rPr>
          <w:color w:val="auto"/>
          <w:highlight w:val="none"/>
        </w:rPr>
        <w:t xml:space="preserve"> </w:t>
      </w:r>
    </w:p>
    <w:p>
      <w:pPr>
        <w:pStyle w:val="2"/>
        <w:spacing w:line="400" w:lineRule="exact"/>
        <w:ind w:left="565" w:leftChars="257" w:firstLine="204" w:firstLineChars="100"/>
        <w:rPr>
          <w:color w:val="auto"/>
          <w:highlight w:val="none"/>
        </w:rPr>
      </w:pPr>
      <w:r>
        <w:rPr>
          <w:rFonts w:hint="eastAsia"/>
          <w:color w:val="auto"/>
          <w:spacing w:val="-3"/>
          <w:highlight w:val="none"/>
        </w:rPr>
        <w:t>（5）</w:t>
      </w:r>
      <w:r>
        <w:rPr>
          <w:color w:val="auto"/>
          <w:spacing w:val="-3"/>
          <w:highlight w:val="none"/>
        </w:rPr>
        <w:t>不同供应商的响应文件相互混装；</w:t>
      </w:r>
      <w:r>
        <w:rPr>
          <w:color w:val="auto"/>
          <w:highlight w:val="none"/>
        </w:rPr>
        <w:t xml:space="preserve"> </w:t>
      </w:r>
    </w:p>
    <w:p>
      <w:pPr>
        <w:pStyle w:val="2"/>
        <w:spacing w:line="400" w:lineRule="exact"/>
        <w:ind w:left="565" w:leftChars="257" w:firstLine="204" w:firstLineChars="100"/>
        <w:rPr>
          <w:color w:val="auto"/>
          <w:highlight w:val="none"/>
        </w:rPr>
      </w:pPr>
      <w:r>
        <w:rPr>
          <w:rFonts w:hint="eastAsia"/>
          <w:color w:val="auto"/>
          <w:spacing w:val="-3"/>
          <w:highlight w:val="none"/>
        </w:rPr>
        <w:t>7</w:t>
      </w:r>
      <w:r>
        <w:rPr>
          <w:color w:val="auto"/>
          <w:spacing w:val="-3"/>
          <w:highlight w:val="none"/>
        </w:rPr>
        <w:t xml:space="preserve">.6 供应商有下列情形之一的，属于恶意串通行为： </w:t>
      </w:r>
    </w:p>
    <w:p>
      <w:pPr>
        <w:pStyle w:val="2"/>
        <w:spacing w:line="400" w:lineRule="exact"/>
        <w:ind w:left="565" w:leftChars="257" w:firstLine="204" w:firstLineChars="100"/>
        <w:rPr>
          <w:color w:val="auto"/>
          <w:highlight w:val="none"/>
        </w:rPr>
      </w:pPr>
      <w:r>
        <w:rPr>
          <w:rFonts w:hint="eastAsia"/>
          <w:color w:val="auto"/>
          <w:spacing w:val="-3"/>
          <w:highlight w:val="none"/>
        </w:rPr>
        <w:t>（1）</w:t>
      </w:r>
      <w:r>
        <w:rPr>
          <w:color w:val="auto"/>
          <w:spacing w:val="-3"/>
          <w:highlight w:val="none"/>
        </w:rPr>
        <w:t>供应商直接或者间接从采购人或者采购代理机构处获得其他供应商的相关信息并修改其</w:t>
      </w:r>
      <w:r>
        <w:rPr>
          <w:color w:val="auto"/>
          <w:spacing w:val="-2"/>
          <w:highlight w:val="none"/>
        </w:rPr>
        <w:t>响应文件；</w:t>
      </w:r>
      <w:r>
        <w:rPr>
          <w:color w:val="auto"/>
          <w:highlight w:val="none"/>
        </w:rPr>
        <w:t xml:space="preserve"> </w:t>
      </w:r>
    </w:p>
    <w:p>
      <w:pPr>
        <w:pStyle w:val="2"/>
        <w:spacing w:line="400" w:lineRule="exact"/>
        <w:ind w:left="565" w:leftChars="257" w:firstLine="204" w:firstLineChars="100"/>
        <w:rPr>
          <w:color w:val="auto"/>
          <w:highlight w:val="none"/>
        </w:rPr>
      </w:pPr>
      <w:r>
        <w:rPr>
          <w:rFonts w:hint="eastAsia"/>
          <w:color w:val="auto"/>
          <w:spacing w:val="-3"/>
          <w:highlight w:val="none"/>
        </w:rPr>
        <w:t>（2）</w:t>
      </w:r>
      <w:r>
        <w:rPr>
          <w:color w:val="auto"/>
          <w:spacing w:val="-3"/>
          <w:highlight w:val="none"/>
        </w:rPr>
        <w:t xml:space="preserve">供应商按照采购人或者采购代理机构的授意撤换、修改响应文件； </w:t>
      </w:r>
    </w:p>
    <w:p>
      <w:pPr>
        <w:pStyle w:val="2"/>
        <w:spacing w:line="400" w:lineRule="exact"/>
        <w:ind w:left="565" w:leftChars="257" w:firstLine="204" w:firstLineChars="100"/>
        <w:rPr>
          <w:color w:val="auto"/>
          <w:spacing w:val="-3"/>
          <w:highlight w:val="none"/>
        </w:rPr>
      </w:pPr>
      <w:r>
        <w:rPr>
          <w:rFonts w:hint="eastAsia"/>
          <w:color w:val="auto"/>
          <w:spacing w:val="-3"/>
          <w:highlight w:val="none"/>
        </w:rPr>
        <w:t>（3）</w:t>
      </w:r>
      <w:r>
        <w:rPr>
          <w:color w:val="auto"/>
          <w:spacing w:val="-3"/>
          <w:highlight w:val="none"/>
        </w:rPr>
        <w:t xml:space="preserve">供应商之间协商报价、技术方案等响应文件或者响应文件的实质性内容； </w:t>
      </w:r>
    </w:p>
    <w:p>
      <w:pPr>
        <w:pStyle w:val="2"/>
        <w:spacing w:line="400" w:lineRule="exact"/>
        <w:ind w:left="565" w:leftChars="257" w:firstLine="178" w:firstLineChars="100"/>
        <w:rPr>
          <w:color w:val="auto"/>
          <w:highlight w:val="none"/>
        </w:rPr>
      </w:pPr>
      <w:r>
        <w:rPr>
          <w:rFonts w:hint="eastAsia"/>
          <w:color w:val="auto"/>
          <w:spacing w:val="-16"/>
          <w:highlight w:val="none"/>
        </w:rPr>
        <w:t>（4）</w:t>
      </w:r>
      <w:r>
        <w:rPr>
          <w:color w:val="auto"/>
          <w:spacing w:val="-16"/>
          <w:highlight w:val="none"/>
        </w:rPr>
        <w:t>属于同一集团、协会、商会等组织成员的供应商按照该组织要求协同参加本项目采购活动；</w:t>
      </w:r>
      <w:r>
        <w:rPr>
          <w:color w:val="auto"/>
          <w:highlight w:val="none"/>
        </w:rPr>
        <w:t xml:space="preserve"> </w:t>
      </w:r>
    </w:p>
    <w:p>
      <w:pPr>
        <w:pStyle w:val="2"/>
        <w:spacing w:line="400" w:lineRule="exact"/>
        <w:ind w:left="565" w:leftChars="257" w:firstLine="200" w:firstLineChars="100"/>
        <w:rPr>
          <w:color w:val="auto"/>
          <w:highlight w:val="none"/>
        </w:rPr>
      </w:pPr>
      <w:r>
        <w:rPr>
          <w:rFonts w:hint="eastAsia"/>
          <w:color w:val="auto"/>
          <w:spacing w:val="-5"/>
          <w:highlight w:val="none"/>
        </w:rPr>
        <w:t>（5）</w:t>
      </w:r>
      <w:r>
        <w:rPr>
          <w:color w:val="auto"/>
          <w:spacing w:val="-5"/>
          <w:highlight w:val="none"/>
        </w:rPr>
        <w:t xml:space="preserve">供应商之间事先约定一致抬高或者压低报价，或者在采购活动中事先约定轮流以高价位 </w:t>
      </w:r>
      <w:r>
        <w:rPr>
          <w:color w:val="auto"/>
          <w:spacing w:val="-3"/>
          <w:highlight w:val="none"/>
        </w:rPr>
        <w:t xml:space="preserve">或者低价位成交，或者事先约定由某一特定供应商成交，然后再参加竞标； </w:t>
      </w:r>
    </w:p>
    <w:p>
      <w:pPr>
        <w:pStyle w:val="2"/>
        <w:spacing w:line="400" w:lineRule="exact"/>
        <w:ind w:left="565" w:leftChars="257" w:firstLine="204" w:firstLineChars="100"/>
        <w:rPr>
          <w:color w:val="auto"/>
          <w:highlight w:val="none"/>
        </w:rPr>
      </w:pPr>
      <w:r>
        <w:rPr>
          <w:rFonts w:hint="eastAsia"/>
          <w:color w:val="auto"/>
          <w:spacing w:val="-3"/>
          <w:highlight w:val="none"/>
        </w:rPr>
        <w:t>（6）</w:t>
      </w:r>
      <w:r>
        <w:rPr>
          <w:color w:val="auto"/>
          <w:spacing w:val="-3"/>
          <w:highlight w:val="none"/>
        </w:rPr>
        <w:t xml:space="preserve">供应商之间商定部分供应商放弃参加采购活动或者放弃成交； </w:t>
      </w:r>
    </w:p>
    <w:p>
      <w:pPr>
        <w:pStyle w:val="2"/>
        <w:spacing w:line="400" w:lineRule="exact"/>
        <w:ind w:left="565" w:leftChars="257" w:firstLine="198" w:firstLineChars="100"/>
        <w:rPr>
          <w:color w:val="auto"/>
          <w:highlight w:val="none"/>
        </w:rPr>
      </w:pPr>
      <w:r>
        <w:rPr>
          <w:rFonts w:hint="eastAsia"/>
          <w:color w:val="auto"/>
          <w:spacing w:val="-6"/>
          <w:highlight w:val="none"/>
        </w:rPr>
        <w:t>（7）</w:t>
      </w:r>
      <w:r>
        <w:rPr>
          <w:color w:val="auto"/>
          <w:spacing w:val="-6"/>
          <w:highlight w:val="none"/>
        </w:rPr>
        <w:t xml:space="preserve">供应商与采购人或者采购代理机构之间、供应商相互之间，为谋求特定供应商成交或者 </w:t>
      </w:r>
      <w:r>
        <w:rPr>
          <w:color w:val="auto"/>
          <w:spacing w:val="-3"/>
          <w:highlight w:val="none"/>
        </w:rPr>
        <w:t>排斥其他供应商的其他串通行为。</w:t>
      </w:r>
      <w:r>
        <w:rPr>
          <w:color w:val="auto"/>
          <w:highlight w:val="none"/>
        </w:rPr>
        <w:t xml:space="preserve"> </w:t>
      </w:r>
    </w:p>
    <w:p>
      <w:pPr>
        <w:pStyle w:val="2"/>
        <w:spacing w:line="400" w:lineRule="exact"/>
        <w:ind w:left="565" w:leftChars="257" w:firstLine="210" w:firstLineChars="100"/>
        <w:rPr>
          <w:color w:val="auto"/>
          <w:highlight w:val="none"/>
        </w:rPr>
      </w:pPr>
    </w:p>
    <w:p>
      <w:pPr>
        <w:pStyle w:val="2"/>
        <w:spacing w:line="400" w:lineRule="exact"/>
        <w:ind w:left="565" w:leftChars="257"/>
        <w:jc w:val="center"/>
        <w:rPr>
          <w:b/>
          <w:bCs/>
          <w:color w:val="auto"/>
          <w:sz w:val="28"/>
          <w:szCs w:val="28"/>
          <w:highlight w:val="none"/>
        </w:rPr>
      </w:pPr>
      <w:r>
        <w:rPr>
          <w:b/>
          <w:bCs/>
          <w:color w:val="auto"/>
          <w:sz w:val="32"/>
          <w:szCs w:val="32"/>
          <w:highlight w:val="none"/>
        </w:rPr>
        <w:t>二、磋商文件</w:t>
      </w:r>
    </w:p>
    <w:p>
      <w:pPr>
        <w:pStyle w:val="2"/>
        <w:spacing w:line="400" w:lineRule="exact"/>
        <w:ind w:left="565" w:leftChars="257"/>
        <w:rPr>
          <w:b/>
          <w:bCs/>
          <w:color w:val="auto"/>
          <w:sz w:val="24"/>
          <w:szCs w:val="24"/>
          <w:highlight w:val="none"/>
        </w:rPr>
      </w:pPr>
      <w:r>
        <w:rPr>
          <w:rFonts w:hint="eastAsia"/>
          <w:b/>
          <w:bCs/>
          <w:color w:val="auto"/>
          <w:sz w:val="24"/>
          <w:szCs w:val="24"/>
          <w:highlight w:val="none"/>
        </w:rPr>
        <w:t>8</w:t>
      </w:r>
      <w:r>
        <w:rPr>
          <w:b/>
          <w:bCs/>
          <w:color w:val="auto"/>
          <w:sz w:val="24"/>
          <w:szCs w:val="24"/>
          <w:highlight w:val="none"/>
        </w:rPr>
        <w:t xml:space="preserve">. </w:t>
      </w:r>
      <w:r>
        <w:rPr>
          <w:rFonts w:hint="eastAsia"/>
          <w:b/>
          <w:bCs/>
          <w:color w:val="auto"/>
          <w:sz w:val="24"/>
          <w:szCs w:val="24"/>
          <w:highlight w:val="none"/>
        </w:rPr>
        <w:t>磋商文件的构成</w:t>
      </w:r>
    </w:p>
    <w:p>
      <w:pPr>
        <w:pStyle w:val="2"/>
        <w:spacing w:line="400" w:lineRule="exact"/>
        <w:ind w:left="565" w:leftChars="257" w:firstLine="204" w:firstLineChars="100"/>
        <w:rPr>
          <w:color w:val="auto"/>
          <w:highlight w:val="none"/>
        </w:rPr>
      </w:pPr>
      <w:r>
        <w:rPr>
          <w:rFonts w:hint="eastAsia"/>
          <w:color w:val="auto"/>
          <w:spacing w:val="-3"/>
          <w:highlight w:val="none"/>
        </w:rPr>
        <w:t>（1）</w:t>
      </w:r>
      <w:r>
        <w:rPr>
          <w:color w:val="auto"/>
          <w:spacing w:val="-3"/>
          <w:highlight w:val="none"/>
        </w:rPr>
        <w:t xml:space="preserve">竞争性磋商公告； </w:t>
      </w:r>
    </w:p>
    <w:p>
      <w:pPr>
        <w:pStyle w:val="2"/>
        <w:spacing w:line="400" w:lineRule="exact"/>
        <w:ind w:left="565" w:leftChars="257" w:firstLine="204" w:firstLineChars="100"/>
        <w:rPr>
          <w:color w:val="auto"/>
          <w:highlight w:val="none"/>
        </w:rPr>
      </w:pPr>
      <w:r>
        <w:rPr>
          <w:rFonts w:hint="eastAsia"/>
          <w:color w:val="auto"/>
          <w:spacing w:val="-3"/>
          <w:highlight w:val="none"/>
        </w:rPr>
        <w:t>（2）</w:t>
      </w:r>
      <w:r>
        <w:rPr>
          <w:color w:val="auto"/>
          <w:spacing w:val="-3"/>
          <w:highlight w:val="none"/>
        </w:rPr>
        <w:t xml:space="preserve">供应商须知； </w:t>
      </w:r>
      <w:r>
        <w:rPr>
          <w:color w:val="auto"/>
          <w:highlight w:val="none"/>
        </w:rPr>
        <w:t xml:space="preserve"> </w:t>
      </w:r>
    </w:p>
    <w:p>
      <w:pPr>
        <w:pStyle w:val="2"/>
        <w:spacing w:line="400" w:lineRule="exact"/>
        <w:ind w:left="565" w:leftChars="257" w:firstLine="204" w:firstLineChars="100"/>
        <w:rPr>
          <w:color w:val="auto"/>
          <w:highlight w:val="none"/>
        </w:rPr>
      </w:pPr>
      <w:r>
        <w:rPr>
          <w:rFonts w:hint="eastAsia"/>
          <w:color w:val="auto"/>
          <w:spacing w:val="-3"/>
          <w:highlight w:val="none"/>
        </w:rPr>
        <w:t>（3）</w:t>
      </w:r>
      <w:r>
        <w:rPr>
          <w:color w:val="auto"/>
          <w:spacing w:val="-3"/>
          <w:highlight w:val="none"/>
        </w:rPr>
        <w:t>评审程序、评审方法和评审标准；</w:t>
      </w:r>
      <w:r>
        <w:rPr>
          <w:color w:val="auto"/>
          <w:highlight w:val="none"/>
        </w:rPr>
        <w:t xml:space="preserve"> </w:t>
      </w:r>
    </w:p>
    <w:p>
      <w:pPr>
        <w:pStyle w:val="2"/>
        <w:spacing w:line="400" w:lineRule="exact"/>
        <w:ind w:left="565" w:leftChars="257" w:firstLine="204" w:firstLineChars="100"/>
        <w:rPr>
          <w:color w:val="auto"/>
          <w:highlight w:val="none"/>
        </w:rPr>
      </w:pPr>
      <w:r>
        <w:rPr>
          <w:rFonts w:hint="eastAsia"/>
          <w:color w:val="auto"/>
          <w:spacing w:val="-3"/>
          <w:highlight w:val="none"/>
        </w:rPr>
        <w:t>（4）</w:t>
      </w:r>
      <w:r>
        <w:rPr>
          <w:color w:val="auto"/>
          <w:spacing w:val="-3"/>
          <w:highlight w:val="none"/>
        </w:rPr>
        <w:t>工程量清单</w:t>
      </w:r>
      <w:r>
        <w:rPr>
          <w:color w:val="auto"/>
          <w:highlight w:val="none"/>
        </w:rPr>
        <w:t xml:space="preserve"> </w:t>
      </w:r>
    </w:p>
    <w:p>
      <w:pPr>
        <w:pStyle w:val="2"/>
        <w:spacing w:line="400" w:lineRule="exact"/>
        <w:ind w:left="565" w:leftChars="257" w:firstLine="204" w:firstLineChars="100"/>
        <w:rPr>
          <w:color w:val="auto"/>
          <w:highlight w:val="none"/>
        </w:rPr>
      </w:pPr>
      <w:r>
        <w:rPr>
          <w:rFonts w:hint="eastAsia"/>
          <w:color w:val="auto"/>
          <w:spacing w:val="-3"/>
          <w:highlight w:val="none"/>
        </w:rPr>
        <w:t>（5）</w:t>
      </w:r>
      <w:r>
        <w:rPr>
          <w:color w:val="auto"/>
          <w:spacing w:val="-3"/>
          <w:highlight w:val="none"/>
        </w:rPr>
        <w:t>图纸；</w:t>
      </w:r>
      <w:r>
        <w:rPr>
          <w:color w:val="auto"/>
          <w:highlight w:val="none"/>
        </w:rPr>
        <w:t xml:space="preserve"> </w:t>
      </w:r>
    </w:p>
    <w:p>
      <w:pPr>
        <w:pStyle w:val="2"/>
        <w:spacing w:line="400" w:lineRule="exact"/>
        <w:ind w:left="565" w:leftChars="257" w:firstLine="204" w:firstLineChars="100"/>
        <w:rPr>
          <w:color w:val="auto"/>
          <w:highlight w:val="none"/>
        </w:rPr>
      </w:pPr>
      <w:r>
        <w:rPr>
          <w:rFonts w:hint="eastAsia"/>
          <w:color w:val="auto"/>
          <w:spacing w:val="-3"/>
          <w:highlight w:val="none"/>
        </w:rPr>
        <w:t>（6）</w:t>
      </w:r>
      <w:r>
        <w:rPr>
          <w:color w:val="auto"/>
          <w:spacing w:val="-3"/>
          <w:highlight w:val="none"/>
        </w:rPr>
        <w:t>技术标准和要求</w:t>
      </w:r>
      <w:r>
        <w:rPr>
          <w:color w:val="auto"/>
          <w:highlight w:val="none"/>
        </w:rPr>
        <w:t xml:space="preserve"> </w:t>
      </w:r>
    </w:p>
    <w:p>
      <w:pPr>
        <w:pStyle w:val="2"/>
        <w:spacing w:line="400" w:lineRule="exact"/>
        <w:ind w:left="565" w:leftChars="257" w:firstLine="204" w:firstLineChars="100"/>
        <w:rPr>
          <w:color w:val="auto"/>
          <w:highlight w:val="none"/>
        </w:rPr>
      </w:pPr>
      <w:r>
        <w:rPr>
          <w:rFonts w:hint="eastAsia"/>
          <w:color w:val="auto"/>
          <w:spacing w:val="-3"/>
          <w:highlight w:val="none"/>
        </w:rPr>
        <w:t>（7）</w:t>
      </w:r>
      <w:r>
        <w:rPr>
          <w:color w:val="auto"/>
          <w:spacing w:val="-3"/>
          <w:highlight w:val="none"/>
        </w:rPr>
        <w:t>响应文件格式；</w:t>
      </w:r>
      <w:r>
        <w:rPr>
          <w:color w:val="auto"/>
          <w:highlight w:val="none"/>
        </w:rPr>
        <w:t xml:space="preserve"> </w:t>
      </w:r>
    </w:p>
    <w:p>
      <w:pPr>
        <w:pStyle w:val="2"/>
        <w:spacing w:line="400" w:lineRule="exact"/>
        <w:ind w:left="565" w:leftChars="257" w:firstLine="204" w:firstLineChars="100"/>
        <w:rPr>
          <w:color w:val="auto"/>
          <w:highlight w:val="none"/>
        </w:rPr>
      </w:pPr>
      <w:r>
        <w:rPr>
          <w:rFonts w:hint="eastAsia"/>
          <w:color w:val="auto"/>
          <w:spacing w:val="-3"/>
          <w:highlight w:val="none"/>
        </w:rPr>
        <w:t>（8）</w:t>
      </w:r>
      <w:r>
        <w:rPr>
          <w:color w:val="auto"/>
          <w:spacing w:val="-3"/>
          <w:highlight w:val="none"/>
        </w:rPr>
        <w:t>合同文本。</w:t>
      </w:r>
      <w:r>
        <w:rPr>
          <w:color w:val="auto"/>
          <w:highlight w:val="none"/>
        </w:rPr>
        <w:t xml:space="preserve"> </w:t>
      </w:r>
    </w:p>
    <w:p>
      <w:pPr>
        <w:pStyle w:val="2"/>
        <w:spacing w:line="400" w:lineRule="exact"/>
        <w:ind w:left="565" w:leftChars="257"/>
        <w:rPr>
          <w:b/>
          <w:bCs/>
          <w:color w:val="auto"/>
          <w:sz w:val="24"/>
          <w:szCs w:val="24"/>
          <w:highlight w:val="none"/>
        </w:rPr>
      </w:pPr>
      <w:r>
        <w:rPr>
          <w:rFonts w:hint="eastAsia"/>
          <w:b/>
          <w:bCs/>
          <w:color w:val="auto"/>
          <w:sz w:val="24"/>
          <w:szCs w:val="24"/>
          <w:highlight w:val="none"/>
        </w:rPr>
        <w:t>9</w:t>
      </w:r>
      <w:r>
        <w:rPr>
          <w:b/>
          <w:bCs/>
          <w:color w:val="auto"/>
          <w:sz w:val="24"/>
          <w:szCs w:val="24"/>
          <w:highlight w:val="none"/>
        </w:rPr>
        <w:t xml:space="preserve">. </w:t>
      </w:r>
      <w:r>
        <w:rPr>
          <w:rFonts w:hint="eastAsia"/>
          <w:b/>
          <w:bCs/>
          <w:color w:val="auto"/>
          <w:sz w:val="24"/>
          <w:szCs w:val="24"/>
          <w:highlight w:val="none"/>
        </w:rPr>
        <w:t>供应商的询问</w:t>
      </w:r>
    </w:p>
    <w:p>
      <w:pPr>
        <w:pStyle w:val="2"/>
        <w:spacing w:line="400" w:lineRule="exact"/>
        <w:ind w:left="565" w:leftChars="257" w:firstLine="210" w:firstLineChars="100"/>
        <w:rPr>
          <w:color w:val="auto"/>
          <w:highlight w:val="none"/>
        </w:rPr>
      </w:pPr>
      <w:r>
        <w:rPr>
          <w:color w:val="auto"/>
          <w:highlight w:val="none"/>
        </w:rPr>
        <w:t>供应商应认真阅读磋商文件的采购需求，如供应商对磋商文件有疑问的，如要求采购人作出澄</w:t>
      </w:r>
      <w:r>
        <w:rPr>
          <w:color w:val="auto"/>
          <w:spacing w:val="-4"/>
          <w:highlight w:val="none"/>
        </w:rPr>
        <w:t>清或者修改的，供应商尽可能在提交首次响应文件截止之日前，以书面形式向采购人、采购代理机</w:t>
      </w:r>
      <w:r>
        <w:rPr>
          <w:color w:val="auto"/>
          <w:spacing w:val="-2"/>
          <w:highlight w:val="none"/>
        </w:rPr>
        <w:t>构提出。</w:t>
      </w:r>
      <w:r>
        <w:rPr>
          <w:color w:val="auto"/>
          <w:highlight w:val="none"/>
        </w:rPr>
        <w:t xml:space="preserve"> </w:t>
      </w:r>
    </w:p>
    <w:p>
      <w:pPr>
        <w:pStyle w:val="2"/>
        <w:spacing w:line="400" w:lineRule="exact"/>
        <w:ind w:left="565" w:leftChars="257"/>
        <w:rPr>
          <w:b/>
          <w:bCs/>
          <w:color w:val="auto"/>
          <w:sz w:val="24"/>
          <w:szCs w:val="24"/>
          <w:highlight w:val="none"/>
        </w:rPr>
      </w:pPr>
      <w:r>
        <w:rPr>
          <w:rFonts w:hint="eastAsia"/>
          <w:b/>
          <w:bCs/>
          <w:color w:val="auto"/>
          <w:sz w:val="24"/>
          <w:szCs w:val="24"/>
          <w:highlight w:val="none"/>
        </w:rPr>
        <w:t>1</w:t>
      </w:r>
      <w:r>
        <w:rPr>
          <w:b/>
          <w:bCs/>
          <w:color w:val="auto"/>
          <w:sz w:val="24"/>
          <w:szCs w:val="24"/>
          <w:highlight w:val="none"/>
        </w:rPr>
        <w:t xml:space="preserve">0. </w:t>
      </w:r>
      <w:r>
        <w:rPr>
          <w:rFonts w:hint="eastAsia"/>
          <w:b/>
          <w:bCs/>
          <w:color w:val="auto"/>
          <w:sz w:val="24"/>
          <w:szCs w:val="24"/>
          <w:highlight w:val="none"/>
        </w:rPr>
        <w:t>磋商文件的澄清和修改</w:t>
      </w:r>
    </w:p>
    <w:p>
      <w:pPr>
        <w:pStyle w:val="2"/>
        <w:spacing w:line="400" w:lineRule="exact"/>
        <w:ind w:left="565" w:leftChars="257" w:firstLine="204" w:firstLineChars="100"/>
        <w:rPr>
          <w:color w:val="auto"/>
          <w:highlight w:val="none"/>
        </w:rPr>
      </w:pPr>
      <w:r>
        <w:rPr>
          <w:color w:val="auto"/>
          <w:spacing w:val="-3"/>
          <w:highlight w:val="none"/>
        </w:rPr>
        <w:t>提交首次响应文件截止之日前，采购人、采购代理机构或者磋商小组可以对已发出的磋商文件进行必要的澄清或者修改，澄清或者修改的内容作为磋商文件的组成部分。澄清或者修改的内容可</w:t>
      </w:r>
      <w:r>
        <w:rPr>
          <w:color w:val="auto"/>
          <w:spacing w:val="-4"/>
          <w:highlight w:val="none"/>
        </w:rPr>
        <w:t xml:space="preserve">能影响响应文件编制的，采购人、采购代理机构或者磋商小组在提交首次响应文件截止之日 </w:t>
      </w:r>
      <w:r>
        <w:rPr>
          <w:color w:val="auto"/>
          <w:highlight w:val="none"/>
        </w:rPr>
        <w:t>3</w:t>
      </w:r>
      <w:r>
        <w:rPr>
          <w:color w:val="auto"/>
          <w:spacing w:val="-7"/>
          <w:highlight w:val="none"/>
        </w:rPr>
        <w:t xml:space="preserve"> 个工</w:t>
      </w:r>
      <w:r>
        <w:rPr>
          <w:color w:val="auto"/>
          <w:spacing w:val="-4"/>
          <w:highlight w:val="none"/>
        </w:rPr>
        <w:t xml:space="preserve">作日前，以书面形式通知所有获取磋商文件的供应商，不足 </w:t>
      </w:r>
      <w:r>
        <w:rPr>
          <w:color w:val="auto"/>
          <w:highlight w:val="none"/>
        </w:rPr>
        <w:t>3</w:t>
      </w:r>
      <w:r>
        <w:rPr>
          <w:color w:val="auto"/>
          <w:spacing w:val="-5"/>
          <w:highlight w:val="none"/>
        </w:rPr>
        <w:t xml:space="preserve"> 个工作日的，应当顺延提交首次响应</w:t>
      </w:r>
      <w:r>
        <w:rPr>
          <w:color w:val="auto"/>
          <w:spacing w:val="-4"/>
          <w:highlight w:val="none"/>
        </w:rPr>
        <w:t>文件截止之日。</w:t>
      </w:r>
      <w:r>
        <w:rPr>
          <w:color w:val="auto"/>
          <w:highlight w:val="none"/>
        </w:rPr>
        <w:t xml:space="preserve"> </w:t>
      </w:r>
    </w:p>
    <w:p>
      <w:pPr>
        <w:pStyle w:val="2"/>
        <w:spacing w:line="400" w:lineRule="exact"/>
        <w:ind w:left="565" w:leftChars="257"/>
        <w:rPr>
          <w:color w:val="auto"/>
          <w:highlight w:val="none"/>
        </w:rPr>
      </w:pPr>
    </w:p>
    <w:p>
      <w:pPr>
        <w:pStyle w:val="2"/>
        <w:spacing w:line="400" w:lineRule="exact"/>
        <w:ind w:left="565" w:leftChars="257"/>
        <w:jc w:val="center"/>
        <w:rPr>
          <w:b/>
          <w:bCs/>
          <w:color w:val="auto"/>
          <w:sz w:val="32"/>
          <w:szCs w:val="32"/>
          <w:highlight w:val="none"/>
        </w:rPr>
      </w:pPr>
      <w:r>
        <w:rPr>
          <w:b/>
          <w:bCs/>
          <w:color w:val="auto"/>
          <w:sz w:val="32"/>
          <w:szCs w:val="32"/>
          <w:highlight w:val="none"/>
        </w:rPr>
        <w:t xml:space="preserve">三、响应文件的编制 </w:t>
      </w:r>
    </w:p>
    <w:p>
      <w:pPr>
        <w:pStyle w:val="2"/>
        <w:spacing w:line="400" w:lineRule="exact"/>
        <w:ind w:left="565" w:leftChars="257"/>
        <w:rPr>
          <w:b/>
          <w:bCs/>
          <w:color w:val="auto"/>
          <w:sz w:val="24"/>
          <w:szCs w:val="24"/>
          <w:highlight w:val="none"/>
        </w:rPr>
      </w:pPr>
      <w:r>
        <w:rPr>
          <w:rFonts w:hint="eastAsia"/>
          <w:b/>
          <w:bCs/>
          <w:color w:val="auto"/>
          <w:sz w:val="24"/>
          <w:szCs w:val="24"/>
          <w:highlight w:val="none"/>
        </w:rPr>
        <w:t>1</w:t>
      </w:r>
      <w:r>
        <w:rPr>
          <w:b/>
          <w:bCs/>
          <w:color w:val="auto"/>
          <w:sz w:val="24"/>
          <w:szCs w:val="24"/>
          <w:highlight w:val="none"/>
        </w:rPr>
        <w:t xml:space="preserve">1. </w:t>
      </w:r>
      <w:r>
        <w:rPr>
          <w:rFonts w:hint="eastAsia"/>
          <w:b/>
          <w:bCs/>
          <w:color w:val="auto"/>
          <w:sz w:val="24"/>
          <w:szCs w:val="24"/>
          <w:highlight w:val="none"/>
        </w:rPr>
        <w:t>响应文件的编制原则</w:t>
      </w:r>
    </w:p>
    <w:p>
      <w:pPr>
        <w:pStyle w:val="2"/>
        <w:spacing w:line="400" w:lineRule="exact"/>
        <w:ind w:left="565" w:leftChars="257" w:firstLine="210" w:firstLineChars="100"/>
        <w:rPr>
          <w:color w:val="auto"/>
          <w:highlight w:val="none"/>
        </w:rPr>
      </w:pPr>
      <w:r>
        <w:rPr>
          <w:color w:val="auto"/>
          <w:highlight w:val="none"/>
        </w:rPr>
        <w:t xml:space="preserve">供应商必须按照磋商文件的要求编制响应文件，并对其提交的响应文件的真实性、合法性承担法律责任。响应文件必须对磋商文件作出实质性响应。 </w:t>
      </w:r>
    </w:p>
    <w:p>
      <w:pPr>
        <w:pStyle w:val="2"/>
        <w:spacing w:line="400" w:lineRule="exact"/>
        <w:ind w:left="565" w:leftChars="257"/>
        <w:rPr>
          <w:b/>
          <w:bCs/>
          <w:color w:val="auto"/>
          <w:sz w:val="24"/>
          <w:szCs w:val="24"/>
          <w:highlight w:val="none"/>
        </w:rPr>
      </w:pPr>
      <w:r>
        <w:rPr>
          <w:rFonts w:hint="eastAsia"/>
          <w:b/>
          <w:bCs/>
          <w:color w:val="auto"/>
          <w:sz w:val="24"/>
          <w:szCs w:val="24"/>
          <w:highlight w:val="none"/>
        </w:rPr>
        <w:t>1</w:t>
      </w:r>
      <w:r>
        <w:rPr>
          <w:b/>
          <w:bCs/>
          <w:color w:val="auto"/>
          <w:sz w:val="24"/>
          <w:szCs w:val="24"/>
          <w:highlight w:val="none"/>
        </w:rPr>
        <w:t xml:space="preserve">2. </w:t>
      </w:r>
      <w:r>
        <w:rPr>
          <w:rFonts w:hint="eastAsia"/>
          <w:b/>
          <w:bCs/>
          <w:color w:val="auto"/>
          <w:sz w:val="24"/>
          <w:szCs w:val="24"/>
          <w:highlight w:val="none"/>
        </w:rPr>
        <w:t>响应文件的组成</w:t>
      </w:r>
    </w:p>
    <w:p>
      <w:pPr>
        <w:pStyle w:val="2"/>
        <w:spacing w:line="400" w:lineRule="exact"/>
        <w:ind w:left="565" w:leftChars="257" w:firstLine="204" w:firstLineChars="100"/>
        <w:rPr>
          <w:color w:val="auto"/>
          <w:highlight w:val="none"/>
        </w:rPr>
      </w:pPr>
      <w:r>
        <w:rPr>
          <w:rFonts w:hint="eastAsia"/>
          <w:color w:val="auto"/>
          <w:spacing w:val="-3"/>
          <w:highlight w:val="none"/>
        </w:rPr>
        <w:t>1</w:t>
      </w:r>
      <w:r>
        <w:rPr>
          <w:color w:val="auto"/>
          <w:spacing w:val="-3"/>
          <w:highlight w:val="none"/>
        </w:rPr>
        <w:t>2.1 响应文件由资格证明文件、</w:t>
      </w:r>
      <w:r>
        <w:rPr>
          <w:rFonts w:hint="eastAsia"/>
          <w:color w:val="auto"/>
          <w:spacing w:val="-3"/>
          <w:highlight w:val="none"/>
          <w:lang w:eastAsia="zh-CN"/>
        </w:rPr>
        <w:t>报价</w:t>
      </w:r>
      <w:r>
        <w:rPr>
          <w:color w:val="auto"/>
          <w:spacing w:val="-3"/>
          <w:highlight w:val="none"/>
        </w:rPr>
        <w:t>文件、</w:t>
      </w:r>
      <w:r>
        <w:rPr>
          <w:rFonts w:hint="eastAsia"/>
          <w:color w:val="auto"/>
          <w:spacing w:val="-3"/>
          <w:highlight w:val="none"/>
          <w:lang w:eastAsia="zh-CN"/>
        </w:rPr>
        <w:t>商务</w:t>
      </w:r>
      <w:r>
        <w:rPr>
          <w:color w:val="auto"/>
          <w:spacing w:val="-3"/>
          <w:highlight w:val="none"/>
        </w:rPr>
        <w:t>技术文件和企业信誉实力文件（</w:t>
      </w:r>
      <w:r>
        <w:rPr>
          <w:color w:val="auto"/>
          <w:highlight w:val="none"/>
        </w:rPr>
        <w:t>如有）</w:t>
      </w:r>
      <w:r>
        <w:rPr>
          <w:color w:val="auto"/>
          <w:spacing w:val="-3"/>
          <w:highlight w:val="none"/>
        </w:rPr>
        <w:t>组成。</w:t>
      </w:r>
      <w:r>
        <w:rPr>
          <w:color w:val="auto"/>
          <w:highlight w:val="none"/>
        </w:rPr>
        <w:t xml:space="preserve"> </w:t>
      </w:r>
    </w:p>
    <w:p>
      <w:pPr>
        <w:pStyle w:val="2"/>
        <w:spacing w:line="400" w:lineRule="exact"/>
        <w:ind w:left="565" w:leftChars="257" w:firstLine="204" w:firstLineChars="100"/>
        <w:rPr>
          <w:color w:val="auto"/>
          <w:highlight w:val="none"/>
        </w:rPr>
      </w:pPr>
      <w:r>
        <w:rPr>
          <w:color w:val="auto"/>
          <w:spacing w:val="-3"/>
          <w:highlight w:val="none"/>
        </w:rPr>
        <w:t>12.1.1 资格证明文件：详见须知前附表</w:t>
      </w:r>
      <w:r>
        <w:rPr>
          <w:color w:val="auto"/>
          <w:highlight w:val="none"/>
        </w:rPr>
        <w:t xml:space="preserve"> </w:t>
      </w:r>
    </w:p>
    <w:p>
      <w:pPr>
        <w:pStyle w:val="2"/>
        <w:spacing w:line="400" w:lineRule="exact"/>
        <w:ind w:left="565" w:leftChars="257" w:firstLine="204" w:firstLineChars="100"/>
        <w:rPr>
          <w:color w:val="auto"/>
          <w:highlight w:val="none"/>
        </w:rPr>
      </w:pPr>
      <w:r>
        <w:rPr>
          <w:color w:val="auto"/>
          <w:spacing w:val="-3"/>
          <w:highlight w:val="none"/>
        </w:rPr>
        <w:t xml:space="preserve">12.1.2 </w:t>
      </w:r>
      <w:r>
        <w:rPr>
          <w:rFonts w:hint="eastAsia"/>
          <w:color w:val="auto"/>
          <w:spacing w:val="-3"/>
          <w:highlight w:val="none"/>
          <w:lang w:eastAsia="zh-CN"/>
        </w:rPr>
        <w:t>报价</w:t>
      </w:r>
      <w:r>
        <w:rPr>
          <w:color w:val="auto"/>
          <w:spacing w:val="-3"/>
          <w:highlight w:val="none"/>
        </w:rPr>
        <w:t>文件：详见须知前附表</w:t>
      </w:r>
      <w:r>
        <w:rPr>
          <w:color w:val="auto"/>
          <w:highlight w:val="none"/>
        </w:rPr>
        <w:t xml:space="preserve"> </w:t>
      </w:r>
    </w:p>
    <w:p>
      <w:pPr>
        <w:pStyle w:val="2"/>
        <w:spacing w:line="400" w:lineRule="exact"/>
        <w:ind w:left="565" w:leftChars="257" w:firstLine="204" w:firstLineChars="100"/>
        <w:rPr>
          <w:color w:val="auto"/>
          <w:highlight w:val="none"/>
        </w:rPr>
      </w:pPr>
      <w:r>
        <w:rPr>
          <w:rFonts w:hint="eastAsia"/>
          <w:color w:val="auto"/>
          <w:spacing w:val="-3"/>
          <w:highlight w:val="none"/>
        </w:rPr>
        <w:t>1</w:t>
      </w:r>
      <w:r>
        <w:rPr>
          <w:color w:val="auto"/>
          <w:spacing w:val="-3"/>
          <w:highlight w:val="none"/>
        </w:rPr>
        <w:t xml:space="preserve">2.1.3 </w:t>
      </w:r>
      <w:r>
        <w:rPr>
          <w:rFonts w:hint="eastAsia"/>
          <w:color w:val="auto"/>
          <w:spacing w:val="-3"/>
          <w:highlight w:val="none"/>
          <w:lang w:eastAsia="zh-CN"/>
        </w:rPr>
        <w:t>商务</w:t>
      </w:r>
      <w:r>
        <w:rPr>
          <w:color w:val="auto"/>
          <w:spacing w:val="-3"/>
          <w:highlight w:val="none"/>
        </w:rPr>
        <w:t>技术文件：详见须知前附表</w:t>
      </w:r>
      <w:r>
        <w:rPr>
          <w:color w:val="auto"/>
          <w:highlight w:val="none"/>
        </w:rPr>
        <w:t xml:space="preserve"> </w:t>
      </w:r>
    </w:p>
    <w:p>
      <w:pPr>
        <w:pStyle w:val="2"/>
        <w:spacing w:line="400" w:lineRule="exact"/>
        <w:ind w:left="565" w:leftChars="257" w:firstLine="204" w:firstLineChars="100"/>
        <w:rPr>
          <w:color w:val="auto"/>
          <w:highlight w:val="none"/>
        </w:rPr>
      </w:pPr>
      <w:r>
        <w:rPr>
          <w:color w:val="auto"/>
          <w:spacing w:val="-3"/>
          <w:highlight w:val="none"/>
        </w:rPr>
        <w:t>12.1.4 企业信誉实力文件</w:t>
      </w:r>
      <w:r>
        <w:rPr>
          <w:color w:val="auto"/>
          <w:highlight w:val="none"/>
        </w:rPr>
        <w:t>（</w:t>
      </w:r>
      <w:r>
        <w:rPr>
          <w:color w:val="auto"/>
          <w:spacing w:val="-2"/>
          <w:highlight w:val="none"/>
        </w:rPr>
        <w:t>如有</w:t>
      </w:r>
      <w:r>
        <w:rPr>
          <w:color w:val="auto"/>
          <w:highlight w:val="none"/>
        </w:rPr>
        <w:t>）</w:t>
      </w:r>
      <w:r>
        <w:rPr>
          <w:color w:val="auto"/>
          <w:spacing w:val="-3"/>
          <w:highlight w:val="none"/>
        </w:rPr>
        <w:t xml:space="preserve">：详见须知前附表 </w:t>
      </w:r>
    </w:p>
    <w:p>
      <w:pPr>
        <w:pStyle w:val="2"/>
        <w:spacing w:line="400" w:lineRule="exact"/>
        <w:ind w:left="565" w:leftChars="257" w:firstLine="204" w:firstLineChars="100"/>
        <w:rPr>
          <w:color w:val="auto"/>
          <w:highlight w:val="none"/>
        </w:rPr>
      </w:pPr>
      <w:r>
        <w:rPr>
          <w:color w:val="auto"/>
          <w:spacing w:val="-3"/>
          <w:highlight w:val="none"/>
        </w:rPr>
        <w:t xml:space="preserve">12.2 电子备份响应文件：详见须知前附表 </w:t>
      </w:r>
    </w:p>
    <w:p>
      <w:pPr>
        <w:pStyle w:val="2"/>
        <w:spacing w:line="400" w:lineRule="exact"/>
        <w:ind w:left="565" w:leftChars="257"/>
        <w:rPr>
          <w:b/>
          <w:bCs/>
          <w:color w:val="auto"/>
          <w:sz w:val="24"/>
          <w:szCs w:val="24"/>
          <w:highlight w:val="none"/>
        </w:rPr>
      </w:pPr>
      <w:r>
        <w:rPr>
          <w:b/>
          <w:bCs/>
          <w:color w:val="auto"/>
          <w:sz w:val="24"/>
          <w:szCs w:val="24"/>
          <w:highlight w:val="none"/>
        </w:rPr>
        <w:t xml:space="preserve">13. </w:t>
      </w:r>
      <w:r>
        <w:rPr>
          <w:rFonts w:hint="eastAsia"/>
          <w:b/>
          <w:bCs/>
          <w:color w:val="auto"/>
          <w:sz w:val="24"/>
          <w:szCs w:val="24"/>
          <w:highlight w:val="none"/>
        </w:rPr>
        <w:t>计量单位</w:t>
      </w:r>
    </w:p>
    <w:p>
      <w:pPr>
        <w:pStyle w:val="2"/>
        <w:spacing w:line="400" w:lineRule="exact"/>
        <w:ind w:left="565" w:leftChars="257" w:firstLine="210" w:firstLineChars="100"/>
        <w:rPr>
          <w:color w:val="auto"/>
          <w:highlight w:val="none"/>
        </w:rPr>
      </w:pPr>
      <w:r>
        <w:rPr>
          <w:color w:val="auto"/>
          <w:highlight w:val="none"/>
        </w:rPr>
        <w:t xml:space="preserve">磋商文件已有明确规定的，使用磋商文件规定的计量单位；磋商文件没有规定的，应采用中华人民共和国法定计量单位，货币种类为人民币，否则视同未响应。 </w:t>
      </w:r>
    </w:p>
    <w:p>
      <w:pPr>
        <w:pStyle w:val="2"/>
        <w:spacing w:line="400" w:lineRule="exact"/>
        <w:ind w:left="565" w:leftChars="257"/>
        <w:rPr>
          <w:b/>
          <w:bCs/>
          <w:color w:val="auto"/>
          <w:sz w:val="24"/>
          <w:szCs w:val="24"/>
          <w:highlight w:val="none"/>
        </w:rPr>
      </w:pPr>
      <w:r>
        <w:rPr>
          <w:rFonts w:hint="eastAsia"/>
          <w:b/>
          <w:bCs/>
          <w:color w:val="auto"/>
          <w:sz w:val="24"/>
          <w:szCs w:val="24"/>
          <w:highlight w:val="none"/>
        </w:rPr>
        <w:t>1</w:t>
      </w:r>
      <w:r>
        <w:rPr>
          <w:b/>
          <w:bCs/>
          <w:color w:val="auto"/>
          <w:sz w:val="24"/>
          <w:szCs w:val="24"/>
          <w:highlight w:val="none"/>
        </w:rPr>
        <w:t xml:space="preserve">4. </w:t>
      </w:r>
      <w:r>
        <w:rPr>
          <w:rFonts w:hint="eastAsia"/>
          <w:b/>
          <w:bCs/>
          <w:color w:val="auto"/>
          <w:sz w:val="24"/>
          <w:szCs w:val="24"/>
          <w:highlight w:val="none"/>
        </w:rPr>
        <w:t>竞标的风险</w:t>
      </w:r>
    </w:p>
    <w:p>
      <w:pPr>
        <w:pStyle w:val="2"/>
        <w:spacing w:line="400" w:lineRule="exact"/>
        <w:ind w:left="565" w:leftChars="257" w:firstLine="210" w:firstLineChars="100"/>
        <w:rPr>
          <w:color w:val="auto"/>
          <w:highlight w:val="none"/>
        </w:rPr>
      </w:pPr>
      <w:r>
        <w:rPr>
          <w:color w:val="auto"/>
          <w:highlight w:val="none"/>
        </w:rPr>
        <w:t xml:space="preserve">供应商没有按照磋商文件要求提供全部资料，或者供应商没有对磋商文件在各方面作出实质性响应可能导致其响应无效，是供应商应当考虑的风险。 </w:t>
      </w:r>
    </w:p>
    <w:p>
      <w:pPr>
        <w:pStyle w:val="2"/>
        <w:spacing w:line="400" w:lineRule="exact"/>
        <w:ind w:left="565" w:leftChars="257"/>
        <w:rPr>
          <w:b/>
          <w:bCs/>
          <w:color w:val="auto"/>
          <w:sz w:val="24"/>
          <w:szCs w:val="24"/>
          <w:highlight w:val="none"/>
        </w:rPr>
      </w:pPr>
      <w:r>
        <w:rPr>
          <w:rFonts w:hint="eastAsia"/>
          <w:b/>
          <w:bCs/>
          <w:color w:val="auto"/>
          <w:sz w:val="24"/>
          <w:szCs w:val="24"/>
          <w:highlight w:val="none"/>
        </w:rPr>
        <w:t>1</w:t>
      </w:r>
      <w:r>
        <w:rPr>
          <w:b/>
          <w:bCs/>
          <w:color w:val="auto"/>
          <w:sz w:val="24"/>
          <w:szCs w:val="24"/>
          <w:highlight w:val="none"/>
        </w:rPr>
        <w:t xml:space="preserve">5. </w:t>
      </w:r>
      <w:r>
        <w:rPr>
          <w:rFonts w:hint="eastAsia"/>
          <w:b/>
          <w:bCs/>
          <w:color w:val="auto"/>
          <w:sz w:val="24"/>
          <w:szCs w:val="24"/>
          <w:highlight w:val="none"/>
        </w:rPr>
        <w:t>竞标报价</w:t>
      </w:r>
    </w:p>
    <w:p>
      <w:pPr>
        <w:pStyle w:val="2"/>
        <w:spacing w:line="400" w:lineRule="exact"/>
        <w:ind w:left="565" w:leftChars="257" w:firstLine="204" w:firstLineChars="100"/>
        <w:rPr>
          <w:color w:val="auto"/>
          <w:highlight w:val="none"/>
        </w:rPr>
      </w:pPr>
      <w:r>
        <w:rPr>
          <w:rFonts w:hint="eastAsia"/>
          <w:color w:val="auto"/>
          <w:spacing w:val="-3"/>
          <w:highlight w:val="none"/>
        </w:rPr>
        <w:t>1</w:t>
      </w:r>
      <w:r>
        <w:rPr>
          <w:color w:val="auto"/>
          <w:spacing w:val="-3"/>
          <w:highlight w:val="none"/>
        </w:rPr>
        <w:t>5.1 竞标报价应按磋商文件中第七章“响应文件格式”填写。</w:t>
      </w:r>
      <w:r>
        <w:rPr>
          <w:color w:val="auto"/>
          <w:highlight w:val="none"/>
        </w:rPr>
        <w:t xml:space="preserve"> </w:t>
      </w:r>
    </w:p>
    <w:p>
      <w:pPr>
        <w:pStyle w:val="2"/>
        <w:spacing w:line="400" w:lineRule="exact"/>
        <w:ind w:left="565" w:leftChars="257" w:firstLine="204" w:firstLineChars="100"/>
        <w:rPr>
          <w:color w:val="auto"/>
          <w:highlight w:val="none"/>
        </w:rPr>
      </w:pPr>
      <w:r>
        <w:rPr>
          <w:color w:val="auto"/>
          <w:spacing w:val="-3"/>
          <w:highlight w:val="none"/>
        </w:rPr>
        <w:t>15.2 竞标报价的内容及要求见“供应商须知前附表”。</w:t>
      </w:r>
      <w:r>
        <w:rPr>
          <w:color w:val="auto"/>
          <w:highlight w:val="none"/>
        </w:rPr>
        <w:t xml:space="preserve"> </w:t>
      </w:r>
    </w:p>
    <w:p>
      <w:pPr>
        <w:pStyle w:val="2"/>
        <w:spacing w:line="400" w:lineRule="exact"/>
        <w:ind w:left="565" w:leftChars="257" w:firstLine="204" w:firstLineChars="100"/>
        <w:rPr>
          <w:color w:val="auto"/>
          <w:highlight w:val="none"/>
        </w:rPr>
      </w:pPr>
      <w:r>
        <w:rPr>
          <w:color w:val="auto"/>
          <w:spacing w:val="-3"/>
          <w:highlight w:val="none"/>
        </w:rPr>
        <w:t xml:space="preserve">15.3 竞标报价要求 </w:t>
      </w:r>
    </w:p>
    <w:p>
      <w:pPr>
        <w:pStyle w:val="2"/>
        <w:spacing w:line="400" w:lineRule="exact"/>
        <w:ind w:left="565" w:leftChars="257" w:firstLine="204" w:firstLineChars="100"/>
        <w:rPr>
          <w:color w:val="auto"/>
          <w:spacing w:val="-3"/>
          <w:highlight w:val="none"/>
        </w:rPr>
      </w:pPr>
      <w:r>
        <w:rPr>
          <w:rFonts w:hint="eastAsia"/>
          <w:color w:val="auto"/>
          <w:spacing w:val="-3"/>
          <w:highlight w:val="none"/>
        </w:rPr>
        <w:t>1</w:t>
      </w:r>
      <w:r>
        <w:rPr>
          <w:color w:val="auto"/>
          <w:spacing w:val="-3"/>
          <w:highlight w:val="none"/>
        </w:rPr>
        <w:t xml:space="preserve">5.3.1 供应商的竞标报价应符合以下要求，否则响应文件按无效响应处理： </w:t>
      </w:r>
    </w:p>
    <w:p>
      <w:pPr>
        <w:pStyle w:val="2"/>
        <w:spacing w:line="400" w:lineRule="exact"/>
        <w:ind w:left="565" w:leftChars="257" w:firstLine="204" w:firstLineChars="100"/>
        <w:rPr>
          <w:color w:val="auto"/>
          <w:highlight w:val="none"/>
        </w:rPr>
      </w:pPr>
      <w:r>
        <w:rPr>
          <w:rFonts w:hint="eastAsia"/>
          <w:color w:val="auto"/>
          <w:spacing w:val="-3"/>
          <w:highlight w:val="none"/>
        </w:rPr>
        <w:t>（1）</w:t>
      </w:r>
      <w:r>
        <w:rPr>
          <w:color w:val="auto"/>
          <w:spacing w:val="-3"/>
          <w:highlight w:val="none"/>
        </w:rPr>
        <w:t xml:space="preserve">供应商必须就“采购需求”中所竞标的全部内容分别作完整报价，不得存在漏项报价； </w:t>
      </w:r>
    </w:p>
    <w:p>
      <w:pPr>
        <w:pStyle w:val="2"/>
        <w:spacing w:line="400" w:lineRule="exact"/>
        <w:ind w:left="565" w:leftChars="257" w:firstLine="204" w:firstLineChars="100"/>
        <w:rPr>
          <w:color w:val="auto"/>
          <w:highlight w:val="none"/>
        </w:rPr>
      </w:pPr>
      <w:r>
        <w:rPr>
          <w:rFonts w:hint="eastAsia"/>
          <w:color w:val="auto"/>
          <w:spacing w:val="-3"/>
          <w:highlight w:val="none"/>
        </w:rPr>
        <w:t>（2）</w:t>
      </w:r>
      <w:r>
        <w:rPr>
          <w:color w:val="auto"/>
          <w:spacing w:val="-3"/>
          <w:highlight w:val="none"/>
        </w:rPr>
        <w:t>供应商必须就所竞标的单项内容作报价。</w:t>
      </w:r>
      <w:r>
        <w:rPr>
          <w:color w:val="auto"/>
          <w:highlight w:val="none"/>
        </w:rPr>
        <w:t xml:space="preserve"> </w:t>
      </w:r>
    </w:p>
    <w:p>
      <w:pPr>
        <w:pStyle w:val="2"/>
        <w:spacing w:line="400" w:lineRule="exact"/>
        <w:ind w:left="565" w:leftChars="257" w:firstLine="182" w:firstLineChars="100"/>
        <w:rPr>
          <w:color w:val="auto"/>
          <w:highlight w:val="none"/>
        </w:rPr>
      </w:pPr>
      <w:r>
        <w:rPr>
          <w:rFonts w:hint="eastAsia"/>
          <w:color w:val="auto"/>
          <w:spacing w:val="-14"/>
          <w:highlight w:val="none"/>
        </w:rPr>
        <w:t>1</w:t>
      </w:r>
      <w:r>
        <w:rPr>
          <w:color w:val="auto"/>
          <w:spacing w:val="-14"/>
          <w:highlight w:val="none"/>
        </w:rPr>
        <w:t>5.3.2 竞标报价</w:t>
      </w:r>
      <w:r>
        <w:rPr>
          <w:color w:val="auto"/>
          <w:highlight w:val="none"/>
        </w:rPr>
        <w:t>（</w:t>
      </w:r>
      <w:r>
        <w:rPr>
          <w:color w:val="auto"/>
          <w:spacing w:val="-8"/>
          <w:highlight w:val="none"/>
        </w:rPr>
        <w:t>包含首次报价、最后报价</w:t>
      </w:r>
      <w:r>
        <w:rPr>
          <w:color w:val="auto"/>
          <w:spacing w:val="-44"/>
          <w:highlight w:val="none"/>
        </w:rPr>
        <w:t>）</w:t>
      </w:r>
      <w:r>
        <w:rPr>
          <w:color w:val="auto"/>
          <w:spacing w:val="-3"/>
          <w:highlight w:val="none"/>
        </w:rPr>
        <w:t xml:space="preserve">超过所竞标规定的采购预算金额或者最高限价的， 其响应文件将按无效处理。 </w:t>
      </w:r>
    </w:p>
    <w:p>
      <w:pPr>
        <w:pStyle w:val="2"/>
        <w:spacing w:line="400" w:lineRule="exact"/>
        <w:ind w:left="565" w:leftChars="257" w:firstLine="202" w:firstLineChars="100"/>
        <w:rPr>
          <w:color w:val="auto"/>
          <w:highlight w:val="none"/>
        </w:rPr>
      </w:pPr>
      <w:r>
        <w:rPr>
          <w:color w:val="auto"/>
          <w:spacing w:val="-4"/>
          <w:highlight w:val="none"/>
        </w:rPr>
        <w:t>15.3.3竞标报价</w:t>
      </w:r>
      <w:r>
        <w:rPr>
          <w:color w:val="auto"/>
          <w:spacing w:val="-3"/>
          <w:highlight w:val="none"/>
        </w:rPr>
        <w:t>（</w:t>
      </w:r>
      <w:r>
        <w:rPr>
          <w:color w:val="auto"/>
          <w:spacing w:val="-4"/>
          <w:highlight w:val="none"/>
        </w:rPr>
        <w:t>包含首次报价、最后报价</w:t>
      </w:r>
      <w:r>
        <w:rPr>
          <w:color w:val="auto"/>
          <w:spacing w:val="-8"/>
          <w:highlight w:val="none"/>
        </w:rPr>
        <w:t>）</w:t>
      </w:r>
      <w:r>
        <w:rPr>
          <w:color w:val="auto"/>
          <w:spacing w:val="-4"/>
          <w:highlight w:val="none"/>
        </w:rPr>
        <w:t>超过分项采购预算金额或者最高限价的，其响应</w:t>
      </w:r>
      <w:r>
        <w:rPr>
          <w:color w:val="auto"/>
          <w:spacing w:val="-3"/>
          <w:highlight w:val="none"/>
        </w:rPr>
        <w:t>文件将按无效处理。</w:t>
      </w:r>
      <w:r>
        <w:rPr>
          <w:color w:val="auto"/>
          <w:highlight w:val="none"/>
        </w:rPr>
        <w:t xml:space="preserve"> </w:t>
      </w:r>
    </w:p>
    <w:p>
      <w:pPr>
        <w:pStyle w:val="2"/>
        <w:spacing w:line="400" w:lineRule="exact"/>
        <w:ind w:left="565" w:leftChars="257"/>
        <w:rPr>
          <w:b/>
          <w:bCs/>
          <w:color w:val="auto"/>
          <w:sz w:val="24"/>
          <w:szCs w:val="24"/>
          <w:highlight w:val="none"/>
        </w:rPr>
      </w:pPr>
      <w:r>
        <w:rPr>
          <w:rFonts w:hint="eastAsia"/>
          <w:b/>
          <w:bCs/>
          <w:color w:val="auto"/>
          <w:sz w:val="24"/>
          <w:szCs w:val="24"/>
          <w:highlight w:val="none"/>
        </w:rPr>
        <w:t>1</w:t>
      </w:r>
      <w:r>
        <w:rPr>
          <w:b/>
          <w:bCs/>
          <w:color w:val="auto"/>
          <w:sz w:val="24"/>
          <w:szCs w:val="24"/>
          <w:highlight w:val="none"/>
        </w:rPr>
        <w:t xml:space="preserve">6. </w:t>
      </w:r>
      <w:r>
        <w:rPr>
          <w:rFonts w:hint="eastAsia"/>
          <w:b/>
          <w:bCs/>
          <w:color w:val="auto"/>
          <w:sz w:val="24"/>
          <w:szCs w:val="24"/>
          <w:highlight w:val="none"/>
        </w:rPr>
        <w:t>竞标有效期</w:t>
      </w:r>
    </w:p>
    <w:p>
      <w:pPr>
        <w:pStyle w:val="2"/>
        <w:spacing w:line="400" w:lineRule="exact"/>
        <w:ind w:left="565" w:leftChars="257" w:firstLine="196" w:firstLineChars="100"/>
        <w:rPr>
          <w:color w:val="auto"/>
          <w:highlight w:val="none"/>
        </w:rPr>
      </w:pPr>
      <w:r>
        <w:rPr>
          <w:rFonts w:hint="eastAsia"/>
          <w:color w:val="auto"/>
          <w:spacing w:val="-7"/>
          <w:highlight w:val="none"/>
        </w:rPr>
        <w:t>1</w:t>
      </w:r>
      <w:r>
        <w:rPr>
          <w:color w:val="auto"/>
          <w:spacing w:val="-7"/>
          <w:highlight w:val="none"/>
        </w:rPr>
        <w:t>6.1 竞标有效期是指为保证采购人有足够的时间在提交响应文件后完成评审、确定成交供应商、</w:t>
      </w:r>
      <w:r>
        <w:rPr>
          <w:color w:val="auto"/>
          <w:spacing w:val="-5"/>
          <w:highlight w:val="none"/>
        </w:rPr>
        <w:t xml:space="preserve">合同签订等工作而要求供应商提交的响应文件在一定时间内保持有效的期限。 </w:t>
      </w:r>
    </w:p>
    <w:p>
      <w:pPr>
        <w:pStyle w:val="2"/>
        <w:spacing w:line="400" w:lineRule="exact"/>
        <w:ind w:left="565" w:leftChars="257" w:firstLine="204" w:firstLineChars="100"/>
        <w:rPr>
          <w:color w:val="auto"/>
          <w:sz w:val="19"/>
          <w:highlight w:val="none"/>
        </w:rPr>
      </w:pPr>
      <w:r>
        <w:rPr>
          <w:rFonts w:hint="eastAsia"/>
          <w:color w:val="auto"/>
          <w:spacing w:val="-3"/>
          <w:highlight w:val="none"/>
        </w:rPr>
        <w:t>1</w:t>
      </w:r>
      <w:r>
        <w:rPr>
          <w:color w:val="auto"/>
          <w:spacing w:val="-3"/>
          <w:highlight w:val="none"/>
        </w:rPr>
        <w:t xml:space="preserve">6.2 竞标有效期应由供应商按“供应商须知前附表”规定的期限作出响应。 </w:t>
      </w:r>
    </w:p>
    <w:p>
      <w:pPr>
        <w:pStyle w:val="2"/>
        <w:spacing w:line="400" w:lineRule="exact"/>
        <w:ind w:left="565" w:leftChars="257" w:firstLine="204" w:firstLineChars="100"/>
        <w:rPr>
          <w:color w:val="auto"/>
          <w:highlight w:val="none"/>
        </w:rPr>
      </w:pPr>
      <w:r>
        <w:rPr>
          <w:color w:val="auto"/>
          <w:spacing w:val="-3"/>
          <w:highlight w:val="none"/>
        </w:rPr>
        <w:t xml:space="preserve">16.3 供应商的响应文件在竞标有效期内均保持有效。 </w:t>
      </w:r>
    </w:p>
    <w:p>
      <w:pPr>
        <w:pStyle w:val="2"/>
        <w:spacing w:line="400" w:lineRule="exact"/>
        <w:ind w:left="565" w:leftChars="257"/>
        <w:rPr>
          <w:b/>
          <w:bCs/>
          <w:color w:val="auto"/>
          <w:sz w:val="24"/>
          <w:szCs w:val="24"/>
          <w:highlight w:val="none"/>
        </w:rPr>
      </w:pPr>
      <w:r>
        <w:rPr>
          <w:b/>
          <w:bCs/>
          <w:color w:val="auto"/>
          <w:sz w:val="24"/>
          <w:szCs w:val="24"/>
          <w:highlight w:val="none"/>
        </w:rPr>
        <w:t xml:space="preserve">17. </w:t>
      </w:r>
      <w:r>
        <w:rPr>
          <w:rFonts w:hint="eastAsia"/>
          <w:b/>
          <w:bCs/>
          <w:color w:val="auto"/>
          <w:sz w:val="24"/>
          <w:szCs w:val="24"/>
          <w:highlight w:val="none"/>
        </w:rPr>
        <w:t>磋商保证金</w:t>
      </w:r>
    </w:p>
    <w:p>
      <w:pPr>
        <w:pStyle w:val="2"/>
        <w:spacing w:line="400" w:lineRule="exact"/>
        <w:ind w:left="565" w:leftChars="257" w:firstLine="204" w:firstLineChars="100"/>
        <w:rPr>
          <w:color w:val="auto"/>
          <w:highlight w:val="none"/>
        </w:rPr>
      </w:pPr>
      <w:r>
        <w:rPr>
          <w:rFonts w:hint="eastAsia"/>
          <w:color w:val="auto"/>
          <w:spacing w:val="-3"/>
          <w:highlight w:val="none"/>
        </w:rPr>
        <w:t>1</w:t>
      </w:r>
      <w:r>
        <w:rPr>
          <w:color w:val="auto"/>
          <w:spacing w:val="-3"/>
          <w:highlight w:val="none"/>
        </w:rPr>
        <w:t>7.1 供应商须按“供应商须知前附表”的规定提交磋商保证金。</w:t>
      </w:r>
      <w:r>
        <w:rPr>
          <w:color w:val="auto"/>
          <w:highlight w:val="none"/>
        </w:rPr>
        <w:t xml:space="preserve"> </w:t>
      </w:r>
    </w:p>
    <w:p>
      <w:pPr>
        <w:pStyle w:val="2"/>
        <w:spacing w:line="400" w:lineRule="exact"/>
        <w:ind w:left="565" w:leftChars="257"/>
        <w:rPr>
          <w:b/>
          <w:bCs/>
          <w:color w:val="auto"/>
          <w:sz w:val="24"/>
          <w:szCs w:val="24"/>
          <w:highlight w:val="none"/>
        </w:rPr>
      </w:pPr>
      <w:r>
        <w:rPr>
          <w:rFonts w:hint="eastAsia"/>
          <w:b/>
          <w:bCs/>
          <w:color w:val="auto"/>
          <w:sz w:val="24"/>
          <w:szCs w:val="24"/>
          <w:highlight w:val="none"/>
        </w:rPr>
        <w:t>1</w:t>
      </w:r>
      <w:r>
        <w:rPr>
          <w:b/>
          <w:bCs/>
          <w:color w:val="auto"/>
          <w:sz w:val="24"/>
          <w:szCs w:val="24"/>
          <w:highlight w:val="none"/>
        </w:rPr>
        <w:t xml:space="preserve">8. </w:t>
      </w:r>
      <w:r>
        <w:rPr>
          <w:rFonts w:hint="eastAsia"/>
          <w:b/>
          <w:bCs/>
          <w:color w:val="auto"/>
          <w:sz w:val="24"/>
          <w:szCs w:val="24"/>
          <w:highlight w:val="none"/>
        </w:rPr>
        <w:t>响应文件编制的要求</w:t>
      </w:r>
    </w:p>
    <w:p>
      <w:pPr>
        <w:pStyle w:val="2"/>
        <w:spacing w:line="400" w:lineRule="exact"/>
        <w:ind w:left="565" w:leftChars="257" w:firstLine="202" w:firstLineChars="100"/>
        <w:rPr>
          <w:color w:val="auto"/>
          <w:highlight w:val="none"/>
        </w:rPr>
      </w:pPr>
      <w:r>
        <w:rPr>
          <w:rFonts w:hint="eastAsia"/>
          <w:color w:val="auto"/>
          <w:spacing w:val="-4"/>
          <w:highlight w:val="none"/>
        </w:rPr>
        <w:t>1</w:t>
      </w:r>
      <w:r>
        <w:rPr>
          <w:color w:val="auto"/>
          <w:spacing w:val="-4"/>
          <w:highlight w:val="none"/>
        </w:rPr>
        <w:t>8.1 供应商应先安装“政采云电子交易客户端”</w:t>
      </w:r>
      <w:r>
        <w:rPr>
          <w:color w:val="auto"/>
          <w:spacing w:val="-6"/>
          <w:highlight w:val="none"/>
        </w:rPr>
        <w:t>（</w:t>
      </w:r>
      <w:r>
        <w:rPr>
          <w:color w:val="auto"/>
          <w:spacing w:val="-4"/>
          <w:highlight w:val="none"/>
        </w:rPr>
        <w:t>请自行前往“政采云”平台进行下载）</w:t>
      </w:r>
      <w:r>
        <w:rPr>
          <w:color w:val="auto"/>
          <w:spacing w:val="-2"/>
          <w:highlight w:val="none"/>
        </w:rPr>
        <w:t>，并</w:t>
      </w:r>
      <w:r>
        <w:rPr>
          <w:color w:val="auto"/>
          <w:spacing w:val="-7"/>
          <w:highlight w:val="none"/>
        </w:rPr>
        <w:t>按照本项目磋商文件规定的格式和顺序和“政采云”平台的要求编制并加密。响应文件内容不完整、</w:t>
      </w:r>
      <w:r>
        <w:rPr>
          <w:color w:val="auto"/>
          <w:spacing w:val="-5"/>
          <w:highlight w:val="none"/>
        </w:rPr>
        <w:t xml:space="preserve">编排混乱导致响应文件被误读、漏读或者查找不到相关内容的，由此引发的后果由供应商承担。 </w:t>
      </w:r>
    </w:p>
    <w:p>
      <w:pPr>
        <w:pStyle w:val="2"/>
        <w:spacing w:line="400" w:lineRule="exact"/>
        <w:ind w:left="565" w:leftChars="257" w:firstLine="198" w:firstLineChars="100"/>
        <w:rPr>
          <w:color w:val="auto"/>
          <w:highlight w:val="none"/>
        </w:rPr>
      </w:pPr>
      <w:r>
        <w:rPr>
          <w:rFonts w:hint="eastAsia"/>
          <w:color w:val="auto"/>
          <w:spacing w:val="-6"/>
          <w:highlight w:val="none"/>
        </w:rPr>
        <w:t>1</w:t>
      </w:r>
      <w:r>
        <w:rPr>
          <w:color w:val="auto"/>
          <w:spacing w:val="-6"/>
          <w:highlight w:val="none"/>
        </w:rPr>
        <w:t>8.2 为确保网上操作合法、有效和安全，供应商应当在提交响应文件截止时间前完成在“政采</w:t>
      </w:r>
      <w:r>
        <w:rPr>
          <w:color w:val="auto"/>
          <w:spacing w:val="-4"/>
          <w:highlight w:val="none"/>
        </w:rPr>
        <w:t>云”平台的身份认证，确保在电子竞标过程中能够对相关数据电文进行加密和使用电子签章。</w:t>
      </w:r>
      <w:r>
        <w:rPr>
          <w:color w:val="auto"/>
          <w:highlight w:val="none"/>
        </w:rPr>
        <w:t xml:space="preserve"> </w:t>
      </w:r>
    </w:p>
    <w:p>
      <w:pPr>
        <w:pStyle w:val="2"/>
        <w:spacing w:line="400" w:lineRule="exact"/>
        <w:ind w:left="565" w:leftChars="257" w:firstLine="200" w:firstLineChars="100"/>
        <w:rPr>
          <w:color w:val="auto"/>
          <w:highlight w:val="none"/>
        </w:rPr>
      </w:pPr>
      <w:r>
        <w:rPr>
          <w:rFonts w:hint="eastAsia"/>
          <w:color w:val="auto"/>
          <w:spacing w:val="-5"/>
          <w:highlight w:val="none"/>
        </w:rPr>
        <w:t>1</w:t>
      </w:r>
      <w:r>
        <w:rPr>
          <w:color w:val="auto"/>
          <w:spacing w:val="-5"/>
          <w:highlight w:val="none"/>
        </w:rPr>
        <w:t>8.3 响应文件须由供应商在规定位置签字、盖章</w:t>
      </w:r>
      <w:r>
        <w:rPr>
          <w:color w:val="auto"/>
          <w:spacing w:val="-3"/>
          <w:highlight w:val="none"/>
        </w:rPr>
        <w:t>（具体以供应商须知前附表或响应文件格式规定为准</w:t>
      </w:r>
      <w:r>
        <w:rPr>
          <w:color w:val="auto"/>
          <w:highlight w:val="none"/>
        </w:rPr>
        <w:t>）</w:t>
      </w:r>
      <w:r>
        <w:rPr>
          <w:color w:val="auto"/>
          <w:spacing w:val="-3"/>
          <w:highlight w:val="none"/>
        </w:rPr>
        <w:t>，否则按无效响应处理。</w:t>
      </w:r>
      <w:r>
        <w:rPr>
          <w:color w:val="auto"/>
          <w:highlight w:val="none"/>
        </w:rPr>
        <w:t xml:space="preserve"> </w:t>
      </w:r>
    </w:p>
    <w:p>
      <w:pPr>
        <w:pStyle w:val="2"/>
        <w:spacing w:line="400" w:lineRule="exact"/>
        <w:ind w:left="565" w:leftChars="257" w:firstLine="202" w:firstLineChars="100"/>
        <w:rPr>
          <w:color w:val="auto"/>
          <w:highlight w:val="none"/>
        </w:rPr>
      </w:pPr>
      <w:r>
        <w:rPr>
          <w:color w:val="auto"/>
          <w:spacing w:val="-4"/>
          <w:highlight w:val="none"/>
        </w:rPr>
        <w:t>18.4 响应文件中标注的供应商名称应与主体资格证明</w:t>
      </w:r>
      <w:r>
        <w:rPr>
          <w:color w:val="auto"/>
          <w:highlight w:val="none"/>
        </w:rPr>
        <w:t>（</w:t>
      </w:r>
      <w:r>
        <w:rPr>
          <w:color w:val="auto"/>
          <w:spacing w:val="-3"/>
          <w:highlight w:val="none"/>
        </w:rPr>
        <w:t>如营业执照或者事业单位法人证书或者执业许可证或者登记证书等</w:t>
      </w:r>
      <w:r>
        <w:rPr>
          <w:color w:val="auto"/>
          <w:highlight w:val="none"/>
        </w:rPr>
        <w:t>）</w:t>
      </w:r>
      <w:r>
        <w:rPr>
          <w:color w:val="auto"/>
          <w:spacing w:val="-3"/>
          <w:highlight w:val="none"/>
        </w:rPr>
        <w:t>及公章一致，供应商为自然人的，标注的供应商名称应与身份证姓名及签名一致，否则其响应文件按无效响应处理。</w:t>
      </w:r>
      <w:r>
        <w:rPr>
          <w:color w:val="auto"/>
          <w:highlight w:val="none"/>
        </w:rPr>
        <w:t xml:space="preserve"> </w:t>
      </w:r>
    </w:p>
    <w:p>
      <w:pPr>
        <w:pStyle w:val="2"/>
        <w:spacing w:line="400" w:lineRule="exact"/>
        <w:ind w:left="565" w:leftChars="257" w:firstLine="198" w:firstLineChars="100"/>
        <w:rPr>
          <w:color w:val="auto"/>
          <w:highlight w:val="none"/>
        </w:rPr>
      </w:pPr>
      <w:r>
        <w:rPr>
          <w:rFonts w:hint="eastAsia"/>
          <w:color w:val="auto"/>
          <w:spacing w:val="-6"/>
          <w:highlight w:val="none"/>
        </w:rPr>
        <w:t>1</w:t>
      </w:r>
      <w:r>
        <w:rPr>
          <w:color w:val="auto"/>
          <w:spacing w:val="-6"/>
          <w:highlight w:val="none"/>
        </w:rPr>
        <w:t>8.5 响应文件应尽量避免涂改、行间插字或者删除。如果出现上述情况，改动之处应由供应商的法定代表人或者其委托代理人签字</w:t>
      </w:r>
      <w:r>
        <w:rPr>
          <w:color w:val="auto"/>
          <w:highlight w:val="none"/>
        </w:rPr>
        <w:t>（</w:t>
      </w:r>
      <w:r>
        <w:rPr>
          <w:color w:val="auto"/>
          <w:spacing w:val="-2"/>
          <w:highlight w:val="none"/>
        </w:rPr>
        <w:t>或者电子签名</w:t>
      </w:r>
      <w:r>
        <w:rPr>
          <w:color w:val="auto"/>
          <w:highlight w:val="none"/>
        </w:rPr>
        <w:t>）</w:t>
      </w:r>
      <w:r>
        <w:rPr>
          <w:color w:val="auto"/>
          <w:spacing w:val="-4"/>
          <w:highlight w:val="none"/>
        </w:rPr>
        <w:t>或者加盖公章或者加盖电子签章。响应文件</w:t>
      </w:r>
      <w:r>
        <w:rPr>
          <w:color w:val="auto"/>
          <w:spacing w:val="-3"/>
          <w:highlight w:val="none"/>
        </w:rPr>
        <w:t>因涂改、行间插字或者删除导致字迹潦草或者表达不清所引起的后果由供应商承担。</w:t>
      </w:r>
      <w:r>
        <w:rPr>
          <w:color w:val="auto"/>
          <w:highlight w:val="none"/>
        </w:rPr>
        <w:t xml:space="preserve"> </w:t>
      </w:r>
    </w:p>
    <w:p>
      <w:pPr>
        <w:pStyle w:val="2"/>
        <w:spacing w:line="400" w:lineRule="exact"/>
        <w:ind w:left="565" w:leftChars="257"/>
        <w:rPr>
          <w:b/>
          <w:bCs/>
          <w:color w:val="auto"/>
          <w:sz w:val="24"/>
          <w:szCs w:val="24"/>
          <w:highlight w:val="none"/>
        </w:rPr>
      </w:pPr>
      <w:r>
        <w:rPr>
          <w:rFonts w:hint="eastAsia"/>
          <w:b/>
          <w:bCs/>
          <w:color w:val="auto"/>
          <w:sz w:val="24"/>
          <w:szCs w:val="24"/>
          <w:highlight w:val="none"/>
        </w:rPr>
        <w:t>1</w:t>
      </w:r>
      <w:r>
        <w:rPr>
          <w:b/>
          <w:bCs/>
          <w:color w:val="auto"/>
          <w:sz w:val="24"/>
          <w:szCs w:val="24"/>
          <w:highlight w:val="none"/>
        </w:rPr>
        <w:t xml:space="preserve">9. </w:t>
      </w:r>
      <w:r>
        <w:rPr>
          <w:rFonts w:hint="eastAsia"/>
          <w:b/>
          <w:bCs/>
          <w:color w:val="auto"/>
          <w:sz w:val="24"/>
          <w:szCs w:val="24"/>
          <w:highlight w:val="none"/>
        </w:rPr>
        <w:t>电子备份响应文件</w:t>
      </w:r>
    </w:p>
    <w:p>
      <w:pPr>
        <w:pStyle w:val="2"/>
        <w:spacing w:line="400" w:lineRule="exact"/>
        <w:ind w:left="565" w:leftChars="257" w:firstLine="210" w:firstLineChars="100"/>
        <w:rPr>
          <w:color w:val="auto"/>
          <w:highlight w:val="none"/>
        </w:rPr>
      </w:pPr>
      <w:r>
        <w:rPr>
          <w:color w:val="auto"/>
          <w:highlight w:val="none"/>
        </w:rPr>
        <w:t xml:space="preserve">电子备份响应文件是指通过“政采云电子投标客户端”在线编制生成且后缀名为“bfbs”的文件，是否接受电子备份响应文件详见在“供应商须知前附表”。 </w:t>
      </w:r>
    </w:p>
    <w:p>
      <w:pPr>
        <w:pStyle w:val="2"/>
        <w:spacing w:line="400" w:lineRule="exact"/>
        <w:ind w:left="565" w:leftChars="257"/>
        <w:rPr>
          <w:b/>
          <w:bCs/>
          <w:color w:val="auto"/>
          <w:sz w:val="24"/>
          <w:szCs w:val="24"/>
          <w:highlight w:val="none"/>
        </w:rPr>
      </w:pPr>
      <w:r>
        <w:rPr>
          <w:rFonts w:hint="eastAsia"/>
          <w:b/>
          <w:bCs/>
          <w:color w:val="auto"/>
          <w:sz w:val="24"/>
          <w:szCs w:val="24"/>
          <w:highlight w:val="none"/>
        </w:rPr>
        <w:t>2</w:t>
      </w:r>
      <w:r>
        <w:rPr>
          <w:b/>
          <w:bCs/>
          <w:color w:val="auto"/>
          <w:sz w:val="24"/>
          <w:szCs w:val="24"/>
          <w:highlight w:val="none"/>
        </w:rPr>
        <w:t xml:space="preserve">0. </w:t>
      </w:r>
      <w:r>
        <w:rPr>
          <w:rFonts w:hint="eastAsia"/>
          <w:b/>
          <w:bCs/>
          <w:color w:val="auto"/>
          <w:sz w:val="24"/>
          <w:szCs w:val="24"/>
          <w:highlight w:val="none"/>
        </w:rPr>
        <w:t>响应文件的提交</w:t>
      </w:r>
    </w:p>
    <w:p>
      <w:pPr>
        <w:pStyle w:val="2"/>
        <w:spacing w:line="400" w:lineRule="exact"/>
        <w:ind w:left="565" w:leftChars="257" w:firstLine="198" w:firstLineChars="100"/>
        <w:rPr>
          <w:color w:val="auto"/>
          <w:highlight w:val="none"/>
        </w:rPr>
      </w:pPr>
      <w:r>
        <w:rPr>
          <w:rFonts w:hint="eastAsia"/>
          <w:color w:val="auto"/>
          <w:spacing w:val="-6"/>
          <w:highlight w:val="none"/>
        </w:rPr>
        <w:t>2</w:t>
      </w:r>
      <w:r>
        <w:rPr>
          <w:color w:val="auto"/>
          <w:spacing w:val="-6"/>
          <w:highlight w:val="none"/>
        </w:rPr>
        <w:t>0.1 供应商必须按“供应商须知前附表”规定的时间及地点提交响应文件。电子响应文件应在</w:t>
      </w:r>
      <w:r>
        <w:rPr>
          <w:color w:val="auto"/>
          <w:highlight w:val="none"/>
        </w:rPr>
        <w:t xml:space="preserve">制作完成后，在提交响应文件截止时间前通过有效数字证书（CA 认证锁）进行电子签章、加密，然后通过网络将加密的电子响应文件提交至“政采云”平台。   </w:t>
      </w:r>
    </w:p>
    <w:p>
      <w:pPr>
        <w:pStyle w:val="2"/>
        <w:spacing w:line="400" w:lineRule="exact"/>
        <w:ind w:left="565" w:leftChars="257" w:firstLine="197" w:firstLineChars="100"/>
        <w:rPr>
          <w:color w:val="auto"/>
          <w:highlight w:val="none"/>
        </w:rPr>
      </w:pPr>
      <w:r>
        <w:rPr>
          <w:rFonts w:hint="eastAsia"/>
          <w:b/>
          <w:color w:val="auto"/>
          <w:spacing w:val="-7"/>
          <w:highlight w:val="none"/>
        </w:rPr>
        <w:t>2</w:t>
      </w:r>
      <w:r>
        <w:rPr>
          <w:b/>
          <w:color w:val="auto"/>
          <w:spacing w:val="-7"/>
          <w:highlight w:val="none"/>
        </w:rPr>
        <w:t>0.2 未在规定时间内提交或者未按照磋商文件要求加密的电子响应文件，“政采云”平台将拒</w:t>
      </w:r>
      <w:r>
        <w:rPr>
          <w:b/>
          <w:color w:val="auto"/>
          <w:highlight w:val="none"/>
        </w:rPr>
        <w:t>收。</w:t>
      </w:r>
      <w:r>
        <w:rPr>
          <w:color w:val="auto"/>
          <w:highlight w:val="none"/>
        </w:rPr>
        <w:t xml:space="preserve"> </w:t>
      </w:r>
    </w:p>
    <w:p>
      <w:pPr>
        <w:pStyle w:val="2"/>
        <w:spacing w:line="400" w:lineRule="exact"/>
        <w:ind w:left="565" w:leftChars="257"/>
        <w:rPr>
          <w:b/>
          <w:bCs/>
          <w:color w:val="auto"/>
          <w:sz w:val="24"/>
          <w:szCs w:val="24"/>
          <w:highlight w:val="none"/>
        </w:rPr>
      </w:pPr>
      <w:r>
        <w:rPr>
          <w:b/>
          <w:bCs/>
          <w:color w:val="auto"/>
          <w:sz w:val="24"/>
          <w:szCs w:val="24"/>
          <w:highlight w:val="none"/>
        </w:rPr>
        <w:t xml:space="preserve">21. </w:t>
      </w:r>
      <w:r>
        <w:rPr>
          <w:rFonts w:hint="eastAsia"/>
          <w:b/>
          <w:bCs/>
          <w:color w:val="auto"/>
          <w:sz w:val="24"/>
          <w:szCs w:val="24"/>
          <w:highlight w:val="none"/>
        </w:rPr>
        <w:t>首次响应文件的补充、修改与撤回</w:t>
      </w:r>
    </w:p>
    <w:p>
      <w:pPr>
        <w:pStyle w:val="2"/>
        <w:spacing w:line="400" w:lineRule="exact"/>
        <w:ind w:left="565" w:leftChars="257" w:firstLine="200" w:firstLineChars="100"/>
        <w:rPr>
          <w:color w:val="auto"/>
          <w:highlight w:val="none"/>
        </w:rPr>
      </w:pPr>
      <w:r>
        <w:rPr>
          <w:rFonts w:hint="eastAsia"/>
          <w:color w:val="auto"/>
          <w:spacing w:val="-5"/>
          <w:highlight w:val="none"/>
        </w:rPr>
        <w:t>2</w:t>
      </w:r>
      <w:r>
        <w:rPr>
          <w:color w:val="auto"/>
          <w:spacing w:val="-5"/>
          <w:highlight w:val="none"/>
        </w:rPr>
        <w:t>1.1 供应商如已完成电子响应文件上传、提交的，在响应文件提交截止时间前可以对所提交的</w:t>
      </w:r>
      <w:r>
        <w:rPr>
          <w:color w:val="auto"/>
          <w:spacing w:val="-9"/>
          <w:highlight w:val="none"/>
        </w:rPr>
        <w:t xml:space="preserve">响应文件进行补充、修改或者撤回响应文件。补充或者修改响应文件的，应当先行撤回原响应文件， </w:t>
      </w:r>
      <w:r>
        <w:rPr>
          <w:color w:val="auto"/>
          <w:spacing w:val="-11"/>
          <w:highlight w:val="none"/>
        </w:rPr>
        <w:t>补充、修改后重新上传、提交，响应文件提交截止时间前未完成上传、提交的，视为撤回响应文件。</w:t>
      </w:r>
      <w:r>
        <w:rPr>
          <w:color w:val="auto"/>
          <w:spacing w:val="-10"/>
          <w:highlight w:val="none"/>
        </w:rPr>
        <w:t>响应文件提交截止时间后上传递交的响应文件，“政府采购云平台”将予以拒收。</w:t>
      </w:r>
      <w:r>
        <w:rPr>
          <w:color w:val="auto"/>
          <w:highlight w:val="none"/>
        </w:rPr>
        <w:t>（</w:t>
      </w:r>
      <w:r>
        <w:rPr>
          <w:color w:val="auto"/>
          <w:spacing w:val="-1"/>
          <w:highlight w:val="none"/>
        </w:rPr>
        <w:t>补充、修改或</w:t>
      </w:r>
      <w:r>
        <w:rPr>
          <w:color w:val="auto"/>
          <w:spacing w:val="-3"/>
          <w:highlight w:val="none"/>
        </w:rPr>
        <w:t>者撤回方式可登陆“政府采购云平台”，依次进入“服务中心”中查看“电子响应文件制作与投送教程”）</w:t>
      </w:r>
      <w:r>
        <w:rPr>
          <w:color w:val="auto"/>
          <w:highlight w:val="none"/>
        </w:rPr>
        <w:t xml:space="preserve"> </w:t>
      </w:r>
    </w:p>
    <w:p>
      <w:pPr>
        <w:pStyle w:val="2"/>
        <w:spacing w:line="400" w:lineRule="exact"/>
        <w:ind w:left="565" w:leftChars="257" w:firstLine="202" w:firstLineChars="100"/>
        <w:rPr>
          <w:color w:val="auto"/>
          <w:sz w:val="19"/>
          <w:highlight w:val="none"/>
        </w:rPr>
      </w:pPr>
      <w:r>
        <w:rPr>
          <w:color w:val="auto"/>
          <w:spacing w:val="-4"/>
          <w:highlight w:val="none"/>
        </w:rPr>
        <w:t>21.2 “政府采购云平台”收到响应文件，将妥善保存并即时向供应商发出确认回执通知。在响应文件提交截止时间前，除供应商补充、修改或者撤回响应文件外，任何单位和个人不得解密或提</w:t>
      </w:r>
      <w:r>
        <w:rPr>
          <w:color w:val="auto"/>
          <w:spacing w:val="-3"/>
          <w:highlight w:val="none"/>
        </w:rPr>
        <w:t>取响应文件。</w:t>
      </w:r>
      <w:r>
        <w:rPr>
          <w:color w:val="auto"/>
          <w:highlight w:val="none"/>
        </w:rPr>
        <w:t xml:space="preserve"> </w:t>
      </w:r>
    </w:p>
    <w:p>
      <w:pPr>
        <w:pStyle w:val="2"/>
        <w:spacing w:line="400" w:lineRule="exact"/>
        <w:ind w:left="565" w:leftChars="257"/>
        <w:rPr>
          <w:b/>
          <w:bCs/>
          <w:color w:val="auto"/>
          <w:sz w:val="24"/>
          <w:szCs w:val="24"/>
          <w:highlight w:val="none"/>
        </w:rPr>
      </w:pPr>
      <w:r>
        <w:rPr>
          <w:rFonts w:hint="eastAsia"/>
          <w:b/>
          <w:bCs/>
          <w:color w:val="auto"/>
          <w:sz w:val="24"/>
          <w:szCs w:val="24"/>
          <w:highlight w:val="none"/>
        </w:rPr>
        <w:t>2</w:t>
      </w:r>
      <w:r>
        <w:rPr>
          <w:b/>
          <w:bCs/>
          <w:color w:val="auto"/>
          <w:sz w:val="24"/>
          <w:szCs w:val="24"/>
          <w:highlight w:val="none"/>
        </w:rPr>
        <w:t xml:space="preserve">2. </w:t>
      </w:r>
      <w:r>
        <w:rPr>
          <w:rFonts w:hint="eastAsia"/>
          <w:b/>
          <w:bCs/>
          <w:color w:val="auto"/>
          <w:sz w:val="24"/>
          <w:szCs w:val="24"/>
          <w:highlight w:val="none"/>
        </w:rPr>
        <w:t>首次响应文件的退回</w:t>
      </w:r>
    </w:p>
    <w:p>
      <w:pPr>
        <w:pStyle w:val="2"/>
        <w:spacing w:line="400" w:lineRule="exact"/>
        <w:ind w:left="565" w:leftChars="257" w:firstLine="210" w:firstLineChars="100"/>
        <w:rPr>
          <w:color w:val="auto"/>
          <w:highlight w:val="none"/>
        </w:rPr>
      </w:pPr>
      <w:r>
        <w:rPr>
          <w:color w:val="auto"/>
          <w:highlight w:val="none"/>
        </w:rPr>
        <w:t xml:space="preserve">在响应文件提交截止时间后，采购人和采购代理机构对已提交的响应文件概不退回。 </w:t>
      </w:r>
    </w:p>
    <w:p>
      <w:pPr>
        <w:pStyle w:val="2"/>
        <w:spacing w:line="400" w:lineRule="exact"/>
        <w:ind w:left="565" w:leftChars="257"/>
        <w:rPr>
          <w:b/>
          <w:bCs/>
          <w:color w:val="auto"/>
          <w:sz w:val="24"/>
          <w:szCs w:val="24"/>
          <w:highlight w:val="none"/>
        </w:rPr>
      </w:pPr>
      <w:r>
        <w:rPr>
          <w:rFonts w:hint="eastAsia"/>
          <w:b/>
          <w:bCs/>
          <w:color w:val="auto"/>
          <w:sz w:val="24"/>
          <w:szCs w:val="24"/>
          <w:highlight w:val="none"/>
        </w:rPr>
        <w:t>2</w:t>
      </w:r>
      <w:r>
        <w:rPr>
          <w:b/>
          <w:bCs/>
          <w:color w:val="auto"/>
          <w:sz w:val="24"/>
          <w:szCs w:val="24"/>
          <w:highlight w:val="none"/>
        </w:rPr>
        <w:t xml:space="preserve">3. </w:t>
      </w:r>
      <w:r>
        <w:rPr>
          <w:rFonts w:hint="eastAsia"/>
          <w:b/>
          <w:bCs/>
          <w:color w:val="auto"/>
          <w:sz w:val="24"/>
          <w:szCs w:val="24"/>
          <w:highlight w:val="none"/>
        </w:rPr>
        <w:t>截止时间后的撤回</w:t>
      </w:r>
    </w:p>
    <w:p>
      <w:pPr>
        <w:pStyle w:val="2"/>
        <w:spacing w:line="400" w:lineRule="exact"/>
        <w:ind w:left="565" w:leftChars="257"/>
        <w:rPr>
          <w:color w:val="auto"/>
          <w:highlight w:val="none"/>
        </w:rPr>
      </w:pPr>
      <w:r>
        <w:rPr>
          <w:color w:val="auto"/>
          <w:highlight w:val="none"/>
        </w:rPr>
        <w:t xml:space="preserve">  在响应文件提交截止时间后，供应商将无法撤回已提交的响应文件。 </w:t>
      </w:r>
    </w:p>
    <w:p>
      <w:pPr>
        <w:pStyle w:val="2"/>
        <w:spacing w:line="400" w:lineRule="exact"/>
        <w:ind w:left="565" w:leftChars="257"/>
        <w:rPr>
          <w:color w:val="auto"/>
          <w:sz w:val="20"/>
          <w:highlight w:val="none"/>
        </w:rPr>
      </w:pPr>
    </w:p>
    <w:p>
      <w:pPr>
        <w:pStyle w:val="2"/>
        <w:spacing w:line="400" w:lineRule="exact"/>
        <w:ind w:left="565" w:leftChars="257"/>
        <w:jc w:val="center"/>
        <w:rPr>
          <w:b/>
          <w:bCs/>
          <w:color w:val="auto"/>
          <w:sz w:val="30"/>
          <w:szCs w:val="30"/>
          <w:highlight w:val="none"/>
        </w:rPr>
      </w:pPr>
      <w:r>
        <w:rPr>
          <w:b/>
          <w:bCs/>
          <w:color w:val="auto"/>
          <w:sz w:val="30"/>
          <w:szCs w:val="30"/>
          <w:highlight w:val="none"/>
        </w:rPr>
        <w:t>四、评审及磋商</w:t>
      </w:r>
      <w:r>
        <w:rPr>
          <w:b/>
          <w:bCs/>
          <w:color w:val="auto"/>
          <w:w w:val="98"/>
          <w:sz w:val="30"/>
          <w:szCs w:val="30"/>
          <w:highlight w:val="none"/>
        </w:rPr>
        <w:t xml:space="preserve"> </w:t>
      </w:r>
    </w:p>
    <w:p>
      <w:pPr>
        <w:pStyle w:val="2"/>
        <w:spacing w:line="400" w:lineRule="exact"/>
        <w:ind w:left="565" w:leftChars="257"/>
        <w:rPr>
          <w:b/>
          <w:bCs/>
          <w:color w:val="auto"/>
          <w:sz w:val="24"/>
          <w:szCs w:val="24"/>
          <w:highlight w:val="none"/>
        </w:rPr>
      </w:pPr>
      <w:r>
        <w:rPr>
          <w:b/>
          <w:bCs/>
          <w:color w:val="auto"/>
          <w:sz w:val="24"/>
          <w:szCs w:val="24"/>
          <w:highlight w:val="none"/>
        </w:rPr>
        <w:t xml:space="preserve">24. </w:t>
      </w:r>
      <w:r>
        <w:rPr>
          <w:rFonts w:hint="eastAsia"/>
          <w:b/>
          <w:bCs/>
          <w:color w:val="auto"/>
          <w:sz w:val="24"/>
          <w:szCs w:val="24"/>
          <w:highlight w:val="none"/>
        </w:rPr>
        <w:t>磋商小组成立</w:t>
      </w:r>
    </w:p>
    <w:p>
      <w:pPr>
        <w:pStyle w:val="2"/>
        <w:spacing w:line="400" w:lineRule="exact"/>
        <w:ind w:left="565" w:leftChars="257" w:firstLine="204" w:firstLineChars="100"/>
        <w:rPr>
          <w:color w:val="auto"/>
          <w:highlight w:val="none"/>
        </w:rPr>
      </w:pPr>
      <w:r>
        <w:rPr>
          <w:rFonts w:hint="eastAsia"/>
          <w:color w:val="auto"/>
          <w:spacing w:val="-3"/>
          <w:highlight w:val="none"/>
        </w:rPr>
        <w:t>2</w:t>
      </w:r>
      <w:r>
        <w:rPr>
          <w:color w:val="auto"/>
          <w:spacing w:val="-3"/>
          <w:highlight w:val="none"/>
        </w:rPr>
        <w:t>4.1 磋商小组由采购人代表和评审专家共</w:t>
      </w:r>
      <w:r>
        <w:rPr>
          <w:color w:val="auto"/>
          <w:spacing w:val="-59"/>
          <w:highlight w:val="none"/>
        </w:rPr>
        <w:t xml:space="preserve"> </w:t>
      </w:r>
      <w:r>
        <w:rPr>
          <w:color w:val="auto"/>
          <w:highlight w:val="none"/>
        </w:rPr>
        <w:t>3</w:t>
      </w:r>
      <w:r>
        <w:rPr>
          <w:color w:val="auto"/>
          <w:spacing w:val="-62"/>
          <w:highlight w:val="none"/>
        </w:rPr>
        <w:t xml:space="preserve"> </w:t>
      </w:r>
      <w:r>
        <w:rPr>
          <w:color w:val="auto"/>
          <w:spacing w:val="-22"/>
          <w:highlight w:val="none"/>
        </w:rPr>
        <w:t>人以上单数组成，具体人数见“供应商须知前附表”，</w:t>
      </w:r>
      <w:r>
        <w:rPr>
          <w:color w:val="auto"/>
          <w:spacing w:val="-13"/>
          <w:highlight w:val="none"/>
        </w:rPr>
        <w:t xml:space="preserve">其中评审专家人数不得少于磋商小组成员总数的 </w:t>
      </w:r>
      <w:r>
        <w:rPr>
          <w:color w:val="auto"/>
          <w:highlight w:val="none"/>
        </w:rPr>
        <w:t>2/3</w:t>
      </w:r>
      <w:r>
        <w:rPr>
          <w:color w:val="auto"/>
          <w:spacing w:val="-3"/>
          <w:highlight w:val="none"/>
        </w:rPr>
        <w:t>。采购人代表不得以评审专家身份参加本部门或者本单位采购项目的评审。采购代理机构人员不得参加本机构代理的采购项目的评审。达到公开招标数额标准的货物或者服务采购项目，或者达到公开招标规模标准的政府采购工程，经批准采用</w:t>
      </w:r>
      <w:r>
        <w:rPr>
          <w:color w:val="auto"/>
          <w:spacing w:val="-6"/>
          <w:highlight w:val="none"/>
        </w:rPr>
        <w:t xml:space="preserve">竞争性磋商方式采购的，磋商小组由 </w:t>
      </w:r>
      <w:r>
        <w:rPr>
          <w:color w:val="auto"/>
          <w:highlight w:val="none"/>
        </w:rPr>
        <w:t>5</w:t>
      </w:r>
      <w:r>
        <w:rPr>
          <w:color w:val="auto"/>
          <w:spacing w:val="-9"/>
          <w:highlight w:val="none"/>
        </w:rPr>
        <w:t xml:space="preserve"> 人以上单数组成。</w:t>
      </w:r>
      <w:r>
        <w:rPr>
          <w:color w:val="auto"/>
          <w:highlight w:val="none"/>
        </w:rPr>
        <w:t xml:space="preserve"> </w:t>
      </w:r>
    </w:p>
    <w:p>
      <w:pPr>
        <w:pStyle w:val="2"/>
        <w:spacing w:line="400" w:lineRule="exact"/>
        <w:ind w:left="565" w:leftChars="257" w:firstLine="202" w:firstLineChars="100"/>
        <w:rPr>
          <w:color w:val="auto"/>
          <w:highlight w:val="none"/>
        </w:rPr>
      </w:pPr>
      <w:r>
        <w:rPr>
          <w:rFonts w:hint="eastAsia"/>
          <w:color w:val="auto"/>
          <w:spacing w:val="-4"/>
          <w:highlight w:val="none"/>
        </w:rPr>
        <w:t>2</w:t>
      </w:r>
      <w:r>
        <w:rPr>
          <w:color w:val="auto"/>
          <w:spacing w:val="-4"/>
          <w:highlight w:val="none"/>
        </w:rPr>
        <w:t xml:space="preserve">4.2 评审专家应当从政府采购评审专家库内相关专业的专家名单中随机抽取。市场竞争不充分的科研项目，以及需要扶持的科技成果转化项目，以及情况特殊、通过随机方式难以确定合适的评审专家的项目，经主管预算单位同意，可以自行选定评审专家。技术复杂、专业性强的采购项目， </w:t>
      </w:r>
      <w:r>
        <w:rPr>
          <w:color w:val="auto"/>
          <w:spacing w:val="-8"/>
          <w:highlight w:val="none"/>
        </w:rPr>
        <w:t xml:space="preserve">评审专家中应当包含 </w:t>
      </w:r>
      <w:r>
        <w:rPr>
          <w:color w:val="auto"/>
          <w:highlight w:val="none"/>
        </w:rPr>
        <w:t>1</w:t>
      </w:r>
      <w:r>
        <w:rPr>
          <w:color w:val="auto"/>
          <w:spacing w:val="-10"/>
          <w:highlight w:val="none"/>
        </w:rPr>
        <w:t xml:space="preserve"> 名法律专家。</w:t>
      </w:r>
      <w:r>
        <w:rPr>
          <w:color w:val="auto"/>
          <w:highlight w:val="none"/>
        </w:rPr>
        <w:t xml:space="preserve"> </w:t>
      </w:r>
    </w:p>
    <w:p>
      <w:pPr>
        <w:pStyle w:val="2"/>
        <w:spacing w:line="400" w:lineRule="exact"/>
        <w:ind w:left="565" w:leftChars="257" w:firstLine="204" w:firstLineChars="100"/>
        <w:rPr>
          <w:color w:val="auto"/>
          <w:highlight w:val="none"/>
        </w:rPr>
      </w:pPr>
      <w:r>
        <w:rPr>
          <w:rFonts w:hint="eastAsia"/>
          <w:color w:val="auto"/>
          <w:spacing w:val="-3"/>
          <w:highlight w:val="none"/>
        </w:rPr>
        <w:t>2</w:t>
      </w:r>
      <w:r>
        <w:rPr>
          <w:color w:val="auto"/>
          <w:spacing w:val="-3"/>
          <w:highlight w:val="none"/>
        </w:rPr>
        <w:t>4.3 采购代理机构应当基于“政采云”平台抽</w:t>
      </w:r>
      <w:r>
        <w:rPr>
          <w:color w:val="auto"/>
          <w:highlight w:val="none"/>
        </w:rPr>
        <w:t>（</w:t>
      </w:r>
      <w:r>
        <w:rPr>
          <w:color w:val="auto"/>
          <w:spacing w:val="-3"/>
          <w:highlight w:val="none"/>
        </w:rPr>
        <w:t>选</w:t>
      </w:r>
      <w:r>
        <w:rPr>
          <w:color w:val="auto"/>
          <w:highlight w:val="none"/>
        </w:rPr>
        <w:t>）</w:t>
      </w:r>
      <w:r>
        <w:rPr>
          <w:color w:val="auto"/>
          <w:spacing w:val="-3"/>
          <w:highlight w:val="none"/>
        </w:rPr>
        <w:t xml:space="preserve">取评审专家。 </w:t>
      </w:r>
    </w:p>
    <w:p>
      <w:pPr>
        <w:pStyle w:val="2"/>
        <w:spacing w:line="400" w:lineRule="exact"/>
        <w:ind w:left="565" w:leftChars="257"/>
        <w:rPr>
          <w:b/>
          <w:bCs/>
          <w:color w:val="auto"/>
          <w:sz w:val="24"/>
          <w:szCs w:val="24"/>
          <w:highlight w:val="none"/>
        </w:rPr>
      </w:pPr>
      <w:r>
        <w:rPr>
          <w:b/>
          <w:bCs/>
          <w:color w:val="auto"/>
          <w:sz w:val="24"/>
          <w:szCs w:val="24"/>
          <w:highlight w:val="none"/>
        </w:rPr>
        <w:t xml:space="preserve">25. </w:t>
      </w:r>
      <w:r>
        <w:rPr>
          <w:rFonts w:hint="eastAsia"/>
          <w:b/>
          <w:bCs/>
          <w:color w:val="auto"/>
          <w:sz w:val="24"/>
          <w:szCs w:val="24"/>
          <w:highlight w:val="none"/>
        </w:rPr>
        <w:t>首次响应文件的开启和解密</w:t>
      </w:r>
    </w:p>
    <w:p>
      <w:pPr>
        <w:pStyle w:val="2"/>
        <w:spacing w:line="400" w:lineRule="exact"/>
        <w:ind w:left="565" w:leftChars="257" w:firstLine="204" w:firstLineChars="100"/>
        <w:rPr>
          <w:color w:val="auto"/>
          <w:highlight w:val="none"/>
        </w:rPr>
      </w:pPr>
      <w:r>
        <w:rPr>
          <w:color w:val="auto"/>
          <w:spacing w:val="-3"/>
          <w:highlight w:val="none"/>
        </w:rPr>
        <w:t>采购代理机构将在“供应商须知前附表”规定的时间通过电子交易平台组织响应文件开启，供</w:t>
      </w:r>
      <w:r>
        <w:rPr>
          <w:color w:val="auto"/>
          <w:spacing w:val="-5"/>
          <w:highlight w:val="none"/>
        </w:rPr>
        <w:t xml:space="preserve">应商的法定代表人或其委托代理人须携带加密时所用的 </w:t>
      </w:r>
      <w:r>
        <w:rPr>
          <w:color w:val="auto"/>
          <w:highlight w:val="none"/>
        </w:rPr>
        <w:t>CA</w:t>
      </w:r>
      <w:r>
        <w:rPr>
          <w:color w:val="auto"/>
          <w:spacing w:val="-13"/>
          <w:highlight w:val="none"/>
        </w:rPr>
        <w:t xml:space="preserve"> 锁，按平台提示和磋商文件的规定登录到</w:t>
      </w:r>
      <w:r>
        <w:rPr>
          <w:color w:val="auto"/>
          <w:spacing w:val="-11"/>
          <w:highlight w:val="none"/>
        </w:rPr>
        <w:t>“政采云”平台电子开标大厅签到，采购代理机构依托“政采云”平台向各供应商发出电子加密响</w:t>
      </w:r>
      <w:r>
        <w:rPr>
          <w:color w:val="auto"/>
          <w:spacing w:val="-12"/>
          <w:highlight w:val="none"/>
        </w:rPr>
        <w:t>应文件【开始解密】通知，由供应商按“供应商须知前附表”规定的时间内自行进行响应文件解密。</w:t>
      </w:r>
      <w:r>
        <w:rPr>
          <w:b/>
          <w:color w:val="auto"/>
          <w:spacing w:val="-10"/>
          <w:highlight w:val="none"/>
        </w:rPr>
        <w:t>供应商未在规定的时间内解密响应文件或者解密失败的，供应商的响应文件作无效处理。</w:t>
      </w:r>
      <w:r>
        <w:rPr>
          <w:color w:val="auto"/>
          <w:highlight w:val="none"/>
        </w:rPr>
        <w:t xml:space="preserve"> </w:t>
      </w:r>
    </w:p>
    <w:p>
      <w:pPr>
        <w:pStyle w:val="2"/>
        <w:spacing w:line="400" w:lineRule="exact"/>
        <w:ind w:left="565" w:leftChars="257"/>
        <w:rPr>
          <w:b/>
          <w:bCs/>
          <w:color w:val="auto"/>
          <w:sz w:val="24"/>
          <w:szCs w:val="24"/>
          <w:highlight w:val="none"/>
        </w:rPr>
      </w:pPr>
      <w:r>
        <w:rPr>
          <w:rFonts w:hint="eastAsia"/>
          <w:b/>
          <w:bCs/>
          <w:color w:val="auto"/>
          <w:sz w:val="24"/>
          <w:szCs w:val="24"/>
          <w:highlight w:val="none"/>
        </w:rPr>
        <w:t>2</w:t>
      </w:r>
      <w:r>
        <w:rPr>
          <w:b/>
          <w:bCs/>
          <w:color w:val="auto"/>
          <w:sz w:val="24"/>
          <w:szCs w:val="24"/>
          <w:highlight w:val="none"/>
        </w:rPr>
        <w:t xml:space="preserve">6. </w:t>
      </w:r>
      <w:r>
        <w:rPr>
          <w:rFonts w:hint="eastAsia"/>
          <w:b/>
          <w:bCs/>
          <w:color w:val="auto"/>
          <w:sz w:val="24"/>
          <w:szCs w:val="24"/>
          <w:highlight w:val="none"/>
        </w:rPr>
        <w:t>评审程序、评审方法和评审标准</w:t>
      </w:r>
    </w:p>
    <w:p>
      <w:pPr>
        <w:pStyle w:val="2"/>
        <w:spacing w:line="400" w:lineRule="exact"/>
        <w:ind w:left="565" w:leftChars="257" w:firstLine="204" w:firstLineChars="100"/>
        <w:rPr>
          <w:color w:val="auto"/>
          <w:highlight w:val="none"/>
        </w:rPr>
      </w:pPr>
      <w:r>
        <w:rPr>
          <w:rFonts w:hint="eastAsia"/>
          <w:color w:val="auto"/>
          <w:spacing w:val="-3"/>
          <w:highlight w:val="none"/>
        </w:rPr>
        <w:t>2</w:t>
      </w:r>
      <w:r>
        <w:rPr>
          <w:color w:val="auto"/>
          <w:spacing w:val="-3"/>
          <w:highlight w:val="none"/>
        </w:rPr>
        <w:t>6.1 本项目的评审方法为综合评分法。</w:t>
      </w:r>
      <w:r>
        <w:rPr>
          <w:color w:val="auto"/>
          <w:highlight w:val="none"/>
        </w:rPr>
        <w:t xml:space="preserve"> </w:t>
      </w:r>
    </w:p>
    <w:p>
      <w:pPr>
        <w:pStyle w:val="2"/>
        <w:spacing w:line="400" w:lineRule="exact"/>
        <w:ind w:left="565" w:leftChars="257" w:firstLine="202" w:firstLineChars="100"/>
        <w:rPr>
          <w:color w:val="auto"/>
          <w:highlight w:val="none"/>
        </w:rPr>
      </w:pPr>
      <w:r>
        <w:rPr>
          <w:color w:val="auto"/>
          <w:spacing w:val="-4"/>
          <w:highlight w:val="none"/>
        </w:rPr>
        <w:t>26.2 磋商小组按照“第四章 评审程序、评审方法和评审标准”规定的方法、评审因素、标准</w:t>
      </w:r>
      <w:r>
        <w:rPr>
          <w:color w:val="auto"/>
          <w:spacing w:val="-3"/>
          <w:highlight w:val="none"/>
        </w:rPr>
        <w:t>和程序对响应文件进行评审。</w:t>
      </w:r>
      <w:r>
        <w:rPr>
          <w:color w:val="auto"/>
          <w:highlight w:val="none"/>
        </w:rPr>
        <w:t xml:space="preserve"> </w:t>
      </w:r>
    </w:p>
    <w:p>
      <w:pPr>
        <w:pStyle w:val="2"/>
        <w:spacing w:line="400" w:lineRule="exact"/>
        <w:ind w:left="565" w:leftChars="257" w:firstLine="210" w:firstLineChars="100"/>
        <w:rPr>
          <w:color w:val="auto"/>
          <w:sz w:val="19"/>
          <w:highlight w:val="none"/>
        </w:rPr>
      </w:pPr>
      <w:r>
        <w:rPr>
          <w:color w:val="auto"/>
          <w:highlight w:val="none"/>
        </w:rPr>
        <w:t>26.3 商务</w:t>
      </w:r>
      <w:r>
        <w:rPr>
          <w:color w:val="auto"/>
          <w:spacing w:val="-3"/>
          <w:highlight w:val="none"/>
        </w:rPr>
        <w:t xml:space="preserve">/技术要求允许负偏离的条款数详见“供应商须知前附表”。 </w:t>
      </w:r>
    </w:p>
    <w:p>
      <w:pPr>
        <w:pStyle w:val="2"/>
        <w:spacing w:line="400" w:lineRule="exact"/>
        <w:ind w:left="565" w:leftChars="257" w:firstLine="200" w:firstLineChars="100"/>
        <w:rPr>
          <w:color w:val="auto"/>
          <w:highlight w:val="none"/>
        </w:rPr>
      </w:pPr>
      <w:r>
        <w:rPr>
          <w:color w:val="auto"/>
          <w:spacing w:val="-5"/>
          <w:highlight w:val="none"/>
        </w:rPr>
        <w:t>26.4 磋商小组成员要依法独立评审，并对评审意见承担个人责任。磋商小组成员对需要共同认定的事项存在争议的，按照少数服从多数的原则做出结论。持不同意见的磋商小组成员应当在评审</w:t>
      </w:r>
      <w:r>
        <w:rPr>
          <w:color w:val="auto"/>
          <w:spacing w:val="-4"/>
          <w:highlight w:val="none"/>
        </w:rPr>
        <w:t>报告上签署不同意见并说明理由，否则视为同意。</w:t>
      </w:r>
      <w:r>
        <w:rPr>
          <w:color w:val="auto"/>
          <w:highlight w:val="none"/>
        </w:rPr>
        <w:t xml:space="preserve"> </w:t>
      </w:r>
    </w:p>
    <w:p>
      <w:pPr>
        <w:pStyle w:val="2"/>
        <w:spacing w:line="400" w:lineRule="exact"/>
        <w:ind w:left="565" w:leftChars="257" w:firstLine="198" w:firstLineChars="100"/>
        <w:rPr>
          <w:color w:val="auto"/>
          <w:highlight w:val="none"/>
        </w:rPr>
      </w:pPr>
      <w:r>
        <w:rPr>
          <w:rFonts w:hint="eastAsia"/>
          <w:color w:val="auto"/>
          <w:spacing w:val="-6"/>
          <w:highlight w:val="none"/>
        </w:rPr>
        <w:t>2</w:t>
      </w:r>
      <w:r>
        <w:rPr>
          <w:color w:val="auto"/>
          <w:spacing w:val="-6"/>
          <w:highlight w:val="none"/>
        </w:rPr>
        <w:t>6.5 电子交易活动的中止。采购过程中出现以下情形，导致电子交易平台无法正常运行，或者</w:t>
      </w:r>
      <w:r>
        <w:rPr>
          <w:color w:val="auto"/>
          <w:spacing w:val="-4"/>
          <w:highlight w:val="none"/>
        </w:rPr>
        <w:t xml:space="preserve">无法保证电子交易的公平、公正和安全时，采购机构可中止电子交易活动： </w:t>
      </w:r>
    </w:p>
    <w:p>
      <w:pPr>
        <w:pStyle w:val="2"/>
        <w:spacing w:line="400" w:lineRule="exact"/>
        <w:ind w:left="565" w:leftChars="257" w:firstLine="204" w:firstLineChars="100"/>
        <w:rPr>
          <w:color w:val="auto"/>
          <w:highlight w:val="none"/>
        </w:rPr>
      </w:pPr>
      <w:r>
        <w:rPr>
          <w:rFonts w:hint="eastAsia"/>
          <w:color w:val="auto"/>
          <w:spacing w:val="-3"/>
          <w:highlight w:val="none"/>
        </w:rPr>
        <w:t>（1）</w:t>
      </w:r>
      <w:r>
        <w:rPr>
          <w:color w:val="auto"/>
          <w:spacing w:val="-3"/>
          <w:highlight w:val="none"/>
        </w:rPr>
        <w:t xml:space="preserve">电子交易平台发生故障而无法登录访问的； </w:t>
      </w:r>
      <w:r>
        <w:rPr>
          <w:color w:val="auto"/>
          <w:highlight w:val="none"/>
        </w:rPr>
        <w:t xml:space="preserve"> </w:t>
      </w:r>
    </w:p>
    <w:p>
      <w:pPr>
        <w:pStyle w:val="2"/>
        <w:spacing w:line="400" w:lineRule="exact"/>
        <w:ind w:left="565" w:leftChars="257" w:firstLine="204" w:firstLineChars="100"/>
        <w:rPr>
          <w:color w:val="auto"/>
          <w:highlight w:val="none"/>
        </w:rPr>
      </w:pPr>
      <w:r>
        <w:rPr>
          <w:rFonts w:hint="eastAsia"/>
          <w:color w:val="auto"/>
          <w:spacing w:val="-3"/>
          <w:highlight w:val="none"/>
        </w:rPr>
        <w:t>（2）</w:t>
      </w:r>
      <w:r>
        <w:rPr>
          <w:color w:val="auto"/>
          <w:spacing w:val="-3"/>
          <w:highlight w:val="none"/>
        </w:rPr>
        <w:t xml:space="preserve">电子交易平台应用或数据库出现错误，不能进行正常操作的； </w:t>
      </w:r>
    </w:p>
    <w:p>
      <w:pPr>
        <w:pStyle w:val="2"/>
        <w:spacing w:line="400" w:lineRule="exact"/>
        <w:ind w:left="565" w:leftChars="257" w:firstLine="204" w:firstLineChars="100"/>
        <w:rPr>
          <w:color w:val="auto"/>
          <w:highlight w:val="none"/>
        </w:rPr>
      </w:pPr>
      <w:r>
        <w:rPr>
          <w:rFonts w:hint="eastAsia"/>
          <w:color w:val="auto"/>
          <w:spacing w:val="-3"/>
          <w:highlight w:val="none"/>
        </w:rPr>
        <w:t>（3）</w:t>
      </w:r>
      <w:r>
        <w:rPr>
          <w:color w:val="auto"/>
          <w:spacing w:val="-3"/>
          <w:highlight w:val="none"/>
        </w:rPr>
        <w:t>电子交易平台发现严重安全漏洞，有潜在泄密危险的；</w:t>
      </w:r>
      <w:r>
        <w:rPr>
          <w:color w:val="auto"/>
          <w:highlight w:val="none"/>
        </w:rPr>
        <w:t xml:space="preserve"> </w:t>
      </w:r>
    </w:p>
    <w:p>
      <w:pPr>
        <w:pStyle w:val="2"/>
        <w:spacing w:line="400" w:lineRule="exact"/>
        <w:ind w:left="565" w:leftChars="257" w:firstLine="204" w:firstLineChars="100"/>
        <w:rPr>
          <w:color w:val="auto"/>
          <w:highlight w:val="none"/>
        </w:rPr>
      </w:pPr>
      <w:r>
        <w:rPr>
          <w:rFonts w:hint="eastAsia"/>
          <w:color w:val="auto"/>
          <w:spacing w:val="-3"/>
          <w:highlight w:val="none"/>
        </w:rPr>
        <w:t>（4）</w:t>
      </w:r>
      <w:r>
        <w:rPr>
          <w:color w:val="auto"/>
          <w:spacing w:val="-3"/>
          <w:highlight w:val="none"/>
        </w:rPr>
        <w:t xml:space="preserve">病毒发作导致不能进行正常操作的； </w:t>
      </w:r>
      <w:r>
        <w:rPr>
          <w:color w:val="auto"/>
          <w:highlight w:val="none"/>
        </w:rPr>
        <w:t xml:space="preserve"> </w:t>
      </w:r>
    </w:p>
    <w:p>
      <w:pPr>
        <w:pStyle w:val="2"/>
        <w:spacing w:line="400" w:lineRule="exact"/>
        <w:ind w:left="565" w:leftChars="257" w:firstLine="204" w:firstLineChars="100"/>
        <w:rPr>
          <w:color w:val="auto"/>
          <w:highlight w:val="none"/>
        </w:rPr>
      </w:pPr>
      <w:r>
        <w:rPr>
          <w:rFonts w:hint="eastAsia"/>
          <w:color w:val="auto"/>
          <w:spacing w:val="-3"/>
          <w:highlight w:val="none"/>
        </w:rPr>
        <w:t>（5）</w:t>
      </w:r>
      <w:r>
        <w:rPr>
          <w:color w:val="auto"/>
          <w:spacing w:val="-3"/>
          <w:highlight w:val="none"/>
        </w:rPr>
        <w:t>其他无法保证电子交易的公平、公正和安全的情况。</w:t>
      </w:r>
      <w:r>
        <w:rPr>
          <w:color w:val="auto"/>
          <w:highlight w:val="none"/>
        </w:rPr>
        <w:t xml:space="preserve"> </w:t>
      </w:r>
    </w:p>
    <w:p>
      <w:pPr>
        <w:pStyle w:val="2"/>
        <w:spacing w:line="400" w:lineRule="exact"/>
        <w:ind w:left="565" w:leftChars="257" w:firstLine="198" w:firstLineChars="100"/>
        <w:rPr>
          <w:color w:val="auto"/>
          <w:highlight w:val="none"/>
        </w:rPr>
      </w:pPr>
      <w:r>
        <w:rPr>
          <w:rFonts w:hint="eastAsia"/>
          <w:color w:val="auto"/>
          <w:spacing w:val="-6"/>
          <w:highlight w:val="none"/>
        </w:rPr>
        <w:t>2</w:t>
      </w:r>
      <w:r>
        <w:rPr>
          <w:color w:val="auto"/>
          <w:spacing w:val="-6"/>
          <w:highlight w:val="none"/>
        </w:rPr>
        <w:t>6.6 出现以上情形，不影响采购公平、公正性的，采购组织机构可以待上述情形消除后继续组织电子交易活动；影响或可能影响采购公平、公正性的，经采购代理机构确认，报采购人同意后，</w:t>
      </w:r>
      <w:r>
        <w:rPr>
          <w:color w:val="auto"/>
          <w:spacing w:val="-4"/>
          <w:highlight w:val="none"/>
        </w:rPr>
        <w:t xml:space="preserve">应当重新采购。采购代理机构必须对原有的资料及信息作出妥善保密处理，并报财政部门备案。 </w:t>
      </w:r>
    </w:p>
    <w:p>
      <w:pPr>
        <w:pStyle w:val="2"/>
        <w:spacing w:line="400" w:lineRule="exact"/>
        <w:ind w:left="565" w:leftChars="257"/>
        <w:rPr>
          <w:b/>
          <w:bCs/>
          <w:color w:val="auto"/>
          <w:sz w:val="24"/>
          <w:szCs w:val="24"/>
          <w:highlight w:val="none"/>
        </w:rPr>
      </w:pPr>
      <w:r>
        <w:rPr>
          <w:rFonts w:hint="eastAsia"/>
          <w:b/>
          <w:bCs/>
          <w:color w:val="auto"/>
          <w:sz w:val="24"/>
          <w:szCs w:val="24"/>
          <w:highlight w:val="none"/>
        </w:rPr>
        <w:t>2</w:t>
      </w:r>
      <w:r>
        <w:rPr>
          <w:b/>
          <w:bCs/>
          <w:color w:val="auto"/>
          <w:sz w:val="24"/>
          <w:szCs w:val="24"/>
          <w:highlight w:val="none"/>
        </w:rPr>
        <w:t xml:space="preserve">7. </w:t>
      </w:r>
      <w:r>
        <w:rPr>
          <w:rFonts w:hint="eastAsia"/>
          <w:b/>
          <w:bCs/>
          <w:color w:val="auto"/>
          <w:sz w:val="24"/>
          <w:szCs w:val="24"/>
          <w:highlight w:val="none"/>
        </w:rPr>
        <w:t>确定成交供应商及结果公告</w:t>
      </w:r>
    </w:p>
    <w:p>
      <w:pPr>
        <w:pStyle w:val="2"/>
        <w:spacing w:line="400" w:lineRule="exact"/>
        <w:ind w:left="565" w:leftChars="257" w:firstLine="196" w:firstLineChars="100"/>
        <w:rPr>
          <w:color w:val="auto"/>
          <w:sz w:val="19"/>
          <w:highlight w:val="none"/>
        </w:rPr>
      </w:pPr>
      <w:r>
        <w:rPr>
          <w:rFonts w:hint="eastAsia"/>
          <w:color w:val="auto"/>
          <w:spacing w:val="-7"/>
          <w:highlight w:val="none"/>
        </w:rPr>
        <w:t>2</w:t>
      </w:r>
      <w:r>
        <w:rPr>
          <w:color w:val="auto"/>
          <w:spacing w:val="-7"/>
          <w:highlight w:val="none"/>
        </w:rPr>
        <w:t xml:space="preserve">7.1 采购代理机构应当在评审结束后 </w:t>
      </w:r>
      <w:r>
        <w:rPr>
          <w:color w:val="auto"/>
          <w:highlight w:val="none"/>
        </w:rPr>
        <w:t>2</w:t>
      </w:r>
      <w:r>
        <w:rPr>
          <w:color w:val="auto"/>
          <w:spacing w:val="-13"/>
          <w:highlight w:val="none"/>
        </w:rPr>
        <w:t xml:space="preserve"> 个工作日内将评审报告送采购人确认。采购人应当在收</w:t>
      </w:r>
      <w:r>
        <w:rPr>
          <w:color w:val="auto"/>
          <w:spacing w:val="-4"/>
          <w:highlight w:val="none"/>
        </w:rPr>
        <w:t xml:space="preserve">到评审报告后 </w:t>
      </w:r>
      <w:r>
        <w:rPr>
          <w:color w:val="auto"/>
          <w:highlight w:val="none"/>
        </w:rPr>
        <w:t>5</w:t>
      </w:r>
      <w:r>
        <w:rPr>
          <w:color w:val="auto"/>
          <w:spacing w:val="-5"/>
          <w:highlight w:val="none"/>
        </w:rPr>
        <w:t xml:space="preserve"> 个工作日内，从评审报告提出的成交候选供应商中，按照排序由高到低的原则确定成交供应商，也可以书面授权磋商小组直接确定成交供应商。采购人逾期未确定成交供应商且不提</w:t>
      </w:r>
      <w:r>
        <w:rPr>
          <w:color w:val="auto"/>
          <w:spacing w:val="-4"/>
          <w:highlight w:val="none"/>
        </w:rPr>
        <w:t>出异议的，视为确定评审报告提出的排序第一的供应商为成交供应商。</w:t>
      </w:r>
      <w:r>
        <w:rPr>
          <w:color w:val="auto"/>
          <w:highlight w:val="none"/>
        </w:rPr>
        <w:t xml:space="preserve"> </w:t>
      </w:r>
    </w:p>
    <w:p>
      <w:pPr>
        <w:pStyle w:val="2"/>
        <w:spacing w:line="400" w:lineRule="exact"/>
        <w:ind w:left="565" w:leftChars="257" w:firstLine="200" w:firstLineChars="100"/>
        <w:rPr>
          <w:color w:val="auto"/>
          <w:highlight w:val="none"/>
        </w:rPr>
      </w:pPr>
      <w:r>
        <w:rPr>
          <w:color w:val="auto"/>
          <w:spacing w:val="-5"/>
          <w:highlight w:val="none"/>
        </w:rPr>
        <w:t xml:space="preserve">27.2 采购代理机构应当在成交供应商确定后 </w:t>
      </w:r>
      <w:r>
        <w:rPr>
          <w:color w:val="auto"/>
          <w:highlight w:val="none"/>
        </w:rPr>
        <w:t>2</w:t>
      </w:r>
      <w:r>
        <w:rPr>
          <w:color w:val="auto"/>
          <w:spacing w:val="-9"/>
          <w:highlight w:val="none"/>
        </w:rPr>
        <w:t xml:space="preserve"> 个工作日内，在省级以上财政部门指定的媒体上公告成交结果，同时向成交供应商发出成交通知书。采购人或者采购代理机构发出成交通知书前，</w:t>
      </w:r>
      <w:r>
        <w:rPr>
          <w:color w:val="auto"/>
          <w:highlight w:val="none"/>
        </w:rPr>
        <w:t>应当对成交供应商信用进行查询，对列入失信被执行人、重大税收违法案件当事人名单、政府采购</w:t>
      </w:r>
      <w:r>
        <w:rPr>
          <w:color w:val="auto"/>
          <w:spacing w:val="-4"/>
          <w:highlight w:val="none"/>
        </w:rPr>
        <w:t>严重违法失信行为记录名单及其他不符合《中华人民共和国政府采购法》第二十二条规定条件的供应商，取消其成交资格，并确定排名第二的成交候选人为成交供应商。排名第二的成交候选人因上述规定的同样原因被取消成交资格的，采购人可以确定排名第三的成交候选人为成交供应商，以此类推。以上信息查询记录及相关证据与磋商文件一并保存。成交供应商享受《政府采购促进中小企业发展管理办法》</w:t>
      </w:r>
      <w:r>
        <w:rPr>
          <w:color w:val="auto"/>
          <w:highlight w:val="none"/>
        </w:rPr>
        <w:t>（</w:t>
      </w:r>
      <w:r>
        <w:rPr>
          <w:color w:val="auto"/>
          <w:spacing w:val="-3"/>
          <w:highlight w:val="none"/>
        </w:rPr>
        <w:t>财库〔</w:t>
      </w:r>
      <w:r>
        <w:rPr>
          <w:color w:val="auto"/>
          <w:highlight w:val="none"/>
        </w:rPr>
        <w:t>2020</w:t>
      </w:r>
      <w:r>
        <w:rPr>
          <w:color w:val="auto"/>
          <w:spacing w:val="-3"/>
          <w:highlight w:val="none"/>
        </w:rPr>
        <w:t>〕</w:t>
      </w:r>
      <w:r>
        <w:rPr>
          <w:color w:val="auto"/>
          <w:highlight w:val="none"/>
        </w:rPr>
        <w:t>46</w:t>
      </w:r>
      <w:r>
        <w:rPr>
          <w:color w:val="auto"/>
          <w:spacing w:val="-13"/>
          <w:highlight w:val="none"/>
        </w:rPr>
        <w:t xml:space="preserve"> 号</w:t>
      </w:r>
      <w:r>
        <w:rPr>
          <w:color w:val="auto"/>
          <w:spacing w:val="-3"/>
          <w:highlight w:val="none"/>
        </w:rPr>
        <w:t>）</w:t>
      </w:r>
      <w:r>
        <w:rPr>
          <w:color w:val="auto"/>
          <w:spacing w:val="-4"/>
          <w:highlight w:val="none"/>
        </w:rPr>
        <w:t>规定的中小企业扶持政策的，采购人、采购代理机构应当</w:t>
      </w:r>
      <w:r>
        <w:rPr>
          <w:color w:val="auto"/>
          <w:spacing w:val="-3"/>
          <w:highlight w:val="none"/>
        </w:rPr>
        <w:t xml:space="preserve">随成交结果公开成交供应商的《中小企业声明函》。 </w:t>
      </w:r>
    </w:p>
    <w:p>
      <w:pPr>
        <w:pStyle w:val="2"/>
        <w:spacing w:line="400" w:lineRule="exact"/>
        <w:ind w:left="565" w:leftChars="257" w:firstLine="200" w:firstLineChars="100"/>
        <w:rPr>
          <w:color w:val="auto"/>
          <w:highlight w:val="none"/>
        </w:rPr>
      </w:pPr>
      <w:r>
        <w:rPr>
          <w:rFonts w:hint="eastAsia"/>
          <w:color w:val="auto"/>
          <w:spacing w:val="-5"/>
          <w:highlight w:val="none"/>
        </w:rPr>
        <w:t>2</w:t>
      </w:r>
      <w:r>
        <w:rPr>
          <w:color w:val="auto"/>
          <w:spacing w:val="-5"/>
          <w:highlight w:val="none"/>
        </w:rPr>
        <w:t>7.3 出现下列情形之一的，采购人或者采购代理机构应当终止竞争性磋商采购活动，发布项目</w:t>
      </w:r>
      <w:r>
        <w:rPr>
          <w:color w:val="auto"/>
          <w:spacing w:val="-4"/>
          <w:highlight w:val="none"/>
        </w:rPr>
        <w:t>终止公告并说明原因，重新开展采购活动：</w:t>
      </w:r>
      <w:r>
        <w:rPr>
          <w:color w:val="auto"/>
          <w:highlight w:val="none"/>
        </w:rPr>
        <w:t xml:space="preserve"> </w:t>
      </w:r>
    </w:p>
    <w:p>
      <w:pPr>
        <w:pStyle w:val="2"/>
        <w:spacing w:line="400" w:lineRule="exact"/>
        <w:ind w:left="565" w:leftChars="257" w:firstLine="204" w:firstLineChars="100"/>
        <w:rPr>
          <w:color w:val="auto"/>
          <w:highlight w:val="none"/>
        </w:rPr>
      </w:pPr>
      <w:r>
        <w:rPr>
          <w:rFonts w:hint="eastAsia"/>
          <w:color w:val="auto"/>
          <w:spacing w:val="-3"/>
          <w:highlight w:val="none"/>
        </w:rPr>
        <w:t>（1）</w:t>
      </w:r>
      <w:r>
        <w:rPr>
          <w:color w:val="auto"/>
          <w:spacing w:val="-3"/>
          <w:highlight w:val="none"/>
        </w:rPr>
        <w:t xml:space="preserve">因情况变化，不再符合规定的竞争性磋商采购方式适用情形的； </w:t>
      </w:r>
    </w:p>
    <w:p>
      <w:pPr>
        <w:pStyle w:val="2"/>
        <w:spacing w:line="400" w:lineRule="exact"/>
        <w:ind w:left="565" w:leftChars="257" w:firstLine="204" w:firstLineChars="100"/>
        <w:rPr>
          <w:color w:val="auto"/>
          <w:highlight w:val="none"/>
        </w:rPr>
      </w:pPr>
      <w:r>
        <w:rPr>
          <w:rFonts w:hint="eastAsia"/>
          <w:color w:val="auto"/>
          <w:spacing w:val="-3"/>
          <w:highlight w:val="none"/>
        </w:rPr>
        <w:t>（2）</w:t>
      </w:r>
      <w:r>
        <w:rPr>
          <w:color w:val="auto"/>
          <w:spacing w:val="-3"/>
          <w:highlight w:val="none"/>
        </w:rPr>
        <w:t>出现影响采购公正的违法、违规行为的；</w:t>
      </w:r>
      <w:r>
        <w:rPr>
          <w:color w:val="auto"/>
          <w:highlight w:val="none"/>
        </w:rPr>
        <w:t xml:space="preserve"> </w:t>
      </w:r>
    </w:p>
    <w:p>
      <w:pPr>
        <w:pStyle w:val="2"/>
        <w:spacing w:line="400" w:lineRule="exact"/>
        <w:ind w:left="565" w:leftChars="257" w:firstLine="200" w:firstLineChars="100"/>
        <w:rPr>
          <w:color w:val="auto"/>
          <w:highlight w:val="none"/>
        </w:rPr>
      </w:pPr>
      <w:r>
        <w:rPr>
          <w:rFonts w:hint="eastAsia"/>
          <w:color w:val="auto"/>
          <w:spacing w:val="-5"/>
          <w:highlight w:val="none"/>
        </w:rPr>
        <w:t>（3）</w:t>
      </w:r>
      <w:r>
        <w:rPr>
          <w:color w:val="auto"/>
          <w:spacing w:val="-5"/>
          <w:highlight w:val="none"/>
        </w:rPr>
        <w:t xml:space="preserve">除“第四章 评审程序、评审方法和评审标准”第 </w:t>
      </w:r>
      <w:r>
        <w:rPr>
          <w:color w:val="auto"/>
          <w:highlight w:val="none"/>
        </w:rPr>
        <w:t>4.3</w:t>
      </w:r>
      <w:r>
        <w:rPr>
          <w:color w:val="auto"/>
          <w:spacing w:val="-7"/>
          <w:highlight w:val="none"/>
        </w:rPr>
        <w:t xml:space="preserve"> 条规定的情形外，在采购过程中符</w:t>
      </w:r>
    </w:p>
    <w:p>
      <w:pPr>
        <w:pStyle w:val="2"/>
        <w:spacing w:line="400" w:lineRule="exact"/>
        <w:ind w:left="565" w:leftChars="257"/>
        <w:rPr>
          <w:color w:val="auto"/>
          <w:highlight w:val="none"/>
        </w:rPr>
      </w:pPr>
      <w:r>
        <w:rPr>
          <w:color w:val="auto"/>
          <w:highlight w:val="none"/>
        </w:rPr>
        <w:t xml:space="preserve">合要求的供应商或者报价未超过采购预算的供应商不足 3 家的。 </w:t>
      </w:r>
    </w:p>
    <w:p>
      <w:pPr>
        <w:pStyle w:val="2"/>
        <w:spacing w:line="400" w:lineRule="exact"/>
        <w:ind w:left="565" w:leftChars="257" w:firstLine="180" w:firstLineChars="100"/>
        <w:rPr>
          <w:color w:val="auto"/>
          <w:sz w:val="19"/>
          <w:highlight w:val="none"/>
        </w:rPr>
      </w:pPr>
      <w:r>
        <w:rPr>
          <w:color w:val="auto"/>
          <w:spacing w:val="-15"/>
          <w:highlight w:val="none"/>
        </w:rPr>
        <w:t>2</w:t>
      </w:r>
      <w:r>
        <w:rPr>
          <w:rFonts w:hint="eastAsia"/>
          <w:color w:val="auto"/>
          <w:spacing w:val="-15"/>
          <w:highlight w:val="none"/>
        </w:rPr>
        <w:t>7</w:t>
      </w:r>
      <w:r>
        <w:rPr>
          <w:color w:val="auto"/>
          <w:spacing w:val="-15"/>
          <w:highlight w:val="none"/>
        </w:rPr>
        <w:t xml:space="preserve">.4 在采购活动中因重大变故，采购任务取消的，采购人或者采购代理机构应当终止采购活动， </w:t>
      </w:r>
      <w:r>
        <w:rPr>
          <w:color w:val="auto"/>
          <w:spacing w:val="-7"/>
          <w:highlight w:val="none"/>
        </w:rPr>
        <w:t>通知所有参加采购活动的供应商，并将项目实施情况和采购任务取消原因报送本级财政部门。</w:t>
      </w:r>
      <w:r>
        <w:rPr>
          <w:color w:val="auto"/>
          <w:highlight w:val="none"/>
        </w:rPr>
        <w:t xml:space="preserve"> </w:t>
      </w:r>
    </w:p>
    <w:p>
      <w:pPr>
        <w:pStyle w:val="2"/>
        <w:spacing w:line="400" w:lineRule="exact"/>
        <w:ind w:left="565" w:leftChars="257"/>
        <w:rPr>
          <w:b/>
          <w:bCs/>
          <w:color w:val="auto"/>
          <w:sz w:val="24"/>
          <w:szCs w:val="24"/>
          <w:highlight w:val="none"/>
        </w:rPr>
      </w:pPr>
      <w:r>
        <w:rPr>
          <w:rFonts w:hint="eastAsia"/>
          <w:b/>
          <w:bCs/>
          <w:color w:val="auto"/>
          <w:sz w:val="24"/>
          <w:szCs w:val="24"/>
          <w:highlight w:val="none"/>
        </w:rPr>
        <w:t>2</w:t>
      </w:r>
      <w:r>
        <w:rPr>
          <w:b/>
          <w:bCs/>
          <w:color w:val="auto"/>
          <w:sz w:val="24"/>
          <w:szCs w:val="24"/>
          <w:highlight w:val="none"/>
        </w:rPr>
        <w:t xml:space="preserve">8. </w:t>
      </w:r>
      <w:r>
        <w:rPr>
          <w:rFonts w:hint="eastAsia"/>
          <w:b/>
          <w:bCs/>
          <w:color w:val="auto"/>
          <w:sz w:val="24"/>
          <w:szCs w:val="24"/>
          <w:highlight w:val="none"/>
        </w:rPr>
        <w:t>履约保证金</w:t>
      </w:r>
    </w:p>
    <w:p>
      <w:pPr>
        <w:pStyle w:val="2"/>
        <w:spacing w:line="400" w:lineRule="exact"/>
        <w:ind w:left="565" w:leftChars="257" w:firstLine="204" w:firstLineChars="100"/>
        <w:rPr>
          <w:color w:val="auto"/>
          <w:sz w:val="19"/>
          <w:highlight w:val="none"/>
        </w:rPr>
      </w:pPr>
      <w:r>
        <w:rPr>
          <w:rFonts w:hint="eastAsia"/>
          <w:color w:val="auto"/>
          <w:spacing w:val="-3"/>
          <w:highlight w:val="none"/>
        </w:rPr>
        <w:t>2</w:t>
      </w:r>
      <w:r>
        <w:rPr>
          <w:color w:val="auto"/>
          <w:spacing w:val="-3"/>
          <w:highlight w:val="none"/>
        </w:rPr>
        <w:t>8.1 履约保证金的金额、提交方式、退付的时间和条件详见 “供应商须知前附表”。成交供应商未按规定提交履约保证金的，视为拒绝与采购人签订合同。</w:t>
      </w:r>
      <w:r>
        <w:rPr>
          <w:color w:val="auto"/>
          <w:highlight w:val="none"/>
        </w:rPr>
        <w:t xml:space="preserve"> </w:t>
      </w:r>
    </w:p>
    <w:p>
      <w:pPr>
        <w:pStyle w:val="2"/>
        <w:spacing w:line="400" w:lineRule="exact"/>
        <w:ind w:left="565" w:leftChars="257" w:firstLine="198" w:firstLineChars="100"/>
        <w:rPr>
          <w:color w:val="auto"/>
          <w:highlight w:val="none"/>
        </w:rPr>
      </w:pPr>
      <w:r>
        <w:rPr>
          <w:rFonts w:hint="eastAsia"/>
          <w:color w:val="auto"/>
          <w:spacing w:val="-6"/>
          <w:highlight w:val="none"/>
        </w:rPr>
        <w:t>2</w:t>
      </w:r>
      <w:r>
        <w:rPr>
          <w:color w:val="auto"/>
          <w:spacing w:val="-6"/>
          <w:highlight w:val="none"/>
        </w:rPr>
        <w:t>8.2 在履约保证金退还日期前，若成交供应商的开户名称、开户银行、帐号有变动的，请以书</w:t>
      </w:r>
      <w:r>
        <w:rPr>
          <w:color w:val="auto"/>
          <w:spacing w:val="-4"/>
          <w:highlight w:val="none"/>
        </w:rPr>
        <w:t>面形式通知履约保证金收取单位，否则由此产生的后果由成交供应商自行承担。</w:t>
      </w:r>
      <w:r>
        <w:rPr>
          <w:color w:val="auto"/>
          <w:highlight w:val="none"/>
        </w:rPr>
        <w:t xml:space="preserve"> </w:t>
      </w:r>
    </w:p>
    <w:p>
      <w:pPr>
        <w:pStyle w:val="2"/>
        <w:spacing w:line="400" w:lineRule="exact"/>
        <w:ind w:left="565" w:leftChars="257"/>
        <w:rPr>
          <w:b/>
          <w:bCs/>
          <w:color w:val="auto"/>
          <w:sz w:val="24"/>
          <w:szCs w:val="24"/>
          <w:highlight w:val="none"/>
        </w:rPr>
      </w:pPr>
      <w:r>
        <w:rPr>
          <w:rFonts w:hint="eastAsia"/>
          <w:b/>
          <w:bCs/>
          <w:color w:val="auto"/>
          <w:sz w:val="24"/>
          <w:szCs w:val="24"/>
          <w:highlight w:val="none"/>
        </w:rPr>
        <w:t>2</w:t>
      </w:r>
      <w:r>
        <w:rPr>
          <w:b/>
          <w:bCs/>
          <w:color w:val="auto"/>
          <w:sz w:val="24"/>
          <w:szCs w:val="24"/>
          <w:highlight w:val="none"/>
        </w:rPr>
        <w:t xml:space="preserve">9. </w:t>
      </w:r>
      <w:r>
        <w:rPr>
          <w:rFonts w:hint="eastAsia"/>
          <w:b/>
          <w:bCs/>
          <w:color w:val="auto"/>
          <w:sz w:val="24"/>
          <w:szCs w:val="24"/>
          <w:highlight w:val="none"/>
        </w:rPr>
        <w:t>签订合同</w:t>
      </w:r>
    </w:p>
    <w:p>
      <w:pPr>
        <w:pStyle w:val="2"/>
        <w:spacing w:line="400" w:lineRule="exact"/>
        <w:ind w:left="565" w:leftChars="257" w:firstLine="198" w:firstLineChars="100"/>
        <w:rPr>
          <w:color w:val="auto"/>
          <w:highlight w:val="none"/>
        </w:rPr>
      </w:pPr>
      <w:r>
        <w:rPr>
          <w:rFonts w:hint="eastAsia"/>
          <w:color w:val="auto"/>
          <w:spacing w:val="-6"/>
          <w:highlight w:val="none"/>
        </w:rPr>
        <w:t>2</w:t>
      </w:r>
      <w:r>
        <w:rPr>
          <w:color w:val="auto"/>
          <w:spacing w:val="-6"/>
          <w:highlight w:val="none"/>
        </w:rPr>
        <w:t>9.1 签订电子采购合同：成交供应商领取电子成交通知书后，在规定的日期、时间、地点，由法定代表人或其授权代表与采购人代表签订电子采购合同。如成交供应商为联合体的，由联合体成</w:t>
      </w:r>
      <w:r>
        <w:rPr>
          <w:color w:val="auto"/>
          <w:spacing w:val="-4"/>
          <w:highlight w:val="none"/>
        </w:rPr>
        <w:t>员各方法定代表人或其授权代表与采购人代表签订合同。</w:t>
      </w:r>
      <w:r>
        <w:rPr>
          <w:color w:val="auto"/>
          <w:highlight w:val="none"/>
        </w:rPr>
        <w:t xml:space="preserve"> </w:t>
      </w:r>
    </w:p>
    <w:p>
      <w:pPr>
        <w:pStyle w:val="2"/>
        <w:spacing w:line="400" w:lineRule="exact"/>
        <w:ind w:left="565" w:leftChars="257" w:firstLine="202" w:firstLineChars="100"/>
        <w:rPr>
          <w:color w:val="auto"/>
          <w:highlight w:val="none"/>
        </w:rPr>
      </w:pPr>
      <w:r>
        <w:rPr>
          <w:color w:val="auto"/>
          <w:spacing w:val="-4"/>
          <w:highlight w:val="none"/>
        </w:rPr>
        <w:t>线下签订纸质合同：供应商领取成交通知书后，按“供应商须知前附表”规定向采购人出示相</w:t>
      </w:r>
      <w:r>
        <w:rPr>
          <w:color w:val="auto"/>
          <w:spacing w:val="-3"/>
          <w:highlight w:val="none"/>
        </w:rPr>
        <w:t>关证明材料，经采购人核验合格后方可签订合同。</w:t>
      </w:r>
      <w:r>
        <w:rPr>
          <w:color w:val="auto"/>
          <w:highlight w:val="none"/>
        </w:rPr>
        <w:t xml:space="preserve"> </w:t>
      </w:r>
    </w:p>
    <w:p>
      <w:pPr>
        <w:pStyle w:val="2"/>
        <w:spacing w:line="400" w:lineRule="exact"/>
        <w:ind w:left="565" w:leftChars="257" w:firstLine="204" w:firstLineChars="100"/>
        <w:rPr>
          <w:color w:val="auto"/>
          <w:highlight w:val="none"/>
        </w:rPr>
      </w:pPr>
      <w:r>
        <w:rPr>
          <w:rFonts w:hint="eastAsia"/>
          <w:color w:val="auto"/>
          <w:spacing w:val="-3"/>
          <w:highlight w:val="none"/>
        </w:rPr>
        <w:t>2</w:t>
      </w:r>
      <w:r>
        <w:rPr>
          <w:color w:val="auto"/>
          <w:spacing w:val="-3"/>
          <w:highlight w:val="none"/>
        </w:rPr>
        <w:t>9.2 签订合同时间：按成交通知书规定的时间与采购人签订合同。</w:t>
      </w:r>
      <w:r>
        <w:rPr>
          <w:color w:val="auto"/>
          <w:highlight w:val="none"/>
        </w:rPr>
        <w:t xml:space="preserve"> </w:t>
      </w:r>
    </w:p>
    <w:p>
      <w:pPr>
        <w:pStyle w:val="2"/>
        <w:spacing w:line="400" w:lineRule="exact"/>
        <w:ind w:left="565" w:leftChars="257" w:firstLine="202" w:firstLineChars="100"/>
        <w:rPr>
          <w:color w:val="auto"/>
          <w:highlight w:val="none"/>
        </w:rPr>
      </w:pPr>
      <w:r>
        <w:rPr>
          <w:rFonts w:hint="eastAsia"/>
          <w:color w:val="auto"/>
          <w:spacing w:val="-4"/>
          <w:highlight w:val="none"/>
        </w:rPr>
        <w:t>2</w:t>
      </w:r>
      <w:r>
        <w:rPr>
          <w:color w:val="auto"/>
          <w:spacing w:val="-4"/>
          <w:highlight w:val="none"/>
        </w:rPr>
        <w:t>9.3 成交供应商拒绝签订政府采购合同</w:t>
      </w:r>
      <w:r>
        <w:rPr>
          <w:color w:val="auto"/>
          <w:spacing w:val="-3"/>
          <w:highlight w:val="none"/>
        </w:rPr>
        <w:t>（</w:t>
      </w:r>
      <w:r>
        <w:rPr>
          <w:color w:val="auto"/>
          <w:spacing w:val="-5"/>
          <w:highlight w:val="none"/>
        </w:rPr>
        <w:t>包括但不限于放弃成交、因不可抗力不能履行合同而放弃签订合同），</w:t>
      </w:r>
      <w:r>
        <w:rPr>
          <w:color w:val="auto"/>
          <w:spacing w:val="-3"/>
          <w:highlight w:val="none"/>
        </w:rPr>
        <w:t>采购人可以按照评审报告推荐的成交候选人名单排序，确定下一候选人为成交供</w:t>
      </w:r>
      <w:r>
        <w:rPr>
          <w:color w:val="auto"/>
          <w:spacing w:val="-10"/>
          <w:highlight w:val="none"/>
        </w:rPr>
        <w:t xml:space="preserve">应商，也可以重新开展政府采购活动。如采购人无正当理由拒签合同的，给成交供应商造成损失的， </w:t>
      </w:r>
      <w:r>
        <w:rPr>
          <w:color w:val="auto"/>
          <w:spacing w:val="-5"/>
          <w:highlight w:val="none"/>
        </w:rPr>
        <w:t>成交供应商可追究采购人承担相应的法律责任。</w:t>
      </w:r>
      <w:r>
        <w:rPr>
          <w:color w:val="auto"/>
          <w:highlight w:val="none"/>
        </w:rPr>
        <w:t xml:space="preserve"> </w:t>
      </w:r>
    </w:p>
    <w:p>
      <w:pPr>
        <w:pStyle w:val="2"/>
        <w:spacing w:line="400" w:lineRule="exact"/>
        <w:ind w:left="565" w:leftChars="257" w:firstLine="200" w:firstLineChars="100"/>
        <w:rPr>
          <w:color w:val="auto"/>
          <w:highlight w:val="none"/>
        </w:rPr>
      </w:pPr>
      <w:r>
        <w:rPr>
          <w:rFonts w:hint="eastAsia"/>
          <w:color w:val="auto"/>
          <w:spacing w:val="-5"/>
          <w:highlight w:val="none"/>
        </w:rPr>
        <w:t>2</w:t>
      </w:r>
      <w:r>
        <w:rPr>
          <w:color w:val="auto"/>
          <w:spacing w:val="-5"/>
          <w:highlight w:val="none"/>
        </w:rPr>
        <w:t>9.4 政府采购合同是政府采购项目验收的依据，成交供应商和采购人应当按照采购合同约定的</w:t>
      </w:r>
      <w:r>
        <w:rPr>
          <w:color w:val="auto"/>
          <w:highlight w:val="none"/>
        </w:rPr>
        <w:t>各自的权利和义务全面履行合同。任何一方当事人在履行合同过程中均不得擅自变更、中止或终止</w:t>
      </w:r>
      <w:r>
        <w:rPr>
          <w:color w:val="auto"/>
          <w:spacing w:val="-4"/>
          <w:highlight w:val="none"/>
        </w:rPr>
        <w:t>合同。政府采购合同继续履行将损害国家利益和社会公共利益的，双方当事人应当变更、中止或终</w:t>
      </w:r>
      <w:r>
        <w:rPr>
          <w:color w:val="auto"/>
          <w:spacing w:val="-3"/>
          <w:highlight w:val="none"/>
        </w:rPr>
        <w:t>止合同。有过错的一方应当承担赔偿责任，双方都有过错的，各自承担相应的责任。</w:t>
      </w:r>
      <w:r>
        <w:rPr>
          <w:color w:val="auto"/>
          <w:highlight w:val="none"/>
        </w:rPr>
        <w:t xml:space="preserve"> </w:t>
      </w:r>
    </w:p>
    <w:p>
      <w:pPr>
        <w:pStyle w:val="2"/>
        <w:spacing w:line="400" w:lineRule="exact"/>
        <w:ind w:left="565" w:leftChars="257" w:firstLine="204" w:firstLineChars="100"/>
        <w:rPr>
          <w:color w:val="auto"/>
          <w:highlight w:val="none"/>
        </w:rPr>
      </w:pPr>
      <w:r>
        <w:rPr>
          <w:rFonts w:hint="eastAsia"/>
          <w:color w:val="auto"/>
          <w:spacing w:val="-3"/>
          <w:highlight w:val="none"/>
        </w:rPr>
        <w:t>2</w:t>
      </w:r>
      <w:r>
        <w:rPr>
          <w:color w:val="auto"/>
          <w:spacing w:val="-3"/>
          <w:highlight w:val="none"/>
        </w:rPr>
        <w:t>9.5 采购人或成交供应商不得单方面向合同另一方提出任何磋商文件没有约定的条件或不合理的要求，作为签订合同的条件；也不得协商另行订立背离磋商文件和合同实质性内容的协议。</w:t>
      </w:r>
      <w:r>
        <w:rPr>
          <w:color w:val="auto"/>
          <w:highlight w:val="none"/>
        </w:rPr>
        <w:t xml:space="preserve"> </w:t>
      </w:r>
    </w:p>
    <w:p>
      <w:pPr>
        <w:pStyle w:val="2"/>
        <w:spacing w:line="400" w:lineRule="exact"/>
        <w:ind w:left="565" w:leftChars="257" w:firstLine="198" w:firstLineChars="100"/>
        <w:rPr>
          <w:color w:val="auto"/>
          <w:highlight w:val="none"/>
        </w:rPr>
      </w:pPr>
      <w:r>
        <w:rPr>
          <w:rFonts w:hint="eastAsia"/>
          <w:color w:val="auto"/>
          <w:spacing w:val="-6"/>
          <w:highlight w:val="none"/>
        </w:rPr>
        <w:t>2</w:t>
      </w:r>
      <w:r>
        <w:rPr>
          <w:color w:val="auto"/>
          <w:spacing w:val="-6"/>
          <w:highlight w:val="none"/>
        </w:rPr>
        <w:t>9.6 如签订合同并生效后，供应商无故拒绝或延期，除按照合同条款处理外，将承担相应的法</w:t>
      </w:r>
      <w:r>
        <w:rPr>
          <w:color w:val="auto"/>
          <w:spacing w:val="-5"/>
          <w:highlight w:val="none"/>
        </w:rPr>
        <w:t>律责任。</w:t>
      </w:r>
      <w:r>
        <w:rPr>
          <w:color w:val="auto"/>
          <w:highlight w:val="none"/>
        </w:rPr>
        <w:t xml:space="preserve"> </w:t>
      </w:r>
    </w:p>
    <w:p>
      <w:pPr>
        <w:pStyle w:val="2"/>
        <w:spacing w:line="400" w:lineRule="exact"/>
        <w:ind w:left="565" w:leftChars="257" w:firstLine="198" w:firstLineChars="100"/>
        <w:rPr>
          <w:color w:val="auto"/>
          <w:highlight w:val="none"/>
        </w:rPr>
      </w:pPr>
      <w:r>
        <w:rPr>
          <w:color w:val="auto"/>
          <w:spacing w:val="-6"/>
          <w:highlight w:val="none"/>
        </w:rPr>
        <w:t>29.7 政府采购合同履行中，采购人需追加与合同标的相同的货物、工程或者服务的，在不改变</w:t>
      </w:r>
      <w:r>
        <w:rPr>
          <w:color w:val="auto"/>
          <w:spacing w:val="-7"/>
          <w:highlight w:val="none"/>
        </w:rPr>
        <w:t>合同其他条款的前提下，可以与供应商协商签订补充合同，但所有补充合同的采购金额不得超过原</w:t>
      </w:r>
      <w:r>
        <w:rPr>
          <w:color w:val="auto"/>
          <w:spacing w:val="-10"/>
          <w:highlight w:val="none"/>
        </w:rPr>
        <w:t xml:space="preserve">合同采购金额的 </w:t>
      </w:r>
      <w:r>
        <w:rPr>
          <w:color w:val="auto"/>
          <w:highlight w:val="none"/>
        </w:rPr>
        <w:t xml:space="preserve">10%。 </w:t>
      </w:r>
    </w:p>
    <w:p>
      <w:pPr>
        <w:pStyle w:val="2"/>
        <w:spacing w:line="400" w:lineRule="exact"/>
        <w:ind w:left="565" w:leftChars="257"/>
        <w:rPr>
          <w:b/>
          <w:bCs/>
          <w:color w:val="auto"/>
          <w:sz w:val="24"/>
          <w:szCs w:val="24"/>
          <w:highlight w:val="none"/>
        </w:rPr>
      </w:pPr>
      <w:r>
        <w:rPr>
          <w:rFonts w:hint="eastAsia"/>
          <w:b/>
          <w:bCs/>
          <w:color w:val="auto"/>
          <w:sz w:val="24"/>
          <w:szCs w:val="24"/>
          <w:highlight w:val="none"/>
        </w:rPr>
        <w:t>3</w:t>
      </w:r>
      <w:r>
        <w:rPr>
          <w:b/>
          <w:bCs/>
          <w:color w:val="auto"/>
          <w:sz w:val="24"/>
          <w:szCs w:val="24"/>
          <w:highlight w:val="none"/>
        </w:rPr>
        <w:t xml:space="preserve">0. </w:t>
      </w:r>
      <w:r>
        <w:rPr>
          <w:rFonts w:hint="eastAsia"/>
          <w:b/>
          <w:bCs/>
          <w:color w:val="auto"/>
          <w:sz w:val="24"/>
          <w:szCs w:val="24"/>
          <w:highlight w:val="none"/>
        </w:rPr>
        <w:t>政府采购合同公告</w:t>
      </w:r>
    </w:p>
    <w:p>
      <w:pPr>
        <w:pStyle w:val="2"/>
        <w:spacing w:line="400" w:lineRule="exact"/>
        <w:ind w:left="565" w:leftChars="257" w:firstLine="204" w:firstLineChars="100"/>
        <w:rPr>
          <w:color w:val="auto"/>
          <w:highlight w:val="none"/>
        </w:rPr>
      </w:pPr>
      <w:r>
        <w:rPr>
          <w:color w:val="auto"/>
          <w:spacing w:val="-3"/>
          <w:highlight w:val="none"/>
        </w:rPr>
        <w:t>根据《中华人民共和国政府采购法实施条例》第五十条规定，采购人应当自政府采购合同签订</w:t>
      </w:r>
      <w:r>
        <w:rPr>
          <w:color w:val="auto"/>
          <w:spacing w:val="-5"/>
          <w:highlight w:val="none"/>
        </w:rPr>
        <w:t xml:space="preserve">之日起 </w:t>
      </w:r>
      <w:r>
        <w:rPr>
          <w:color w:val="auto"/>
          <w:highlight w:val="none"/>
        </w:rPr>
        <w:t>2</w:t>
      </w:r>
      <w:r>
        <w:rPr>
          <w:color w:val="auto"/>
          <w:spacing w:val="-5"/>
          <w:highlight w:val="none"/>
        </w:rPr>
        <w:t xml:space="preserve"> 个工作日内，将政府采购合同在省级以上人民政府财政部门指定的媒体上公告，但政府采</w:t>
      </w:r>
      <w:r>
        <w:rPr>
          <w:color w:val="auto"/>
          <w:spacing w:val="-4"/>
          <w:highlight w:val="none"/>
        </w:rPr>
        <w:t>购合同中涉及国家秘密、商业秘密的内容除外。</w:t>
      </w:r>
    </w:p>
    <w:p>
      <w:pPr>
        <w:pStyle w:val="2"/>
        <w:spacing w:line="400" w:lineRule="exact"/>
        <w:ind w:left="565" w:leftChars="257"/>
        <w:rPr>
          <w:b/>
          <w:bCs/>
          <w:color w:val="auto"/>
          <w:sz w:val="24"/>
          <w:szCs w:val="24"/>
          <w:highlight w:val="none"/>
        </w:rPr>
      </w:pPr>
      <w:r>
        <w:rPr>
          <w:rFonts w:hint="eastAsia"/>
          <w:b/>
          <w:bCs/>
          <w:color w:val="auto"/>
          <w:sz w:val="24"/>
          <w:szCs w:val="24"/>
          <w:highlight w:val="none"/>
        </w:rPr>
        <w:t>3</w:t>
      </w:r>
      <w:r>
        <w:rPr>
          <w:b/>
          <w:bCs/>
          <w:color w:val="auto"/>
          <w:sz w:val="24"/>
          <w:szCs w:val="24"/>
          <w:highlight w:val="none"/>
        </w:rPr>
        <w:t xml:space="preserve">1. </w:t>
      </w:r>
      <w:r>
        <w:rPr>
          <w:rFonts w:hint="eastAsia"/>
          <w:b/>
          <w:bCs/>
          <w:color w:val="auto"/>
          <w:sz w:val="24"/>
          <w:szCs w:val="24"/>
          <w:highlight w:val="none"/>
        </w:rPr>
        <w:t>询问、质疑和投诉</w:t>
      </w:r>
    </w:p>
    <w:p>
      <w:pPr>
        <w:pStyle w:val="2"/>
        <w:spacing w:line="400" w:lineRule="exact"/>
        <w:ind w:left="565" w:leftChars="257" w:firstLine="198" w:firstLineChars="100"/>
        <w:rPr>
          <w:color w:val="auto"/>
          <w:highlight w:val="none"/>
        </w:rPr>
      </w:pPr>
      <w:r>
        <w:rPr>
          <w:rFonts w:hint="eastAsia"/>
          <w:color w:val="auto"/>
          <w:spacing w:val="-6"/>
          <w:highlight w:val="none"/>
        </w:rPr>
        <w:t>3</w:t>
      </w:r>
      <w:r>
        <w:rPr>
          <w:color w:val="auto"/>
          <w:spacing w:val="-6"/>
          <w:highlight w:val="none"/>
        </w:rPr>
        <w:t>1.1 供应商对政府采购活动事项有疑问的，可以向采购人、采购代理机构提出询问，采购人或</w:t>
      </w:r>
      <w:r>
        <w:rPr>
          <w:color w:val="auto"/>
          <w:spacing w:val="-5"/>
          <w:highlight w:val="none"/>
        </w:rPr>
        <w:t xml:space="preserve">者采购代理机构应当在 </w:t>
      </w:r>
      <w:r>
        <w:rPr>
          <w:color w:val="auto"/>
          <w:highlight w:val="none"/>
        </w:rPr>
        <w:t>3</w:t>
      </w:r>
      <w:r>
        <w:rPr>
          <w:color w:val="auto"/>
          <w:spacing w:val="-5"/>
          <w:highlight w:val="none"/>
        </w:rPr>
        <w:t xml:space="preserve"> 个工作日内对供应商依法提出的询问作出答复，但答复的内容不得涉及商业秘密。</w:t>
      </w:r>
      <w:r>
        <w:rPr>
          <w:color w:val="auto"/>
          <w:highlight w:val="none"/>
        </w:rPr>
        <w:t xml:space="preserve"> </w:t>
      </w:r>
    </w:p>
    <w:p>
      <w:pPr>
        <w:pStyle w:val="2"/>
        <w:spacing w:line="400" w:lineRule="exact"/>
        <w:ind w:left="565" w:leftChars="257" w:firstLine="200" w:firstLineChars="100"/>
        <w:rPr>
          <w:color w:val="auto"/>
          <w:highlight w:val="none"/>
        </w:rPr>
      </w:pPr>
      <w:r>
        <w:rPr>
          <w:rFonts w:hint="eastAsia"/>
          <w:color w:val="auto"/>
          <w:spacing w:val="-5"/>
          <w:highlight w:val="none"/>
        </w:rPr>
        <w:t>3</w:t>
      </w:r>
      <w:r>
        <w:rPr>
          <w:color w:val="auto"/>
          <w:spacing w:val="-5"/>
          <w:highlight w:val="none"/>
        </w:rPr>
        <w:t xml:space="preserve">1.2 供应商认为磋商文件、采购过程或者成交结果使自己的合法权益受到损害的，应当在知道或者应知其权益受到损害之日起 </w:t>
      </w:r>
      <w:r>
        <w:rPr>
          <w:color w:val="auto"/>
          <w:highlight w:val="none"/>
        </w:rPr>
        <w:t>7</w:t>
      </w:r>
      <w:r>
        <w:rPr>
          <w:color w:val="auto"/>
          <w:spacing w:val="-5"/>
          <w:highlight w:val="none"/>
        </w:rPr>
        <w:t xml:space="preserve"> 个工作日内，以书面形式向采购人、采购代理机构提出质疑，接收质疑函的方式、联系部门、联系电话和通讯地址等信息详见“供应商须知前附表”。具体质疑起</w:t>
      </w:r>
      <w:r>
        <w:rPr>
          <w:color w:val="auto"/>
          <w:spacing w:val="-4"/>
          <w:highlight w:val="none"/>
        </w:rPr>
        <w:t>算时间如下：</w:t>
      </w:r>
      <w:r>
        <w:rPr>
          <w:color w:val="auto"/>
          <w:highlight w:val="none"/>
        </w:rPr>
        <w:t xml:space="preserve"> </w:t>
      </w:r>
    </w:p>
    <w:p>
      <w:pPr>
        <w:pStyle w:val="2"/>
        <w:spacing w:line="400" w:lineRule="exact"/>
        <w:ind w:left="565" w:leftChars="257" w:firstLine="198" w:firstLineChars="100"/>
        <w:rPr>
          <w:color w:val="auto"/>
          <w:highlight w:val="none"/>
        </w:rPr>
      </w:pPr>
      <w:r>
        <w:rPr>
          <w:rFonts w:hint="eastAsia"/>
          <w:color w:val="auto"/>
          <w:spacing w:val="-6"/>
          <w:highlight w:val="none"/>
        </w:rPr>
        <w:t>（1）</w:t>
      </w:r>
      <w:r>
        <w:rPr>
          <w:color w:val="auto"/>
          <w:spacing w:val="-6"/>
          <w:highlight w:val="none"/>
        </w:rPr>
        <w:t xml:space="preserve">对可以质疑的磋商文件提出质疑的，为收到磋商文件之日或者竞争性磋商公告期限届满 </w:t>
      </w:r>
      <w:r>
        <w:rPr>
          <w:color w:val="auto"/>
          <w:spacing w:val="-1"/>
          <w:highlight w:val="none"/>
        </w:rPr>
        <w:t>之日；</w:t>
      </w:r>
      <w:r>
        <w:rPr>
          <w:color w:val="auto"/>
          <w:highlight w:val="none"/>
        </w:rPr>
        <w:t xml:space="preserve"> </w:t>
      </w:r>
    </w:p>
    <w:p>
      <w:pPr>
        <w:pStyle w:val="2"/>
        <w:spacing w:line="400" w:lineRule="exact"/>
        <w:ind w:left="565" w:leftChars="257" w:firstLine="204" w:firstLineChars="100"/>
        <w:rPr>
          <w:color w:val="auto"/>
          <w:highlight w:val="none"/>
        </w:rPr>
      </w:pPr>
      <w:r>
        <w:rPr>
          <w:rFonts w:hint="eastAsia"/>
          <w:color w:val="auto"/>
          <w:spacing w:val="-3"/>
          <w:highlight w:val="none"/>
        </w:rPr>
        <w:t>（</w:t>
      </w:r>
      <w:r>
        <w:rPr>
          <w:color w:val="auto"/>
          <w:spacing w:val="-3"/>
          <w:highlight w:val="none"/>
        </w:rPr>
        <w:t>2</w:t>
      </w:r>
      <w:r>
        <w:rPr>
          <w:rFonts w:hint="eastAsia"/>
          <w:color w:val="auto"/>
          <w:spacing w:val="-3"/>
          <w:highlight w:val="none"/>
        </w:rPr>
        <w:t>）</w:t>
      </w:r>
      <w:r>
        <w:rPr>
          <w:color w:val="auto"/>
          <w:spacing w:val="-3"/>
          <w:highlight w:val="none"/>
        </w:rPr>
        <w:t>对采购过程提出质疑的，为各采购程序环节结束之日；</w:t>
      </w:r>
      <w:r>
        <w:rPr>
          <w:color w:val="auto"/>
          <w:highlight w:val="none"/>
        </w:rPr>
        <w:t xml:space="preserve"> </w:t>
      </w:r>
    </w:p>
    <w:p>
      <w:pPr>
        <w:pStyle w:val="2"/>
        <w:spacing w:line="400" w:lineRule="exact"/>
        <w:ind w:left="565" w:leftChars="257" w:firstLine="204" w:firstLineChars="100"/>
        <w:rPr>
          <w:color w:val="auto"/>
          <w:highlight w:val="none"/>
        </w:rPr>
      </w:pPr>
      <w:r>
        <w:rPr>
          <w:rFonts w:hint="eastAsia"/>
          <w:color w:val="auto"/>
          <w:spacing w:val="-3"/>
          <w:highlight w:val="none"/>
        </w:rPr>
        <w:t>（</w:t>
      </w:r>
      <w:r>
        <w:rPr>
          <w:color w:val="auto"/>
          <w:spacing w:val="-3"/>
          <w:highlight w:val="none"/>
        </w:rPr>
        <w:t>3</w:t>
      </w:r>
      <w:r>
        <w:rPr>
          <w:rFonts w:hint="eastAsia"/>
          <w:color w:val="auto"/>
          <w:spacing w:val="-3"/>
          <w:highlight w:val="none"/>
        </w:rPr>
        <w:t>）</w:t>
      </w:r>
      <w:r>
        <w:rPr>
          <w:color w:val="auto"/>
          <w:spacing w:val="-3"/>
          <w:highlight w:val="none"/>
        </w:rPr>
        <w:t>对成交结果提出质疑的，为成交结果公告期限届满之日。</w:t>
      </w:r>
      <w:r>
        <w:rPr>
          <w:color w:val="auto"/>
          <w:highlight w:val="none"/>
        </w:rPr>
        <w:t xml:space="preserve"> </w:t>
      </w:r>
    </w:p>
    <w:p>
      <w:pPr>
        <w:pStyle w:val="2"/>
        <w:spacing w:line="400" w:lineRule="exact"/>
        <w:ind w:left="565" w:leftChars="257" w:firstLine="202" w:firstLineChars="100"/>
        <w:rPr>
          <w:color w:val="auto"/>
          <w:highlight w:val="none"/>
        </w:rPr>
      </w:pPr>
      <w:r>
        <w:rPr>
          <w:rFonts w:hint="eastAsia"/>
          <w:color w:val="auto"/>
          <w:spacing w:val="-4"/>
          <w:highlight w:val="none"/>
        </w:rPr>
        <w:t>3</w:t>
      </w:r>
      <w:r>
        <w:rPr>
          <w:color w:val="auto"/>
          <w:spacing w:val="-4"/>
          <w:highlight w:val="none"/>
        </w:rPr>
        <w:t>1.3 供应商提出的询问或者质疑超出采购人对采购代理机构委托授权范围的，采购代理机构应当告知供应商向采购人提出。政府采购评审专家应当配合采购人或者采购代理机构答复供应商的询</w:t>
      </w:r>
      <w:r>
        <w:rPr>
          <w:color w:val="auto"/>
          <w:spacing w:val="-3"/>
          <w:highlight w:val="none"/>
        </w:rPr>
        <w:t>问和质疑。</w:t>
      </w:r>
      <w:r>
        <w:rPr>
          <w:color w:val="auto"/>
          <w:highlight w:val="none"/>
        </w:rPr>
        <w:t xml:space="preserve"> </w:t>
      </w:r>
    </w:p>
    <w:p>
      <w:pPr>
        <w:pStyle w:val="2"/>
        <w:spacing w:line="400" w:lineRule="exact"/>
        <w:ind w:left="565" w:leftChars="257" w:firstLine="196" w:firstLineChars="100"/>
        <w:rPr>
          <w:color w:val="auto"/>
          <w:sz w:val="19"/>
          <w:highlight w:val="none"/>
        </w:rPr>
      </w:pPr>
      <w:r>
        <w:rPr>
          <w:rFonts w:hint="eastAsia"/>
          <w:color w:val="auto"/>
          <w:spacing w:val="-7"/>
          <w:highlight w:val="none"/>
        </w:rPr>
        <w:t>3</w:t>
      </w:r>
      <w:r>
        <w:rPr>
          <w:color w:val="auto"/>
          <w:spacing w:val="-7"/>
          <w:highlight w:val="none"/>
        </w:rPr>
        <w:t>1.4 供应商提出质疑应当提交质疑函和必要的证明材料，针对同一采购程序环节的质疑必须在</w:t>
      </w:r>
      <w:r>
        <w:rPr>
          <w:color w:val="auto"/>
          <w:spacing w:val="-5"/>
          <w:highlight w:val="none"/>
        </w:rPr>
        <w:t>法定质疑期内一次性提出。质疑函应当包括下列内容</w:t>
      </w:r>
      <w:r>
        <w:rPr>
          <w:color w:val="auto"/>
          <w:highlight w:val="none"/>
        </w:rPr>
        <w:t>（</w:t>
      </w:r>
      <w:r>
        <w:rPr>
          <w:color w:val="auto"/>
          <w:spacing w:val="-3"/>
          <w:highlight w:val="none"/>
        </w:rPr>
        <w:t>质疑函格式后附</w:t>
      </w:r>
      <w:r>
        <w:rPr>
          <w:color w:val="auto"/>
          <w:highlight w:val="none"/>
        </w:rPr>
        <w:t xml:space="preserve">）： </w:t>
      </w:r>
    </w:p>
    <w:p>
      <w:pPr>
        <w:pStyle w:val="2"/>
        <w:spacing w:line="400" w:lineRule="exact"/>
        <w:ind w:left="565" w:leftChars="257" w:firstLine="204" w:firstLineChars="100"/>
        <w:rPr>
          <w:color w:val="auto"/>
          <w:highlight w:val="none"/>
        </w:rPr>
      </w:pPr>
      <w:r>
        <w:rPr>
          <w:rFonts w:hint="eastAsia"/>
          <w:color w:val="auto"/>
          <w:spacing w:val="-3"/>
          <w:highlight w:val="none"/>
        </w:rPr>
        <w:t>（1）</w:t>
      </w:r>
      <w:r>
        <w:rPr>
          <w:color w:val="auto"/>
          <w:spacing w:val="-3"/>
          <w:highlight w:val="none"/>
        </w:rPr>
        <w:t xml:space="preserve">供应商的姓名或者名称、地址、邮编、联系人及联系电话； </w:t>
      </w:r>
    </w:p>
    <w:p>
      <w:pPr>
        <w:pStyle w:val="2"/>
        <w:spacing w:line="400" w:lineRule="exact"/>
        <w:ind w:left="565" w:leftChars="257" w:firstLine="204" w:firstLineChars="100"/>
        <w:rPr>
          <w:color w:val="auto"/>
          <w:highlight w:val="none"/>
        </w:rPr>
      </w:pPr>
      <w:r>
        <w:rPr>
          <w:rFonts w:hint="eastAsia"/>
          <w:color w:val="auto"/>
          <w:spacing w:val="-3"/>
          <w:highlight w:val="none"/>
        </w:rPr>
        <w:t>（2）</w:t>
      </w:r>
      <w:r>
        <w:rPr>
          <w:color w:val="auto"/>
          <w:spacing w:val="-3"/>
          <w:highlight w:val="none"/>
        </w:rPr>
        <w:t>质疑项目的名称、编号；</w:t>
      </w:r>
      <w:r>
        <w:rPr>
          <w:color w:val="auto"/>
          <w:highlight w:val="none"/>
        </w:rPr>
        <w:t xml:space="preserve"> </w:t>
      </w:r>
    </w:p>
    <w:p>
      <w:pPr>
        <w:pStyle w:val="2"/>
        <w:spacing w:line="400" w:lineRule="exact"/>
        <w:ind w:left="565" w:leftChars="257" w:firstLine="210" w:firstLineChars="100"/>
        <w:rPr>
          <w:color w:val="auto"/>
          <w:highlight w:val="none"/>
        </w:rPr>
      </w:pPr>
      <w:r>
        <w:rPr>
          <w:rFonts w:hint="eastAsia"/>
          <w:color w:val="auto"/>
          <w:highlight w:val="none"/>
        </w:rPr>
        <w:t>（3）</w:t>
      </w:r>
      <w:r>
        <w:rPr>
          <w:color w:val="auto"/>
          <w:spacing w:val="-3"/>
          <w:highlight w:val="none"/>
        </w:rPr>
        <w:t>具体、明确的质疑事项和与质疑事项相关的请求；</w:t>
      </w:r>
      <w:r>
        <w:rPr>
          <w:color w:val="auto"/>
          <w:highlight w:val="none"/>
        </w:rPr>
        <w:t xml:space="preserve"> </w:t>
      </w:r>
    </w:p>
    <w:p>
      <w:pPr>
        <w:pStyle w:val="2"/>
        <w:spacing w:line="400" w:lineRule="exact"/>
        <w:ind w:left="565" w:leftChars="257" w:firstLine="204" w:firstLineChars="100"/>
        <w:rPr>
          <w:color w:val="auto"/>
          <w:highlight w:val="none"/>
        </w:rPr>
      </w:pPr>
      <w:r>
        <w:rPr>
          <w:rFonts w:hint="eastAsia"/>
          <w:color w:val="auto"/>
          <w:spacing w:val="-3"/>
          <w:highlight w:val="none"/>
        </w:rPr>
        <w:t>（4）</w:t>
      </w:r>
      <w:r>
        <w:rPr>
          <w:color w:val="auto"/>
          <w:spacing w:val="-3"/>
          <w:highlight w:val="none"/>
        </w:rPr>
        <w:t>事实依据；</w:t>
      </w:r>
      <w:r>
        <w:rPr>
          <w:color w:val="auto"/>
          <w:highlight w:val="none"/>
        </w:rPr>
        <w:t xml:space="preserve"> </w:t>
      </w:r>
    </w:p>
    <w:p>
      <w:pPr>
        <w:pStyle w:val="2"/>
        <w:spacing w:line="400" w:lineRule="exact"/>
        <w:ind w:left="565" w:leftChars="257" w:firstLine="204" w:firstLineChars="100"/>
        <w:rPr>
          <w:color w:val="auto"/>
          <w:highlight w:val="none"/>
        </w:rPr>
      </w:pPr>
      <w:r>
        <w:rPr>
          <w:rFonts w:hint="eastAsia"/>
          <w:color w:val="auto"/>
          <w:spacing w:val="-3"/>
          <w:highlight w:val="none"/>
        </w:rPr>
        <w:t>（</w:t>
      </w:r>
      <w:r>
        <w:rPr>
          <w:color w:val="auto"/>
          <w:spacing w:val="-3"/>
          <w:highlight w:val="none"/>
        </w:rPr>
        <w:t>5</w:t>
      </w:r>
      <w:r>
        <w:rPr>
          <w:rFonts w:hint="eastAsia"/>
          <w:color w:val="auto"/>
          <w:spacing w:val="-3"/>
          <w:highlight w:val="none"/>
        </w:rPr>
        <w:t>）</w:t>
      </w:r>
      <w:r>
        <w:rPr>
          <w:color w:val="auto"/>
          <w:spacing w:val="-3"/>
          <w:highlight w:val="none"/>
        </w:rPr>
        <w:t>必要的法律依据；</w:t>
      </w:r>
      <w:r>
        <w:rPr>
          <w:color w:val="auto"/>
          <w:highlight w:val="none"/>
        </w:rPr>
        <w:t xml:space="preserve"> </w:t>
      </w:r>
    </w:p>
    <w:p>
      <w:pPr>
        <w:pStyle w:val="2"/>
        <w:spacing w:line="400" w:lineRule="exact"/>
        <w:ind w:left="565" w:leftChars="257" w:firstLine="204" w:firstLineChars="100"/>
        <w:rPr>
          <w:color w:val="auto"/>
          <w:highlight w:val="none"/>
        </w:rPr>
      </w:pPr>
      <w:r>
        <w:rPr>
          <w:rFonts w:hint="eastAsia"/>
          <w:color w:val="auto"/>
          <w:spacing w:val="-3"/>
          <w:highlight w:val="none"/>
        </w:rPr>
        <w:t>（6）</w:t>
      </w:r>
      <w:r>
        <w:rPr>
          <w:color w:val="auto"/>
          <w:spacing w:val="-3"/>
          <w:highlight w:val="none"/>
        </w:rPr>
        <w:t>提出质疑的日期。</w:t>
      </w:r>
      <w:r>
        <w:rPr>
          <w:color w:val="auto"/>
          <w:highlight w:val="none"/>
        </w:rPr>
        <w:t xml:space="preserve"> </w:t>
      </w:r>
    </w:p>
    <w:p>
      <w:pPr>
        <w:pStyle w:val="2"/>
        <w:spacing w:line="400" w:lineRule="exact"/>
        <w:ind w:left="565" w:leftChars="257" w:firstLine="210" w:firstLineChars="100"/>
        <w:rPr>
          <w:color w:val="auto"/>
          <w:highlight w:val="none"/>
        </w:rPr>
      </w:pPr>
      <w:r>
        <w:rPr>
          <w:color w:val="auto"/>
          <w:highlight w:val="none"/>
        </w:rPr>
        <w:t xml:space="preserve">供应商为自然人的，应当由本人签字；供应商为法人或者其他组织的，应当由法定代表人、主要负责人，或者其委托代理人签字或者盖章，并加盖公章。 </w:t>
      </w:r>
    </w:p>
    <w:p>
      <w:pPr>
        <w:pStyle w:val="2"/>
        <w:spacing w:line="400" w:lineRule="exact"/>
        <w:ind w:left="565" w:leftChars="257" w:firstLine="198" w:firstLineChars="100"/>
        <w:rPr>
          <w:color w:val="auto"/>
          <w:highlight w:val="none"/>
        </w:rPr>
      </w:pPr>
      <w:r>
        <w:rPr>
          <w:rFonts w:hint="eastAsia"/>
          <w:color w:val="auto"/>
          <w:spacing w:val="-6"/>
          <w:highlight w:val="none"/>
        </w:rPr>
        <w:t>3</w:t>
      </w:r>
      <w:r>
        <w:rPr>
          <w:color w:val="auto"/>
          <w:spacing w:val="-6"/>
          <w:highlight w:val="none"/>
        </w:rPr>
        <w:t>1.5 采购人、采购代理机构认为供应商质疑不成立，或者成立但未对成交结果构成影响的，继</w:t>
      </w:r>
      <w:r>
        <w:rPr>
          <w:color w:val="auto"/>
          <w:spacing w:val="-4"/>
          <w:highlight w:val="none"/>
        </w:rPr>
        <w:t>续开展采购活动；认为供应商质疑成立且影响或者可能影响成交结果的，按照下列情况处理：</w:t>
      </w:r>
      <w:r>
        <w:rPr>
          <w:color w:val="auto"/>
          <w:highlight w:val="none"/>
        </w:rPr>
        <w:t xml:space="preserve"> </w:t>
      </w:r>
    </w:p>
    <w:p>
      <w:pPr>
        <w:pStyle w:val="2"/>
        <w:spacing w:line="400" w:lineRule="exact"/>
        <w:ind w:left="565" w:leftChars="257" w:firstLine="210" w:firstLineChars="100"/>
        <w:rPr>
          <w:color w:val="auto"/>
          <w:highlight w:val="none"/>
        </w:rPr>
      </w:pPr>
      <w:r>
        <w:rPr>
          <w:color w:val="auto"/>
          <w:highlight w:val="none"/>
        </w:rPr>
        <w:t xml:space="preserve">（一）对采购文件提出的质疑，依法通过澄清或者修改可以继续开展采购活动的，澄清或者修改采购文件后继续开展采购活动；否则应当修改采购文件后重新开展采购活动。 </w:t>
      </w:r>
    </w:p>
    <w:p>
      <w:pPr>
        <w:pStyle w:val="2"/>
        <w:spacing w:line="400" w:lineRule="exact"/>
        <w:ind w:left="565" w:leftChars="257" w:firstLine="210" w:firstLineChars="100"/>
        <w:rPr>
          <w:color w:val="auto"/>
          <w:highlight w:val="none"/>
        </w:rPr>
      </w:pPr>
      <w:r>
        <w:rPr>
          <w:color w:val="auto"/>
          <w:highlight w:val="none"/>
        </w:rPr>
        <w:t xml:space="preserve">（二）对采购过程或者成交结果提出的质疑，合格供应商符合法定数量时，可以从合格的成交候选人中另行确定成交供应商的，应当依法另行确定成交供应商；否则应当重新开展采购活动。 </w:t>
      </w:r>
    </w:p>
    <w:p>
      <w:pPr>
        <w:pStyle w:val="2"/>
        <w:spacing w:line="400" w:lineRule="exact"/>
        <w:ind w:left="565" w:leftChars="257" w:firstLine="210" w:firstLineChars="100"/>
        <w:rPr>
          <w:color w:val="auto"/>
          <w:highlight w:val="none"/>
        </w:rPr>
      </w:pPr>
      <w:r>
        <w:rPr>
          <w:color w:val="auto"/>
          <w:highlight w:val="none"/>
        </w:rPr>
        <w:t xml:space="preserve">质疑答复导致成交结果改变的，采购人或者采购代理机构应当将有关情况书面报告本级财政部门。 </w:t>
      </w:r>
    </w:p>
    <w:p>
      <w:pPr>
        <w:pStyle w:val="2"/>
        <w:spacing w:line="400" w:lineRule="exact"/>
        <w:ind w:left="565" w:leftChars="257" w:firstLine="198" w:firstLineChars="100"/>
        <w:rPr>
          <w:color w:val="auto"/>
          <w:highlight w:val="none"/>
        </w:rPr>
      </w:pPr>
      <w:r>
        <w:rPr>
          <w:rFonts w:hint="eastAsia"/>
          <w:color w:val="auto"/>
          <w:spacing w:val="-6"/>
          <w:highlight w:val="none"/>
        </w:rPr>
        <w:t>3</w:t>
      </w:r>
      <w:r>
        <w:rPr>
          <w:color w:val="auto"/>
          <w:spacing w:val="-6"/>
          <w:highlight w:val="none"/>
        </w:rPr>
        <w:t>1.6 质疑供应商对采购人、采购代理机构的答复不满意，或者采购人、采购代理机构未在规定</w:t>
      </w:r>
      <w:r>
        <w:rPr>
          <w:color w:val="auto"/>
          <w:spacing w:val="-8"/>
          <w:highlight w:val="none"/>
        </w:rPr>
        <w:t xml:space="preserve">时间内作出答复的，可以在答复期满后 </w:t>
      </w:r>
      <w:r>
        <w:rPr>
          <w:color w:val="auto"/>
          <w:highlight w:val="none"/>
        </w:rPr>
        <w:t>15</w:t>
      </w:r>
      <w:r>
        <w:rPr>
          <w:color w:val="auto"/>
          <w:spacing w:val="-11"/>
          <w:highlight w:val="none"/>
        </w:rPr>
        <w:t xml:space="preserve"> 个工作日内向《政府采购质疑和投诉办法》</w:t>
      </w:r>
      <w:r>
        <w:rPr>
          <w:color w:val="auto"/>
          <w:spacing w:val="-3"/>
          <w:highlight w:val="none"/>
        </w:rPr>
        <w:t>（财政部令第94</w:t>
      </w:r>
      <w:r>
        <w:rPr>
          <w:color w:val="auto"/>
          <w:spacing w:val="-28"/>
          <w:highlight w:val="none"/>
        </w:rPr>
        <w:t>号</w:t>
      </w:r>
      <w:r>
        <w:rPr>
          <w:color w:val="auto"/>
          <w:highlight w:val="none"/>
        </w:rPr>
        <w:t>）</w:t>
      </w:r>
      <w:r>
        <w:rPr>
          <w:color w:val="auto"/>
          <w:spacing w:val="-3"/>
          <w:highlight w:val="none"/>
        </w:rPr>
        <w:t>第六条规定的财政部门提起投诉（投诉书格式后附</w:t>
      </w:r>
      <w:r>
        <w:rPr>
          <w:color w:val="auto"/>
          <w:highlight w:val="none"/>
        </w:rPr>
        <w:t>）</w:t>
      </w:r>
      <w:r>
        <w:rPr>
          <w:color w:val="auto"/>
          <w:spacing w:val="-3"/>
          <w:highlight w:val="none"/>
        </w:rPr>
        <w:t>。</w:t>
      </w:r>
      <w:r>
        <w:rPr>
          <w:color w:val="auto"/>
          <w:highlight w:val="none"/>
        </w:rPr>
        <w:t xml:space="preserve"> </w:t>
      </w:r>
    </w:p>
    <w:p>
      <w:pPr>
        <w:pStyle w:val="2"/>
        <w:spacing w:line="400" w:lineRule="exact"/>
        <w:ind w:left="565" w:leftChars="257"/>
        <w:rPr>
          <w:b/>
          <w:bCs/>
          <w:color w:val="auto"/>
          <w:sz w:val="24"/>
          <w:szCs w:val="24"/>
          <w:highlight w:val="none"/>
        </w:rPr>
      </w:pPr>
      <w:r>
        <w:rPr>
          <w:rFonts w:hint="eastAsia"/>
          <w:b/>
          <w:bCs/>
          <w:color w:val="auto"/>
          <w:sz w:val="24"/>
          <w:szCs w:val="24"/>
          <w:highlight w:val="none"/>
        </w:rPr>
        <w:t>3</w:t>
      </w:r>
      <w:r>
        <w:rPr>
          <w:b/>
          <w:bCs/>
          <w:color w:val="auto"/>
          <w:sz w:val="24"/>
          <w:szCs w:val="24"/>
          <w:highlight w:val="none"/>
        </w:rPr>
        <w:t xml:space="preserve">2. </w:t>
      </w:r>
      <w:r>
        <w:rPr>
          <w:rFonts w:hint="eastAsia"/>
          <w:b/>
          <w:bCs/>
          <w:color w:val="auto"/>
          <w:sz w:val="24"/>
          <w:szCs w:val="24"/>
          <w:highlight w:val="none"/>
        </w:rPr>
        <w:t>其他内容</w:t>
      </w:r>
    </w:p>
    <w:p>
      <w:pPr>
        <w:pStyle w:val="2"/>
        <w:spacing w:line="400" w:lineRule="exact"/>
        <w:ind w:left="565" w:leftChars="257" w:firstLine="204" w:firstLineChars="100"/>
        <w:rPr>
          <w:color w:val="auto"/>
          <w:highlight w:val="none"/>
        </w:rPr>
      </w:pPr>
      <w:r>
        <w:rPr>
          <w:color w:val="auto"/>
          <w:spacing w:val="-3"/>
          <w:highlight w:val="none"/>
        </w:rPr>
        <w:t>代理服务收取标准及缴费账户详见“供应商须知前附表”。</w:t>
      </w:r>
      <w:r>
        <w:rPr>
          <w:color w:val="auto"/>
          <w:highlight w:val="none"/>
        </w:rPr>
        <w:t xml:space="preserve"> </w:t>
      </w:r>
    </w:p>
    <w:p>
      <w:pPr>
        <w:pStyle w:val="2"/>
        <w:spacing w:line="400" w:lineRule="exact"/>
        <w:ind w:left="565" w:leftChars="257" w:firstLine="220" w:firstLineChars="100"/>
        <w:rPr>
          <w:color w:val="auto"/>
          <w:highlight w:val="none"/>
        </w:rPr>
      </w:pPr>
      <w:r>
        <w:rPr>
          <w:color w:val="auto"/>
          <w:sz w:val="22"/>
          <w:highlight w:val="none"/>
        </w:rPr>
        <mc:AlternateContent>
          <mc:Choice Requires="wps">
            <w:drawing>
              <wp:anchor distT="0" distB="0" distL="114300" distR="114300" simplePos="0" relativeHeight="251661312" behindDoc="1" locked="0" layoutInCell="1" allowOverlap="1">
                <wp:simplePos x="0" y="0"/>
                <wp:positionH relativeFrom="page">
                  <wp:posOffset>904240</wp:posOffset>
                </wp:positionH>
                <wp:positionV relativeFrom="paragraph">
                  <wp:posOffset>304165</wp:posOffset>
                </wp:positionV>
                <wp:extent cx="2199005" cy="519430"/>
                <wp:effectExtent l="1270" t="4445" r="9525" b="9525"/>
                <wp:wrapNone/>
                <wp:docPr id="4" name="直线 9"/>
                <wp:cNvGraphicFramePr/>
                <a:graphic xmlns:a="http://schemas.openxmlformats.org/drawingml/2006/main">
                  <a:graphicData uri="http://schemas.microsoft.com/office/word/2010/wordprocessingShape">
                    <wps:wsp>
                      <wps:cNvCnPr/>
                      <wps:spPr>
                        <a:xfrm>
                          <a:off x="0" y="0"/>
                          <a:ext cx="2199005" cy="519430"/>
                        </a:xfrm>
                        <a:prstGeom prst="line">
                          <a:avLst/>
                        </a:prstGeom>
                        <a:ln w="6096" cap="flat" cmpd="sng">
                          <a:solidFill>
                            <a:srgbClr val="000000"/>
                          </a:solidFill>
                          <a:prstDash val="solid"/>
                          <a:headEnd type="none" w="med" len="med"/>
                          <a:tailEnd type="none" w="med" len="med"/>
                        </a:ln>
                      </wps:spPr>
                      <wps:bodyPr upright="1"/>
                    </wps:wsp>
                  </a:graphicData>
                </a:graphic>
              </wp:anchor>
            </w:drawing>
          </mc:Choice>
          <mc:Fallback>
            <w:pict>
              <v:line id="直线 9" o:spid="_x0000_s1026" o:spt="20" style="position:absolute;left:0pt;margin-left:71.2pt;margin-top:23.95pt;height:40.9pt;width:173.15pt;mso-position-horizontal-relative:page;z-index:-251655168;mso-width-relative:page;mso-height-relative:page;" filled="f" stroked="t" coordsize="21600,21600" o:gfxdata="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STv442AAAAAoBAAAPAAAAAAAAAAEAIAAAACIAAABkcnMvZG93bnJldi54bWxQSwECFAAUAAAA&#10;CACHTuJAmyxyse4BAADgAwAADgAAAAAAAAABACAAAAAnAQAAZHJzL2Uyb0RvYy54bWxQSwUGAAAA&#10;AAYABgBZAQAAhwUAAAAA&#10;">
                <v:fill on="f" focussize="0,0"/>
                <v:stroke weight="0.48pt" color="#000000" joinstyle="round"/>
                <v:imagedata o:title=""/>
                <o:lock v:ext="edit" aspectratio="f"/>
              </v:line>
            </w:pict>
          </mc:Fallback>
        </mc:AlternateContent>
      </w:r>
      <w:r>
        <w:rPr>
          <w:color w:val="auto"/>
          <w:spacing w:val="-3"/>
          <w:highlight w:val="none"/>
        </w:rPr>
        <w:t>代理服务费收费计算标准：</w:t>
      </w:r>
      <w:r>
        <w:rPr>
          <w:color w:val="auto"/>
          <w:highlight w:val="none"/>
        </w:rPr>
        <w:t xml:space="preserve"> </w:t>
      </w:r>
    </w:p>
    <w:tbl>
      <w:tblPr>
        <w:tblStyle w:val="52"/>
        <w:tblW w:w="0" w:type="auto"/>
        <w:tblInd w:w="664"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911"/>
        <w:gridCol w:w="1866"/>
        <w:gridCol w:w="1723"/>
        <w:gridCol w:w="173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18" w:hRule="atLeast"/>
        </w:trPr>
        <w:tc>
          <w:tcPr>
            <w:tcW w:w="3911" w:type="dxa"/>
          </w:tcPr>
          <w:p>
            <w:pPr>
              <w:pStyle w:val="2"/>
              <w:spacing w:line="400" w:lineRule="exact"/>
              <w:ind w:left="565" w:leftChars="257"/>
              <w:rPr>
                <w:color w:val="auto"/>
                <w:highlight w:val="none"/>
              </w:rPr>
            </w:pPr>
            <w:r>
              <w:rPr>
                <w:color w:val="auto"/>
                <w:highlight w:val="none"/>
              </w:rPr>
              <w:t xml:space="preserve">               费率 </w:t>
            </w:r>
          </w:p>
          <w:p>
            <w:pPr>
              <w:pStyle w:val="2"/>
              <w:spacing w:line="400" w:lineRule="exact"/>
              <w:ind w:left="565" w:leftChars="257"/>
              <w:rPr>
                <w:color w:val="auto"/>
                <w:highlight w:val="none"/>
              </w:rPr>
            </w:pPr>
            <w:r>
              <w:rPr>
                <w:color w:val="auto"/>
                <w:highlight w:val="none"/>
              </w:rPr>
              <w:t xml:space="preserve">金额 </w:t>
            </w:r>
          </w:p>
        </w:tc>
        <w:tc>
          <w:tcPr>
            <w:tcW w:w="1866" w:type="dxa"/>
          </w:tcPr>
          <w:p>
            <w:pPr>
              <w:pStyle w:val="2"/>
              <w:spacing w:line="400" w:lineRule="exact"/>
              <w:ind w:left="565" w:leftChars="257"/>
              <w:rPr>
                <w:color w:val="auto"/>
                <w:sz w:val="16"/>
                <w:highlight w:val="none"/>
              </w:rPr>
            </w:pPr>
          </w:p>
          <w:p>
            <w:pPr>
              <w:pStyle w:val="2"/>
              <w:spacing w:line="400" w:lineRule="exact"/>
              <w:ind w:left="565" w:leftChars="257"/>
              <w:rPr>
                <w:color w:val="auto"/>
                <w:highlight w:val="none"/>
              </w:rPr>
            </w:pPr>
            <w:r>
              <w:rPr>
                <w:color w:val="auto"/>
                <w:highlight w:val="none"/>
              </w:rPr>
              <w:t xml:space="preserve">货物类 </w:t>
            </w:r>
          </w:p>
        </w:tc>
        <w:tc>
          <w:tcPr>
            <w:tcW w:w="1723" w:type="dxa"/>
          </w:tcPr>
          <w:p>
            <w:pPr>
              <w:pStyle w:val="2"/>
              <w:spacing w:line="400" w:lineRule="exact"/>
              <w:ind w:left="565" w:leftChars="257"/>
              <w:rPr>
                <w:color w:val="auto"/>
                <w:sz w:val="16"/>
                <w:highlight w:val="none"/>
              </w:rPr>
            </w:pPr>
          </w:p>
          <w:p>
            <w:pPr>
              <w:pStyle w:val="2"/>
              <w:spacing w:line="400" w:lineRule="exact"/>
              <w:ind w:left="565" w:leftChars="257"/>
              <w:rPr>
                <w:color w:val="auto"/>
                <w:highlight w:val="none"/>
              </w:rPr>
            </w:pPr>
            <w:r>
              <w:rPr>
                <w:color w:val="auto"/>
                <w:highlight w:val="none"/>
              </w:rPr>
              <w:t xml:space="preserve">服务类 </w:t>
            </w:r>
          </w:p>
        </w:tc>
        <w:tc>
          <w:tcPr>
            <w:tcW w:w="1739" w:type="dxa"/>
          </w:tcPr>
          <w:p>
            <w:pPr>
              <w:pStyle w:val="2"/>
              <w:spacing w:line="400" w:lineRule="exact"/>
              <w:ind w:left="565" w:leftChars="257"/>
              <w:rPr>
                <w:color w:val="auto"/>
                <w:sz w:val="16"/>
                <w:highlight w:val="none"/>
              </w:rPr>
            </w:pPr>
          </w:p>
          <w:p>
            <w:pPr>
              <w:pStyle w:val="2"/>
              <w:spacing w:line="400" w:lineRule="exact"/>
              <w:ind w:left="565" w:leftChars="257"/>
              <w:rPr>
                <w:color w:val="auto"/>
                <w:highlight w:val="none"/>
              </w:rPr>
            </w:pPr>
            <w:r>
              <w:rPr>
                <w:color w:val="auto"/>
                <w:highlight w:val="none"/>
              </w:rPr>
              <w:t xml:space="preserve">工程类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8" w:hRule="atLeast"/>
        </w:trPr>
        <w:tc>
          <w:tcPr>
            <w:tcW w:w="3911" w:type="dxa"/>
          </w:tcPr>
          <w:p>
            <w:pPr>
              <w:pStyle w:val="2"/>
              <w:spacing w:line="400" w:lineRule="exact"/>
              <w:ind w:left="565" w:leftChars="257"/>
              <w:rPr>
                <w:color w:val="auto"/>
                <w:highlight w:val="none"/>
              </w:rPr>
            </w:pPr>
            <w:r>
              <w:rPr>
                <w:color w:val="auto"/>
                <w:highlight w:val="none"/>
              </w:rPr>
              <w:t xml:space="preserve">100 万元以下 </w:t>
            </w:r>
          </w:p>
        </w:tc>
        <w:tc>
          <w:tcPr>
            <w:tcW w:w="1866" w:type="dxa"/>
          </w:tcPr>
          <w:p>
            <w:pPr>
              <w:pStyle w:val="2"/>
              <w:spacing w:line="400" w:lineRule="exact"/>
              <w:ind w:left="565" w:leftChars="257"/>
              <w:rPr>
                <w:color w:val="auto"/>
                <w:highlight w:val="none"/>
              </w:rPr>
            </w:pPr>
            <w:r>
              <w:rPr>
                <w:color w:val="auto"/>
                <w:highlight w:val="none"/>
              </w:rPr>
              <w:t xml:space="preserve">1.5% </w:t>
            </w:r>
          </w:p>
        </w:tc>
        <w:tc>
          <w:tcPr>
            <w:tcW w:w="1723" w:type="dxa"/>
          </w:tcPr>
          <w:p>
            <w:pPr>
              <w:pStyle w:val="2"/>
              <w:spacing w:line="400" w:lineRule="exact"/>
              <w:ind w:left="565" w:leftChars="257"/>
              <w:rPr>
                <w:color w:val="auto"/>
                <w:highlight w:val="none"/>
              </w:rPr>
            </w:pPr>
            <w:r>
              <w:rPr>
                <w:color w:val="auto"/>
                <w:highlight w:val="none"/>
              </w:rPr>
              <w:t xml:space="preserve">1.5% </w:t>
            </w:r>
          </w:p>
        </w:tc>
        <w:tc>
          <w:tcPr>
            <w:tcW w:w="1739" w:type="dxa"/>
          </w:tcPr>
          <w:p>
            <w:pPr>
              <w:pStyle w:val="2"/>
              <w:spacing w:line="400" w:lineRule="exact"/>
              <w:ind w:left="565" w:leftChars="257"/>
              <w:rPr>
                <w:color w:val="auto"/>
                <w:highlight w:val="none"/>
              </w:rPr>
            </w:pPr>
            <w:r>
              <w:rPr>
                <w:color w:val="auto"/>
                <w:highlight w:val="none"/>
              </w:rPr>
              <w:t xml:space="preserve">1.0%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7" w:hRule="atLeast"/>
        </w:trPr>
        <w:tc>
          <w:tcPr>
            <w:tcW w:w="3911" w:type="dxa"/>
          </w:tcPr>
          <w:p>
            <w:pPr>
              <w:pStyle w:val="2"/>
              <w:spacing w:line="400" w:lineRule="exact"/>
              <w:ind w:left="565" w:leftChars="257"/>
              <w:rPr>
                <w:color w:val="auto"/>
                <w:highlight w:val="none"/>
              </w:rPr>
            </w:pPr>
            <w:r>
              <w:rPr>
                <w:color w:val="auto"/>
                <w:highlight w:val="none"/>
              </w:rPr>
              <w:t xml:space="preserve">100～500 万元 </w:t>
            </w:r>
          </w:p>
        </w:tc>
        <w:tc>
          <w:tcPr>
            <w:tcW w:w="1866" w:type="dxa"/>
          </w:tcPr>
          <w:p>
            <w:pPr>
              <w:pStyle w:val="2"/>
              <w:spacing w:line="400" w:lineRule="exact"/>
              <w:ind w:left="565" w:leftChars="257"/>
              <w:rPr>
                <w:color w:val="auto"/>
                <w:highlight w:val="none"/>
              </w:rPr>
            </w:pPr>
            <w:r>
              <w:rPr>
                <w:color w:val="auto"/>
                <w:highlight w:val="none"/>
              </w:rPr>
              <w:t xml:space="preserve">1.1% </w:t>
            </w:r>
          </w:p>
        </w:tc>
        <w:tc>
          <w:tcPr>
            <w:tcW w:w="1723" w:type="dxa"/>
          </w:tcPr>
          <w:p>
            <w:pPr>
              <w:pStyle w:val="2"/>
              <w:spacing w:line="400" w:lineRule="exact"/>
              <w:ind w:left="565" w:leftChars="257"/>
              <w:rPr>
                <w:color w:val="auto"/>
                <w:highlight w:val="none"/>
              </w:rPr>
            </w:pPr>
            <w:r>
              <w:rPr>
                <w:color w:val="auto"/>
                <w:highlight w:val="none"/>
              </w:rPr>
              <w:t xml:space="preserve">0.8% </w:t>
            </w:r>
          </w:p>
        </w:tc>
        <w:tc>
          <w:tcPr>
            <w:tcW w:w="1739" w:type="dxa"/>
          </w:tcPr>
          <w:p>
            <w:pPr>
              <w:pStyle w:val="2"/>
              <w:spacing w:line="400" w:lineRule="exact"/>
              <w:ind w:left="565" w:leftChars="257"/>
              <w:rPr>
                <w:color w:val="auto"/>
                <w:highlight w:val="none"/>
              </w:rPr>
            </w:pPr>
            <w:r>
              <w:rPr>
                <w:color w:val="auto"/>
                <w:highlight w:val="none"/>
              </w:rPr>
              <w:t xml:space="preserve">0.7%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0" w:hRule="atLeast"/>
        </w:trPr>
        <w:tc>
          <w:tcPr>
            <w:tcW w:w="3911" w:type="dxa"/>
          </w:tcPr>
          <w:p>
            <w:pPr>
              <w:pStyle w:val="2"/>
              <w:spacing w:line="400" w:lineRule="exact"/>
              <w:ind w:left="565" w:leftChars="257"/>
              <w:rPr>
                <w:color w:val="auto"/>
                <w:highlight w:val="none"/>
              </w:rPr>
            </w:pPr>
            <w:r>
              <w:rPr>
                <w:color w:val="auto"/>
                <w:highlight w:val="none"/>
              </w:rPr>
              <w:t xml:space="preserve">500～1000 万元 </w:t>
            </w:r>
          </w:p>
        </w:tc>
        <w:tc>
          <w:tcPr>
            <w:tcW w:w="1866" w:type="dxa"/>
          </w:tcPr>
          <w:p>
            <w:pPr>
              <w:pStyle w:val="2"/>
              <w:spacing w:line="400" w:lineRule="exact"/>
              <w:ind w:left="565" w:leftChars="257"/>
              <w:rPr>
                <w:color w:val="auto"/>
                <w:highlight w:val="none"/>
              </w:rPr>
            </w:pPr>
            <w:r>
              <w:rPr>
                <w:color w:val="auto"/>
                <w:highlight w:val="none"/>
              </w:rPr>
              <w:t xml:space="preserve">0.8% </w:t>
            </w:r>
          </w:p>
        </w:tc>
        <w:tc>
          <w:tcPr>
            <w:tcW w:w="1723" w:type="dxa"/>
          </w:tcPr>
          <w:p>
            <w:pPr>
              <w:pStyle w:val="2"/>
              <w:spacing w:line="400" w:lineRule="exact"/>
              <w:ind w:left="565" w:leftChars="257"/>
              <w:rPr>
                <w:color w:val="auto"/>
                <w:highlight w:val="none"/>
              </w:rPr>
            </w:pPr>
            <w:r>
              <w:rPr>
                <w:color w:val="auto"/>
                <w:highlight w:val="none"/>
              </w:rPr>
              <w:t xml:space="preserve">0.45% </w:t>
            </w:r>
          </w:p>
        </w:tc>
        <w:tc>
          <w:tcPr>
            <w:tcW w:w="1739" w:type="dxa"/>
          </w:tcPr>
          <w:p>
            <w:pPr>
              <w:pStyle w:val="2"/>
              <w:spacing w:line="400" w:lineRule="exact"/>
              <w:ind w:left="565" w:leftChars="257"/>
              <w:rPr>
                <w:color w:val="auto"/>
                <w:highlight w:val="none"/>
              </w:rPr>
            </w:pPr>
            <w:r>
              <w:rPr>
                <w:color w:val="auto"/>
                <w:highlight w:val="none"/>
              </w:rPr>
              <w:t xml:space="preserve">0.55%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7" w:hRule="atLeast"/>
        </w:trPr>
        <w:tc>
          <w:tcPr>
            <w:tcW w:w="3911" w:type="dxa"/>
          </w:tcPr>
          <w:p>
            <w:pPr>
              <w:pStyle w:val="2"/>
              <w:spacing w:line="400" w:lineRule="exact"/>
              <w:ind w:left="565" w:leftChars="257"/>
              <w:rPr>
                <w:color w:val="auto"/>
                <w:highlight w:val="none"/>
              </w:rPr>
            </w:pPr>
            <w:r>
              <w:rPr>
                <w:color w:val="auto"/>
                <w:highlight w:val="none"/>
              </w:rPr>
              <w:t xml:space="preserve">1000～5000 万元 </w:t>
            </w:r>
          </w:p>
        </w:tc>
        <w:tc>
          <w:tcPr>
            <w:tcW w:w="1866" w:type="dxa"/>
          </w:tcPr>
          <w:p>
            <w:pPr>
              <w:pStyle w:val="2"/>
              <w:spacing w:line="400" w:lineRule="exact"/>
              <w:ind w:left="565" w:leftChars="257"/>
              <w:rPr>
                <w:color w:val="auto"/>
                <w:highlight w:val="none"/>
              </w:rPr>
            </w:pPr>
            <w:r>
              <w:rPr>
                <w:color w:val="auto"/>
                <w:highlight w:val="none"/>
              </w:rPr>
              <w:t xml:space="preserve">0.5% </w:t>
            </w:r>
          </w:p>
        </w:tc>
        <w:tc>
          <w:tcPr>
            <w:tcW w:w="1723" w:type="dxa"/>
          </w:tcPr>
          <w:p>
            <w:pPr>
              <w:pStyle w:val="2"/>
              <w:spacing w:line="400" w:lineRule="exact"/>
              <w:ind w:left="565" w:leftChars="257"/>
              <w:rPr>
                <w:color w:val="auto"/>
                <w:highlight w:val="none"/>
              </w:rPr>
            </w:pPr>
            <w:r>
              <w:rPr>
                <w:color w:val="auto"/>
                <w:highlight w:val="none"/>
              </w:rPr>
              <w:t xml:space="preserve">0.25% </w:t>
            </w:r>
          </w:p>
        </w:tc>
        <w:tc>
          <w:tcPr>
            <w:tcW w:w="1739" w:type="dxa"/>
          </w:tcPr>
          <w:p>
            <w:pPr>
              <w:pStyle w:val="2"/>
              <w:spacing w:line="400" w:lineRule="exact"/>
              <w:ind w:left="565" w:leftChars="257"/>
              <w:rPr>
                <w:color w:val="auto"/>
                <w:highlight w:val="none"/>
              </w:rPr>
            </w:pPr>
            <w:r>
              <w:rPr>
                <w:color w:val="auto"/>
                <w:highlight w:val="none"/>
              </w:rPr>
              <w:t xml:space="preserve">0.35%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0" w:hRule="atLeast"/>
        </w:trPr>
        <w:tc>
          <w:tcPr>
            <w:tcW w:w="3911" w:type="dxa"/>
          </w:tcPr>
          <w:p>
            <w:pPr>
              <w:pStyle w:val="2"/>
              <w:spacing w:line="400" w:lineRule="exact"/>
              <w:ind w:left="565" w:leftChars="257"/>
              <w:rPr>
                <w:color w:val="auto"/>
                <w:highlight w:val="none"/>
              </w:rPr>
            </w:pPr>
            <w:r>
              <w:rPr>
                <w:color w:val="auto"/>
                <w:highlight w:val="none"/>
              </w:rPr>
              <w:t xml:space="preserve">5000 万元～1 亿元 </w:t>
            </w:r>
          </w:p>
        </w:tc>
        <w:tc>
          <w:tcPr>
            <w:tcW w:w="1866" w:type="dxa"/>
          </w:tcPr>
          <w:p>
            <w:pPr>
              <w:pStyle w:val="2"/>
              <w:spacing w:line="400" w:lineRule="exact"/>
              <w:ind w:left="565" w:leftChars="257"/>
              <w:rPr>
                <w:color w:val="auto"/>
                <w:highlight w:val="none"/>
              </w:rPr>
            </w:pPr>
            <w:r>
              <w:rPr>
                <w:color w:val="auto"/>
                <w:highlight w:val="none"/>
              </w:rPr>
              <w:t xml:space="preserve">0.25% </w:t>
            </w:r>
          </w:p>
        </w:tc>
        <w:tc>
          <w:tcPr>
            <w:tcW w:w="1723" w:type="dxa"/>
          </w:tcPr>
          <w:p>
            <w:pPr>
              <w:pStyle w:val="2"/>
              <w:spacing w:line="400" w:lineRule="exact"/>
              <w:ind w:left="565" w:leftChars="257"/>
              <w:rPr>
                <w:color w:val="auto"/>
                <w:highlight w:val="none"/>
              </w:rPr>
            </w:pPr>
            <w:r>
              <w:rPr>
                <w:color w:val="auto"/>
                <w:highlight w:val="none"/>
              </w:rPr>
              <w:t xml:space="preserve">0.1% </w:t>
            </w:r>
          </w:p>
        </w:tc>
        <w:tc>
          <w:tcPr>
            <w:tcW w:w="1739" w:type="dxa"/>
          </w:tcPr>
          <w:p>
            <w:pPr>
              <w:pStyle w:val="2"/>
              <w:spacing w:line="400" w:lineRule="exact"/>
              <w:ind w:left="565" w:leftChars="257"/>
              <w:rPr>
                <w:color w:val="auto"/>
                <w:highlight w:val="none"/>
              </w:rPr>
            </w:pPr>
            <w:r>
              <w:rPr>
                <w:color w:val="auto"/>
                <w:highlight w:val="none"/>
              </w:rPr>
              <w:t xml:space="preserve">0.2%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7" w:hRule="atLeast"/>
        </w:trPr>
        <w:tc>
          <w:tcPr>
            <w:tcW w:w="3911" w:type="dxa"/>
          </w:tcPr>
          <w:p>
            <w:pPr>
              <w:pStyle w:val="2"/>
              <w:spacing w:line="400" w:lineRule="exact"/>
              <w:ind w:left="565" w:leftChars="257"/>
              <w:rPr>
                <w:color w:val="auto"/>
                <w:highlight w:val="none"/>
              </w:rPr>
            </w:pPr>
            <w:r>
              <w:rPr>
                <w:color w:val="auto"/>
                <w:highlight w:val="none"/>
              </w:rPr>
              <w:t xml:space="preserve">1～5 亿元 </w:t>
            </w:r>
          </w:p>
        </w:tc>
        <w:tc>
          <w:tcPr>
            <w:tcW w:w="1866" w:type="dxa"/>
          </w:tcPr>
          <w:p>
            <w:pPr>
              <w:pStyle w:val="2"/>
              <w:spacing w:line="400" w:lineRule="exact"/>
              <w:ind w:left="565" w:leftChars="257"/>
              <w:rPr>
                <w:color w:val="auto"/>
                <w:highlight w:val="none"/>
              </w:rPr>
            </w:pPr>
            <w:r>
              <w:rPr>
                <w:color w:val="auto"/>
                <w:highlight w:val="none"/>
              </w:rPr>
              <w:t xml:space="preserve">0.05% </w:t>
            </w:r>
          </w:p>
        </w:tc>
        <w:tc>
          <w:tcPr>
            <w:tcW w:w="1723" w:type="dxa"/>
          </w:tcPr>
          <w:p>
            <w:pPr>
              <w:pStyle w:val="2"/>
              <w:spacing w:line="400" w:lineRule="exact"/>
              <w:ind w:left="565" w:leftChars="257"/>
              <w:rPr>
                <w:color w:val="auto"/>
                <w:highlight w:val="none"/>
              </w:rPr>
            </w:pPr>
            <w:r>
              <w:rPr>
                <w:color w:val="auto"/>
                <w:highlight w:val="none"/>
              </w:rPr>
              <w:t xml:space="preserve">0.05% </w:t>
            </w:r>
          </w:p>
        </w:tc>
        <w:tc>
          <w:tcPr>
            <w:tcW w:w="1739" w:type="dxa"/>
          </w:tcPr>
          <w:p>
            <w:pPr>
              <w:pStyle w:val="2"/>
              <w:spacing w:line="400" w:lineRule="exact"/>
              <w:ind w:left="565" w:leftChars="257"/>
              <w:rPr>
                <w:color w:val="auto"/>
                <w:highlight w:val="none"/>
              </w:rPr>
            </w:pPr>
            <w:r>
              <w:rPr>
                <w:color w:val="auto"/>
                <w:highlight w:val="none"/>
              </w:rPr>
              <w:t xml:space="preserve">0.05%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7" w:hRule="atLeast"/>
        </w:trPr>
        <w:tc>
          <w:tcPr>
            <w:tcW w:w="3911" w:type="dxa"/>
          </w:tcPr>
          <w:p>
            <w:pPr>
              <w:pStyle w:val="2"/>
              <w:spacing w:line="400" w:lineRule="exact"/>
              <w:ind w:left="565" w:leftChars="257"/>
              <w:rPr>
                <w:color w:val="auto"/>
                <w:highlight w:val="none"/>
              </w:rPr>
            </w:pPr>
            <w:r>
              <w:rPr>
                <w:color w:val="auto"/>
                <w:highlight w:val="none"/>
              </w:rPr>
              <w:t xml:space="preserve">5～10 亿元 </w:t>
            </w:r>
          </w:p>
        </w:tc>
        <w:tc>
          <w:tcPr>
            <w:tcW w:w="1866" w:type="dxa"/>
          </w:tcPr>
          <w:p>
            <w:pPr>
              <w:pStyle w:val="2"/>
              <w:spacing w:line="400" w:lineRule="exact"/>
              <w:ind w:left="565" w:leftChars="257"/>
              <w:rPr>
                <w:color w:val="auto"/>
                <w:highlight w:val="none"/>
              </w:rPr>
            </w:pPr>
            <w:r>
              <w:rPr>
                <w:color w:val="auto"/>
                <w:highlight w:val="none"/>
              </w:rPr>
              <w:t xml:space="preserve">0.035% </w:t>
            </w:r>
          </w:p>
        </w:tc>
        <w:tc>
          <w:tcPr>
            <w:tcW w:w="1723" w:type="dxa"/>
          </w:tcPr>
          <w:p>
            <w:pPr>
              <w:pStyle w:val="2"/>
              <w:spacing w:line="400" w:lineRule="exact"/>
              <w:ind w:left="565" w:leftChars="257"/>
              <w:rPr>
                <w:color w:val="auto"/>
                <w:highlight w:val="none"/>
              </w:rPr>
            </w:pPr>
            <w:r>
              <w:rPr>
                <w:color w:val="auto"/>
                <w:highlight w:val="none"/>
              </w:rPr>
              <w:t xml:space="preserve">0.035% </w:t>
            </w:r>
          </w:p>
        </w:tc>
        <w:tc>
          <w:tcPr>
            <w:tcW w:w="1739" w:type="dxa"/>
          </w:tcPr>
          <w:p>
            <w:pPr>
              <w:pStyle w:val="2"/>
              <w:spacing w:line="400" w:lineRule="exact"/>
              <w:ind w:left="565" w:leftChars="257"/>
              <w:rPr>
                <w:color w:val="auto"/>
                <w:highlight w:val="none"/>
              </w:rPr>
            </w:pPr>
            <w:r>
              <w:rPr>
                <w:color w:val="auto"/>
                <w:highlight w:val="none"/>
              </w:rPr>
              <w:t xml:space="preserve">0.035%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9" w:hRule="atLeast"/>
        </w:trPr>
        <w:tc>
          <w:tcPr>
            <w:tcW w:w="3911" w:type="dxa"/>
          </w:tcPr>
          <w:p>
            <w:pPr>
              <w:pStyle w:val="2"/>
              <w:spacing w:line="400" w:lineRule="exact"/>
              <w:ind w:left="565" w:leftChars="257"/>
              <w:rPr>
                <w:color w:val="auto"/>
                <w:highlight w:val="none"/>
              </w:rPr>
            </w:pPr>
            <w:r>
              <w:rPr>
                <w:color w:val="auto"/>
                <w:highlight w:val="none"/>
              </w:rPr>
              <w:t xml:space="preserve">10～50 亿元 </w:t>
            </w:r>
          </w:p>
        </w:tc>
        <w:tc>
          <w:tcPr>
            <w:tcW w:w="1866" w:type="dxa"/>
          </w:tcPr>
          <w:p>
            <w:pPr>
              <w:pStyle w:val="2"/>
              <w:spacing w:line="400" w:lineRule="exact"/>
              <w:ind w:left="565" w:leftChars="257"/>
              <w:rPr>
                <w:color w:val="auto"/>
                <w:highlight w:val="none"/>
              </w:rPr>
            </w:pPr>
            <w:r>
              <w:rPr>
                <w:color w:val="auto"/>
                <w:highlight w:val="none"/>
              </w:rPr>
              <w:t xml:space="preserve">0.008% </w:t>
            </w:r>
          </w:p>
        </w:tc>
        <w:tc>
          <w:tcPr>
            <w:tcW w:w="1723" w:type="dxa"/>
          </w:tcPr>
          <w:p>
            <w:pPr>
              <w:pStyle w:val="2"/>
              <w:spacing w:line="400" w:lineRule="exact"/>
              <w:ind w:left="565" w:leftChars="257"/>
              <w:rPr>
                <w:color w:val="auto"/>
                <w:highlight w:val="none"/>
              </w:rPr>
            </w:pPr>
            <w:r>
              <w:rPr>
                <w:color w:val="auto"/>
                <w:highlight w:val="none"/>
              </w:rPr>
              <w:t xml:space="preserve">0.008% </w:t>
            </w:r>
          </w:p>
        </w:tc>
        <w:tc>
          <w:tcPr>
            <w:tcW w:w="1739" w:type="dxa"/>
          </w:tcPr>
          <w:p>
            <w:pPr>
              <w:pStyle w:val="2"/>
              <w:spacing w:line="400" w:lineRule="exact"/>
              <w:ind w:left="565" w:leftChars="257"/>
              <w:rPr>
                <w:color w:val="auto"/>
                <w:highlight w:val="none"/>
              </w:rPr>
            </w:pPr>
            <w:r>
              <w:rPr>
                <w:color w:val="auto"/>
                <w:highlight w:val="none"/>
              </w:rPr>
              <w:t xml:space="preserve">0.008%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8" w:hRule="atLeast"/>
        </w:trPr>
        <w:tc>
          <w:tcPr>
            <w:tcW w:w="3911" w:type="dxa"/>
          </w:tcPr>
          <w:p>
            <w:pPr>
              <w:pStyle w:val="2"/>
              <w:spacing w:line="400" w:lineRule="exact"/>
              <w:ind w:left="565" w:leftChars="257"/>
              <w:rPr>
                <w:color w:val="auto"/>
                <w:highlight w:val="none"/>
              </w:rPr>
            </w:pPr>
            <w:r>
              <w:rPr>
                <w:color w:val="auto"/>
                <w:highlight w:val="none"/>
              </w:rPr>
              <w:t xml:space="preserve">50～100 亿元 </w:t>
            </w:r>
          </w:p>
        </w:tc>
        <w:tc>
          <w:tcPr>
            <w:tcW w:w="1866" w:type="dxa"/>
          </w:tcPr>
          <w:p>
            <w:pPr>
              <w:pStyle w:val="2"/>
              <w:spacing w:line="400" w:lineRule="exact"/>
              <w:ind w:left="565" w:leftChars="257"/>
              <w:rPr>
                <w:color w:val="auto"/>
                <w:highlight w:val="none"/>
              </w:rPr>
            </w:pPr>
            <w:r>
              <w:rPr>
                <w:color w:val="auto"/>
                <w:highlight w:val="none"/>
              </w:rPr>
              <w:t xml:space="preserve">0.006% </w:t>
            </w:r>
          </w:p>
        </w:tc>
        <w:tc>
          <w:tcPr>
            <w:tcW w:w="1723" w:type="dxa"/>
          </w:tcPr>
          <w:p>
            <w:pPr>
              <w:pStyle w:val="2"/>
              <w:spacing w:line="400" w:lineRule="exact"/>
              <w:ind w:left="565" w:leftChars="257"/>
              <w:rPr>
                <w:color w:val="auto"/>
                <w:highlight w:val="none"/>
              </w:rPr>
            </w:pPr>
            <w:r>
              <w:rPr>
                <w:color w:val="auto"/>
                <w:highlight w:val="none"/>
              </w:rPr>
              <w:t xml:space="preserve">0.006% </w:t>
            </w:r>
          </w:p>
        </w:tc>
        <w:tc>
          <w:tcPr>
            <w:tcW w:w="1739" w:type="dxa"/>
          </w:tcPr>
          <w:p>
            <w:pPr>
              <w:pStyle w:val="2"/>
              <w:spacing w:line="400" w:lineRule="exact"/>
              <w:ind w:left="565" w:leftChars="257"/>
              <w:rPr>
                <w:color w:val="auto"/>
                <w:highlight w:val="none"/>
              </w:rPr>
            </w:pPr>
            <w:r>
              <w:rPr>
                <w:color w:val="auto"/>
                <w:highlight w:val="none"/>
              </w:rPr>
              <w:t xml:space="preserve">0.006%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0" w:hRule="atLeast"/>
        </w:trPr>
        <w:tc>
          <w:tcPr>
            <w:tcW w:w="3911" w:type="dxa"/>
          </w:tcPr>
          <w:p>
            <w:pPr>
              <w:pStyle w:val="2"/>
              <w:spacing w:line="400" w:lineRule="exact"/>
              <w:ind w:left="565" w:leftChars="257"/>
              <w:rPr>
                <w:color w:val="auto"/>
                <w:highlight w:val="none"/>
              </w:rPr>
            </w:pPr>
            <w:r>
              <w:rPr>
                <w:color w:val="auto"/>
                <w:highlight w:val="none"/>
              </w:rPr>
              <w:t xml:space="preserve">100 亿以上 </w:t>
            </w:r>
          </w:p>
        </w:tc>
        <w:tc>
          <w:tcPr>
            <w:tcW w:w="1866" w:type="dxa"/>
          </w:tcPr>
          <w:p>
            <w:pPr>
              <w:pStyle w:val="2"/>
              <w:spacing w:line="400" w:lineRule="exact"/>
              <w:ind w:left="565" w:leftChars="257"/>
              <w:rPr>
                <w:color w:val="auto"/>
                <w:highlight w:val="none"/>
              </w:rPr>
            </w:pPr>
            <w:r>
              <w:rPr>
                <w:color w:val="auto"/>
                <w:highlight w:val="none"/>
              </w:rPr>
              <w:t xml:space="preserve">0.004% </w:t>
            </w:r>
          </w:p>
        </w:tc>
        <w:tc>
          <w:tcPr>
            <w:tcW w:w="1723" w:type="dxa"/>
          </w:tcPr>
          <w:p>
            <w:pPr>
              <w:pStyle w:val="2"/>
              <w:spacing w:line="400" w:lineRule="exact"/>
              <w:ind w:left="565" w:leftChars="257"/>
              <w:rPr>
                <w:color w:val="auto"/>
                <w:highlight w:val="none"/>
              </w:rPr>
            </w:pPr>
            <w:r>
              <w:rPr>
                <w:color w:val="auto"/>
                <w:highlight w:val="none"/>
              </w:rPr>
              <w:t xml:space="preserve">0.004% </w:t>
            </w:r>
          </w:p>
        </w:tc>
        <w:tc>
          <w:tcPr>
            <w:tcW w:w="1739" w:type="dxa"/>
          </w:tcPr>
          <w:p>
            <w:pPr>
              <w:pStyle w:val="2"/>
              <w:spacing w:line="400" w:lineRule="exact"/>
              <w:ind w:left="565" w:leftChars="257"/>
              <w:rPr>
                <w:color w:val="auto"/>
                <w:highlight w:val="none"/>
              </w:rPr>
            </w:pPr>
            <w:r>
              <w:rPr>
                <w:color w:val="auto"/>
                <w:highlight w:val="none"/>
              </w:rPr>
              <w:t xml:space="preserve">0.004% </w:t>
            </w:r>
          </w:p>
        </w:tc>
      </w:tr>
    </w:tbl>
    <w:p>
      <w:pPr>
        <w:pStyle w:val="2"/>
        <w:spacing w:line="400" w:lineRule="exact"/>
        <w:ind w:left="565" w:leftChars="257" w:firstLine="210" w:firstLineChars="100"/>
        <w:rPr>
          <w:color w:val="auto"/>
          <w:highlight w:val="none"/>
        </w:rPr>
      </w:pPr>
      <w:r>
        <w:rPr>
          <w:color w:val="auto"/>
          <w:highlight w:val="none"/>
        </w:rPr>
        <w:t xml:space="preserve">注： </w:t>
      </w:r>
    </w:p>
    <w:p>
      <w:pPr>
        <w:pStyle w:val="2"/>
        <w:spacing w:line="400" w:lineRule="exact"/>
        <w:ind w:left="565" w:leftChars="257" w:firstLine="204" w:firstLineChars="100"/>
        <w:rPr>
          <w:color w:val="auto"/>
          <w:highlight w:val="none"/>
        </w:rPr>
      </w:pPr>
      <w:r>
        <w:rPr>
          <w:rFonts w:hint="eastAsia"/>
          <w:color w:val="auto"/>
          <w:spacing w:val="-3"/>
          <w:highlight w:val="none"/>
        </w:rPr>
        <w:t>（1）</w:t>
      </w:r>
      <w:r>
        <w:rPr>
          <w:color w:val="auto"/>
          <w:spacing w:val="-3"/>
          <w:highlight w:val="none"/>
        </w:rPr>
        <w:t>按本表费率计算的收费为采购代理的收费基准价格；</w:t>
      </w:r>
      <w:r>
        <w:rPr>
          <w:color w:val="auto"/>
          <w:highlight w:val="none"/>
        </w:rPr>
        <w:t xml:space="preserve"> </w:t>
      </w:r>
    </w:p>
    <w:p>
      <w:pPr>
        <w:pStyle w:val="2"/>
        <w:spacing w:line="400" w:lineRule="exact"/>
        <w:ind w:left="565" w:leftChars="257" w:firstLine="204" w:firstLineChars="100"/>
        <w:rPr>
          <w:color w:val="auto"/>
          <w:highlight w:val="none"/>
        </w:rPr>
      </w:pPr>
      <w:r>
        <w:rPr>
          <w:rFonts w:hint="eastAsia"/>
          <w:color w:val="auto"/>
          <w:spacing w:val="-3"/>
          <w:highlight w:val="none"/>
        </w:rPr>
        <w:t>（2）</w:t>
      </w:r>
      <w:r>
        <w:rPr>
          <w:color w:val="auto"/>
          <w:spacing w:val="-3"/>
          <w:highlight w:val="none"/>
        </w:rPr>
        <w:t>采购代理收费按差额定率累进法计算。</w:t>
      </w:r>
      <w:r>
        <w:rPr>
          <w:color w:val="auto"/>
          <w:highlight w:val="none"/>
        </w:rPr>
        <w:t xml:space="preserve"> </w:t>
      </w:r>
    </w:p>
    <w:p>
      <w:pPr>
        <w:pStyle w:val="2"/>
        <w:spacing w:line="400" w:lineRule="exact"/>
        <w:ind w:left="565" w:leftChars="257" w:firstLine="210" w:firstLineChars="100"/>
        <w:rPr>
          <w:color w:val="auto"/>
          <w:highlight w:val="none"/>
        </w:rPr>
      </w:pPr>
      <w:r>
        <w:rPr>
          <w:color w:val="auto"/>
          <w:highlight w:val="none"/>
        </w:rPr>
        <w:t xml:space="preserve">例如：某服务采购代理业务成交金额或者暂定价为 150 万元，计算采购代理收费额如下： </w:t>
      </w:r>
    </w:p>
    <w:p>
      <w:pPr>
        <w:pStyle w:val="2"/>
        <w:spacing w:line="400" w:lineRule="exact"/>
        <w:ind w:left="565" w:leftChars="257" w:firstLine="210" w:firstLineChars="100"/>
        <w:rPr>
          <w:color w:val="auto"/>
          <w:highlight w:val="none"/>
        </w:rPr>
      </w:pPr>
      <w:r>
        <w:rPr>
          <w:color w:val="auto"/>
          <w:highlight w:val="none"/>
        </w:rPr>
        <w:t xml:space="preserve">100 万元 ×l.5 %＝ 1.5 万元 </w:t>
      </w:r>
    </w:p>
    <w:p>
      <w:pPr>
        <w:pStyle w:val="2"/>
        <w:spacing w:line="400" w:lineRule="exact"/>
        <w:ind w:left="565" w:leftChars="257" w:firstLine="210" w:firstLineChars="100"/>
        <w:rPr>
          <w:color w:val="auto"/>
          <w:highlight w:val="none"/>
        </w:rPr>
      </w:pPr>
      <w:r>
        <w:rPr>
          <w:color w:val="auto"/>
          <w:highlight w:val="none"/>
        </w:rPr>
        <w:t>（ 150 － 100 ）万元 ×0.8%＝ 0.4 万元</w:t>
      </w:r>
      <w:r>
        <w:rPr>
          <w:rFonts w:hint="eastAsia"/>
          <w:color w:val="auto"/>
          <w:highlight w:val="none"/>
        </w:rPr>
        <w:t xml:space="preserve"> </w:t>
      </w:r>
    </w:p>
    <w:p>
      <w:pPr>
        <w:pStyle w:val="2"/>
        <w:spacing w:line="400" w:lineRule="exact"/>
        <w:ind w:left="565" w:leftChars="257" w:firstLine="210" w:firstLineChars="100"/>
        <w:rPr>
          <w:color w:val="auto"/>
          <w:highlight w:val="none"/>
        </w:rPr>
      </w:pPr>
      <w:r>
        <w:rPr>
          <w:color w:val="auto"/>
          <w:highlight w:val="none"/>
        </w:rPr>
        <w:t xml:space="preserve">合计收费＝ 1.5 ＋ 0.4＝ 1.9 万元 </w:t>
      </w:r>
    </w:p>
    <w:p>
      <w:pPr>
        <w:pStyle w:val="2"/>
        <w:spacing w:line="400" w:lineRule="exact"/>
        <w:ind w:left="565" w:leftChars="257"/>
        <w:rPr>
          <w:b/>
          <w:bCs/>
          <w:color w:val="auto"/>
          <w:sz w:val="24"/>
          <w:szCs w:val="24"/>
          <w:highlight w:val="none"/>
        </w:rPr>
      </w:pPr>
      <w:r>
        <w:rPr>
          <w:rFonts w:hint="eastAsia"/>
          <w:b/>
          <w:bCs/>
          <w:color w:val="auto"/>
          <w:sz w:val="24"/>
          <w:szCs w:val="24"/>
          <w:highlight w:val="none"/>
        </w:rPr>
        <w:t>3</w:t>
      </w:r>
      <w:r>
        <w:rPr>
          <w:b/>
          <w:bCs/>
          <w:color w:val="auto"/>
          <w:sz w:val="24"/>
          <w:szCs w:val="24"/>
          <w:highlight w:val="none"/>
        </w:rPr>
        <w:t xml:space="preserve">3. </w:t>
      </w:r>
      <w:r>
        <w:rPr>
          <w:rFonts w:hint="eastAsia"/>
          <w:b/>
          <w:bCs/>
          <w:color w:val="auto"/>
          <w:sz w:val="24"/>
          <w:szCs w:val="24"/>
          <w:highlight w:val="none"/>
        </w:rPr>
        <w:t>需要补充的其他内容</w:t>
      </w:r>
    </w:p>
    <w:p>
      <w:pPr>
        <w:pStyle w:val="2"/>
        <w:spacing w:line="400" w:lineRule="exact"/>
        <w:ind w:left="565" w:leftChars="257" w:firstLine="204" w:firstLineChars="100"/>
        <w:rPr>
          <w:color w:val="auto"/>
          <w:spacing w:val="-3"/>
          <w:highlight w:val="none"/>
        </w:rPr>
      </w:pPr>
      <w:r>
        <w:rPr>
          <w:rFonts w:hint="eastAsia"/>
          <w:color w:val="auto"/>
          <w:spacing w:val="-3"/>
          <w:highlight w:val="none"/>
        </w:rPr>
        <w:t>3</w:t>
      </w:r>
      <w:r>
        <w:rPr>
          <w:color w:val="auto"/>
          <w:spacing w:val="-3"/>
          <w:highlight w:val="none"/>
        </w:rPr>
        <w:t>3.1 本磋商文件解释规则详见“供应商须知前附表”。</w:t>
      </w:r>
    </w:p>
    <w:p>
      <w:pPr>
        <w:pStyle w:val="2"/>
        <w:spacing w:line="400" w:lineRule="exact"/>
        <w:ind w:left="565" w:leftChars="257" w:firstLine="210" w:firstLineChars="100"/>
        <w:rPr>
          <w:color w:val="auto"/>
          <w:highlight w:val="none"/>
        </w:rPr>
      </w:pPr>
      <w:r>
        <w:rPr>
          <w:color w:val="auto"/>
          <w:highlight w:val="none"/>
        </w:rPr>
        <w:t>33.2</w:t>
      </w:r>
      <w:r>
        <w:rPr>
          <w:color w:val="auto"/>
          <w:spacing w:val="-3"/>
          <w:highlight w:val="none"/>
        </w:rPr>
        <w:t xml:space="preserve"> 其他事项详见“供应商须知前附表”。</w:t>
      </w:r>
      <w:r>
        <w:rPr>
          <w:color w:val="auto"/>
          <w:highlight w:val="none"/>
        </w:rPr>
        <w:t xml:space="preserve"> </w:t>
      </w:r>
    </w:p>
    <w:p>
      <w:pPr>
        <w:pStyle w:val="2"/>
        <w:spacing w:line="400" w:lineRule="exact"/>
        <w:ind w:left="565" w:leftChars="257" w:firstLine="210" w:firstLineChars="100"/>
        <w:rPr>
          <w:color w:val="auto"/>
          <w:highlight w:val="none"/>
        </w:rPr>
      </w:pPr>
      <w:r>
        <w:rPr>
          <w:color w:val="auto"/>
          <w:highlight w:val="none"/>
        </w:rPr>
        <w:t>33.3</w:t>
      </w:r>
      <w:r>
        <w:rPr>
          <w:color w:val="auto"/>
          <w:spacing w:val="-7"/>
          <w:highlight w:val="none"/>
        </w:rPr>
        <w:t xml:space="preserve"> 本磋商文件所称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在政府采购活动中，供应商提供的货物、工程或者服务符合下列情形的，享受本磋商文</w:t>
      </w:r>
      <w:r>
        <w:rPr>
          <w:color w:val="auto"/>
          <w:spacing w:val="-5"/>
          <w:highlight w:val="none"/>
        </w:rPr>
        <w:t>件规定的中小企业扶持政策：</w:t>
      </w:r>
      <w:r>
        <w:rPr>
          <w:color w:val="auto"/>
          <w:highlight w:val="none"/>
        </w:rPr>
        <w:t xml:space="preserve"> </w:t>
      </w:r>
    </w:p>
    <w:p>
      <w:pPr>
        <w:pStyle w:val="2"/>
        <w:spacing w:line="400" w:lineRule="exact"/>
        <w:ind w:left="565" w:leftChars="257" w:firstLine="196" w:firstLineChars="100"/>
        <w:rPr>
          <w:color w:val="auto"/>
          <w:highlight w:val="none"/>
        </w:rPr>
      </w:pPr>
      <w:r>
        <w:rPr>
          <w:rFonts w:hint="eastAsia"/>
          <w:color w:val="auto"/>
          <w:spacing w:val="-7"/>
          <w:highlight w:val="none"/>
        </w:rPr>
        <w:t>（1）</w:t>
      </w:r>
      <w:r>
        <w:rPr>
          <w:color w:val="auto"/>
          <w:spacing w:val="-7"/>
          <w:highlight w:val="none"/>
        </w:rPr>
        <w:t xml:space="preserve">在货物采购项目中，货物由中小企业制造，即货物由中小企业生产且使用该中小企业商 </w:t>
      </w:r>
      <w:r>
        <w:rPr>
          <w:color w:val="auto"/>
          <w:spacing w:val="-3"/>
          <w:highlight w:val="none"/>
        </w:rPr>
        <w:t xml:space="preserve">号或者注册商标，不对其中涉及的工程承建商和服务的承接商作出要求； </w:t>
      </w:r>
    </w:p>
    <w:p>
      <w:pPr>
        <w:pStyle w:val="2"/>
        <w:spacing w:line="400" w:lineRule="exact"/>
        <w:ind w:left="565" w:leftChars="257" w:firstLine="196" w:firstLineChars="100"/>
        <w:rPr>
          <w:color w:val="auto"/>
          <w:highlight w:val="none"/>
        </w:rPr>
      </w:pPr>
      <w:r>
        <w:rPr>
          <w:rFonts w:hint="eastAsia"/>
          <w:color w:val="auto"/>
          <w:spacing w:val="-7"/>
          <w:highlight w:val="none"/>
        </w:rPr>
        <w:t>（2）</w:t>
      </w:r>
      <w:r>
        <w:rPr>
          <w:color w:val="auto"/>
          <w:spacing w:val="-7"/>
          <w:highlight w:val="none"/>
        </w:rPr>
        <w:t>在工程采购项目中，工程由中小企业承建，即工程施工单位为中小企业，不对其中涉及</w:t>
      </w:r>
      <w:r>
        <w:rPr>
          <w:color w:val="auto"/>
          <w:spacing w:val="-5"/>
          <w:highlight w:val="none"/>
        </w:rPr>
        <w:t>的货物的制造商和服务的承接商作出要求；</w:t>
      </w:r>
      <w:r>
        <w:rPr>
          <w:color w:val="auto"/>
          <w:highlight w:val="none"/>
        </w:rPr>
        <w:t xml:space="preserve"> </w:t>
      </w:r>
    </w:p>
    <w:p>
      <w:pPr>
        <w:pStyle w:val="2"/>
        <w:spacing w:line="400" w:lineRule="exact"/>
        <w:ind w:left="565" w:leftChars="257" w:firstLine="196" w:firstLineChars="100"/>
        <w:rPr>
          <w:color w:val="auto"/>
          <w:highlight w:val="none"/>
        </w:rPr>
      </w:pPr>
      <w:r>
        <w:rPr>
          <w:rFonts w:hint="eastAsia"/>
          <w:color w:val="auto"/>
          <w:spacing w:val="-7"/>
          <w:highlight w:val="none"/>
        </w:rPr>
        <w:t>（3）</w:t>
      </w:r>
      <w:r>
        <w:rPr>
          <w:color w:val="auto"/>
          <w:spacing w:val="-7"/>
          <w:highlight w:val="none"/>
        </w:rPr>
        <w:t>在服务采购项目中，服务由中小企业承接，即提供服务的人员为中小企业依照《中华人民共和国劳动合同法》订立劳动合同的从业人员，不对其中涉及的货物的制造商和工程承建商作出</w:t>
      </w:r>
      <w:r>
        <w:rPr>
          <w:color w:val="auto"/>
          <w:spacing w:val="-1"/>
          <w:highlight w:val="none"/>
        </w:rPr>
        <w:t>要求。</w:t>
      </w:r>
      <w:r>
        <w:rPr>
          <w:color w:val="auto"/>
          <w:highlight w:val="none"/>
        </w:rPr>
        <w:t xml:space="preserve"> </w:t>
      </w:r>
    </w:p>
    <w:p>
      <w:pPr>
        <w:pStyle w:val="2"/>
        <w:spacing w:line="400" w:lineRule="exact"/>
        <w:ind w:left="565" w:leftChars="257" w:firstLine="202" w:firstLineChars="100"/>
        <w:rPr>
          <w:color w:val="auto"/>
          <w:highlight w:val="none"/>
        </w:rPr>
      </w:pPr>
      <w:r>
        <w:rPr>
          <w:color w:val="auto"/>
          <w:spacing w:val="-4"/>
          <w:highlight w:val="none"/>
        </w:rPr>
        <w:t>在货物采购项目中，供应商提供的货物既有中小企业制造货物，也有大型企业制造货物的，不享受本磋商文件规定的中小企业扶持政策。以联合体形式参加政府采购活动，联合体各方均为中小</w:t>
      </w:r>
      <w:r>
        <w:rPr>
          <w:color w:val="auto"/>
          <w:spacing w:val="-3"/>
          <w:highlight w:val="none"/>
        </w:rPr>
        <w:t>企业的，联合体视同中小企业。其中，联合体各方均为小微企业的，联合体视同小微企业。</w:t>
      </w:r>
      <w:r>
        <w:rPr>
          <w:color w:val="auto"/>
          <w:highlight w:val="none"/>
        </w:rPr>
        <w:t xml:space="preserve"> </w:t>
      </w:r>
    </w:p>
    <w:p>
      <w:pPr>
        <w:pStyle w:val="2"/>
        <w:spacing w:line="400" w:lineRule="exact"/>
        <w:ind w:left="565" w:leftChars="257" w:firstLine="210" w:firstLineChars="100"/>
        <w:rPr>
          <w:color w:val="auto"/>
          <w:highlight w:val="none"/>
        </w:rPr>
      </w:pPr>
      <w:r>
        <w:rPr>
          <w:color w:val="auto"/>
          <w:highlight w:val="none"/>
        </w:rPr>
        <w:t>依据本磋商文件规定享受扶持政策获得政府采购合同的，小微企业不得将合同分包给大中型企业，中型企业不得将合同分包给大型企业。</w:t>
      </w:r>
      <w:bookmarkEnd w:id="9"/>
    </w:p>
    <w:p>
      <w:pPr>
        <w:spacing w:line="391" w:lineRule="auto"/>
        <w:rPr>
          <w:color w:val="auto"/>
          <w:highlight w:val="none"/>
        </w:rPr>
        <w:sectPr>
          <w:pgSz w:w="11900" w:h="16850"/>
          <w:pgMar w:top="1400" w:right="760" w:bottom="1320" w:left="760" w:header="1158" w:footer="1081" w:gutter="0"/>
          <w:cols w:space="720" w:num="1"/>
        </w:sectPr>
      </w:pPr>
    </w:p>
    <w:p>
      <w:pPr>
        <w:pStyle w:val="3"/>
        <w:ind w:left="1215"/>
        <w:jc w:val="left"/>
        <w:rPr>
          <w:color w:val="auto"/>
          <w:highlight w:val="none"/>
        </w:rPr>
      </w:pPr>
      <w:bookmarkStart w:id="10" w:name="_bookmark2"/>
      <w:bookmarkEnd w:id="10"/>
      <w:bookmarkStart w:id="11" w:name="_Toc23956"/>
      <w:r>
        <w:rPr>
          <w:color w:val="auto"/>
          <w:highlight w:val="none"/>
        </w:rPr>
        <w:t>第三章 评审程序、评审方法和评审标准</w:t>
      </w:r>
      <w:bookmarkEnd w:id="11"/>
    </w:p>
    <w:p>
      <w:pPr>
        <w:spacing w:before="111" w:line="400" w:lineRule="exact"/>
        <w:ind w:left="567"/>
        <w:jc w:val="center"/>
        <w:rPr>
          <w:b/>
          <w:color w:val="auto"/>
          <w:sz w:val="32"/>
          <w:highlight w:val="none"/>
        </w:rPr>
      </w:pPr>
      <w:r>
        <w:rPr>
          <w:b/>
          <w:color w:val="auto"/>
          <w:sz w:val="32"/>
          <w:highlight w:val="none"/>
        </w:rPr>
        <w:t>一、评审程序和评审方法</w:t>
      </w:r>
      <w:r>
        <w:rPr>
          <w:b/>
          <w:color w:val="auto"/>
          <w:w w:val="98"/>
          <w:sz w:val="32"/>
          <w:highlight w:val="none"/>
        </w:rPr>
        <w:t xml:space="preserve"> </w:t>
      </w:r>
    </w:p>
    <w:p>
      <w:pPr>
        <w:pStyle w:val="2"/>
        <w:spacing w:line="400" w:lineRule="exact"/>
        <w:ind w:left="567"/>
        <w:rPr>
          <w:rFonts w:asciiTheme="minorEastAsia" w:hAnsiTheme="minorEastAsia" w:eastAsiaTheme="minorEastAsia"/>
          <w:b/>
          <w:bCs/>
          <w:color w:val="auto"/>
          <w:sz w:val="24"/>
          <w:szCs w:val="24"/>
          <w:highlight w:val="none"/>
        </w:rPr>
      </w:pPr>
      <w:r>
        <w:rPr>
          <w:rFonts w:hint="eastAsia" w:asciiTheme="minorEastAsia" w:hAnsiTheme="minorEastAsia" w:eastAsiaTheme="minorEastAsia"/>
          <w:b/>
          <w:bCs/>
          <w:color w:val="auto"/>
          <w:sz w:val="24"/>
          <w:szCs w:val="24"/>
          <w:highlight w:val="none"/>
        </w:rPr>
        <w:t>1</w:t>
      </w:r>
      <w:r>
        <w:rPr>
          <w:rFonts w:asciiTheme="minorEastAsia" w:hAnsiTheme="minorEastAsia" w:eastAsiaTheme="minorEastAsia"/>
          <w:b/>
          <w:bCs/>
          <w:color w:val="auto"/>
          <w:sz w:val="24"/>
          <w:szCs w:val="24"/>
          <w:highlight w:val="none"/>
        </w:rPr>
        <w:t xml:space="preserve">. </w:t>
      </w:r>
      <w:r>
        <w:rPr>
          <w:rFonts w:hint="eastAsia" w:asciiTheme="minorEastAsia" w:hAnsiTheme="minorEastAsia" w:eastAsiaTheme="minorEastAsia"/>
          <w:b/>
          <w:bCs/>
          <w:color w:val="auto"/>
          <w:sz w:val="24"/>
          <w:szCs w:val="24"/>
          <w:highlight w:val="none"/>
        </w:rPr>
        <w:t>资格审查</w:t>
      </w:r>
    </w:p>
    <w:p>
      <w:pPr>
        <w:pStyle w:val="2"/>
        <w:spacing w:line="400" w:lineRule="exact"/>
        <w:ind w:left="567" w:firstLine="204" w:firstLineChars="100"/>
        <w:rPr>
          <w:rFonts w:asciiTheme="minorEastAsia" w:hAnsiTheme="minorEastAsia" w:eastAsiaTheme="minorEastAsia"/>
          <w:color w:val="auto"/>
          <w:spacing w:val="-3"/>
          <w:highlight w:val="none"/>
        </w:rPr>
      </w:pPr>
      <w:r>
        <w:rPr>
          <w:rFonts w:hint="eastAsia" w:asciiTheme="minorEastAsia" w:hAnsiTheme="minorEastAsia" w:eastAsiaTheme="minorEastAsia"/>
          <w:color w:val="auto"/>
          <w:spacing w:val="-3"/>
          <w:highlight w:val="none"/>
        </w:rPr>
        <w:t>1</w:t>
      </w:r>
      <w:r>
        <w:rPr>
          <w:rFonts w:asciiTheme="minorEastAsia" w:hAnsiTheme="minorEastAsia" w:eastAsiaTheme="minorEastAsia"/>
          <w:color w:val="auto"/>
          <w:spacing w:val="-3"/>
          <w:highlight w:val="none"/>
        </w:rPr>
        <w:t xml:space="preserve">.1 响应文件开启后，磋商小组依法对供应商的资格证明文件进行审查。  </w:t>
      </w:r>
    </w:p>
    <w:p>
      <w:pPr>
        <w:pStyle w:val="2"/>
        <w:spacing w:line="400" w:lineRule="exact"/>
        <w:ind w:left="567" w:firstLine="204" w:firstLineChars="100"/>
        <w:rPr>
          <w:rFonts w:asciiTheme="minorEastAsia" w:hAnsiTheme="minorEastAsia" w:eastAsiaTheme="minorEastAsia"/>
          <w:color w:val="auto"/>
          <w:highlight w:val="none"/>
        </w:rPr>
      </w:pPr>
      <w:r>
        <w:rPr>
          <w:rFonts w:asciiTheme="minorEastAsia" w:hAnsiTheme="minorEastAsia" w:eastAsiaTheme="minorEastAsia"/>
          <w:color w:val="auto"/>
          <w:spacing w:val="-3"/>
          <w:highlight w:val="none"/>
        </w:rPr>
        <w:t xml:space="preserve">注：采购人或者采购代理机构在资格审查结束前，对供应商进行信用查询。 </w:t>
      </w:r>
    </w:p>
    <w:p>
      <w:pPr>
        <w:pStyle w:val="2"/>
        <w:spacing w:line="400" w:lineRule="exact"/>
        <w:ind w:left="567" w:firstLine="204" w:firstLineChars="100"/>
        <w:rPr>
          <w:rFonts w:asciiTheme="minorEastAsia" w:hAnsiTheme="minorEastAsia" w:eastAsiaTheme="minorEastAsia"/>
          <w:color w:val="auto"/>
          <w:highlight w:val="none"/>
        </w:rPr>
      </w:pPr>
      <w:r>
        <w:rPr>
          <w:rFonts w:hint="eastAsia" w:asciiTheme="minorEastAsia" w:hAnsiTheme="minorEastAsia" w:eastAsiaTheme="minorEastAsia"/>
          <w:color w:val="auto"/>
          <w:spacing w:val="-3"/>
          <w:highlight w:val="none"/>
        </w:rPr>
        <w:t>（1）</w:t>
      </w:r>
      <w:r>
        <w:rPr>
          <w:rFonts w:asciiTheme="minorEastAsia" w:hAnsiTheme="minorEastAsia" w:eastAsiaTheme="minorEastAsia"/>
          <w:color w:val="auto"/>
          <w:spacing w:val="-3"/>
          <w:highlight w:val="none"/>
        </w:rPr>
        <w:t>查询渠道：“信用中国”网站(</w:t>
      </w:r>
      <w:r>
        <w:rPr>
          <w:rFonts w:asciiTheme="minorEastAsia" w:hAnsiTheme="minorEastAsia" w:eastAsiaTheme="minorEastAsia"/>
          <w:color w:val="auto"/>
          <w:highlight w:val="none"/>
        </w:rPr>
        <w:t>www.creditchina.gov.cn)</w:t>
      </w:r>
      <w:r>
        <w:rPr>
          <w:rFonts w:asciiTheme="minorEastAsia" w:hAnsiTheme="minorEastAsia" w:eastAsiaTheme="minorEastAsia"/>
          <w:color w:val="auto"/>
          <w:spacing w:val="-1"/>
          <w:highlight w:val="none"/>
        </w:rPr>
        <w:t xml:space="preserve"> 、中国政府采购网(</w:t>
      </w:r>
      <w:r>
        <w:rPr>
          <w:rFonts w:asciiTheme="minorEastAsia" w:hAnsiTheme="minorEastAsia" w:eastAsiaTheme="minorEastAsia"/>
          <w:color w:val="auto"/>
          <w:highlight w:val="none"/>
        </w:rPr>
        <w:t>www.ccgp. gov.cn</w:t>
      </w:r>
      <w:r>
        <w:rPr>
          <w:rFonts w:asciiTheme="minorEastAsia" w:hAnsiTheme="minorEastAsia" w:eastAsiaTheme="minorEastAsia"/>
          <w:color w:val="auto"/>
          <w:spacing w:val="-2"/>
          <w:highlight w:val="none"/>
        </w:rPr>
        <w:t>)。</w:t>
      </w:r>
      <w:r>
        <w:rPr>
          <w:rFonts w:asciiTheme="minorEastAsia" w:hAnsiTheme="minorEastAsia" w:eastAsiaTheme="minorEastAsia"/>
          <w:color w:val="auto"/>
          <w:highlight w:val="none"/>
        </w:rPr>
        <w:t xml:space="preserve"> </w:t>
      </w:r>
      <w:r>
        <w:rPr>
          <w:rFonts w:asciiTheme="minorEastAsia" w:hAnsiTheme="minorEastAsia" w:eastAsiaTheme="minorEastAsia"/>
          <w:color w:val="auto"/>
          <w:spacing w:val="-3"/>
          <w:highlight w:val="none"/>
        </w:rPr>
        <w:t>信用查询截止时点：资格审查结束前。</w:t>
      </w:r>
      <w:r>
        <w:rPr>
          <w:rFonts w:asciiTheme="minorEastAsia" w:hAnsiTheme="minorEastAsia" w:eastAsiaTheme="minorEastAsia"/>
          <w:color w:val="auto"/>
          <w:highlight w:val="none"/>
        </w:rPr>
        <w:t xml:space="preserve"> </w:t>
      </w:r>
    </w:p>
    <w:p>
      <w:pPr>
        <w:pStyle w:val="2"/>
        <w:spacing w:line="400" w:lineRule="exact"/>
        <w:ind w:left="567" w:firstLine="210" w:firstLineChars="1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w:t>
      </w:r>
      <w:r>
        <w:rPr>
          <w:rFonts w:asciiTheme="minorEastAsia" w:hAnsiTheme="minorEastAsia" w:eastAsiaTheme="minorEastAsia"/>
          <w:color w:val="auto"/>
          <w:highlight w:val="none"/>
        </w:rPr>
        <w:t xml:space="preserve">查询记录和证据留存方式：在查询网站中直接打印查询记录，打印材料作为评审资料保存。 </w:t>
      </w:r>
    </w:p>
    <w:p>
      <w:pPr>
        <w:pStyle w:val="2"/>
        <w:spacing w:line="400" w:lineRule="exact"/>
        <w:ind w:left="567" w:firstLine="204" w:firstLineChars="100"/>
        <w:rPr>
          <w:rFonts w:asciiTheme="minorEastAsia" w:hAnsiTheme="minorEastAsia" w:eastAsiaTheme="minorEastAsia"/>
          <w:color w:val="auto"/>
          <w:highlight w:val="none"/>
        </w:rPr>
      </w:pPr>
      <w:r>
        <w:rPr>
          <w:rFonts w:hint="eastAsia" w:asciiTheme="minorEastAsia" w:hAnsiTheme="minorEastAsia" w:eastAsiaTheme="minorEastAsia"/>
          <w:color w:val="auto"/>
          <w:spacing w:val="-3"/>
          <w:highlight w:val="none"/>
        </w:rPr>
        <w:t>（3）</w:t>
      </w:r>
      <w:r>
        <w:rPr>
          <w:rFonts w:asciiTheme="minorEastAsia" w:hAnsiTheme="minorEastAsia" w:eastAsiaTheme="minorEastAsia"/>
          <w:color w:val="auto"/>
          <w:spacing w:val="-3"/>
          <w:highlight w:val="none"/>
        </w:rPr>
        <w:t>信用信息使用规则：对在“信用中国”网站</w:t>
      </w:r>
      <w:r>
        <w:rPr>
          <w:rFonts w:asciiTheme="minorEastAsia" w:hAnsiTheme="minorEastAsia" w:eastAsiaTheme="minorEastAsia"/>
          <w:color w:val="auto"/>
          <w:highlight w:val="none"/>
        </w:rPr>
        <w:t>(www.creditchina.gov.cn)</w:t>
      </w:r>
      <w:r>
        <w:rPr>
          <w:rFonts w:asciiTheme="minorEastAsia" w:hAnsiTheme="minorEastAsia" w:eastAsiaTheme="minorEastAsia"/>
          <w:color w:val="auto"/>
          <w:spacing w:val="1"/>
          <w:highlight w:val="none"/>
        </w:rPr>
        <w:t xml:space="preserve"> 、中国政府采购</w:t>
      </w:r>
      <w:r>
        <w:rPr>
          <w:rFonts w:asciiTheme="minorEastAsia" w:hAnsiTheme="minorEastAsia" w:eastAsiaTheme="minorEastAsia"/>
          <w:color w:val="auto"/>
          <w:spacing w:val="-1"/>
          <w:highlight w:val="none"/>
        </w:rPr>
        <w:t>网</w:t>
      </w:r>
      <w:r>
        <w:rPr>
          <w:rFonts w:asciiTheme="minorEastAsia" w:hAnsiTheme="minorEastAsia" w:eastAsiaTheme="minorEastAsia"/>
          <w:color w:val="auto"/>
          <w:highlight w:val="none"/>
        </w:rPr>
        <w:t>(www.cc</w:t>
      </w:r>
    </w:p>
    <w:p>
      <w:pPr>
        <w:pStyle w:val="2"/>
        <w:spacing w:line="400" w:lineRule="exact"/>
        <w:ind w:left="567"/>
        <w:rPr>
          <w:rFonts w:asciiTheme="minorEastAsia" w:hAnsiTheme="minorEastAsia" w:eastAsiaTheme="minorEastAsia"/>
          <w:color w:val="auto"/>
          <w:highlight w:val="none"/>
        </w:rPr>
      </w:pPr>
      <w:r>
        <w:rPr>
          <w:rFonts w:asciiTheme="minorEastAsia" w:hAnsiTheme="minorEastAsia" w:eastAsiaTheme="minorEastAsia"/>
          <w:color w:val="auto"/>
          <w:highlight w:val="none"/>
        </w:rPr>
        <w:t>gp.gov.cn</w:t>
      </w:r>
      <w:r>
        <w:rPr>
          <w:rFonts w:asciiTheme="minorEastAsia" w:hAnsiTheme="minorEastAsia" w:eastAsiaTheme="minorEastAsia"/>
          <w:color w:val="auto"/>
          <w:spacing w:val="-8"/>
          <w:highlight w:val="none"/>
        </w:rPr>
        <w:t>)被列入失信被执行人、重大税收违法案件当事人名单、政府采购严重违法失信行为记录名单及其他不符合《中华人民共和国政府采购法》第二十二条规定条件的供应商，资格审查不通过，不得参与政府采购活动。两个以上的自然人、法人或者其他组织组成一个联合体，以一个供应商的身份共同参加政府采购活动的，应当对所有联合体成员进行信用记录查询，联合体成员</w:t>
      </w:r>
      <w:r>
        <w:rPr>
          <w:rFonts w:asciiTheme="minorEastAsia" w:hAnsiTheme="minorEastAsia" w:eastAsiaTheme="minorEastAsia"/>
          <w:color w:val="auto"/>
          <w:spacing w:val="-5"/>
          <w:highlight w:val="none"/>
        </w:rPr>
        <w:t>存在不良信用记录的，视同联合体存在不良信用记录。</w:t>
      </w:r>
      <w:r>
        <w:rPr>
          <w:rFonts w:asciiTheme="minorEastAsia" w:hAnsiTheme="minorEastAsia" w:eastAsiaTheme="minorEastAsia"/>
          <w:color w:val="auto"/>
          <w:highlight w:val="none"/>
        </w:rPr>
        <w:t xml:space="preserve"> </w:t>
      </w:r>
    </w:p>
    <w:p>
      <w:pPr>
        <w:pStyle w:val="2"/>
        <w:spacing w:line="400" w:lineRule="exact"/>
        <w:ind w:left="567" w:firstLine="202" w:firstLineChars="100"/>
        <w:rPr>
          <w:rFonts w:asciiTheme="minorEastAsia" w:hAnsiTheme="minorEastAsia" w:eastAsiaTheme="minorEastAsia"/>
          <w:color w:val="auto"/>
          <w:highlight w:val="none"/>
        </w:rPr>
      </w:pPr>
      <w:r>
        <w:rPr>
          <w:rFonts w:hint="eastAsia" w:asciiTheme="minorEastAsia" w:hAnsiTheme="minorEastAsia" w:eastAsiaTheme="minorEastAsia"/>
          <w:color w:val="auto"/>
          <w:spacing w:val="-4"/>
          <w:highlight w:val="none"/>
        </w:rPr>
        <w:t>1</w:t>
      </w:r>
      <w:r>
        <w:rPr>
          <w:rFonts w:asciiTheme="minorEastAsia" w:hAnsiTheme="minorEastAsia" w:eastAsiaTheme="minorEastAsia"/>
          <w:color w:val="auto"/>
          <w:spacing w:val="-4"/>
          <w:highlight w:val="none"/>
        </w:rPr>
        <w:t>.2 资格审查标准为本磋商文件中载明对供应商资格要求的条件。资格审查采用合格制，凡符</w:t>
      </w:r>
      <w:r>
        <w:rPr>
          <w:rFonts w:asciiTheme="minorEastAsia" w:hAnsiTheme="minorEastAsia" w:eastAsiaTheme="minorEastAsia"/>
          <w:color w:val="auto"/>
          <w:spacing w:val="-3"/>
          <w:highlight w:val="none"/>
        </w:rPr>
        <w:t>合磋商文件规定的供应商资格要求的响应文件均通过资格审查。</w:t>
      </w:r>
      <w:r>
        <w:rPr>
          <w:rFonts w:asciiTheme="minorEastAsia" w:hAnsiTheme="minorEastAsia" w:eastAsiaTheme="minorEastAsia"/>
          <w:color w:val="auto"/>
          <w:highlight w:val="none"/>
        </w:rPr>
        <w:t xml:space="preserve"> </w:t>
      </w:r>
    </w:p>
    <w:p>
      <w:pPr>
        <w:pStyle w:val="2"/>
        <w:spacing w:line="400" w:lineRule="exact"/>
        <w:ind w:left="567" w:firstLine="204" w:firstLineChars="100"/>
        <w:rPr>
          <w:rFonts w:asciiTheme="minorEastAsia" w:hAnsiTheme="minorEastAsia" w:eastAsiaTheme="minorEastAsia"/>
          <w:color w:val="auto"/>
          <w:highlight w:val="none"/>
        </w:rPr>
      </w:pPr>
      <w:r>
        <w:rPr>
          <w:rFonts w:hint="eastAsia" w:asciiTheme="minorEastAsia" w:hAnsiTheme="minorEastAsia" w:eastAsiaTheme="minorEastAsia"/>
          <w:color w:val="auto"/>
          <w:spacing w:val="-3"/>
          <w:highlight w:val="none"/>
        </w:rPr>
        <w:t>1</w:t>
      </w:r>
      <w:r>
        <w:rPr>
          <w:rFonts w:asciiTheme="minorEastAsia" w:hAnsiTheme="minorEastAsia" w:eastAsiaTheme="minorEastAsia"/>
          <w:color w:val="auto"/>
          <w:spacing w:val="-3"/>
          <w:highlight w:val="none"/>
        </w:rPr>
        <w:t xml:space="preserve">.3 供应商有下列情形之一的，资格审查不通过，其响应文件按无效响应处理： </w:t>
      </w:r>
    </w:p>
    <w:p>
      <w:pPr>
        <w:pStyle w:val="2"/>
        <w:spacing w:line="400" w:lineRule="exact"/>
        <w:ind w:left="567" w:firstLine="204" w:firstLineChars="100"/>
        <w:rPr>
          <w:rFonts w:asciiTheme="minorEastAsia" w:hAnsiTheme="minorEastAsia" w:eastAsiaTheme="minorEastAsia"/>
          <w:color w:val="auto"/>
          <w:highlight w:val="none"/>
        </w:rPr>
      </w:pPr>
      <w:r>
        <w:rPr>
          <w:rFonts w:hint="eastAsia" w:asciiTheme="minorEastAsia" w:hAnsiTheme="minorEastAsia" w:eastAsiaTheme="minorEastAsia"/>
          <w:color w:val="auto"/>
          <w:spacing w:val="-3"/>
          <w:highlight w:val="none"/>
        </w:rPr>
        <w:t>（1）</w:t>
      </w:r>
      <w:r>
        <w:rPr>
          <w:rFonts w:asciiTheme="minorEastAsia" w:hAnsiTheme="minorEastAsia" w:eastAsiaTheme="minorEastAsia"/>
          <w:color w:val="auto"/>
          <w:spacing w:val="-3"/>
          <w:highlight w:val="none"/>
        </w:rPr>
        <w:t>不具备磋商文件中规定的资格要求的；</w:t>
      </w:r>
      <w:r>
        <w:rPr>
          <w:rFonts w:asciiTheme="minorEastAsia" w:hAnsiTheme="minorEastAsia" w:eastAsiaTheme="minorEastAsia"/>
          <w:color w:val="auto"/>
          <w:highlight w:val="none"/>
        </w:rPr>
        <w:t xml:space="preserve"> </w:t>
      </w:r>
    </w:p>
    <w:p>
      <w:pPr>
        <w:pStyle w:val="2"/>
        <w:spacing w:line="400" w:lineRule="exact"/>
        <w:ind w:left="567" w:firstLine="204" w:firstLineChars="100"/>
        <w:rPr>
          <w:rFonts w:asciiTheme="minorEastAsia" w:hAnsiTheme="minorEastAsia" w:eastAsiaTheme="minorEastAsia"/>
          <w:color w:val="auto"/>
          <w:highlight w:val="none"/>
        </w:rPr>
      </w:pPr>
      <w:r>
        <w:rPr>
          <w:rFonts w:hint="eastAsia" w:asciiTheme="minorEastAsia" w:hAnsiTheme="minorEastAsia" w:eastAsiaTheme="minorEastAsia"/>
          <w:color w:val="auto"/>
          <w:spacing w:val="-3"/>
          <w:highlight w:val="none"/>
        </w:rPr>
        <w:t>（2）</w:t>
      </w:r>
      <w:r>
        <w:rPr>
          <w:rFonts w:asciiTheme="minorEastAsia" w:hAnsiTheme="minorEastAsia" w:eastAsiaTheme="minorEastAsia"/>
          <w:color w:val="auto"/>
          <w:spacing w:val="-3"/>
          <w:highlight w:val="none"/>
        </w:rPr>
        <w:t>未按磋商文件规定的方式获取本磋商文件的供应商；</w:t>
      </w:r>
      <w:r>
        <w:rPr>
          <w:rFonts w:asciiTheme="minorEastAsia" w:hAnsiTheme="minorEastAsia" w:eastAsiaTheme="minorEastAsia"/>
          <w:color w:val="auto"/>
          <w:highlight w:val="none"/>
        </w:rPr>
        <w:t xml:space="preserve"> </w:t>
      </w:r>
    </w:p>
    <w:p>
      <w:pPr>
        <w:pStyle w:val="2"/>
        <w:spacing w:line="400" w:lineRule="exact"/>
        <w:ind w:left="567" w:firstLine="196" w:firstLineChars="100"/>
        <w:rPr>
          <w:rFonts w:asciiTheme="minorEastAsia" w:hAnsiTheme="minorEastAsia" w:eastAsiaTheme="minorEastAsia"/>
          <w:color w:val="auto"/>
          <w:highlight w:val="none"/>
        </w:rPr>
      </w:pPr>
      <w:r>
        <w:rPr>
          <w:rFonts w:hint="eastAsia" w:asciiTheme="minorEastAsia" w:hAnsiTheme="minorEastAsia" w:eastAsiaTheme="minorEastAsia"/>
          <w:color w:val="auto"/>
          <w:spacing w:val="-7"/>
          <w:highlight w:val="none"/>
        </w:rPr>
        <w:t>（3）</w:t>
      </w:r>
      <w:r>
        <w:rPr>
          <w:rFonts w:asciiTheme="minorEastAsia" w:hAnsiTheme="minorEastAsia" w:eastAsiaTheme="minorEastAsia"/>
          <w:color w:val="auto"/>
          <w:spacing w:val="-7"/>
          <w:highlight w:val="none"/>
        </w:rPr>
        <w:t>响应文件的资格证明文件缺少任一项“供应商须知前附表”资格证明文件规定的“必须</w:t>
      </w:r>
      <w:r>
        <w:rPr>
          <w:rFonts w:asciiTheme="minorEastAsia" w:hAnsiTheme="minorEastAsia" w:eastAsiaTheme="minorEastAsia"/>
          <w:color w:val="auto"/>
          <w:spacing w:val="-5"/>
          <w:highlight w:val="none"/>
        </w:rPr>
        <w:t>提供”或者“委托时必须提供”的文件资料的；</w:t>
      </w:r>
      <w:r>
        <w:rPr>
          <w:rFonts w:asciiTheme="minorEastAsia" w:hAnsiTheme="minorEastAsia" w:eastAsiaTheme="minorEastAsia"/>
          <w:color w:val="auto"/>
          <w:highlight w:val="none"/>
        </w:rPr>
        <w:t xml:space="preserve"> </w:t>
      </w:r>
    </w:p>
    <w:p>
      <w:pPr>
        <w:pStyle w:val="2"/>
        <w:spacing w:line="400" w:lineRule="exact"/>
        <w:ind w:left="567" w:firstLine="198" w:firstLineChars="100"/>
        <w:rPr>
          <w:rFonts w:asciiTheme="minorEastAsia" w:hAnsiTheme="minorEastAsia" w:eastAsiaTheme="minorEastAsia"/>
          <w:color w:val="auto"/>
          <w:highlight w:val="none"/>
        </w:rPr>
      </w:pPr>
      <w:r>
        <w:rPr>
          <w:rFonts w:hint="eastAsia" w:asciiTheme="minorEastAsia" w:hAnsiTheme="minorEastAsia" w:eastAsiaTheme="minorEastAsia"/>
          <w:color w:val="auto"/>
          <w:spacing w:val="-6"/>
          <w:highlight w:val="none"/>
        </w:rPr>
        <w:t>（4）</w:t>
      </w:r>
      <w:r>
        <w:rPr>
          <w:rFonts w:asciiTheme="minorEastAsia" w:hAnsiTheme="minorEastAsia" w:eastAsiaTheme="minorEastAsia"/>
          <w:color w:val="auto"/>
          <w:spacing w:val="-6"/>
          <w:highlight w:val="none"/>
        </w:rPr>
        <w:t>响应文件中的资格证明文件出现任一项不符合“供应商须知前附表”资格证明文件规定</w:t>
      </w:r>
      <w:r>
        <w:rPr>
          <w:rFonts w:asciiTheme="minorEastAsia" w:hAnsiTheme="minorEastAsia" w:eastAsiaTheme="minorEastAsia"/>
          <w:color w:val="auto"/>
          <w:spacing w:val="-3"/>
          <w:highlight w:val="none"/>
        </w:rPr>
        <w:t>的“必须提供”或者“委托时必须提供”的文件资料要求或者无效的；</w:t>
      </w:r>
      <w:r>
        <w:rPr>
          <w:rFonts w:asciiTheme="minorEastAsia" w:hAnsiTheme="minorEastAsia" w:eastAsiaTheme="minorEastAsia"/>
          <w:color w:val="auto"/>
          <w:highlight w:val="none"/>
        </w:rPr>
        <w:t xml:space="preserve"> </w:t>
      </w:r>
    </w:p>
    <w:p>
      <w:pPr>
        <w:pStyle w:val="2"/>
        <w:spacing w:line="400" w:lineRule="exact"/>
        <w:ind w:left="567" w:firstLine="202" w:firstLineChars="100"/>
        <w:rPr>
          <w:rFonts w:asciiTheme="minorEastAsia" w:hAnsiTheme="minorEastAsia" w:eastAsiaTheme="minorEastAsia"/>
          <w:color w:val="auto"/>
          <w:highlight w:val="none"/>
        </w:rPr>
      </w:pPr>
      <w:r>
        <w:rPr>
          <w:rFonts w:hint="eastAsia" w:asciiTheme="minorEastAsia" w:hAnsiTheme="minorEastAsia" w:eastAsiaTheme="minorEastAsia"/>
          <w:color w:val="auto"/>
          <w:spacing w:val="-4"/>
          <w:highlight w:val="none"/>
        </w:rPr>
        <w:t>（5）</w:t>
      </w:r>
      <w:r>
        <w:rPr>
          <w:rFonts w:asciiTheme="minorEastAsia" w:hAnsiTheme="minorEastAsia" w:eastAsiaTheme="minorEastAsia"/>
          <w:color w:val="auto"/>
          <w:spacing w:val="-4"/>
          <w:highlight w:val="none"/>
        </w:rPr>
        <w:t>供应商拟投入本工程的项目经理存在在建项目或已中标未开工项目中任项目经理的</w:t>
      </w:r>
      <w:r>
        <w:rPr>
          <w:rFonts w:asciiTheme="minorEastAsia" w:hAnsiTheme="minorEastAsia" w:eastAsiaTheme="minorEastAsia"/>
          <w:color w:val="auto"/>
          <w:highlight w:val="none"/>
        </w:rPr>
        <w:t>（</w:t>
      </w:r>
      <w:r>
        <w:rPr>
          <w:rFonts w:asciiTheme="minorEastAsia" w:hAnsiTheme="minorEastAsia" w:eastAsiaTheme="minorEastAsia"/>
          <w:color w:val="auto"/>
          <w:spacing w:val="-3"/>
          <w:highlight w:val="none"/>
        </w:rPr>
        <w:t>符合法规规定的特殊情况和桂建管</w:t>
      </w:r>
      <w:r>
        <w:rPr>
          <w:rFonts w:asciiTheme="minorEastAsia" w:hAnsiTheme="minorEastAsia" w:eastAsiaTheme="minorEastAsia"/>
          <w:color w:val="auto"/>
          <w:highlight w:val="none"/>
        </w:rPr>
        <w:t>﹝2013﹞17</w:t>
      </w:r>
      <w:r>
        <w:rPr>
          <w:rFonts w:asciiTheme="minorEastAsia" w:hAnsiTheme="minorEastAsia" w:eastAsiaTheme="minorEastAsia"/>
          <w:color w:val="auto"/>
          <w:spacing w:val="-6"/>
          <w:highlight w:val="none"/>
        </w:rPr>
        <w:t xml:space="preserve"> 号文要求的除外</w:t>
      </w:r>
      <w:r>
        <w:rPr>
          <w:rFonts w:asciiTheme="minorEastAsia" w:hAnsiTheme="minorEastAsia" w:eastAsiaTheme="minorEastAsia"/>
          <w:color w:val="auto"/>
          <w:spacing w:val="-20"/>
          <w:highlight w:val="none"/>
        </w:rPr>
        <w:t>）</w:t>
      </w:r>
      <w:r>
        <w:rPr>
          <w:rFonts w:asciiTheme="minorEastAsia" w:hAnsiTheme="minorEastAsia" w:eastAsiaTheme="minorEastAsia"/>
          <w:color w:val="auto"/>
          <w:spacing w:val="-3"/>
          <w:highlight w:val="none"/>
        </w:rPr>
        <w:t>或已列为其他项目成交候选供应商第一名的项目经理或无有效安全生产考核合格证</w:t>
      </w:r>
      <w:r>
        <w:rPr>
          <w:rFonts w:asciiTheme="minorEastAsia" w:hAnsiTheme="minorEastAsia" w:eastAsiaTheme="minorEastAsia"/>
          <w:color w:val="auto"/>
          <w:highlight w:val="none"/>
        </w:rPr>
        <w:t>（B</w:t>
      </w:r>
      <w:r>
        <w:rPr>
          <w:rFonts w:asciiTheme="minorEastAsia" w:hAnsiTheme="minorEastAsia" w:eastAsiaTheme="minorEastAsia"/>
          <w:color w:val="auto"/>
          <w:spacing w:val="-28"/>
          <w:highlight w:val="none"/>
        </w:rPr>
        <w:t xml:space="preserve"> 类</w:t>
      </w:r>
      <w:r>
        <w:rPr>
          <w:rFonts w:asciiTheme="minorEastAsia" w:hAnsiTheme="minorEastAsia" w:eastAsiaTheme="minorEastAsia"/>
          <w:color w:val="auto"/>
          <w:highlight w:val="none"/>
        </w:rPr>
        <w:t>）</w:t>
      </w:r>
      <w:r>
        <w:rPr>
          <w:rFonts w:asciiTheme="minorEastAsia" w:hAnsiTheme="minorEastAsia" w:eastAsiaTheme="minorEastAsia"/>
          <w:color w:val="auto"/>
          <w:spacing w:val="-2"/>
          <w:highlight w:val="none"/>
        </w:rPr>
        <w:t>的；</w:t>
      </w:r>
      <w:r>
        <w:rPr>
          <w:rFonts w:asciiTheme="minorEastAsia" w:hAnsiTheme="minorEastAsia" w:eastAsiaTheme="minorEastAsia"/>
          <w:color w:val="auto"/>
          <w:highlight w:val="none"/>
        </w:rPr>
        <w:t xml:space="preserve"> </w:t>
      </w:r>
    </w:p>
    <w:p>
      <w:pPr>
        <w:pStyle w:val="2"/>
        <w:spacing w:line="400" w:lineRule="exact"/>
        <w:ind w:left="567" w:firstLine="196" w:firstLineChars="100"/>
        <w:rPr>
          <w:rFonts w:asciiTheme="minorEastAsia" w:hAnsiTheme="minorEastAsia" w:eastAsiaTheme="minorEastAsia"/>
          <w:color w:val="auto"/>
          <w:highlight w:val="none"/>
        </w:rPr>
      </w:pPr>
      <w:r>
        <w:rPr>
          <w:rFonts w:hint="eastAsia" w:asciiTheme="minorEastAsia" w:hAnsiTheme="minorEastAsia" w:eastAsiaTheme="minorEastAsia"/>
          <w:color w:val="auto"/>
          <w:spacing w:val="-7"/>
          <w:highlight w:val="none"/>
        </w:rPr>
        <w:t>（6）</w:t>
      </w:r>
      <w:r>
        <w:rPr>
          <w:rFonts w:asciiTheme="minorEastAsia" w:hAnsiTheme="minorEastAsia" w:eastAsiaTheme="minorEastAsia"/>
          <w:color w:val="auto"/>
          <w:spacing w:val="-7"/>
          <w:highlight w:val="none"/>
        </w:rPr>
        <w:t>同一合同项下的不同供应商，单位负责人为同一人或者存在直接控股、管理关系的；为本</w:t>
      </w:r>
      <w:r>
        <w:rPr>
          <w:rFonts w:asciiTheme="minorEastAsia" w:hAnsiTheme="minorEastAsia" w:eastAsiaTheme="minorEastAsia"/>
          <w:color w:val="auto"/>
          <w:spacing w:val="-4"/>
          <w:highlight w:val="none"/>
        </w:rPr>
        <w:t>项目提供过整体设计、规范编制或者项目管理、监理、检测等服务的供应商，再参加该采购项目的</w:t>
      </w:r>
      <w:r>
        <w:rPr>
          <w:rFonts w:asciiTheme="minorEastAsia" w:hAnsiTheme="minorEastAsia" w:eastAsiaTheme="minorEastAsia"/>
          <w:color w:val="auto"/>
          <w:spacing w:val="-3"/>
          <w:highlight w:val="none"/>
        </w:rPr>
        <w:t>其他采购活动的。</w:t>
      </w:r>
      <w:r>
        <w:rPr>
          <w:rFonts w:asciiTheme="minorEastAsia" w:hAnsiTheme="minorEastAsia" w:eastAsiaTheme="minorEastAsia"/>
          <w:color w:val="auto"/>
          <w:highlight w:val="none"/>
        </w:rPr>
        <w:t xml:space="preserve"> </w:t>
      </w:r>
    </w:p>
    <w:p>
      <w:pPr>
        <w:pStyle w:val="2"/>
        <w:spacing w:line="400" w:lineRule="exact"/>
        <w:ind w:left="567" w:firstLine="204" w:firstLineChars="100"/>
        <w:rPr>
          <w:rFonts w:asciiTheme="minorEastAsia" w:hAnsiTheme="minorEastAsia" w:eastAsiaTheme="minorEastAsia"/>
          <w:color w:val="auto"/>
          <w:highlight w:val="none"/>
        </w:rPr>
      </w:pPr>
      <w:r>
        <w:rPr>
          <w:rFonts w:hint="eastAsia" w:asciiTheme="minorEastAsia" w:hAnsiTheme="minorEastAsia" w:eastAsiaTheme="minorEastAsia"/>
          <w:color w:val="auto"/>
          <w:spacing w:val="-3"/>
          <w:highlight w:val="none"/>
        </w:rPr>
        <w:t>（7）</w:t>
      </w:r>
      <w:r>
        <w:rPr>
          <w:rFonts w:asciiTheme="minorEastAsia" w:hAnsiTheme="minorEastAsia" w:eastAsiaTheme="minorEastAsia"/>
          <w:color w:val="auto"/>
          <w:spacing w:val="-3"/>
          <w:highlight w:val="none"/>
        </w:rPr>
        <w:t>提供响应文件正、副本数量不足；</w:t>
      </w:r>
      <w:r>
        <w:rPr>
          <w:rFonts w:asciiTheme="minorEastAsia" w:hAnsiTheme="minorEastAsia" w:eastAsiaTheme="minorEastAsia"/>
          <w:color w:val="auto"/>
          <w:highlight w:val="none"/>
        </w:rPr>
        <w:t xml:space="preserve"> </w:t>
      </w:r>
    </w:p>
    <w:p>
      <w:pPr>
        <w:pStyle w:val="2"/>
        <w:spacing w:line="400" w:lineRule="exact"/>
        <w:ind w:left="567" w:firstLine="204" w:firstLineChars="100"/>
        <w:rPr>
          <w:rFonts w:asciiTheme="minorEastAsia" w:hAnsiTheme="minorEastAsia" w:eastAsiaTheme="minorEastAsia"/>
          <w:color w:val="auto"/>
          <w:highlight w:val="none"/>
        </w:rPr>
      </w:pPr>
      <w:r>
        <w:rPr>
          <w:rFonts w:hint="eastAsia" w:asciiTheme="minorEastAsia" w:hAnsiTheme="minorEastAsia" w:eastAsiaTheme="minorEastAsia"/>
          <w:color w:val="auto"/>
          <w:spacing w:val="-3"/>
          <w:highlight w:val="none"/>
        </w:rPr>
        <w:t>（</w:t>
      </w:r>
      <w:r>
        <w:rPr>
          <w:rFonts w:asciiTheme="minorEastAsia" w:hAnsiTheme="minorEastAsia" w:eastAsiaTheme="minorEastAsia"/>
          <w:color w:val="auto"/>
          <w:spacing w:val="-3"/>
          <w:highlight w:val="none"/>
        </w:rPr>
        <w:t>8</w:t>
      </w:r>
      <w:r>
        <w:rPr>
          <w:rFonts w:hint="eastAsia" w:asciiTheme="minorEastAsia" w:hAnsiTheme="minorEastAsia" w:eastAsiaTheme="minorEastAsia"/>
          <w:color w:val="auto"/>
          <w:spacing w:val="-3"/>
          <w:highlight w:val="none"/>
        </w:rPr>
        <w:t>）</w:t>
      </w:r>
      <w:r>
        <w:rPr>
          <w:rFonts w:asciiTheme="minorEastAsia" w:hAnsiTheme="minorEastAsia" w:eastAsiaTheme="minorEastAsia"/>
          <w:color w:val="auto"/>
          <w:spacing w:val="-3"/>
          <w:highlight w:val="none"/>
        </w:rPr>
        <w:t>响应文件未按磋商文件要求签署、盖章；</w:t>
      </w:r>
      <w:r>
        <w:rPr>
          <w:rFonts w:asciiTheme="minorEastAsia" w:hAnsiTheme="minorEastAsia" w:eastAsiaTheme="minorEastAsia"/>
          <w:color w:val="auto"/>
          <w:highlight w:val="none"/>
        </w:rPr>
        <w:t xml:space="preserve"> </w:t>
      </w:r>
    </w:p>
    <w:p>
      <w:pPr>
        <w:pStyle w:val="2"/>
        <w:spacing w:line="400" w:lineRule="exact"/>
        <w:ind w:left="567" w:firstLine="204" w:firstLineChars="100"/>
        <w:rPr>
          <w:rFonts w:asciiTheme="minorEastAsia" w:hAnsiTheme="minorEastAsia" w:eastAsiaTheme="minorEastAsia"/>
          <w:color w:val="auto"/>
          <w:highlight w:val="none"/>
        </w:rPr>
      </w:pPr>
      <w:r>
        <w:rPr>
          <w:rFonts w:hint="eastAsia" w:asciiTheme="minorEastAsia" w:hAnsiTheme="minorEastAsia" w:eastAsiaTheme="minorEastAsia"/>
          <w:color w:val="auto"/>
          <w:spacing w:val="-3"/>
          <w:highlight w:val="none"/>
        </w:rPr>
        <w:t>（9）</w:t>
      </w:r>
      <w:r>
        <w:rPr>
          <w:rFonts w:asciiTheme="minorEastAsia" w:hAnsiTheme="minorEastAsia" w:eastAsiaTheme="minorEastAsia"/>
          <w:color w:val="auto"/>
          <w:spacing w:val="-3"/>
          <w:highlight w:val="none"/>
        </w:rPr>
        <w:t xml:space="preserve">委托代理人未能出具有效身份证或者出具的身份证与授权委托书中的信息不符的； </w:t>
      </w:r>
      <w:r>
        <w:rPr>
          <w:rFonts w:asciiTheme="minorEastAsia" w:hAnsiTheme="minorEastAsia" w:eastAsiaTheme="minorEastAsia"/>
          <w:color w:val="auto"/>
          <w:highlight w:val="none"/>
        </w:rPr>
        <w:t xml:space="preserve"> </w:t>
      </w:r>
    </w:p>
    <w:p>
      <w:pPr>
        <w:pStyle w:val="2"/>
        <w:spacing w:line="400" w:lineRule="exact"/>
        <w:ind w:left="567" w:firstLine="204" w:firstLineChars="100"/>
        <w:rPr>
          <w:rFonts w:asciiTheme="minorEastAsia" w:hAnsiTheme="minorEastAsia" w:eastAsiaTheme="minorEastAsia"/>
          <w:color w:val="auto"/>
          <w:highlight w:val="none"/>
        </w:rPr>
      </w:pPr>
      <w:r>
        <w:rPr>
          <w:rFonts w:hint="eastAsia" w:asciiTheme="minorEastAsia" w:hAnsiTheme="minorEastAsia" w:eastAsiaTheme="minorEastAsia"/>
          <w:color w:val="auto"/>
          <w:spacing w:val="-3"/>
          <w:highlight w:val="none"/>
        </w:rPr>
        <w:t>（1</w:t>
      </w:r>
      <w:r>
        <w:rPr>
          <w:rFonts w:asciiTheme="minorEastAsia" w:hAnsiTheme="minorEastAsia" w:eastAsiaTheme="minorEastAsia"/>
          <w:color w:val="auto"/>
          <w:spacing w:val="-3"/>
          <w:highlight w:val="none"/>
        </w:rPr>
        <w:t>0</w:t>
      </w:r>
      <w:r>
        <w:rPr>
          <w:rFonts w:hint="eastAsia" w:asciiTheme="minorEastAsia" w:hAnsiTheme="minorEastAsia" w:eastAsiaTheme="minorEastAsia"/>
          <w:color w:val="auto"/>
          <w:spacing w:val="-3"/>
          <w:highlight w:val="none"/>
        </w:rPr>
        <w:t>）</w:t>
      </w:r>
      <w:r>
        <w:rPr>
          <w:rFonts w:asciiTheme="minorEastAsia" w:hAnsiTheme="minorEastAsia" w:eastAsiaTheme="minorEastAsia"/>
          <w:color w:val="auto"/>
          <w:spacing w:val="-3"/>
          <w:highlight w:val="none"/>
        </w:rPr>
        <w:t xml:space="preserve">提交的磋商保证金无效的或者未按照磋商文件的规定提交磋商保证金； </w:t>
      </w:r>
    </w:p>
    <w:p>
      <w:pPr>
        <w:pStyle w:val="2"/>
        <w:spacing w:line="400" w:lineRule="exact"/>
        <w:ind w:left="567" w:firstLine="204" w:firstLineChars="100"/>
        <w:rPr>
          <w:rFonts w:asciiTheme="minorEastAsia" w:hAnsiTheme="minorEastAsia" w:eastAsiaTheme="minorEastAsia"/>
          <w:color w:val="auto"/>
          <w:highlight w:val="none"/>
        </w:rPr>
      </w:pPr>
      <w:r>
        <w:rPr>
          <w:rFonts w:hint="eastAsia" w:asciiTheme="minorEastAsia" w:hAnsiTheme="minorEastAsia" w:eastAsiaTheme="minorEastAsia"/>
          <w:color w:val="auto"/>
          <w:spacing w:val="-3"/>
          <w:highlight w:val="none"/>
        </w:rPr>
        <w:t>（1</w:t>
      </w:r>
      <w:r>
        <w:rPr>
          <w:rFonts w:asciiTheme="minorEastAsia" w:hAnsiTheme="minorEastAsia" w:eastAsiaTheme="minorEastAsia"/>
          <w:color w:val="auto"/>
          <w:spacing w:val="-3"/>
          <w:highlight w:val="none"/>
        </w:rPr>
        <w:t>1</w:t>
      </w:r>
      <w:r>
        <w:rPr>
          <w:rFonts w:hint="eastAsia" w:asciiTheme="minorEastAsia" w:hAnsiTheme="minorEastAsia" w:eastAsiaTheme="minorEastAsia"/>
          <w:color w:val="auto"/>
          <w:spacing w:val="-3"/>
          <w:highlight w:val="none"/>
        </w:rPr>
        <w:t>）</w:t>
      </w:r>
      <w:r>
        <w:rPr>
          <w:rFonts w:asciiTheme="minorEastAsia" w:hAnsiTheme="minorEastAsia" w:eastAsiaTheme="minorEastAsia"/>
          <w:color w:val="auto"/>
          <w:spacing w:val="-3"/>
          <w:highlight w:val="none"/>
        </w:rPr>
        <w:t>未对竞标有效期作出响应或者响应文件承诺的竞标有效期不满足磋商文件要求；</w:t>
      </w:r>
      <w:r>
        <w:rPr>
          <w:rFonts w:asciiTheme="minorEastAsia" w:hAnsiTheme="minorEastAsia" w:eastAsiaTheme="minorEastAsia"/>
          <w:color w:val="auto"/>
          <w:highlight w:val="none"/>
        </w:rPr>
        <w:t xml:space="preserve"> </w:t>
      </w:r>
    </w:p>
    <w:p>
      <w:pPr>
        <w:pStyle w:val="2"/>
        <w:spacing w:line="400" w:lineRule="exact"/>
        <w:ind w:left="567" w:firstLine="204" w:firstLineChars="100"/>
        <w:rPr>
          <w:rFonts w:asciiTheme="minorEastAsia" w:hAnsiTheme="minorEastAsia" w:eastAsiaTheme="minorEastAsia"/>
          <w:color w:val="auto"/>
          <w:highlight w:val="none"/>
        </w:rPr>
      </w:pPr>
      <w:r>
        <w:rPr>
          <w:rFonts w:hint="eastAsia" w:asciiTheme="minorEastAsia" w:hAnsiTheme="minorEastAsia" w:eastAsiaTheme="minorEastAsia"/>
          <w:color w:val="auto"/>
          <w:spacing w:val="-3"/>
          <w:highlight w:val="none"/>
        </w:rPr>
        <w:t>（1</w:t>
      </w:r>
      <w:r>
        <w:rPr>
          <w:rFonts w:asciiTheme="minorEastAsia" w:hAnsiTheme="minorEastAsia" w:eastAsiaTheme="minorEastAsia"/>
          <w:color w:val="auto"/>
          <w:spacing w:val="-3"/>
          <w:highlight w:val="none"/>
        </w:rPr>
        <w:t>2</w:t>
      </w:r>
      <w:r>
        <w:rPr>
          <w:rFonts w:hint="eastAsia" w:asciiTheme="minorEastAsia" w:hAnsiTheme="minorEastAsia" w:eastAsiaTheme="minorEastAsia"/>
          <w:color w:val="auto"/>
          <w:spacing w:val="-3"/>
          <w:highlight w:val="none"/>
        </w:rPr>
        <w:t>）</w:t>
      </w:r>
      <w:r>
        <w:rPr>
          <w:rFonts w:asciiTheme="minorEastAsia" w:hAnsiTheme="minorEastAsia" w:eastAsiaTheme="minorEastAsia"/>
          <w:color w:val="auto"/>
          <w:spacing w:val="-3"/>
          <w:highlight w:val="none"/>
        </w:rPr>
        <w:t>响应文件的实质性内容未使用中文表述、使用计量单位不符合磋商文件要求；</w:t>
      </w:r>
      <w:r>
        <w:rPr>
          <w:rFonts w:asciiTheme="minorEastAsia" w:hAnsiTheme="minorEastAsia" w:eastAsiaTheme="minorEastAsia"/>
          <w:color w:val="auto"/>
          <w:highlight w:val="none"/>
        </w:rPr>
        <w:t xml:space="preserve"> </w:t>
      </w:r>
    </w:p>
    <w:p>
      <w:pPr>
        <w:pStyle w:val="2"/>
        <w:spacing w:line="400" w:lineRule="exact"/>
        <w:ind w:left="567" w:firstLine="202" w:firstLineChars="100"/>
        <w:rPr>
          <w:rFonts w:asciiTheme="minorEastAsia" w:hAnsiTheme="minorEastAsia" w:eastAsiaTheme="minorEastAsia"/>
          <w:color w:val="auto"/>
          <w:highlight w:val="none"/>
        </w:rPr>
      </w:pPr>
      <w:r>
        <w:rPr>
          <w:rFonts w:hint="eastAsia" w:asciiTheme="minorEastAsia" w:hAnsiTheme="minorEastAsia" w:eastAsiaTheme="minorEastAsia"/>
          <w:color w:val="auto"/>
          <w:spacing w:val="-4"/>
          <w:highlight w:val="none"/>
        </w:rPr>
        <w:t>（1</w:t>
      </w:r>
      <w:r>
        <w:rPr>
          <w:rFonts w:asciiTheme="minorEastAsia" w:hAnsiTheme="minorEastAsia" w:eastAsiaTheme="minorEastAsia"/>
          <w:color w:val="auto"/>
          <w:spacing w:val="-4"/>
          <w:highlight w:val="none"/>
        </w:rPr>
        <w:t>3</w:t>
      </w:r>
      <w:r>
        <w:rPr>
          <w:rFonts w:hint="eastAsia" w:asciiTheme="minorEastAsia" w:hAnsiTheme="minorEastAsia" w:eastAsiaTheme="minorEastAsia"/>
          <w:color w:val="auto"/>
          <w:spacing w:val="-4"/>
          <w:highlight w:val="none"/>
        </w:rPr>
        <w:t>）</w:t>
      </w:r>
      <w:r>
        <w:rPr>
          <w:rFonts w:asciiTheme="minorEastAsia" w:hAnsiTheme="minorEastAsia" w:eastAsiaTheme="minorEastAsia"/>
          <w:color w:val="auto"/>
          <w:spacing w:val="-4"/>
          <w:highlight w:val="none"/>
        </w:rPr>
        <w:t>响应文件中的文件资料因填写不齐全或者内容虚假或者出现其他情形而导致被磋商小组</w:t>
      </w:r>
      <w:r>
        <w:rPr>
          <w:rFonts w:asciiTheme="minorEastAsia" w:hAnsiTheme="minorEastAsia" w:eastAsiaTheme="minorEastAsia"/>
          <w:color w:val="auto"/>
          <w:spacing w:val="-2"/>
          <w:highlight w:val="none"/>
        </w:rPr>
        <w:t>认定无效；</w:t>
      </w:r>
      <w:r>
        <w:rPr>
          <w:rFonts w:asciiTheme="minorEastAsia" w:hAnsiTheme="minorEastAsia" w:eastAsiaTheme="minorEastAsia"/>
          <w:color w:val="auto"/>
          <w:highlight w:val="none"/>
        </w:rPr>
        <w:t xml:space="preserve"> </w:t>
      </w:r>
    </w:p>
    <w:p>
      <w:pPr>
        <w:pStyle w:val="2"/>
        <w:spacing w:line="400" w:lineRule="exact"/>
        <w:ind w:left="567" w:firstLine="204" w:firstLineChars="100"/>
        <w:rPr>
          <w:rFonts w:asciiTheme="minorEastAsia" w:hAnsiTheme="minorEastAsia" w:eastAsiaTheme="minorEastAsia"/>
          <w:color w:val="auto"/>
          <w:highlight w:val="none"/>
        </w:rPr>
      </w:pPr>
      <w:r>
        <w:rPr>
          <w:rFonts w:hint="eastAsia" w:asciiTheme="minorEastAsia" w:hAnsiTheme="minorEastAsia" w:eastAsiaTheme="minorEastAsia"/>
          <w:color w:val="auto"/>
          <w:spacing w:val="-3"/>
          <w:highlight w:val="none"/>
        </w:rPr>
        <w:t>（1</w:t>
      </w:r>
      <w:r>
        <w:rPr>
          <w:rFonts w:asciiTheme="minorEastAsia" w:hAnsiTheme="minorEastAsia" w:eastAsiaTheme="minorEastAsia"/>
          <w:color w:val="auto"/>
          <w:spacing w:val="-3"/>
          <w:highlight w:val="none"/>
        </w:rPr>
        <w:t>4</w:t>
      </w:r>
      <w:r>
        <w:rPr>
          <w:rFonts w:hint="eastAsia" w:asciiTheme="minorEastAsia" w:hAnsiTheme="minorEastAsia" w:eastAsiaTheme="minorEastAsia"/>
          <w:color w:val="auto"/>
          <w:spacing w:val="-3"/>
          <w:highlight w:val="none"/>
        </w:rPr>
        <w:t>）</w:t>
      </w:r>
      <w:r>
        <w:rPr>
          <w:rFonts w:asciiTheme="minorEastAsia" w:hAnsiTheme="minorEastAsia" w:eastAsiaTheme="minorEastAsia"/>
          <w:color w:val="auto"/>
          <w:spacing w:val="-3"/>
          <w:highlight w:val="none"/>
        </w:rPr>
        <w:t>响应文件含有采购人不能接受的附加条件；</w:t>
      </w:r>
      <w:r>
        <w:rPr>
          <w:rFonts w:asciiTheme="minorEastAsia" w:hAnsiTheme="minorEastAsia" w:eastAsiaTheme="minorEastAsia"/>
          <w:color w:val="auto"/>
          <w:highlight w:val="none"/>
        </w:rPr>
        <w:t xml:space="preserve"> </w:t>
      </w:r>
    </w:p>
    <w:p>
      <w:pPr>
        <w:pStyle w:val="2"/>
        <w:spacing w:line="400" w:lineRule="exact"/>
        <w:ind w:left="567" w:firstLine="196" w:firstLineChars="100"/>
        <w:rPr>
          <w:rFonts w:asciiTheme="minorEastAsia" w:hAnsiTheme="minorEastAsia" w:eastAsiaTheme="minorEastAsia"/>
          <w:color w:val="auto"/>
          <w:highlight w:val="none"/>
        </w:rPr>
      </w:pPr>
      <w:r>
        <w:rPr>
          <w:rFonts w:hint="eastAsia" w:asciiTheme="minorEastAsia" w:hAnsiTheme="minorEastAsia" w:eastAsiaTheme="minorEastAsia"/>
          <w:color w:val="auto"/>
          <w:spacing w:val="-7"/>
          <w:highlight w:val="none"/>
        </w:rPr>
        <w:t>（1</w:t>
      </w:r>
      <w:r>
        <w:rPr>
          <w:rFonts w:asciiTheme="minorEastAsia" w:hAnsiTheme="minorEastAsia" w:eastAsiaTheme="minorEastAsia"/>
          <w:color w:val="auto"/>
          <w:spacing w:val="-7"/>
          <w:highlight w:val="none"/>
        </w:rPr>
        <w:t>5</w:t>
      </w:r>
      <w:r>
        <w:rPr>
          <w:rFonts w:hint="eastAsia" w:asciiTheme="minorEastAsia" w:hAnsiTheme="minorEastAsia" w:eastAsiaTheme="minorEastAsia"/>
          <w:color w:val="auto"/>
          <w:spacing w:val="-7"/>
          <w:highlight w:val="none"/>
        </w:rPr>
        <w:t>）</w:t>
      </w:r>
      <w:r>
        <w:rPr>
          <w:rFonts w:asciiTheme="minorEastAsia" w:hAnsiTheme="minorEastAsia" w:eastAsiaTheme="minorEastAsia"/>
          <w:color w:val="auto"/>
          <w:spacing w:val="-7"/>
          <w:highlight w:val="none"/>
        </w:rPr>
        <w:t xml:space="preserve">属于“供应商须知正文”第 </w:t>
      </w:r>
      <w:r>
        <w:rPr>
          <w:rFonts w:asciiTheme="minorEastAsia" w:hAnsiTheme="minorEastAsia" w:eastAsiaTheme="minorEastAsia"/>
          <w:color w:val="auto"/>
          <w:highlight w:val="none"/>
        </w:rPr>
        <w:t>7.5</w:t>
      </w:r>
      <w:r>
        <w:rPr>
          <w:rFonts w:asciiTheme="minorEastAsia" w:hAnsiTheme="minorEastAsia" w:eastAsiaTheme="minorEastAsia"/>
          <w:color w:val="auto"/>
          <w:spacing w:val="-13"/>
          <w:highlight w:val="none"/>
        </w:rPr>
        <w:t xml:space="preserve"> 条情形；</w:t>
      </w:r>
      <w:r>
        <w:rPr>
          <w:rFonts w:asciiTheme="minorEastAsia" w:hAnsiTheme="minorEastAsia" w:eastAsiaTheme="minorEastAsia"/>
          <w:color w:val="auto"/>
          <w:highlight w:val="none"/>
        </w:rPr>
        <w:t xml:space="preserve"> </w:t>
      </w:r>
    </w:p>
    <w:p>
      <w:pPr>
        <w:pStyle w:val="2"/>
        <w:spacing w:line="400" w:lineRule="exact"/>
        <w:ind w:left="567" w:firstLine="204" w:firstLineChars="100"/>
        <w:rPr>
          <w:rFonts w:asciiTheme="minorEastAsia" w:hAnsiTheme="minorEastAsia" w:eastAsiaTheme="minorEastAsia"/>
          <w:color w:val="auto"/>
          <w:highlight w:val="none"/>
        </w:rPr>
      </w:pPr>
      <w:r>
        <w:rPr>
          <w:rFonts w:hint="eastAsia" w:asciiTheme="minorEastAsia" w:hAnsiTheme="minorEastAsia" w:eastAsiaTheme="minorEastAsia"/>
          <w:color w:val="auto"/>
          <w:spacing w:val="-3"/>
          <w:highlight w:val="none"/>
        </w:rPr>
        <w:t>（1</w:t>
      </w:r>
      <w:r>
        <w:rPr>
          <w:rFonts w:asciiTheme="minorEastAsia" w:hAnsiTheme="minorEastAsia" w:eastAsiaTheme="minorEastAsia"/>
          <w:color w:val="auto"/>
          <w:spacing w:val="-3"/>
          <w:highlight w:val="none"/>
        </w:rPr>
        <w:t>6</w:t>
      </w:r>
      <w:r>
        <w:rPr>
          <w:rFonts w:hint="eastAsia" w:asciiTheme="minorEastAsia" w:hAnsiTheme="minorEastAsia" w:eastAsiaTheme="minorEastAsia"/>
          <w:color w:val="auto"/>
          <w:spacing w:val="-3"/>
          <w:highlight w:val="none"/>
        </w:rPr>
        <w:t>）</w:t>
      </w:r>
      <w:r>
        <w:rPr>
          <w:rFonts w:asciiTheme="minorEastAsia" w:hAnsiTheme="minorEastAsia" w:eastAsiaTheme="minorEastAsia"/>
          <w:color w:val="auto"/>
          <w:spacing w:val="-3"/>
          <w:highlight w:val="none"/>
        </w:rPr>
        <w:t xml:space="preserve">虚假竞标，或者出现其他情形而导致被磋商小组认定无效； </w:t>
      </w:r>
    </w:p>
    <w:p>
      <w:pPr>
        <w:pStyle w:val="2"/>
        <w:spacing w:line="400" w:lineRule="exact"/>
        <w:ind w:left="567" w:firstLine="208" w:firstLineChars="100"/>
        <w:rPr>
          <w:rFonts w:asciiTheme="minorEastAsia" w:hAnsiTheme="minorEastAsia" w:eastAsiaTheme="minorEastAsia"/>
          <w:color w:val="auto"/>
          <w:highlight w:val="none"/>
        </w:rPr>
      </w:pPr>
      <w:r>
        <w:rPr>
          <w:rFonts w:hint="eastAsia" w:asciiTheme="minorEastAsia" w:hAnsiTheme="minorEastAsia" w:eastAsiaTheme="minorEastAsia"/>
          <w:color w:val="auto"/>
          <w:spacing w:val="-1"/>
          <w:highlight w:val="none"/>
        </w:rPr>
        <w:t>（1</w:t>
      </w:r>
      <w:r>
        <w:rPr>
          <w:rFonts w:asciiTheme="minorEastAsia" w:hAnsiTheme="minorEastAsia" w:eastAsiaTheme="minorEastAsia"/>
          <w:color w:val="auto"/>
          <w:spacing w:val="-1"/>
          <w:highlight w:val="none"/>
        </w:rPr>
        <w:t>7</w:t>
      </w:r>
      <w:r>
        <w:rPr>
          <w:rFonts w:hint="eastAsia" w:asciiTheme="minorEastAsia" w:hAnsiTheme="minorEastAsia" w:eastAsiaTheme="minorEastAsia"/>
          <w:color w:val="auto"/>
          <w:spacing w:val="-1"/>
          <w:highlight w:val="none"/>
        </w:rPr>
        <w:t>）</w:t>
      </w:r>
      <w:r>
        <w:rPr>
          <w:rFonts w:asciiTheme="minorEastAsia" w:hAnsiTheme="minorEastAsia" w:eastAsiaTheme="minorEastAsia"/>
          <w:color w:val="auto"/>
          <w:spacing w:val="-1"/>
          <w:highlight w:val="none"/>
        </w:rPr>
        <w:t>磋商文件未载明允许提供备选</w:t>
      </w:r>
      <w:r>
        <w:rPr>
          <w:rFonts w:asciiTheme="minorEastAsia" w:hAnsiTheme="minorEastAsia" w:eastAsiaTheme="minorEastAsia"/>
          <w:color w:val="auto"/>
          <w:highlight w:val="none"/>
        </w:rPr>
        <w:t>（替代）</w:t>
      </w:r>
      <w:r>
        <w:rPr>
          <w:rFonts w:asciiTheme="minorEastAsia" w:hAnsiTheme="minorEastAsia" w:eastAsiaTheme="minorEastAsia"/>
          <w:color w:val="auto"/>
          <w:spacing w:val="-3"/>
          <w:highlight w:val="none"/>
        </w:rPr>
        <w:t>竞标方案或明确不允许提供备选</w:t>
      </w:r>
      <w:r>
        <w:rPr>
          <w:rFonts w:asciiTheme="minorEastAsia" w:hAnsiTheme="minorEastAsia" w:eastAsiaTheme="minorEastAsia"/>
          <w:color w:val="auto"/>
          <w:highlight w:val="none"/>
        </w:rPr>
        <w:t>（替代）</w:t>
      </w:r>
      <w:r>
        <w:rPr>
          <w:rFonts w:asciiTheme="minorEastAsia" w:hAnsiTheme="minorEastAsia" w:eastAsiaTheme="minorEastAsia"/>
          <w:color w:val="auto"/>
          <w:spacing w:val="-6"/>
          <w:highlight w:val="none"/>
        </w:rPr>
        <w:t>竞标方</w:t>
      </w:r>
      <w:r>
        <w:rPr>
          <w:rFonts w:asciiTheme="minorEastAsia" w:hAnsiTheme="minorEastAsia" w:eastAsiaTheme="minorEastAsia"/>
          <w:color w:val="auto"/>
          <w:spacing w:val="-3"/>
          <w:highlight w:val="none"/>
        </w:rPr>
        <w:t>案时，供应商提供了备选</w:t>
      </w:r>
      <w:r>
        <w:rPr>
          <w:rFonts w:asciiTheme="minorEastAsia" w:hAnsiTheme="minorEastAsia" w:eastAsiaTheme="minorEastAsia"/>
          <w:color w:val="auto"/>
          <w:highlight w:val="none"/>
        </w:rPr>
        <w:t>（</w:t>
      </w:r>
      <w:r>
        <w:rPr>
          <w:rFonts w:asciiTheme="minorEastAsia" w:hAnsiTheme="minorEastAsia" w:eastAsiaTheme="minorEastAsia"/>
          <w:color w:val="auto"/>
          <w:spacing w:val="-2"/>
          <w:highlight w:val="none"/>
        </w:rPr>
        <w:t>替代</w:t>
      </w:r>
      <w:r>
        <w:rPr>
          <w:rFonts w:asciiTheme="minorEastAsia" w:hAnsiTheme="minorEastAsia" w:eastAsiaTheme="minorEastAsia"/>
          <w:color w:val="auto"/>
          <w:highlight w:val="none"/>
        </w:rPr>
        <w:t>）</w:t>
      </w:r>
      <w:r>
        <w:rPr>
          <w:rFonts w:asciiTheme="minorEastAsia" w:hAnsiTheme="minorEastAsia" w:eastAsiaTheme="minorEastAsia"/>
          <w:color w:val="auto"/>
          <w:spacing w:val="-3"/>
          <w:highlight w:val="none"/>
        </w:rPr>
        <w:t>竞标方案的；</w:t>
      </w:r>
      <w:r>
        <w:rPr>
          <w:rFonts w:asciiTheme="minorEastAsia" w:hAnsiTheme="minorEastAsia" w:eastAsiaTheme="minorEastAsia"/>
          <w:color w:val="auto"/>
          <w:highlight w:val="none"/>
        </w:rPr>
        <w:t xml:space="preserve"> </w:t>
      </w:r>
    </w:p>
    <w:p>
      <w:pPr>
        <w:pStyle w:val="2"/>
        <w:spacing w:line="400" w:lineRule="exact"/>
        <w:ind w:left="567" w:firstLine="202" w:firstLineChars="100"/>
        <w:rPr>
          <w:rFonts w:asciiTheme="minorEastAsia" w:hAnsiTheme="minorEastAsia" w:eastAsiaTheme="minorEastAsia"/>
          <w:color w:val="auto"/>
          <w:highlight w:val="none"/>
        </w:rPr>
      </w:pPr>
      <w:r>
        <w:rPr>
          <w:rFonts w:hint="eastAsia" w:asciiTheme="minorEastAsia" w:hAnsiTheme="minorEastAsia" w:eastAsiaTheme="minorEastAsia"/>
          <w:color w:val="auto"/>
          <w:spacing w:val="-4"/>
          <w:highlight w:val="none"/>
        </w:rPr>
        <w:t>（1</w:t>
      </w:r>
      <w:r>
        <w:rPr>
          <w:rFonts w:asciiTheme="minorEastAsia" w:hAnsiTheme="minorEastAsia" w:eastAsiaTheme="minorEastAsia"/>
          <w:color w:val="auto"/>
          <w:spacing w:val="-4"/>
          <w:highlight w:val="none"/>
        </w:rPr>
        <w:t>8</w:t>
      </w:r>
      <w:r>
        <w:rPr>
          <w:rFonts w:hint="eastAsia" w:asciiTheme="minorEastAsia" w:hAnsiTheme="minorEastAsia" w:eastAsiaTheme="minorEastAsia"/>
          <w:color w:val="auto"/>
          <w:spacing w:val="-4"/>
          <w:highlight w:val="none"/>
        </w:rPr>
        <w:t>）</w:t>
      </w:r>
      <w:r>
        <w:rPr>
          <w:rFonts w:asciiTheme="minorEastAsia" w:hAnsiTheme="minorEastAsia" w:eastAsiaTheme="minorEastAsia"/>
          <w:color w:val="auto"/>
          <w:spacing w:val="-4"/>
          <w:highlight w:val="none"/>
        </w:rPr>
        <w:t>响应文件标注的项目名称或者项目编号与磋商文件标注的项目名称或者项目编号不一致</w:t>
      </w:r>
      <w:r>
        <w:rPr>
          <w:rFonts w:asciiTheme="minorEastAsia" w:hAnsiTheme="minorEastAsia" w:eastAsiaTheme="minorEastAsia"/>
          <w:color w:val="auto"/>
          <w:spacing w:val="-2"/>
          <w:highlight w:val="none"/>
        </w:rPr>
        <w:t>的；</w:t>
      </w:r>
      <w:r>
        <w:rPr>
          <w:rFonts w:asciiTheme="minorEastAsia" w:hAnsiTheme="minorEastAsia" w:eastAsiaTheme="minorEastAsia"/>
          <w:color w:val="auto"/>
          <w:highlight w:val="none"/>
        </w:rPr>
        <w:t xml:space="preserve"> </w:t>
      </w:r>
    </w:p>
    <w:p>
      <w:pPr>
        <w:pStyle w:val="2"/>
        <w:spacing w:line="400" w:lineRule="exact"/>
        <w:ind w:left="567" w:firstLine="204" w:firstLineChars="100"/>
        <w:rPr>
          <w:rFonts w:asciiTheme="minorEastAsia" w:hAnsiTheme="minorEastAsia" w:eastAsiaTheme="minorEastAsia"/>
          <w:color w:val="auto"/>
          <w:highlight w:val="none"/>
        </w:rPr>
      </w:pPr>
      <w:r>
        <w:rPr>
          <w:rFonts w:hint="eastAsia" w:asciiTheme="minorEastAsia" w:hAnsiTheme="minorEastAsia" w:eastAsiaTheme="minorEastAsia"/>
          <w:color w:val="auto"/>
          <w:spacing w:val="-3"/>
          <w:highlight w:val="none"/>
        </w:rPr>
        <w:t>（1</w:t>
      </w:r>
      <w:r>
        <w:rPr>
          <w:rFonts w:asciiTheme="minorEastAsia" w:hAnsiTheme="minorEastAsia" w:eastAsiaTheme="minorEastAsia"/>
          <w:color w:val="auto"/>
          <w:spacing w:val="-3"/>
          <w:highlight w:val="none"/>
        </w:rPr>
        <w:t>9</w:t>
      </w:r>
      <w:r>
        <w:rPr>
          <w:rFonts w:hint="eastAsia" w:asciiTheme="minorEastAsia" w:hAnsiTheme="minorEastAsia" w:eastAsiaTheme="minorEastAsia"/>
          <w:color w:val="auto"/>
          <w:spacing w:val="-3"/>
          <w:highlight w:val="none"/>
        </w:rPr>
        <w:t>）</w:t>
      </w:r>
      <w:r>
        <w:rPr>
          <w:rFonts w:asciiTheme="minorEastAsia" w:hAnsiTheme="minorEastAsia" w:eastAsiaTheme="minorEastAsia"/>
          <w:color w:val="auto"/>
          <w:spacing w:val="-3"/>
          <w:highlight w:val="none"/>
        </w:rPr>
        <w:t>竞争性磋商文件明确不允许分包，响应文件拟分包的；</w:t>
      </w:r>
      <w:r>
        <w:rPr>
          <w:rFonts w:asciiTheme="minorEastAsia" w:hAnsiTheme="minorEastAsia" w:eastAsiaTheme="minorEastAsia"/>
          <w:color w:val="auto"/>
          <w:highlight w:val="none"/>
        </w:rPr>
        <w:t xml:space="preserve"> </w:t>
      </w:r>
    </w:p>
    <w:p>
      <w:pPr>
        <w:pStyle w:val="2"/>
        <w:spacing w:line="400" w:lineRule="exact"/>
        <w:ind w:left="567" w:firstLine="204" w:firstLineChars="100"/>
        <w:rPr>
          <w:rFonts w:asciiTheme="minorEastAsia" w:hAnsiTheme="minorEastAsia" w:eastAsiaTheme="minorEastAsia"/>
          <w:color w:val="auto"/>
          <w:highlight w:val="none"/>
        </w:rPr>
      </w:pPr>
      <w:r>
        <w:rPr>
          <w:rFonts w:hint="eastAsia" w:asciiTheme="minorEastAsia" w:hAnsiTheme="minorEastAsia" w:eastAsiaTheme="minorEastAsia"/>
          <w:color w:val="auto"/>
          <w:spacing w:val="-3"/>
          <w:highlight w:val="none"/>
        </w:rPr>
        <w:t>（2</w:t>
      </w:r>
      <w:r>
        <w:rPr>
          <w:rFonts w:asciiTheme="minorEastAsia" w:hAnsiTheme="minorEastAsia" w:eastAsiaTheme="minorEastAsia"/>
          <w:color w:val="auto"/>
          <w:spacing w:val="-3"/>
          <w:highlight w:val="none"/>
        </w:rPr>
        <w:t>0</w:t>
      </w:r>
      <w:r>
        <w:rPr>
          <w:rFonts w:hint="eastAsia" w:asciiTheme="minorEastAsia" w:hAnsiTheme="minorEastAsia" w:eastAsiaTheme="minorEastAsia"/>
          <w:color w:val="auto"/>
          <w:spacing w:val="-3"/>
          <w:highlight w:val="none"/>
        </w:rPr>
        <w:t>）</w:t>
      </w:r>
      <w:r>
        <w:rPr>
          <w:rFonts w:asciiTheme="minorEastAsia" w:hAnsiTheme="minorEastAsia" w:eastAsiaTheme="minorEastAsia"/>
          <w:color w:val="auto"/>
          <w:spacing w:val="-3"/>
          <w:highlight w:val="none"/>
        </w:rPr>
        <w:t xml:space="preserve">法律、法规和磋商文件规定的其他无效情形。 </w:t>
      </w:r>
    </w:p>
    <w:p>
      <w:pPr>
        <w:pStyle w:val="2"/>
        <w:spacing w:line="400" w:lineRule="exact"/>
        <w:ind w:left="567" w:firstLine="202" w:firstLineChars="100"/>
        <w:rPr>
          <w:rFonts w:asciiTheme="minorEastAsia" w:hAnsiTheme="minorEastAsia" w:eastAsiaTheme="minorEastAsia"/>
          <w:color w:val="auto"/>
          <w:highlight w:val="none"/>
        </w:rPr>
      </w:pPr>
      <w:r>
        <w:rPr>
          <w:rFonts w:hint="eastAsia" w:asciiTheme="minorEastAsia" w:hAnsiTheme="minorEastAsia" w:eastAsiaTheme="minorEastAsia"/>
          <w:color w:val="auto"/>
          <w:spacing w:val="-4"/>
          <w:highlight w:val="none"/>
        </w:rPr>
        <w:t>1</w:t>
      </w:r>
      <w:r>
        <w:rPr>
          <w:rFonts w:asciiTheme="minorEastAsia" w:hAnsiTheme="minorEastAsia" w:eastAsiaTheme="minorEastAsia"/>
          <w:color w:val="auto"/>
          <w:spacing w:val="-4"/>
          <w:highlight w:val="none"/>
        </w:rPr>
        <w:t xml:space="preserve">.4 通过资格审查的合格供应商不足 </w:t>
      </w:r>
      <w:r>
        <w:rPr>
          <w:rFonts w:asciiTheme="minorEastAsia" w:hAnsiTheme="minorEastAsia" w:eastAsiaTheme="minorEastAsia"/>
          <w:color w:val="auto"/>
          <w:highlight w:val="none"/>
        </w:rPr>
        <w:t>3</w:t>
      </w:r>
      <w:r>
        <w:rPr>
          <w:rFonts w:asciiTheme="minorEastAsia" w:hAnsiTheme="minorEastAsia" w:eastAsiaTheme="minorEastAsia"/>
          <w:color w:val="auto"/>
          <w:spacing w:val="-3"/>
          <w:highlight w:val="none"/>
        </w:rPr>
        <w:t xml:space="preserve"> 家的，不得进入符合性审查环节，采购人或者采购代理机构应当重新开展采购活动。</w:t>
      </w:r>
      <w:r>
        <w:rPr>
          <w:rFonts w:asciiTheme="minorEastAsia" w:hAnsiTheme="minorEastAsia" w:eastAsiaTheme="minorEastAsia"/>
          <w:color w:val="auto"/>
          <w:highlight w:val="none"/>
        </w:rPr>
        <w:t xml:space="preserve"> </w:t>
      </w:r>
    </w:p>
    <w:p>
      <w:pPr>
        <w:pStyle w:val="2"/>
        <w:spacing w:line="400" w:lineRule="exact"/>
        <w:ind w:left="567"/>
        <w:rPr>
          <w:rFonts w:asciiTheme="minorEastAsia" w:hAnsiTheme="minorEastAsia" w:eastAsiaTheme="minorEastAsia"/>
          <w:b/>
          <w:bCs/>
          <w:color w:val="auto"/>
          <w:sz w:val="24"/>
          <w:szCs w:val="24"/>
          <w:highlight w:val="none"/>
        </w:rPr>
      </w:pPr>
      <w:r>
        <w:rPr>
          <w:rFonts w:hint="eastAsia" w:asciiTheme="minorEastAsia" w:hAnsiTheme="minorEastAsia" w:eastAsiaTheme="minorEastAsia"/>
          <w:b/>
          <w:bCs/>
          <w:color w:val="auto"/>
          <w:sz w:val="24"/>
          <w:szCs w:val="24"/>
          <w:highlight w:val="none"/>
        </w:rPr>
        <w:t>2</w:t>
      </w:r>
      <w:r>
        <w:rPr>
          <w:rFonts w:asciiTheme="minorEastAsia" w:hAnsiTheme="minorEastAsia" w:eastAsiaTheme="minorEastAsia"/>
          <w:b/>
          <w:bCs/>
          <w:color w:val="auto"/>
          <w:sz w:val="24"/>
          <w:szCs w:val="24"/>
          <w:highlight w:val="none"/>
        </w:rPr>
        <w:t xml:space="preserve">. </w:t>
      </w:r>
      <w:r>
        <w:rPr>
          <w:rFonts w:hint="eastAsia" w:asciiTheme="minorEastAsia" w:hAnsiTheme="minorEastAsia" w:eastAsiaTheme="minorEastAsia"/>
          <w:b/>
          <w:bCs/>
          <w:color w:val="auto"/>
          <w:sz w:val="24"/>
          <w:szCs w:val="24"/>
          <w:highlight w:val="none"/>
        </w:rPr>
        <w:t>符合性审查</w:t>
      </w:r>
    </w:p>
    <w:p>
      <w:pPr>
        <w:pStyle w:val="2"/>
        <w:spacing w:line="400" w:lineRule="exact"/>
        <w:ind w:left="567" w:firstLine="202" w:firstLineChars="100"/>
        <w:rPr>
          <w:rFonts w:asciiTheme="minorEastAsia" w:hAnsiTheme="minorEastAsia" w:eastAsiaTheme="minorEastAsia"/>
          <w:color w:val="auto"/>
          <w:highlight w:val="none"/>
        </w:rPr>
      </w:pPr>
      <w:r>
        <w:rPr>
          <w:rFonts w:hint="eastAsia" w:asciiTheme="minorEastAsia" w:hAnsiTheme="minorEastAsia" w:eastAsiaTheme="minorEastAsia"/>
          <w:color w:val="auto"/>
          <w:spacing w:val="-4"/>
          <w:highlight w:val="none"/>
        </w:rPr>
        <w:t>2</w:t>
      </w:r>
      <w:r>
        <w:rPr>
          <w:rFonts w:asciiTheme="minorEastAsia" w:hAnsiTheme="minorEastAsia" w:eastAsiaTheme="minorEastAsia"/>
          <w:color w:val="auto"/>
          <w:spacing w:val="-4"/>
          <w:highlight w:val="none"/>
        </w:rPr>
        <w:t>.1 由磋商小组对通过资格审查的合格供应商的响应文件的商务、技术等实质性要求进行符合</w:t>
      </w:r>
      <w:r>
        <w:rPr>
          <w:rFonts w:asciiTheme="minorEastAsia" w:hAnsiTheme="minorEastAsia" w:eastAsiaTheme="minorEastAsia"/>
          <w:color w:val="auto"/>
          <w:spacing w:val="-3"/>
          <w:highlight w:val="none"/>
        </w:rPr>
        <w:t xml:space="preserve">性审查，以确定其是否满足磋商文件的实质性要求。 </w:t>
      </w:r>
    </w:p>
    <w:p>
      <w:pPr>
        <w:pStyle w:val="2"/>
        <w:spacing w:line="400" w:lineRule="exact"/>
        <w:ind w:left="567" w:firstLine="202" w:firstLineChars="100"/>
        <w:rPr>
          <w:rFonts w:asciiTheme="minorEastAsia" w:hAnsiTheme="minorEastAsia" w:eastAsiaTheme="minorEastAsia"/>
          <w:color w:val="auto"/>
          <w:highlight w:val="none"/>
        </w:rPr>
      </w:pPr>
      <w:r>
        <w:rPr>
          <w:rFonts w:hint="eastAsia" w:asciiTheme="minorEastAsia" w:hAnsiTheme="minorEastAsia" w:eastAsiaTheme="minorEastAsia"/>
          <w:color w:val="auto"/>
          <w:spacing w:val="-4"/>
          <w:highlight w:val="none"/>
        </w:rPr>
        <w:t>2</w:t>
      </w:r>
      <w:r>
        <w:rPr>
          <w:rFonts w:asciiTheme="minorEastAsia" w:hAnsiTheme="minorEastAsia" w:eastAsiaTheme="minorEastAsia"/>
          <w:color w:val="auto"/>
          <w:spacing w:val="-4"/>
          <w:highlight w:val="none"/>
        </w:rPr>
        <w:t>.2 磋商小组在对响应文件进行符合性审查时，可以要求供应商对响应文件中含义不明确、同类问题表述不一致或者有明显文字和计算错误的内容等作出必要的澄清、说明或者更正。供应商的</w:t>
      </w:r>
      <w:r>
        <w:rPr>
          <w:rFonts w:asciiTheme="minorEastAsia" w:hAnsiTheme="minorEastAsia" w:eastAsiaTheme="minorEastAsia"/>
          <w:color w:val="auto"/>
          <w:spacing w:val="-3"/>
          <w:highlight w:val="none"/>
        </w:rPr>
        <w:t>澄清、说明或者更正不得超出响应文件的范围或者改变响应文件的实质性内容。</w:t>
      </w:r>
      <w:r>
        <w:rPr>
          <w:rFonts w:asciiTheme="minorEastAsia" w:hAnsiTheme="minorEastAsia" w:eastAsiaTheme="minorEastAsia"/>
          <w:color w:val="auto"/>
          <w:highlight w:val="none"/>
        </w:rPr>
        <w:t xml:space="preserve"> </w:t>
      </w:r>
    </w:p>
    <w:p>
      <w:pPr>
        <w:pStyle w:val="2"/>
        <w:spacing w:line="400" w:lineRule="exact"/>
        <w:ind w:left="567" w:firstLine="204" w:firstLineChars="100"/>
        <w:rPr>
          <w:rFonts w:asciiTheme="minorEastAsia" w:hAnsiTheme="minorEastAsia" w:eastAsiaTheme="minorEastAsia"/>
          <w:color w:val="auto"/>
          <w:highlight w:val="none"/>
        </w:rPr>
      </w:pPr>
      <w:r>
        <w:rPr>
          <w:rFonts w:hint="eastAsia" w:asciiTheme="minorEastAsia" w:hAnsiTheme="minorEastAsia" w:eastAsiaTheme="minorEastAsia"/>
          <w:color w:val="auto"/>
          <w:spacing w:val="-3"/>
          <w:highlight w:val="none"/>
        </w:rPr>
        <w:t>2</w:t>
      </w:r>
      <w:r>
        <w:rPr>
          <w:rFonts w:asciiTheme="minorEastAsia" w:hAnsiTheme="minorEastAsia" w:eastAsiaTheme="minorEastAsia"/>
          <w:color w:val="auto"/>
          <w:spacing w:val="-3"/>
          <w:highlight w:val="none"/>
        </w:rPr>
        <w:t>.3 磋商小组要求供应商澄清、说明或者更正响应文件应当以书面形式作出。供应商的澄清、</w:t>
      </w:r>
      <w:r>
        <w:rPr>
          <w:rFonts w:asciiTheme="minorEastAsia" w:hAnsiTheme="minorEastAsia" w:eastAsiaTheme="minorEastAsia"/>
          <w:color w:val="auto"/>
          <w:spacing w:val="-4"/>
          <w:highlight w:val="none"/>
        </w:rPr>
        <w:t>说明或者更正应当以书面形式按照磋商小组的要求作出明确的澄清、说明或者更正，未按磋商小组的要求作出明确澄清、说明或者更正的供应商的响应文件将按照有利于采购人的原则由磋商小组进行判定。供应商的澄清、说明或者更正必须由法定代表人或者其授权代表签字或者加盖公章。由委</w:t>
      </w:r>
      <w:r>
        <w:rPr>
          <w:rFonts w:asciiTheme="minorEastAsia" w:hAnsiTheme="minorEastAsia" w:eastAsiaTheme="minorEastAsia"/>
          <w:color w:val="auto"/>
          <w:spacing w:val="-3"/>
          <w:highlight w:val="none"/>
        </w:rPr>
        <w:t>托代理人签字的，若委托代理人不是响应文件中授权的委托代理人时，必须同时出示有效的授权委</w:t>
      </w:r>
      <w:r>
        <w:rPr>
          <w:rFonts w:asciiTheme="minorEastAsia" w:hAnsiTheme="minorEastAsia" w:eastAsiaTheme="minorEastAsia"/>
          <w:color w:val="auto"/>
          <w:highlight w:val="none"/>
        </w:rPr>
        <w:t xml:space="preserve">托书原件。供应商为自然人的，必须由本人签字并附身份证明。 </w:t>
      </w:r>
    </w:p>
    <w:p>
      <w:pPr>
        <w:pStyle w:val="2"/>
        <w:spacing w:line="400" w:lineRule="exact"/>
        <w:ind w:left="567" w:firstLine="204" w:firstLineChars="100"/>
        <w:rPr>
          <w:rFonts w:asciiTheme="minorEastAsia" w:hAnsiTheme="minorEastAsia" w:eastAsiaTheme="minorEastAsia"/>
          <w:color w:val="auto"/>
          <w:highlight w:val="none"/>
        </w:rPr>
      </w:pPr>
      <w:r>
        <w:rPr>
          <w:rFonts w:hint="eastAsia" w:asciiTheme="minorEastAsia" w:hAnsiTheme="minorEastAsia" w:eastAsiaTheme="minorEastAsia"/>
          <w:color w:val="auto"/>
          <w:spacing w:val="-3"/>
          <w:highlight w:val="none"/>
        </w:rPr>
        <w:t>2</w:t>
      </w:r>
      <w:r>
        <w:rPr>
          <w:rFonts w:asciiTheme="minorEastAsia" w:hAnsiTheme="minorEastAsia" w:eastAsiaTheme="minorEastAsia"/>
          <w:color w:val="auto"/>
          <w:spacing w:val="-3"/>
          <w:highlight w:val="none"/>
        </w:rPr>
        <w:t xml:space="preserve">.4 首次响应文件报价出现前后不一致的，按照下列规定修正： </w:t>
      </w:r>
      <w:r>
        <w:rPr>
          <w:rFonts w:asciiTheme="minorEastAsia" w:hAnsiTheme="minorEastAsia" w:eastAsiaTheme="minorEastAsia"/>
          <w:color w:val="auto"/>
          <w:highlight w:val="none"/>
        </w:rPr>
        <w:t xml:space="preserve"> </w:t>
      </w:r>
    </w:p>
    <w:p>
      <w:pPr>
        <w:pStyle w:val="2"/>
        <w:spacing w:line="400" w:lineRule="exact"/>
        <w:ind w:left="567" w:firstLine="190" w:firstLineChars="100"/>
        <w:rPr>
          <w:rFonts w:asciiTheme="minorEastAsia" w:hAnsiTheme="minorEastAsia" w:eastAsiaTheme="minorEastAsia"/>
          <w:color w:val="auto"/>
          <w:highlight w:val="none"/>
        </w:rPr>
      </w:pPr>
      <w:r>
        <w:rPr>
          <w:rFonts w:hint="eastAsia" w:asciiTheme="minorEastAsia" w:hAnsiTheme="minorEastAsia" w:eastAsiaTheme="minorEastAsia"/>
          <w:color w:val="auto"/>
          <w:spacing w:val="-10"/>
          <w:highlight w:val="none"/>
        </w:rPr>
        <w:t>（1）</w:t>
      </w:r>
      <w:r>
        <w:rPr>
          <w:rFonts w:asciiTheme="minorEastAsia" w:hAnsiTheme="minorEastAsia" w:eastAsiaTheme="minorEastAsia"/>
          <w:color w:val="auto"/>
          <w:spacing w:val="-10"/>
          <w:highlight w:val="none"/>
        </w:rPr>
        <w:t>响应文件中工程量清单报价内容与响应文件中其他内容不一致的，以工程量清单报价为准；</w:t>
      </w:r>
      <w:r>
        <w:rPr>
          <w:rFonts w:asciiTheme="minorEastAsia" w:hAnsiTheme="minorEastAsia" w:eastAsiaTheme="minorEastAsia"/>
          <w:color w:val="auto"/>
          <w:highlight w:val="none"/>
        </w:rPr>
        <w:t xml:space="preserve"> </w:t>
      </w:r>
    </w:p>
    <w:p>
      <w:pPr>
        <w:pStyle w:val="2"/>
        <w:spacing w:line="400" w:lineRule="exact"/>
        <w:ind w:left="567" w:firstLine="204" w:firstLineChars="100"/>
        <w:rPr>
          <w:rFonts w:asciiTheme="minorEastAsia" w:hAnsiTheme="minorEastAsia" w:eastAsiaTheme="minorEastAsia"/>
          <w:color w:val="auto"/>
          <w:highlight w:val="none"/>
        </w:rPr>
      </w:pPr>
      <w:r>
        <w:rPr>
          <w:rFonts w:hint="eastAsia" w:asciiTheme="minorEastAsia" w:hAnsiTheme="minorEastAsia" w:eastAsiaTheme="minorEastAsia"/>
          <w:color w:val="auto"/>
          <w:spacing w:val="-3"/>
          <w:highlight w:val="none"/>
        </w:rPr>
        <w:t>（2）</w:t>
      </w:r>
      <w:r>
        <w:rPr>
          <w:rFonts w:asciiTheme="minorEastAsia" w:hAnsiTheme="minorEastAsia" w:eastAsiaTheme="minorEastAsia"/>
          <w:color w:val="auto"/>
          <w:spacing w:val="-3"/>
          <w:highlight w:val="none"/>
        </w:rPr>
        <w:t>大写金额和小写金额不一致的，以大写金额为准；</w:t>
      </w:r>
      <w:r>
        <w:rPr>
          <w:rFonts w:asciiTheme="minorEastAsia" w:hAnsiTheme="minorEastAsia" w:eastAsiaTheme="minorEastAsia"/>
          <w:color w:val="auto"/>
          <w:highlight w:val="none"/>
        </w:rPr>
        <w:t xml:space="preserve"> </w:t>
      </w:r>
    </w:p>
    <w:p>
      <w:pPr>
        <w:pStyle w:val="2"/>
        <w:spacing w:line="400" w:lineRule="exact"/>
        <w:ind w:left="567" w:firstLine="198" w:firstLineChars="100"/>
        <w:rPr>
          <w:rFonts w:asciiTheme="minorEastAsia" w:hAnsiTheme="minorEastAsia" w:eastAsiaTheme="minorEastAsia"/>
          <w:color w:val="auto"/>
          <w:highlight w:val="none"/>
        </w:rPr>
      </w:pPr>
      <w:r>
        <w:rPr>
          <w:rFonts w:hint="eastAsia" w:asciiTheme="minorEastAsia" w:hAnsiTheme="minorEastAsia" w:eastAsiaTheme="minorEastAsia"/>
          <w:color w:val="auto"/>
          <w:spacing w:val="-6"/>
          <w:highlight w:val="none"/>
        </w:rPr>
        <w:t>（3）</w:t>
      </w:r>
      <w:r>
        <w:rPr>
          <w:rFonts w:asciiTheme="minorEastAsia" w:hAnsiTheme="minorEastAsia" w:eastAsiaTheme="minorEastAsia"/>
          <w:color w:val="auto"/>
          <w:spacing w:val="-6"/>
          <w:highlight w:val="none"/>
        </w:rPr>
        <w:t xml:space="preserve">总价金额与依据单价计算出的结果不一致的，以单价金额为准修正总价，但单价金额小 </w:t>
      </w:r>
      <w:r>
        <w:rPr>
          <w:rFonts w:asciiTheme="minorEastAsia" w:hAnsiTheme="minorEastAsia" w:eastAsiaTheme="minorEastAsia"/>
          <w:color w:val="auto"/>
          <w:spacing w:val="-3"/>
          <w:highlight w:val="none"/>
        </w:rPr>
        <w:t>数点有明显错误的除外。</w:t>
      </w:r>
      <w:r>
        <w:rPr>
          <w:rFonts w:asciiTheme="minorEastAsia" w:hAnsiTheme="minorEastAsia" w:eastAsiaTheme="minorEastAsia"/>
          <w:color w:val="auto"/>
          <w:highlight w:val="none"/>
        </w:rPr>
        <w:t xml:space="preserve"> </w:t>
      </w:r>
    </w:p>
    <w:p>
      <w:pPr>
        <w:pStyle w:val="2"/>
        <w:spacing w:line="400" w:lineRule="exact"/>
        <w:ind w:left="567" w:firstLine="200" w:firstLineChars="100"/>
        <w:rPr>
          <w:rFonts w:asciiTheme="minorEastAsia" w:hAnsiTheme="minorEastAsia" w:eastAsiaTheme="minorEastAsia"/>
          <w:color w:val="auto"/>
          <w:highlight w:val="none"/>
        </w:rPr>
      </w:pPr>
      <w:r>
        <w:rPr>
          <w:rFonts w:asciiTheme="minorEastAsia" w:hAnsiTheme="minorEastAsia" w:eastAsiaTheme="minorEastAsia"/>
          <w:color w:val="auto"/>
          <w:spacing w:val="-5"/>
          <w:highlight w:val="none"/>
        </w:rPr>
        <w:t>同时出现两种以上不一致的，按照以上</w:t>
      </w:r>
      <w:r>
        <w:rPr>
          <w:rFonts w:asciiTheme="minorEastAsia" w:hAnsiTheme="minorEastAsia" w:eastAsiaTheme="minorEastAsia"/>
          <w:color w:val="auto"/>
          <w:spacing w:val="-7"/>
          <w:highlight w:val="none"/>
        </w:rPr>
        <w:t>（1）-（3）</w:t>
      </w:r>
      <w:r>
        <w:rPr>
          <w:rFonts w:asciiTheme="minorEastAsia" w:hAnsiTheme="minorEastAsia" w:eastAsiaTheme="minorEastAsia"/>
          <w:color w:val="auto"/>
          <w:spacing w:val="-4"/>
          <w:highlight w:val="none"/>
        </w:rPr>
        <w:t>规定的顺序逐条进行修正。修正后的报价经</w:t>
      </w:r>
      <w:r>
        <w:rPr>
          <w:rFonts w:asciiTheme="minorEastAsia" w:hAnsiTheme="minorEastAsia" w:eastAsiaTheme="minorEastAsia"/>
          <w:color w:val="auto"/>
          <w:spacing w:val="-3"/>
          <w:highlight w:val="none"/>
        </w:rPr>
        <w:t xml:space="preserve">供应商确认后产生约束力，供应商不确认的，其响应文件按无效响应处理。 </w:t>
      </w:r>
    </w:p>
    <w:p>
      <w:pPr>
        <w:pStyle w:val="2"/>
        <w:spacing w:line="400" w:lineRule="exact"/>
        <w:ind w:left="567" w:firstLine="204" w:firstLineChars="100"/>
        <w:rPr>
          <w:rFonts w:asciiTheme="minorEastAsia" w:hAnsiTheme="minorEastAsia" w:eastAsiaTheme="minorEastAsia"/>
          <w:color w:val="auto"/>
          <w:highlight w:val="none"/>
        </w:rPr>
      </w:pPr>
      <w:r>
        <w:rPr>
          <w:rFonts w:hint="eastAsia" w:asciiTheme="minorEastAsia" w:hAnsiTheme="minorEastAsia" w:eastAsiaTheme="minorEastAsia"/>
          <w:color w:val="auto"/>
          <w:spacing w:val="-3"/>
          <w:highlight w:val="none"/>
        </w:rPr>
        <w:t>2</w:t>
      </w:r>
      <w:r>
        <w:rPr>
          <w:rFonts w:asciiTheme="minorEastAsia" w:hAnsiTheme="minorEastAsia" w:eastAsiaTheme="minorEastAsia"/>
          <w:color w:val="auto"/>
          <w:spacing w:val="-3"/>
          <w:highlight w:val="none"/>
        </w:rPr>
        <w:t>.5 商务评审</w:t>
      </w:r>
      <w:r>
        <w:rPr>
          <w:rFonts w:asciiTheme="minorEastAsia" w:hAnsiTheme="minorEastAsia" w:eastAsiaTheme="minorEastAsia"/>
          <w:color w:val="auto"/>
          <w:highlight w:val="none"/>
        </w:rPr>
        <w:t xml:space="preserve"> </w:t>
      </w:r>
    </w:p>
    <w:p>
      <w:pPr>
        <w:pStyle w:val="2"/>
        <w:spacing w:line="400" w:lineRule="exact"/>
        <w:ind w:left="567" w:firstLine="210" w:firstLineChars="100"/>
        <w:rPr>
          <w:rFonts w:asciiTheme="minorEastAsia" w:hAnsiTheme="minorEastAsia" w:eastAsiaTheme="minorEastAsia"/>
          <w:color w:val="auto"/>
          <w:highlight w:val="none"/>
        </w:rPr>
      </w:pPr>
      <w:r>
        <w:rPr>
          <w:rFonts w:asciiTheme="minorEastAsia" w:hAnsiTheme="minorEastAsia" w:eastAsiaTheme="minorEastAsia"/>
          <w:color w:val="auto"/>
          <w:highlight w:val="none"/>
        </w:rPr>
        <w:t xml:space="preserve">在评审时，如发现下列情形之一的，将被视为响应文件无效处理： </w:t>
      </w:r>
    </w:p>
    <w:p>
      <w:pPr>
        <w:pStyle w:val="2"/>
        <w:spacing w:line="400" w:lineRule="exact"/>
        <w:ind w:left="567" w:firstLine="198" w:firstLineChars="100"/>
        <w:rPr>
          <w:rFonts w:asciiTheme="minorEastAsia" w:hAnsiTheme="minorEastAsia" w:eastAsiaTheme="minorEastAsia"/>
          <w:color w:val="auto"/>
          <w:highlight w:val="none"/>
        </w:rPr>
      </w:pPr>
      <w:r>
        <w:rPr>
          <w:rFonts w:hint="eastAsia" w:asciiTheme="minorEastAsia" w:hAnsiTheme="minorEastAsia" w:eastAsiaTheme="minorEastAsia"/>
          <w:color w:val="auto"/>
          <w:spacing w:val="-6"/>
          <w:highlight w:val="none"/>
        </w:rPr>
        <w:t>（1）</w:t>
      </w:r>
      <w:r>
        <w:rPr>
          <w:rFonts w:asciiTheme="minorEastAsia" w:hAnsiTheme="minorEastAsia" w:eastAsiaTheme="minorEastAsia"/>
          <w:color w:val="auto"/>
          <w:spacing w:val="-6"/>
          <w:highlight w:val="none"/>
        </w:rPr>
        <w:t>响应文件未提供任一项“供应商须知前附表” 商务文件中 “必须提供”的文件资料；响</w:t>
      </w:r>
      <w:r>
        <w:rPr>
          <w:rFonts w:asciiTheme="minorEastAsia" w:hAnsiTheme="minorEastAsia" w:eastAsiaTheme="minorEastAsia"/>
          <w:color w:val="auto"/>
          <w:spacing w:val="-7"/>
          <w:highlight w:val="none"/>
        </w:rPr>
        <w:t>应文件提供的商务文件出现任一项不符合“供应商须知前附表”商务文件中 “必须提供”文件资料</w:t>
      </w:r>
      <w:r>
        <w:rPr>
          <w:rFonts w:asciiTheme="minorEastAsia" w:hAnsiTheme="minorEastAsia" w:eastAsiaTheme="minorEastAsia"/>
          <w:color w:val="auto"/>
          <w:spacing w:val="-5"/>
          <w:highlight w:val="none"/>
        </w:rPr>
        <w:t>要求的规定或者提供的商务文件无效。</w:t>
      </w:r>
      <w:r>
        <w:rPr>
          <w:rFonts w:asciiTheme="minorEastAsia" w:hAnsiTheme="minorEastAsia" w:eastAsiaTheme="minorEastAsia"/>
          <w:color w:val="auto"/>
          <w:highlight w:val="none"/>
        </w:rPr>
        <w:t xml:space="preserve"> </w:t>
      </w:r>
    </w:p>
    <w:p>
      <w:pPr>
        <w:pStyle w:val="2"/>
        <w:spacing w:line="400" w:lineRule="exact"/>
        <w:ind w:left="567" w:firstLine="204" w:firstLineChars="100"/>
        <w:rPr>
          <w:rFonts w:asciiTheme="minorEastAsia" w:hAnsiTheme="minorEastAsia" w:eastAsiaTheme="minorEastAsia"/>
          <w:color w:val="auto"/>
          <w:highlight w:val="none"/>
        </w:rPr>
      </w:pPr>
      <w:r>
        <w:rPr>
          <w:rFonts w:hint="eastAsia" w:asciiTheme="minorEastAsia" w:hAnsiTheme="minorEastAsia" w:eastAsiaTheme="minorEastAsia"/>
          <w:color w:val="auto"/>
          <w:spacing w:val="-3"/>
          <w:highlight w:val="none"/>
        </w:rPr>
        <w:t>（2）</w:t>
      </w:r>
      <w:r>
        <w:rPr>
          <w:rFonts w:asciiTheme="minorEastAsia" w:hAnsiTheme="minorEastAsia" w:eastAsiaTheme="minorEastAsia"/>
          <w:color w:val="auto"/>
          <w:spacing w:val="-3"/>
          <w:highlight w:val="none"/>
        </w:rPr>
        <w:t>未采用人民币报价或者未按照磋商文件标明的币种报价；</w:t>
      </w:r>
      <w:r>
        <w:rPr>
          <w:rFonts w:asciiTheme="minorEastAsia" w:hAnsiTheme="minorEastAsia" w:eastAsiaTheme="minorEastAsia"/>
          <w:color w:val="auto"/>
          <w:highlight w:val="none"/>
        </w:rPr>
        <w:t xml:space="preserve"> </w:t>
      </w:r>
    </w:p>
    <w:p>
      <w:pPr>
        <w:pStyle w:val="2"/>
        <w:spacing w:line="400" w:lineRule="exact"/>
        <w:ind w:left="567" w:firstLine="198" w:firstLineChars="100"/>
        <w:rPr>
          <w:rFonts w:asciiTheme="minorEastAsia" w:hAnsiTheme="minorEastAsia" w:eastAsiaTheme="minorEastAsia"/>
          <w:color w:val="auto"/>
          <w:highlight w:val="none"/>
        </w:rPr>
      </w:pPr>
      <w:r>
        <w:rPr>
          <w:rFonts w:hint="eastAsia" w:asciiTheme="minorEastAsia" w:hAnsiTheme="minorEastAsia" w:eastAsiaTheme="minorEastAsia"/>
          <w:color w:val="auto"/>
          <w:spacing w:val="-6"/>
          <w:highlight w:val="none"/>
        </w:rPr>
        <w:t>（3）</w:t>
      </w:r>
      <w:r>
        <w:rPr>
          <w:rFonts w:asciiTheme="minorEastAsia" w:hAnsiTheme="minorEastAsia" w:eastAsiaTheme="minorEastAsia"/>
          <w:color w:val="auto"/>
          <w:spacing w:val="-6"/>
          <w:highlight w:val="none"/>
        </w:rPr>
        <w:t>供应商未就所竞标内容进行报价或者存在漏项报价；供应商响应文件中存在有选择、有</w:t>
      </w:r>
      <w:r>
        <w:rPr>
          <w:rFonts w:asciiTheme="minorEastAsia" w:hAnsiTheme="minorEastAsia" w:eastAsiaTheme="minorEastAsia"/>
          <w:color w:val="auto"/>
          <w:spacing w:val="-1"/>
          <w:highlight w:val="none"/>
        </w:rPr>
        <w:t>条件报价的</w:t>
      </w:r>
      <w:r>
        <w:rPr>
          <w:rFonts w:asciiTheme="minorEastAsia" w:hAnsiTheme="minorEastAsia" w:eastAsiaTheme="minorEastAsia"/>
          <w:color w:val="auto"/>
          <w:spacing w:val="-3"/>
          <w:highlight w:val="none"/>
        </w:rPr>
        <w:t>（磋商文件允许有备选方案或者其他约定</w:t>
      </w:r>
      <w:r>
        <w:rPr>
          <w:rFonts w:asciiTheme="minorEastAsia" w:hAnsiTheme="minorEastAsia" w:eastAsiaTheme="minorEastAsia"/>
          <w:color w:val="auto"/>
          <w:spacing w:val="-6"/>
          <w:highlight w:val="none"/>
        </w:rPr>
        <w:t>的除外</w:t>
      </w:r>
      <w:r>
        <w:rPr>
          <w:rFonts w:asciiTheme="minorEastAsia" w:hAnsiTheme="minorEastAsia" w:eastAsiaTheme="minorEastAsia"/>
          <w:color w:val="auto"/>
          <w:highlight w:val="none"/>
        </w:rPr>
        <w:t xml:space="preserve">）； </w:t>
      </w:r>
    </w:p>
    <w:p>
      <w:pPr>
        <w:pStyle w:val="2"/>
        <w:spacing w:line="400" w:lineRule="exact"/>
        <w:ind w:left="567" w:firstLine="196" w:firstLineChars="100"/>
        <w:rPr>
          <w:rFonts w:asciiTheme="minorEastAsia" w:hAnsiTheme="minorEastAsia" w:eastAsiaTheme="minorEastAsia"/>
          <w:color w:val="auto"/>
          <w:highlight w:val="none"/>
        </w:rPr>
      </w:pPr>
      <w:r>
        <w:rPr>
          <w:rFonts w:hint="eastAsia" w:asciiTheme="minorEastAsia" w:hAnsiTheme="minorEastAsia" w:eastAsiaTheme="minorEastAsia"/>
          <w:color w:val="auto"/>
          <w:spacing w:val="-7"/>
          <w:highlight w:val="none"/>
        </w:rPr>
        <w:t>（4）</w:t>
      </w:r>
      <w:r>
        <w:rPr>
          <w:rFonts w:asciiTheme="minorEastAsia" w:hAnsiTheme="minorEastAsia" w:eastAsiaTheme="minorEastAsia"/>
          <w:color w:val="auto"/>
          <w:spacing w:val="-7"/>
          <w:highlight w:val="none"/>
        </w:rPr>
        <w:t>竞标报价</w:t>
      </w:r>
      <w:r>
        <w:rPr>
          <w:rFonts w:asciiTheme="minorEastAsia" w:hAnsiTheme="minorEastAsia" w:eastAsiaTheme="minorEastAsia"/>
          <w:color w:val="auto"/>
          <w:spacing w:val="-3"/>
          <w:highlight w:val="none"/>
        </w:rPr>
        <w:t>（</w:t>
      </w:r>
      <w:r>
        <w:rPr>
          <w:rFonts w:asciiTheme="minorEastAsia" w:hAnsiTheme="minorEastAsia" w:eastAsiaTheme="minorEastAsia"/>
          <w:color w:val="auto"/>
          <w:spacing w:val="-5"/>
          <w:highlight w:val="none"/>
        </w:rPr>
        <w:t>包含首次报价、最后报价</w:t>
      </w:r>
      <w:r>
        <w:rPr>
          <w:rFonts w:asciiTheme="minorEastAsia" w:hAnsiTheme="minorEastAsia" w:eastAsiaTheme="minorEastAsia"/>
          <w:color w:val="auto"/>
          <w:spacing w:val="-17"/>
          <w:highlight w:val="none"/>
        </w:rPr>
        <w:t>）</w:t>
      </w:r>
      <w:r>
        <w:rPr>
          <w:rFonts w:asciiTheme="minorEastAsia" w:hAnsiTheme="minorEastAsia" w:eastAsiaTheme="minorEastAsia"/>
          <w:color w:val="auto"/>
          <w:spacing w:val="-3"/>
          <w:highlight w:val="none"/>
        </w:rPr>
        <w:t>超过所竞标内容规定的采购预算金额或者最高限</w:t>
      </w:r>
      <w:r>
        <w:rPr>
          <w:rFonts w:asciiTheme="minorEastAsia" w:hAnsiTheme="minorEastAsia" w:eastAsiaTheme="minorEastAsia"/>
          <w:color w:val="auto"/>
          <w:highlight w:val="none"/>
        </w:rPr>
        <w:t>价的（</w:t>
      </w:r>
      <w:r>
        <w:rPr>
          <w:rFonts w:asciiTheme="minorEastAsia" w:hAnsiTheme="minorEastAsia" w:eastAsiaTheme="minorEastAsia"/>
          <w:color w:val="auto"/>
          <w:spacing w:val="-2"/>
          <w:highlight w:val="none"/>
        </w:rPr>
        <w:t>如本项目公布了最高限价</w:t>
      </w:r>
      <w:r>
        <w:rPr>
          <w:rFonts w:asciiTheme="minorEastAsia" w:hAnsiTheme="minorEastAsia" w:eastAsiaTheme="minorEastAsia"/>
          <w:color w:val="auto"/>
          <w:highlight w:val="none"/>
        </w:rPr>
        <w:t>）；竞标报价</w:t>
      </w:r>
      <w:r>
        <w:rPr>
          <w:rFonts w:asciiTheme="minorEastAsia" w:hAnsiTheme="minorEastAsia" w:eastAsiaTheme="minorEastAsia"/>
          <w:color w:val="auto"/>
          <w:spacing w:val="-3"/>
          <w:highlight w:val="none"/>
        </w:rPr>
        <w:t>（包含首次报价、最后报价</w:t>
      </w:r>
      <w:r>
        <w:rPr>
          <w:rFonts w:asciiTheme="minorEastAsia" w:hAnsiTheme="minorEastAsia" w:eastAsiaTheme="minorEastAsia"/>
          <w:color w:val="auto"/>
          <w:highlight w:val="none"/>
        </w:rPr>
        <w:t>）</w:t>
      </w:r>
      <w:r>
        <w:rPr>
          <w:rFonts w:asciiTheme="minorEastAsia" w:hAnsiTheme="minorEastAsia" w:eastAsiaTheme="minorEastAsia"/>
          <w:color w:val="auto"/>
          <w:spacing w:val="-3"/>
          <w:highlight w:val="none"/>
        </w:rPr>
        <w:t>超过磋商文件分项清单预算金额或者最高限价的（如本项目公布了最高限价</w:t>
      </w:r>
      <w:r>
        <w:rPr>
          <w:rFonts w:asciiTheme="minorEastAsia" w:hAnsiTheme="minorEastAsia" w:eastAsiaTheme="minorEastAsia"/>
          <w:color w:val="auto"/>
          <w:highlight w:val="none"/>
        </w:rPr>
        <w:t xml:space="preserve">）； </w:t>
      </w:r>
    </w:p>
    <w:p>
      <w:pPr>
        <w:pStyle w:val="2"/>
        <w:spacing w:line="400" w:lineRule="exact"/>
        <w:ind w:left="567" w:firstLine="204" w:firstLineChars="100"/>
        <w:rPr>
          <w:rFonts w:asciiTheme="minorEastAsia" w:hAnsiTheme="minorEastAsia" w:eastAsiaTheme="minorEastAsia"/>
          <w:color w:val="auto"/>
          <w:highlight w:val="none"/>
        </w:rPr>
      </w:pPr>
      <w:r>
        <w:rPr>
          <w:rFonts w:hint="eastAsia" w:asciiTheme="minorEastAsia" w:hAnsiTheme="minorEastAsia" w:eastAsiaTheme="minorEastAsia"/>
          <w:color w:val="auto"/>
          <w:spacing w:val="-3"/>
          <w:highlight w:val="none"/>
        </w:rPr>
        <w:t>（5）</w:t>
      </w:r>
      <w:r>
        <w:rPr>
          <w:rFonts w:asciiTheme="minorEastAsia" w:hAnsiTheme="minorEastAsia" w:eastAsiaTheme="minorEastAsia"/>
          <w:color w:val="auto"/>
          <w:spacing w:val="-3"/>
          <w:highlight w:val="none"/>
        </w:rPr>
        <w:t>修正后的报价，供应商不确认的；或者经供应商确认修正后的竞标报价</w:t>
      </w:r>
      <w:r>
        <w:rPr>
          <w:rFonts w:asciiTheme="minorEastAsia" w:hAnsiTheme="minorEastAsia" w:eastAsiaTheme="minorEastAsia"/>
          <w:color w:val="auto"/>
          <w:highlight w:val="none"/>
        </w:rPr>
        <w:t>（</w:t>
      </w:r>
      <w:r>
        <w:rPr>
          <w:rFonts w:asciiTheme="minorEastAsia" w:hAnsiTheme="minorEastAsia" w:eastAsiaTheme="minorEastAsia"/>
          <w:color w:val="auto"/>
          <w:spacing w:val="-3"/>
          <w:highlight w:val="none"/>
        </w:rPr>
        <w:t>包含首次报价、最后报价）超过所竞标内容规定的采购预算金额或者最高限价</w:t>
      </w:r>
      <w:r>
        <w:rPr>
          <w:rFonts w:asciiTheme="minorEastAsia" w:hAnsiTheme="minorEastAsia" w:eastAsiaTheme="minorEastAsia"/>
          <w:color w:val="auto"/>
          <w:highlight w:val="none"/>
        </w:rPr>
        <w:t>（</w:t>
      </w:r>
      <w:r>
        <w:rPr>
          <w:rFonts w:asciiTheme="minorEastAsia" w:hAnsiTheme="minorEastAsia" w:eastAsiaTheme="minorEastAsia"/>
          <w:color w:val="auto"/>
          <w:spacing w:val="-2"/>
          <w:highlight w:val="none"/>
        </w:rPr>
        <w:t>如本项目公布了最高限价</w:t>
      </w:r>
      <w:r>
        <w:rPr>
          <w:rFonts w:asciiTheme="minorEastAsia" w:hAnsiTheme="minorEastAsia" w:eastAsiaTheme="minorEastAsia"/>
          <w:color w:val="auto"/>
          <w:highlight w:val="none"/>
        </w:rPr>
        <w:t>）；</w:t>
      </w:r>
      <w:r>
        <w:rPr>
          <w:rFonts w:asciiTheme="minorEastAsia" w:hAnsiTheme="minorEastAsia" w:eastAsiaTheme="minorEastAsia"/>
          <w:color w:val="auto"/>
          <w:spacing w:val="-2"/>
          <w:highlight w:val="none"/>
        </w:rPr>
        <w:t>或者</w:t>
      </w:r>
      <w:r>
        <w:rPr>
          <w:rFonts w:asciiTheme="minorEastAsia" w:hAnsiTheme="minorEastAsia" w:eastAsiaTheme="minorEastAsia"/>
          <w:color w:val="auto"/>
          <w:spacing w:val="-3"/>
          <w:highlight w:val="none"/>
        </w:rPr>
        <w:t>经供应商确认修正后竞标报价</w:t>
      </w:r>
      <w:r>
        <w:rPr>
          <w:rFonts w:asciiTheme="minorEastAsia" w:hAnsiTheme="minorEastAsia" w:eastAsiaTheme="minorEastAsia"/>
          <w:color w:val="auto"/>
          <w:highlight w:val="none"/>
        </w:rPr>
        <w:t>（</w:t>
      </w:r>
      <w:r>
        <w:rPr>
          <w:rFonts w:asciiTheme="minorEastAsia" w:hAnsiTheme="minorEastAsia" w:eastAsiaTheme="minorEastAsia"/>
          <w:color w:val="auto"/>
          <w:spacing w:val="-1"/>
          <w:highlight w:val="none"/>
        </w:rPr>
        <w:t>包含首次报价、最后报价</w:t>
      </w:r>
      <w:r>
        <w:rPr>
          <w:rFonts w:asciiTheme="minorEastAsia" w:hAnsiTheme="minorEastAsia" w:eastAsiaTheme="minorEastAsia"/>
          <w:color w:val="auto"/>
          <w:highlight w:val="none"/>
        </w:rPr>
        <w:t>）</w:t>
      </w:r>
      <w:r>
        <w:rPr>
          <w:rFonts w:asciiTheme="minorEastAsia" w:hAnsiTheme="minorEastAsia" w:eastAsiaTheme="minorEastAsia"/>
          <w:color w:val="auto"/>
          <w:spacing w:val="-3"/>
          <w:highlight w:val="none"/>
        </w:rPr>
        <w:t>超过磋商文件分项清单预算金额或者最高限价的（如本项目公布了最高限价</w:t>
      </w:r>
      <w:r>
        <w:rPr>
          <w:rFonts w:asciiTheme="minorEastAsia" w:hAnsiTheme="minorEastAsia" w:eastAsiaTheme="minorEastAsia"/>
          <w:color w:val="auto"/>
          <w:highlight w:val="none"/>
        </w:rPr>
        <w:t xml:space="preserve">）； </w:t>
      </w:r>
    </w:p>
    <w:p>
      <w:pPr>
        <w:pStyle w:val="2"/>
        <w:spacing w:line="400" w:lineRule="exact"/>
        <w:ind w:left="567" w:firstLine="204" w:firstLineChars="100"/>
        <w:rPr>
          <w:rFonts w:asciiTheme="minorEastAsia" w:hAnsiTheme="minorEastAsia" w:eastAsiaTheme="minorEastAsia"/>
          <w:color w:val="auto"/>
          <w:highlight w:val="none"/>
        </w:rPr>
      </w:pPr>
      <w:r>
        <w:rPr>
          <w:rFonts w:hint="eastAsia" w:asciiTheme="minorEastAsia" w:hAnsiTheme="minorEastAsia" w:eastAsiaTheme="minorEastAsia"/>
          <w:color w:val="auto"/>
          <w:spacing w:val="-3"/>
          <w:highlight w:val="none"/>
        </w:rPr>
        <w:t>（6）</w:t>
      </w:r>
      <w:r>
        <w:rPr>
          <w:rFonts w:asciiTheme="minorEastAsia" w:hAnsiTheme="minorEastAsia" w:eastAsiaTheme="minorEastAsia"/>
          <w:color w:val="auto"/>
          <w:spacing w:val="-3"/>
          <w:highlight w:val="none"/>
        </w:rPr>
        <w:t xml:space="preserve">在单价合同工程中供应商采用总价优惠或以总价百分比优惠的方式进行竞标报价的； </w:t>
      </w:r>
    </w:p>
    <w:p>
      <w:pPr>
        <w:pStyle w:val="2"/>
        <w:spacing w:line="400" w:lineRule="exact"/>
        <w:ind w:left="567" w:firstLine="204" w:firstLineChars="100"/>
        <w:rPr>
          <w:rFonts w:asciiTheme="minorEastAsia" w:hAnsiTheme="minorEastAsia" w:eastAsiaTheme="minorEastAsia"/>
          <w:color w:val="auto"/>
          <w:highlight w:val="none"/>
        </w:rPr>
      </w:pPr>
      <w:r>
        <w:rPr>
          <w:rFonts w:hint="eastAsia" w:asciiTheme="minorEastAsia" w:hAnsiTheme="minorEastAsia" w:eastAsiaTheme="minorEastAsia"/>
          <w:color w:val="auto"/>
          <w:spacing w:val="-3"/>
          <w:highlight w:val="none"/>
        </w:rPr>
        <w:t>（7）</w:t>
      </w:r>
      <w:r>
        <w:rPr>
          <w:rFonts w:asciiTheme="minorEastAsia" w:hAnsiTheme="minorEastAsia" w:eastAsiaTheme="minorEastAsia"/>
          <w:color w:val="auto"/>
          <w:spacing w:val="-3"/>
          <w:highlight w:val="none"/>
        </w:rPr>
        <w:t xml:space="preserve">安全文明施工费和规费、增值税不按我区费用定额及造价管理相关文件规定报价的； </w:t>
      </w:r>
    </w:p>
    <w:p>
      <w:pPr>
        <w:pStyle w:val="2"/>
        <w:spacing w:line="400" w:lineRule="exact"/>
        <w:ind w:left="567" w:firstLine="206" w:firstLineChars="100"/>
        <w:rPr>
          <w:rFonts w:asciiTheme="minorEastAsia" w:hAnsiTheme="minorEastAsia" w:eastAsiaTheme="minorEastAsia"/>
          <w:color w:val="auto"/>
          <w:highlight w:val="none"/>
        </w:rPr>
      </w:pPr>
      <w:r>
        <w:rPr>
          <w:rFonts w:hint="eastAsia" w:asciiTheme="minorEastAsia" w:hAnsiTheme="minorEastAsia" w:eastAsiaTheme="minorEastAsia"/>
          <w:color w:val="auto"/>
          <w:spacing w:val="-2"/>
          <w:highlight w:val="none"/>
        </w:rPr>
        <w:t>（8）</w:t>
      </w:r>
      <w:r>
        <w:rPr>
          <w:rFonts w:asciiTheme="minorEastAsia" w:hAnsiTheme="minorEastAsia" w:eastAsiaTheme="minorEastAsia"/>
          <w:color w:val="auto"/>
          <w:spacing w:val="-2"/>
          <w:highlight w:val="none"/>
        </w:rPr>
        <w:t>供应商已标价工程量清单的项目编码</w:t>
      </w:r>
      <w:r>
        <w:rPr>
          <w:rFonts w:asciiTheme="minorEastAsia" w:hAnsiTheme="minorEastAsia" w:eastAsiaTheme="minorEastAsia"/>
          <w:color w:val="auto"/>
          <w:spacing w:val="-3"/>
          <w:highlight w:val="none"/>
        </w:rPr>
        <w:t>、计量单位、工程量任何一处与招标工程量清单不一致的；</w:t>
      </w:r>
      <w:r>
        <w:rPr>
          <w:rFonts w:asciiTheme="minorEastAsia" w:hAnsiTheme="minorEastAsia" w:eastAsiaTheme="minorEastAsia"/>
          <w:color w:val="auto"/>
          <w:highlight w:val="none"/>
        </w:rPr>
        <w:t xml:space="preserve"> </w:t>
      </w:r>
    </w:p>
    <w:p>
      <w:pPr>
        <w:pStyle w:val="2"/>
        <w:spacing w:line="400" w:lineRule="exact"/>
        <w:ind w:left="567" w:firstLine="202" w:firstLineChars="100"/>
        <w:rPr>
          <w:rFonts w:asciiTheme="minorEastAsia" w:hAnsiTheme="minorEastAsia" w:eastAsiaTheme="minorEastAsia"/>
          <w:color w:val="auto"/>
          <w:highlight w:val="none"/>
        </w:rPr>
      </w:pPr>
      <w:r>
        <w:rPr>
          <w:rFonts w:hint="eastAsia" w:asciiTheme="minorEastAsia" w:hAnsiTheme="minorEastAsia" w:eastAsiaTheme="minorEastAsia"/>
          <w:color w:val="auto"/>
          <w:spacing w:val="-4"/>
          <w:highlight w:val="none"/>
        </w:rPr>
        <w:t>（9）</w:t>
      </w:r>
      <w:r>
        <w:rPr>
          <w:rFonts w:asciiTheme="minorEastAsia" w:hAnsiTheme="minorEastAsia" w:eastAsiaTheme="minorEastAsia"/>
          <w:color w:val="auto"/>
          <w:spacing w:val="-4"/>
          <w:highlight w:val="none"/>
        </w:rPr>
        <w:t xml:space="preserve">供应商已标价工程量清单的项目名称或项目特征与招标工程量清单不一致，磋商小组要 </w:t>
      </w:r>
      <w:r>
        <w:rPr>
          <w:rFonts w:asciiTheme="minorEastAsia" w:hAnsiTheme="minorEastAsia" w:eastAsiaTheme="minorEastAsia"/>
          <w:color w:val="auto"/>
          <w:spacing w:val="-3"/>
          <w:highlight w:val="none"/>
        </w:rPr>
        <w:t>求澄清、说明或补正，但供应商拒绝澄清、说明或补正的；</w:t>
      </w:r>
      <w:r>
        <w:rPr>
          <w:rFonts w:asciiTheme="minorEastAsia" w:hAnsiTheme="minorEastAsia" w:eastAsiaTheme="minorEastAsia"/>
          <w:color w:val="auto"/>
          <w:highlight w:val="none"/>
        </w:rPr>
        <w:t xml:space="preserve"> </w:t>
      </w:r>
    </w:p>
    <w:p>
      <w:pPr>
        <w:pStyle w:val="2"/>
        <w:spacing w:line="400" w:lineRule="exact"/>
        <w:ind w:left="567" w:firstLine="204" w:firstLineChars="100"/>
        <w:rPr>
          <w:rFonts w:asciiTheme="minorEastAsia" w:hAnsiTheme="minorEastAsia" w:eastAsiaTheme="minorEastAsia"/>
          <w:color w:val="auto"/>
          <w:highlight w:val="none"/>
        </w:rPr>
      </w:pPr>
      <w:r>
        <w:rPr>
          <w:rFonts w:hint="eastAsia" w:asciiTheme="minorEastAsia" w:hAnsiTheme="minorEastAsia" w:eastAsiaTheme="minorEastAsia"/>
          <w:color w:val="auto"/>
          <w:spacing w:val="-3"/>
          <w:highlight w:val="none"/>
        </w:rPr>
        <w:t>（1</w:t>
      </w:r>
      <w:r>
        <w:rPr>
          <w:rFonts w:asciiTheme="minorEastAsia" w:hAnsiTheme="minorEastAsia" w:eastAsiaTheme="minorEastAsia"/>
          <w:color w:val="auto"/>
          <w:spacing w:val="-3"/>
          <w:highlight w:val="none"/>
        </w:rPr>
        <w:t>0</w:t>
      </w:r>
      <w:r>
        <w:rPr>
          <w:rFonts w:hint="eastAsia" w:asciiTheme="minorEastAsia" w:hAnsiTheme="minorEastAsia" w:eastAsiaTheme="minorEastAsia"/>
          <w:color w:val="auto"/>
          <w:spacing w:val="-3"/>
          <w:highlight w:val="none"/>
        </w:rPr>
        <w:t>）</w:t>
      </w:r>
      <w:r>
        <w:rPr>
          <w:rFonts w:asciiTheme="minorEastAsia" w:hAnsiTheme="minorEastAsia" w:eastAsiaTheme="minorEastAsia"/>
          <w:color w:val="auto"/>
          <w:spacing w:val="-3"/>
          <w:highlight w:val="none"/>
        </w:rPr>
        <w:t>磋商函中的报价与已标价的工程量清单汇总表不一致的；</w:t>
      </w:r>
      <w:r>
        <w:rPr>
          <w:rFonts w:asciiTheme="minorEastAsia" w:hAnsiTheme="minorEastAsia" w:eastAsiaTheme="minorEastAsia"/>
          <w:color w:val="auto"/>
          <w:highlight w:val="none"/>
        </w:rPr>
        <w:t xml:space="preserve"> </w:t>
      </w:r>
    </w:p>
    <w:p>
      <w:pPr>
        <w:pStyle w:val="2"/>
        <w:spacing w:line="400" w:lineRule="exact"/>
        <w:ind w:left="567" w:firstLine="202" w:firstLineChars="100"/>
        <w:rPr>
          <w:rFonts w:asciiTheme="minorEastAsia" w:hAnsiTheme="minorEastAsia" w:eastAsiaTheme="minorEastAsia"/>
          <w:color w:val="auto"/>
          <w:highlight w:val="none"/>
        </w:rPr>
      </w:pPr>
      <w:r>
        <w:rPr>
          <w:rFonts w:hint="eastAsia" w:asciiTheme="minorEastAsia" w:hAnsiTheme="minorEastAsia" w:eastAsiaTheme="minorEastAsia"/>
          <w:color w:val="auto"/>
          <w:spacing w:val="-4"/>
          <w:highlight w:val="none"/>
        </w:rPr>
        <w:t>（1</w:t>
      </w:r>
      <w:r>
        <w:rPr>
          <w:rFonts w:asciiTheme="minorEastAsia" w:hAnsiTheme="minorEastAsia" w:eastAsiaTheme="minorEastAsia"/>
          <w:color w:val="auto"/>
          <w:spacing w:val="-4"/>
          <w:highlight w:val="none"/>
        </w:rPr>
        <w:t>1</w:t>
      </w:r>
      <w:r>
        <w:rPr>
          <w:rFonts w:hint="eastAsia" w:asciiTheme="minorEastAsia" w:hAnsiTheme="minorEastAsia" w:eastAsiaTheme="minorEastAsia"/>
          <w:color w:val="auto"/>
          <w:spacing w:val="-4"/>
          <w:highlight w:val="none"/>
        </w:rPr>
        <w:t>）</w:t>
      </w:r>
      <w:r>
        <w:rPr>
          <w:rFonts w:asciiTheme="minorEastAsia" w:hAnsiTheme="minorEastAsia" w:eastAsiaTheme="minorEastAsia"/>
          <w:color w:val="auto"/>
          <w:spacing w:val="-4"/>
          <w:highlight w:val="none"/>
        </w:rPr>
        <w:t>设有暂估价、暂列金额的，竞标时未按采购人工程量清单给出的暂估价总价、暂列金额</w:t>
      </w:r>
      <w:r>
        <w:rPr>
          <w:rFonts w:asciiTheme="minorEastAsia" w:hAnsiTheme="minorEastAsia" w:eastAsiaTheme="minorEastAsia"/>
          <w:color w:val="auto"/>
          <w:spacing w:val="-3"/>
          <w:highlight w:val="none"/>
        </w:rPr>
        <w:t xml:space="preserve">总价计入竞标总报价中的； </w:t>
      </w:r>
    </w:p>
    <w:p>
      <w:pPr>
        <w:pStyle w:val="2"/>
        <w:spacing w:line="400" w:lineRule="exact"/>
        <w:ind w:left="567" w:firstLine="204" w:firstLineChars="100"/>
        <w:rPr>
          <w:rFonts w:asciiTheme="minorEastAsia" w:hAnsiTheme="minorEastAsia" w:eastAsiaTheme="minorEastAsia"/>
          <w:color w:val="auto"/>
          <w:highlight w:val="none"/>
        </w:rPr>
      </w:pPr>
      <w:r>
        <w:rPr>
          <w:rFonts w:hint="eastAsia" w:asciiTheme="minorEastAsia" w:hAnsiTheme="minorEastAsia" w:eastAsiaTheme="minorEastAsia"/>
          <w:color w:val="auto"/>
          <w:spacing w:val="-3"/>
          <w:highlight w:val="none"/>
        </w:rPr>
        <w:t>（1</w:t>
      </w:r>
      <w:r>
        <w:rPr>
          <w:rFonts w:asciiTheme="minorEastAsia" w:hAnsiTheme="minorEastAsia" w:eastAsiaTheme="minorEastAsia"/>
          <w:color w:val="auto"/>
          <w:spacing w:val="-3"/>
          <w:highlight w:val="none"/>
        </w:rPr>
        <w:t>2</w:t>
      </w:r>
      <w:r>
        <w:rPr>
          <w:rFonts w:hint="eastAsia" w:asciiTheme="minorEastAsia" w:hAnsiTheme="minorEastAsia" w:eastAsiaTheme="minorEastAsia"/>
          <w:color w:val="auto"/>
          <w:spacing w:val="-3"/>
          <w:highlight w:val="none"/>
        </w:rPr>
        <w:t>）</w:t>
      </w:r>
      <w:r>
        <w:rPr>
          <w:rFonts w:asciiTheme="minorEastAsia" w:hAnsiTheme="minorEastAsia" w:eastAsiaTheme="minorEastAsia"/>
          <w:color w:val="auto"/>
          <w:spacing w:val="-3"/>
          <w:highlight w:val="none"/>
        </w:rPr>
        <w:t>响应文件实质上没有响应磋商文件的要求的(包括：质量要求、工期、技术标准和要求、合同价款主要条款、竞标有效期等)；</w:t>
      </w:r>
      <w:r>
        <w:rPr>
          <w:rFonts w:asciiTheme="minorEastAsia" w:hAnsiTheme="minorEastAsia" w:eastAsiaTheme="minorEastAsia"/>
          <w:color w:val="auto"/>
          <w:highlight w:val="none"/>
        </w:rPr>
        <w:t xml:space="preserve"> </w:t>
      </w:r>
    </w:p>
    <w:p>
      <w:pPr>
        <w:pStyle w:val="2"/>
        <w:spacing w:line="400" w:lineRule="exact"/>
        <w:ind w:left="567" w:firstLine="204" w:firstLineChars="100"/>
        <w:rPr>
          <w:rFonts w:asciiTheme="minorEastAsia" w:hAnsiTheme="minorEastAsia" w:eastAsiaTheme="minorEastAsia"/>
          <w:color w:val="auto"/>
          <w:highlight w:val="none"/>
        </w:rPr>
      </w:pPr>
      <w:r>
        <w:rPr>
          <w:rFonts w:hint="eastAsia" w:asciiTheme="minorEastAsia" w:hAnsiTheme="minorEastAsia" w:eastAsiaTheme="minorEastAsia"/>
          <w:color w:val="auto"/>
          <w:spacing w:val="-3"/>
          <w:highlight w:val="none"/>
        </w:rPr>
        <w:t>（1</w:t>
      </w:r>
      <w:r>
        <w:rPr>
          <w:rFonts w:asciiTheme="minorEastAsia" w:hAnsiTheme="minorEastAsia" w:eastAsiaTheme="minorEastAsia"/>
          <w:color w:val="auto"/>
          <w:spacing w:val="-3"/>
          <w:highlight w:val="none"/>
        </w:rPr>
        <w:t>3</w:t>
      </w:r>
      <w:r>
        <w:rPr>
          <w:rFonts w:hint="eastAsia" w:asciiTheme="minorEastAsia" w:hAnsiTheme="minorEastAsia" w:eastAsiaTheme="minorEastAsia"/>
          <w:color w:val="auto"/>
          <w:spacing w:val="-3"/>
          <w:highlight w:val="none"/>
        </w:rPr>
        <w:t>）</w:t>
      </w:r>
      <w:r>
        <w:rPr>
          <w:rFonts w:asciiTheme="minorEastAsia" w:hAnsiTheme="minorEastAsia" w:eastAsiaTheme="minorEastAsia"/>
          <w:color w:val="auto"/>
          <w:spacing w:val="-3"/>
          <w:highlight w:val="none"/>
        </w:rPr>
        <w:t xml:space="preserve">供应商对招标工程量清单内容进行增减或对采购范围进行调整的； </w:t>
      </w:r>
    </w:p>
    <w:p>
      <w:pPr>
        <w:pStyle w:val="2"/>
        <w:spacing w:line="400" w:lineRule="exact"/>
        <w:ind w:left="567" w:firstLine="204" w:firstLineChars="100"/>
        <w:rPr>
          <w:rFonts w:asciiTheme="minorEastAsia" w:hAnsiTheme="minorEastAsia" w:eastAsiaTheme="minorEastAsia"/>
          <w:color w:val="auto"/>
          <w:highlight w:val="none"/>
        </w:rPr>
      </w:pPr>
      <w:r>
        <w:rPr>
          <w:rFonts w:hint="eastAsia" w:asciiTheme="minorEastAsia" w:hAnsiTheme="minorEastAsia" w:eastAsiaTheme="minorEastAsia"/>
          <w:color w:val="auto"/>
          <w:spacing w:val="-3"/>
          <w:highlight w:val="none"/>
        </w:rPr>
        <w:t>（1</w:t>
      </w:r>
      <w:r>
        <w:rPr>
          <w:rFonts w:asciiTheme="minorEastAsia" w:hAnsiTheme="minorEastAsia" w:eastAsiaTheme="minorEastAsia"/>
          <w:color w:val="auto"/>
          <w:spacing w:val="-3"/>
          <w:highlight w:val="none"/>
        </w:rPr>
        <w:t>4</w:t>
      </w:r>
      <w:r>
        <w:rPr>
          <w:rFonts w:hint="eastAsia" w:asciiTheme="minorEastAsia" w:hAnsiTheme="minorEastAsia" w:eastAsiaTheme="minorEastAsia"/>
          <w:color w:val="auto"/>
          <w:spacing w:val="-3"/>
          <w:highlight w:val="none"/>
        </w:rPr>
        <w:t>）</w:t>
      </w:r>
      <w:r>
        <w:rPr>
          <w:rFonts w:asciiTheme="minorEastAsia" w:hAnsiTheme="minorEastAsia" w:eastAsiaTheme="minorEastAsia"/>
          <w:color w:val="auto"/>
          <w:spacing w:val="-3"/>
          <w:highlight w:val="none"/>
        </w:rPr>
        <w:t xml:space="preserve">法律、法规和磋商文件规定的其他无效情形。 </w:t>
      </w:r>
    </w:p>
    <w:p>
      <w:pPr>
        <w:pStyle w:val="2"/>
        <w:spacing w:line="400" w:lineRule="exact"/>
        <w:ind w:left="567" w:firstLine="204" w:firstLineChars="100"/>
        <w:rPr>
          <w:rFonts w:asciiTheme="minorEastAsia" w:hAnsiTheme="minorEastAsia" w:eastAsiaTheme="minorEastAsia"/>
          <w:color w:val="auto"/>
          <w:highlight w:val="none"/>
        </w:rPr>
      </w:pPr>
      <w:r>
        <w:rPr>
          <w:rFonts w:hint="eastAsia" w:asciiTheme="minorEastAsia" w:hAnsiTheme="minorEastAsia" w:eastAsiaTheme="minorEastAsia"/>
          <w:color w:val="auto"/>
          <w:spacing w:val="-3"/>
          <w:highlight w:val="none"/>
        </w:rPr>
        <w:t>2</w:t>
      </w:r>
      <w:r>
        <w:rPr>
          <w:rFonts w:asciiTheme="minorEastAsia" w:hAnsiTheme="minorEastAsia" w:eastAsiaTheme="minorEastAsia"/>
          <w:color w:val="auto"/>
          <w:spacing w:val="-3"/>
          <w:highlight w:val="none"/>
        </w:rPr>
        <w:t>.6 技术评审</w:t>
      </w:r>
      <w:r>
        <w:rPr>
          <w:rFonts w:asciiTheme="minorEastAsia" w:hAnsiTheme="minorEastAsia" w:eastAsiaTheme="minorEastAsia"/>
          <w:color w:val="auto"/>
          <w:highlight w:val="none"/>
        </w:rPr>
        <w:t xml:space="preserve"> </w:t>
      </w:r>
    </w:p>
    <w:p>
      <w:pPr>
        <w:pStyle w:val="2"/>
        <w:spacing w:line="400" w:lineRule="exact"/>
        <w:ind w:left="567" w:firstLine="210" w:firstLineChars="100"/>
        <w:rPr>
          <w:rFonts w:asciiTheme="minorEastAsia" w:hAnsiTheme="minorEastAsia" w:eastAsiaTheme="minorEastAsia"/>
          <w:color w:val="auto"/>
          <w:highlight w:val="none"/>
        </w:rPr>
      </w:pPr>
      <w:r>
        <w:rPr>
          <w:rFonts w:asciiTheme="minorEastAsia" w:hAnsiTheme="minorEastAsia" w:eastAsiaTheme="minorEastAsia"/>
          <w:color w:val="auto"/>
          <w:highlight w:val="none"/>
        </w:rPr>
        <w:t xml:space="preserve">在评审时，如发现下列情形之一的，将被视为响应文件无效处理： </w:t>
      </w:r>
    </w:p>
    <w:p>
      <w:pPr>
        <w:pStyle w:val="2"/>
        <w:spacing w:line="400" w:lineRule="exact"/>
        <w:ind w:left="567" w:firstLine="204" w:firstLineChars="100"/>
        <w:rPr>
          <w:rFonts w:asciiTheme="minorEastAsia" w:hAnsiTheme="minorEastAsia" w:eastAsiaTheme="minorEastAsia"/>
          <w:color w:val="auto"/>
          <w:highlight w:val="none"/>
        </w:rPr>
      </w:pPr>
      <w:r>
        <w:rPr>
          <w:rFonts w:hint="eastAsia" w:asciiTheme="minorEastAsia" w:hAnsiTheme="minorEastAsia" w:eastAsiaTheme="minorEastAsia"/>
          <w:color w:val="auto"/>
          <w:spacing w:val="-3"/>
          <w:highlight w:val="none"/>
        </w:rPr>
        <w:t>（1）</w:t>
      </w:r>
      <w:r>
        <w:rPr>
          <w:rFonts w:asciiTheme="minorEastAsia" w:hAnsiTheme="minorEastAsia" w:eastAsiaTheme="minorEastAsia"/>
          <w:color w:val="auto"/>
          <w:spacing w:val="-3"/>
          <w:highlight w:val="none"/>
        </w:rPr>
        <w:t>响应文件的关键内容字迹模糊、辨认不清的；</w:t>
      </w:r>
      <w:r>
        <w:rPr>
          <w:rFonts w:asciiTheme="minorEastAsia" w:hAnsiTheme="minorEastAsia" w:eastAsiaTheme="minorEastAsia"/>
          <w:color w:val="auto"/>
          <w:highlight w:val="none"/>
        </w:rPr>
        <w:t xml:space="preserve"> </w:t>
      </w:r>
    </w:p>
    <w:p>
      <w:pPr>
        <w:pStyle w:val="2"/>
        <w:spacing w:line="400" w:lineRule="exact"/>
        <w:ind w:left="567" w:firstLine="204" w:firstLineChars="100"/>
        <w:rPr>
          <w:rFonts w:asciiTheme="minorEastAsia" w:hAnsiTheme="minorEastAsia" w:eastAsiaTheme="minorEastAsia"/>
          <w:color w:val="auto"/>
          <w:highlight w:val="none"/>
        </w:rPr>
      </w:pPr>
      <w:r>
        <w:rPr>
          <w:rFonts w:hint="eastAsia" w:asciiTheme="minorEastAsia" w:hAnsiTheme="minorEastAsia" w:eastAsiaTheme="minorEastAsia"/>
          <w:color w:val="auto"/>
          <w:spacing w:val="-3"/>
          <w:highlight w:val="none"/>
        </w:rPr>
        <w:t>（2）</w:t>
      </w:r>
      <w:r>
        <w:rPr>
          <w:rFonts w:asciiTheme="minorEastAsia" w:hAnsiTheme="minorEastAsia" w:eastAsiaTheme="minorEastAsia"/>
          <w:color w:val="auto"/>
          <w:spacing w:val="-3"/>
          <w:highlight w:val="none"/>
        </w:rPr>
        <w:t>响应文件未提供任一项“供应商须知前附表”技术文件中 “必须提供”的文件资料；响</w:t>
      </w:r>
      <w:r>
        <w:rPr>
          <w:rFonts w:asciiTheme="minorEastAsia" w:hAnsiTheme="minorEastAsia" w:eastAsiaTheme="minorEastAsia"/>
          <w:color w:val="auto"/>
          <w:spacing w:val="-6"/>
          <w:highlight w:val="none"/>
        </w:rPr>
        <w:t>应文件提供的商务文件出现任一项不符合“供应商须知前附表”技术文件中 “必须提供”文件资料</w:t>
      </w:r>
      <w:r>
        <w:rPr>
          <w:rFonts w:asciiTheme="minorEastAsia" w:hAnsiTheme="minorEastAsia" w:eastAsiaTheme="minorEastAsia"/>
          <w:color w:val="auto"/>
          <w:spacing w:val="-4"/>
          <w:highlight w:val="none"/>
        </w:rPr>
        <w:t>要求的规定或者提供的技术文件无效；</w:t>
      </w:r>
      <w:r>
        <w:rPr>
          <w:rFonts w:asciiTheme="minorEastAsia" w:hAnsiTheme="minorEastAsia" w:eastAsiaTheme="minorEastAsia"/>
          <w:color w:val="auto"/>
          <w:highlight w:val="none"/>
        </w:rPr>
        <w:t xml:space="preserve"> </w:t>
      </w:r>
    </w:p>
    <w:p>
      <w:pPr>
        <w:pStyle w:val="2"/>
        <w:spacing w:line="400" w:lineRule="exact"/>
        <w:ind w:left="567" w:firstLine="204" w:firstLineChars="100"/>
        <w:rPr>
          <w:rFonts w:asciiTheme="minorEastAsia" w:hAnsiTheme="minorEastAsia" w:eastAsiaTheme="minorEastAsia"/>
          <w:color w:val="auto"/>
          <w:highlight w:val="none"/>
        </w:rPr>
      </w:pPr>
      <w:r>
        <w:rPr>
          <w:rFonts w:hint="eastAsia" w:asciiTheme="minorEastAsia" w:hAnsiTheme="minorEastAsia" w:eastAsiaTheme="minorEastAsia"/>
          <w:color w:val="auto"/>
          <w:spacing w:val="-3"/>
          <w:highlight w:val="none"/>
        </w:rPr>
        <w:t>（3）</w:t>
      </w:r>
      <w:r>
        <w:rPr>
          <w:rFonts w:asciiTheme="minorEastAsia" w:hAnsiTheme="minorEastAsia" w:eastAsiaTheme="minorEastAsia"/>
          <w:color w:val="auto"/>
          <w:spacing w:val="-3"/>
          <w:highlight w:val="none"/>
        </w:rPr>
        <w:t xml:space="preserve">响应文件中不明确的内容未就磋商文件的规定以书面形式予以澄清、说明或者补正的； </w:t>
      </w:r>
    </w:p>
    <w:p>
      <w:pPr>
        <w:pStyle w:val="2"/>
        <w:spacing w:line="400" w:lineRule="exact"/>
        <w:ind w:left="567" w:firstLine="204" w:firstLineChars="100"/>
        <w:rPr>
          <w:rFonts w:asciiTheme="minorEastAsia" w:hAnsiTheme="minorEastAsia" w:eastAsiaTheme="minorEastAsia"/>
          <w:color w:val="auto"/>
          <w:highlight w:val="none"/>
        </w:rPr>
      </w:pPr>
      <w:r>
        <w:rPr>
          <w:rFonts w:hint="eastAsia" w:asciiTheme="minorEastAsia" w:hAnsiTheme="minorEastAsia" w:eastAsiaTheme="minorEastAsia"/>
          <w:color w:val="auto"/>
          <w:spacing w:val="-3"/>
          <w:highlight w:val="none"/>
        </w:rPr>
        <w:t>（4）</w:t>
      </w:r>
      <w:r>
        <w:rPr>
          <w:rFonts w:asciiTheme="minorEastAsia" w:hAnsiTheme="minorEastAsia" w:eastAsiaTheme="minorEastAsia"/>
          <w:color w:val="auto"/>
          <w:spacing w:val="-3"/>
          <w:highlight w:val="none"/>
        </w:rPr>
        <w:t>法律、法规和磋商文件规定的其他无效情形。</w:t>
      </w:r>
      <w:r>
        <w:rPr>
          <w:rFonts w:asciiTheme="minorEastAsia" w:hAnsiTheme="minorEastAsia" w:eastAsiaTheme="minorEastAsia"/>
          <w:color w:val="auto"/>
          <w:highlight w:val="none"/>
        </w:rPr>
        <w:t xml:space="preserve"> </w:t>
      </w:r>
    </w:p>
    <w:p>
      <w:pPr>
        <w:pStyle w:val="2"/>
        <w:spacing w:line="400" w:lineRule="exact"/>
        <w:ind w:left="567" w:firstLine="202" w:firstLineChars="100"/>
        <w:rPr>
          <w:rFonts w:asciiTheme="minorEastAsia" w:hAnsiTheme="minorEastAsia" w:eastAsiaTheme="minorEastAsia"/>
          <w:color w:val="auto"/>
          <w:highlight w:val="none"/>
        </w:rPr>
      </w:pPr>
      <w:r>
        <w:rPr>
          <w:rFonts w:hint="eastAsia" w:asciiTheme="minorEastAsia" w:hAnsiTheme="minorEastAsia" w:eastAsiaTheme="minorEastAsia"/>
          <w:color w:val="auto"/>
          <w:spacing w:val="-4"/>
          <w:highlight w:val="none"/>
        </w:rPr>
        <w:t>2</w:t>
      </w:r>
      <w:r>
        <w:rPr>
          <w:rFonts w:asciiTheme="minorEastAsia" w:hAnsiTheme="minorEastAsia" w:eastAsiaTheme="minorEastAsia"/>
          <w:color w:val="auto"/>
          <w:spacing w:val="-4"/>
          <w:highlight w:val="none"/>
        </w:rPr>
        <w:t>.7 磋商小组对响应文件进行评审，未实质性响应磋商文件的响应文件按无效处理，磋商小组应当将资格和符合性不通过的情况告知有关供应商。磋商小组从符合磋商文件规定的相应资格条件</w:t>
      </w:r>
      <w:r>
        <w:rPr>
          <w:rFonts w:asciiTheme="minorEastAsia" w:hAnsiTheme="minorEastAsia" w:eastAsiaTheme="minorEastAsia"/>
          <w:color w:val="auto"/>
          <w:spacing w:val="-7"/>
          <w:highlight w:val="none"/>
        </w:rPr>
        <w:t xml:space="preserve">的供应商名单中确定不少于 </w:t>
      </w:r>
      <w:r>
        <w:rPr>
          <w:rFonts w:asciiTheme="minorEastAsia" w:hAnsiTheme="minorEastAsia" w:eastAsiaTheme="minorEastAsia"/>
          <w:color w:val="auto"/>
          <w:highlight w:val="none"/>
        </w:rPr>
        <w:t>3</w:t>
      </w:r>
      <w:r>
        <w:rPr>
          <w:rFonts w:asciiTheme="minorEastAsia" w:hAnsiTheme="minorEastAsia" w:eastAsiaTheme="minorEastAsia"/>
          <w:color w:val="auto"/>
          <w:spacing w:val="-9"/>
          <w:highlight w:val="none"/>
        </w:rPr>
        <w:t xml:space="preserve"> 家的供应商参加磋商。 </w:t>
      </w:r>
    </w:p>
    <w:p>
      <w:pPr>
        <w:pStyle w:val="2"/>
        <w:spacing w:line="400" w:lineRule="exact"/>
        <w:ind w:left="567" w:firstLine="204" w:firstLineChars="100"/>
        <w:rPr>
          <w:rFonts w:asciiTheme="minorEastAsia" w:hAnsiTheme="minorEastAsia" w:eastAsiaTheme="minorEastAsia"/>
          <w:color w:val="auto"/>
          <w:highlight w:val="none"/>
        </w:rPr>
      </w:pPr>
      <w:r>
        <w:rPr>
          <w:rFonts w:hint="eastAsia" w:asciiTheme="minorEastAsia" w:hAnsiTheme="minorEastAsia" w:eastAsiaTheme="minorEastAsia"/>
          <w:color w:val="auto"/>
          <w:spacing w:val="-3"/>
          <w:highlight w:val="none"/>
        </w:rPr>
        <w:t>2</w:t>
      </w:r>
      <w:r>
        <w:rPr>
          <w:rFonts w:asciiTheme="minorEastAsia" w:hAnsiTheme="minorEastAsia" w:eastAsiaTheme="minorEastAsia"/>
          <w:color w:val="auto"/>
          <w:spacing w:val="-3"/>
          <w:highlight w:val="none"/>
        </w:rPr>
        <w:t xml:space="preserve">.8 通过符合性审查的合格供应商不足 </w:t>
      </w:r>
      <w:r>
        <w:rPr>
          <w:rFonts w:asciiTheme="minorEastAsia" w:hAnsiTheme="minorEastAsia" w:eastAsiaTheme="minorEastAsia"/>
          <w:color w:val="auto"/>
          <w:highlight w:val="none"/>
        </w:rPr>
        <w:t>3</w:t>
      </w:r>
      <w:r>
        <w:rPr>
          <w:rFonts w:asciiTheme="minorEastAsia" w:hAnsiTheme="minorEastAsia" w:eastAsiaTheme="minorEastAsia"/>
          <w:color w:val="auto"/>
          <w:spacing w:val="-3"/>
          <w:highlight w:val="none"/>
        </w:rPr>
        <w:t xml:space="preserve"> 家的，不得进入磋商环节，采购人或者采购代理机构应当重新开展采购活动。</w:t>
      </w:r>
      <w:r>
        <w:rPr>
          <w:rFonts w:asciiTheme="minorEastAsia" w:hAnsiTheme="minorEastAsia" w:eastAsiaTheme="minorEastAsia"/>
          <w:color w:val="auto"/>
          <w:highlight w:val="none"/>
        </w:rPr>
        <w:t xml:space="preserve"> </w:t>
      </w:r>
    </w:p>
    <w:p>
      <w:pPr>
        <w:pStyle w:val="2"/>
        <w:spacing w:line="400" w:lineRule="exact"/>
        <w:ind w:left="567"/>
        <w:rPr>
          <w:rFonts w:asciiTheme="minorEastAsia" w:hAnsiTheme="minorEastAsia" w:eastAsiaTheme="minorEastAsia"/>
          <w:b/>
          <w:bCs/>
          <w:color w:val="auto"/>
          <w:sz w:val="24"/>
          <w:szCs w:val="24"/>
          <w:highlight w:val="none"/>
        </w:rPr>
      </w:pPr>
      <w:r>
        <w:rPr>
          <w:rFonts w:hint="eastAsia" w:asciiTheme="minorEastAsia" w:hAnsiTheme="minorEastAsia" w:eastAsiaTheme="minorEastAsia"/>
          <w:b/>
          <w:bCs/>
          <w:color w:val="auto"/>
          <w:sz w:val="24"/>
          <w:szCs w:val="24"/>
          <w:highlight w:val="none"/>
        </w:rPr>
        <w:t>3</w:t>
      </w:r>
      <w:r>
        <w:rPr>
          <w:rFonts w:asciiTheme="minorEastAsia" w:hAnsiTheme="minorEastAsia" w:eastAsiaTheme="minorEastAsia"/>
          <w:b/>
          <w:bCs/>
          <w:color w:val="auto"/>
          <w:sz w:val="24"/>
          <w:szCs w:val="24"/>
          <w:highlight w:val="none"/>
        </w:rPr>
        <w:t xml:space="preserve">. </w:t>
      </w:r>
      <w:r>
        <w:rPr>
          <w:rFonts w:hint="eastAsia" w:asciiTheme="minorEastAsia" w:hAnsiTheme="minorEastAsia" w:eastAsiaTheme="minorEastAsia"/>
          <w:b/>
          <w:bCs/>
          <w:color w:val="auto"/>
          <w:sz w:val="24"/>
          <w:szCs w:val="24"/>
          <w:highlight w:val="none"/>
        </w:rPr>
        <w:t>磋商程序</w:t>
      </w:r>
    </w:p>
    <w:p>
      <w:pPr>
        <w:pStyle w:val="2"/>
        <w:spacing w:line="400" w:lineRule="exact"/>
        <w:ind w:left="567" w:firstLine="200" w:firstLineChars="100"/>
        <w:rPr>
          <w:rFonts w:asciiTheme="minorEastAsia" w:hAnsiTheme="minorEastAsia" w:eastAsiaTheme="minorEastAsia"/>
          <w:color w:val="auto"/>
          <w:highlight w:val="none"/>
        </w:rPr>
      </w:pPr>
      <w:r>
        <w:rPr>
          <w:rFonts w:hint="eastAsia" w:asciiTheme="minorEastAsia" w:hAnsiTheme="minorEastAsia" w:eastAsiaTheme="minorEastAsia"/>
          <w:color w:val="auto"/>
          <w:spacing w:val="-5"/>
          <w:highlight w:val="none"/>
        </w:rPr>
        <w:t>3</w:t>
      </w:r>
      <w:r>
        <w:rPr>
          <w:rFonts w:asciiTheme="minorEastAsia" w:hAnsiTheme="minorEastAsia" w:eastAsiaTheme="minorEastAsia"/>
          <w:color w:val="auto"/>
          <w:spacing w:val="-5"/>
          <w:highlight w:val="none"/>
        </w:rPr>
        <w:t>.1 磋商小组按照“供应商须知前附表” 确定的顺序，集中与单一供应商分别进行磋商，并给予所有参加磋商的供应商平等的磋商机会。符合磋商资格的供应商必须在接到磋商通知后规定时间</w:t>
      </w:r>
      <w:r>
        <w:rPr>
          <w:rFonts w:asciiTheme="minorEastAsia" w:hAnsiTheme="minorEastAsia" w:eastAsiaTheme="minorEastAsia"/>
          <w:color w:val="auto"/>
          <w:spacing w:val="-4"/>
          <w:highlight w:val="none"/>
        </w:rPr>
        <w:t xml:space="preserve">内参加磋商，未在规定时间内参加磋商的视同放弃参加磋商权利，其响应文件按无效响应处理。 </w:t>
      </w:r>
    </w:p>
    <w:p>
      <w:pPr>
        <w:pStyle w:val="2"/>
        <w:spacing w:line="400" w:lineRule="exact"/>
        <w:ind w:left="567" w:firstLine="202" w:firstLineChars="100"/>
        <w:rPr>
          <w:rFonts w:asciiTheme="minorEastAsia" w:hAnsiTheme="minorEastAsia" w:eastAsiaTheme="minorEastAsia"/>
          <w:color w:val="auto"/>
          <w:highlight w:val="none"/>
        </w:rPr>
      </w:pPr>
      <w:r>
        <w:rPr>
          <w:rFonts w:hint="eastAsia" w:asciiTheme="minorEastAsia" w:hAnsiTheme="minorEastAsia" w:eastAsiaTheme="minorEastAsia"/>
          <w:color w:val="auto"/>
          <w:spacing w:val="-4"/>
          <w:highlight w:val="none"/>
        </w:rPr>
        <w:t>3</w:t>
      </w:r>
      <w:r>
        <w:rPr>
          <w:rFonts w:asciiTheme="minorEastAsia" w:hAnsiTheme="minorEastAsia" w:eastAsiaTheme="minorEastAsia"/>
          <w:color w:val="auto"/>
          <w:spacing w:val="-4"/>
          <w:highlight w:val="none"/>
        </w:rPr>
        <w:t>.2 在磋商过程中，磋商小组可以根据磋商文件和磋商情况实质性变动的技术、服务要求以及合同草案条款，但不得变动磋商文件中的其他内容。实质性变动的内容，须经采购人代表确认。可</w:t>
      </w:r>
      <w:r>
        <w:rPr>
          <w:rFonts w:asciiTheme="minorEastAsia" w:hAnsiTheme="minorEastAsia" w:eastAsiaTheme="minorEastAsia"/>
          <w:color w:val="auto"/>
          <w:spacing w:val="-3"/>
          <w:highlight w:val="none"/>
        </w:rPr>
        <w:t>能实质性变动的内容为技术、服务要求以及合同草案条款。</w:t>
      </w:r>
      <w:r>
        <w:rPr>
          <w:rFonts w:asciiTheme="minorEastAsia" w:hAnsiTheme="minorEastAsia" w:eastAsiaTheme="minorEastAsia"/>
          <w:color w:val="auto"/>
          <w:highlight w:val="none"/>
        </w:rPr>
        <w:t xml:space="preserve"> </w:t>
      </w:r>
    </w:p>
    <w:p>
      <w:pPr>
        <w:pStyle w:val="2"/>
        <w:spacing w:line="400" w:lineRule="exact"/>
        <w:ind w:left="567" w:firstLine="202" w:firstLineChars="100"/>
        <w:rPr>
          <w:rFonts w:asciiTheme="minorEastAsia" w:hAnsiTheme="minorEastAsia" w:eastAsiaTheme="minorEastAsia"/>
          <w:color w:val="auto"/>
          <w:highlight w:val="none"/>
        </w:rPr>
      </w:pPr>
      <w:r>
        <w:rPr>
          <w:rFonts w:hint="eastAsia" w:asciiTheme="minorEastAsia" w:hAnsiTheme="minorEastAsia" w:eastAsiaTheme="minorEastAsia"/>
          <w:color w:val="auto"/>
          <w:spacing w:val="-4"/>
          <w:highlight w:val="none"/>
        </w:rPr>
        <w:t>3</w:t>
      </w:r>
      <w:r>
        <w:rPr>
          <w:rFonts w:asciiTheme="minorEastAsia" w:hAnsiTheme="minorEastAsia" w:eastAsiaTheme="minorEastAsia"/>
          <w:color w:val="auto"/>
          <w:spacing w:val="-4"/>
          <w:highlight w:val="none"/>
        </w:rPr>
        <w:t>.3 对磋商文件作出的实质性变动是磋商文件的有效组成部分，由磋商小组及时以书面形式同</w:t>
      </w:r>
      <w:r>
        <w:rPr>
          <w:rFonts w:asciiTheme="minorEastAsia" w:hAnsiTheme="minorEastAsia" w:eastAsiaTheme="minorEastAsia"/>
          <w:color w:val="auto"/>
          <w:spacing w:val="-3"/>
          <w:highlight w:val="none"/>
        </w:rPr>
        <w:t>时通知所有参加磋商的供应商。</w:t>
      </w:r>
      <w:r>
        <w:rPr>
          <w:rFonts w:asciiTheme="minorEastAsia" w:hAnsiTheme="minorEastAsia" w:eastAsiaTheme="minorEastAsia"/>
          <w:color w:val="auto"/>
          <w:highlight w:val="none"/>
        </w:rPr>
        <w:t xml:space="preserve"> </w:t>
      </w:r>
    </w:p>
    <w:p>
      <w:pPr>
        <w:pStyle w:val="2"/>
        <w:spacing w:line="400" w:lineRule="exact"/>
        <w:ind w:left="567" w:firstLine="202" w:firstLineChars="100"/>
        <w:rPr>
          <w:rFonts w:asciiTheme="minorEastAsia" w:hAnsiTheme="minorEastAsia" w:eastAsiaTheme="minorEastAsia"/>
          <w:color w:val="auto"/>
          <w:highlight w:val="none"/>
        </w:rPr>
      </w:pPr>
      <w:r>
        <w:rPr>
          <w:rFonts w:asciiTheme="minorEastAsia" w:hAnsiTheme="minorEastAsia" w:eastAsiaTheme="minorEastAsia"/>
          <w:color w:val="auto"/>
          <w:spacing w:val="-4"/>
          <w:highlight w:val="none"/>
        </w:rPr>
        <w:t>3.4 供应商必须按照磋商文件的变动情况和磋商小组的要求重新提交响应文件，并由其法定代表人或者授权代表签字或者加盖公章。由委托代理人签字的，若委托代理人不是响应文件中授权的委托代理人时，必须同时出示有效的授权委托书原件。供应商为自然人的，必须由本人签字并附身</w:t>
      </w:r>
      <w:r>
        <w:rPr>
          <w:rFonts w:asciiTheme="minorEastAsia" w:hAnsiTheme="minorEastAsia" w:eastAsiaTheme="minorEastAsia"/>
          <w:color w:val="auto"/>
          <w:spacing w:val="-3"/>
          <w:highlight w:val="none"/>
        </w:rPr>
        <w:t xml:space="preserve">份证明。参加磋商的供应商未在规定时间内重新提交响应文件的，视同退出磋商。 </w:t>
      </w:r>
    </w:p>
    <w:p>
      <w:pPr>
        <w:pStyle w:val="2"/>
        <w:spacing w:line="400" w:lineRule="exact"/>
        <w:ind w:left="567" w:firstLine="192" w:firstLineChars="100"/>
        <w:rPr>
          <w:rFonts w:asciiTheme="minorEastAsia" w:hAnsiTheme="minorEastAsia" w:eastAsiaTheme="minorEastAsia"/>
          <w:color w:val="auto"/>
          <w:highlight w:val="none"/>
        </w:rPr>
      </w:pPr>
      <w:r>
        <w:rPr>
          <w:rFonts w:hint="eastAsia" w:asciiTheme="minorEastAsia" w:hAnsiTheme="minorEastAsia" w:eastAsiaTheme="minorEastAsia"/>
          <w:color w:val="auto"/>
          <w:spacing w:val="-9"/>
          <w:highlight w:val="none"/>
        </w:rPr>
        <w:t>3</w:t>
      </w:r>
      <w:r>
        <w:rPr>
          <w:rFonts w:asciiTheme="minorEastAsia" w:hAnsiTheme="minorEastAsia" w:eastAsiaTheme="minorEastAsia"/>
          <w:color w:val="auto"/>
          <w:spacing w:val="-9"/>
          <w:highlight w:val="none"/>
        </w:rPr>
        <w:t>.5 磋商中，磋商的任何一方不得透露与磋商有关的其他供应商的技术资料、价格和其他信息。</w:t>
      </w:r>
      <w:r>
        <w:rPr>
          <w:rFonts w:asciiTheme="minorEastAsia" w:hAnsiTheme="minorEastAsia" w:eastAsiaTheme="minorEastAsia"/>
          <w:color w:val="auto"/>
          <w:highlight w:val="none"/>
        </w:rPr>
        <w:t xml:space="preserve"> </w:t>
      </w:r>
    </w:p>
    <w:p>
      <w:pPr>
        <w:pStyle w:val="2"/>
        <w:spacing w:line="400" w:lineRule="exact"/>
        <w:ind w:left="567" w:firstLine="204" w:firstLineChars="100"/>
        <w:rPr>
          <w:rFonts w:asciiTheme="minorEastAsia" w:hAnsiTheme="minorEastAsia" w:eastAsiaTheme="minorEastAsia"/>
          <w:color w:val="auto"/>
          <w:spacing w:val="-3"/>
          <w:highlight w:val="none"/>
        </w:rPr>
      </w:pPr>
      <w:r>
        <w:rPr>
          <w:rFonts w:asciiTheme="minorEastAsia" w:hAnsiTheme="minorEastAsia" w:eastAsiaTheme="minorEastAsia"/>
          <w:color w:val="auto"/>
          <w:spacing w:val="-3"/>
          <w:highlight w:val="none"/>
        </w:rPr>
        <w:t>3.6 采购代理机构对磋商过程和重要磋商内容进行记录，磋商双方在记录上签字确认。</w:t>
      </w:r>
    </w:p>
    <w:p>
      <w:pPr>
        <w:pStyle w:val="2"/>
        <w:spacing w:line="400" w:lineRule="exact"/>
        <w:ind w:left="567" w:firstLine="204" w:firstLineChars="100"/>
        <w:rPr>
          <w:rFonts w:asciiTheme="minorEastAsia" w:hAnsiTheme="minorEastAsia" w:eastAsiaTheme="minorEastAsia"/>
          <w:color w:val="auto"/>
          <w:spacing w:val="-3"/>
          <w:highlight w:val="none"/>
        </w:rPr>
      </w:pPr>
      <w:r>
        <w:rPr>
          <w:rFonts w:hint="eastAsia" w:asciiTheme="minorEastAsia" w:hAnsiTheme="minorEastAsia" w:eastAsiaTheme="minorEastAsia"/>
          <w:color w:val="auto"/>
          <w:spacing w:val="-3"/>
          <w:highlight w:val="none"/>
        </w:rPr>
        <w:t>3</w:t>
      </w:r>
      <w:r>
        <w:rPr>
          <w:rFonts w:asciiTheme="minorEastAsia" w:hAnsiTheme="minorEastAsia" w:eastAsiaTheme="minorEastAsia"/>
          <w:color w:val="auto"/>
          <w:spacing w:val="-3"/>
          <w:highlight w:val="none"/>
        </w:rPr>
        <w:t xml:space="preserve">.7 磋商过程中重新提交的响应文件，供应商可以在开启前补充、修改。 </w:t>
      </w:r>
    </w:p>
    <w:p>
      <w:pPr>
        <w:pStyle w:val="2"/>
        <w:spacing w:line="400" w:lineRule="exact"/>
        <w:ind w:left="567" w:firstLine="202" w:firstLineChars="100"/>
        <w:rPr>
          <w:rFonts w:asciiTheme="minorEastAsia" w:hAnsiTheme="minorEastAsia" w:eastAsiaTheme="minorEastAsia"/>
          <w:color w:val="auto"/>
          <w:highlight w:val="none"/>
        </w:rPr>
      </w:pPr>
      <w:r>
        <w:rPr>
          <w:rFonts w:hint="eastAsia" w:asciiTheme="minorEastAsia" w:hAnsiTheme="minorEastAsia" w:eastAsiaTheme="minorEastAsia"/>
          <w:color w:val="auto"/>
          <w:spacing w:val="-4"/>
          <w:highlight w:val="none"/>
        </w:rPr>
        <w:t>3</w:t>
      </w:r>
      <w:r>
        <w:rPr>
          <w:rFonts w:asciiTheme="minorEastAsia" w:hAnsiTheme="minorEastAsia" w:eastAsiaTheme="minorEastAsia"/>
          <w:color w:val="auto"/>
          <w:spacing w:val="-4"/>
          <w:highlight w:val="none"/>
        </w:rPr>
        <w:t>.8 对磋商过程提交的响应文件进行有效性、完整性和响应程度审查，通过审查的合格供应商</w:t>
      </w:r>
      <w:r>
        <w:rPr>
          <w:rFonts w:asciiTheme="minorEastAsia" w:hAnsiTheme="minorEastAsia" w:eastAsiaTheme="minorEastAsia"/>
          <w:color w:val="auto"/>
          <w:spacing w:val="-18"/>
          <w:highlight w:val="none"/>
        </w:rPr>
        <w:t xml:space="preserve">不足 </w:t>
      </w:r>
      <w:r>
        <w:rPr>
          <w:rFonts w:asciiTheme="minorEastAsia" w:hAnsiTheme="minorEastAsia" w:eastAsiaTheme="minorEastAsia"/>
          <w:color w:val="auto"/>
          <w:highlight w:val="none"/>
        </w:rPr>
        <w:t>3</w:t>
      </w:r>
      <w:r>
        <w:rPr>
          <w:rFonts w:asciiTheme="minorEastAsia" w:hAnsiTheme="minorEastAsia" w:eastAsiaTheme="minorEastAsia"/>
          <w:color w:val="auto"/>
          <w:spacing w:val="-9"/>
          <w:highlight w:val="none"/>
        </w:rPr>
        <w:t xml:space="preserve"> 家的，采购人或者采购代理机构应当重新开展采购活动。</w:t>
      </w:r>
      <w:r>
        <w:rPr>
          <w:rFonts w:asciiTheme="minorEastAsia" w:hAnsiTheme="minorEastAsia" w:eastAsiaTheme="minorEastAsia"/>
          <w:color w:val="auto"/>
          <w:highlight w:val="none"/>
        </w:rPr>
        <w:t xml:space="preserve"> </w:t>
      </w:r>
    </w:p>
    <w:p>
      <w:pPr>
        <w:pStyle w:val="2"/>
        <w:spacing w:line="400" w:lineRule="exact"/>
        <w:ind w:left="567"/>
        <w:rPr>
          <w:rFonts w:asciiTheme="minorEastAsia" w:hAnsiTheme="minorEastAsia" w:eastAsiaTheme="minorEastAsia"/>
          <w:b/>
          <w:bCs/>
          <w:color w:val="auto"/>
          <w:sz w:val="24"/>
          <w:szCs w:val="24"/>
          <w:highlight w:val="none"/>
        </w:rPr>
      </w:pPr>
      <w:r>
        <w:rPr>
          <w:rFonts w:hint="eastAsia" w:asciiTheme="minorEastAsia" w:hAnsiTheme="minorEastAsia" w:eastAsiaTheme="minorEastAsia"/>
          <w:b/>
          <w:bCs/>
          <w:color w:val="auto"/>
          <w:sz w:val="24"/>
          <w:szCs w:val="24"/>
          <w:highlight w:val="none"/>
        </w:rPr>
        <w:t>4</w:t>
      </w:r>
      <w:r>
        <w:rPr>
          <w:rFonts w:asciiTheme="minorEastAsia" w:hAnsiTheme="minorEastAsia" w:eastAsiaTheme="minorEastAsia"/>
          <w:b/>
          <w:bCs/>
          <w:color w:val="auto"/>
          <w:sz w:val="24"/>
          <w:szCs w:val="24"/>
          <w:highlight w:val="none"/>
        </w:rPr>
        <w:t xml:space="preserve">. </w:t>
      </w:r>
      <w:r>
        <w:rPr>
          <w:rFonts w:hint="eastAsia" w:asciiTheme="minorEastAsia" w:hAnsiTheme="minorEastAsia" w:eastAsiaTheme="minorEastAsia"/>
          <w:b/>
          <w:bCs/>
          <w:color w:val="auto"/>
          <w:sz w:val="24"/>
          <w:szCs w:val="24"/>
          <w:highlight w:val="none"/>
        </w:rPr>
        <w:t>最后报价</w:t>
      </w:r>
      <w:r>
        <w:rPr>
          <w:rFonts w:asciiTheme="minorEastAsia" w:hAnsiTheme="minorEastAsia" w:eastAsiaTheme="minorEastAsia"/>
          <w:b/>
          <w:bCs/>
          <w:color w:val="auto"/>
          <w:sz w:val="24"/>
          <w:szCs w:val="24"/>
          <w:highlight w:val="none"/>
        </w:rPr>
        <w:t xml:space="preserve"> </w:t>
      </w:r>
    </w:p>
    <w:p>
      <w:pPr>
        <w:pStyle w:val="2"/>
        <w:spacing w:line="400" w:lineRule="exact"/>
        <w:ind w:left="567" w:firstLine="204" w:firstLineChars="100"/>
        <w:rPr>
          <w:rFonts w:asciiTheme="minorEastAsia" w:hAnsiTheme="minorEastAsia" w:eastAsiaTheme="minorEastAsia"/>
          <w:color w:val="auto"/>
          <w:highlight w:val="none"/>
        </w:rPr>
      </w:pPr>
      <w:r>
        <w:rPr>
          <w:rFonts w:hint="eastAsia" w:asciiTheme="minorEastAsia" w:hAnsiTheme="minorEastAsia" w:eastAsiaTheme="minorEastAsia"/>
          <w:color w:val="auto"/>
          <w:spacing w:val="-3"/>
          <w:highlight w:val="none"/>
        </w:rPr>
        <w:t>4</w:t>
      </w:r>
      <w:r>
        <w:rPr>
          <w:rFonts w:asciiTheme="minorEastAsia" w:hAnsiTheme="minorEastAsia" w:eastAsiaTheme="minorEastAsia"/>
          <w:color w:val="auto"/>
          <w:spacing w:val="-3"/>
          <w:highlight w:val="none"/>
        </w:rPr>
        <w:t>.1 磋商文件能够详细列明采购标的的技术、服务要求的，磋商结束后，由磋商小组要求所有</w:t>
      </w:r>
      <w:r>
        <w:rPr>
          <w:rFonts w:asciiTheme="minorEastAsia" w:hAnsiTheme="minorEastAsia" w:eastAsiaTheme="minorEastAsia"/>
          <w:color w:val="auto"/>
          <w:spacing w:val="-4"/>
          <w:highlight w:val="none"/>
        </w:rPr>
        <w:t xml:space="preserve">继续参加磋商的供应商在规定时间内密封提交最后报价，提交最后报价的供应商不得少于 </w:t>
      </w:r>
      <w:r>
        <w:rPr>
          <w:rFonts w:asciiTheme="minorEastAsia" w:hAnsiTheme="minorEastAsia" w:eastAsiaTheme="minorEastAsia"/>
          <w:color w:val="auto"/>
          <w:highlight w:val="none"/>
        </w:rPr>
        <w:t>3</w:t>
      </w:r>
      <w:r>
        <w:rPr>
          <w:rFonts w:asciiTheme="minorEastAsia" w:hAnsiTheme="minorEastAsia" w:eastAsiaTheme="minorEastAsia"/>
          <w:color w:val="auto"/>
          <w:spacing w:val="-6"/>
          <w:highlight w:val="none"/>
        </w:rPr>
        <w:t xml:space="preserve"> 家，否</w:t>
      </w:r>
      <w:r>
        <w:rPr>
          <w:rFonts w:asciiTheme="minorEastAsia" w:hAnsiTheme="minorEastAsia" w:eastAsiaTheme="minorEastAsia"/>
          <w:color w:val="auto"/>
          <w:spacing w:val="-4"/>
          <w:highlight w:val="none"/>
        </w:rPr>
        <w:t>则必须重新采购。</w:t>
      </w:r>
      <w:r>
        <w:rPr>
          <w:rFonts w:asciiTheme="minorEastAsia" w:hAnsiTheme="minorEastAsia" w:eastAsiaTheme="minorEastAsia"/>
          <w:color w:val="auto"/>
          <w:highlight w:val="none"/>
        </w:rPr>
        <w:t xml:space="preserve"> </w:t>
      </w:r>
    </w:p>
    <w:p>
      <w:pPr>
        <w:pStyle w:val="2"/>
        <w:spacing w:line="400" w:lineRule="exact"/>
        <w:ind w:left="567" w:firstLine="204" w:firstLineChars="100"/>
        <w:rPr>
          <w:rFonts w:asciiTheme="minorEastAsia" w:hAnsiTheme="minorEastAsia" w:eastAsiaTheme="minorEastAsia"/>
          <w:color w:val="auto"/>
          <w:highlight w:val="none"/>
        </w:rPr>
      </w:pPr>
      <w:r>
        <w:rPr>
          <w:rFonts w:hint="eastAsia" w:asciiTheme="minorEastAsia" w:hAnsiTheme="minorEastAsia" w:eastAsiaTheme="minorEastAsia"/>
          <w:color w:val="auto"/>
          <w:spacing w:val="-3"/>
          <w:highlight w:val="none"/>
        </w:rPr>
        <w:t>4</w:t>
      </w:r>
      <w:r>
        <w:rPr>
          <w:rFonts w:asciiTheme="minorEastAsia" w:hAnsiTheme="minorEastAsia" w:eastAsiaTheme="minorEastAsia"/>
          <w:color w:val="auto"/>
          <w:spacing w:val="-3"/>
          <w:highlight w:val="none"/>
        </w:rPr>
        <w:t>.2 磋商文件不能详细列明采购标的的技术、服务要求，需经磋商由供应商提供最后设计方案</w:t>
      </w:r>
      <w:r>
        <w:rPr>
          <w:rFonts w:asciiTheme="minorEastAsia" w:hAnsiTheme="minorEastAsia" w:eastAsiaTheme="minorEastAsia"/>
          <w:color w:val="auto"/>
          <w:spacing w:val="-4"/>
          <w:highlight w:val="none"/>
        </w:rPr>
        <w:t xml:space="preserve">或者解决方案的，磋商结束后，由磋商小组按照少数服从多数的原则投票推荐 </w:t>
      </w:r>
      <w:r>
        <w:rPr>
          <w:rFonts w:asciiTheme="minorEastAsia" w:hAnsiTheme="minorEastAsia" w:eastAsiaTheme="minorEastAsia"/>
          <w:color w:val="auto"/>
          <w:highlight w:val="none"/>
        </w:rPr>
        <w:t>3</w:t>
      </w:r>
      <w:r>
        <w:rPr>
          <w:rFonts w:asciiTheme="minorEastAsia" w:hAnsiTheme="minorEastAsia" w:eastAsiaTheme="minorEastAsia"/>
          <w:color w:val="auto"/>
          <w:spacing w:val="-5"/>
          <w:highlight w:val="none"/>
        </w:rPr>
        <w:t xml:space="preserve"> 家以上供应商的设</w:t>
      </w:r>
      <w:r>
        <w:rPr>
          <w:rFonts w:asciiTheme="minorEastAsia" w:hAnsiTheme="minorEastAsia" w:eastAsiaTheme="minorEastAsia"/>
          <w:color w:val="auto"/>
          <w:spacing w:val="-4"/>
          <w:highlight w:val="none"/>
        </w:rPr>
        <w:t>计方案或者解决方案，并要求其在规定时间内密封提交最后报价。</w:t>
      </w:r>
      <w:r>
        <w:rPr>
          <w:rFonts w:asciiTheme="minorEastAsia" w:hAnsiTheme="minorEastAsia" w:eastAsiaTheme="minorEastAsia"/>
          <w:color w:val="auto"/>
          <w:highlight w:val="none"/>
        </w:rPr>
        <w:t xml:space="preserve"> </w:t>
      </w:r>
    </w:p>
    <w:p>
      <w:pPr>
        <w:pStyle w:val="2"/>
        <w:spacing w:line="400" w:lineRule="exact"/>
        <w:ind w:left="567" w:firstLine="198" w:firstLineChars="100"/>
        <w:rPr>
          <w:rFonts w:asciiTheme="minorEastAsia" w:hAnsiTheme="minorEastAsia" w:eastAsiaTheme="minorEastAsia"/>
          <w:color w:val="auto"/>
          <w:highlight w:val="none"/>
        </w:rPr>
      </w:pPr>
      <w:r>
        <w:rPr>
          <w:rFonts w:hint="eastAsia" w:asciiTheme="minorEastAsia" w:hAnsiTheme="minorEastAsia" w:eastAsiaTheme="minorEastAsia"/>
          <w:color w:val="auto"/>
          <w:spacing w:val="-6"/>
          <w:highlight w:val="none"/>
        </w:rPr>
        <w:t>4</w:t>
      </w:r>
      <w:r>
        <w:rPr>
          <w:rFonts w:asciiTheme="minorEastAsia" w:hAnsiTheme="minorEastAsia" w:eastAsiaTheme="minorEastAsia"/>
          <w:color w:val="auto"/>
          <w:spacing w:val="-6"/>
          <w:highlight w:val="none"/>
        </w:rPr>
        <w:t xml:space="preserve">.3 </w:t>
      </w:r>
      <w:r>
        <w:rPr>
          <w:rFonts w:asciiTheme="minorEastAsia" w:hAnsiTheme="minorEastAsia" w:eastAsiaTheme="minorEastAsia"/>
          <w:b/>
          <w:bCs/>
          <w:color w:val="auto"/>
          <w:spacing w:val="-6"/>
          <w:highlight w:val="none"/>
        </w:rPr>
        <w:t>供应商的最后报价如有变动，最后报价必须按照</w:t>
      </w:r>
      <w:r>
        <w:rPr>
          <w:rFonts w:hint="eastAsia" w:asciiTheme="minorEastAsia" w:hAnsiTheme="minorEastAsia" w:eastAsiaTheme="minorEastAsia"/>
          <w:b/>
          <w:bCs/>
          <w:color w:val="auto"/>
          <w:spacing w:val="-6"/>
          <w:highlight w:val="none"/>
          <w:lang w:val="en-US" w:eastAsia="zh-CN"/>
        </w:rPr>
        <w:t>由采购人提供</w:t>
      </w:r>
      <w:r>
        <w:rPr>
          <w:rFonts w:asciiTheme="minorEastAsia" w:hAnsiTheme="minorEastAsia" w:eastAsiaTheme="minorEastAsia"/>
          <w:b/>
          <w:bCs/>
          <w:color w:val="auto"/>
          <w:spacing w:val="-6"/>
          <w:highlight w:val="none"/>
        </w:rPr>
        <w:t>工程量清单的格式编制，不得</w:t>
      </w:r>
      <w:r>
        <w:rPr>
          <w:rFonts w:asciiTheme="minorEastAsia" w:hAnsiTheme="minorEastAsia" w:eastAsiaTheme="minorEastAsia"/>
          <w:b/>
          <w:bCs/>
          <w:color w:val="auto"/>
          <w:spacing w:val="-7"/>
          <w:highlight w:val="none"/>
        </w:rPr>
        <w:t>以总价下浮的方式作最后报价，否则作无效竞标处理。供应商须提前做好相关准备并按</w:t>
      </w:r>
      <w:r>
        <w:rPr>
          <w:rFonts w:asciiTheme="minorEastAsia" w:hAnsiTheme="minorEastAsia" w:eastAsiaTheme="minorEastAsia"/>
          <w:b/>
          <w:bCs/>
          <w:color w:val="auto"/>
          <w:highlight w:val="none"/>
        </w:rPr>
        <w:t xml:space="preserve">规定递交最后报价。 </w:t>
      </w:r>
    </w:p>
    <w:p>
      <w:pPr>
        <w:pStyle w:val="2"/>
        <w:spacing w:line="400" w:lineRule="exact"/>
        <w:ind w:left="567" w:firstLine="204" w:firstLineChars="100"/>
        <w:rPr>
          <w:rFonts w:asciiTheme="minorEastAsia" w:hAnsiTheme="minorEastAsia" w:eastAsiaTheme="minorEastAsia"/>
          <w:color w:val="auto"/>
          <w:highlight w:val="none"/>
        </w:rPr>
      </w:pPr>
      <w:r>
        <w:rPr>
          <w:rFonts w:hint="eastAsia" w:asciiTheme="minorEastAsia" w:hAnsiTheme="minorEastAsia" w:eastAsiaTheme="minorEastAsia"/>
          <w:color w:val="auto"/>
          <w:spacing w:val="-3"/>
          <w:highlight w:val="none"/>
        </w:rPr>
        <w:t>4</w:t>
      </w:r>
      <w:r>
        <w:rPr>
          <w:rFonts w:asciiTheme="minorEastAsia" w:hAnsiTheme="minorEastAsia" w:eastAsiaTheme="minorEastAsia"/>
          <w:color w:val="auto"/>
          <w:spacing w:val="-3"/>
          <w:highlight w:val="none"/>
        </w:rPr>
        <w:t>.4 最后报价是供应商响应文件的有效组成部分。符合《政府采购竞争性磋商采购方式管理暂行办法》（财库〔2014〕214</w:t>
      </w:r>
      <w:r>
        <w:rPr>
          <w:rFonts w:asciiTheme="minorEastAsia" w:hAnsiTheme="minorEastAsia" w:eastAsiaTheme="minorEastAsia"/>
          <w:color w:val="auto"/>
          <w:spacing w:val="19"/>
          <w:highlight w:val="none"/>
        </w:rPr>
        <w:t xml:space="preserve"> 号</w:t>
      </w:r>
      <w:r>
        <w:rPr>
          <w:rFonts w:asciiTheme="minorEastAsia" w:hAnsiTheme="minorEastAsia" w:eastAsiaTheme="minorEastAsia"/>
          <w:color w:val="auto"/>
          <w:highlight w:val="none"/>
        </w:rPr>
        <w:t>）</w:t>
      </w:r>
      <w:r>
        <w:rPr>
          <w:rFonts w:asciiTheme="minorEastAsia" w:hAnsiTheme="minorEastAsia" w:eastAsiaTheme="minorEastAsia"/>
          <w:color w:val="auto"/>
          <w:spacing w:val="-4"/>
          <w:highlight w:val="none"/>
        </w:rPr>
        <w:t>第三条第四项“市场竞争不充分的科研项目，以及需要扶持的科</w:t>
      </w:r>
      <w:r>
        <w:rPr>
          <w:rFonts w:asciiTheme="minorEastAsia" w:hAnsiTheme="minorEastAsia" w:eastAsiaTheme="minorEastAsia"/>
          <w:color w:val="auto"/>
          <w:spacing w:val="-6"/>
          <w:highlight w:val="none"/>
        </w:rPr>
        <w:t xml:space="preserve">技成果转化项目”的，提交最后报价的供应商可以为 </w:t>
      </w:r>
      <w:r>
        <w:rPr>
          <w:rFonts w:asciiTheme="minorEastAsia" w:hAnsiTheme="minorEastAsia" w:eastAsiaTheme="minorEastAsia"/>
          <w:color w:val="auto"/>
          <w:highlight w:val="none"/>
        </w:rPr>
        <w:t>2</w:t>
      </w:r>
      <w:r>
        <w:rPr>
          <w:rFonts w:asciiTheme="minorEastAsia" w:hAnsiTheme="minorEastAsia" w:eastAsiaTheme="minorEastAsia"/>
          <w:color w:val="auto"/>
          <w:spacing w:val="-20"/>
          <w:highlight w:val="none"/>
        </w:rPr>
        <w:t xml:space="preserve"> 家。</w:t>
      </w:r>
      <w:r>
        <w:rPr>
          <w:rFonts w:asciiTheme="minorEastAsia" w:hAnsiTheme="minorEastAsia" w:eastAsiaTheme="minorEastAsia"/>
          <w:color w:val="auto"/>
          <w:highlight w:val="none"/>
        </w:rPr>
        <w:t xml:space="preserve"> </w:t>
      </w:r>
    </w:p>
    <w:p>
      <w:pPr>
        <w:pStyle w:val="2"/>
        <w:spacing w:line="400" w:lineRule="exact"/>
        <w:ind w:left="567" w:firstLine="202" w:firstLineChars="100"/>
        <w:rPr>
          <w:rFonts w:asciiTheme="minorEastAsia" w:hAnsiTheme="minorEastAsia" w:eastAsiaTheme="minorEastAsia"/>
          <w:color w:val="auto"/>
          <w:highlight w:val="none"/>
        </w:rPr>
      </w:pPr>
      <w:r>
        <w:rPr>
          <w:rFonts w:hint="eastAsia" w:asciiTheme="minorEastAsia" w:hAnsiTheme="minorEastAsia" w:eastAsiaTheme="minorEastAsia"/>
          <w:color w:val="auto"/>
          <w:spacing w:val="-4"/>
          <w:highlight w:val="none"/>
        </w:rPr>
        <w:t>4</w:t>
      </w:r>
      <w:r>
        <w:rPr>
          <w:rFonts w:asciiTheme="minorEastAsia" w:hAnsiTheme="minorEastAsia" w:eastAsiaTheme="minorEastAsia"/>
          <w:color w:val="auto"/>
          <w:spacing w:val="-4"/>
          <w:highlight w:val="none"/>
        </w:rPr>
        <w:t>.5 已经提交响应文件的供应商，在提交最后报价之前，可以根据磋商情况退出磋商，退出磋</w:t>
      </w:r>
      <w:r>
        <w:rPr>
          <w:rFonts w:asciiTheme="minorEastAsia" w:hAnsiTheme="minorEastAsia" w:eastAsiaTheme="minorEastAsia"/>
          <w:color w:val="auto"/>
          <w:spacing w:val="-3"/>
          <w:highlight w:val="none"/>
        </w:rPr>
        <w:t>商的供应商的响应文件按无效响应处理。</w:t>
      </w:r>
      <w:r>
        <w:rPr>
          <w:rFonts w:asciiTheme="minorEastAsia" w:hAnsiTheme="minorEastAsia" w:eastAsiaTheme="minorEastAsia"/>
          <w:color w:val="auto"/>
          <w:highlight w:val="none"/>
        </w:rPr>
        <w:t xml:space="preserve"> </w:t>
      </w:r>
    </w:p>
    <w:p>
      <w:pPr>
        <w:pStyle w:val="2"/>
        <w:spacing w:line="400" w:lineRule="exact"/>
        <w:ind w:left="567" w:firstLine="204" w:firstLineChars="100"/>
        <w:rPr>
          <w:rFonts w:asciiTheme="minorEastAsia" w:hAnsiTheme="minorEastAsia" w:eastAsiaTheme="minorEastAsia"/>
          <w:color w:val="auto"/>
          <w:highlight w:val="none"/>
        </w:rPr>
      </w:pPr>
      <w:r>
        <w:rPr>
          <w:rFonts w:asciiTheme="minorEastAsia" w:hAnsiTheme="minorEastAsia" w:eastAsiaTheme="minorEastAsia"/>
          <w:color w:val="auto"/>
          <w:spacing w:val="-3"/>
          <w:highlight w:val="none"/>
        </w:rPr>
        <w:t>4.6 供应商未在规定时间内提交最后报价的，视同退出磋商。</w:t>
      </w:r>
      <w:r>
        <w:rPr>
          <w:rFonts w:asciiTheme="minorEastAsia" w:hAnsiTheme="minorEastAsia" w:eastAsiaTheme="minorEastAsia"/>
          <w:color w:val="auto"/>
          <w:highlight w:val="none"/>
        </w:rPr>
        <w:t xml:space="preserve"> </w:t>
      </w:r>
    </w:p>
    <w:p>
      <w:pPr>
        <w:pStyle w:val="2"/>
        <w:spacing w:line="400" w:lineRule="exact"/>
        <w:ind w:left="567" w:firstLine="202" w:firstLineChars="100"/>
        <w:rPr>
          <w:rFonts w:asciiTheme="minorEastAsia" w:hAnsiTheme="minorEastAsia" w:eastAsiaTheme="minorEastAsia"/>
          <w:color w:val="auto"/>
          <w:highlight w:val="none"/>
        </w:rPr>
      </w:pPr>
      <w:r>
        <w:rPr>
          <w:rFonts w:asciiTheme="minorEastAsia" w:hAnsiTheme="minorEastAsia" w:eastAsiaTheme="minorEastAsia"/>
          <w:color w:val="auto"/>
          <w:spacing w:val="-4"/>
          <w:highlight w:val="none"/>
        </w:rPr>
        <w:t>4.7 磋商小组收齐全部最后报价后统一开启，磋商小组对最后报价进行有效性、完整性和响应</w:t>
      </w:r>
      <w:r>
        <w:rPr>
          <w:rFonts w:asciiTheme="minorEastAsia" w:hAnsiTheme="minorEastAsia" w:eastAsiaTheme="minorEastAsia"/>
          <w:color w:val="auto"/>
          <w:spacing w:val="-3"/>
          <w:highlight w:val="none"/>
        </w:rPr>
        <w:t>程度的审查。</w:t>
      </w:r>
      <w:r>
        <w:rPr>
          <w:rFonts w:asciiTheme="minorEastAsia" w:hAnsiTheme="minorEastAsia" w:eastAsiaTheme="minorEastAsia"/>
          <w:color w:val="auto"/>
          <w:highlight w:val="none"/>
        </w:rPr>
        <w:t xml:space="preserve"> </w:t>
      </w:r>
    </w:p>
    <w:p>
      <w:pPr>
        <w:pStyle w:val="2"/>
        <w:spacing w:line="400" w:lineRule="exact"/>
        <w:ind w:left="567" w:firstLine="198" w:firstLineChars="100"/>
        <w:rPr>
          <w:rFonts w:asciiTheme="minorEastAsia" w:hAnsiTheme="minorEastAsia" w:eastAsiaTheme="minorEastAsia"/>
          <w:color w:val="auto"/>
          <w:highlight w:val="none"/>
        </w:rPr>
      </w:pPr>
      <w:r>
        <w:rPr>
          <w:rFonts w:hint="eastAsia" w:asciiTheme="minorEastAsia" w:hAnsiTheme="minorEastAsia" w:eastAsiaTheme="minorEastAsia"/>
          <w:color w:val="auto"/>
          <w:spacing w:val="-6"/>
          <w:highlight w:val="none"/>
        </w:rPr>
        <w:t>4</w:t>
      </w:r>
      <w:r>
        <w:rPr>
          <w:rFonts w:asciiTheme="minorEastAsia" w:hAnsiTheme="minorEastAsia" w:eastAsiaTheme="minorEastAsia"/>
          <w:color w:val="auto"/>
          <w:spacing w:val="-6"/>
          <w:highlight w:val="none"/>
        </w:rPr>
        <w:t xml:space="preserve">.8 响应文件最后报价出现前后不一致的，按照本章第 </w:t>
      </w:r>
      <w:r>
        <w:rPr>
          <w:rFonts w:asciiTheme="minorEastAsia" w:hAnsiTheme="minorEastAsia" w:eastAsiaTheme="minorEastAsia"/>
          <w:color w:val="auto"/>
          <w:highlight w:val="none"/>
        </w:rPr>
        <w:t>2.4</w:t>
      </w:r>
      <w:r>
        <w:rPr>
          <w:rFonts w:asciiTheme="minorEastAsia" w:hAnsiTheme="minorEastAsia" w:eastAsiaTheme="minorEastAsia"/>
          <w:color w:val="auto"/>
          <w:spacing w:val="-10"/>
          <w:highlight w:val="none"/>
        </w:rPr>
        <w:t xml:space="preserve"> 条的规定修正。 </w:t>
      </w:r>
      <w:r>
        <w:rPr>
          <w:rFonts w:asciiTheme="minorEastAsia" w:hAnsiTheme="minorEastAsia" w:eastAsiaTheme="minorEastAsia"/>
          <w:color w:val="auto"/>
          <w:highlight w:val="none"/>
        </w:rPr>
        <w:t xml:space="preserve"> </w:t>
      </w:r>
    </w:p>
    <w:p>
      <w:pPr>
        <w:pStyle w:val="2"/>
        <w:spacing w:line="400" w:lineRule="exact"/>
        <w:ind w:left="567" w:firstLine="204" w:firstLineChars="100"/>
        <w:rPr>
          <w:rFonts w:asciiTheme="minorEastAsia" w:hAnsiTheme="minorEastAsia" w:eastAsiaTheme="minorEastAsia"/>
          <w:color w:val="auto"/>
          <w:highlight w:val="none"/>
        </w:rPr>
      </w:pPr>
      <w:r>
        <w:rPr>
          <w:rFonts w:asciiTheme="minorEastAsia" w:hAnsiTheme="minorEastAsia" w:eastAsiaTheme="minorEastAsia"/>
          <w:color w:val="auto"/>
          <w:spacing w:val="-3"/>
          <w:highlight w:val="none"/>
        </w:rPr>
        <w:t>4.9 修正后的报价出现下列情形的，按无效响应处理：</w:t>
      </w:r>
      <w:r>
        <w:rPr>
          <w:rFonts w:asciiTheme="minorEastAsia" w:hAnsiTheme="minorEastAsia" w:eastAsiaTheme="minorEastAsia"/>
          <w:color w:val="auto"/>
          <w:highlight w:val="none"/>
        </w:rPr>
        <w:t xml:space="preserve"> </w:t>
      </w:r>
    </w:p>
    <w:p>
      <w:pPr>
        <w:pStyle w:val="2"/>
        <w:spacing w:line="400" w:lineRule="exact"/>
        <w:ind w:left="567" w:firstLine="204" w:firstLineChars="100"/>
        <w:rPr>
          <w:rFonts w:asciiTheme="minorEastAsia" w:hAnsiTheme="minorEastAsia" w:eastAsiaTheme="minorEastAsia"/>
          <w:color w:val="auto"/>
          <w:highlight w:val="none"/>
        </w:rPr>
      </w:pPr>
      <w:r>
        <w:rPr>
          <w:rFonts w:hint="eastAsia" w:asciiTheme="minorEastAsia" w:hAnsiTheme="minorEastAsia" w:eastAsiaTheme="minorEastAsia"/>
          <w:color w:val="auto"/>
          <w:spacing w:val="-3"/>
          <w:highlight w:val="none"/>
        </w:rPr>
        <w:t>（1）</w:t>
      </w:r>
      <w:r>
        <w:rPr>
          <w:rFonts w:asciiTheme="minorEastAsia" w:hAnsiTheme="minorEastAsia" w:eastAsiaTheme="minorEastAsia"/>
          <w:color w:val="auto"/>
          <w:spacing w:val="-3"/>
          <w:highlight w:val="none"/>
        </w:rPr>
        <w:t>供应商不确认的；</w:t>
      </w:r>
      <w:r>
        <w:rPr>
          <w:rFonts w:asciiTheme="minorEastAsia" w:hAnsiTheme="minorEastAsia" w:eastAsiaTheme="minorEastAsia"/>
          <w:color w:val="auto"/>
          <w:highlight w:val="none"/>
        </w:rPr>
        <w:t xml:space="preserve"> </w:t>
      </w:r>
    </w:p>
    <w:p>
      <w:pPr>
        <w:pStyle w:val="2"/>
        <w:spacing w:line="400" w:lineRule="exact"/>
        <w:ind w:left="567" w:firstLine="200" w:firstLineChars="100"/>
        <w:rPr>
          <w:rFonts w:asciiTheme="minorEastAsia" w:hAnsiTheme="minorEastAsia" w:eastAsiaTheme="minorEastAsia"/>
          <w:color w:val="auto"/>
          <w:highlight w:val="none"/>
        </w:rPr>
      </w:pPr>
      <w:r>
        <w:rPr>
          <w:rFonts w:hint="eastAsia" w:asciiTheme="minorEastAsia" w:hAnsiTheme="minorEastAsia" w:eastAsiaTheme="minorEastAsia"/>
          <w:color w:val="auto"/>
          <w:spacing w:val="-5"/>
          <w:highlight w:val="none"/>
        </w:rPr>
        <w:t>（2）</w:t>
      </w:r>
      <w:r>
        <w:rPr>
          <w:rFonts w:asciiTheme="minorEastAsia" w:hAnsiTheme="minorEastAsia" w:eastAsiaTheme="minorEastAsia"/>
          <w:color w:val="auto"/>
          <w:spacing w:val="-5"/>
          <w:highlight w:val="none"/>
        </w:rPr>
        <w:t>经供应商确认修正后的竞标报价</w:t>
      </w:r>
      <w:r>
        <w:rPr>
          <w:rFonts w:asciiTheme="minorEastAsia" w:hAnsiTheme="minorEastAsia" w:eastAsiaTheme="minorEastAsia"/>
          <w:color w:val="auto"/>
          <w:spacing w:val="-3"/>
          <w:highlight w:val="none"/>
        </w:rPr>
        <w:t>（</w:t>
      </w:r>
      <w:r>
        <w:rPr>
          <w:rFonts w:asciiTheme="minorEastAsia" w:hAnsiTheme="minorEastAsia" w:eastAsiaTheme="minorEastAsia"/>
          <w:color w:val="auto"/>
          <w:spacing w:val="-6"/>
          <w:highlight w:val="none"/>
        </w:rPr>
        <w:t>包含首次报价、最后报价</w:t>
      </w:r>
      <w:r>
        <w:rPr>
          <w:rFonts w:asciiTheme="minorEastAsia" w:hAnsiTheme="minorEastAsia" w:eastAsiaTheme="minorEastAsia"/>
          <w:color w:val="auto"/>
          <w:spacing w:val="-20"/>
          <w:highlight w:val="none"/>
        </w:rPr>
        <w:t>）</w:t>
      </w:r>
      <w:r>
        <w:rPr>
          <w:rFonts w:asciiTheme="minorEastAsia" w:hAnsiTheme="minorEastAsia" w:eastAsiaTheme="minorEastAsia"/>
          <w:color w:val="auto"/>
          <w:spacing w:val="-3"/>
          <w:highlight w:val="none"/>
        </w:rPr>
        <w:t>超过所竞标内容规定的采 购预算金额或者最高限价的</w:t>
      </w:r>
      <w:r>
        <w:rPr>
          <w:rFonts w:asciiTheme="minorEastAsia" w:hAnsiTheme="minorEastAsia" w:eastAsiaTheme="minorEastAsia"/>
          <w:color w:val="auto"/>
          <w:highlight w:val="none"/>
        </w:rPr>
        <w:t>（</w:t>
      </w:r>
      <w:r>
        <w:rPr>
          <w:rFonts w:asciiTheme="minorEastAsia" w:hAnsiTheme="minorEastAsia" w:eastAsiaTheme="minorEastAsia"/>
          <w:color w:val="auto"/>
          <w:spacing w:val="-3"/>
          <w:highlight w:val="none"/>
        </w:rPr>
        <w:t>如本项目公布了最高限价</w:t>
      </w:r>
      <w:r>
        <w:rPr>
          <w:rFonts w:asciiTheme="minorEastAsia" w:hAnsiTheme="minorEastAsia" w:eastAsiaTheme="minorEastAsia"/>
          <w:color w:val="auto"/>
          <w:highlight w:val="none"/>
        </w:rPr>
        <w:t xml:space="preserve">）； </w:t>
      </w:r>
    </w:p>
    <w:p>
      <w:pPr>
        <w:pStyle w:val="2"/>
        <w:spacing w:line="400" w:lineRule="exact"/>
        <w:ind w:left="567" w:firstLine="200" w:firstLineChars="100"/>
        <w:rPr>
          <w:rFonts w:asciiTheme="minorEastAsia" w:hAnsiTheme="minorEastAsia" w:eastAsiaTheme="minorEastAsia"/>
          <w:color w:val="auto"/>
          <w:highlight w:val="none"/>
        </w:rPr>
      </w:pPr>
      <w:r>
        <w:rPr>
          <w:rFonts w:hint="eastAsia" w:asciiTheme="minorEastAsia" w:hAnsiTheme="minorEastAsia" w:eastAsiaTheme="minorEastAsia"/>
          <w:color w:val="auto"/>
          <w:spacing w:val="-5"/>
          <w:highlight w:val="none"/>
        </w:rPr>
        <w:t>（3）</w:t>
      </w:r>
      <w:r>
        <w:rPr>
          <w:rFonts w:asciiTheme="minorEastAsia" w:hAnsiTheme="minorEastAsia" w:eastAsiaTheme="minorEastAsia"/>
          <w:color w:val="auto"/>
          <w:spacing w:val="-5"/>
          <w:highlight w:val="none"/>
        </w:rPr>
        <w:t>经供应商确认修正后的竞标报价</w:t>
      </w:r>
      <w:r>
        <w:rPr>
          <w:rFonts w:asciiTheme="minorEastAsia" w:hAnsiTheme="minorEastAsia" w:eastAsiaTheme="minorEastAsia"/>
          <w:color w:val="auto"/>
          <w:spacing w:val="-3"/>
          <w:highlight w:val="none"/>
        </w:rPr>
        <w:t>（</w:t>
      </w:r>
      <w:r>
        <w:rPr>
          <w:rFonts w:asciiTheme="minorEastAsia" w:hAnsiTheme="minorEastAsia" w:eastAsiaTheme="minorEastAsia"/>
          <w:color w:val="auto"/>
          <w:spacing w:val="-6"/>
          <w:highlight w:val="none"/>
        </w:rPr>
        <w:t>包含首次报价、最后报价</w:t>
      </w:r>
      <w:r>
        <w:rPr>
          <w:rFonts w:asciiTheme="minorEastAsia" w:hAnsiTheme="minorEastAsia" w:eastAsiaTheme="minorEastAsia"/>
          <w:color w:val="auto"/>
          <w:spacing w:val="-20"/>
          <w:highlight w:val="none"/>
        </w:rPr>
        <w:t>）</w:t>
      </w:r>
      <w:r>
        <w:rPr>
          <w:rFonts w:asciiTheme="minorEastAsia" w:hAnsiTheme="minorEastAsia" w:eastAsiaTheme="minorEastAsia"/>
          <w:color w:val="auto"/>
          <w:spacing w:val="-3"/>
          <w:highlight w:val="none"/>
        </w:rPr>
        <w:t>超过分项采购预算金额或</w:t>
      </w:r>
      <w:r>
        <w:rPr>
          <w:rFonts w:asciiTheme="minorEastAsia" w:hAnsiTheme="minorEastAsia" w:eastAsiaTheme="minorEastAsia"/>
          <w:color w:val="auto"/>
          <w:spacing w:val="-2"/>
          <w:highlight w:val="none"/>
        </w:rPr>
        <w:t>者最高限价的</w:t>
      </w:r>
      <w:r>
        <w:rPr>
          <w:rFonts w:asciiTheme="minorEastAsia" w:hAnsiTheme="minorEastAsia" w:eastAsiaTheme="minorEastAsia"/>
          <w:color w:val="auto"/>
          <w:highlight w:val="none"/>
        </w:rPr>
        <w:t>（</w:t>
      </w:r>
      <w:r>
        <w:rPr>
          <w:rFonts w:asciiTheme="minorEastAsia" w:hAnsiTheme="minorEastAsia" w:eastAsiaTheme="minorEastAsia"/>
          <w:color w:val="auto"/>
          <w:spacing w:val="-3"/>
          <w:highlight w:val="none"/>
        </w:rPr>
        <w:t>如本项目公布了最高限价）。</w:t>
      </w:r>
      <w:r>
        <w:rPr>
          <w:rFonts w:asciiTheme="minorEastAsia" w:hAnsiTheme="minorEastAsia" w:eastAsiaTheme="minorEastAsia"/>
          <w:color w:val="auto"/>
          <w:highlight w:val="none"/>
        </w:rPr>
        <w:t xml:space="preserve"> </w:t>
      </w:r>
    </w:p>
    <w:p>
      <w:pPr>
        <w:pStyle w:val="2"/>
        <w:spacing w:line="400" w:lineRule="exact"/>
        <w:ind w:left="567" w:firstLine="204" w:firstLineChars="100"/>
        <w:rPr>
          <w:rFonts w:asciiTheme="minorEastAsia" w:hAnsiTheme="minorEastAsia" w:eastAsiaTheme="minorEastAsia"/>
          <w:color w:val="auto"/>
          <w:highlight w:val="none"/>
        </w:rPr>
      </w:pPr>
      <w:r>
        <w:rPr>
          <w:rFonts w:hint="eastAsia" w:asciiTheme="minorEastAsia" w:hAnsiTheme="minorEastAsia" w:eastAsiaTheme="minorEastAsia"/>
          <w:color w:val="auto"/>
          <w:spacing w:val="-3"/>
          <w:highlight w:val="none"/>
        </w:rPr>
        <w:t>4</w:t>
      </w:r>
      <w:r>
        <w:rPr>
          <w:rFonts w:asciiTheme="minorEastAsia" w:hAnsiTheme="minorEastAsia" w:eastAsiaTheme="minorEastAsia"/>
          <w:color w:val="auto"/>
          <w:spacing w:val="-3"/>
          <w:highlight w:val="none"/>
        </w:rPr>
        <w:t xml:space="preserve">.10 经供应商确认修正后的最后报价作为评审及签订合同的依据。 </w:t>
      </w:r>
    </w:p>
    <w:p>
      <w:pPr>
        <w:pStyle w:val="2"/>
        <w:spacing w:line="400" w:lineRule="exact"/>
        <w:ind w:left="567" w:firstLine="202" w:firstLineChars="100"/>
        <w:rPr>
          <w:rFonts w:asciiTheme="minorEastAsia" w:hAnsiTheme="minorEastAsia" w:eastAsiaTheme="minorEastAsia"/>
          <w:color w:val="auto"/>
          <w:highlight w:val="none"/>
        </w:rPr>
      </w:pPr>
      <w:r>
        <w:rPr>
          <w:rFonts w:asciiTheme="minorEastAsia" w:hAnsiTheme="minorEastAsia" w:eastAsiaTheme="minorEastAsia"/>
          <w:color w:val="auto"/>
          <w:spacing w:val="-4"/>
          <w:highlight w:val="none"/>
        </w:rPr>
        <w:t>4.11 供应商出现最后报价按无效响应处理或者响应文件按无效处理时，磋商小组应当告知有关供应商。</w:t>
      </w:r>
      <w:r>
        <w:rPr>
          <w:rFonts w:asciiTheme="minorEastAsia" w:hAnsiTheme="minorEastAsia" w:eastAsiaTheme="minorEastAsia"/>
          <w:color w:val="auto"/>
          <w:highlight w:val="none"/>
        </w:rPr>
        <w:t xml:space="preserve"> </w:t>
      </w:r>
    </w:p>
    <w:p>
      <w:pPr>
        <w:pStyle w:val="2"/>
        <w:spacing w:line="400" w:lineRule="exact"/>
        <w:ind w:left="567" w:firstLine="204" w:firstLineChars="100"/>
        <w:rPr>
          <w:rFonts w:asciiTheme="minorEastAsia" w:hAnsiTheme="minorEastAsia" w:eastAsiaTheme="minorEastAsia"/>
          <w:color w:val="auto"/>
          <w:highlight w:val="none"/>
        </w:rPr>
      </w:pPr>
      <w:r>
        <w:rPr>
          <w:rFonts w:asciiTheme="minorEastAsia" w:hAnsiTheme="minorEastAsia" w:eastAsiaTheme="minorEastAsia"/>
          <w:color w:val="auto"/>
          <w:spacing w:val="-3"/>
          <w:highlight w:val="none"/>
        </w:rPr>
        <w:t xml:space="preserve">4.12 最后报价结束后，磋商小组不得再与供应商进行任何形式的商谈。 </w:t>
      </w:r>
    </w:p>
    <w:p>
      <w:pPr>
        <w:pStyle w:val="2"/>
        <w:spacing w:line="400" w:lineRule="exact"/>
        <w:ind w:left="567"/>
        <w:rPr>
          <w:rFonts w:asciiTheme="minorEastAsia" w:hAnsiTheme="minorEastAsia" w:eastAsiaTheme="minorEastAsia"/>
          <w:b/>
          <w:bCs/>
          <w:color w:val="auto"/>
          <w:sz w:val="24"/>
          <w:szCs w:val="24"/>
          <w:highlight w:val="none"/>
        </w:rPr>
      </w:pPr>
      <w:r>
        <w:rPr>
          <w:rFonts w:hint="eastAsia" w:asciiTheme="minorEastAsia" w:hAnsiTheme="minorEastAsia" w:eastAsiaTheme="minorEastAsia"/>
          <w:b/>
          <w:bCs/>
          <w:color w:val="auto"/>
          <w:sz w:val="24"/>
          <w:szCs w:val="24"/>
          <w:highlight w:val="none"/>
        </w:rPr>
        <w:t>5</w:t>
      </w:r>
      <w:r>
        <w:rPr>
          <w:rFonts w:asciiTheme="minorEastAsia" w:hAnsiTheme="minorEastAsia" w:eastAsiaTheme="minorEastAsia"/>
          <w:b/>
          <w:bCs/>
          <w:color w:val="auto"/>
          <w:sz w:val="24"/>
          <w:szCs w:val="24"/>
          <w:highlight w:val="none"/>
        </w:rPr>
        <w:t xml:space="preserve">. </w:t>
      </w:r>
      <w:r>
        <w:rPr>
          <w:rFonts w:hint="eastAsia" w:asciiTheme="minorEastAsia" w:hAnsiTheme="minorEastAsia" w:eastAsiaTheme="minorEastAsia"/>
          <w:b/>
          <w:bCs/>
          <w:color w:val="auto"/>
          <w:sz w:val="24"/>
          <w:szCs w:val="24"/>
          <w:highlight w:val="none"/>
        </w:rPr>
        <w:t>比较与评价</w:t>
      </w:r>
    </w:p>
    <w:p>
      <w:pPr>
        <w:pStyle w:val="2"/>
        <w:spacing w:line="400" w:lineRule="exact"/>
        <w:ind w:left="567" w:firstLine="204" w:firstLineChars="100"/>
        <w:rPr>
          <w:rFonts w:asciiTheme="minorEastAsia" w:hAnsiTheme="minorEastAsia" w:eastAsiaTheme="minorEastAsia"/>
          <w:color w:val="auto"/>
          <w:highlight w:val="none"/>
        </w:rPr>
      </w:pPr>
      <w:r>
        <w:rPr>
          <w:rFonts w:hint="eastAsia" w:asciiTheme="minorEastAsia" w:hAnsiTheme="minorEastAsia" w:eastAsiaTheme="minorEastAsia"/>
          <w:color w:val="auto"/>
          <w:spacing w:val="-3"/>
          <w:highlight w:val="none"/>
        </w:rPr>
        <w:t>5</w:t>
      </w:r>
      <w:r>
        <w:rPr>
          <w:rFonts w:asciiTheme="minorEastAsia" w:hAnsiTheme="minorEastAsia" w:eastAsiaTheme="minorEastAsia"/>
          <w:color w:val="auto"/>
          <w:spacing w:val="-3"/>
          <w:highlight w:val="none"/>
        </w:rPr>
        <w:t>.1 评审方法：综合评分法。</w:t>
      </w:r>
      <w:r>
        <w:rPr>
          <w:rFonts w:asciiTheme="minorEastAsia" w:hAnsiTheme="minorEastAsia" w:eastAsiaTheme="minorEastAsia"/>
          <w:color w:val="auto"/>
          <w:highlight w:val="none"/>
        </w:rPr>
        <w:t xml:space="preserve"> </w:t>
      </w:r>
    </w:p>
    <w:p>
      <w:pPr>
        <w:pStyle w:val="2"/>
        <w:spacing w:line="400" w:lineRule="exact"/>
        <w:ind w:left="567" w:firstLine="202" w:firstLineChars="100"/>
        <w:rPr>
          <w:rFonts w:asciiTheme="minorEastAsia" w:hAnsiTheme="minorEastAsia" w:eastAsiaTheme="minorEastAsia"/>
          <w:color w:val="auto"/>
          <w:highlight w:val="none"/>
        </w:rPr>
      </w:pPr>
      <w:r>
        <w:rPr>
          <w:rFonts w:asciiTheme="minorEastAsia" w:hAnsiTheme="minorEastAsia" w:eastAsiaTheme="minorEastAsia"/>
          <w:color w:val="auto"/>
          <w:spacing w:val="-4"/>
          <w:highlight w:val="none"/>
        </w:rPr>
        <w:t>5.2 经磋商确定最终技术需求和提交最后报价的供应商后，由磋商小组采用综合评分法对提交</w:t>
      </w:r>
      <w:r>
        <w:rPr>
          <w:rFonts w:asciiTheme="minorEastAsia" w:hAnsiTheme="minorEastAsia" w:eastAsiaTheme="minorEastAsia"/>
          <w:color w:val="auto"/>
          <w:spacing w:val="-3"/>
          <w:highlight w:val="none"/>
        </w:rPr>
        <w:t>最后报价的供应商的响应文件和最后报价进行综合评分。</w:t>
      </w:r>
      <w:r>
        <w:rPr>
          <w:rFonts w:asciiTheme="minorEastAsia" w:hAnsiTheme="minorEastAsia" w:eastAsiaTheme="minorEastAsia"/>
          <w:color w:val="auto"/>
          <w:highlight w:val="none"/>
        </w:rPr>
        <w:t xml:space="preserve"> </w:t>
      </w:r>
    </w:p>
    <w:p>
      <w:pPr>
        <w:pStyle w:val="2"/>
        <w:spacing w:line="400" w:lineRule="exact"/>
        <w:ind w:left="567" w:firstLine="202" w:firstLineChars="100"/>
        <w:rPr>
          <w:rFonts w:asciiTheme="minorEastAsia" w:hAnsiTheme="minorEastAsia" w:eastAsiaTheme="minorEastAsia"/>
          <w:color w:val="auto"/>
          <w:spacing w:val="-4"/>
          <w:highlight w:val="none"/>
        </w:rPr>
      </w:pPr>
      <w:r>
        <w:rPr>
          <w:rFonts w:hint="eastAsia" w:asciiTheme="minorEastAsia" w:hAnsiTheme="minorEastAsia" w:eastAsiaTheme="minorEastAsia"/>
          <w:color w:val="auto"/>
          <w:spacing w:val="-4"/>
          <w:highlight w:val="none"/>
        </w:rPr>
        <w:t>5.</w:t>
      </w:r>
      <w:r>
        <w:rPr>
          <w:rFonts w:asciiTheme="minorEastAsia" w:hAnsiTheme="minorEastAsia" w:eastAsiaTheme="minorEastAsia"/>
          <w:color w:val="auto"/>
          <w:spacing w:val="-4"/>
          <w:highlight w:val="none"/>
        </w:rPr>
        <w:t>3 评审时，磋商小组各成员应当独立对每个有效响应的文件进行评价、打分，然后汇总每个</w:t>
      </w:r>
      <w:r>
        <w:rPr>
          <w:rFonts w:asciiTheme="minorEastAsia" w:hAnsiTheme="minorEastAsia" w:eastAsiaTheme="minorEastAsia"/>
          <w:color w:val="auto"/>
          <w:spacing w:val="-3"/>
          <w:highlight w:val="none"/>
        </w:rPr>
        <w:t>供应商每项评分因素的得分。</w:t>
      </w:r>
      <w:r>
        <w:rPr>
          <w:rFonts w:asciiTheme="minorEastAsia" w:hAnsiTheme="minorEastAsia" w:eastAsiaTheme="minorEastAsia"/>
          <w:color w:val="auto"/>
          <w:highlight w:val="none"/>
        </w:rPr>
        <w:t xml:space="preserve"> </w:t>
      </w:r>
    </w:p>
    <w:p>
      <w:pPr>
        <w:pStyle w:val="2"/>
        <w:spacing w:line="400" w:lineRule="exact"/>
        <w:ind w:left="567" w:firstLine="200" w:firstLineChars="100"/>
        <w:rPr>
          <w:rFonts w:asciiTheme="minorEastAsia" w:hAnsiTheme="minorEastAsia" w:eastAsiaTheme="minorEastAsia"/>
          <w:color w:val="auto"/>
          <w:highlight w:val="none"/>
        </w:rPr>
      </w:pPr>
      <w:r>
        <w:rPr>
          <w:rFonts w:hint="eastAsia" w:asciiTheme="minorEastAsia" w:hAnsiTheme="minorEastAsia" w:eastAsiaTheme="minorEastAsia"/>
          <w:color w:val="auto"/>
          <w:spacing w:val="-5"/>
          <w:highlight w:val="none"/>
        </w:rPr>
        <w:t>（1）</w:t>
      </w:r>
      <w:r>
        <w:rPr>
          <w:rFonts w:asciiTheme="minorEastAsia" w:hAnsiTheme="minorEastAsia" w:eastAsiaTheme="minorEastAsia"/>
          <w:color w:val="auto"/>
          <w:spacing w:val="-5"/>
          <w:highlight w:val="none"/>
        </w:rPr>
        <w:t>磋商小组按照磋商文件中规定的评审标准计算各供应商的报价得分。项目评审过程中，</w:t>
      </w:r>
      <w:r>
        <w:rPr>
          <w:rFonts w:asciiTheme="minorEastAsia" w:hAnsiTheme="minorEastAsia" w:eastAsiaTheme="minorEastAsia"/>
          <w:color w:val="auto"/>
          <w:spacing w:val="-3"/>
          <w:highlight w:val="none"/>
        </w:rPr>
        <w:t>不得去掉最后报价中的最高报价和最低报价。</w:t>
      </w:r>
      <w:r>
        <w:rPr>
          <w:rFonts w:asciiTheme="minorEastAsia" w:hAnsiTheme="minorEastAsia" w:eastAsiaTheme="minorEastAsia"/>
          <w:color w:val="auto"/>
          <w:highlight w:val="none"/>
        </w:rPr>
        <w:t xml:space="preserve"> </w:t>
      </w:r>
    </w:p>
    <w:p>
      <w:pPr>
        <w:pStyle w:val="2"/>
        <w:spacing w:line="400" w:lineRule="exact"/>
        <w:ind w:left="567" w:firstLine="204" w:firstLineChars="100"/>
        <w:rPr>
          <w:rFonts w:asciiTheme="minorEastAsia" w:hAnsiTheme="minorEastAsia" w:eastAsiaTheme="minorEastAsia"/>
          <w:color w:val="auto"/>
          <w:highlight w:val="none"/>
        </w:rPr>
      </w:pPr>
      <w:r>
        <w:rPr>
          <w:rFonts w:hint="eastAsia" w:asciiTheme="minorEastAsia" w:hAnsiTheme="minorEastAsia" w:eastAsiaTheme="minorEastAsia"/>
          <w:color w:val="auto"/>
          <w:spacing w:val="-3"/>
          <w:highlight w:val="none"/>
        </w:rPr>
        <w:t>（2）</w:t>
      </w:r>
      <w:r>
        <w:rPr>
          <w:rFonts w:asciiTheme="minorEastAsia" w:hAnsiTheme="minorEastAsia" w:eastAsiaTheme="minorEastAsia"/>
          <w:color w:val="auto"/>
          <w:spacing w:val="-3"/>
          <w:highlight w:val="none"/>
        </w:rPr>
        <w:t xml:space="preserve">各供应商的得分为磋商小组所有成员的有效评分的算术平均数。 </w:t>
      </w:r>
    </w:p>
    <w:p>
      <w:pPr>
        <w:pStyle w:val="2"/>
        <w:spacing w:line="400" w:lineRule="exact"/>
        <w:ind w:left="567" w:firstLine="204" w:firstLineChars="100"/>
        <w:rPr>
          <w:rFonts w:asciiTheme="minorEastAsia" w:hAnsiTheme="minorEastAsia" w:eastAsiaTheme="minorEastAsia"/>
          <w:color w:val="auto"/>
          <w:highlight w:val="none"/>
        </w:rPr>
      </w:pPr>
      <w:r>
        <w:rPr>
          <w:rFonts w:hint="eastAsia" w:asciiTheme="minorEastAsia" w:hAnsiTheme="minorEastAsia" w:eastAsiaTheme="minorEastAsia"/>
          <w:color w:val="auto"/>
          <w:spacing w:val="-3"/>
          <w:highlight w:val="none"/>
        </w:rPr>
        <w:t>5</w:t>
      </w:r>
      <w:r>
        <w:rPr>
          <w:rFonts w:asciiTheme="minorEastAsia" w:hAnsiTheme="minorEastAsia" w:eastAsiaTheme="minorEastAsia"/>
          <w:color w:val="auto"/>
          <w:spacing w:val="-3"/>
          <w:highlight w:val="none"/>
        </w:rPr>
        <w:t>.4 最终成交供应商的成交金额等于最后报价</w:t>
      </w:r>
      <w:r>
        <w:rPr>
          <w:rFonts w:asciiTheme="minorEastAsia" w:hAnsiTheme="minorEastAsia" w:eastAsiaTheme="minorEastAsia"/>
          <w:color w:val="auto"/>
          <w:highlight w:val="none"/>
        </w:rPr>
        <w:t>（</w:t>
      </w:r>
      <w:r>
        <w:rPr>
          <w:rFonts w:asciiTheme="minorEastAsia" w:hAnsiTheme="minorEastAsia" w:eastAsiaTheme="minorEastAsia"/>
          <w:color w:val="auto"/>
          <w:spacing w:val="-3"/>
          <w:highlight w:val="none"/>
        </w:rPr>
        <w:t>如有修正，以确认修正后的最后报价为准）</w:t>
      </w:r>
      <w:r>
        <w:rPr>
          <w:rFonts w:asciiTheme="minorEastAsia" w:hAnsiTheme="minorEastAsia" w:eastAsiaTheme="minorEastAsia"/>
          <w:color w:val="auto"/>
          <w:highlight w:val="none"/>
        </w:rPr>
        <w:t xml:space="preserve">。 </w:t>
      </w:r>
    </w:p>
    <w:p>
      <w:pPr>
        <w:pStyle w:val="2"/>
        <w:spacing w:line="400" w:lineRule="exact"/>
        <w:ind w:left="567" w:firstLine="198" w:firstLineChars="100"/>
        <w:rPr>
          <w:rFonts w:asciiTheme="minorEastAsia" w:hAnsiTheme="minorEastAsia" w:eastAsiaTheme="minorEastAsia"/>
          <w:color w:val="auto"/>
          <w:highlight w:val="none"/>
        </w:rPr>
      </w:pPr>
      <w:r>
        <w:rPr>
          <w:rFonts w:asciiTheme="minorEastAsia" w:hAnsiTheme="minorEastAsia" w:eastAsiaTheme="minorEastAsia"/>
          <w:color w:val="auto"/>
          <w:spacing w:val="-6"/>
          <w:highlight w:val="none"/>
        </w:rPr>
        <w:t xml:space="preserve">5.5 由磋商小组根据综合评分情况，按照评审得分由高到低顺序推荐 </w:t>
      </w:r>
      <w:r>
        <w:rPr>
          <w:rFonts w:asciiTheme="minorEastAsia" w:hAnsiTheme="minorEastAsia" w:eastAsiaTheme="minorEastAsia"/>
          <w:color w:val="auto"/>
          <w:highlight w:val="none"/>
        </w:rPr>
        <w:t>3</w:t>
      </w:r>
      <w:r>
        <w:rPr>
          <w:rFonts w:asciiTheme="minorEastAsia" w:hAnsiTheme="minorEastAsia" w:eastAsiaTheme="minorEastAsia"/>
          <w:color w:val="auto"/>
          <w:spacing w:val="-7"/>
          <w:highlight w:val="none"/>
        </w:rPr>
        <w:t xml:space="preserve"> 名成交候选供应商，</w:t>
      </w:r>
      <w:r>
        <w:rPr>
          <w:rFonts w:asciiTheme="minorEastAsia" w:hAnsiTheme="minorEastAsia" w:eastAsiaTheme="minorEastAsia"/>
          <w:color w:val="auto"/>
          <w:spacing w:val="-8"/>
          <w:highlight w:val="none"/>
        </w:rPr>
        <w:t xml:space="preserve">并编写评审报告。符合本章第 </w:t>
      </w:r>
      <w:r>
        <w:rPr>
          <w:rFonts w:asciiTheme="minorEastAsia" w:hAnsiTheme="minorEastAsia" w:eastAsiaTheme="minorEastAsia"/>
          <w:color w:val="auto"/>
          <w:highlight w:val="none"/>
        </w:rPr>
        <w:t>4.</w:t>
      </w:r>
      <w:r>
        <w:rPr>
          <w:rFonts w:hint="eastAsia" w:asciiTheme="minorEastAsia" w:hAnsiTheme="minorEastAsia" w:eastAsiaTheme="minorEastAsia"/>
          <w:color w:val="auto"/>
          <w:highlight w:val="none"/>
        </w:rPr>
        <w:t>4</w:t>
      </w:r>
      <w:r>
        <w:rPr>
          <w:rFonts w:asciiTheme="minorEastAsia" w:hAnsiTheme="minorEastAsia" w:eastAsiaTheme="minorEastAsia"/>
          <w:color w:val="auto"/>
          <w:spacing w:val="-11"/>
          <w:highlight w:val="none"/>
        </w:rPr>
        <w:t xml:space="preserve">条情形的，可以推荐 </w:t>
      </w:r>
      <w:r>
        <w:rPr>
          <w:rFonts w:asciiTheme="minorEastAsia" w:hAnsiTheme="minorEastAsia" w:eastAsiaTheme="minorEastAsia"/>
          <w:color w:val="auto"/>
          <w:highlight w:val="none"/>
        </w:rPr>
        <w:t>2</w:t>
      </w:r>
      <w:r>
        <w:rPr>
          <w:rFonts w:asciiTheme="minorEastAsia" w:hAnsiTheme="minorEastAsia" w:eastAsiaTheme="minorEastAsia"/>
          <w:color w:val="auto"/>
          <w:spacing w:val="-8"/>
          <w:highlight w:val="none"/>
        </w:rPr>
        <w:t xml:space="preserve"> 家成交候选供应商。评审得分相同的，按</w:t>
      </w:r>
      <w:r>
        <w:rPr>
          <w:rFonts w:asciiTheme="minorEastAsia" w:hAnsiTheme="minorEastAsia" w:eastAsiaTheme="minorEastAsia"/>
          <w:color w:val="auto"/>
          <w:spacing w:val="-5"/>
          <w:highlight w:val="none"/>
        </w:rPr>
        <w:t>照最后报价由低到高的顺序推荐。评审得分且最后报价相同的，按照技术指标优劣顺序推荐。</w:t>
      </w:r>
      <w:r>
        <w:rPr>
          <w:rFonts w:asciiTheme="minorEastAsia" w:hAnsiTheme="minorEastAsia" w:eastAsiaTheme="minorEastAsia"/>
          <w:color w:val="auto"/>
          <w:highlight w:val="none"/>
        </w:rPr>
        <w:t xml:space="preserve"> </w:t>
      </w:r>
    </w:p>
    <w:p>
      <w:pPr>
        <w:pStyle w:val="2"/>
        <w:spacing w:line="400" w:lineRule="exact"/>
        <w:ind w:left="567" w:firstLine="202" w:firstLineChars="100"/>
        <w:rPr>
          <w:rFonts w:asciiTheme="minorEastAsia" w:hAnsiTheme="minorEastAsia" w:eastAsiaTheme="minorEastAsia"/>
          <w:color w:val="auto"/>
          <w:highlight w:val="none"/>
        </w:rPr>
      </w:pPr>
      <w:r>
        <w:rPr>
          <w:rFonts w:hint="eastAsia" w:asciiTheme="minorEastAsia" w:hAnsiTheme="minorEastAsia" w:eastAsiaTheme="minorEastAsia"/>
          <w:color w:val="auto"/>
          <w:spacing w:val="-4"/>
          <w:highlight w:val="none"/>
        </w:rPr>
        <w:t>5</w:t>
      </w:r>
      <w:r>
        <w:rPr>
          <w:rFonts w:asciiTheme="minorEastAsia" w:hAnsiTheme="minorEastAsia" w:eastAsiaTheme="minorEastAsia"/>
          <w:color w:val="auto"/>
          <w:spacing w:val="-4"/>
          <w:highlight w:val="none"/>
        </w:rPr>
        <w:t>.6 评审报告应当由磋商小组全体人员签字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w:t>
      </w:r>
      <w:r>
        <w:rPr>
          <w:rFonts w:asciiTheme="minorEastAsia" w:hAnsiTheme="minorEastAsia" w:eastAsiaTheme="minorEastAsia"/>
          <w:color w:val="auto"/>
          <w:highlight w:val="none"/>
        </w:rPr>
        <w:t xml:space="preserve">绝在报告上签字又不书面说明其不同意见和理由的，视为同意评审报告。 </w:t>
      </w:r>
    </w:p>
    <w:p>
      <w:pPr>
        <w:jc w:val="center"/>
        <w:rPr>
          <w:b/>
          <w:color w:val="auto"/>
          <w:sz w:val="32"/>
          <w:highlight w:val="none"/>
        </w:rPr>
      </w:pPr>
      <w:r>
        <w:rPr>
          <w:rFonts w:hint="eastAsia"/>
          <w:b/>
          <w:color w:val="auto"/>
          <w:sz w:val="32"/>
          <w:highlight w:val="none"/>
        </w:rPr>
        <w:t>二、</w:t>
      </w:r>
      <w:r>
        <w:rPr>
          <w:b/>
          <w:color w:val="auto"/>
          <w:sz w:val="32"/>
          <w:highlight w:val="none"/>
        </w:rPr>
        <w:t>评审标准</w:t>
      </w:r>
    </w:p>
    <w:p>
      <w:pPr>
        <w:tabs>
          <w:tab w:val="left" w:pos="1292"/>
        </w:tabs>
        <w:spacing w:before="142" w:line="400" w:lineRule="exact"/>
        <w:ind w:left="565" w:leftChars="257" w:right="32" w:firstLine="202" w:firstLineChars="100"/>
        <w:rPr>
          <w:color w:val="auto"/>
          <w:sz w:val="21"/>
          <w:highlight w:val="none"/>
        </w:rPr>
      </w:pPr>
      <w:r>
        <w:rPr>
          <w:rFonts w:hint="eastAsia"/>
          <w:color w:val="auto"/>
          <w:spacing w:val="-4"/>
          <w:sz w:val="21"/>
          <w:highlight w:val="none"/>
        </w:rPr>
        <w:t>6</w:t>
      </w:r>
      <w:r>
        <w:rPr>
          <w:color w:val="auto"/>
          <w:spacing w:val="-4"/>
          <w:sz w:val="21"/>
          <w:highlight w:val="none"/>
        </w:rPr>
        <w:t>. 评审依据：磋商小组将以磋商响应文件为评审依据，对供应商的报价、技术、商务等方面内</w:t>
      </w:r>
      <w:r>
        <w:rPr>
          <w:color w:val="auto"/>
          <w:spacing w:val="-3"/>
          <w:sz w:val="21"/>
          <w:highlight w:val="none"/>
        </w:rPr>
        <w:t>容按百分制打分。（计分方法按四舍五入取至百分位）</w:t>
      </w:r>
      <w:r>
        <w:rPr>
          <w:color w:val="auto"/>
          <w:sz w:val="21"/>
          <w:highlight w:val="none"/>
        </w:rPr>
        <w:t xml:space="preserve"> </w:t>
      </w:r>
    </w:p>
    <w:tbl>
      <w:tblPr>
        <w:tblStyle w:val="41"/>
        <w:tblW w:w="0" w:type="auto"/>
        <w:tblInd w:w="56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19"/>
        <w:gridCol w:w="1418"/>
        <w:gridCol w:w="6520"/>
        <w:gridCol w:w="127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9" w:type="dxa"/>
            <w:vAlign w:val="center"/>
          </w:tcPr>
          <w:p>
            <w:pPr>
              <w:spacing w:line="400" w:lineRule="exact"/>
              <w:jc w:val="center"/>
              <w:rPr>
                <w:b/>
                <w:bCs/>
                <w:color w:val="auto"/>
                <w:sz w:val="21"/>
                <w:szCs w:val="21"/>
                <w:highlight w:val="none"/>
              </w:rPr>
            </w:pPr>
            <w:r>
              <w:rPr>
                <w:rFonts w:hint="eastAsia"/>
                <w:b/>
                <w:bCs/>
                <w:color w:val="auto"/>
                <w:sz w:val="21"/>
                <w:szCs w:val="21"/>
                <w:highlight w:val="none"/>
              </w:rPr>
              <w:t>序号</w:t>
            </w:r>
          </w:p>
        </w:tc>
        <w:tc>
          <w:tcPr>
            <w:tcW w:w="1418" w:type="dxa"/>
            <w:vAlign w:val="center"/>
          </w:tcPr>
          <w:p>
            <w:pPr>
              <w:spacing w:line="400" w:lineRule="exact"/>
              <w:jc w:val="center"/>
              <w:rPr>
                <w:b/>
                <w:bCs/>
                <w:color w:val="auto"/>
                <w:sz w:val="21"/>
                <w:szCs w:val="21"/>
                <w:highlight w:val="none"/>
              </w:rPr>
            </w:pPr>
            <w:r>
              <w:rPr>
                <w:rFonts w:hint="eastAsia"/>
                <w:b/>
                <w:bCs/>
                <w:color w:val="auto"/>
                <w:sz w:val="21"/>
                <w:szCs w:val="21"/>
                <w:highlight w:val="none"/>
              </w:rPr>
              <w:t>评审因素</w:t>
            </w:r>
          </w:p>
        </w:tc>
        <w:tc>
          <w:tcPr>
            <w:tcW w:w="6520" w:type="dxa"/>
            <w:vAlign w:val="center"/>
          </w:tcPr>
          <w:p>
            <w:pPr>
              <w:spacing w:line="400" w:lineRule="exact"/>
              <w:jc w:val="center"/>
              <w:rPr>
                <w:b/>
                <w:bCs/>
                <w:color w:val="auto"/>
                <w:sz w:val="21"/>
                <w:szCs w:val="21"/>
                <w:highlight w:val="none"/>
              </w:rPr>
            </w:pPr>
            <w:r>
              <w:rPr>
                <w:rFonts w:hint="eastAsia"/>
                <w:b/>
                <w:bCs/>
                <w:color w:val="auto"/>
                <w:sz w:val="21"/>
                <w:szCs w:val="21"/>
                <w:highlight w:val="none"/>
              </w:rPr>
              <w:t>评审因素具体内容</w:t>
            </w:r>
          </w:p>
        </w:tc>
        <w:tc>
          <w:tcPr>
            <w:tcW w:w="1274" w:type="dxa"/>
            <w:vAlign w:val="center"/>
          </w:tcPr>
          <w:p>
            <w:pPr>
              <w:spacing w:line="400" w:lineRule="exact"/>
              <w:jc w:val="center"/>
              <w:rPr>
                <w:b/>
                <w:bCs/>
                <w:color w:val="auto"/>
                <w:sz w:val="21"/>
                <w:szCs w:val="21"/>
                <w:highlight w:val="none"/>
              </w:rPr>
            </w:pPr>
            <w:r>
              <w:rPr>
                <w:rFonts w:hint="eastAsia"/>
                <w:b/>
                <w:bCs/>
                <w:color w:val="auto"/>
                <w:sz w:val="21"/>
                <w:szCs w:val="21"/>
                <w:highlight w:val="none"/>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19" w:type="dxa"/>
            <w:vAlign w:val="center"/>
          </w:tcPr>
          <w:p>
            <w:pPr>
              <w:spacing w:line="400" w:lineRule="exact"/>
              <w:jc w:val="center"/>
              <w:rPr>
                <w:color w:val="auto"/>
                <w:sz w:val="21"/>
                <w:szCs w:val="21"/>
                <w:highlight w:val="none"/>
              </w:rPr>
            </w:pPr>
            <w:r>
              <w:rPr>
                <w:rFonts w:hint="eastAsia"/>
                <w:color w:val="auto"/>
                <w:sz w:val="21"/>
                <w:szCs w:val="21"/>
                <w:highlight w:val="none"/>
              </w:rPr>
              <w:t>1</w:t>
            </w:r>
          </w:p>
        </w:tc>
        <w:tc>
          <w:tcPr>
            <w:tcW w:w="1418" w:type="dxa"/>
            <w:vAlign w:val="center"/>
          </w:tcPr>
          <w:p>
            <w:pPr>
              <w:spacing w:line="400" w:lineRule="exact"/>
              <w:jc w:val="center"/>
              <w:rPr>
                <w:color w:val="auto"/>
                <w:sz w:val="21"/>
                <w:szCs w:val="21"/>
                <w:highlight w:val="none"/>
              </w:rPr>
            </w:pPr>
            <w:r>
              <w:rPr>
                <w:rFonts w:hint="eastAsia"/>
                <w:color w:val="auto"/>
                <w:sz w:val="21"/>
                <w:szCs w:val="21"/>
                <w:highlight w:val="none"/>
              </w:rPr>
              <w:t>价格分</w:t>
            </w:r>
          </w:p>
        </w:tc>
        <w:tc>
          <w:tcPr>
            <w:tcW w:w="6520" w:type="dxa"/>
          </w:tcPr>
          <w:p>
            <w:pPr>
              <w:spacing w:line="400" w:lineRule="exact"/>
              <w:rPr>
                <w:color w:val="auto"/>
                <w:sz w:val="21"/>
                <w:szCs w:val="21"/>
                <w:highlight w:val="none"/>
              </w:rPr>
            </w:pPr>
            <w:r>
              <w:rPr>
                <w:rFonts w:hint="eastAsia"/>
                <w:color w:val="auto"/>
                <w:sz w:val="21"/>
                <w:szCs w:val="21"/>
                <w:highlight w:val="none"/>
              </w:rPr>
              <w:t>（</w:t>
            </w:r>
            <w:r>
              <w:rPr>
                <w:color w:val="auto"/>
                <w:sz w:val="21"/>
                <w:szCs w:val="21"/>
                <w:highlight w:val="none"/>
              </w:rPr>
              <w:t>1）以进入比较与评价环节的最低的最后报价为基准价，基准价得分为</w:t>
            </w:r>
            <w:r>
              <w:rPr>
                <w:rFonts w:hint="eastAsia"/>
                <w:color w:val="auto"/>
                <w:sz w:val="21"/>
                <w:szCs w:val="21"/>
                <w:highlight w:val="none"/>
                <w:u w:val="single"/>
                <w:lang w:val="en-US" w:eastAsia="zh-CN"/>
              </w:rPr>
              <w:t xml:space="preserve"> 25 </w:t>
            </w:r>
            <w:r>
              <w:rPr>
                <w:color w:val="auto"/>
                <w:sz w:val="21"/>
                <w:szCs w:val="21"/>
                <w:highlight w:val="none"/>
              </w:rPr>
              <w:t xml:space="preserve">分。 </w:t>
            </w:r>
          </w:p>
          <w:p>
            <w:pPr>
              <w:spacing w:line="400" w:lineRule="exact"/>
              <w:rPr>
                <w:color w:val="auto"/>
                <w:sz w:val="21"/>
                <w:szCs w:val="21"/>
                <w:highlight w:val="none"/>
              </w:rPr>
            </w:pPr>
            <w:r>
              <w:rPr>
                <w:rFonts w:hint="eastAsia"/>
                <w:color w:val="auto"/>
                <w:sz w:val="21"/>
                <w:szCs w:val="21"/>
                <w:highlight w:val="none"/>
              </w:rPr>
              <w:t>（</w:t>
            </w:r>
            <w:r>
              <w:rPr>
                <w:color w:val="auto"/>
                <w:sz w:val="21"/>
                <w:szCs w:val="21"/>
                <w:highlight w:val="none"/>
              </w:rPr>
              <w:t xml:space="preserve">2）价格分计算公式： </w:t>
            </w:r>
          </w:p>
          <w:p>
            <w:pPr>
              <w:spacing w:line="400" w:lineRule="exact"/>
              <w:ind w:firstLine="210" w:firstLineChars="100"/>
              <w:rPr>
                <w:color w:val="auto"/>
                <w:sz w:val="21"/>
                <w:szCs w:val="21"/>
                <w:highlight w:val="none"/>
              </w:rPr>
            </w:pPr>
            <w:r>
              <w:rPr>
                <w:rFonts w:hint="eastAsia"/>
                <w:color w:val="auto"/>
                <w:sz w:val="21"/>
                <w:szCs w:val="21"/>
                <w:highlight w:val="none"/>
              </w:rPr>
              <w:t>报价得分</w:t>
            </w:r>
            <w:r>
              <w:rPr>
                <w:color w:val="auto"/>
                <w:sz w:val="21"/>
                <w:szCs w:val="21"/>
                <w:highlight w:val="none"/>
              </w:rPr>
              <w:t xml:space="preserve">=（基准价/最后报价）× </w:t>
            </w:r>
            <w:r>
              <w:rPr>
                <w:rFonts w:hint="eastAsia"/>
                <w:color w:val="auto"/>
                <w:sz w:val="21"/>
                <w:szCs w:val="21"/>
                <w:highlight w:val="none"/>
                <w:lang w:val="en-US" w:eastAsia="zh-CN"/>
              </w:rPr>
              <w:t>25</w:t>
            </w:r>
            <w:r>
              <w:rPr>
                <w:color w:val="auto"/>
                <w:sz w:val="21"/>
                <w:szCs w:val="21"/>
                <w:highlight w:val="none"/>
              </w:rPr>
              <w:t xml:space="preserve"> 分</w:t>
            </w:r>
          </w:p>
        </w:tc>
        <w:tc>
          <w:tcPr>
            <w:tcW w:w="1274" w:type="dxa"/>
            <w:vAlign w:val="center"/>
          </w:tcPr>
          <w:p>
            <w:pPr>
              <w:spacing w:line="400" w:lineRule="exact"/>
              <w:jc w:val="center"/>
              <w:rPr>
                <w:color w:val="auto"/>
                <w:sz w:val="21"/>
                <w:szCs w:val="21"/>
                <w:highlight w:val="none"/>
              </w:rPr>
            </w:pPr>
            <w:r>
              <w:rPr>
                <w:rFonts w:hint="eastAsia"/>
                <w:color w:val="auto"/>
                <w:sz w:val="21"/>
                <w:szCs w:val="21"/>
                <w:highlight w:val="none"/>
                <w:lang w:val="en-US" w:eastAsia="zh-CN"/>
              </w:rPr>
              <w:t>25</w:t>
            </w:r>
            <w:r>
              <w:rPr>
                <w:rFonts w:hint="eastAsia"/>
                <w:color w:val="auto"/>
                <w:sz w:val="21"/>
                <w:szCs w:val="21"/>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9" w:type="dxa"/>
            <w:vAlign w:val="center"/>
          </w:tcPr>
          <w:p>
            <w:pPr>
              <w:spacing w:line="400" w:lineRule="exact"/>
              <w:jc w:val="center"/>
              <w:rPr>
                <w:color w:val="auto"/>
                <w:sz w:val="21"/>
                <w:szCs w:val="21"/>
                <w:highlight w:val="none"/>
              </w:rPr>
            </w:pPr>
            <w:r>
              <w:rPr>
                <w:rFonts w:hint="eastAsia"/>
                <w:color w:val="auto"/>
                <w:sz w:val="21"/>
                <w:szCs w:val="21"/>
                <w:highlight w:val="none"/>
              </w:rPr>
              <w:t>2</w:t>
            </w:r>
          </w:p>
        </w:tc>
        <w:tc>
          <w:tcPr>
            <w:tcW w:w="1418" w:type="dxa"/>
            <w:vAlign w:val="center"/>
          </w:tcPr>
          <w:p>
            <w:pPr>
              <w:spacing w:line="400" w:lineRule="exact"/>
              <w:jc w:val="center"/>
              <w:rPr>
                <w:color w:val="auto"/>
                <w:sz w:val="21"/>
                <w:szCs w:val="21"/>
                <w:highlight w:val="none"/>
              </w:rPr>
            </w:pPr>
            <w:r>
              <w:rPr>
                <w:rFonts w:hint="eastAsia"/>
                <w:color w:val="auto"/>
                <w:sz w:val="21"/>
                <w:szCs w:val="21"/>
                <w:highlight w:val="none"/>
              </w:rPr>
              <w:t>技术分</w:t>
            </w:r>
          </w:p>
        </w:tc>
        <w:tc>
          <w:tcPr>
            <w:tcW w:w="7794" w:type="dxa"/>
            <w:gridSpan w:val="2"/>
            <w:vAlign w:val="center"/>
          </w:tcPr>
          <w:p>
            <w:pPr>
              <w:spacing w:line="400" w:lineRule="exact"/>
              <w:jc w:val="center"/>
              <w:rPr>
                <w:color w:val="auto"/>
                <w:sz w:val="21"/>
                <w:szCs w:val="21"/>
                <w:highlight w:val="none"/>
              </w:rPr>
            </w:pPr>
            <w:r>
              <w:rPr>
                <w:rFonts w:hint="eastAsia"/>
                <w:color w:val="auto"/>
                <w:sz w:val="21"/>
                <w:szCs w:val="21"/>
                <w:highlight w:val="none"/>
              </w:rPr>
              <w:t>评审因素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9" w:type="dxa"/>
            <w:vAlign w:val="center"/>
          </w:tcPr>
          <w:p>
            <w:pPr>
              <w:spacing w:line="400" w:lineRule="exact"/>
              <w:jc w:val="center"/>
              <w:rPr>
                <w:color w:val="auto"/>
                <w:sz w:val="21"/>
                <w:szCs w:val="21"/>
                <w:highlight w:val="none"/>
              </w:rPr>
            </w:pPr>
            <w:r>
              <w:rPr>
                <w:rFonts w:hint="eastAsia"/>
                <w:color w:val="auto"/>
                <w:sz w:val="21"/>
                <w:szCs w:val="21"/>
                <w:highlight w:val="none"/>
              </w:rPr>
              <w:t>2</w:t>
            </w:r>
            <w:r>
              <w:rPr>
                <w:color w:val="auto"/>
                <w:sz w:val="21"/>
                <w:szCs w:val="21"/>
                <w:highlight w:val="none"/>
              </w:rPr>
              <w:t>.1</w:t>
            </w:r>
          </w:p>
        </w:tc>
        <w:tc>
          <w:tcPr>
            <w:tcW w:w="1418" w:type="dxa"/>
            <w:vAlign w:val="center"/>
          </w:tcPr>
          <w:p>
            <w:pPr>
              <w:spacing w:line="400" w:lineRule="exact"/>
              <w:jc w:val="center"/>
              <w:rPr>
                <w:color w:val="auto"/>
                <w:sz w:val="21"/>
                <w:szCs w:val="21"/>
                <w:highlight w:val="none"/>
              </w:rPr>
            </w:pPr>
            <w:r>
              <w:rPr>
                <w:rFonts w:hint="eastAsia"/>
                <w:color w:val="auto"/>
                <w:sz w:val="21"/>
                <w:szCs w:val="21"/>
                <w:highlight w:val="none"/>
              </w:rPr>
              <w:t>施工组织设计分</w:t>
            </w:r>
          </w:p>
        </w:tc>
        <w:tc>
          <w:tcPr>
            <w:tcW w:w="6520" w:type="dxa"/>
          </w:tcPr>
          <w:p>
            <w:pPr>
              <w:spacing w:line="400" w:lineRule="exact"/>
              <w:rPr>
                <w:b/>
                <w:bCs/>
                <w:color w:val="auto"/>
                <w:sz w:val="21"/>
                <w:szCs w:val="21"/>
                <w:highlight w:val="none"/>
              </w:rPr>
            </w:pPr>
            <w:r>
              <w:rPr>
                <w:rFonts w:hint="eastAsia"/>
                <w:b/>
                <w:bCs/>
                <w:color w:val="auto"/>
                <w:sz w:val="21"/>
                <w:szCs w:val="21"/>
                <w:highlight w:val="none"/>
              </w:rPr>
              <w:t>（</w:t>
            </w:r>
            <w:r>
              <w:rPr>
                <w:b/>
                <w:bCs/>
                <w:color w:val="auto"/>
                <w:sz w:val="21"/>
                <w:szCs w:val="21"/>
                <w:highlight w:val="none"/>
              </w:rPr>
              <w:t>1）主要施工方法（满分</w:t>
            </w:r>
            <w:r>
              <w:rPr>
                <w:rFonts w:hint="eastAsia"/>
                <w:b/>
                <w:bCs/>
                <w:color w:val="auto"/>
                <w:sz w:val="21"/>
                <w:szCs w:val="21"/>
                <w:highlight w:val="none"/>
                <w:lang w:val="en-US" w:eastAsia="zh-CN"/>
              </w:rPr>
              <w:t xml:space="preserve"> 8 </w:t>
            </w:r>
            <w:r>
              <w:rPr>
                <w:b/>
                <w:bCs/>
                <w:color w:val="auto"/>
                <w:sz w:val="21"/>
                <w:szCs w:val="21"/>
                <w:highlight w:val="none"/>
              </w:rPr>
              <w:t xml:space="preserve">分） </w:t>
            </w:r>
          </w:p>
          <w:p>
            <w:pPr>
              <w:spacing w:line="400" w:lineRule="exact"/>
              <w:ind w:firstLine="220" w:firstLineChars="100"/>
              <w:rPr>
                <w:color w:val="auto"/>
                <w:sz w:val="21"/>
                <w:szCs w:val="21"/>
                <w:highlight w:val="none"/>
              </w:rPr>
            </w:pPr>
            <w:r>
              <w:rPr>
                <w:rFonts w:hint="eastAsia"/>
                <w:color w:val="auto"/>
                <w:highlight w:val="none"/>
              </w:rPr>
              <w:t>一档（</w:t>
            </w:r>
            <w:r>
              <w:rPr>
                <w:rFonts w:hint="eastAsia"/>
                <w:color w:val="auto"/>
                <w:highlight w:val="none"/>
                <w:lang w:val="en-US" w:eastAsia="zh-CN"/>
              </w:rPr>
              <w:t>8</w:t>
            </w:r>
            <w:r>
              <w:rPr>
                <w:color w:val="auto"/>
                <w:highlight w:val="none"/>
              </w:rPr>
              <w:t xml:space="preserve"> 分）：</w:t>
            </w:r>
            <w:r>
              <w:rPr>
                <w:color w:val="auto"/>
                <w:sz w:val="21"/>
                <w:szCs w:val="21"/>
                <w:highlight w:val="none"/>
              </w:rPr>
              <w:t>各主要分部施工方法符合项目实际，须有详尽的施工技术方案，工艺先进、方法科学合理、可行，能指导具体施工并确保安全。</w:t>
            </w:r>
          </w:p>
          <w:p>
            <w:pPr>
              <w:spacing w:line="400" w:lineRule="exact"/>
              <w:ind w:firstLine="210" w:firstLineChars="100"/>
              <w:rPr>
                <w:color w:val="auto"/>
                <w:sz w:val="21"/>
                <w:szCs w:val="21"/>
                <w:highlight w:val="none"/>
              </w:rPr>
            </w:pPr>
            <w:r>
              <w:rPr>
                <w:rFonts w:hint="eastAsia"/>
                <w:color w:val="auto"/>
                <w:sz w:val="21"/>
                <w:szCs w:val="21"/>
                <w:highlight w:val="none"/>
              </w:rPr>
              <w:t>二档（</w:t>
            </w:r>
            <w:r>
              <w:rPr>
                <w:rFonts w:hint="eastAsia"/>
                <w:color w:val="auto"/>
                <w:sz w:val="21"/>
                <w:szCs w:val="21"/>
                <w:highlight w:val="none"/>
                <w:lang w:val="en-US" w:eastAsia="zh-CN"/>
              </w:rPr>
              <w:t xml:space="preserve">5 </w:t>
            </w:r>
            <w:r>
              <w:rPr>
                <w:color w:val="auto"/>
                <w:sz w:val="21"/>
                <w:szCs w:val="21"/>
                <w:highlight w:val="none"/>
              </w:rPr>
              <w:t>分）：各主要分部施工方法符合项目实际，须有详尽</w:t>
            </w:r>
            <w:r>
              <w:rPr>
                <w:rFonts w:hint="eastAsia"/>
                <w:color w:val="auto"/>
                <w:sz w:val="21"/>
                <w:szCs w:val="21"/>
                <w:highlight w:val="none"/>
              </w:rPr>
              <w:t>的施工技术方案，工艺一般、方法可行，能指导具体施工并确保安全。</w:t>
            </w:r>
          </w:p>
          <w:p>
            <w:pPr>
              <w:spacing w:line="400" w:lineRule="exact"/>
              <w:ind w:firstLine="210" w:firstLineChars="100"/>
              <w:rPr>
                <w:color w:val="auto"/>
                <w:sz w:val="21"/>
                <w:szCs w:val="21"/>
                <w:highlight w:val="none"/>
              </w:rPr>
            </w:pPr>
            <w:r>
              <w:rPr>
                <w:rFonts w:hint="eastAsia"/>
                <w:color w:val="auto"/>
                <w:sz w:val="21"/>
                <w:szCs w:val="21"/>
                <w:highlight w:val="none"/>
              </w:rPr>
              <w:t>三档（</w:t>
            </w:r>
            <w:r>
              <w:rPr>
                <w:rFonts w:hint="eastAsia"/>
                <w:color w:val="auto"/>
                <w:sz w:val="21"/>
                <w:szCs w:val="21"/>
                <w:highlight w:val="none"/>
                <w:lang w:val="en-US" w:eastAsia="zh-CN"/>
              </w:rPr>
              <w:t>3</w:t>
            </w:r>
            <w:r>
              <w:rPr>
                <w:color w:val="auto"/>
                <w:sz w:val="21"/>
                <w:szCs w:val="21"/>
                <w:highlight w:val="none"/>
              </w:rPr>
              <w:t xml:space="preserve"> 分）：各主要分部施工方法基本符合项目实际，须有施工技术方案，工艺一般、方法可行，基本能指导具体施工并确保安全。</w:t>
            </w:r>
          </w:p>
          <w:p>
            <w:pPr>
              <w:spacing w:line="400" w:lineRule="exact"/>
              <w:ind w:firstLine="210" w:firstLineChars="100"/>
              <w:rPr>
                <w:color w:val="auto"/>
                <w:highlight w:val="none"/>
              </w:rPr>
            </w:pPr>
            <w:r>
              <w:rPr>
                <w:rFonts w:hint="eastAsia"/>
                <w:color w:val="auto"/>
                <w:sz w:val="21"/>
                <w:szCs w:val="21"/>
                <w:highlight w:val="none"/>
              </w:rPr>
              <w:t>四档（</w:t>
            </w:r>
            <w:r>
              <w:rPr>
                <w:color w:val="auto"/>
                <w:sz w:val="21"/>
                <w:szCs w:val="21"/>
                <w:highlight w:val="none"/>
              </w:rPr>
              <w:t>1 分）：各主要分部施工方法不符合项目实际，无详尽的施工技术方案，不能</w:t>
            </w:r>
            <w:r>
              <w:rPr>
                <w:color w:val="auto"/>
                <w:highlight w:val="none"/>
              </w:rPr>
              <w:t>指导具体施工并确保安全。</w:t>
            </w:r>
          </w:p>
          <w:p>
            <w:pPr>
              <w:spacing w:line="400" w:lineRule="exact"/>
              <w:rPr>
                <w:b/>
                <w:bCs/>
                <w:color w:val="auto"/>
                <w:sz w:val="21"/>
                <w:szCs w:val="21"/>
                <w:highlight w:val="none"/>
              </w:rPr>
            </w:pPr>
            <w:r>
              <w:rPr>
                <w:rFonts w:hint="eastAsia"/>
                <w:b/>
                <w:bCs/>
                <w:color w:val="auto"/>
                <w:sz w:val="21"/>
                <w:szCs w:val="21"/>
                <w:highlight w:val="none"/>
              </w:rPr>
              <w:t>（</w:t>
            </w:r>
            <w:r>
              <w:rPr>
                <w:b/>
                <w:bCs/>
                <w:color w:val="auto"/>
                <w:sz w:val="21"/>
                <w:szCs w:val="21"/>
                <w:highlight w:val="none"/>
              </w:rPr>
              <w:t xml:space="preserve">2）拟投入的主要物资计划（满分 </w:t>
            </w:r>
            <w:r>
              <w:rPr>
                <w:rFonts w:hint="eastAsia"/>
                <w:b/>
                <w:bCs/>
                <w:color w:val="auto"/>
                <w:sz w:val="21"/>
                <w:szCs w:val="21"/>
                <w:highlight w:val="none"/>
                <w:lang w:val="en-US" w:eastAsia="zh-CN"/>
              </w:rPr>
              <w:t xml:space="preserve">7 </w:t>
            </w:r>
            <w:r>
              <w:rPr>
                <w:b/>
                <w:bCs/>
                <w:color w:val="auto"/>
                <w:sz w:val="21"/>
                <w:szCs w:val="21"/>
                <w:highlight w:val="none"/>
              </w:rPr>
              <w:t xml:space="preserve">分） </w:t>
            </w:r>
          </w:p>
          <w:p>
            <w:pPr>
              <w:spacing w:line="400" w:lineRule="exact"/>
              <w:ind w:firstLine="220" w:firstLineChars="100"/>
              <w:rPr>
                <w:color w:val="auto"/>
                <w:sz w:val="21"/>
                <w:szCs w:val="21"/>
                <w:highlight w:val="none"/>
              </w:rPr>
            </w:pPr>
            <w:r>
              <w:rPr>
                <w:rFonts w:hint="eastAsia"/>
                <w:color w:val="auto"/>
                <w:highlight w:val="none"/>
              </w:rPr>
              <w:t>一档（</w:t>
            </w:r>
            <w:r>
              <w:rPr>
                <w:rFonts w:hint="eastAsia"/>
                <w:color w:val="auto"/>
                <w:highlight w:val="none"/>
                <w:lang w:val="en-US" w:eastAsia="zh-CN"/>
              </w:rPr>
              <w:t>7</w:t>
            </w:r>
            <w:r>
              <w:rPr>
                <w:color w:val="auto"/>
                <w:highlight w:val="none"/>
              </w:rPr>
              <w:t xml:space="preserve"> 分）：投入的施工</w:t>
            </w:r>
            <w:r>
              <w:rPr>
                <w:color w:val="auto"/>
                <w:sz w:val="21"/>
                <w:szCs w:val="21"/>
                <w:highlight w:val="none"/>
              </w:rPr>
              <w:t>材料有详细的组织计划且计划周密，数量、选型配置、进场时间安排合理，满足施工需要。</w:t>
            </w:r>
          </w:p>
          <w:p>
            <w:pPr>
              <w:spacing w:line="400" w:lineRule="exact"/>
              <w:ind w:firstLine="210" w:firstLineChars="100"/>
              <w:rPr>
                <w:color w:val="auto"/>
                <w:sz w:val="21"/>
                <w:szCs w:val="21"/>
                <w:highlight w:val="none"/>
              </w:rPr>
            </w:pPr>
            <w:r>
              <w:rPr>
                <w:rFonts w:hint="eastAsia"/>
                <w:color w:val="auto"/>
                <w:sz w:val="21"/>
                <w:szCs w:val="21"/>
                <w:highlight w:val="none"/>
              </w:rPr>
              <w:t>二档（</w:t>
            </w:r>
            <w:r>
              <w:rPr>
                <w:rFonts w:hint="eastAsia"/>
                <w:color w:val="auto"/>
                <w:sz w:val="21"/>
                <w:szCs w:val="21"/>
                <w:highlight w:val="none"/>
                <w:lang w:val="en-US" w:eastAsia="zh-CN"/>
              </w:rPr>
              <w:t>4</w:t>
            </w:r>
            <w:r>
              <w:rPr>
                <w:color w:val="auto"/>
                <w:sz w:val="21"/>
                <w:szCs w:val="21"/>
                <w:highlight w:val="none"/>
              </w:rPr>
              <w:t xml:space="preserve"> 分）：投入的施工材料有组织计划且计划一般，数量、选型配置、进场时间安排合理，满足施工需要。 </w:t>
            </w:r>
          </w:p>
          <w:p>
            <w:pPr>
              <w:spacing w:line="400" w:lineRule="exact"/>
              <w:ind w:firstLine="210" w:firstLineChars="100"/>
              <w:rPr>
                <w:color w:val="auto"/>
                <w:sz w:val="21"/>
                <w:szCs w:val="21"/>
                <w:highlight w:val="none"/>
              </w:rPr>
            </w:pPr>
            <w:r>
              <w:rPr>
                <w:rFonts w:hint="eastAsia"/>
                <w:color w:val="auto"/>
                <w:sz w:val="21"/>
                <w:szCs w:val="21"/>
                <w:highlight w:val="none"/>
              </w:rPr>
              <w:t>三档（</w:t>
            </w:r>
            <w:r>
              <w:rPr>
                <w:rFonts w:hint="eastAsia"/>
                <w:color w:val="auto"/>
                <w:sz w:val="21"/>
                <w:szCs w:val="21"/>
                <w:highlight w:val="none"/>
                <w:lang w:val="en-US" w:eastAsia="zh-CN"/>
              </w:rPr>
              <w:t>2</w:t>
            </w:r>
            <w:r>
              <w:rPr>
                <w:color w:val="auto"/>
                <w:sz w:val="21"/>
                <w:szCs w:val="21"/>
                <w:highlight w:val="none"/>
              </w:rPr>
              <w:t xml:space="preserve"> 分）：投入的施工材料有组织计划且计划一般，数量、选型配置、进场时间安排基本合理，基本满足施工需要。</w:t>
            </w:r>
          </w:p>
          <w:p>
            <w:pPr>
              <w:spacing w:line="400" w:lineRule="exact"/>
              <w:ind w:firstLine="210" w:firstLineChars="100"/>
              <w:rPr>
                <w:color w:val="auto"/>
                <w:highlight w:val="none"/>
              </w:rPr>
            </w:pPr>
            <w:r>
              <w:rPr>
                <w:rFonts w:hint="eastAsia"/>
                <w:color w:val="auto"/>
                <w:sz w:val="21"/>
                <w:szCs w:val="21"/>
                <w:highlight w:val="none"/>
              </w:rPr>
              <w:t>四档（</w:t>
            </w:r>
            <w:r>
              <w:rPr>
                <w:color w:val="auto"/>
                <w:sz w:val="21"/>
                <w:szCs w:val="21"/>
                <w:highlight w:val="none"/>
              </w:rPr>
              <w:t>1 分）：投入的施工材料无详细的组织计划，数量、选型配置、进场时间安排不合理，不能满足施工需要。</w:t>
            </w:r>
            <w:r>
              <w:rPr>
                <w:color w:val="auto"/>
                <w:highlight w:val="none"/>
              </w:rPr>
              <w:t xml:space="preserve"> </w:t>
            </w:r>
          </w:p>
          <w:p>
            <w:pPr>
              <w:spacing w:line="400" w:lineRule="exact"/>
              <w:rPr>
                <w:b/>
                <w:bCs/>
                <w:color w:val="auto"/>
                <w:sz w:val="21"/>
                <w:szCs w:val="21"/>
                <w:highlight w:val="none"/>
              </w:rPr>
            </w:pPr>
            <w:r>
              <w:rPr>
                <w:rFonts w:hint="eastAsia"/>
                <w:b/>
                <w:bCs/>
                <w:color w:val="auto"/>
                <w:sz w:val="21"/>
                <w:szCs w:val="21"/>
                <w:highlight w:val="none"/>
              </w:rPr>
              <w:t>（</w:t>
            </w:r>
            <w:r>
              <w:rPr>
                <w:b/>
                <w:bCs/>
                <w:color w:val="auto"/>
                <w:sz w:val="21"/>
                <w:szCs w:val="21"/>
                <w:highlight w:val="none"/>
              </w:rPr>
              <w:t xml:space="preserve">3）拟投入的主要施工机械、设备计划（满分 </w:t>
            </w:r>
            <w:r>
              <w:rPr>
                <w:rFonts w:hint="eastAsia"/>
                <w:b/>
                <w:bCs/>
                <w:color w:val="auto"/>
                <w:sz w:val="21"/>
                <w:szCs w:val="21"/>
                <w:highlight w:val="none"/>
                <w:lang w:val="en-US" w:eastAsia="zh-CN"/>
              </w:rPr>
              <w:t>8</w:t>
            </w:r>
            <w:r>
              <w:rPr>
                <w:b/>
                <w:bCs/>
                <w:color w:val="auto"/>
                <w:sz w:val="21"/>
                <w:szCs w:val="21"/>
                <w:highlight w:val="none"/>
              </w:rPr>
              <w:t xml:space="preserve"> 分） </w:t>
            </w:r>
          </w:p>
          <w:p>
            <w:pPr>
              <w:spacing w:line="400" w:lineRule="exact"/>
              <w:ind w:firstLine="220" w:firstLineChars="100"/>
              <w:rPr>
                <w:color w:val="auto"/>
                <w:sz w:val="21"/>
                <w:szCs w:val="21"/>
                <w:highlight w:val="none"/>
              </w:rPr>
            </w:pPr>
            <w:r>
              <w:rPr>
                <w:rFonts w:hint="eastAsia"/>
                <w:color w:val="auto"/>
                <w:highlight w:val="none"/>
              </w:rPr>
              <w:t>一档（</w:t>
            </w:r>
            <w:r>
              <w:rPr>
                <w:rFonts w:hint="eastAsia"/>
                <w:color w:val="auto"/>
                <w:highlight w:val="none"/>
                <w:lang w:val="en-US" w:eastAsia="zh-CN"/>
              </w:rPr>
              <w:t xml:space="preserve">8 </w:t>
            </w:r>
            <w:r>
              <w:rPr>
                <w:color w:val="auto"/>
                <w:highlight w:val="none"/>
              </w:rPr>
              <w:t>分）：投入的</w:t>
            </w:r>
            <w:r>
              <w:rPr>
                <w:color w:val="auto"/>
                <w:sz w:val="21"/>
                <w:szCs w:val="21"/>
                <w:highlight w:val="none"/>
              </w:rPr>
              <w:t xml:space="preserve">施工机械、设备、机具有详细的组织计划且计划周密，设备数量、选型配置、进场时间安排合理，满足施工需要。 </w:t>
            </w:r>
          </w:p>
          <w:p>
            <w:pPr>
              <w:spacing w:line="400" w:lineRule="exact"/>
              <w:ind w:firstLine="210" w:firstLineChars="100"/>
              <w:rPr>
                <w:color w:val="auto"/>
                <w:sz w:val="21"/>
                <w:szCs w:val="21"/>
                <w:highlight w:val="none"/>
              </w:rPr>
            </w:pPr>
            <w:r>
              <w:rPr>
                <w:rFonts w:hint="eastAsia"/>
                <w:color w:val="auto"/>
                <w:sz w:val="21"/>
                <w:szCs w:val="21"/>
                <w:highlight w:val="none"/>
              </w:rPr>
              <w:t>二档（</w:t>
            </w:r>
            <w:r>
              <w:rPr>
                <w:rFonts w:hint="eastAsia"/>
                <w:color w:val="auto"/>
                <w:sz w:val="21"/>
                <w:szCs w:val="21"/>
                <w:highlight w:val="none"/>
                <w:lang w:val="en-US" w:eastAsia="zh-CN"/>
              </w:rPr>
              <w:t>5</w:t>
            </w:r>
            <w:r>
              <w:rPr>
                <w:color w:val="auto"/>
                <w:sz w:val="21"/>
                <w:szCs w:val="21"/>
                <w:highlight w:val="none"/>
              </w:rPr>
              <w:t xml:space="preserve"> 分）：投入的施工机械、设备、机具有组织计划且计划一般，设备数量、选型配置、进场时间安排合理，基本满足施工需要。 </w:t>
            </w:r>
          </w:p>
          <w:p>
            <w:pPr>
              <w:spacing w:line="400" w:lineRule="exact"/>
              <w:ind w:firstLine="210" w:firstLineChars="100"/>
              <w:rPr>
                <w:color w:val="auto"/>
                <w:sz w:val="21"/>
                <w:szCs w:val="21"/>
                <w:highlight w:val="none"/>
              </w:rPr>
            </w:pPr>
            <w:r>
              <w:rPr>
                <w:rFonts w:hint="eastAsia"/>
                <w:color w:val="auto"/>
                <w:sz w:val="21"/>
                <w:szCs w:val="21"/>
                <w:highlight w:val="none"/>
              </w:rPr>
              <w:t>三档（</w:t>
            </w:r>
            <w:r>
              <w:rPr>
                <w:rFonts w:hint="eastAsia"/>
                <w:color w:val="auto"/>
                <w:sz w:val="21"/>
                <w:szCs w:val="21"/>
                <w:highlight w:val="none"/>
                <w:lang w:val="en-US" w:eastAsia="zh-CN"/>
              </w:rPr>
              <w:t>3</w:t>
            </w:r>
            <w:r>
              <w:rPr>
                <w:color w:val="auto"/>
                <w:sz w:val="21"/>
                <w:szCs w:val="21"/>
                <w:highlight w:val="none"/>
              </w:rPr>
              <w:t xml:space="preserve"> 分）：投入的施工机械、设备、机具有组织计划，设备数量、选型配置、进场时间安排基本合理，基本满足施工需要。 </w:t>
            </w:r>
          </w:p>
          <w:p>
            <w:pPr>
              <w:spacing w:line="400" w:lineRule="exact"/>
              <w:ind w:firstLine="210" w:firstLineChars="100"/>
              <w:rPr>
                <w:color w:val="auto"/>
                <w:highlight w:val="none"/>
              </w:rPr>
            </w:pPr>
            <w:r>
              <w:rPr>
                <w:rFonts w:hint="eastAsia"/>
                <w:color w:val="auto"/>
                <w:sz w:val="21"/>
                <w:szCs w:val="21"/>
                <w:highlight w:val="none"/>
              </w:rPr>
              <w:t>四档（</w:t>
            </w:r>
            <w:r>
              <w:rPr>
                <w:color w:val="auto"/>
                <w:sz w:val="21"/>
                <w:szCs w:val="21"/>
                <w:highlight w:val="none"/>
              </w:rPr>
              <w:t>1 分）：投入的施工机械、设备、机具无详细的组织计划，设备数量、选型配置、进场时间安排不合理，不能满足施工需要</w:t>
            </w:r>
            <w:r>
              <w:rPr>
                <w:color w:val="auto"/>
                <w:highlight w:val="none"/>
              </w:rPr>
              <w:t xml:space="preserve">。 </w:t>
            </w:r>
          </w:p>
          <w:p>
            <w:pPr>
              <w:spacing w:line="400" w:lineRule="exact"/>
              <w:rPr>
                <w:b/>
                <w:bCs/>
                <w:color w:val="auto"/>
                <w:sz w:val="21"/>
                <w:szCs w:val="21"/>
                <w:highlight w:val="none"/>
              </w:rPr>
            </w:pPr>
            <w:r>
              <w:rPr>
                <w:rFonts w:hint="eastAsia"/>
                <w:b/>
                <w:bCs/>
                <w:color w:val="auto"/>
                <w:sz w:val="21"/>
                <w:szCs w:val="21"/>
                <w:highlight w:val="none"/>
              </w:rPr>
              <w:t>（</w:t>
            </w:r>
            <w:r>
              <w:rPr>
                <w:b/>
                <w:bCs/>
                <w:color w:val="auto"/>
                <w:sz w:val="21"/>
                <w:szCs w:val="21"/>
                <w:highlight w:val="none"/>
              </w:rPr>
              <w:t>4）劳动力安排计划（满分</w:t>
            </w:r>
            <w:r>
              <w:rPr>
                <w:rFonts w:hint="eastAsia"/>
                <w:b/>
                <w:bCs/>
                <w:color w:val="auto"/>
                <w:sz w:val="21"/>
                <w:szCs w:val="21"/>
                <w:highlight w:val="none"/>
                <w:lang w:val="en-US" w:eastAsia="zh-CN"/>
              </w:rPr>
              <w:t xml:space="preserve"> 7 </w:t>
            </w:r>
            <w:r>
              <w:rPr>
                <w:b/>
                <w:bCs/>
                <w:color w:val="auto"/>
                <w:sz w:val="21"/>
                <w:szCs w:val="21"/>
                <w:highlight w:val="none"/>
              </w:rPr>
              <w:t xml:space="preserve">分） </w:t>
            </w:r>
          </w:p>
          <w:p>
            <w:pPr>
              <w:spacing w:line="400" w:lineRule="exact"/>
              <w:ind w:firstLine="220" w:firstLineChars="100"/>
              <w:rPr>
                <w:color w:val="auto"/>
                <w:sz w:val="21"/>
                <w:szCs w:val="21"/>
                <w:highlight w:val="none"/>
              </w:rPr>
            </w:pPr>
            <w:r>
              <w:rPr>
                <w:rFonts w:hint="eastAsia"/>
                <w:color w:val="auto"/>
                <w:highlight w:val="none"/>
              </w:rPr>
              <w:t>一</w:t>
            </w:r>
            <w:r>
              <w:rPr>
                <w:rFonts w:hint="eastAsia"/>
                <w:color w:val="auto"/>
                <w:sz w:val="21"/>
                <w:szCs w:val="21"/>
                <w:highlight w:val="none"/>
              </w:rPr>
              <w:t>档（</w:t>
            </w:r>
            <w:r>
              <w:rPr>
                <w:rFonts w:hint="eastAsia"/>
                <w:color w:val="auto"/>
                <w:sz w:val="21"/>
                <w:szCs w:val="21"/>
                <w:highlight w:val="none"/>
                <w:lang w:val="en-US" w:eastAsia="zh-CN"/>
              </w:rPr>
              <w:t>7</w:t>
            </w:r>
            <w:r>
              <w:rPr>
                <w:color w:val="auto"/>
                <w:sz w:val="21"/>
                <w:szCs w:val="21"/>
                <w:highlight w:val="none"/>
              </w:rPr>
              <w:t xml:space="preserve"> 分）：各主要施工工序有详细周密的劳动力安排计划</w:t>
            </w:r>
            <w:r>
              <w:rPr>
                <w:rFonts w:hint="eastAsia"/>
                <w:color w:val="auto"/>
                <w:sz w:val="21"/>
                <w:szCs w:val="21"/>
                <w:highlight w:val="none"/>
                <w:lang w:eastAsia="zh-CN"/>
              </w:rPr>
              <w:t>，</w:t>
            </w:r>
            <w:r>
              <w:rPr>
                <w:color w:val="auto"/>
                <w:sz w:val="21"/>
                <w:szCs w:val="21"/>
                <w:highlight w:val="none"/>
              </w:rPr>
              <w:t xml:space="preserve">有各工种劳动力安排计划，劳动力投入合理，满足施工需要。 </w:t>
            </w:r>
          </w:p>
          <w:p>
            <w:pPr>
              <w:spacing w:line="400" w:lineRule="exact"/>
              <w:ind w:firstLine="210" w:firstLineChars="100"/>
              <w:rPr>
                <w:color w:val="auto"/>
                <w:sz w:val="21"/>
                <w:szCs w:val="21"/>
                <w:highlight w:val="none"/>
              </w:rPr>
            </w:pPr>
            <w:r>
              <w:rPr>
                <w:rFonts w:hint="eastAsia"/>
                <w:color w:val="auto"/>
                <w:sz w:val="21"/>
                <w:szCs w:val="21"/>
                <w:highlight w:val="none"/>
              </w:rPr>
              <w:t>二档（</w:t>
            </w:r>
            <w:r>
              <w:rPr>
                <w:rFonts w:hint="eastAsia"/>
                <w:color w:val="auto"/>
                <w:sz w:val="21"/>
                <w:szCs w:val="21"/>
                <w:highlight w:val="none"/>
                <w:lang w:val="en-US" w:eastAsia="zh-CN"/>
              </w:rPr>
              <w:t>4</w:t>
            </w:r>
            <w:r>
              <w:rPr>
                <w:color w:val="auto"/>
                <w:sz w:val="21"/>
                <w:szCs w:val="21"/>
                <w:highlight w:val="none"/>
              </w:rPr>
              <w:t xml:space="preserve"> 分）：各主要施工工序有劳动力安排计划，有各工种劳动力安排计划，劳动力投入合理，满足施工需要。 </w:t>
            </w:r>
          </w:p>
          <w:p>
            <w:pPr>
              <w:spacing w:line="400" w:lineRule="exact"/>
              <w:ind w:firstLine="210" w:firstLineChars="100"/>
              <w:rPr>
                <w:color w:val="auto"/>
                <w:sz w:val="21"/>
                <w:szCs w:val="21"/>
                <w:highlight w:val="none"/>
              </w:rPr>
            </w:pPr>
            <w:r>
              <w:rPr>
                <w:rFonts w:hint="eastAsia"/>
                <w:color w:val="auto"/>
                <w:sz w:val="21"/>
                <w:szCs w:val="21"/>
                <w:highlight w:val="none"/>
              </w:rPr>
              <w:t>三档（</w:t>
            </w:r>
            <w:r>
              <w:rPr>
                <w:rFonts w:hint="eastAsia"/>
                <w:color w:val="auto"/>
                <w:sz w:val="21"/>
                <w:szCs w:val="21"/>
                <w:highlight w:val="none"/>
                <w:lang w:val="en-US" w:eastAsia="zh-CN"/>
              </w:rPr>
              <w:t>2</w:t>
            </w:r>
            <w:r>
              <w:rPr>
                <w:color w:val="auto"/>
                <w:sz w:val="21"/>
                <w:szCs w:val="21"/>
                <w:highlight w:val="none"/>
              </w:rPr>
              <w:t xml:space="preserve"> 分）：各主要施工工序有劳动力安排计划，有各工种</w:t>
            </w:r>
            <w:r>
              <w:rPr>
                <w:rFonts w:hint="eastAsia"/>
                <w:color w:val="auto"/>
                <w:sz w:val="21"/>
                <w:szCs w:val="21"/>
                <w:highlight w:val="none"/>
              </w:rPr>
              <w:t>劳动力安排计划，劳动力投入基本合理，基本满足施工需要。</w:t>
            </w:r>
          </w:p>
          <w:p>
            <w:pPr>
              <w:spacing w:line="400" w:lineRule="exact"/>
              <w:ind w:firstLine="210" w:firstLineChars="100"/>
              <w:rPr>
                <w:color w:val="auto"/>
                <w:highlight w:val="none"/>
              </w:rPr>
            </w:pPr>
            <w:r>
              <w:rPr>
                <w:rFonts w:hint="eastAsia"/>
                <w:color w:val="auto"/>
                <w:sz w:val="21"/>
                <w:szCs w:val="21"/>
                <w:highlight w:val="none"/>
              </w:rPr>
              <w:t>四档（</w:t>
            </w:r>
            <w:r>
              <w:rPr>
                <w:rFonts w:hint="eastAsia"/>
                <w:color w:val="auto"/>
                <w:sz w:val="21"/>
                <w:szCs w:val="21"/>
                <w:highlight w:val="none"/>
                <w:lang w:val="en-US" w:eastAsia="zh-CN"/>
              </w:rPr>
              <w:t>1</w:t>
            </w:r>
            <w:r>
              <w:rPr>
                <w:color w:val="auto"/>
                <w:sz w:val="21"/>
                <w:szCs w:val="21"/>
                <w:highlight w:val="none"/>
              </w:rPr>
              <w:t xml:space="preserve"> 分）：各主要施工工序无劳动力安排计划，无各工种劳动力安排计划，劳动</w:t>
            </w:r>
            <w:r>
              <w:rPr>
                <w:color w:val="auto"/>
                <w:highlight w:val="none"/>
              </w:rPr>
              <w:t xml:space="preserve">力投入不合理，不能满足施工需要。 </w:t>
            </w:r>
          </w:p>
          <w:p>
            <w:pPr>
              <w:spacing w:line="400" w:lineRule="exact"/>
              <w:ind w:right="31" w:rightChars="14"/>
              <w:rPr>
                <w:b/>
                <w:bCs/>
                <w:color w:val="auto"/>
                <w:sz w:val="21"/>
                <w:szCs w:val="21"/>
                <w:highlight w:val="none"/>
              </w:rPr>
            </w:pPr>
            <w:r>
              <w:rPr>
                <w:rFonts w:hint="eastAsia"/>
                <w:b/>
                <w:bCs/>
                <w:color w:val="auto"/>
                <w:sz w:val="21"/>
                <w:szCs w:val="21"/>
                <w:highlight w:val="none"/>
              </w:rPr>
              <w:t>（</w:t>
            </w:r>
            <w:r>
              <w:rPr>
                <w:b/>
                <w:bCs/>
                <w:color w:val="auto"/>
                <w:sz w:val="21"/>
                <w:szCs w:val="21"/>
                <w:highlight w:val="none"/>
              </w:rPr>
              <w:t>5）确保工程质量的技术组织措施（满分</w:t>
            </w:r>
            <w:r>
              <w:rPr>
                <w:rFonts w:hint="eastAsia"/>
                <w:b/>
                <w:bCs/>
                <w:color w:val="auto"/>
                <w:sz w:val="21"/>
                <w:szCs w:val="21"/>
                <w:highlight w:val="none"/>
                <w:lang w:val="en-US" w:eastAsia="zh-CN"/>
              </w:rPr>
              <w:t xml:space="preserve"> 7 </w:t>
            </w:r>
            <w:r>
              <w:rPr>
                <w:b/>
                <w:bCs/>
                <w:color w:val="auto"/>
                <w:sz w:val="21"/>
                <w:szCs w:val="21"/>
                <w:highlight w:val="none"/>
              </w:rPr>
              <w:t xml:space="preserve">分） </w:t>
            </w:r>
          </w:p>
          <w:p>
            <w:pPr>
              <w:spacing w:line="400" w:lineRule="exact"/>
              <w:ind w:firstLine="220" w:firstLineChars="100"/>
              <w:rPr>
                <w:color w:val="auto"/>
                <w:sz w:val="21"/>
                <w:szCs w:val="21"/>
                <w:highlight w:val="none"/>
              </w:rPr>
            </w:pPr>
            <w:r>
              <w:rPr>
                <w:rFonts w:hint="eastAsia"/>
                <w:color w:val="auto"/>
                <w:highlight w:val="none"/>
              </w:rPr>
              <w:t>一档（</w:t>
            </w:r>
            <w:r>
              <w:rPr>
                <w:rFonts w:hint="eastAsia"/>
                <w:color w:val="auto"/>
                <w:highlight w:val="none"/>
                <w:lang w:val="en-US" w:eastAsia="zh-CN"/>
              </w:rPr>
              <w:t xml:space="preserve">7 </w:t>
            </w:r>
            <w:r>
              <w:rPr>
                <w:color w:val="auto"/>
                <w:sz w:val="21"/>
                <w:szCs w:val="21"/>
                <w:highlight w:val="none"/>
              </w:rPr>
              <w:t xml:space="preserve">分）：有专门的质量技术管理班子和制度，且人员配备合理，制度健全。主要工序质量技术保证措施和手段科学合理，自控体系完整，能有效保证技术质量，达到承诺的质量标准。 </w:t>
            </w:r>
          </w:p>
          <w:p>
            <w:pPr>
              <w:spacing w:line="400" w:lineRule="exact"/>
              <w:ind w:firstLine="210" w:firstLineChars="100"/>
              <w:rPr>
                <w:color w:val="auto"/>
                <w:sz w:val="21"/>
                <w:szCs w:val="21"/>
                <w:highlight w:val="none"/>
              </w:rPr>
            </w:pPr>
            <w:r>
              <w:rPr>
                <w:rFonts w:hint="eastAsia"/>
                <w:color w:val="auto"/>
                <w:sz w:val="21"/>
                <w:szCs w:val="21"/>
                <w:highlight w:val="none"/>
              </w:rPr>
              <w:t>二档（</w:t>
            </w:r>
            <w:r>
              <w:rPr>
                <w:rFonts w:hint="eastAsia"/>
                <w:color w:val="auto"/>
                <w:sz w:val="21"/>
                <w:szCs w:val="21"/>
                <w:highlight w:val="none"/>
                <w:lang w:val="en-US" w:eastAsia="zh-CN"/>
              </w:rPr>
              <w:t xml:space="preserve">4 </w:t>
            </w:r>
            <w:r>
              <w:rPr>
                <w:color w:val="auto"/>
                <w:sz w:val="21"/>
                <w:szCs w:val="21"/>
                <w:highlight w:val="none"/>
              </w:rPr>
              <w:t xml:space="preserve">分）：有专门的质量技术管理班子和制度，且人员配备合理，制度健全。主要工序的质量技术保证措施和手段一般，自控体系一般，基本保证技术质量，达到承诺的质量标准。 </w:t>
            </w:r>
          </w:p>
          <w:p>
            <w:pPr>
              <w:spacing w:line="400" w:lineRule="exact"/>
              <w:ind w:firstLine="210" w:firstLineChars="100"/>
              <w:rPr>
                <w:color w:val="auto"/>
                <w:sz w:val="21"/>
                <w:szCs w:val="21"/>
                <w:highlight w:val="none"/>
              </w:rPr>
            </w:pPr>
            <w:r>
              <w:rPr>
                <w:rFonts w:hint="eastAsia"/>
                <w:color w:val="auto"/>
                <w:sz w:val="21"/>
                <w:szCs w:val="21"/>
                <w:highlight w:val="none"/>
              </w:rPr>
              <w:t>三档（</w:t>
            </w:r>
            <w:r>
              <w:rPr>
                <w:rFonts w:hint="eastAsia"/>
                <w:color w:val="auto"/>
                <w:sz w:val="21"/>
                <w:szCs w:val="21"/>
                <w:highlight w:val="none"/>
                <w:lang w:val="en-US" w:eastAsia="zh-CN"/>
              </w:rPr>
              <w:t>2</w:t>
            </w:r>
            <w:r>
              <w:rPr>
                <w:color w:val="auto"/>
                <w:sz w:val="21"/>
                <w:szCs w:val="21"/>
                <w:highlight w:val="none"/>
              </w:rPr>
              <w:t xml:space="preserve"> 分）：有专门的质量技术管理班子和制度，且人员配备基本合理，制度基本健全。主要工序的质量技术保证措施和手段一般，自控体系一般，基本保证技术质量，基本达到承诺的质量标准。 </w:t>
            </w:r>
          </w:p>
          <w:p>
            <w:pPr>
              <w:spacing w:line="400" w:lineRule="exact"/>
              <w:ind w:firstLine="210" w:firstLineChars="100"/>
              <w:rPr>
                <w:color w:val="auto"/>
                <w:highlight w:val="none"/>
              </w:rPr>
            </w:pPr>
            <w:r>
              <w:rPr>
                <w:rFonts w:hint="eastAsia"/>
                <w:color w:val="auto"/>
                <w:sz w:val="21"/>
                <w:szCs w:val="21"/>
                <w:highlight w:val="none"/>
              </w:rPr>
              <w:t>四档（</w:t>
            </w:r>
            <w:r>
              <w:rPr>
                <w:color w:val="auto"/>
                <w:sz w:val="21"/>
                <w:szCs w:val="21"/>
                <w:highlight w:val="none"/>
              </w:rPr>
              <w:t>1 分）：有专门的质量技术管理班子和制度，人员配备不合理，制度不健全。主要工序无质量技术保证措施和手段，自控体系不完</w:t>
            </w:r>
            <w:r>
              <w:rPr>
                <w:color w:val="auto"/>
                <w:highlight w:val="none"/>
              </w:rPr>
              <w:t xml:space="preserve">整，不能有效保证技术质量，达不到承诺的质量标准。 </w:t>
            </w:r>
          </w:p>
          <w:p>
            <w:pPr>
              <w:spacing w:line="400" w:lineRule="exact"/>
              <w:ind w:right="31" w:rightChars="14"/>
              <w:rPr>
                <w:b/>
                <w:bCs/>
                <w:color w:val="auto"/>
                <w:sz w:val="21"/>
                <w:szCs w:val="21"/>
                <w:highlight w:val="none"/>
              </w:rPr>
            </w:pPr>
            <w:r>
              <w:rPr>
                <w:rFonts w:hint="eastAsia"/>
                <w:b/>
                <w:bCs/>
                <w:color w:val="auto"/>
                <w:sz w:val="21"/>
                <w:szCs w:val="21"/>
                <w:highlight w:val="none"/>
              </w:rPr>
              <w:t>（</w:t>
            </w:r>
            <w:r>
              <w:rPr>
                <w:b/>
                <w:bCs/>
                <w:color w:val="auto"/>
                <w:sz w:val="21"/>
                <w:szCs w:val="21"/>
                <w:highlight w:val="none"/>
              </w:rPr>
              <w:t xml:space="preserve">6）确保安全生产的技术组织措施（满分 </w:t>
            </w:r>
            <w:r>
              <w:rPr>
                <w:rFonts w:hint="eastAsia"/>
                <w:b/>
                <w:bCs/>
                <w:color w:val="auto"/>
                <w:sz w:val="21"/>
                <w:szCs w:val="21"/>
                <w:highlight w:val="none"/>
                <w:lang w:val="en-US" w:eastAsia="zh-CN"/>
              </w:rPr>
              <w:t>7</w:t>
            </w:r>
            <w:r>
              <w:rPr>
                <w:b/>
                <w:bCs/>
                <w:color w:val="auto"/>
                <w:sz w:val="21"/>
                <w:szCs w:val="21"/>
                <w:highlight w:val="none"/>
              </w:rPr>
              <w:t xml:space="preserve"> 分） </w:t>
            </w:r>
          </w:p>
          <w:p>
            <w:pPr>
              <w:spacing w:line="400" w:lineRule="exact"/>
              <w:ind w:firstLine="220" w:firstLineChars="100"/>
              <w:rPr>
                <w:color w:val="auto"/>
                <w:highlight w:val="none"/>
              </w:rPr>
            </w:pPr>
            <w:r>
              <w:rPr>
                <w:rFonts w:hint="eastAsia"/>
                <w:color w:val="auto"/>
                <w:highlight w:val="none"/>
              </w:rPr>
              <w:t>一档（</w:t>
            </w:r>
            <w:r>
              <w:rPr>
                <w:rFonts w:hint="eastAsia"/>
                <w:color w:val="auto"/>
                <w:highlight w:val="none"/>
                <w:lang w:val="en-US" w:eastAsia="zh-CN"/>
              </w:rPr>
              <w:t>7</w:t>
            </w:r>
            <w:r>
              <w:rPr>
                <w:color w:val="auto"/>
                <w:highlight w:val="none"/>
              </w:rPr>
              <w:t xml:space="preserve">分）：有专门的安全管理人员和制度，且人员配备合理，制度健全，各道工序安全技术措施针对性强，确保工程质量的技术组织措施符合实际且满足有关安全技术标准要求。现场防火、应急救援、社会治安安全措施得力。 </w:t>
            </w:r>
          </w:p>
          <w:p>
            <w:pPr>
              <w:spacing w:line="400" w:lineRule="exact"/>
              <w:ind w:firstLine="220" w:firstLineChars="100"/>
              <w:rPr>
                <w:color w:val="auto"/>
                <w:highlight w:val="none"/>
              </w:rPr>
            </w:pPr>
            <w:r>
              <w:rPr>
                <w:rFonts w:hint="eastAsia"/>
                <w:color w:val="auto"/>
                <w:highlight w:val="none"/>
              </w:rPr>
              <w:t>二档（</w:t>
            </w:r>
            <w:r>
              <w:rPr>
                <w:rFonts w:hint="eastAsia"/>
                <w:color w:val="auto"/>
                <w:highlight w:val="none"/>
                <w:lang w:val="en-US" w:eastAsia="zh-CN"/>
              </w:rPr>
              <w:t>4</w:t>
            </w:r>
            <w:r>
              <w:rPr>
                <w:color w:val="auto"/>
                <w:highlight w:val="none"/>
              </w:rPr>
              <w:t xml:space="preserve"> 分）：有专门的安全管理人员和制度，且人员配备合理，制度健全，各道工序安全技术措施针对性一般，确保工程质量的技术组织措施符合实际且基本满足有关安全技术标准要求。现场防火、应急救援、社会治安安全措施一般。 </w:t>
            </w:r>
          </w:p>
          <w:p>
            <w:pPr>
              <w:spacing w:line="400" w:lineRule="exact"/>
              <w:ind w:firstLine="220" w:firstLineChars="100"/>
              <w:rPr>
                <w:color w:val="auto"/>
                <w:highlight w:val="none"/>
              </w:rPr>
            </w:pPr>
            <w:r>
              <w:rPr>
                <w:rFonts w:hint="eastAsia"/>
                <w:color w:val="auto"/>
                <w:highlight w:val="none"/>
              </w:rPr>
              <w:t>三档（</w:t>
            </w:r>
            <w:r>
              <w:rPr>
                <w:rFonts w:hint="eastAsia"/>
                <w:color w:val="auto"/>
                <w:highlight w:val="none"/>
                <w:lang w:val="en-US" w:eastAsia="zh-CN"/>
              </w:rPr>
              <w:t xml:space="preserve">2 </w:t>
            </w:r>
            <w:r>
              <w:rPr>
                <w:color w:val="auto"/>
                <w:highlight w:val="none"/>
              </w:rPr>
              <w:t xml:space="preserve">分）：有专门的安全管理人员和制度，且人员配备基本合理，制度基本健全，各道工序安全技术措施针对性一般，确保工程质量的技术组织措施符合实际且基本满足有关安全技术标准要求。现场防火、应急救援、社会治安安全措施一般。 </w:t>
            </w:r>
          </w:p>
          <w:p>
            <w:pPr>
              <w:spacing w:line="400" w:lineRule="exact"/>
              <w:ind w:firstLine="220" w:firstLineChars="100"/>
              <w:rPr>
                <w:color w:val="auto"/>
                <w:highlight w:val="none"/>
              </w:rPr>
            </w:pPr>
            <w:r>
              <w:rPr>
                <w:rFonts w:hint="eastAsia"/>
                <w:color w:val="auto"/>
                <w:highlight w:val="none"/>
              </w:rPr>
              <w:t>四档（</w:t>
            </w:r>
            <w:r>
              <w:rPr>
                <w:color w:val="auto"/>
                <w:highlight w:val="none"/>
              </w:rPr>
              <w:t xml:space="preserve">1 分）：有专门的安全管理人员和制度，人员配备不合理，制度不健全，各道工序安全技术措施针无对性，不满足有关安全技术标准要求。现场防火、应急救援、社会治安安全措施不得力。 </w:t>
            </w:r>
          </w:p>
          <w:p>
            <w:pPr>
              <w:spacing w:line="400" w:lineRule="exact"/>
              <w:ind w:right="31" w:rightChars="14"/>
              <w:rPr>
                <w:b/>
                <w:bCs/>
                <w:color w:val="auto"/>
                <w:sz w:val="21"/>
                <w:szCs w:val="21"/>
                <w:highlight w:val="none"/>
              </w:rPr>
            </w:pPr>
            <w:r>
              <w:rPr>
                <w:rFonts w:hint="eastAsia"/>
                <w:b/>
                <w:bCs/>
                <w:color w:val="auto"/>
                <w:sz w:val="21"/>
                <w:szCs w:val="21"/>
                <w:highlight w:val="none"/>
              </w:rPr>
              <w:t>（</w:t>
            </w:r>
            <w:r>
              <w:rPr>
                <w:b/>
                <w:bCs/>
                <w:color w:val="auto"/>
                <w:sz w:val="21"/>
                <w:szCs w:val="21"/>
                <w:highlight w:val="none"/>
              </w:rPr>
              <w:t>7）确保工期的技术组织措施（满分</w:t>
            </w:r>
            <w:r>
              <w:rPr>
                <w:rFonts w:hint="eastAsia"/>
                <w:b/>
                <w:bCs/>
                <w:color w:val="auto"/>
                <w:sz w:val="21"/>
                <w:szCs w:val="21"/>
                <w:highlight w:val="none"/>
                <w:lang w:val="en-US" w:eastAsia="zh-CN"/>
              </w:rPr>
              <w:t xml:space="preserve"> 7 </w:t>
            </w:r>
            <w:r>
              <w:rPr>
                <w:b/>
                <w:bCs/>
                <w:color w:val="auto"/>
                <w:sz w:val="21"/>
                <w:szCs w:val="21"/>
                <w:highlight w:val="none"/>
              </w:rPr>
              <w:t xml:space="preserve">分） </w:t>
            </w:r>
          </w:p>
          <w:p>
            <w:pPr>
              <w:spacing w:line="400" w:lineRule="exact"/>
              <w:ind w:firstLine="220" w:firstLineChars="100"/>
              <w:rPr>
                <w:color w:val="auto"/>
                <w:highlight w:val="none"/>
              </w:rPr>
            </w:pPr>
            <w:r>
              <w:rPr>
                <w:rFonts w:hint="eastAsia"/>
                <w:color w:val="auto"/>
                <w:highlight w:val="none"/>
              </w:rPr>
              <w:t>一档（</w:t>
            </w:r>
            <w:r>
              <w:rPr>
                <w:rFonts w:hint="eastAsia"/>
                <w:color w:val="auto"/>
                <w:highlight w:val="none"/>
                <w:lang w:val="en-US" w:eastAsia="zh-CN"/>
              </w:rPr>
              <w:t>7</w:t>
            </w:r>
            <w:r>
              <w:rPr>
                <w:color w:val="auto"/>
                <w:highlight w:val="none"/>
              </w:rPr>
              <w:t xml:space="preserve"> 分）：在施工工艺、施工方法、材料选用、劳动力安排、技术等方面有保证工期的具体措施且措施得当。有控制工期的</w:t>
            </w:r>
            <w:r>
              <w:rPr>
                <w:rFonts w:hint="eastAsia"/>
                <w:color w:val="auto"/>
                <w:highlight w:val="none"/>
              </w:rPr>
              <w:t>施工进度计划。有施工总进度表或施工网络图，各项计划图表编制完善，安排科学合理，符合本项目施工实际要求。</w:t>
            </w:r>
            <w:r>
              <w:rPr>
                <w:color w:val="auto"/>
                <w:highlight w:val="none"/>
              </w:rPr>
              <w:t xml:space="preserve"> </w:t>
            </w:r>
          </w:p>
          <w:p>
            <w:pPr>
              <w:spacing w:line="400" w:lineRule="exact"/>
              <w:ind w:firstLine="220" w:firstLineChars="100"/>
              <w:rPr>
                <w:color w:val="auto"/>
                <w:highlight w:val="none"/>
              </w:rPr>
            </w:pPr>
            <w:r>
              <w:rPr>
                <w:rFonts w:hint="eastAsia"/>
                <w:color w:val="auto"/>
                <w:highlight w:val="none"/>
              </w:rPr>
              <w:t>二档（</w:t>
            </w:r>
            <w:r>
              <w:rPr>
                <w:rFonts w:hint="eastAsia"/>
                <w:color w:val="auto"/>
                <w:highlight w:val="none"/>
                <w:lang w:val="en-US" w:eastAsia="zh-CN"/>
              </w:rPr>
              <w:t>4</w:t>
            </w:r>
            <w:r>
              <w:rPr>
                <w:color w:val="auto"/>
                <w:highlight w:val="none"/>
              </w:rPr>
              <w:t xml:space="preserve"> 分）：在施工工艺、施工方法、材料选用、劳动力安排、技术等方面有保证工期的措施但措施一般。有控制工期的施工进度计划。有施工总进度表或施工网络图，各项计划图表编制一般， 安排合理，基本符合本项目施工实际要求。 </w:t>
            </w:r>
          </w:p>
          <w:p>
            <w:pPr>
              <w:spacing w:line="400" w:lineRule="exact"/>
              <w:ind w:firstLine="220" w:firstLineChars="100"/>
              <w:rPr>
                <w:color w:val="auto"/>
                <w:highlight w:val="none"/>
              </w:rPr>
            </w:pPr>
            <w:r>
              <w:rPr>
                <w:rFonts w:hint="eastAsia"/>
                <w:color w:val="auto"/>
                <w:highlight w:val="none"/>
              </w:rPr>
              <w:t>三档（</w:t>
            </w:r>
            <w:r>
              <w:rPr>
                <w:rFonts w:hint="eastAsia"/>
                <w:color w:val="auto"/>
                <w:highlight w:val="none"/>
                <w:lang w:val="en-US" w:eastAsia="zh-CN"/>
              </w:rPr>
              <w:t>2</w:t>
            </w:r>
            <w:r>
              <w:rPr>
                <w:color w:val="auto"/>
                <w:highlight w:val="none"/>
              </w:rPr>
              <w:t xml:space="preserve"> 分）：在施工工艺、施工方法、材料选用、劳动力安排、技术等方面有保证工期的措施但措施一般。有控制工期的施工进度计划。有施工总进度表或施工网络图，各项计划图表编制一般， 安排基本合理，基本符合本项目施工实际要求。 </w:t>
            </w:r>
          </w:p>
          <w:p>
            <w:pPr>
              <w:spacing w:line="400" w:lineRule="exact"/>
              <w:ind w:firstLine="220" w:firstLineChars="100"/>
              <w:rPr>
                <w:color w:val="auto"/>
                <w:highlight w:val="none"/>
              </w:rPr>
            </w:pPr>
            <w:r>
              <w:rPr>
                <w:rFonts w:hint="eastAsia"/>
                <w:color w:val="auto"/>
                <w:highlight w:val="none"/>
              </w:rPr>
              <w:t>四档（</w:t>
            </w:r>
            <w:r>
              <w:rPr>
                <w:color w:val="auto"/>
                <w:highlight w:val="none"/>
              </w:rPr>
              <w:t xml:space="preserve">1 分）：在施工工艺、施工方法、材料选用、劳动力安排、技术等方面有保证工期的措施但措施一般。无控制工期的施工进度计划。无施工总进度表或施工网络图，不符合本项目施工实际要求。 </w:t>
            </w:r>
          </w:p>
          <w:p>
            <w:pPr>
              <w:spacing w:line="400" w:lineRule="exact"/>
              <w:ind w:right="31" w:rightChars="14"/>
              <w:rPr>
                <w:b/>
                <w:bCs/>
                <w:color w:val="auto"/>
                <w:sz w:val="21"/>
                <w:szCs w:val="21"/>
                <w:highlight w:val="none"/>
              </w:rPr>
            </w:pPr>
            <w:r>
              <w:rPr>
                <w:rFonts w:hint="eastAsia"/>
                <w:b/>
                <w:bCs/>
                <w:color w:val="auto"/>
                <w:sz w:val="21"/>
                <w:szCs w:val="21"/>
                <w:highlight w:val="none"/>
              </w:rPr>
              <w:t>（</w:t>
            </w:r>
            <w:r>
              <w:rPr>
                <w:b/>
                <w:bCs/>
                <w:color w:val="auto"/>
                <w:sz w:val="21"/>
                <w:szCs w:val="21"/>
                <w:highlight w:val="none"/>
              </w:rPr>
              <w:t xml:space="preserve">8）工程施工的重点和难点及保证措施（满分 7 分） </w:t>
            </w:r>
          </w:p>
          <w:p>
            <w:pPr>
              <w:spacing w:line="400" w:lineRule="exact"/>
              <w:ind w:firstLine="220" w:firstLineChars="100"/>
              <w:rPr>
                <w:color w:val="auto"/>
                <w:highlight w:val="none"/>
              </w:rPr>
            </w:pPr>
            <w:r>
              <w:rPr>
                <w:rFonts w:hint="eastAsia"/>
                <w:color w:val="auto"/>
                <w:highlight w:val="none"/>
              </w:rPr>
              <w:t>一档（</w:t>
            </w:r>
            <w:r>
              <w:rPr>
                <w:color w:val="auto"/>
                <w:highlight w:val="none"/>
              </w:rPr>
              <w:t xml:space="preserve">7 分）：针对本工程的特点，阐述本工程的重点和难点，解决重点和难点问题的方法科学合理。 </w:t>
            </w:r>
          </w:p>
          <w:p>
            <w:pPr>
              <w:spacing w:line="400" w:lineRule="exact"/>
              <w:ind w:firstLine="220" w:firstLineChars="100"/>
              <w:rPr>
                <w:color w:val="auto"/>
                <w:highlight w:val="none"/>
              </w:rPr>
            </w:pPr>
            <w:r>
              <w:rPr>
                <w:rFonts w:hint="eastAsia"/>
                <w:color w:val="auto"/>
                <w:highlight w:val="none"/>
              </w:rPr>
              <w:t>二档（</w:t>
            </w:r>
            <w:r>
              <w:rPr>
                <w:color w:val="auto"/>
                <w:highlight w:val="none"/>
              </w:rPr>
              <w:t xml:space="preserve">4 分）：针对本工程的特点，阐述本工程的重点和难点，解决重点和难点问题的方法合理。 </w:t>
            </w:r>
          </w:p>
          <w:p>
            <w:pPr>
              <w:spacing w:line="400" w:lineRule="exact"/>
              <w:ind w:firstLine="220" w:firstLineChars="100"/>
              <w:rPr>
                <w:color w:val="auto"/>
                <w:highlight w:val="none"/>
              </w:rPr>
            </w:pPr>
            <w:r>
              <w:rPr>
                <w:rFonts w:hint="eastAsia"/>
                <w:color w:val="auto"/>
                <w:highlight w:val="none"/>
              </w:rPr>
              <w:t>三档（</w:t>
            </w:r>
            <w:r>
              <w:rPr>
                <w:color w:val="auto"/>
                <w:highlight w:val="none"/>
              </w:rPr>
              <w:t xml:space="preserve">2 分）：针对本工程的特点，阐述本工程的重点和难点 解决重点和难点问题的方法基本合理。 </w:t>
            </w:r>
          </w:p>
          <w:p>
            <w:pPr>
              <w:spacing w:line="400" w:lineRule="exact"/>
              <w:ind w:firstLine="220" w:firstLineChars="100"/>
              <w:rPr>
                <w:color w:val="auto"/>
                <w:highlight w:val="none"/>
              </w:rPr>
            </w:pPr>
            <w:r>
              <w:rPr>
                <w:rFonts w:hint="eastAsia"/>
                <w:color w:val="auto"/>
                <w:highlight w:val="none"/>
              </w:rPr>
              <w:t>四档（</w:t>
            </w:r>
            <w:r>
              <w:rPr>
                <w:color w:val="auto"/>
                <w:highlight w:val="none"/>
              </w:rPr>
              <w:t xml:space="preserve">1 分）：针对本工程的特点，阐述本工程的重点和难点，解决重点和难点问题的方法不合理。 </w:t>
            </w:r>
          </w:p>
          <w:p>
            <w:pPr>
              <w:spacing w:line="400" w:lineRule="exact"/>
              <w:ind w:right="31" w:rightChars="14"/>
              <w:rPr>
                <w:b/>
                <w:bCs/>
                <w:color w:val="auto"/>
                <w:sz w:val="21"/>
                <w:szCs w:val="21"/>
                <w:highlight w:val="none"/>
              </w:rPr>
            </w:pPr>
            <w:r>
              <w:rPr>
                <w:rFonts w:hint="eastAsia"/>
                <w:b/>
                <w:bCs/>
                <w:color w:val="auto"/>
                <w:sz w:val="21"/>
                <w:szCs w:val="21"/>
                <w:highlight w:val="none"/>
              </w:rPr>
              <w:t>（</w:t>
            </w:r>
            <w:r>
              <w:rPr>
                <w:b/>
                <w:bCs/>
                <w:color w:val="auto"/>
                <w:sz w:val="21"/>
                <w:szCs w:val="21"/>
                <w:highlight w:val="none"/>
              </w:rPr>
              <w:t xml:space="preserve">9）工程施工的施工总平面布置图（满分 7 分） </w:t>
            </w:r>
          </w:p>
          <w:p>
            <w:pPr>
              <w:spacing w:line="400" w:lineRule="exact"/>
              <w:ind w:firstLine="220" w:firstLineChars="100"/>
              <w:rPr>
                <w:color w:val="auto"/>
                <w:highlight w:val="none"/>
              </w:rPr>
            </w:pPr>
            <w:r>
              <w:rPr>
                <w:rFonts w:hint="eastAsia"/>
                <w:color w:val="auto"/>
                <w:highlight w:val="none"/>
              </w:rPr>
              <w:t>一档（</w:t>
            </w:r>
            <w:r>
              <w:rPr>
                <w:color w:val="auto"/>
                <w:highlight w:val="none"/>
              </w:rPr>
              <w:t xml:space="preserve">7 分）：应有施工总平面布置图，安排科学合理，符合本项目施工实际要求。 </w:t>
            </w:r>
          </w:p>
          <w:p>
            <w:pPr>
              <w:spacing w:line="400" w:lineRule="exact"/>
              <w:ind w:firstLine="220" w:firstLineChars="100"/>
              <w:rPr>
                <w:color w:val="auto"/>
                <w:highlight w:val="none"/>
              </w:rPr>
            </w:pPr>
            <w:r>
              <w:rPr>
                <w:rFonts w:hint="eastAsia"/>
                <w:color w:val="auto"/>
                <w:highlight w:val="none"/>
              </w:rPr>
              <w:t>二档（</w:t>
            </w:r>
            <w:r>
              <w:rPr>
                <w:color w:val="auto"/>
                <w:highlight w:val="none"/>
              </w:rPr>
              <w:t xml:space="preserve">4 分）：应有施工总平面布置图，安排合理，符合本项目施工实际要求。 </w:t>
            </w:r>
          </w:p>
          <w:p>
            <w:pPr>
              <w:spacing w:line="400" w:lineRule="exact"/>
              <w:ind w:firstLine="220" w:firstLineChars="100"/>
              <w:rPr>
                <w:color w:val="auto"/>
                <w:highlight w:val="none"/>
              </w:rPr>
            </w:pPr>
            <w:r>
              <w:rPr>
                <w:rFonts w:hint="eastAsia"/>
                <w:color w:val="auto"/>
                <w:highlight w:val="none"/>
              </w:rPr>
              <w:t>三档（</w:t>
            </w:r>
            <w:r>
              <w:rPr>
                <w:color w:val="auto"/>
                <w:highlight w:val="none"/>
              </w:rPr>
              <w:t xml:space="preserve">2 分）：应有施工总平面布置图，安排基本合理，基本符合本项目施工实际要求。 </w:t>
            </w:r>
          </w:p>
          <w:p>
            <w:pPr>
              <w:spacing w:line="400" w:lineRule="exact"/>
              <w:ind w:firstLine="220" w:firstLineChars="100"/>
              <w:rPr>
                <w:color w:val="auto"/>
                <w:sz w:val="21"/>
                <w:szCs w:val="21"/>
                <w:highlight w:val="none"/>
              </w:rPr>
            </w:pPr>
            <w:r>
              <w:rPr>
                <w:rFonts w:hint="eastAsia"/>
                <w:color w:val="auto"/>
                <w:highlight w:val="none"/>
              </w:rPr>
              <w:t>四档（</w:t>
            </w:r>
            <w:r>
              <w:rPr>
                <w:color w:val="auto"/>
                <w:highlight w:val="none"/>
              </w:rPr>
              <w:t>1 分）：应有施工总平面布置图，安排不合理，不符合</w:t>
            </w:r>
            <w:r>
              <w:rPr>
                <w:rFonts w:hint="eastAsia"/>
                <w:color w:val="auto"/>
                <w:highlight w:val="none"/>
              </w:rPr>
              <w:t>本项目施工实际要求。</w:t>
            </w:r>
          </w:p>
        </w:tc>
        <w:tc>
          <w:tcPr>
            <w:tcW w:w="1274" w:type="dxa"/>
            <w:vAlign w:val="center"/>
          </w:tcPr>
          <w:p>
            <w:pPr>
              <w:spacing w:line="400" w:lineRule="exact"/>
              <w:jc w:val="center"/>
              <w:rPr>
                <w:color w:val="auto"/>
                <w:sz w:val="21"/>
                <w:szCs w:val="21"/>
                <w:highlight w:val="none"/>
              </w:rPr>
            </w:pPr>
            <w:r>
              <w:rPr>
                <w:rFonts w:hint="eastAsia"/>
                <w:color w:val="auto"/>
                <w:sz w:val="21"/>
                <w:szCs w:val="21"/>
                <w:highlight w:val="none"/>
                <w:lang w:val="en-US" w:eastAsia="zh-CN"/>
              </w:rPr>
              <w:t>65</w:t>
            </w:r>
            <w:r>
              <w:rPr>
                <w:rFonts w:hint="eastAsia"/>
                <w:color w:val="auto"/>
                <w:sz w:val="21"/>
                <w:szCs w:val="21"/>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9" w:type="dxa"/>
            <w:vAlign w:val="top"/>
          </w:tcPr>
          <w:p>
            <w:pPr>
              <w:spacing w:line="400" w:lineRule="exact"/>
              <w:jc w:val="center"/>
              <w:rPr>
                <w:rFonts w:hint="eastAsia"/>
                <w:color w:val="auto"/>
                <w:highlight w:val="none"/>
                <w:lang w:val="en-US" w:eastAsia="zh-CN"/>
              </w:rPr>
            </w:pPr>
            <w:r>
              <w:rPr>
                <w:rFonts w:hint="eastAsia"/>
                <w:color w:val="auto"/>
                <w:sz w:val="21"/>
                <w:szCs w:val="21"/>
                <w:highlight w:val="none"/>
                <w:lang w:val="en-US" w:eastAsia="zh-CN"/>
              </w:rPr>
              <w:t>3</w:t>
            </w:r>
          </w:p>
        </w:tc>
        <w:tc>
          <w:tcPr>
            <w:tcW w:w="1418" w:type="dxa"/>
            <w:vAlign w:val="top"/>
          </w:tcPr>
          <w:p>
            <w:pPr>
              <w:spacing w:line="400" w:lineRule="exact"/>
              <w:jc w:val="center"/>
              <w:rPr>
                <w:color w:val="auto"/>
                <w:sz w:val="21"/>
                <w:highlight w:val="none"/>
              </w:rPr>
            </w:pPr>
            <w:r>
              <w:rPr>
                <w:color w:val="auto"/>
                <w:highlight w:val="none"/>
              </w:rPr>
              <w:t>商务分</w:t>
            </w:r>
          </w:p>
        </w:tc>
        <w:tc>
          <w:tcPr>
            <w:tcW w:w="7794" w:type="dxa"/>
            <w:gridSpan w:val="2"/>
            <w:vAlign w:val="top"/>
          </w:tcPr>
          <w:p>
            <w:pPr>
              <w:spacing w:line="400" w:lineRule="exact"/>
              <w:jc w:val="center"/>
              <w:rPr>
                <w:rFonts w:hint="eastAsia"/>
                <w:color w:val="auto"/>
                <w:sz w:val="21"/>
                <w:szCs w:val="21"/>
                <w:highlight w:val="none"/>
                <w:lang w:val="en-US" w:eastAsia="zh-CN"/>
              </w:rPr>
            </w:pPr>
            <w:r>
              <w:rPr>
                <w:color w:val="auto"/>
                <w:highlight w:val="none"/>
              </w:rPr>
              <w:t>评审因素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9" w:type="dxa"/>
            <w:vAlign w:val="center"/>
          </w:tcPr>
          <w:p>
            <w:pPr>
              <w:spacing w:line="400" w:lineRule="exact"/>
              <w:jc w:val="center"/>
              <w:rPr>
                <w:rFonts w:hint="eastAsia"/>
                <w:color w:val="auto"/>
                <w:sz w:val="21"/>
                <w:szCs w:val="21"/>
                <w:highlight w:val="none"/>
              </w:rPr>
            </w:pPr>
            <w:r>
              <w:rPr>
                <w:rFonts w:hint="eastAsia"/>
                <w:color w:val="auto"/>
                <w:highlight w:val="none"/>
                <w:lang w:val="en-US" w:eastAsia="zh-CN"/>
              </w:rPr>
              <w:t>3</w:t>
            </w:r>
            <w:r>
              <w:rPr>
                <w:color w:val="auto"/>
                <w:highlight w:val="none"/>
              </w:rPr>
              <w:t>.1</w:t>
            </w:r>
          </w:p>
        </w:tc>
        <w:tc>
          <w:tcPr>
            <w:tcW w:w="1418" w:type="dxa"/>
            <w:vAlign w:val="center"/>
          </w:tcPr>
          <w:p>
            <w:pPr>
              <w:spacing w:line="400" w:lineRule="exact"/>
              <w:jc w:val="center"/>
              <w:rPr>
                <w:rFonts w:hint="eastAsia"/>
                <w:color w:val="auto"/>
                <w:sz w:val="21"/>
                <w:szCs w:val="21"/>
                <w:highlight w:val="none"/>
              </w:rPr>
            </w:pPr>
            <w:r>
              <w:rPr>
                <w:color w:val="auto"/>
                <w:sz w:val="21"/>
                <w:highlight w:val="none"/>
              </w:rPr>
              <w:t>业绩分</w:t>
            </w:r>
          </w:p>
        </w:tc>
        <w:tc>
          <w:tcPr>
            <w:tcW w:w="6520" w:type="dxa"/>
            <w:vAlign w:val="top"/>
          </w:tcPr>
          <w:p>
            <w:pPr>
              <w:pStyle w:val="21"/>
              <w:widowControl/>
              <w:spacing w:line="400" w:lineRule="exact"/>
              <w:ind w:left="0" w:leftChars="0" w:right="0" w:rightChars="0"/>
              <w:rPr>
                <w:rFonts w:hint="eastAsia"/>
                <w:color w:val="auto"/>
                <w:highlight w:val="none"/>
              </w:rPr>
            </w:pPr>
            <w:r>
              <w:rPr>
                <w:rFonts w:ascii="宋体" w:hAnsi="宋体" w:eastAsia="宋体" w:cs="Courier New"/>
                <w:bCs/>
                <w:color w:val="auto"/>
                <w:kern w:val="2"/>
                <w:sz w:val="21"/>
                <w:szCs w:val="21"/>
                <w:highlight w:val="none"/>
              </w:rPr>
              <w:t>供应商</w:t>
            </w:r>
            <w:r>
              <w:rPr>
                <w:rFonts w:hint="eastAsia" w:hAnsi="宋体" w:cs="Courier New"/>
                <w:bCs/>
                <w:color w:val="auto"/>
                <w:kern w:val="2"/>
                <w:sz w:val="21"/>
                <w:szCs w:val="21"/>
                <w:highlight w:val="none"/>
                <w:lang w:val="en-US" w:eastAsia="zh-CN"/>
              </w:rPr>
              <w:t>提供</w:t>
            </w:r>
            <w:r>
              <w:rPr>
                <w:rFonts w:ascii="宋体" w:hAnsi="宋体" w:eastAsia="宋体" w:cs="Courier New"/>
                <w:bCs/>
                <w:color w:val="auto"/>
                <w:kern w:val="2"/>
                <w:sz w:val="21"/>
                <w:szCs w:val="21"/>
                <w:highlight w:val="none"/>
              </w:rPr>
              <w:t>所完成的项目的交竣工验收时间在 2020年</w:t>
            </w:r>
            <w:r>
              <w:rPr>
                <w:rFonts w:hint="eastAsia" w:hAnsi="宋体" w:cs="Courier New"/>
                <w:bCs/>
                <w:color w:val="auto"/>
                <w:kern w:val="2"/>
                <w:sz w:val="21"/>
                <w:szCs w:val="21"/>
                <w:highlight w:val="none"/>
                <w:lang w:val="en-US" w:eastAsia="zh-CN"/>
              </w:rPr>
              <w:t>1</w:t>
            </w:r>
            <w:r>
              <w:rPr>
                <w:rFonts w:ascii="宋体" w:hAnsi="宋体" w:eastAsia="宋体" w:cs="Courier New"/>
                <w:bCs/>
                <w:color w:val="auto"/>
                <w:kern w:val="2"/>
                <w:sz w:val="21"/>
                <w:szCs w:val="21"/>
                <w:highlight w:val="none"/>
              </w:rPr>
              <w:t>月之后</w:t>
            </w:r>
            <w:r>
              <w:rPr>
                <w:rFonts w:hint="eastAsia" w:ascii="宋体" w:hAnsi="宋体" w:eastAsia="宋体" w:cs="Courier New"/>
                <w:bCs/>
                <w:color w:val="auto"/>
                <w:kern w:val="2"/>
                <w:sz w:val="21"/>
                <w:szCs w:val="21"/>
                <w:highlight w:val="none"/>
                <w:lang w:val="en-US" w:eastAsia="zh-CN"/>
              </w:rPr>
              <w:t>至响应文件提交截止时间止</w:t>
            </w:r>
            <w:r>
              <w:rPr>
                <w:rFonts w:ascii="宋体" w:hAnsi="宋体" w:eastAsia="宋体" w:cs="Courier New"/>
                <w:bCs/>
                <w:color w:val="auto"/>
                <w:kern w:val="2"/>
                <w:sz w:val="21"/>
                <w:szCs w:val="21"/>
                <w:highlight w:val="none"/>
              </w:rPr>
              <w:t>完成过质量合格的同类工程业绩，</w:t>
            </w:r>
            <w:r>
              <w:rPr>
                <w:rFonts w:ascii="宋体" w:hAnsi="宋体" w:eastAsia="宋体" w:cs="Courier New"/>
                <w:b/>
                <w:bCs/>
                <w:color w:val="auto"/>
                <w:kern w:val="2"/>
                <w:sz w:val="21"/>
                <w:szCs w:val="21"/>
                <w:highlight w:val="none"/>
              </w:rPr>
              <w:t>每</w:t>
            </w:r>
            <w:r>
              <w:rPr>
                <w:rFonts w:hint="eastAsia" w:hAnsi="宋体" w:cs="Courier New"/>
                <w:b/>
                <w:bCs/>
                <w:color w:val="auto"/>
                <w:kern w:val="2"/>
                <w:sz w:val="21"/>
                <w:szCs w:val="21"/>
                <w:highlight w:val="none"/>
                <w:lang w:val="en-US" w:eastAsia="zh-CN"/>
              </w:rPr>
              <w:t>个</w:t>
            </w:r>
            <w:r>
              <w:rPr>
                <w:rFonts w:ascii="宋体" w:hAnsi="宋体" w:eastAsia="宋体" w:cs="Courier New"/>
                <w:b/>
                <w:bCs/>
                <w:color w:val="auto"/>
                <w:kern w:val="2"/>
                <w:sz w:val="21"/>
                <w:szCs w:val="21"/>
                <w:highlight w:val="none"/>
              </w:rPr>
              <w:t>得</w:t>
            </w:r>
            <w:r>
              <w:rPr>
                <w:rFonts w:ascii="宋体" w:hAnsi="宋体" w:eastAsia="宋体" w:cs="Courier New"/>
                <w:b/>
                <w:bCs/>
                <w:color w:val="auto"/>
                <w:kern w:val="2"/>
                <w:sz w:val="21"/>
                <w:szCs w:val="21"/>
                <w:highlight w:val="none"/>
                <w:lang w:val="en-US"/>
              </w:rPr>
              <w:t>2</w:t>
            </w:r>
            <w:r>
              <w:rPr>
                <w:rFonts w:hint="eastAsia" w:hAnsi="宋体" w:cs="Courier New"/>
                <w:b/>
                <w:bCs/>
                <w:color w:val="auto"/>
                <w:kern w:val="2"/>
                <w:sz w:val="21"/>
                <w:szCs w:val="21"/>
                <w:highlight w:val="none"/>
                <w:lang w:val="en-US" w:eastAsia="zh-CN"/>
              </w:rPr>
              <w:t>.5</w:t>
            </w:r>
            <w:r>
              <w:rPr>
                <w:rFonts w:ascii="宋体" w:hAnsi="宋体" w:eastAsia="宋体" w:cs="Courier New"/>
                <w:b/>
                <w:bCs/>
                <w:color w:val="auto"/>
                <w:kern w:val="2"/>
                <w:sz w:val="21"/>
                <w:szCs w:val="21"/>
                <w:highlight w:val="none"/>
              </w:rPr>
              <w:t>分，满分</w:t>
            </w:r>
            <w:r>
              <w:rPr>
                <w:rFonts w:hint="eastAsia" w:hAnsi="宋体" w:cs="Courier New"/>
                <w:b/>
                <w:bCs/>
                <w:color w:val="auto"/>
                <w:kern w:val="2"/>
                <w:sz w:val="21"/>
                <w:szCs w:val="21"/>
                <w:highlight w:val="none"/>
                <w:lang w:val="en-US" w:eastAsia="zh-CN"/>
              </w:rPr>
              <w:t>10</w:t>
            </w:r>
            <w:r>
              <w:rPr>
                <w:rFonts w:ascii="宋体" w:hAnsi="宋体" w:eastAsia="宋体" w:cs="Courier New"/>
                <w:b/>
                <w:bCs/>
                <w:color w:val="auto"/>
                <w:kern w:val="2"/>
                <w:sz w:val="21"/>
                <w:szCs w:val="21"/>
                <w:highlight w:val="none"/>
              </w:rPr>
              <w:t>分</w:t>
            </w:r>
            <w:r>
              <w:rPr>
                <w:rFonts w:ascii="宋体" w:hAnsi="宋体" w:eastAsia="宋体" w:cs="Courier New"/>
                <w:bCs/>
                <w:color w:val="auto"/>
                <w:kern w:val="2"/>
                <w:sz w:val="21"/>
                <w:szCs w:val="21"/>
                <w:highlight w:val="none"/>
              </w:rPr>
              <w:t>（</w:t>
            </w:r>
            <w:r>
              <w:rPr>
                <w:rFonts w:hint="eastAsia" w:hAnsi="宋体" w:cs="Courier New"/>
                <w:bCs/>
                <w:color w:val="auto"/>
                <w:kern w:val="2"/>
                <w:sz w:val="21"/>
                <w:szCs w:val="21"/>
                <w:highlight w:val="none"/>
                <w:lang w:eastAsia="zh-CN"/>
              </w:rPr>
              <w:t>提供</w:t>
            </w:r>
            <w:r>
              <w:rPr>
                <w:rFonts w:ascii="宋体" w:hAnsi="宋体" w:eastAsia="宋体" w:cs="Courier New"/>
                <w:bCs/>
                <w:color w:val="auto"/>
                <w:kern w:val="2"/>
                <w:sz w:val="21"/>
                <w:szCs w:val="21"/>
                <w:highlight w:val="none"/>
              </w:rPr>
              <w:t>中标通知书或合同</w:t>
            </w:r>
            <w:r>
              <w:rPr>
                <w:rFonts w:hint="eastAsia" w:hAnsi="宋体" w:cs="Courier New"/>
                <w:bCs/>
                <w:color w:val="auto"/>
                <w:kern w:val="2"/>
                <w:sz w:val="21"/>
                <w:szCs w:val="21"/>
                <w:highlight w:val="none"/>
                <w:lang w:val="en-US" w:eastAsia="zh-CN"/>
              </w:rPr>
              <w:t>及交（竣）</w:t>
            </w:r>
            <w:r>
              <w:rPr>
                <w:rFonts w:ascii="宋体" w:hAnsi="宋体" w:eastAsia="宋体" w:cs="Courier New"/>
                <w:bCs/>
                <w:color w:val="auto"/>
                <w:kern w:val="2"/>
                <w:sz w:val="21"/>
                <w:szCs w:val="21"/>
                <w:highlight w:val="none"/>
              </w:rPr>
              <w:t>工验收报告</w:t>
            </w:r>
            <w:r>
              <w:rPr>
                <w:rFonts w:hint="eastAsia" w:hAnsi="宋体" w:cs="Courier New"/>
                <w:bCs/>
                <w:color w:val="auto"/>
                <w:kern w:val="2"/>
                <w:sz w:val="21"/>
                <w:szCs w:val="21"/>
                <w:highlight w:val="none"/>
                <w:lang w:eastAsia="zh-CN"/>
              </w:rPr>
              <w:t>，</w:t>
            </w:r>
            <w:r>
              <w:rPr>
                <w:rFonts w:ascii="宋体" w:hAnsi="宋体" w:eastAsia="宋体" w:cs="Courier New"/>
                <w:bCs/>
                <w:color w:val="auto"/>
                <w:kern w:val="2"/>
                <w:sz w:val="21"/>
                <w:szCs w:val="21"/>
                <w:highlight w:val="none"/>
              </w:rPr>
              <w:t>并加盖供应商电子签章）。（类似工程指：</w:t>
            </w:r>
            <w:r>
              <w:rPr>
                <w:rFonts w:hint="eastAsia" w:hAnsi="宋体" w:cs="Courier New"/>
                <w:bCs/>
                <w:color w:val="auto"/>
                <w:kern w:val="2"/>
                <w:sz w:val="21"/>
                <w:szCs w:val="21"/>
                <w:highlight w:val="none"/>
                <w:lang w:val="en-US" w:eastAsia="zh-CN"/>
              </w:rPr>
              <w:t>桥梁</w:t>
            </w:r>
            <w:r>
              <w:rPr>
                <w:rFonts w:ascii="宋体" w:hAnsi="宋体" w:eastAsia="宋体" w:cs="Courier New"/>
                <w:bCs/>
                <w:color w:val="auto"/>
                <w:kern w:val="2"/>
                <w:sz w:val="21"/>
                <w:szCs w:val="21"/>
                <w:highlight w:val="none"/>
              </w:rPr>
              <w:t>工程）</w:t>
            </w:r>
          </w:p>
        </w:tc>
        <w:tc>
          <w:tcPr>
            <w:tcW w:w="1274" w:type="dxa"/>
            <w:vAlign w:val="center"/>
          </w:tcPr>
          <w:p>
            <w:pPr>
              <w:spacing w:line="400" w:lineRule="exact"/>
              <w:jc w:val="center"/>
              <w:rPr>
                <w:rFonts w:hint="eastAsia"/>
                <w:color w:val="auto"/>
                <w:sz w:val="21"/>
                <w:szCs w:val="21"/>
                <w:highlight w:val="none"/>
                <w:lang w:val="en-US" w:eastAsia="zh-CN"/>
              </w:rPr>
            </w:pPr>
            <w:r>
              <w:rPr>
                <w:rFonts w:hint="eastAsia"/>
                <w:color w:val="auto"/>
                <w:sz w:val="21"/>
                <w:szCs w:val="21"/>
                <w:highlight w:val="none"/>
                <w:lang w:val="en-US" w:eastAsia="zh-CN"/>
              </w:rPr>
              <w:t>10</w:t>
            </w:r>
            <w:r>
              <w:rPr>
                <w:rFonts w:hint="eastAsia"/>
                <w:color w:val="auto"/>
                <w:sz w:val="21"/>
                <w:szCs w:val="21"/>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31" w:type="dxa"/>
            <w:gridSpan w:val="4"/>
            <w:vAlign w:val="center"/>
          </w:tcPr>
          <w:p>
            <w:pPr>
              <w:spacing w:line="400" w:lineRule="exact"/>
              <w:rPr>
                <w:color w:val="auto"/>
                <w:sz w:val="21"/>
                <w:szCs w:val="21"/>
                <w:highlight w:val="none"/>
              </w:rPr>
            </w:pPr>
            <w:r>
              <w:rPr>
                <w:rFonts w:hint="eastAsia"/>
                <w:color w:val="auto"/>
                <w:highlight w:val="none"/>
              </w:rPr>
              <w:t>总得分=1</w:t>
            </w:r>
            <w:r>
              <w:rPr>
                <w:color w:val="auto"/>
                <w:highlight w:val="none"/>
              </w:rPr>
              <w:t>+2+3</w:t>
            </w:r>
          </w:p>
        </w:tc>
      </w:tr>
    </w:tbl>
    <w:p>
      <w:pPr>
        <w:pStyle w:val="53"/>
        <w:tabs>
          <w:tab w:val="left" w:pos="1292"/>
        </w:tabs>
        <w:spacing w:before="72" w:line="400" w:lineRule="exact"/>
        <w:ind w:left="567" w:right="32" w:firstLine="202" w:firstLineChars="100"/>
        <w:rPr>
          <w:rFonts w:hint="eastAsia"/>
          <w:color w:val="auto"/>
          <w:spacing w:val="-4"/>
          <w:sz w:val="21"/>
          <w:highlight w:val="none"/>
        </w:rPr>
      </w:pPr>
    </w:p>
    <w:p>
      <w:pPr>
        <w:pStyle w:val="53"/>
        <w:tabs>
          <w:tab w:val="left" w:pos="1292"/>
        </w:tabs>
        <w:spacing w:before="72" w:line="400" w:lineRule="exact"/>
        <w:ind w:left="567" w:right="32" w:firstLine="202" w:firstLineChars="100"/>
        <w:rPr>
          <w:color w:val="auto"/>
          <w:sz w:val="19"/>
          <w:highlight w:val="none"/>
        </w:rPr>
      </w:pPr>
      <w:r>
        <w:rPr>
          <w:rFonts w:hint="eastAsia"/>
          <w:color w:val="auto"/>
          <w:spacing w:val="-4"/>
          <w:sz w:val="21"/>
          <w:highlight w:val="none"/>
        </w:rPr>
        <w:t>7</w:t>
      </w:r>
      <w:r>
        <w:rPr>
          <w:color w:val="auto"/>
          <w:spacing w:val="-4"/>
          <w:sz w:val="21"/>
          <w:highlight w:val="none"/>
        </w:rPr>
        <w:t xml:space="preserve">. 由磋商小组根据综合评分情况，按照评审得分由高到低顺序推荐 </w:t>
      </w:r>
      <w:r>
        <w:rPr>
          <w:color w:val="auto"/>
          <w:sz w:val="21"/>
          <w:highlight w:val="none"/>
        </w:rPr>
        <w:t>3</w:t>
      </w:r>
      <w:r>
        <w:rPr>
          <w:color w:val="auto"/>
          <w:spacing w:val="-5"/>
          <w:sz w:val="21"/>
          <w:highlight w:val="none"/>
        </w:rPr>
        <w:t xml:space="preserve"> 名成交候选供应商， 并编写评审报告。最后报价相同的，按照技术指标优劣顺序推荐</w:t>
      </w:r>
      <w:r>
        <w:rPr>
          <w:color w:val="auto"/>
          <w:sz w:val="21"/>
          <w:highlight w:val="none"/>
        </w:rPr>
        <w:t>（</w:t>
      </w:r>
      <w:r>
        <w:rPr>
          <w:color w:val="auto"/>
          <w:spacing w:val="-3"/>
          <w:sz w:val="21"/>
          <w:highlight w:val="none"/>
        </w:rPr>
        <w:t>按技术得分由高到低排序</w:t>
      </w:r>
      <w:r>
        <w:rPr>
          <w:color w:val="auto"/>
          <w:sz w:val="21"/>
          <w:highlight w:val="none"/>
        </w:rPr>
        <w:t>）</w:t>
      </w:r>
      <w:r>
        <w:rPr>
          <w:color w:val="auto"/>
          <w:spacing w:val="-2"/>
          <w:sz w:val="21"/>
          <w:highlight w:val="none"/>
        </w:rPr>
        <w:t>。最</w:t>
      </w:r>
      <w:r>
        <w:rPr>
          <w:color w:val="auto"/>
          <w:spacing w:val="-3"/>
          <w:sz w:val="21"/>
          <w:highlight w:val="none"/>
        </w:rPr>
        <w:t>后报价、技术得分均相同的，由磋商小组随机抽取推荐。</w:t>
      </w:r>
    </w:p>
    <w:p>
      <w:pPr>
        <w:spacing w:line="410" w:lineRule="auto"/>
        <w:jc w:val="both"/>
        <w:rPr>
          <w:color w:val="auto"/>
          <w:sz w:val="19"/>
          <w:highlight w:val="none"/>
        </w:rPr>
        <w:sectPr>
          <w:headerReference r:id="rId7" w:type="default"/>
          <w:footerReference r:id="rId8" w:type="default"/>
          <w:pgSz w:w="11900" w:h="16850"/>
          <w:pgMar w:top="1134" w:right="760" w:bottom="1134" w:left="760" w:header="993" w:footer="1131" w:gutter="0"/>
          <w:cols w:space="720" w:num="1"/>
        </w:sectPr>
      </w:pPr>
    </w:p>
    <w:p>
      <w:pPr>
        <w:pStyle w:val="3"/>
        <w:ind w:left="2"/>
        <w:rPr>
          <w:color w:val="auto"/>
          <w:highlight w:val="none"/>
        </w:rPr>
      </w:pPr>
      <w:bookmarkStart w:id="12" w:name="_bookmark3"/>
      <w:bookmarkEnd w:id="12"/>
      <w:bookmarkStart w:id="13" w:name="_Toc20240"/>
      <w:r>
        <w:rPr>
          <w:color w:val="auto"/>
          <w:highlight w:val="none"/>
        </w:rPr>
        <w:t>第四章 工程量清单</w:t>
      </w:r>
      <w:bookmarkEnd w:id="13"/>
    </w:p>
    <w:p>
      <w:pPr>
        <w:pStyle w:val="2"/>
        <w:spacing w:line="440" w:lineRule="exact"/>
        <w:ind w:left="565" w:leftChars="257" w:right="455" w:rightChars="207"/>
        <w:rPr>
          <w:rFonts w:hint="eastAsia"/>
          <w:b/>
          <w:bCs/>
          <w:color w:val="auto"/>
          <w:sz w:val="24"/>
          <w:szCs w:val="24"/>
          <w:highlight w:val="none"/>
        </w:rPr>
      </w:pPr>
    </w:p>
    <w:p>
      <w:pPr>
        <w:pStyle w:val="2"/>
        <w:spacing w:line="440" w:lineRule="exact"/>
        <w:ind w:left="565" w:leftChars="257" w:right="455" w:rightChars="207"/>
        <w:rPr>
          <w:b/>
          <w:bCs/>
          <w:color w:val="auto"/>
          <w:sz w:val="24"/>
          <w:szCs w:val="24"/>
          <w:highlight w:val="none"/>
        </w:rPr>
      </w:pPr>
      <w:r>
        <w:rPr>
          <w:rFonts w:hint="eastAsia"/>
          <w:b/>
          <w:bCs/>
          <w:color w:val="auto"/>
          <w:sz w:val="24"/>
          <w:szCs w:val="24"/>
          <w:highlight w:val="none"/>
        </w:rPr>
        <w:t>1</w:t>
      </w:r>
      <w:r>
        <w:rPr>
          <w:b/>
          <w:bCs/>
          <w:color w:val="auto"/>
          <w:sz w:val="24"/>
          <w:szCs w:val="24"/>
          <w:highlight w:val="none"/>
        </w:rPr>
        <w:t>. 工程量清单说明</w:t>
      </w:r>
      <w:r>
        <w:rPr>
          <w:b/>
          <w:bCs/>
          <w:color w:val="auto"/>
          <w:w w:val="99"/>
          <w:sz w:val="24"/>
          <w:szCs w:val="24"/>
          <w:highlight w:val="none"/>
        </w:rPr>
        <w:t xml:space="preserve"> </w:t>
      </w:r>
    </w:p>
    <w:p>
      <w:pPr>
        <w:pStyle w:val="2"/>
        <w:keepNext w:val="0"/>
        <w:keepLines w:val="0"/>
        <w:pageBreakBefore w:val="0"/>
        <w:widowControl w:val="0"/>
        <w:kinsoku/>
        <w:wordWrap/>
        <w:overflowPunct/>
        <w:topLinePunct w:val="0"/>
        <w:autoSpaceDE w:val="0"/>
        <w:autoSpaceDN w:val="0"/>
        <w:bidi w:val="0"/>
        <w:adjustRightInd/>
        <w:snapToGrid/>
        <w:spacing w:line="440" w:lineRule="exact"/>
        <w:ind w:left="565" w:leftChars="257" w:right="455" w:rightChars="207" w:firstLine="420" w:firstLineChars="200"/>
        <w:textAlignment w:val="auto"/>
        <w:rPr>
          <w:rFonts w:hint="eastAsia"/>
          <w:b w:val="0"/>
          <w:bCs w:val="0"/>
          <w:color w:val="auto"/>
          <w:sz w:val="21"/>
          <w:szCs w:val="21"/>
          <w:highlight w:val="none"/>
        </w:rPr>
      </w:pPr>
      <w:r>
        <w:rPr>
          <w:rFonts w:hint="eastAsia"/>
          <w:b w:val="0"/>
          <w:bCs w:val="0"/>
          <w:color w:val="auto"/>
          <w:sz w:val="21"/>
          <w:szCs w:val="21"/>
          <w:highlight w:val="none"/>
        </w:rPr>
        <w:t>本项目由采购人提供书面工程量清单，由供应商按照采购人提供的工程量清单填写本合同各工程子目的单价、合价和总额价。</w:t>
      </w:r>
    </w:p>
    <w:p>
      <w:pPr>
        <w:pStyle w:val="2"/>
        <w:spacing w:line="440" w:lineRule="exact"/>
        <w:ind w:left="565" w:leftChars="257" w:right="455" w:rightChars="207"/>
        <w:rPr>
          <w:color w:val="auto"/>
          <w:highlight w:val="none"/>
        </w:rPr>
      </w:pPr>
      <w:r>
        <w:rPr>
          <w:rFonts w:hint="eastAsia"/>
          <w:b/>
          <w:bCs/>
          <w:color w:val="auto"/>
          <w:sz w:val="24"/>
          <w:szCs w:val="24"/>
          <w:highlight w:val="none"/>
        </w:rPr>
        <w:t>2</w:t>
      </w:r>
      <w:r>
        <w:rPr>
          <w:b/>
          <w:bCs/>
          <w:color w:val="auto"/>
          <w:sz w:val="24"/>
          <w:szCs w:val="24"/>
          <w:highlight w:val="none"/>
        </w:rPr>
        <w:t>. 工程量清单（另册）</w:t>
      </w:r>
      <w:r>
        <w:rPr>
          <w:color w:val="auto"/>
          <w:w w:val="99"/>
          <w:highlight w:val="none"/>
        </w:rPr>
        <w:t xml:space="preserve"> </w:t>
      </w:r>
    </w:p>
    <w:p>
      <w:pPr>
        <w:jc w:val="both"/>
        <w:rPr>
          <w:color w:val="auto"/>
          <w:sz w:val="21"/>
          <w:highlight w:val="none"/>
        </w:rPr>
        <w:sectPr>
          <w:headerReference r:id="rId9" w:type="default"/>
          <w:footerReference r:id="rId10" w:type="default"/>
          <w:pgSz w:w="11900" w:h="16850"/>
          <w:pgMar w:top="1400" w:right="760" w:bottom="1320" w:left="760" w:header="1158" w:footer="1133" w:gutter="0"/>
          <w:cols w:space="720" w:num="1"/>
        </w:sectPr>
      </w:pPr>
    </w:p>
    <w:p>
      <w:pPr>
        <w:pStyle w:val="3"/>
        <w:ind w:left="2"/>
        <w:rPr>
          <w:color w:val="auto"/>
          <w:highlight w:val="none"/>
        </w:rPr>
      </w:pPr>
      <w:bookmarkStart w:id="14" w:name="_bookmark4"/>
      <w:bookmarkEnd w:id="14"/>
      <w:bookmarkStart w:id="15" w:name="_Toc14786"/>
      <w:r>
        <w:rPr>
          <w:color w:val="auto"/>
          <w:highlight w:val="none"/>
        </w:rPr>
        <w:t>第五章 图纸</w:t>
      </w:r>
      <w:bookmarkEnd w:id="15"/>
    </w:p>
    <w:p>
      <w:pPr>
        <w:ind w:left="1"/>
        <w:jc w:val="center"/>
        <w:rPr>
          <w:b/>
          <w:color w:val="auto"/>
          <w:sz w:val="44"/>
          <w:highlight w:val="none"/>
        </w:rPr>
      </w:pPr>
    </w:p>
    <w:p>
      <w:pPr>
        <w:ind w:left="1"/>
        <w:jc w:val="center"/>
        <w:rPr>
          <w:color w:val="auto"/>
          <w:highlight w:val="none"/>
        </w:rPr>
        <w:sectPr>
          <w:pgSz w:w="11900" w:h="16850"/>
          <w:pgMar w:top="1400" w:right="760" w:bottom="1320" w:left="760" w:header="1158" w:footer="1133" w:gutter="0"/>
          <w:cols w:space="720" w:num="1"/>
        </w:sectPr>
      </w:pPr>
      <w:r>
        <w:rPr>
          <w:b/>
          <w:color w:val="auto"/>
          <w:sz w:val="44"/>
          <w:highlight w:val="none"/>
        </w:rPr>
        <w:t>（如有，另册发放）</w:t>
      </w:r>
    </w:p>
    <w:p>
      <w:pPr>
        <w:pStyle w:val="3"/>
        <w:rPr>
          <w:color w:val="auto"/>
          <w:highlight w:val="none"/>
        </w:rPr>
      </w:pPr>
      <w:bookmarkStart w:id="16" w:name="_bookmark5"/>
      <w:bookmarkEnd w:id="16"/>
      <w:bookmarkStart w:id="17" w:name="_Toc26921"/>
      <w:r>
        <w:rPr>
          <w:color w:val="auto"/>
          <w:highlight w:val="none"/>
        </w:rPr>
        <w:t>第六章 技术标准和要求</w:t>
      </w:r>
      <w:bookmarkEnd w:id="17"/>
    </w:p>
    <w:p>
      <w:pPr>
        <w:pStyle w:val="2"/>
        <w:ind w:left="565" w:leftChars="257"/>
        <w:rPr>
          <w:b/>
          <w:bCs/>
          <w:color w:val="auto"/>
          <w:sz w:val="30"/>
          <w:szCs w:val="30"/>
          <w:highlight w:val="none"/>
        </w:rPr>
      </w:pPr>
    </w:p>
    <w:p>
      <w:pPr>
        <w:pStyle w:val="2"/>
        <w:ind w:left="565" w:leftChars="257"/>
        <w:rPr>
          <w:b/>
          <w:bCs/>
          <w:color w:val="auto"/>
          <w:sz w:val="30"/>
          <w:szCs w:val="30"/>
          <w:highlight w:val="none"/>
        </w:rPr>
      </w:pPr>
      <w:r>
        <w:rPr>
          <w:b/>
          <w:bCs/>
          <w:color w:val="auto"/>
          <w:sz w:val="30"/>
          <w:szCs w:val="30"/>
          <w:highlight w:val="none"/>
        </w:rPr>
        <w:t xml:space="preserve">本章技术规范采用交通运输部《招标文件》（2018 年版）的技术规范。 </w:t>
      </w:r>
    </w:p>
    <w:p>
      <w:pPr>
        <w:rPr>
          <w:color w:val="auto"/>
          <w:sz w:val="32"/>
          <w:highlight w:val="none"/>
        </w:rPr>
        <w:sectPr>
          <w:pgSz w:w="11900" w:h="16850"/>
          <w:pgMar w:top="1400" w:right="760" w:bottom="1320" w:left="760" w:header="1158" w:footer="1133" w:gutter="0"/>
          <w:cols w:space="720" w:num="1"/>
        </w:sectPr>
      </w:pPr>
    </w:p>
    <w:p>
      <w:pPr>
        <w:pStyle w:val="3"/>
        <w:spacing w:before="38"/>
        <w:rPr>
          <w:color w:val="auto"/>
          <w:highlight w:val="none"/>
        </w:rPr>
      </w:pPr>
      <w:bookmarkStart w:id="18" w:name="_bookmark6"/>
      <w:bookmarkEnd w:id="18"/>
      <w:bookmarkStart w:id="19" w:name="_Toc17838"/>
      <w:r>
        <w:rPr>
          <w:color w:val="auto"/>
          <w:highlight w:val="none"/>
        </w:rPr>
        <w:t>第七章 响应文件格式</w:t>
      </w:r>
      <w:bookmarkEnd w:id="19"/>
    </w:p>
    <w:p>
      <w:pPr>
        <w:rPr>
          <w:color w:val="auto"/>
          <w:highlight w:val="none"/>
        </w:rPr>
        <w:sectPr>
          <w:pgSz w:w="11900" w:h="16850"/>
          <w:pgMar w:top="1400" w:right="760" w:bottom="1320" w:left="760" w:header="1158" w:footer="1133" w:gutter="0"/>
          <w:cols w:space="720" w:num="1"/>
        </w:sectPr>
      </w:pPr>
    </w:p>
    <w:p>
      <w:pPr>
        <w:spacing w:before="224"/>
        <w:ind w:left="5"/>
        <w:jc w:val="center"/>
        <w:rPr>
          <w:b/>
          <w:color w:val="auto"/>
          <w:sz w:val="32"/>
          <w:highlight w:val="none"/>
        </w:rPr>
      </w:pPr>
      <w:r>
        <w:rPr>
          <w:b/>
          <w:color w:val="auto"/>
          <w:sz w:val="32"/>
          <w:highlight w:val="none"/>
        </w:rPr>
        <w:t>（响应文件外层包装封面格式 ）</w:t>
      </w:r>
    </w:p>
    <w:p>
      <w:pPr>
        <w:ind w:left="122"/>
        <w:jc w:val="center"/>
        <w:rPr>
          <w:color w:val="auto"/>
          <w:sz w:val="24"/>
          <w:highlight w:val="none"/>
        </w:rPr>
      </w:pPr>
    </w:p>
    <w:p>
      <w:pPr>
        <w:ind w:left="122"/>
        <w:jc w:val="center"/>
        <w:rPr>
          <w:color w:val="auto"/>
          <w:sz w:val="24"/>
          <w:highlight w:val="none"/>
        </w:rPr>
      </w:pPr>
    </w:p>
    <w:p>
      <w:pPr>
        <w:ind w:left="122"/>
        <w:jc w:val="center"/>
        <w:rPr>
          <w:color w:val="auto"/>
          <w:sz w:val="24"/>
          <w:highlight w:val="none"/>
        </w:rPr>
      </w:pPr>
    </w:p>
    <w:p>
      <w:pPr>
        <w:ind w:left="122"/>
        <w:jc w:val="center"/>
        <w:rPr>
          <w:color w:val="auto"/>
          <w:sz w:val="24"/>
          <w:highlight w:val="none"/>
        </w:rPr>
      </w:pPr>
    </w:p>
    <w:p>
      <w:pPr>
        <w:ind w:left="122"/>
        <w:jc w:val="center"/>
        <w:rPr>
          <w:color w:val="auto"/>
          <w:sz w:val="24"/>
          <w:highlight w:val="none"/>
        </w:rPr>
      </w:pPr>
    </w:p>
    <w:p>
      <w:pPr>
        <w:ind w:left="122"/>
        <w:jc w:val="center"/>
        <w:rPr>
          <w:color w:val="auto"/>
          <w:sz w:val="44"/>
          <w:highlight w:val="none"/>
        </w:rPr>
      </w:pPr>
      <w:r>
        <w:rPr>
          <w:color w:val="auto"/>
          <w:sz w:val="24"/>
          <w:highlight w:val="none"/>
        </w:rPr>
        <w:t xml:space="preserve"> </w:t>
      </w:r>
      <w:r>
        <w:rPr>
          <w:color w:val="auto"/>
          <w:sz w:val="44"/>
          <w:highlight w:val="none"/>
        </w:rPr>
        <w:t>响 应 文 件</w:t>
      </w:r>
    </w:p>
    <w:p>
      <w:pPr>
        <w:pStyle w:val="2"/>
        <w:rPr>
          <w:color w:val="auto"/>
          <w:sz w:val="20"/>
          <w:highlight w:val="none"/>
        </w:rPr>
      </w:pPr>
    </w:p>
    <w:p>
      <w:pPr>
        <w:pStyle w:val="2"/>
        <w:rPr>
          <w:color w:val="auto"/>
          <w:sz w:val="20"/>
          <w:highlight w:val="none"/>
        </w:rPr>
      </w:pPr>
    </w:p>
    <w:p>
      <w:pPr>
        <w:pStyle w:val="2"/>
        <w:rPr>
          <w:color w:val="auto"/>
          <w:sz w:val="20"/>
          <w:highlight w:val="none"/>
        </w:rPr>
      </w:pPr>
    </w:p>
    <w:p>
      <w:pPr>
        <w:pStyle w:val="2"/>
        <w:rPr>
          <w:color w:val="auto"/>
          <w:sz w:val="20"/>
          <w:highlight w:val="none"/>
        </w:rPr>
      </w:pPr>
    </w:p>
    <w:p>
      <w:pPr>
        <w:pStyle w:val="2"/>
        <w:rPr>
          <w:color w:val="auto"/>
          <w:sz w:val="20"/>
          <w:highlight w:val="none"/>
        </w:rPr>
      </w:pPr>
    </w:p>
    <w:p>
      <w:pPr>
        <w:pStyle w:val="2"/>
        <w:spacing w:before="10"/>
        <w:rPr>
          <w:color w:val="auto"/>
          <w:sz w:val="20"/>
          <w:highlight w:val="none"/>
        </w:rPr>
      </w:pPr>
    </w:p>
    <w:p>
      <w:pPr>
        <w:spacing w:before="54" w:line="626" w:lineRule="auto"/>
        <w:ind w:left="1299" w:right="6997"/>
        <w:rPr>
          <w:color w:val="auto"/>
          <w:sz w:val="32"/>
          <w:highlight w:val="none"/>
        </w:rPr>
      </w:pPr>
      <w:r>
        <w:rPr>
          <w:color w:val="auto"/>
          <w:sz w:val="32"/>
          <w:highlight w:val="none"/>
        </w:rPr>
        <w:t xml:space="preserve">项目名称： </w:t>
      </w:r>
    </w:p>
    <w:p>
      <w:pPr>
        <w:spacing w:before="54" w:line="626" w:lineRule="auto"/>
        <w:ind w:left="1299" w:right="6997"/>
        <w:rPr>
          <w:color w:val="auto"/>
          <w:sz w:val="32"/>
          <w:highlight w:val="none"/>
        </w:rPr>
      </w:pPr>
      <w:r>
        <w:rPr>
          <w:color w:val="auto"/>
          <w:sz w:val="32"/>
          <w:highlight w:val="none"/>
        </w:rPr>
        <w:t xml:space="preserve">项目编号： </w:t>
      </w:r>
    </w:p>
    <w:p>
      <w:pPr>
        <w:spacing w:before="54" w:line="626" w:lineRule="auto"/>
        <w:ind w:left="1299" w:right="6997"/>
        <w:rPr>
          <w:color w:val="auto"/>
          <w:sz w:val="32"/>
          <w:highlight w:val="none"/>
        </w:rPr>
      </w:pPr>
      <w:r>
        <w:rPr>
          <w:color w:val="auto"/>
          <w:sz w:val="32"/>
          <w:highlight w:val="none"/>
        </w:rPr>
        <w:t xml:space="preserve">供应商名称： </w:t>
      </w:r>
    </w:p>
    <w:p>
      <w:pPr>
        <w:spacing w:line="409" w:lineRule="exact"/>
        <w:ind w:right="2386"/>
        <w:jc w:val="right"/>
        <w:rPr>
          <w:color w:val="auto"/>
          <w:sz w:val="32"/>
          <w:highlight w:val="none"/>
        </w:rPr>
      </w:pPr>
      <w:r>
        <w:rPr>
          <w:color w:val="auto"/>
          <w:sz w:val="32"/>
          <w:highlight w:val="none"/>
        </w:rPr>
        <w:t xml:space="preserve">响应文件提交截止时间前不得启封 </w:t>
      </w:r>
    </w:p>
    <w:p>
      <w:pPr>
        <w:spacing w:before="125"/>
        <w:ind w:right="2304"/>
        <w:jc w:val="right"/>
        <w:rPr>
          <w:color w:val="auto"/>
          <w:sz w:val="32"/>
          <w:highlight w:val="none"/>
        </w:rPr>
      </w:pPr>
      <w:r>
        <w:rPr>
          <w:color w:val="auto"/>
          <w:w w:val="99"/>
          <w:sz w:val="32"/>
          <w:highlight w:val="none"/>
        </w:rPr>
        <w:t xml:space="preserve"> </w:t>
      </w:r>
    </w:p>
    <w:p>
      <w:pPr>
        <w:spacing w:before="126"/>
        <w:ind w:left="807"/>
        <w:jc w:val="center"/>
        <w:rPr>
          <w:color w:val="auto"/>
          <w:sz w:val="32"/>
          <w:highlight w:val="none"/>
        </w:rPr>
      </w:pPr>
      <w:r>
        <w:rPr>
          <w:color w:val="auto"/>
          <w:sz w:val="32"/>
          <w:highlight w:val="none"/>
        </w:rPr>
        <w:t xml:space="preserve">年 月 日 </w:t>
      </w:r>
    </w:p>
    <w:p>
      <w:pPr>
        <w:jc w:val="center"/>
        <w:rPr>
          <w:color w:val="auto"/>
          <w:sz w:val="32"/>
          <w:highlight w:val="none"/>
        </w:rPr>
        <w:sectPr>
          <w:pgSz w:w="11900" w:h="16850"/>
          <w:pgMar w:top="1400" w:right="760" w:bottom="1320" w:left="760" w:header="1158" w:footer="1133" w:gutter="0"/>
          <w:cols w:space="720" w:num="1"/>
        </w:sectPr>
      </w:pPr>
    </w:p>
    <w:p>
      <w:pPr>
        <w:spacing w:before="6"/>
        <w:ind w:left="122"/>
        <w:jc w:val="center"/>
        <w:rPr>
          <w:color w:val="auto"/>
          <w:sz w:val="24"/>
          <w:highlight w:val="none"/>
        </w:rPr>
      </w:pPr>
      <w:r>
        <w:rPr>
          <w:color w:val="auto"/>
          <w:sz w:val="24"/>
          <w:highlight w:val="none"/>
        </w:rPr>
        <w:t xml:space="preserve"> </w:t>
      </w:r>
    </w:p>
    <w:p>
      <w:pPr>
        <w:spacing w:before="5"/>
        <w:ind w:left="122"/>
        <w:jc w:val="center"/>
        <w:rPr>
          <w:color w:val="auto"/>
          <w:sz w:val="24"/>
          <w:highlight w:val="none"/>
        </w:rPr>
      </w:pPr>
      <w:r>
        <w:rPr>
          <w:color w:val="auto"/>
          <w:sz w:val="24"/>
          <w:highlight w:val="none"/>
        </w:rPr>
        <w:t xml:space="preserve"> </w:t>
      </w:r>
    </w:p>
    <w:p>
      <w:pPr>
        <w:spacing w:before="2"/>
        <w:ind w:left="122"/>
        <w:jc w:val="center"/>
        <w:rPr>
          <w:color w:val="auto"/>
          <w:sz w:val="24"/>
          <w:highlight w:val="none"/>
        </w:rPr>
      </w:pPr>
      <w:r>
        <w:rPr>
          <w:color w:val="auto"/>
          <w:sz w:val="24"/>
          <w:highlight w:val="none"/>
        </w:rPr>
        <w:t xml:space="preserve"> </w:t>
      </w:r>
    </w:p>
    <w:p>
      <w:pPr>
        <w:pStyle w:val="2"/>
        <w:rPr>
          <w:color w:val="auto"/>
          <w:sz w:val="24"/>
          <w:highlight w:val="none"/>
        </w:rPr>
      </w:pPr>
    </w:p>
    <w:p>
      <w:pPr>
        <w:pStyle w:val="2"/>
        <w:rPr>
          <w:color w:val="auto"/>
          <w:sz w:val="24"/>
          <w:highlight w:val="none"/>
        </w:rPr>
      </w:pPr>
    </w:p>
    <w:p>
      <w:pPr>
        <w:pStyle w:val="2"/>
        <w:rPr>
          <w:color w:val="auto"/>
          <w:sz w:val="24"/>
          <w:highlight w:val="none"/>
        </w:rPr>
      </w:pPr>
    </w:p>
    <w:p>
      <w:pPr>
        <w:pStyle w:val="2"/>
        <w:rPr>
          <w:color w:val="auto"/>
          <w:sz w:val="24"/>
          <w:highlight w:val="none"/>
        </w:rPr>
      </w:pPr>
    </w:p>
    <w:p>
      <w:pPr>
        <w:spacing w:before="175"/>
        <w:ind w:left="162"/>
        <w:jc w:val="center"/>
        <w:rPr>
          <w:b/>
          <w:color w:val="auto"/>
          <w:sz w:val="32"/>
          <w:highlight w:val="none"/>
        </w:rPr>
      </w:pPr>
      <w:r>
        <w:rPr>
          <w:color w:val="auto"/>
          <w:spacing w:val="30"/>
          <w:sz w:val="44"/>
          <w:highlight w:val="none"/>
        </w:rPr>
        <w:t>响 应 文 件</w:t>
      </w:r>
      <w:r>
        <w:rPr>
          <w:rFonts w:hint="eastAsia"/>
          <w:color w:val="auto"/>
          <w:spacing w:val="30"/>
          <w:sz w:val="21"/>
          <w:szCs w:val="21"/>
          <w:highlight w:val="none"/>
          <w:lang w:eastAsia="zh-CN"/>
        </w:rPr>
        <w:t>（封面）</w:t>
      </w:r>
      <w:r>
        <w:rPr>
          <w:color w:val="auto"/>
          <w:spacing w:val="-59"/>
          <w:sz w:val="21"/>
          <w:szCs w:val="21"/>
          <w:highlight w:val="none"/>
        </w:rPr>
        <w:t xml:space="preserve"> </w:t>
      </w:r>
      <w:r>
        <w:rPr>
          <w:b/>
          <w:color w:val="auto"/>
          <w:w w:val="98"/>
          <w:sz w:val="32"/>
          <w:highlight w:val="none"/>
        </w:rPr>
        <w:t xml:space="preserve"> </w:t>
      </w:r>
    </w:p>
    <w:p>
      <w:pPr>
        <w:pStyle w:val="2"/>
        <w:spacing w:before="84"/>
        <w:ind w:left="108"/>
        <w:jc w:val="center"/>
        <w:rPr>
          <w:color w:val="auto"/>
          <w:highlight w:val="none"/>
        </w:rPr>
      </w:pPr>
      <w:r>
        <w:rPr>
          <w:color w:val="auto"/>
          <w:highlight w:val="none"/>
        </w:rPr>
        <w:t xml:space="preserve"> </w:t>
      </w:r>
    </w:p>
    <w:p>
      <w:pPr>
        <w:pStyle w:val="2"/>
        <w:spacing w:before="139"/>
        <w:ind w:left="108"/>
        <w:jc w:val="center"/>
        <w:rPr>
          <w:color w:val="auto"/>
          <w:highlight w:val="none"/>
        </w:rPr>
      </w:pPr>
      <w:r>
        <w:rPr>
          <w:color w:val="auto"/>
          <w:highlight w:val="none"/>
        </w:rPr>
        <w:t xml:space="preserve"> </w:t>
      </w:r>
    </w:p>
    <w:p>
      <w:pPr>
        <w:pStyle w:val="2"/>
        <w:spacing w:before="139"/>
        <w:ind w:left="108"/>
        <w:jc w:val="center"/>
        <w:rPr>
          <w:color w:val="auto"/>
          <w:highlight w:val="none"/>
        </w:rPr>
      </w:pPr>
      <w:r>
        <w:rPr>
          <w:color w:val="auto"/>
          <w:highlight w:val="none"/>
        </w:rPr>
        <w:t xml:space="preserve"> </w:t>
      </w:r>
    </w:p>
    <w:p>
      <w:pPr>
        <w:pStyle w:val="2"/>
        <w:spacing w:before="142"/>
        <w:ind w:left="108"/>
        <w:jc w:val="center"/>
        <w:rPr>
          <w:color w:val="auto"/>
          <w:highlight w:val="none"/>
        </w:rPr>
      </w:pPr>
      <w:r>
        <w:rPr>
          <w:color w:val="auto"/>
          <w:highlight w:val="none"/>
        </w:rPr>
        <w:t xml:space="preserve"> </w:t>
      </w:r>
    </w:p>
    <w:p>
      <w:pPr>
        <w:pStyle w:val="2"/>
        <w:rPr>
          <w:color w:val="auto"/>
          <w:sz w:val="20"/>
          <w:highlight w:val="none"/>
        </w:rPr>
      </w:pPr>
    </w:p>
    <w:p>
      <w:pPr>
        <w:pStyle w:val="2"/>
        <w:rPr>
          <w:color w:val="auto"/>
          <w:sz w:val="20"/>
          <w:highlight w:val="none"/>
        </w:rPr>
      </w:pPr>
    </w:p>
    <w:p>
      <w:pPr>
        <w:pStyle w:val="2"/>
        <w:spacing w:before="4"/>
        <w:rPr>
          <w:color w:val="auto"/>
          <w:sz w:val="19"/>
          <w:highlight w:val="none"/>
        </w:rPr>
      </w:pPr>
    </w:p>
    <w:p>
      <w:pPr>
        <w:spacing w:before="1"/>
        <w:ind w:left="1299"/>
        <w:rPr>
          <w:color w:val="auto"/>
          <w:sz w:val="32"/>
          <w:highlight w:val="none"/>
        </w:rPr>
      </w:pPr>
      <w:r>
        <w:rPr>
          <w:color w:val="auto"/>
          <w:w w:val="95"/>
          <w:sz w:val="32"/>
          <w:highlight w:val="none"/>
        </w:rPr>
        <w:t>项目编号：</w:t>
      </w:r>
    </w:p>
    <w:p>
      <w:pPr>
        <w:spacing w:before="212"/>
        <w:ind w:left="1299"/>
        <w:rPr>
          <w:color w:val="auto"/>
          <w:sz w:val="32"/>
          <w:highlight w:val="none"/>
        </w:rPr>
      </w:pPr>
      <w:r>
        <w:rPr>
          <w:color w:val="auto"/>
          <w:w w:val="99"/>
          <w:sz w:val="32"/>
          <w:highlight w:val="none"/>
        </w:rPr>
        <w:t xml:space="preserve"> </w:t>
      </w:r>
    </w:p>
    <w:p>
      <w:pPr>
        <w:spacing w:before="214"/>
        <w:ind w:left="1299"/>
        <w:rPr>
          <w:color w:val="auto"/>
          <w:sz w:val="32"/>
          <w:highlight w:val="none"/>
        </w:rPr>
      </w:pPr>
      <w:r>
        <w:rPr>
          <w:color w:val="auto"/>
          <w:w w:val="95"/>
          <w:sz w:val="32"/>
          <w:highlight w:val="none"/>
        </w:rPr>
        <w:t>项目名称：</w:t>
      </w:r>
    </w:p>
    <w:p>
      <w:pPr>
        <w:spacing w:before="211"/>
        <w:ind w:left="1299"/>
        <w:rPr>
          <w:color w:val="auto"/>
          <w:sz w:val="32"/>
          <w:highlight w:val="none"/>
        </w:rPr>
      </w:pPr>
      <w:r>
        <w:rPr>
          <w:color w:val="auto"/>
          <w:w w:val="99"/>
          <w:sz w:val="32"/>
          <w:highlight w:val="none"/>
        </w:rPr>
        <w:t xml:space="preserve"> </w:t>
      </w:r>
    </w:p>
    <w:p>
      <w:pPr>
        <w:spacing w:before="214"/>
        <w:ind w:left="1299"/>
        <w:rPr>
          <w:rFonts w:hint="default" w:eastAsia="宋体"/>
          <w:color w:val="auto"/>
          <w:sz w:val="32"/>
          <w:highlight w:val="none"/>
          <w:lang w:val="en-US" w:eastAsia="zh-CN"/>
        </w:rPr>
      </w:pPr>
      <w:r>
        <w:rPr>
          <w:color w:val="auto"/>
          <w:sz w:val="32"/>
          <w:highlight w:val="none"/>
        </w:rPr>
        <w:t xml:space="preserve">供应商名称： </w:t>
      </w:r>
    </w:p>
    <w:p>
      <w:pPr>
        <w:pStyle w:val="2"/>
        <w:rPr>
          <w:color w:val="auto"/>
          <w:sz w:val="20"/>
          <w:highlight w:val="none"/>
        </w:rPr>
      </w:pPr>
    </w:p>
    <w:p>
      <w:pPr>
        <w:pStyle w:val="2"/>
        <w:rPr>
          <w:color w:val="auto"/>
          <w:sz w:val="20"/>
          <w:highlight w:val="none"/>
        </w:rPr>
      </w:pPr>
    </w:p>
    <w:p>
      <w:pPr>
        <w:pStyle w:val="2"/>
        <w:rPr>
          <w:color w:val="auto"/>
          <w:sz w:val="20"/>
          <w:highlight w:val="none"/>
        </w:rPr>
      </w:pPr>
    </w:p>
    <w:p>
      <w:pPr>
        <w:pStyle w:val="2"/>
        <w:rPr>
          <w:color w:val="auto"/>
          <w:sz w:val="20"/>
          <w:highlight w:val="none"/>
        </w:rPr>
      </w:pPr>
    </w:p>
    <w:p>
      <w:pPr>
        <w:pStyle w:val="2"/>
        <w:rPr>
          <w:color w:val="auto"/>
          <w:sz w:val="20"/>
          <w:highlight w:val="none"/>
        </w:rPr>
      </w:pPr>
    </w:p>
    <w:p>
      <w:pPr>
        <w:pStyle w:val="2"/>
        <w:rPr>
          <w:color w:val="auto"/>
          <w:sz w:val="20"/>
          <w:highlight w:val="none"/>
        </w:rPr>
      </w:pPr>
    </w:p>
    <w:p>
      <w:pPr>
        <w:pStyle w:val="2"/>
        <w:spacing w:before="10"/>
        <w:rPr>
          <w:color w:val="auto"/>
          <w:sz w:val="26"/>
          <w:highlight w:val="none"/>
        </w:rPr>
      </w:pPr>
    </w:p>
    <w:p>
      <w:pPr>
        <w:spacing w:before="55"/>
        <w:ind w:left="164"/>
        <w:jc w:val="center"/>
        <w:rPr>
          <w:color w:val="auto"/>
          <w:sz w:val="32"/>
          <w:highlight w:val="none"/>
        </w:rPr>
      </w:pPr>
      <w:r>
        <w:rPr>
          <w:rFonts w:hint="eastAsia"/>
          <w:color w:val="auto"/>
          <w:sz w:val="32"/>
          <w:highlight w:val="none"/>
          <w:lang w:val="en-US" w:eastAsia="zh-CN"/>
        </w:rPr>
        <w:t xml:space="preserve">                             </w:t>
      </w:r>
      <w:r>
        <w:rPr>
          <w:color w:val="auto"/>
          <w:sz w:val="32"/>
          <w:highlight w:val="none"/>
        </w:rPr>
        <w:t>年</w:t>
      </w:r>
      <w:r>
        <w:rPr>
          <w:rFonts w:hint="eastAsia"/>
          <w:color w:val="auto"/>
          <w:sz w:val="32"/>
          <w:highlight w:val="none"/>
          <w:lang w:val="en-US" w:eastAsia="zh-CN"/>
        </w:rPr>
        <w:t xml:space="preserve">   </w:t>
      </w:r>
      <w:r>
        <w:rPr>
          <w:color w:val="auto"/>
          <w:sz w:val="32"/>
          <w:highlight w:val="none"/>
        </w:rPr>
        <w:t>月</w:t>
      </w:r>
      <w:r>
        <w:rPr>
          <w:rFonts w:hint="eastAsia"/>
          <w:color w:val="auto"/>
          <w:sz w:val="32"/>
          <w:highlight w:val="none"/>
          <w:lang w:val="en-US" w:eastAsia="zh-CN"/>
        </w:rPr>
        <w:t xml:space="preserve">   </w:t>
      </w:r>
      <w:r>
        <w:rPr>
          <w:color w:val="auto"/>
          <w:sz w:val="32"/>
          <w:highlight w:val="none"/>
        </w:rPr>
        <w:t xml:space="preserve">日 </w:t>
      </w:r>
    </w:p>
    <w:p>
      <w:pPr>
        <w:rPr>
          <w:color w:val="auto"/>
          <w:sz w:val="32"/>
          <w:highlight w:val="none"/>
        </w:rPr>
        <w:sectPr>
          <w:pgSz w:w="11900" w:h="16850"/>
          <w:pgMar w:top="1400" w:right="760" w:bottom="1320" w:left="760" w:header="1158" w:footer="1133" w:gutter="0"/>
          <w:cols w:space="720" w:num="1"/>
        </w:sectPr>
      </w:pPr>
    </w:p>
    <w:p>
      <w:pPr>
        <w:pStyle w:val="2"/>
        <w:jc w:val="center"/>
        <w:rPr>
          <w:b/>
          <w:bCs/>
          <w:color w:val="auto"/>
          <w:sz w:val="32"/>
          <w:szCs w:val="32"/>
          <w:highlight w:val="none"/>
        </w:rPr>
      </w:pPr>
      <w:r>
        <w:rPr>
          <w:b/>
          <w:bCs/>
          <w:color w:val="auto"/>
          <w:sz w:val="32"/>
          <w:szCs w:val="32"/>
          <w:highlight w:val="none"/>
        </w:rPr>
        <w:t>一、资格证明文件格式</w:t>
      </w:r>
    </w:p>
    <w:p>
      <w:pPr>
        <w:pStyle w:val="53"/>
        <w:numPr>
          <w:ilvl w:val="0"/>
          <w:numId w:val="2"/>
        </w:numPr>
        <w:tabs>
          <w:tab w:val="left" w:pos="983"/>
        </w:tabs>
        <w:spacing w:before="128"/>
        <w:ind w:hanging="325"/>
        <w:jc w:val="left"/>
        <w:rPr>
          <w:b/>
          <w:color w:val="auto"/>
          <w:sz w:val="20"/>
          <w:highlight w:val="none"/>
        </w:rPr>
      </w:pPr>
      <w:r>
        <w:rPr>
          <w:b/>
          <w:color w:val="auto"/>
          <w:sz w:val="32"/>
          <w:highlight w:val="none"/>
        </w:rPr>
        <w:t>资格证明文件封面格式：</w:t>
      </w:r>
      <w:r>
        <w:rPr>
          <w:b/>
          <w:color w:val="auto"/>
          <w:w w:val="99"/>
          <w:sz w:val="24"/>
          <w:highlight w:val="none"/>
        </w:rPr>
        <w:t xml:space="preserve">  </w:t>
      </w:r>
    </w:p>
    <w:p>
      <w:pPr>
        <w:pStyle w:val="2"/>
        <w:rPr>
          <w:b/>
          <w:color w:val="auto"/>
          <w:sz w:val="20"/>
          <w:highlight w:val="none"/>
        </w:rPr>
      </w:pPr>
    </w:p>
    <w:p>
      <w:pPr>
        <w:pStyle w:val="2"/>
        <w:rPr>
          <w:b/>
          <w:color w:val="auto"/>
          <w:sz w:val="20"/>
          <w:highlight w:val="none"/>
        </w:rPr>
      </w:pPr>
    </w:p>
    <w:p>
      <w:pPr>
        <w:pStyle w:val="2"/>
        <w:rPr>
          <w:b/>
          <w:color w:val="auto"/>
          <w:sz w:val="20"/>
          <w:highlight w:val="none"/>
        </w:rPr>
      </w:pPr>
    </w:p>
    <w:p>
      <w:pPr>
        <w:pStyle w:val="2"/>
        <w:jc w:val="center"/>
        <w:rPr>
          <w:color w:val="auto"/>
          <w:sz w:val="44"/>
          <w:szCs w:val="44"/>
          <w:highlight w:val="none"/>
        </w:rPr>
      </w:pPr>
      <w:r>
        <w:rPr>
          <w:color w:val="auto"/>
          <w:sz w:val="44"/>
          <w:szCs w:val="44"/>
          <w:highlight w:val="none"/>
        </w:rPr>
        <w:t>资 格 证 明 文 件</w:t>
      </w:r>
    </w:p>
    <w:p>
      <w:pPr>
        <w:spacing w:before="358"/>
        <w:ind w:left="1299"/>
        <w:rPr>
          <w:color w:val="auto"/>
          <w:w w:val="95"/>
          <w:sz w:val="32"/>
          <w:highlight w:val="none"/>
        </w:rPr>
      </w:pPr>
    </w:p>
    <w:p>
      <w:pPr>
        <w:spacing w:before="358"/>
        <w:ind w:left="1299"/>
        <w:rPr>
          <w:color w:val="auto"/>
          <w:w w:val="95"/>
          <w:sz w:val="32"/>
          <w:highlight w:val="none"/>
        </w:rPr>
      </w:pPr>
    </w:p>
    <w:p>
      <w:pPr>
        <w:spacing w:before="358"/>
        <w:ind w:left="1299"/>
        <w:rPr>
          <w:color w:val="auto"/>
          <w:w w:val="95"/>
          <w:sz w:val="32"/>
          <w:highlight w:val="none"/>
        </w:rPr>
      </w:pPr>
    </w:p>
    <w:p>
      <w:pPr>
        <w:spacing w:before="358"/>
        <w:ind w:left="1299"/>
        <w:rPr>
          <w:color w:val="auto"/>
          <w:w w:val="95"/>
          <w:sz w:val="32"/>
          <w:highlight w:val="none"/>
        </w:rPr>
      </w:pPr>
    </w:p>
    <w:p>
      <w:pPr>
        <w:spacing w:before="358"/>
        <w:ind w:left="1299"/>
        <w:rPr>
          <w:color w:val="auto"/>
          <w:sz w:val="32"/>
          <w:highlight w:val="none"/>
        </w:rPr>
      </w:pPr>
      <w:r>
        <w:rPr>
          <w:color w:val="auto"/>
          <w:w w:val="95"/>
          <w:sz w:val="32"/>
          <w:highlight w:val="none"/>
        </w:rPr>
        <w:t xml:space="preserve">项目名称： </w:t>
      </w:r>
    </w:p>
    <w:p>
      <w:pPr>
        <w:spacing w:before="125"/>
        <w:ind w:left="1299"/>
        <w:rPr>
          <w:color w:val="auto"/>
          <w:sz w:val="32"/>
          <w:highlight w:val="none"/>
        </w:rPr>
      </w:pPr>
      <w:r>
        <w:rPr>
          <w:color w:val="auto"/>
          <w:w w:val="99"/>
          <w:sz w:val="32"/>
          <w:highlight w:val="none"/>
        </w:rPr>
        <w:t xml:space="preserve"> </w:t>
      </w:r>
    </w:p>
    <w:p>
      <w:pPr>
        <w:spacing w:before="126"/>
        <w:ind w:left="1299"/>
        <w:rPr>
          <w:color w:val="auto"/>
          <w:sz w:val="32"/>
          <w:highlight w:val="none"/>
        </w:rPr>
      </w:pPr>
      <w:r>
        <w:rPr>
          <w:color w:val="auto"/>
          <w:w w:val="95"/>
          <w:sz w:val="32"/>
          <w:highlight w:val="none"/>
        </w:rPr>
        <w:t xml:space="preserve">项目编号： </w:t>
      </w:r>
    </w:p>
    <w:p>
      <w:pPr>
        <w:spacing w:before="125"/>
        <w:ind w:left="1299"/>
        <w:rPr>
          <w:color w:val="auto"/>
          <w:sz w:val="32"/>
          <w:highlight w:val="none"/>
        </w:rPr>
      </w:pPr>
      <w:r>
        <w:rPr>
          <w:color w:val="auto"/>
          <w:w w:val="99"/>
          <w:sz w:val="32"/>
          <w:highlight w:val="none"/>
        </w:rPr>
        <w:t xml:space="preserve"> </w:t>
      </w:r>
    </w:p>
    <w:p>
      <w:pPr>
        <w:spacing w:before="55"/>
        <w:ind w:left="1299"/>
        <w:rPr>
          <w:color w:val="auto"/>
          <w:sz w:val="32"/>
          <w:highlight w:val="none"/>
        </w:rPr>
      </w:pPr>
      <w:r>
        <w:rPr>
          <w:color w:val="auto"/>
          <w:sz w:val="32"/>
          <w:highlight w:val="none"/>
        </w:rPr>
        <w:t xml:space="preserve">供应商名称： </w:t>
      </w:r>
    </w:p>
    <w:p>
      <w:pPr>
        <w:spacing w:before="56"/>
        <w:ind w:left="1378"/>
        <w:rPr>
          <w:color w:val="auto"/>
          <w:sz w:val="32"/>
          <w:highlight w:val="none"/>
        </w:rPr>
      </w:pPr>
      <w:r>
        <w:rPr>
          <w:color w:val="auto"/>
          <w:w w:val="99"/>
          <w:sz w:val="32"/>
          <w:highlight w:val="none"/>
        </w:rPr>
        <w:t xml:space="preserve"> </w:t>
      </w:r>
    </w:p>
    <w:p>
      <w:pPr>
        <w:spacing w:before="56"/>
        <w:ind w:left="1378"/>
        <w:rPr>
          <w:color w:val="auto"/>
          <w:sz w:val="32"/>
          <w:highlight w:val="none"/>
        </w:rPr>
      </w:pPr>
      <w:r>
        <w:rPr>
          <w:color w:val="auto"/>
          <w:w w:val="99"/>
          <w:sz w:val="32"/>
          <w:highlight w:val="none"/>
        </w:rPr>
        <w:t xml:space="preserve"> </w:t>
      </w:r>
    </w:p>
    <w:p>
      <w:pPr>
        <w:spacing w:before="53"/>
        <w:ind w:left="1378"/>
        <w:rPr>
          <w:color w:val="auto"/>
          <w:sz w:val="32"/>
          <w:highlight w:val="none"/>
        </w:rPr>
      </w:pPr>
      <w:r>
        <w:rPr>
          <w:color w:val="auto"/>
          <w:w w:val="99"/>
          <w:sz w:val="32"/>
          <w:highlight w:val="none"/>
        </w:rPr>
        <w:t xml:space="preserve"> </w:t>
      </w:r>
    </w:p>
    <w:p>
      <w:pPr>
        <w:pStyle w:val="2"/>
        <w:rPr>
          <w:color w:val="auto"/>
          <w:sz w:val="20"/>
          <w:highlight w:val="none"/>
        </w:rPr>
      </w:pPr>
    </w:p>
    <w:p>
      <w:pPr>
        <w:pStyle w:val="2"/>
        <w:spacing w:before="11"/>
        <w:rPr>
          <w:color w:val="auto"/>
          <w:highlight w:val="none"/>
        </w:rPr>
      </w:pPr>
    </w:p>
    <w:p>
      <w:pPr>
        <w:spacing w:before="55"/>
        <w:ind w:left="164"/>
        <w:jc w:val="center"/>
        <w:rPr>
          <w:color w:val="auto"/>
          <w:sz w:val="32"/>
          <w:highlight w:val="none"/>
        </w:rPr>
      </w:pPr>
      <w:r>
        <w:rPr>
          <w:color w:val="auto"/>
          <w:sz w:val="32"/>
          <w:highlight w:val="none"/>
        </w:rPr>
        <w:t xml:space="preserve">年 月 日 </w:t>
      </w:r>
    </w:p>
    <w:p>
      <w:pPr>
        <w:jc w:val="center"/>
        <w:rPr>
          <w:color w:val="auto"/>
          <w:sz w:val="32"/>
          <w:highlight w:val="none"/>
        </w:rPr>
        <w:sectPr>
          <w:pgSz w:w="11900" w:h="16850"/>
          <w:pgMar w:top="1400" w:right="760" w:bottom="1320" w:left="760" w:header="1158" w:footer="1133" w:gutter="0"/>
          <w:cols w:space="720" w:num="1"/>
        </w:sectPr>
      </w:pPr>
    </w:p>
    <w:p>
      <w:pPr>
        <w:tabs>
          <w:tab w:val="left" w:pos="1125"/>
        </w:tabs>
        <w:spacing w:before="54"/>
        <w:ind w:left="565" w:leftChars="257"/>
        <w:rPr>
          <w:b/>
          <w:color w:val="auto"/>
          <w:sz w:val="32"/>
          <w:highlight w:val="none"/>
        </w:rPr>
      </w:pPr>
      <w:r>
        <w:rPr>
          <w:rFonts w:hint="eastAsia"/>
          <w:b/>
          <w:color w:val="auto"/>
          <w:sz w:val="32"/>
          <w:highlight w:val="none"/>
        </w:rPr>
        <w:t>2</w:t>
      </w:r>
      <w:r>
        <w:rPr>
          <w:b/>
          <w:color w:val="auto"/>
          <w:sz w:val="32"/>
          <w:highlight w:val="none"/>
        </w:rPr>
        <w:t>.资格证明文件目录</w:t>
      </w:r>
      <w:r>
        <w:rPr>
          <w:b/>
          <w:color w:val="auto"/>
          <w:w w:val="98"/>
          <w:sz w:val="32"/>
          <w:highlight w:val="none"/>
        </w:rPr>
        <w:t xml:space="preserve"> </w:t>
      </w:r>
    </w:p>
    <w:p>
      <w:pPr>
        <w:pStyle w:val="2"/>
        <w:spacing w:before="11"/>
        <w:rPr>
          <w:b/>
          <w:color w:val="auto"/>
          <w:sz w:val="25"/>
          <w:highlight w:val="none"/>
        </w:rPr>
      </w:pPr>
    </w:p>
    <w:p>
      <w:pPr>
        <w:spacing w:line="364" w:lineRule="auto"/>
        <w:ind w:left="658" w:right="647" w:firstLine="645"/>
        <w:rPr>
          <w:color w:val="auto"/>
          <w:sz w:val="32"/>
          <w:highlight w:val="none"/>
        </w:rPr>
      </w:pPr>
      <w:r>
        <w:rPr>
          <w:color w:val="auto"/>
          <w:spacing w:val="4"/>
          <w:w w:val="95"/>
          <w:sz w:val="32"/>
          <w:highlight w:val="none"/>
        </w:rPr>
        <w:t xml:space="preserve">根据磋商文件规定及供应商提供的材料自行编写目录（部分 </w:t>
      </w:r>
      <w:r>
        <w:rPr>
          <w:color w:val="auto"/>
          <w:sz w:val="32"/>
          <w:highlight w:val="none"/>
        </w:rPr>
        <w:t xml:space="preserve">格式后附）。 </w:t>
      </w:r>
    </w:p>
    <w:p>
      <w:pPr>
        <w:spacing w:before="118"/>
        <w:ind w:left="658"/>
        <w:rPr>
          <w:color w:val="auto"/>
          <w:sz w:val="24"/>
          <w:highlight w:val="none"/>
        </w:rPr>
      </w:pPr>
      <w:r>
        <w:rPr>
          <w:color w:val="auto"/>
          <w:sz w:val="24"/>
          <w:highlight w:val="none"/>
        </w:rPr>
        <w:t xml:space="preserve">  </w:t>
      </w:r>
    </w:p>
    <w:p>
      <w:pPr>
        <w:pStyle w:val="2"/>
        <w:spacing w:before="56"/>
        <w:ind w:left="658"/>
        <w:rPr>
          <w:color w:val="auto"/>
          <w:highlight w:val="none"/>
        </w:rPr>
      </w:pPr>
      <w:r>
        <w:rPr>
          <w:color w:val="auto"/>
          <w:highlight w:val="none"/>
        </w:rPr>
        <w:t xml:space="preserve"> </w:t>
      </w:r>
    </w:p>
    <w:p>
      <w:pPr>
        <w:pStyle w:val="2"/>
        <w:spacing w:before="72"/>
        <w:ind w:left="658"/>
        <w:rPr>
          <w:color w:val="auto"/>
          <w:highlight w:val="none"/>
        </w:rPr>
      </w:pPr>
      <w:r>
        <w:rPr>
          <w:color w:val="auto"/>
          <w:highlight w:val="none"/>
        </w:rPr>
        <w:t xml:space="preserve"> </w:t>
      </w:r>
    </w:p>
    <w:p>
      <w:pPr>
        <w:pStyle w:val="2"/>
        <w:spacing w:before="70"/>
        <w:ind w:left="658"/>
        <w:rPr>
          <w:color w:val="auto"/>
          <w:highlight w:val="none"/>
        </w:rPr>
      </w:pPr>
      <w:r>
        <w:rPr>
          <w:color w:val="auto"/>
          <w:highlight w:val="none"/>
        </w:rPr>
        <w:t xml:space="preserve"> </w:t>
      </w:r>
    </w:p>
    <w:p>
      <w:pPr>
        <w:pStyle w:val="2"/>
        <w:spacing w:before="72"/>
        <w:ind w:left="658"/>
        <w:rPr>
          <w:color w:val="auto"/>
          <w:highlight w:val="none"/>
        </w:rPr>
      </w:pPr>
      <w:r>
        <w:rPr>
          <w:color w:val="auto"/>
          <w:highlight w:val="none"/>
        </w:rPr>
        <w:t xml:space="preserve"> </w:t>
      </w:r>
    </w:p>
    <w:p>
      <w:pPr>
        <w:pStyle w:val="2"/>
        <w:spacing w:before="71"/>
        <w:ind w:left="658"/>
        <w:rPr>
          <w:color w:val="auto"/>
          <w:highlight w:val="none"/>
        </w:rPr>
      </w:pPr>
      <w:r>
        <w:rPr>
          <w:color w:val="auto"/>
          <w:highlight w:val="none"/>
        </w:rPr>
        <w:t xml:space="preserve"> </w:t>
      </w:r>
    </w:p>
    <w:p>
      <w:pPr>
        <w:pStyle w:val="2"/>
        <w:spacing w:before="72"/>
        <w:ind w:left="658"/>
        <w:rPr>
          <w:color w:val="auto"/>
          <w:highlight w:val="none"/>
        </w:rPr>
      </w:pPr>
      <w:r>
        <w:rPr>
          <w:color w:val="auto"/>
          <w:highlight w:val="none"/>
        </w:rPr>
        <w:t xml:space="preserve"> </w:t>
      </w:r>
    </w:p>
    <w:p>
      <w:pPr>
        <w:pStyle w:val="2"/>
        <w:spacing w:before="72"/>
        <w:ind w:left="658"/>
        <w:rPr>
          <w:color w:val="auto"/>
          <w:highlight w:val="none"/>
        </w:rPr>
      </w:pPr>
      <w:r>
        <w:rPr>
          <w:color w:val="auto"/>
          <w:highlight w:val="none"/>
        </w:rPr>
        <w:t xml:space="preserve"> </w:t>
      </w:r>
    </w:p>
    <w:p>
      <w:pPr>
        <w:pStyle w:val="2"/>
        <w:spacing w:before="71"/>
        <w:ind w:left="658"/>
        <w:rPr>
          <w:color w:val="auto"/>
          <w:highlight w:val="none"/>
        </w:rPr>
      </w:pPr>
      <w:r>
        <w:rPr>
          <w:color w:val="auto"/>
          <w:highlight w:val="none"/>
        </w:rPr>
        <w:t xml:space="preserve"> </w:t>
      </w:r>
    </w:p>
    <w:p>
      <w:pPr>
        <w:pStyle w:val="2"/>
        <w:spacing w:before="70"/>
        <w:ind w:left="658"/>
        <w:rPr>
          <w:color w:val="auto"/>
          <w:highlight w:val="none"/>
        </w:rPr>
      </w:pPr>
      <w:r>
        <w:rPr>
          <w:color w:val="auto"/>
          <w:highlight w:val="none"/>
        </w:rPr>
        <w:t xml:space="preserve"> </w:t>
      </w:r>
    </w:p>
    <w:p>
      <w:pPr>
        <w:pStyle w:val="2"/>
        <w:spacing w:before="72"/>
        <w:ind w:left="658"/>
        <w:rPr>
          <w:color w:val="auto"/>
          <w:highlight w:val="none"/>
        </w:rPr>
      </w:pPr>
      <w:r>
        <w:rPr>
          <w:color w:val="auto"/>
          <w:highlight w:val="none"/>
        </w:rPr>
        <w:t xml:space="preserve"> </w:t>
      </w:r>
    </w:p>
    <w:p>
      <w:pPr>
        <w:pStyle w:val="2"/>
        <w:spacing w:before="71"/>
        <w:ind w:left="658"/>
        <w:rPr>
          <w:color w:val="auto"/>
          <w:highlight w:val="none"/>
        </w:rPr>
      </w:pPr>
      <w:r>
        <w:rPr>
          <w:color w:val="auto"/>
          <w:highlight w:val="none"/>
        </w:rPr>
        <w:t xml:space="preserve"> </w:t>
      </w:r>
    </w:p>
    <w:p>
      <w:pPr>
        <w:pStyle w:val="2"/>
        <w:spacing w:before="72"/>
        <w:ind w:left="658"/>
        <w:rPr>
          <w:color w:val="auto"/>
          <w:highlight w:val="none"/>
        </w:rPr>
      </w:pPr>
      <w:r>
        <w:rPr>
          <w:color w:val="auto"/>
          <w:highlight w:val="none"/>
        </w:rPr>
        <w:t xml:space="preserve"> </w:t>
      </w:r>
    </w:p>
    <w:p>
      <w:pPr>
        <w:pStyle w:val="2"/>
        <w:spacing w:before="72"/>
        <w:ind w:left="658"/>
        <w:rPr>
          <w:color w:val="auto"/>
          <w:highlight w:val="none"/>
        </w:rPr>
      </w:pPr>
      <w:r>
        <w:rPr>
          <w:color w:val="auto"/>
          <w:highlight w:val="none"/>
        </w:rPr>
        <w:t xml:space="preserve"> </w:t>
      </w:r>
    </w:p>
    <w:p>
      <w:pPr>
        <w:pStyle w:val="2"/>
        <w:spacing w:before="72"/>
        <w:ind w:left="658"/>
        <w:rPr>
          <w:color w:val="auto"/>
          <w:highlight w:val="none"/>
        </w:rPr>
      </w:pPr>
      <w:r>
        <w:rPr>
          <w:color w:val="auto"/>
          <w:highlight w:val="none"/>
        </w:rPr>
        <w:t xml:space="preserve"> </w:t>
      </w:r>
    </w:p>
    <w:p>
      <w:pPr>
        <w:pStyle w:val="2"/>
        <w:spacing w:before="72"/>
        <w:ind w:left="658"/>
        <w:rPr>
          <w:color w:val="auto"/>
          <w:highlight w:val="none"/>
        </w:rPr>
      </w:pPr>
      <w:r>
        <w:rPr>
          <w:color w:val="auto"/>
          <w:highlight w:val="none"/>
        </w:rPr>
        <w:t xml:space="preserve"> </w:t>
      </w:r>
    </w:p>
    <w:p>
      <w:pPr>
        <w:rPr>
          <w:color w:val="auto"/>
          <w:highlight w:val="none"/>
        </w:rPr>
        <w:sectPr>
          <w:pgSz w:w="11900" w:h="16850"/>
          <w:pgMar w:top="1400" w:right="760" w:bottom="1320" w:left="760" w:header="1158" w:footer="1133" w:gutter="0"/>
          <w:cols w:space="720" w:num="1"/>
        </w:sectPr>
      </w:pPr>
    </w:p>
    <w:p>
      <w:pPr>
        <w:pStyle w:val="2"/>
        <w:spacing w:before="72"/>
        <w:ind w:left="108"/>
        <w:jc w:val="center"/>
        <w:rPr>
          <w:color w:val="auto"/>
          <w:sz w:val="44"/>
          <w:szCs w:val="44"/>
          <w:highlight w:val="none"/>
        </w:rPr>
      </w:pPr>
      <w:r>
        <w:rPr>
          <w:color w:val="auto"/>
          <w:sz w:val="44"/>
          <w:szCs w:val="44"/>
          <w:highlight w:val="none"/>
        </w:rPr>
        <w:t xml:space="preserve"> 供应商基本情况表</w:t>
      </w:r>
    </w:p>
    <w:tbl>
      <w:tblPr>
        <w:tblStyle w:val="52"/>
        <w:tblW w:w="0" w:type="auto"/>
        <w:tblInd w:w="7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627"/>
        <w:gridCol w:w="896"/>
        <w:gridCol w:w="1023"/>
        <w:gridCol w:w="1160"/>
        <w:gridCol w:w="312"/>
        <w:gridCol w:w="1287"/>
        <w:gridCol w:w="741"/>
        <w:gridCol w:w="1922"/>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568" w:hRule="atLeast"/>
        </w:trPr>
        <w:tc>
          <w:tcPr>
            <w:tcW w:w="1627" w:type="dxa"/>
          </w:tcPr>
          <w:p>
            <w:pPr>
              <w:pStyle w:val="54"/>
              <w:spacing w:before="149"/>
              <w:ind w:left="321" w:right="206"/>
              <w:jc w:val="center"/>
              <w:rPr>
                <w:color w:val="auto"/>
                <w:sz w:val="21"/>
                <w:highlight w:val="none"/>
              </w:rPr>
            </w:pPr>
            <w:r>
              <w:rPr>
                <w:color w:val="auto"/>
                <w:sz w:val="21"/>
                <w:highlight w:val="none"/>
              </w:rPr>
              <w:t xml:space="preserve">供应商名称 </w:t>
            </w:r>
          </w:p>
        </w:tc>
        <w:tc>
          <w:tcPr>
            <w:tcW w:w="7341" w:type="dxa"/>
            <w:gridSpan w:val="7"/>
          </w:tcPr>
          <w:p>
            <w:pPr>
              <w:pStyle w:val="54"/>
              <w:spacing w:before="149"/>
              <w:ind w:left="110"/>
              <w:jc w:val="center"/>
              <w:rPr>
                <w:color w:val="auto"/>
                <w:sz w:val="21"/>
                <w:highlight w:val="none"/>
              </w:rPr>
            </w:pPr>
            <w:r>
              <w:rPr>
                <w:color w:val="auto"/>
                <w:sz w:val="21"/>
                <w:highlight w:val="non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5" w:hRule="atLeast"/>
        </w:trPr>
        <w:tc>
          <w:tcPr>
            <w:tcW w:w="1627" w:type="dxa"/>
          </w:tcPr>
          <w:p>
            <w:pPr>
              <w:pStyle w:val="54"/>
              <w:spacing w:before="147"/>
              <w:ind w:left="321" w:right="206"/>
              <w:jc w:val="center"/>
              <w:rPr>
                <w:color w:val="auto"/>
                <w:sz w:val="21"/>
                <w:highlight w:val="none"/>
              </w:rPr>
            </w:pPr>
            <w:r>
              <w:rPr>
                <w:color w:val="auto"/>
                <w:sz w:val="21"/>
                <w:highlight w:val="none"/>
              </w:rPr>
              <w:t xml:space="preserve">注册地址 </w:t>
            </w:r>
          </w:p>
        </w:tc>
        <w:tc>
          <w:tcPr>
            <w:tcW w:w="3391" w:type="dxa"/>
            <w:gridSpan w:val="4"/>
          </w:tcPr>
          <w:p>
            <w:pPr>
              <w:pStyle w:val="54"/>
              <w:spacing w:before="147"/>
              <w:ind w:left="109"/>
              <w:jc w:val="center"/>
              <w:rPr>
                <w:color w:val="auto"/>
                <w:sz w:val="21"/>
                <w:highlight w:val="none"/>
              </w:rPr>
            </w:pPr>
            <w:r>
              <w:rPr>
                <w:color w:val="auto"/>
                <w:sz w:val="21"/>
                <w:highlight w:val="none"/>
              </w:rPr>
              <w:t xml:space="preserve"> </w:t>
            </w:r>
          </w:p>
        </w:tc>
        <w:tc>
          <w:tcPr>
            <w:tcW w:w="1287" w:type="dxa"/>
          </w:tcPr>
          <w:p>
            <w:pPr>
              <w:pStyle w:val="54"/>
              <w:spacing w:before="147"/>
              <w:ind w:left="230" w:right="166"/>
              <w:jc w:val="center"/>
              <w:rPr>
                <w:color w:val="auto"/>
                <w:sz w:val="21"/>
                <w:highlight w:val="none"/>
              </w:rPr>
            </w:pPr>
            <w:r>
              <w:rPr>
                <w:color w:val="auto"/>
                <w:sz w:val="21"/>
                <w:highlight w:val="none"/>
              </w:rPr>
              <w:t xml:space="preserve">邮政编码 </w:t>
            </w:r>
          </w:p>
        </w:tc>
        <w:tc>
          <w:tcPr>
            <w:tcW w:w="2663" w:type="dxa"/>
            <w:gridSpan w:val="2"/>
          </w:tcPr>
          <w:p>
            <w:pPr>
              <w:pStyle w:val="54"/>
              <w:spacing w:before="147"/>
              <w:ind w:left="75"/>
              <w:jc w:val="center"/>
              <w:rPr>
                <w:color w:val="auto"/>
                <w:sz w:val="21"/>
                <w:highlight w:val="none"/>
              </w:rPr>
            </w:pPr>
            <w:r>
              <w:rPr>
                <w:color w:val="auto"/>
                <w:sz w:val="21"/>
                <w:highlight w:val="non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8" w:hRule="atLeast"/>
        </w:trPr>
        <w:tc>
          <w:tcPr>
            <w:tcW w:w="1627" w:type="dxa"/>
            <w:vMerge w:val="restart"/>
          </w:tcPr>
          <w:p>
            <w:pPr>
              <w:pStyle w:val="54"/>
              <w:rPr>
                <w:color w:val="auto"/>
                <w:sz w:val="20"/>
                <w:highlight w:val="none"/>
              </w:rPr>
            </w:pPr>
          </w:p>
          <w:p>
            <w:pPr>
              <w:pStyle w:val="54"/>
              <w:spacing w:before="2"/>
              <w:rPr>
                <w:color w:val="auto"/>
                <w:sz w:val="14"/>
                <w:highlight w:val="none"/>
              </w:rPr>
            </w:pPr>
          </w:p>
          <w:p>
            <w:pPr>
              <w:pStyle w:val="54"/>
              <w:ind w:left="393"/>
              <w:rPr>
                <w:color w:val="auto"/>
                <w:sz w:val="21"/>
                <w:highlight w:val="none"/>
              </w:rPr>
            </w:pPr>
            <w:r>
              <w:rPr>
                <w:color w:val="auto"/>
                <w:sz w:val="21"/>
                <w:highlight w:val="none"/>
              </w:rPr>
              <w:t xml:space="preserve">联系方式 </w:t>
            </w:r>
          </w:p>
        </w:tc>
        <w:tc>
          <w:tcPr>
            <w:tcW w:w="896" w:type="dxa"/>
          </w:tcPr>
          <w:p>
            <w:pPr>
              <w:pStyle w:val="54"/>
              <w:spacing w:before="150"/>
              <w:ind w:left="163" w:right="53"/>
              <w:jc w:val="center"/>
              <w:rPr>
                <w:color w:val="auto"/>
                <w:sz w:val="21"/>
                <w:highlight w:val="none"/>
              </w:rPr>
            </w:pPr>
            <w:r>
              <w:rPr>
                <w:color w:val="auto"/>
                <w:sz w:val="21"/>
                <w:highlight w:val="none"/>
              </w:rPr>
              <w:t xml:space="preserve">联系人 </w:t>
            </w:r>
          </w:p>
        </w:tc>
        <w:tc>
          <w:tcPr>
            <w:tcW w:w="2495" w:type="dxa"/>
            <w:gridSpan w:val="3"/>
          </w:tcPr>
          <w:p>
            <w:pPr>
              <w:pStyle w:val="54"/>
              <w:spacing w:before="150"/>
              <w:ind w:left="111"/>
              <w:jc w:val="center"/>
              <w:rPr>
                <w:color w:val="auto"/>
                <w:sz w:val="21"/>
                <w:highlight w:val="none"/>
              </w:rPr>
            </w:pPr>
            <w:r>
              <w:rPr>
                <w:color w:val="auto"/>
                <w:sz w:val="21"/>
                <w:highlight w:val="none"/>
              </w:rPr>
              <w:t xml:space="preserve"> </w:t>
            </w:r>
          </w:p>
        </w:tc>
        <w:tc>
          <w:tcPr>
            <w:tcW w:w="1287" w:type="dxa"/>
          </w:tcPr>
          <w:p>
            <w:pPr>
              <w:pStyle w:val="54"/>
              <w:spacing w:before="150"/>
              <w:ind w:left="230" w:right="164"/>
              <w:jc w:val="center"/>
              <w:rPr>
                <w:color w:val="auto"/>
                <w:sz w:val="21"/>
                <w:highlight w:val="none"/>
              </w:rPr>
            </w:pPr>
            <w:r>
              <w:rPr>
                <w:color w:val="auto"/>
                <w:sz w:val="21"/>
                <w:highlight w:val="none"/>
              </w:rPr>
              <w:t xml:space="preserve">电 话 </w:t>
            </w:r>
          </w:p>
        </w:tc>
        <w:tc>
          <w:tcPr>
            <w:tcW w:w="2663" w:type="dxa"/>
            <w:gridSpan w:val="2"/>
          </w:tcPr>
          <w:p>
            <w:pPr>
              <w:pStyle w:val="54"/>
              <w:spacing w:before="150"/>
              <w:ind w:left="75"/>
              <w:jc w:val="center"/>
              <w:rPr>
                <w:color w:val="auto"/>
                <w:sz w:val="21"/>
                <w:highlight w:val="none"/>
              </w:rPr>
            </w:pPr>
            <w:r>
              <w:rPr>
                <w:color w:val="auto"/>
                <w:sz w:val="21"/>
                <w:highlight w:val="non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6" w:hRule="atLeast"/>
        </w:trPr>
        <w:tc>
          <w:tcPr>
            <w:tcW w:w="1627" w:type="dxa"/>
            <w:vMerge w:val="continue"/>
            <w:tcBorders>
              <w:top w:val="nil"/>
            </w:tcBorders>
          </w:tcPr>
          <w:p>
            <w:pPr>
              <w:rPr>
                <w:color w:val="auto"/>
                <w:sz w:val="2"/>
                <w:szCs w:val="2"/>
                <w:highlight w:val="none"/>
              </w:rPr>
            </w:pPr>
          </w:p>
        </w:tc>
        <w:tc>
          <w:tcPr>
            <w:tcW w:w="896" w:type="dxa"/>
          </w:tcPr>
          <w:p>
            <w:pPr>
              <w:pStyle w:val="54"/>
              <w:spacing w:before="148"/>
              <w:ind w:left="163" w:right="53"/>
              <w:jc w:val="center"/>
              <w:rPr>
                <w:color w:val="auto"/>
                <w:sz w:val="21"/>
                <w:highlight w:val="none"/>
              </w:rPr>
            </w:pPr>
            <w:r>
              <w:rPr>
                <w:color w:val="auto"/>
                <w:sz w:val="21"/>
                <w:highlight w:val="none"/>
              </w:rPr>
              <w:t xml:space="preserve">传 真 </w:t>
            </w:r>
          </w:p>
        </w:tc>
        <w:tc>
          <w:tcPr>
            <w:tcW w:w="2495" w:type="dxa"/>
            <w:gridSpan w:val="3"/>
          </w:tcPr>
          <w:p>
            <w:pPr>
              <w:pStyle w:val="54"/>
              <w:spacing w:before="148"/>
              <w:ind w:left="111"/>
              <w:jc w:val="center"/>
              <w:rPr>
                <w:color w:val="auto"/>
                <w:sz w:val="21"/>
                <w:highlight w:val="none"/>
              </w:rPr>
            </w:pPr>
            <w:r>
              <w:rPr>
                <w:color w:val="auto"/>
                <w:sz w:val="21"/>
                <w:highlight w:val="none"/>
              </w:rPr>
              <w:t xml:space="preserve"> </w:t>
            </w:r>
          </w:p>
        </w:tc>
        <w:tc>
          <w:tcPr>
            <w:tcW w:w="1287" w:type="dxa"/>
          </w:tcPr>
          <w:p>
            <w:pPr>
              <w:pStyle w:val="54"/>
              <w:spacing w:before="148"/>
              <w:ind w:left="230" w:right="164"/>
              <w:jc w:val="center"/>
              <w:rPr>
                <w:color w:val="auto"/>
                <w:sz w:val="21"/>
                <w:highlight w:val="none"/>
              </w:rPr>
            </w:pPr>
            <w:r>
              <w:rPr>
                <w:color w:val="auto"/>
                <w:sz w:val="21"/>
                <w:highlight w:val="none"/>
              </w:rPr>
              <w:t xml:space="preserve">网 址 </w:t>
            </w:r>
          </w:p>
        </w:tc>
        <w:tc>
          <w:tcPr>
            <w:tcW w:w="2663" w:type="dxa"/>
            <w:gridSpan w:val="2"/>
          </w:tcPr>
          <w:p>
            <w:pPr>
              <w:pStyle w:val="54"/>
              <w:spacing w:before="148"/>
              <w:ind w:left="75"/>
              <w:jc w:val="center"/>
              <w:rPr>
                <w:color w:val="auto"/>
                <w:sz w:val="21"/>
                <w:highlight w:val="none"/>
              </w:rPr>
            </w:pPr>
            <w:r>
              <w:rPr>
                <w:color w:val="auto"/>
                <w:sz w:val="21"/>
                <w:highlight w:val="non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6" w:hRule="atLeast"/>
        </w:trPr>
        <w:tc>
          <w:tcPr>
            <w:tcW w:w="1627" w:type="dxa"/>
          </w:tcPr>
          <w:p>
            <w:pPr>
              <w:pStyle w:val="54"/>
              <w:spacing w:before="6" w:line="270" w:lineRule="atLeast"/>
              <w:ind w:left="602" w:right="170" w:hanging="420"/>
              <w:rPr>
                <w:color w:val="auto"/>
                <w:sz w:val="21"/>
                <w:highlight w:val="none"/>
              </w:rPr>
            </w:pPr>
            <w:r>
              <w:rPr>
                <w:color w:val="auto"/>
                <w:sz w:val="21"/>
                <w:highlight w:val="none"/>
              </w:rPr>
              <w:t xml:space="preserve">统一社会信用代码 </w:t>
            </w:r>
          </w:p>
        </w:tc>
        <w:tc>
          <w:tcPr>
            <w:tcW w:w="7341" w:type="dxa"/>
            <w:gridSpan w:val="7"/>
          </w:tcPr>
          <w:p>
            <w:pPr>
              <w:pStyle w:val="54"/>
              <w:spacing w:before="150"/>
              <w:ind w:left="110"/>
              <w:jc w:val="center"/>
              <w:rPr>
                <w:color w:val="auto"/>
                <w:sz w:val="21"/>
                <w:highlight w:val="none"/>
              </w:rPr>
            </w:pPr>
            <w:r>
              <w:rPr>
                <w:color w:val="auto"/>
                <w:sz w:val="21"/>
                <w:highlight w:val="non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8" w:hRule="atLeast"/>
        </w:trPr>
        <w:tc>
          <w:tcPr>
            <w:tcW w:w="1627" w:type="dxa"/>
          </w:tcPr>
          <w:p>
            <w:pPr>
              <w:pStyle w:val="54"/>
              <w:spacing w:before="149"/>
              <w:ind w:left="321" w:right="206"/>
              <w:jc w:val="center"/>
              <w:rPr>
                <w:color w:val="auto"/>
                <w:sz w:val="21"/>
                <w:highlight w:val="none"/>
              </w:rPr>
            </w:pPr>
            <w:r>
              <w:rPr>
                <w:color w:val="auto"/>
                <w:sz w:val="21"/>
                <w:highlight w:val="none"/>
              </w:rPr>
              <w:t xml:space="preserve">法定代表人 </w:t>
            </w:r>
          </w:p>
        </w:tc>
        <w:tc>
          <w:tcPr>
            <w:tcW w:w="896" w:type="dxa"/>
          </w:tcPr>
          <w:p>
            <w:pPr>
              <w:pStyle w:val="54"/>
              <w:spacing w:before="149"/>
              <w:ind w:left="163" w:right="53"/>
              <w:jc w:val="center"/>
              <w:rPr>
                <w:color w:val="auto"/>
                <w:sz w:val="21"/>
                <w:highlight w:val="none"/>
              </w:rPr>
            </w:pPr>
            <w:r>
              <w:rPr>
                <w:color w:val="auto"/>
                <w:sz w:val="21"/>
                <w:highlight w:val="none"/>
              </w:rPr>
              <w:t xml:space="preserve">姓名 </w:t>
            </w:r>
          </w:p>
        </w:tc>
        <w:tc>
          <w:tcPr>
            <w:tcW w:w="1023" w:type="dxa"/>
          </w:tcPr>
          <w:p>
            <w:pPr>
              <w:pStyle w:val="54"/>
              <w:spacing w:before="149"/>
              <w:ind w:right="396"/>
              <w:jc w:val="right"/>
              <w:rPr>
                <w:color w:val="auto"/>
                <w:sz w:val="21"/>
                <w:highlight w:val="none"/>
              </w:rPr>
            </w:pPr>
            <w:r>
              <w:rPr>
                <w:color w:val="auto"/>
                <w:sz w:val="21"/>
                <w:highlight w:val="none"/>
              </w:rPr>
              <w:t xml:space="preserve"> </w:t>
            </w:r>
          </w:p>
        </w:tc>
        <w:tc>
          <w:tcPr>
            <w:tcW w:w="1160" w:type="dxa"/>
          </w:tcPr>
          <w:p>
            <w:pPr>
              <w:pStyle w:val="54"/>
              <w:spacing w:before="149"/>
              <w:ind w:right="46"/>
              <w:jc w:val="right"/>
              <w:rPr>
                <w:color w:val="auto"/>
                <w:sz w:val="21"/>
                <w:highlight w:val="none"/>
              </w:rPr>
            </w:pPr>
            <w:r>
              <w:rPr>
                <w:color w:val="auto"/>
                <w:sz w:val="21"/>
                <w:highlight w:val="none"/>
              </w:rPr>
              <w:t xml:space="preserve">技术职称 </w:t>
            </w:r>
          </w:p>
        </w:tc>
        <w:tc>
          <w:tcPr>
            <w:tcW w:w="1599" w:type="dxa"/>
            <w:gridSpan w:val="2"/>
          </w:tcPr>
          <w:p>
            <w:pPr>
              <w:pStyle w:val="54"/>
              <w:spacing w:before="149"/>
              <w:ind w:left="131"/>
              <w:jc w:val="center"/>
              <w:rPr>
                <w:color w:val="auto"/>
                <w:sz w:val="21"/>
                <w:highlight w:val="none"/>
              </w:rPr>
            </w:pPr>
            <w:r>
              <w:rPr>
                <w:color w:val="auto"/>
                <w:sz w:val="21"/>
                <w:highlight w:val="none"/>
              </w:rPr>
              <w:t xml:space="preserve"> </w:t>
            </w:r>
          </w:p>
        </w:tc>
        <w:tc>
          <w:tcPr>
            <w:tcW w:w="741" w:type="dxa"/>
          </w:tcPr>
          <w:p>
            <w:pPr>
              <w:pStyle w:val="54"/>
              <w:spacing w:before="149"/>
              <w:ind w:right="34"/>
              <w:jc w:val="right"/>
              <w:rPr>
                <w:color w:val="auto"/>
                <w:sz w:val="21"/>
                <w:highlight w:val="none"/>
              </w:rPr>
            </w:pPr>
            <w:r>
              <w:rPr>
                <w:color w:val="auto"/>
                <w:sz w:val="21"/>
                <w:highlight w:val="none"/>
              </w:rPr>
              <w:t xml:space="preserve">电话 </w:t>
            </w:r>
          </w:p>
        </w:tc>
        <w:tc>
          <w:tcPr>
            <w:tcW w:w="1922" w:type="dxa"/>
          </w:tcPr>
          <w:p>
            <w:pPr>
              <w:pStyle w:val="54"/>
              <w:spacing w:before="149"/>
              <w:ind w:right="845"/>
              <w:jc w:val="right"/>
              <w:rPr>
                <w:color w:val="auto"/>
                <w:sz w:val="21"/>
                <w:highlight w:val="none"/>
              </w:rPr>
            </w:pPr>
            <w:r>
              <w:rPr>
                <w:color w:val="auto"/>
                <w:sz w:val="21"/>
                <w:highlight w:val="non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6" w:hRule="atLeast"/>
        </w:trPr>
        <w:tc>
          <w:tcPr>
            <w:tcW w:w="1627" w:type="dxa"/>
          </w:tcPr>
          <w:p>
            <w:pPr>
              <w:pStyle w:val="54"/>
              <w:spacing w:before="147"/>
              <w:ind w:left="321" w:right="206"/>
              <w:jc w:val="center"/>
              <w:rPr>
                <w:color w:val="auto"/>
                <w:sz w:val="21"/>
                <w:highlight w:val="none"/>
              </w:rPr>
            </w:pPr>
            <w:r>
              <w:rPr>
                <w:color w:val="auto"/>
                <w:sz w:val="21"/>
                <w:highlight w:val="none"/>
              </w:rPr>
              <w:t xml:space="preserve">技术负责人 </w:t>
            </w:r>
          </w:p>
        </w:tc>
        <w:tc>
          <w:tcPr>
            <w:tcW w:w="896" w:type="dxa"/>
          </w:tcPr>
          <w:p>
            <w:pPr>
              <w:pStyle w:val="54"/>
              <w:spacing w:before="147"/>
              <w:ind w:left="163" w:right="53"/>
              <w:jc w:val="center"/>
              <w:rPr>
                <w:color w:val="auto"/>
                <w:sz w:val="21"/>
                <w:highlight w:val="none"/>
              </w:rPr>
            </w:pPr>
            <w:r>
              <w:rPr>
                <w:color w:val="auto"/>
                <w:sz w:val="21"/>
                <w:highlight w:val="none"/>
              </w:rPr>
              <w:t xml:space="preserve">姓名 </w:t>
            </w:r>
          </w:p>
        </w:tc>
        <w:tc>
          <w:tcPr>
            <w:tcW w:w="1023" w:type="dxa"/>
          </w:tcPr>
          <w:p>
            <w:pPr>
              <w:pStyle w:val="54"/>
              <w:spacing w:before="147"/>
              <w:ind w:right="396"/>
              <w:jc w:val="right"/>
              <w:rPr>
                <w:color w:val="auto"/>
                <w:sz w:val="21"/>
                <w:highlight w:val="none"/>
              </w:rPr>
            </w:pPr>
            <w:r>
              <w:rPr>
                <w:color w:val="auto"/>
                <w:sz w:val="21"/>
                <w:highlight w:val="none"/>
              </w:rPr>
              <w:t xml:space="preserve"> </w:t>
            </w:r>
          </w:p>
        </w:tc>
        <w:tc>
          <w:tcPr>
            <w:tcW w:w="1160" w:type="dxa"/>
          </w:tcPr>
          <w:p>
            <w:pPr>
              <w:pStyle w:val="54"/>
              <w:spacing w:before="147"/>
              <w:ind w:right="46"/>
              <w:jc w:val="right"/>
              <w:rPr>
                <w:color w:val="auto"/>
                <w:sz w:val="21"/>
                <w:highlight w:val="none"/>
              </w:rPr>
            </w:pPr>
            <w:r>
              <w:rPr>
                <w:color w:val="auto"/>
                <w:sz w:val="21"/>
                <w:highlight w:val="none"/>
              </w:rPr>
              <w:t xml:space="preserve">技术职称 </w:t>
            </w:r>
          </w:p>
        </w:tc>
        <w:tc>
          <w:tcPr>
            <w:tcW w:w="1599" w:type="dxa"/>
            <w:gridSpan w:val="2"/>
          </w:tcPr>
          <w:p>
            <w:pPr>
              <w:pStyle w:val="54"/>
              <w:spacing w:before="147"/>
              <w:ind w:left="131"/>
              <w:jc w:val="center"/>
              <w:rPr>
                <w:color w:val="auto"/>
                <w:sz w:val="21"/>
                <w:highlight w:val="none"/>
              </w:rPr>
            </w:pPr>
            <w:r>
              <w:rPr>
                <w:color w:val="auto"/>
                <w:sz w:val="21"/>
                <w:highlight w:val="none"/>
              </w:rPr>
              <w:t xml:space="preserve"> </w:t>
            </w:r>
          </w:p>
        </w:tc>
        <w:tc>
          <w:tcPr>
            <w:tcW w:w="741" w:type="dxa"/>
          </w:tcPr>
          <w:p>
            <w:pPr>
              <w:pStyle w:val="54"/>
              <w:spacing w:before="147"/>
              <w:ind w:right="34"/>
              <w:jc w:val="right"/>
              <w:rPr>
                <w:color w:val="auto"/>
                <w:sz w:val="21"/>
                <w:highlight w:val="none"/>
              </w:rPr>
            </w:pPr>
            <w:r>
              <w:rPr>
                <w:color w:val="auto"/>
                <w:sz w:val="21"/>
                <w:highlight w:val="none"/>
              </w:rPr>
              <w:t xml:space="preserve">电话 </w:t>
            </w:r>
          </w:p>
        </w:tc>
        <w:tc>
          <w:tcPr>
            <w:tcW w:w="1922" w:type="dxa"/>
          </w:tcPr>
          <w:p>
            <w:pPr>
              <w:pStyle w:val="54"/>
              <w:spacing w:before="147"/>
              <w:ind w:right="845"/>
              <w:jc w:val="right"/>
              <w:rPr>
                <w:color w:val="auto"/>
                <w:sz w:val="21"/>
                <w:highlight w:val="none"/>
              </w:rPr>
            </w:pPr>
            <w:r>
              <w:rPr>
                <w:color w:val="auto"/>
                <w:sz w:val="21"/>
                <w:highlight w:val="non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8" w:hRule="atLeast"/>
        </w:trPr>
        <w:tc>
          <w:tcPr>
            <w:tcW w:w="1627" w:type="dxa"/>
          </w:tcPr>
          <w:p>
            <w:pPr>
              <w:pStyle w:val="54"/>
              <w:spacing w:before="149"/>
              <w:ind w:left="321" w:right="206"/>
              <w:jc w:val="center"/>
              <w:rPr>
                <w:color w:val="auto"/>
                <w:sz w:val="21"/>
                <w:highlight w:val="none"/>
              </w:rPr>
            </w:pPr>
            <w:r>
              <w:rPr>
                <w:color w:val="auto"/>
                <w:sz w:val="21"/>
                <w:highlight w:val="none"/>
              </w:rPr>
              <w:t xml:space="preserve">成立时间 </w:t>
            </w:r>
          </w:p>
        </w:tc>
        <w:tc>
          <w:tcPr>
            <w:tcW w:w="1919" w:type="dxa"/>
            <w:gridSpan w:val="2"/>
          </w:tcPr>
          <w:p>
            <w:pPr>
              <w:pStyle w:val="54"/>
              <w:spacing w:before="149"/>
              <w:ind w:left="108"/>
              <w:jc w:val="center"/>
              <w:rPr>
                <w:color w:val="auto"/>
                <w:sz w:val="21"/>
                <w:highlight w:val="none"/>
              </w:rPr>
            </w:pPr>
            <w:r>
              <w:rPr>
                <w:color w:val="auto"/>
                <w:sz w:val="21"/>
                <w:highlight w:val="none"/>
              </w:rPr>
              <w:t xml:space="preserve"> </w:t>
            </w:r>
          </w:p>
        </w:tc>
        <w:tc>
          <w:tcPr>
            <w:tcW w:w="5422" w:type="dxa"/>
            <w:gridSpan w:val="5"/>
          </w:tcPr>
          <w:p>
            <w:pPr>
              <w:pStyle w:val="54"/>
              <w:spacing w:before="149"/>
              <w:ind w:left="2111" w:right="2001"/>
              <w:jc w:val="center"/>
              <w:rPr>
                <w:color w:val="auto"/>
                <w:sz w:val="21"/>
                <w:highlight w:val="none"/>
              </w:rPr>
            </w:pPr>
            <w:r>
              <w:rPr>
                <w:color w:val="auto"/>
                <w:sz w:val="21"/>
                <w:highlight w:val="none"/>
              </w:rPr>
              <w:t xml:space="preserve">员工总人数：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6" w:hRule="atLeast"/>
        </w:trPr>
        <w:tc>
          <w:tcPr>
            <w:tcW w:w="1627" w:type="dxa"/>
          </w:tcPr>
          <w:p>
            <w:pPr>
              <w:pStyle w:val="54"/>
              <w:spacing w:before="147"/>
              <w:ind w:left="321" w:right="206"/>
              <w:jc w:val="center"/>
              <w:rPr>
                <w:color w:val="auto"/>
                <w:sz w:val="21"/>
                <w:highlight w:val="none"/>
              </w:rPr>
            </w:pPr>
            <w:r>
              <w:rPr>
                <w:color w:val="auto"/>
                <w:sz w:val="21"/>
                <w:highlight w:val="none"/>
              </w:rPr>
              <w:t xml:space="preserve">资质等级 </w:t>
            </w:r>
          </w:p>
        </w:tc>
        <w:tc>
          <w:tcPr>
            <w:tcW w:w="1919" w:type="dxa"/>
            <w:gridSpan w:val="2"/>
          </w:tcPr>
          <w:p>
            <w:pPr>
              <w:pStyle w:val="54"/>
              <w:spacing w:before="147"/>
              <w:ind w:left="108"/>
              <w:jc w:val="center"/>
              <w:rPr>
                <w:color w:val="auto"/>
                <w:sz w:val="21"/>
                <w:highlight w:val="none"/>
              </w:rPr>
            </w:pPr>
            <w:r>
              <w:rPr>
                <w:color w:val="auto"/>
                <w:sz w:val="21"/>
                <w:highlight w:val="none"/>
              </w:rPr>
              <w:t xml:space="preserve"> </w:t>
            </w:r>
          </w:p>
        </w:tc>
        <w:tc>
          <w:tcPr>
            <w:tcW w:w="1160" w:type="dxa"/>
            <w:vMerge w:val="restart"/>
          </w:tcPr>
          <w:p>
            <w:pPr>
              <w:pStyle w:val="54"/>
              <w:rPr>
                <w:color w:val="auto"/>
                <w:sz w:val="20"/>
                <w:highlight w:val="none"/>
              </w:rPr>
            </w:pPr>
          </w:p>
          <w:p>
            <w:pPr>
              <w:pStyle w:val="54"/>
              <w:rPr>
                <w:color w:val="auto"/>
                <w:sz w:val="20"/>
                <w:highlight w:val="none"/>
              </w:rPr>
            </w:pPr>
          </w:p>
          <w:p>
            <w:pPr>
              <w:pStyle w:val="54"/>
              <w:rPr>
                <w:color w:val="auto"/>
                <w:sz w:val="20"/>
                <w:highlight w:val="none"/>
              </w:rPr>
            </w:pPr>
          </w:p>
          <w:p>
            <w:pPr>
              <w:pStyle w:val="54"/>
              <w:rPr>
                <w:color w:val="auto"/>
                <w:sz w:val="20"/>
                <w:highlight w:val="none"/>
              </w:rPr>
            </w:pPr>
          </w:p>
          <w:p>
            <w:pPr>
              <w:pStyle w:val="54"/>
              <w:spacing w:before="8"/>
              <w:rPr>
                <w:color w:val="auto"/>
                <w:sz w:val="21"/>
                <w:highlight w:val="none"/>
              </w:rPr>
            </w:pPr>
          </w:p>
          <w:p>
            <w:pPr>
              <w:pStyle w:val="54"/>
              <w:ind w:left="366"/>
              <w:rPr>
                <w:color w:val="auto"/>
                <w:sz w:val="21"/>
                <w:highlight w:val="none"/>
              </w:rPr>
            </w:pPr>
            <w:r>
              <w:rPr>
                <w:color w:val="auto"/>
                <w:sz w:val="21"/>
                <w:highlight w:val="none"/>
              </w:rPr>
              <w:t xml:space="preserve">其中 </w:t>
            </w:r>
          </w:p>
        </w:tc>
        <w:tc>
          <w:tcPr>
            <w:tcW w:w="1599" w:type="dxa"/>
            <w:gridSpan w:val="2"/>
          </w:tcPr>
          <w:p>
            <w:pPr>
              <w:pStyle w:val="54"/>
              <w:spacing w:before="147"/>
              <w:ind w:left="387"/>
              <w:rPr>
                <w:color w:val="auto"/>
                <w:sz w:val="21"/>
                <w:highlight w:val="none"/>
              </w:rPr>
            </w:pPr>
            <w:r>
              <w:rPr>
                <w:color w:val="auto"/>
                <w:sz w:val="21"/>
                <w:highlight w:val="none"/>
              </w:rPr>
              <w:t xml:space="preserve">项目经理 </w:t>
            </w:r>
          </w:p>
        </w:tc>
        <w:tc>
          <w:tcPr>
            <w:tcW w:w="2663" w:type="dxa"/>
            <w:gridSpan w:val="2"/>
          </w:tcPr>
          <w:p>
            <w:pPr>
              <w:pStyle w:val="54"/>
              <w:spacing w:before="147"/>
              <w:ind w:left="133"/>
              <w:jc w:val="center"/>
              <w:rPr>
                <w:color w:val="auto"/>
                <w:sz w:val="21"/>
                <w:highlight w:val="none"/>
              </w:rPr>
            </w:pPr>
            <w:r>
              <w:rPr>
                <w:color w:val="auto"/>
                <w:sz w:val="21"/>
                <w:highlight w:val="non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8" w:hRule="atLeast"/>
        </w:trPr>
        <w:tc>
          <w:tcPr>
            <w:tcW w:w="1627" w:type="dxa"/>
          </w:tcPr>
          <w:p>
            <w:pPr>
              <w:pStyle w:val="54"/>
              <w:spacing w:before="9" w:line="270" w:lineRule="atLeast"/>
              <w:ind w:left="602" w:right="170" w:hanging="420"/>
              <w:rPr>
                <w:color w:val="auto"/>
                <w:sz w:val="21"/>
                <w:highlight w:val="none"/>
              </w:rPr>
            </w:pPr>
            <w:r>
              <w:rPr>
                <w:color w:val="auto"/>
                <w:sz w:val="21"/>
                <w:highlight w:val="none"/>
              </w:rPr>
              <w:t xml:space="preserve">安全生产许可证号 </w:t>
            </w:r>
          </w:p>
        </w:tc>
        <w:tc>
          <w:tcPr>
            <w:tcW w:w="1919" w:type="dxa"/>
            <w:gridSpan w:val="2"/>
          </w:tcPr>
          <w:p>
            <w:pPr>
              <w:pStyle w:val="54"/>
              <w:spacing w:before="150"/>
              <w:ind w:left="108"/>
              <w:jc w:val="center"/>
              <w:rPr>
                <w:color w:val="auto"/>
                <w:sz w:val="21"/>
                <w:highlight w:val="none"/>
              </w:rPr>
            </w:pPr>
            <w:r>
              <w:rPr>
                <w:color w:val="auto"/>
                <w:sz w:val="21"/>
                <w:highlight w:val="none"/>
              </w:rPr>
              <w:t xml:space="preserve"> </w:t>
            </w:r>
          </w:p>
        </w:tc>
        <w:tc>
          <w:tcPr>
            <w:tcW w:w="1160" w:type="dxa"/>
            <w:vMerge w:val="continue"/>
            <w:tcBorders>
              <w:top w:val="nil"/>
            </w:tcBorders>
          </w:tcPr>
          <w:p>
            <w:pPr>
              <w:rPr>
                <w:color w:val="auto"/>
                <w:sz w:val="2"/>
                <w:szCs w:val="2"/>
                <w:highlight w:val="none"/>
              </w:rPr>
            </w:pPr>
          </w:p>
        </w:tc>
        <w:tc>
          <w:tcPr>
            <w:tcW w:w="1599" w:type="dxa"/>
            <w:gridSpan w:val="2"/>
          </w:tcPr>
          <w:p>
            <w:pPr>
              <w:pStyle w:val="54"/>
              <w:spacing w:before="150"/>
              <w:ind w:left="178"/>
              <w:rPr>
                <w:color w:val="auto"/>
                <w:sz w:val="21"/>
                <w:highlight w:val="none"/>
              </w:rPr>
            </w:pPr>
            <w:r>
              <w:rPr>
                <w:color w:val="auto"/>
                <w:sz w:val="21"/>
                <w:highlight w:val="none"/>
              </w:rPr>
              <w:t xml:space="preserve">高级职称人员 </w:t>
            </w:r>
          </w:p>
        </w:tc>
        <w:tc>
          <w:tcPr>
            <w:tcW w:w="2663" w:type="dxa"/>
            <w:gridSpan w:val="2"/>
          </w:tcPr>
          <w:p>
            <w:pPr>
              <w:pStyle w:val="54"/>
              <w:spacing w:before="150"/>
              <w:ind w:left="133"/>
              <w:jc w:val="center"/>
              <w:rPr>
                <w:color w:val="auto"/>
                <w:sz w:val="21"/>
                <w:highlight w:val="none"/>
              </w:rPr>
            </w:pPr>
            <w:r>
              <w:rPr>
                <w:color w:val="auto"/>
                <w:sz w:val="21"/>
                <w:highlight w:val="non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5" w:hRule="atLeast"/>
        </w:trPr>
        <w:tc>
          <w:tcPr>
            <w:tcW w:w="1627" w:type="dxa"/>
          </w:tcPr>
          <w:p>
            <w:pPr>
              <w:pStyle w:val="54"/>
              <w:spacing w:before="147"/>
              <w:ind w:left="321" w:right="206"/>
              <w:jc w:val="center"/>
              <w:rPr>
                <w:color w:val="auto"/>
                <w:sz w:val="21"/>
                <w:highlight w:val="none"/>
              </w:rPr>
            </w:pPr>
            <w:r>
              <w:rPr>
                <w:color w:val="auto"/>
                <w:sz w:val="21"/>
                <w:highlight w:val="none"/>
              </w:rPr>
              <w:t xml:space="preserve">注册资金 </w:t>
            </w:r>
          </w:p>
        </w:tc>
        <w:tc>
          <w:tcPr>
            <w:tcW w:w="1919" w:type="dxa"/>
            <w:gridSpan w:val="2"/>
          </w:tcPr>
          <w:p>
            <w:pPr>
              <w:pStyle w:val="54"/>
              <w:spacing w:before="147"/>
              <w:ind w:left="108"/>
              <w:jc w:val="center"/>
              <w:rPr>
                <w:color w:val="auto"/>
                <w:sz w:val="21"/>
                <w:highlight w:val="none"/>
              </w:rPr>
            </w:pPr>
            <w:r>
              <w:rPr>
                <w:color w:val="auto"/>
                <w:sz w:val="21"/>
                <w:highlight w:val="none"/>
              </w:rPr>
              <w:t xml:space="preserve"> </w:t>
            </w:r>
          </w:p>
        </w:tc>
        <w:tc>
          <w:tcPr>
            <w:tcW w:w="1160" w:type="dxa"/>
            <w:vMerge w:val="continue"/>
            <w:tcBorders>
              <w:top w:val="nil"/>
            </w:tcBorders>
          </w:tcPr>
          <w:p>
            <w:pPr>
              <w:rPr>
                <w:color w:val="auto"/>
                <w:sz w:val="2"/>
                <w:szCs w:val="2"/>
                <w:highlight w:val="none"/>
              </w:rPr>
            </w:pPr>
          </w:p>
        </w:tc>
        <w:tc>
          <w:tcPr>
            <w:tcW w:w="1599" w:type="dxa"/>
            <w:gridSpan w:val="2"/>
          </w:tcPr>
          <w:p>
            <w:pPr>
              <w:pStyle w:val="54"/>
              <w:spacing w:before="147"/>
              <w:ind w:left="178"/>
              <w:rPr>
                <w:color w:val="auto"/>
                <w:sz w:val="21"/>
                <w:highlight w:val="none"/>
              </w:rPr>
            </w:pPr>
            <w:r>
              <w:rPr>
                <w:color w:val="auto"/>
                <w:sz w:val="21"/>
                <w:highlight w:val="none"/>
              </w:rPr>
              <w:t xml:space="preserve">中级职称人员 </w:t>
            </w:r>
          </w:p>
        </w:tc>
        <w:tc>
          <w:tcPr>
            <w:tcW w:w="2663" w:type="dxa"/>
            <w:gridSpan w:val="2"/>
          </w:tcPr>
          <w:p>
            <w:pPr>
              <w:pStyle w:val="54"/>
              <w:spacing w:before="147"/>
              <w:ind w:left="133"/>
              <w:jc w:val="center"/>
              <w:rPr>
                <w:color w:val="auto"/>
                <w:sz w:val="21"/>
                <w:highlight w:val="none"/>
              </w:rPr>
            </w:pPr>
            <w:r>
              <w:rPr>
                <w:color w:val="auto"/>
                <w:sz w:val="21"/>
                <w:highlight w:val="non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6" w:hRule="atLeast"/>
        </w:trPr>
        <w:tc>
          <w:tcPr>
            <w:tcW w:w="1627" w:type="dxa"/>
          </w:tcPr>
          <w:p>
            <w:pPr>
              <w:pStyle w:val="54"/>
              <w:spacing w:before="147"/>
              <w:ind w:left="321" w:right="206"/>
              <w:jc w:val="center"/>
              <w:rPr>
                <w:color w:val="auto"/>
                <w:sz w:val="21"/>
                <w:highlight w:val="none"/>
              </w:rPr>
            </w:pPr>
            <w:r>
              <w:rPr>
                <w:color w:val="auto"/>
                <w:sz w:val="21"/>
                <w:highlight w:val="none"/>
              </w:rPr>
              <w:t xml:space="preserve">开户银行 </w:t>
            </w:r>
          </w:p>
        </w:tc>
        <w:tc>
          <w:tcPr>
            <w:tcW w:w="1919" w:type="dxa"/>
            <w:gridSpan w:val="2"/>
          </w:tcPr>
          <w:p>
            <w:pPr>
              <w:pStyle w:val="54"/>
              <w:spacing w:before="147"/>
              <w:ind w:left="108"/>
              <w:jc w:val="center"/>
              <w:rPr>
                <w:color w:val="auto"/>
                <w:sz w:val="21"/>
                <w:highlight w:val="none"/>
              </w:rPr>
            </w:pPr>
            <w:r>
              <w:rPr>
                <w:color w:val="auto"/>
                <w:sz w:val="21"/>
                <w:highlight w:val="none"/>
              </w:rPr>
              <w:t xml:space="preserve"> </w:t>
            </w:r>
          </w:p>
        </w:tc>
        <w:tc>
          <w:tcPr>
            <w:tcW w:w="1160" w:type="dxa"/>
            <w:vMerge w:val="continue"/>
            <w:tcBorders>
              <w:top w:val="nil"/>
            </w:tcBorders>
          </w:tcPr>
          <w:p>
            <w:pPr>
              <w:rPr>
                <w:color w:val="auto"/>
                <w:sz w:val="2"/>
                <w:szCs w:val="2"/>
                <w:highlight w:val="none"/>
              </w:rPr>
            </w:pPr>
          </w:p>
        </w:tc>
        <w:tc>
          <w:tcPr>
            <w:tcW w:w="1599" w:type="dxa"/>
            <w:gridSpan w:val="2"/>
          </w:tcPr>
          <w:p>
            <w:pPr>
              <w:pStyle w:val="54"/>
              <w:spacing w:before="147"/>
              <w:ind w:left="178"/>
              <w:rPr>
                <w:color w:val="auto"/>
                <w:sz w:val="21"/>
                <w:highlight w:val="none"/>
              </w:rPr>
            </w:pPr>
            <w:r>
              <w:rPr>
                <w:color w:val="auto"/>
                <w:sz w:val="21"/>
                <w:highlight w:val="none"/>
              </w:rPr>
              <w:t xml:space="preserve">初级职称人员 </w:t>
            </w:r>
          </w:p>
        </w:tc>
        <w:tc>
          <w:tcPr>
            <w:tcW w:w="2663" w:type="dxa"/>
            <w:gridSpan w:val="2"/>
          </w:tcPr>
          <w:p>
            <w:pPr>
              <w:pStyle w:val="54"/>
              <w:spacing w:before="147"/>
              <w:ind w:left="133"/>
              <w:jc w:val="center"/>
              <w:rPr>
                <w:color w:val="auto"/>
                <w:sz w:val="21"/>
                <w:highlight w:val="none"/>
              </w:rPr>
            </w:pPr>
            <w:r>
              <w:rPr>
                <w:color w:val="auto"/>
                <w:sz w:val="21"/>
                <w:highlight w:val="non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8" w:hRule="atLeast"/>
        </w:trPr>
        <w:tc>
          <w:tcPr>
            <w:tcW w:w="1627" w:type="dxa"/>
          </w:tcPr>
          <w:p>
            <w:pPr>
              <w:pStyle w:val="54"/>
              <w:spacing w:before="150"/>
              <w:ind w:left="318" w:right="206"/>
              <w:jc w:val="center"/>
              <w:rPr>
                <w:color w:val="auto"/>
                <w:sz w:val="21"/>
                <w:highlight w:val="none"/>
              </w:rPr>
            </w:pPr>
            <w:r>
              <w:rPr>
                <w:color w:val="auto"/>
                <w:sz w:val="21"/>
                <w:highlight w:val="none"/>
              </w:rPr>
              <w:t xml:space="preserve">账号 </w:t>
            </w:r>
          </w:p>
        </w:tc>
        <w:tc>
          <w:tcPr>
            <w:tcW w:w="1919" w:type="dxa"/>
            <w:gridSpan w:val="2"/>
          </w:tcPr>
          <w:p>
            <w:pPr>
              <w:pStyle w:val="54"/>
              <w:spacing w:before="150"/>
              <w:ind w:left="108"/>
              <w:jc w:val="center"/>
              <w:rPr>
                <w:color w:val="auto"/>
                <w:sz w:val="21"/>
                <w:highlight w:val="none"/>
              </w:rPr>
            </w:pPr>
            <w:r>
              <w:rPr>
                <w:color w:val="auto"/>
                <w:sz w:val="21"/>
                <w:highlight w:val="none"/>
              </w:rPr>
              <w:t xml:space="preserve"> </w:t>
            </w:r>
          </w:p>
        </w:tc>
        <w:tc>
          <w:tcPr>
            <w:tcW w:w="1160" w:type="dxa"/>
            <w:vMerge w:val="continue"/>
            <w:tcBorders>
              <w:top w:val="nil"/>
            </w:tcBorders>
          </w:tcPr>
          <w:p>
            <w:pPr>
              <w:rPr>
                <w:color w:val="auto"/>
                <w:sz w:val="2"/>
                <w:szCs w:val="2"/>
                <w:highlight w:val="none"/>
              </w:rPr>
            </w:pPr>
          </w:p>
        </w:tc>
        <w:tc>
          <w:tcPr>
            <w:tcW w:w="1599" w:type="dxa"/>
            <w:gridSpan w:val="2"/>
          </w:tcPr>
          <w:p>
            <w:pPr>
              <w:pStyle w:val="54"/>
              <w:spacing w:before="150"/>
              <w:ind w:left="493"/>
              <w:rPr>
                <w:color w:val="auto"/>
                <w:sz w:val="21"/>
                <w:highlight w:val="none"/>
              </w:rPr>
            </w:pPr>
            <w:r>
              <w:rPr>
                <w:color w:val="auto"/>
                <w:sz w:val="21"/>
                <w:highlight w:val="none"/>
              </w:rPr>
              <w:t xml:space="preserve">技 工 </w:t>
            </w:r>
          </w:p>
        </w:tc>
        <w:tc>
          <w:tcPr>
            <w:tcW w:w="2663" w:type="dxa"/>
            <w:gridSpan w:val="2"/>
          </w:tcPr>
          <w:p>
            <w:pPr>
              <w:pStyle w:val="54"/>
              <w:spacing w:before="150"/>
              <w:ind w:left="133"/>
              <w:jc w:val="center"/>
              <w:rPr>
                <w:color w:val="auto"/>
                <w:sz w:val="21"/>
                <w:highlight w:val="none"/>
              </w:rPr>
            </w:pPr>
            <w:r>
              <w:rPr>
                <w:color w:val="auto"/>
                <w:sz w:val="21"/>
                <w:highlight w:val="non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16" w:hRule="atLeast"/>
        </w:trPr>
        <w:tc>
          <w:tcPr>
            <w:tcW w:w="1627" w:type="dxa"/>
          </w:tcPr>
          <w:p>
            <w:pPr>
              <w:pStyle w:val="54"/>
              <w:rPr>
                <w:color w:val="auto"/>
                <w:sz w:val="20"/>
                <w:highlight w:val="none"/>
              </w:rPr>
            </w:pPr>
          </w:p>
          <w:p>
            <w:pPr>
              <w:pStyle w:val="54"/>
              <w:spacing w:before="8"/>
              <w:rPr>
                <w:color w:val="auto"/>
                <w:sz w:val="24"/>
                <w:highlight w:val="none"/>
              </w:rPr>
            </w:pPr>
          </w:p>
          <w:p>
            <w:pPr>
              <w:pStyle w:val="54"/>
              <w:ind w:left="321" w:right="206"/>
              <w:jc w:val="center"/>
              <w:rPr>
                <w:color w:val="auto"/>
                <w:sz w:val="21"/>
                <w:highlight w:val="none"/>
              </w:rPr>
            </w:pPr>
            <w:r>
              <w:rPr>
                <w:color w:val="auto"/>
                <w:sz w:val="21"/>
                <w:highlight w:val="none"/>
              </w:rPr>
              <w:t xml:space="preserve">经营范围 </w:t>
            </w:r>
          </w:p>
        </w:tc>
        <w:tc>
          <w:tcPr>
            <w:tcW w:w="7341" w:type="dxa"/>
            <w:gridSpan w:val="7"/>
          </w:tcPr>
          <w:p>
            <w:pPr>
              <w:pStyle w:val="54"/>
              <w:rPr>
                <w:color w:val="auto"/>
                <w:sz w:val="20"/>
                <w:highlight w:val="none"/>
              </w:rPr>
            </w:pPr>
          </w:p>
          <w:p>
            <w:pPr>
              <w:pStyle w:val="54"/>
              <w:spacing w:before="8"/>
              <w:rPr>
                <w:color w:val="auto"/>
                <w:sz w:val="24"/>
                <w:highlight w:val="none"/>
              </w:rPr>
            </w:pPr>
          </w:p>
          <w:p>
            <w:pPr>
              <w:pStyle w:val="54"/>
              <w:ind w:left="110"/>
              <w:jc w:val="center"/>
              <w:rPr>
                <w:color w:val="auto"/>
                <w:sz w:val="21"/>
                <w:highlight w:val="none"/>
              </w:rPr>
            </w:pPr>
            <w:r>
              <w:rPr>
                <w:color w:val="auto"/>
                <w:sz w:val="21"/>
                <w:highlight w:val="non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5" w:hRule="atLeast"/>
        </w:trPr>
        <w:tc>
          <w:tcPr>
            <w:tcW w:w="1627" w:type="dxa"/>
          </w:tcPr>
          <w:p>
            <w:pPr>
              <w:pStyle w:val="54"/>
              <w:spacing w:before="147"/>
              <w:ind w:left="318" w:right="206"/>
              <w:jc w:val="center"/>
              <w:rPr>
                <w:color w:val="auto"/>
                <w:sz w:val="21"/>
                <w:highlight w:val="none"/>
              </w:rPr>
            </w:pPr>
            <w:r>
              <w:rPr>
                <w:color w:val="auto"/>
                <w:sz w:val="21"/>
                <w:highlight w:val="none"/>
              </w:rPr>
              <w:t xml:space="preserve">备注 </w:t>
            </w:r>
          </w:p>
        </w:tc>
        <w:tc>
          <w:tcPr>
            <w:tcW w:w="7341" w:type="dxa"/>
            <w:gridSpan w:val="7"/>
          </w:tcPr>
          <w:p>
            <w:pPr>
              <w:pStyle w:val="54"/>
              <w:spacing w:before="147"/>
              <w:ind w:left="110"/>
              <w:jc w:val="center"/>
              <w:rPr>
                <w:color w:val="auto"/>
                <w:sz w:val="21"/>
                <w:highlight w:val="none"/>
              </w:rPr>
            </w:pPr>
            <w:r>
              <w:rPr>
                <w:color w:val="auto"/>
                <w:sz w:val="21"/>
                <w:highlight w:val="none"/>
              </w:rPr>
              <w:t xml:space="preserve"> </w:t>
            </w:r>
          </w:p>
        </w:tc>
      </w:tr>
    </w:tbl>
    <w:p>
      <w:pPr>
        <w:pStyle w:val="2"/>
        <w:spacing w:before="47" w:line="285" w:lineRule="auto"/>
        <w:ind w:left="658" w:right="680"/>
        <w:rPr>
          <w:b/>
          <w:bCs/>
          <w:color w:val="auto"/>
          <w:highlight w:val="none"/>
        </w:rPr>
      </w:pPr>
      <w:r>
        <w:rPr>
          <w:b/>
          <w:bCs/>
          <w:color w:val="auto"/>
          <w:highlight w:val="none"/>
        </w:rPr>
        <w:t xml:space="preserve">【备注：附有效的营业执照、企业资质证书、安全生产许可证扫描件。以上扫描件均须加盖供应商电子签章】 </w:t>
      </w:r>
    </w:p>
    <w:p>
      <w:pPr>
        <w:pStyle w:val="2"/>
        <w:ind w:left="658"/>
        <w:rPr>
          <w:color w:val="auto"/>
          <w:highlight w:val="none"/>
        </w:rPr>
        <w:sectPr>
          <w:pgSz w:w="11900" w:h="16850"/>
          <w:pgMar w:top="1400" w:right="760" w:bottom="1320" w:left="760" w:header="1158" w:footer="1133" w:gutter="0"/>
          <w:cols w:space="720" w:num="1"/>
        </w:sectPr>
      </w:pPr>
      <w:r>
        <w:rPr>
          <w:color w:val="auto"/>
          <w:highlight w:val="none"/>
        </w:rPr>
        <w:t xml:space="preserve"> </w:t>
      </w:r>
    </w:p>
    <w:p>
      <w:pPr>
        <w:pStyle w:val="2"/>
        <w:spacing w:before="6" w:line="360" w:lineRule="auto"/>
        <w:rPr>
          <w:color w:val="auto"/>
          <w:sz w:val="8"/>
          <w:highlight w:val="none"/>
        </w:rPr>
      </w:pPr>
    </w:p>
    <w:p>
      <w:pPr>
        <w:spacing w:before="67" w:line="360" w:lineRule="auto"/>
        <w:ind w:right="599"/>
        <w:jc w:val="center"/>
        <w:rPr>
          <w:color w:val="auto"/>
          <w:sz w:val="32"/>
          <w:highlight w:val="none"/>
        </w:rPr>
      </w:pPr>
      <w:r>
        <w:rPr>
          <w:rFonts w:hint="eastAsia"/>
          <w:color w:val="auto"/>
          <w:sz w:val="32"/>
          <w:highlight w:val="none"/>
          <w:lang w:eastAsia="zh-CN"/>
        </w:rPr>
        <w:t>建</w:t>
      </w:r>
      <w:r>
        <w:rPr>
          <w:color w:val="auto"/>
          <w:sz w:val="32"/>
          <w:highlight w:val="none"/>
        </w:rPr>
        <w:t>设工程项目管理承诺书</w:t>
      </w:r>
    </w:p>
    <w:p>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textAlignment w:val="auto"/>
        <w:rPr>
          <w:color w:val="auto"/>
          <w:sz w:val="24"/>
          <w:szCs w:val="24"/>
          <w:highlight w:val="none"/>
        </w:rPr>
      </w:pPr>
      <w:r>
        <w:rPr>
          <w:color w:val="auto"/>
          <w:sz w:val="24"/>
          <w:szCs w:val="24"/>
          <w:highlight w:val="none"/>
        </w:rPr>
        <w:t>致</w:t>
      </w:r>
      <w:r>
        <w:rPr>
          <w:color w:val="auto"/>
          <w:sz w:val="24"/>
          <w:szCs w:val="24"/>
          <w:highlight w:val="none"/>
          <w:u w:val="single"/>
        </w:rPr>
        <w:t xml:space="preserve">       （ 采 购 单 位 名 称 ）</w:t>
      </w:r>
      <w:r>
        <w:rPr>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textAlignment w:val="auto"/>
        <w:rPr>
          <w:color w:val="auto"/>
          <w:sz w:val="24"/>
          <w:szCs w:val="24"/>
          <w:highlight w:val="none"/>
        </w:rPr>
      </w:pPr>
      <w:r>
        <w:rPr>
          <w:color w:val="auto"/>
          <w:sz w:val="24"/>
          <w:szCs w:val="24"/>
          <w:highlight w:val="none"/>
        </w:rPr>
        <w:t>根据《广西壮族自治区人力资源和社会保障厅关于印发〈广西壮族自治区人力资源社会保障《保障农民工工资支付条例》第五十四条行政裁量权基准〉的通知、《关于明确农民工工资保证金制度有关问题的通知》（桂薪联发﹝2016﹞2 号）规定，在</w:t>
      </w:r>
      <w:r>
        <w:rPr>
          <w:color w:val="auto"/>
          <w:sz w:val="24"/>
          <w:szCs w:val="24"/>
          <w:highlight w:val="none"/>
          <w:u w:val="single"/>
        </w:rPr>
        <w:t xml:space="preserve">       </w:t>
      </w:r>
      <w:r>
        <w:rPr>
          <w:rFonts w:hint="eastAsia"/>
          <w:color w:val="auto"/>
          <w:sz w:val="24"/>
          <w:szCs w:val="24"/>
          <w:highlight w:val="none"/>
          <w:u w:val="single"/>
        </w:rPr>
        <w:t>（项目名称）</w:t>
      </w:r>
      <w:r>
        <w:rPr>
          <w:color w:val="auto"/>
          <w:sz w:val="24"/>
          <w:szCs w:val="24"/>
          <w:highlight w:val="none"/>
          <w:u w:val="single"/>
        </w:rPr>
        <w:t xml:space="preserve">  </w:t>
      </w:r>
      <w:r>
        <w:rPr>
          <w:color w:val="auto"/>
          <w:sz w:val="24"/>
          <w:szCs w:val="24"/>
          <w:highlight w:val="none"/>
        </w:rPr>
        <w:t xml:space="preserve">施工竞标合同段的竞标中，我单位对农民工工资的支付作出以下郑重承诺： </w:t>
      </w:r>
    </w:p>
    <w:p>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textAlignment w:val="auto"/>
        <w:rPr>
          <w:color w:val="auto"/>
          <w:sz w:val="24"/>
          <w:szCs w:val="24"/>
          <w:highlight w:val="none"/>
        </w:rPr>
      </w:pPr>
      <w:r>
        <w:rPr>
          <w:color w:val="auto"/>
          <w:sz w:val="24"/>
          <w:szCs w:val="24"/>
          <w:highlight w:val="none"/>
        </w:rPr>
        <w:t>（一）我单位在本竞标项目递交响应文件截止时间</w:t>
      </w:r>
      <w:r>
        <w:rPr>
          <w:color w:val="auto"/>
          <w:sz w:val="24"/>
          <w:szCs w:val="24"/>
          <w:highlight w:val="none"/>
          <w:u w:val="single"/>
        </w:rPr>
        <w:t xml:space="preserve">       （开标日）</w:t>
      </w:r>
      <w:r>
        <w:rPr>
          <w:color w:val="auto"/>
          <w:sz w:val="24"/>
          <w:szCs w:val="24"/>
          <w:highlight w:val="none"/>
        </w:rPr>
        <w:t xml:space="preserve">前所承建的工程项目， 不存在拖欠或克扣农民工工资的行为。 </w:t>
      </w:r>
    </w:p>
    <w:p>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textAlignment w:val="auto"/>
        <w:rPr>
          <w:color w:val="auto"/>
          <w:sz w:val="24"/>
          <w:szCs w:val="24"/>
          <w:highlight w:val="none"/>
        </w:rPr>
      </w:pPr>
      <w:r>
        <w:rPr>
          <w:color w:val="auto"/>
          <w:sz w:val="24"/>
          <w:szCs w:val="24"/>
          <w:highlight w:val="none"/>
        </w:rPr>
        <w:t xml:space="preserve">（二）竞标成交后，我单位同意在签订合同后在工程项目所在地商业银行开设农民工工资保证金专用账户，并按竞争性磋商文件规定的农民工工资保证金额度预存一定数额的资金作为农民工工资保证金或向发包人提供由工程项目所在地（工程项目所在省区范围内）商业银行出具同等金额农民工工资保证金银行保函，并到工程项目所在地具有管辖权的人力资源社会保障部门备案。 </w:t>
      </w:r>
    </w:p>
    <w:p>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textAlignment w:val="auto"/>
        <w:rPr>
          <w:color w:val="auto"/>
          <w:sz w:val="24"/>
          <w:szCs w:val="24"/>
          <w:highlight w:val="none"/>
        </w:rPr>
      </w:pPr>
      <w:r>
        <w:rPr>
          <w:color w:val="auto"/>
          <w:sz w:val="24"/>
          <w:szCs w:val="24"/>
          <w:highlight w:val="none"/>
        </w:rPr>
        <w:t xml:space="preserve">（三）在项目实施过程中，若出现结算价与成交价不一致时，以实际结算金额按竞争性磋商文件规定的计算额度存入农民工工资保证金。 </w:t>
      </w:r>
    </w:p>
    <w:p>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jc w:val="left"/>
        <w:textAlignment w:val="auto"/>
        <w:rPr>
          <w:color w:val="auto"/>
          <w:sz w:val="24"/>
          <w:szCs w:val="24"/>
          <w:highlight w:val="none"/>
        </w:rPr>
      </w:pPr>
      <w:r>
        <w:rPr>
          <w:color w:val="auto"/>
          <w:sz w:val="24"/>
          <w:szCs w:val="24"/>
          <w:highlight w:val="none"/>
        </w:rPr>
        <w:t>（四）我单位向建设单位承诺依法足额支付农民工工资，一旦我单位（包含我单位的分包商）承建</w:t>
      </w:r>
      <w:r>
        <w:rPr>
          <w:rFonts w:hint="eastAsia"/>
          <w:color w:val="auto"/>
          <w:sz w:val="24"/>
          <w:szCs w:val="24"/>
          <w:highlight w:val="none"/>
          <w:u w:val="single"/>
          <w:lang w:val="en-US" w:eastAsia="zh-CN"/>
        </w:rPr>
        <w:t xml:space="preserve">                                                    </w:t>
      </w:r>
      <w:r>
        <w:rPr>
          <w:color w:val="auto"/>
          <w:sz w:val="24"/>
          <w:szCs w:val="24"/>
          <w:highlight w:val="none"/>
        </w:rPr>
        <w:t>的施 工竞 标</w:t>
      </w:r>
      <w:r>
        <w:rPr>
          <w:rFonts w:hint="eastAsia"/>
          <w:color w:val="auto"/>
          <w:sz w:val="24"/>
          <w:szCs w:val="24"/>
          <w:highlight w:val="none"/>
        </w:rPr>
        <w:t xml:space="preserve"> </w:t>
      </w:r>
      <w:r>
        <w:rPr>
          <w:color w:val="auto"/>
          <w:sz w:val="24"/>
          <w:szCs w:val="24"/>
          <w:highlight w:val="none"/>
        </w:rPr>
        <w:t xml:space="preserve">标 段 出 现 拖 欠 农 民 工 工 资 情 况 的 ，可由劳动保障、交通主管部门（或授权机构）及建设单位根据相关规定从其农民工工资保证金中先予支取。 </w:t>
      </w:r>
    </w:p>
    <w:p>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textAlignment w:val="auto"/>
        <w:rPr>
          <w:color w:val="auto"/>
          <w:sz w:val="24"/>
          <w:szCs w:val="24"/>
          <w:highlight w:val="none"/>
        </w:rPr>
      </w:pPr>
      <w:r>
        <w:rPr>
          <w:color w:val="auto"/>
          <w:sz w:val="24"/>
          <w:szCs w:val="24"/>
          <w:highlight w:val="none"/>
        </w:rPr>
        <w:t xml:space="preserve">（五）其它未尽事宜按《保障农民工工资支付条例》（中华人民共和国国务院令第 724 号）、《关于明确农民工工资保证金制度有关问题的通知》（桂薪联发﹝2016﹞2 号）、《关于印发广西壮族自治区公路发展中心公路工程建设农民工管理实施细则（修订）的通知》(桂路工程发[2014]3 00 号)等有关规定执行。 </w:t>
      </w:r>
    </w:p>
    <w:p>
      <w:pPr>
        <w:pStyle w:val="2"/>
        <w:spacing w:line="360" w:lineRule="auto"/>
        <w:ind w:left="565" w:leftChars="257" w:right="174" w:rightChars="79"/>
        <w:rPr>
          <w:color w:val="auto"/>
          <w:sz w:val="24"/>
          <w:szCs w:val="24"/>
          <w:highlight w:val="none"/>
        </w:rPr>
      </w:pPr>
      <w:r>
        <w:rPr>
          <w:color w:val="auto"/>
          <w:sz w:val="24"/>
          <w:szCs w:val="24"/>
          <w:highlight w:val="none"/>
        </w:rPr>
        <w:t xml:space="preserve"> </w:t>
      </w:r>
    </w:p>
    <w:p>
      <w:pPr>
        <w:pStyle w:val="2"/>
        <w:spacing w:line="360" w:lineRule="auto"/>
        <w:ind w:left="565" w:leftChars="257" w:right="174" w:rightChars="79"/>
        <w:jc w:val="right"/>
        <w:rPr>
          <w:color w:val="auto"/>
          <w:sz w:val="24"/>
          <w:szCs w:val="24"/>
          <w:highlight w:val="none"/>
        </w:rPr>
      </w:pPr>
      <w:r>
        <w:rPr>
          <w:color w:val="auto"/>
          <w:sz w:val="24"/>
          <w:szCs w:val="24"/>
          <w:highlight w:val="none"/>
        </w:rPr>
        <w:t>供 应 商 ：</w:t>
      </w:r>
      <w:r>
        <w:rPr>
          <w:color w:val="auto"/>
          <w:sz w:val="24"/>
          <w:szCs w:val="24"/>
          <w:highlight w:val="none"/>
          <w:u w:val="single"/>
        </w:rPr>
        <w:t xml:space="preserve">        </w:t>
      </w:r>
      <w:r>
        <w:rPr>
          <w:color w:val="auto"/>
          <w:sz w:val="24"/>
          <w:szCs w:val="24"/>
          <w:highlight w:val="none"/>
        </w:rPr>
        <w:t xml:space="preserve">（ 电 子 签 章 ） </w:t>
      </w:r>
    </w:p>
    <w:p>
      <w:pPr>
        <w:pStyle w:val="2"/>
        <w:spacing w:line="360" w:lineRule="auto"/>
        <w:ind w:left="565" w:leftChars="257" w:right="174" w:rightChars="79"/>
        <w:jc w:val="right"/>
        <w:rPr>
          <w:color w:val="auto"/>
          <w:spacing w:val="-3"/>
          <w:sz w:val="24"/>
          <w:szCs w:val="24"/>
          <w:highlight w:val="none"/>
        </w:rPr>
      </w:pPr>
      <w:r>
        <w:rPr>
          <w:color w:val="auto"/>
          <w:spacing w:val="-3"/>
          <w:sz w:val="24"/>
          <w:szCs w:val="24"/>
          <w:highlight w:val="none"/>
        </w:rPr>
        <w:t>法定代表人或授权代理人：</w:t>
      </w:r>
      <w:r>
        <w:rPr>
          <w:color w:val="auto"/>
          <w:spacing w:val="2"/>
          <w:sz w:val="24"/>
          <w:szCs w:val="24"/>
          <w:highlight w:val="none"/>
          <w:u w:val="single"/>
        </w:rPr>
        <w:t xml:space="preserve">         </w:t>
      </w:r>
      <w:r>
        <w:rPr>
          <w:color w:val="auto"/>
          <w:spacing w:val="-3"/>
          <w:sz w:val="24"/>
          <w:szCs w:val="24"/>
          <w:highlight w:val="none"/>
        </w:rPr>
        <w:t>（</w:t>
      </w:r>
      <w:r>
        <w:rPr>
          <w:color w:val="auto"/>
          <w:spacing w:val="-2"/>
          <w:sz w:val="24"/>
          <w:szCs w:val="24"/>
          <w:highlight w:val="none"/>
        </w:rPr>
        <w:t>签字</w:t>
      </w:r>
      <w:r>
        <w:rPr>
          <w:color w:val="auto"/>
          <w:sz w:val="24"/>
          <w:szCs w:val="24"/>
          <w:highlight w:val="none"/>
        </w:rPr>
        <w:t>/</w:t>
      </w:r>
      <w:r>
        <w:rPr>
          <w:color w:val="auto"/>
          <w:spacing w:val="-2"/>
          <w:sz w:val="24"/>
          <w:szCs w:val="24"/>
          <w:highlight w:val="none"/>
        </w:rPr>
        <w:t>电子签名</w:t>
      </w:r>
      <w:r>
        <w:rPr>
          <w:color w:val="auto"/>
          <w:spacing w:val="-3"/>
          <w:sz w:val="24"/>
          <w:szCs w:val="24"/>
          <w:highlight w:val="none"/>
        </w:rPr>
        <w:t xml:space="preserve">） </w:t>
      </w:r>
    </w:p>
    <w:p>
      <w:pPr>
        <w:pStyle w:val="2"/>
        <w:spacing w:line="360" w:lineRule="auto"/>
        <w:ind w:left="565" w:leftChars="257" w:right="174" w:rightChars="79"/>
        <w:jc w:val="right"/>
        <w:rPr>
          <w:color w:val="auto"/>
          <w:sz w:val="24"/>
          <w:szCs w:val="24"/>
          <w:highlight w:val="none"/>
        </w:rPr>
      </w:pPr>
      <w:r>
        <w:rPr>
          <w:color w:val="auto"/>
          <w:spacing w:val="-1"/>
          <w:sz w:val="24"/>
          <w:szCs w:val="24"/>
          <w:highlight w:val="none"/>
        </w:rPr>
        <w:t>日 期 ：</w:t>
      </w:r>
      <w:r>
        <w:rPr>
          <w:rFonts w:hint="eastAsia"/>
          <w:color w:val="auto"/>
          <w:spacing w:val="-1"/>
          <w:sz w:val="24"/>
          <w:szCs w:val="24"/>
          <w:highlight w:val="none"/>
          <w:u w:val="single"/>
          <w:lang w:val="en-US" w:eastAsia="zh-CN"/>
        </w:rPr>
        <w:t xml:space="preserve">      </w:t>
      </w:r>
      <w:r>
        <w:rPr>
          <w:color w:val="auto"/>
          <w:spacing w:val="-3"/>
          <w:sz w:val="24"/>
          <w:szCs w:val="24"/>
          <w:highlight w:val="none"/>
          <w:u w:val="single"/>
        </w:rPr>
        <w:t xml:space="preserve"> </w:t>
      </w:r>
      <w:r>
        <w:rPr>
          <w:color w:val="auto"/>
          <w:sz w:val="24"/>
          <w:szCs w:val="24"/>
          <w:highlight w:val="none"/>
        </w:rPr>
        <w:t>年</w:t>
      </w:r>
      <w:r>
        <w:rPr>
          <w:color w:val="auto"/>
          <w:sz w:val="24"/>
          <w:szCs w:val="24"/>
          <w:highlight w:val="none"/>
          <w:u w:val="single"/>
        </w:rPr>
        <w:t xml:space="preserve"> </w:t>
      </w:r>
      <w:r>
        <w:rPr>
          <w:rFonts w:hint="eastAsia"/>
          <w:color w:val="auto"/>
          <w:sz w:val="24"/>
          <w:szCs w:val="24"/>
          <w:highlight w:val="none"/>
          <w:u w:val="single"/>
          <w:lang w:val="en-US" w:eastAsia="zh-CN"/>
        </w:rPr>
        <w:t xml:space="preserve">   </w:t>
      </w:r>
      <w:r>
        <w:rPr>
          <w:color w:val="auto"/>
          <w:sz w:val="24"/>
          <w:szCs w:val="24"/>
          <w:highlight w:val="none"/>
        </w:rPr>
        <w:t>月</w:t>
      </w:r>
      <w:r>
        <w:rPr>
          <w:rFonts w:hint="eastAsia"/>
          <w:color w:val="auto"/>
          <w:sz w:val="24"/>
          <w:szCs w:val="24"/>
          <w:highlight w:val="none"/>
          <w:u w:val="single"/>
          <w:lang w:val="en-US" w:eastAsia="zh-CN"/>
        </w:rPr>
        <w:t xml:space="preserve">    </w:t>
      </w:r>
      <w:r>
        <w:rPr>
          <w:color w:val="auto"/>
          <w:spacing w:val="-3"/>
          <w:sz w:val="24"/>
          <w:szCs w:val="24"/>
          <w:highlight w:val="none"/>
        </w:rPr>
        <w:t>日</w:t>
      </w:r>
      <w:r>
        <w:rPr>
          <w:color w:val="auto"/>
          <w:sz w:val="24"/>
          <w:szCs w:val="24"/>
          <w:highlight w:val="none"/>
        </w:rPr>
        <w:t xml:space="preserve"> </w:t>
      </w:r>
    </w:p>
    <w:p>
      <w:pPr>
        <w:rPr>
          <w:rFonts w:hint="eastAsia" w:ascii="宋体" w:hAnsi="宋体" w:eastAsia="宋体" w:cs="宋体"/>
          <w:color w:val="auto"/>
          <w:sz w:val="24"/>
          <w:szCs w:val="24"/>
          <w:highlight w:val="none"/>
        </w:rPr>
        <w:sectPr>
          <w:pgSz w:w="11900" w:h="16850"/>
          <w:pgMar w:top="1400" w:right="760" w:bottom="1320" w:left="760" w:header="1158" w:footer="1133" w:gutter="0"/>
          <w:cols w:space="720" w:num="1"/>
        </w:sectPr>
      </w:pPr>
      <w:r>
        <w:rPr>
          <w:rFonts w:hint="eastAsia" w:ascii="宋体" w:hAnsi="宋体" w:eastAsia="宋体" w:cs="宋体"/>
          <w:color w:val="auto"/>
          <w:sz w:val="24"/>
          <w:szCs w:val="24"/>
          <w:highlight w:val="none"/>
        </w:rPr>
        <w:t>(注:农民工工资保证金额度按成交价(A)金额计算</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小于5000万元(含5000万元)的，按A×2%存入</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5000万元以上的，按5000×2%+(A-5000)×1.5%存入。)</w:t>
      </w:r>
    </w:p>
    <w:p>
      <w:pPr>
        <w:pStyle w:val="2"/>
        <w:spacing w:before="1"/>
        <w:ind w:left="636"/>
        <w:jc w:val="center"/>
        <w:rPr>
          <w:color w:val="auto"/>
          <w:highlight w:val="none"/>
        </w:rPr>
      </w:pPr>
      <w:r>
        <w:rPr>
          <w:color w:val="auto"/>
          <w:highlight w:val="none"/>
        </w:rPr>
        <w:t xml:space="preserve"> </w:t>
      </w:r>
    </w:p>
    <w:p>
      <w:pPr>
        <w:spacing w:before="139"/>
        <w:ind w:left="848"/>
        <w:jc w:val="center"/>
        <w:rPr>
          <w:b/>
          <w:color w:val="auto"/>
          <w:sz w:val="28"/>
          <w:highlight w:val="none"/>
        </w:rPr>
      </w:pPr>
      <w:r>
        <w:rPr>
          <w:b/>
          <w:color w:val="auto"/>
          <w:sz w:val="28"/>
          <w:highlight w:val="none"/>
        </w:rPr>
        <w:t>广西壮族自治区建筑工程安全文明施工措施项目清单内容</w:t>
      </w:r>
      <w:r>
        <w:rPr>
          <w:b/>
          <w:color w:val="auto"/>
          <w:w w:val="99"/>
          <w:sz w:val="28"/>
          <w:highlight w:val="none"/>
        </w:rPr>
        <w:t xml:space="preserve"> </w:t>
      </w:r>
    </w:p>
    <w:p>
      <w:pPr>
        <w:spacing w:before="139"/>
        <w:ind w:left="848"/>
        <w:jc w:val="center"/>
        <w:rPr>
          <w:color w:val="auto"/>
          <w:sz w:val="24"/>
          <w:highlight w:val="none"/>
        </w:rPr>
      </w:pPr>
      <w:r>
        <w:rPr>
          <w:color w:val="auto"/>
          <w:sz w:val="24"/>
          <w:highlight w:val="none"/>
        </w:rPr>
        <w:t xml:space="preserve">（桂建质【2015】16 号文附件一） </w:t>
      </w:r>
    </w:p>
    <w:p>
      <w:pPr>
        <w:spacing w:before="139"/>
        <w:ind w:left="848"/>
        <w:jc w:val="center"/>
        <w:rPr>
          <w:b/>
          <w:color w:val="auto"/>
          <w:sz w:val="28"/>
          <w:highlight w:val="none"/>
        </w:rPr>
      </w:pPr>
      <w:r>
        <w:rPr>
          <w:b/>
          <w:color w:val="auto"/>
          <w:sz w:val="28"/>
          <w:highlight w:val="none"/>
        </w:rPr>
        <w:t xml:space="preserve">广西壮族自治区 </w:t>
      </w:r>
    </w:p>
    <w:p>
      <w:pPr>
        <w:spacing w:before="139"/>
        <w:ind w:left="848"/>
        <w:jc w:val="center"/>
        <w:rPr>
          <w:b/>
          <w:color w:val="auto"/>
          <w:sz w:val="28"/>
          <w:highlight w:val="none"/>
          <w:lang w:val="en-US" w:eastAsia="zh-CN"/>
        </w:rPr>
      </w:pPr>
      <w:r>
        <w:rPr>
          <w:b/>
          <w:color w:val="auto"/>
          <w:sz w:val="28"/>
          <w:highlight w:val="none"/>
          <w:lang w:val="en-US" w:eastAsia="zh-CN"/>
        </w:rPr>
        <w:t xml:space="preserve">建设工程安全文明施工措施项目清单内容 </w:t>
      </w:r>
    </w:p>
    <w:tbl>
      <w:tblPr>
        <w:tblStyle w:val="52"/>
        <w:tblW w:w="0" w:type="auto"/>
        <w:tblInd w:w="566" w:type="dxa"/>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
      <w:tblGrid>
        <w:gridCol w:w="739"/>
        <w:gridCol w:w="523"/>
        <w:gridCol w:w="1546"/>
        <w:gridCol w:w="6647"/>
      </w:tblGrid>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42" w:hRule="atLeast"/>
        </w:trPr>
        <w:tc>
          <w:tcPr>
            <w:tcW w:w="739" w:type="dxa"/>
            <w:tcBorders>
              <w:bottom w:val="single" w:color="000000" w:sz="4" w:space="0"/>
              <w:right w:val="single" w:color="000000" w:sz="4" w:space="0"/>
            </w:tcBorders>
          </w:tcPr>
          <w:p>
            <w:pPr>
              <w:pStyle w:val="54"/>
              <w:spacing w:before="63" w:line="259" w:lineRule="exact"/>
              <w:ind w:left="157"/>
              <w:rPr>
                <w:b/>
                <w:color w:val="auto"/>
                <w:sz w:val="21"/>
                <w:highlight w:val="none"/>
              </w:rPr>
            </w:pPr>
            <w:r>
              <w:rPr>
                <w:b/>
                <w:color w:val="auto"/>
                <w:sz w:val="21"/>
                <w:highlight w:val="none"/>
              </w:rPr>
              <w:t>类别</w:t>
            </w:r>
            <w:r>
              <w:rPr>
                <w:b/>
                <w:color w:val="auto"/>
                <w:w w:val="99"/>
                <w:sz w:val="21"/>
                <w:highlight w:val="none"/>
              </w:rPr>
              <w:t xml:space="preserve"> </w:t>
            </w:r>
          </w:p>
        </w:tc>
        <w:tc>
          <w:tcPr>
            <w:tcW w:w="2069" w:type="dxa"/>
            <w:gridSpan w:val="2"/>
            <w:tcBorders>
              <w:left w:val="single" w:color="000000" w:sz="4" w:space="0"/>
              <w:bottom w:val="single" w:color="000000" w:sz="4" w:space="0"/>
              <w:right w:val="single" w:color="000000" w:sz="4" w:space="0"/>
            </w:tcBorders>
          </w:tcPr>
          <w:p>
            <w:pPr>
              <w:pStyle w:val="54"/>
              <w:spacing w:before="63" w:line="259" w:lineRule="exact"/>
              <w:ind w:left="619"/>
              <w:rPr>
                <w:b/>
                <w:color w:val="auto"/>
                <w:sz w:val="21"/>
                <w:highlight w:val="none"/>
              </w:rPr>
            </w:pPr>
            <w:r>
              <w:rPr>
                <w:b/>
                <w:color w:val="auto"/>
                <w:sz w:val="21"/>
                <w:highlight w:val="none"/>
              </w:rPr>
              <w:t>项目名称</w:t>
            </w:r>
            <w:r>
              <w:rPr>
                <w:b/>
                <w:color w:val="auto"/>
                <w:w w:val="99"/>
                <w:sz w:val="21"/>
                <w:highlight w:val="none"/>
              </w:rPr>
              <w:t xml:space="preserve"> </w:t>
            </w:r>
          </w:p>
        </w:tc>
        <w:tc>
          <w:tcPr>
            <w:tcW w:w="6647" w:type="dxa"/>
            <w:tcBorders>
              <w:left w:val="single" w:color="000000" w:sz="4" w:space="0"/>
              <w:bottom w:val="single" w:color="000000" w:sz="4" w:space="0"/>
            </w:tcBorders>
          </w:tcPr>
          <w:p>
            <w:pPr>
              <w:pStyle w:val="54"/>
              <w:spacing w:before="63" w:line="259" w:lineRule="exact"/>
              <w:ind w:left="2628" w:right="2483"/>
              <w:jc w:val="center"/>
              <w:rPr>
                <w:b/>
                <w:color w:val="auto"/>
                <w:sz w:val="21"/>
                <w:highlight w:val="none"/>
              </w:rPr>
            </w:pPr>
            <w:r>
              <w:rPr>
                <w:b/>
                <w:color w:val="auto"/>
                <w:sz w:val="21"/>
                <w:highlight w:val="none"/>
              </w:rPr>
              <w:t>主要内容和要求</w:t>
            </w:r>
            <w:r>
              <w:rPr>
                <w:b/>
                <w:color w:val="auto"/>
                <w:w w:val="99"/>
                <w:sz w:val="21"/>
                <w:highlight w:val="none"/>
              </w:rPr>
              <w:t xml:space="preserve"> </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78" w:hRule="atLeast"/>
        </w:trPr>
        <w:tc>
          <w:tcPr>
            <w:tcW w:w="739" w:type="dxa"/>
            <w:vMerge w:val="restart"/>
            <w:tcBorders>
              <w:top w:val="single" w:color="000000" w:sz="4" w:space="0"/>
              <w:bottom w:val="single" w:color="000000" w:sz="4" w:space="0"/>
              <w:right w:val="single" w:color="000000" w:sz="4" w:space="0"/>
            </w:tcBorders>
          </w:tcPr>
          <w:p>
            <w:pPr>
              <w:pStyle w:val="54"/>
              <w:rPr>
                <w:b/>
                <w:color w:val="auto"/>
                <w:sz w:val="20"/>
                <w:highlight w:val="none"/>
              </w:rPr>
            </w:pPr>
          </w:p>
          <w:p>
            <w:pPr>
              <w:pStyle w:val="54"/>
              <w:rPr>
                <w:b/>
                <w:color w:val="auto"/>
                <w:sz w:val="20"/>
                <w:highlight w:val="none"/>
              </w:rPr>
            </w:pPr>
          </w:p>
          <w:p>
            <w:pPr>
              <w:pStyle w:val="54"/>
              <w:rPr>
                <w:b/>
                <w:color w:val="auto"/>
                <w:sz w:val="20"/>
                <w:highlight w:val="none"/>
              </w:rPr>
            </w:pPr>
          </w:p>
          <w:p>
            <w:pPr>
              <w:pStyle w:val="54"/>
              <w:rPr>
                <w:b/>
                <w:color w:val="auto"/>
                <w:sz w:val="20"/>
                <w:highlight w:val="none"/>
              </w:rPr>
            </w:pPr>
          </w:p>
          <w:p>
            <w:pPr>
              <w:pStyle w:val="54"/>
              <w:rPr>
                <w:b/>
                <w:color w:val="auto"/>
                <w:sz w:val="20"/>
                <w:highlight w:val="none"/>
              </w:rPr>
            </w:pPr>
          </w:p>
          <w:p>
            <w:pPr>
              <w:pStyle w:val="54"/>
              <w:rPr>
                <w:b/>
                <w:color w:val="auto"/>
                <w:sz w:val="20"/>
                <w:highlight w:val="none"/>
              </w:rPr>
            </w:pPr>
          </w:p>
          <w:p>
            <w:pPr>
              <w:pStyle w:val="54"/>
              <w:rPr>
                <w:b/>
                <w:color w:val="auto"/>
                <w:sz w:val="20"/>
                <w:highlight w:val="none"/>
              </w:rPr>
            </w:pPr>
          </w:p>
          <w:p>
            <w:pPr>
              <w:pStyle w:val="54"/>
              <w:rPr>
                <w:b/>
                <w:color w:val="auto"/>
                <w:sz w:val="20"/>
                <w:highlight w:val="none"/>
              </w:rPr>
            </w:pPr>
          </w:p>
          <w:p>
            <w:pPr>
              <w:pStyle w:val="54"/>
              <w:rPr>
                <w:b/>
                <w:color w:val="auto"/>
                <w:sz w:val="20"/>
                <w:highlight w:val="none"/>
              </w:rPr>
            </w:pPr>
          </w:p>
          <w:p>
            <w:pPr>
              <w:pStyle w:val="54"/>
              <w:spacing w:before="11"/>
              <w:rPr>
                <w:b/>
                <w:color w:val="auto"/>
                <w:sz w:val="26"/>
                <w:highlight w:val="none"/>
              </w:rPr>
            </w:pPr>
          </w:p>
          <w:p>
            <w:pPr>
              <w:pStyle w:val="54"/>
              <w:spacing w:before="1" w:line="302" w:lineRule="auto"/>
              <w:ind w:left="157" w:right="33"/>
              <w:jc w:val="center"/>
              <w:rPr>
                <w:color w:val="auto"/>
                <w:sz w:val="21"/>
                <w:highlight w:val="none"/>
              </w:rPr>
            </w:pPr>
            <w:r>
              <w:rPr>
                <w:color w:val="auto"/>
                <w:spacing w:val="-2"/>
                <w:sz w:val="21"/>
                <w:highlight w:val="none"/>
              </w:rPr>
              <w:t>文明施工</w:t>
            </w:r>
            <w:r>
              <w:rPr>
                <w:color w:val="auto"/>
                <w:sz w:val="21"/>
                <w:highlight w:val="none"/>
              </w:rPr>
              <w:t xml:space="preserve">与  </w:t>
            </w:r>
            <w:r>
              <w:rPr>
                <w:color w:val="auto"/>
                <w:spacing w:val="-2"/>
                <w:sz w:val="21"/>
                <w:highlight w:val="none"/>
              </w:rPr>
              <w:t>环境保护</w:t>
            </w:r>
            <w:r>
              <w:rPr>
                <w:color w:val="auto"/>
                <w:sz w:val="21"/>
                <w:highlight w:val="none"/>
              </w:rPr>
              <w:t xml:space="preserve"> </w:t>
            </w:r>
          </w:p>
        </w:tc>
        <w:tc>
          <w:tcPr>
            <w:tcW w:w="2069" w:type="dxa"/>
            <w:gridSpan w:val="2"/>
            <w:tcBorders>
              <w:top w:val="single" w:color="000000" w:sz="4" w:space="0"/>
              <w:left w:val="single" w:color="000000" w:sz="4" w:space="0"/>
              <w:bottom w:val="single" w:color="000000" w:sz="4" w:space="0"/>
              <w:right w:val="single" w:color="000000" w:sz="4" w:space="0"/>
            </w:tcBorders>
          </w:tcPr>
          <w:p>
            <w:pPr>
              <w:pStyle w:val="54"/>
              <w:spacing w:line="338" w:lineRule="exact"/>
              <w:ind w:left="724" w:right="489" w:hanging="104"/>
              <w:rPr>
                <w:color w:val="auto"/>
                <w:sz w:val="21"/>
                <w:highlight w:val="none"/>
              </w:rPr>
            </w:pPr>
            <w:r>
              <w:rPr>
                <w:color w:val="auto"/>
                <w:sz w:val="21"/>
                <w:highlight w:val="none"/>
              </w:rPr>
              <w:t xml:space="preserve">安全警示标志牌 </w:t>
            </w:r>
          </w:p>
        </w:tc>
        <w:tc>
          <w:tcPr>
            <w:tcW w:w="6647" w:type="dxa"/>
            <w:tcBorders>
              <w:top w:val="single" w:color="000000" w:sz="4" w:space="0"/>
              <w:left w:val="single" w:color="000000" w:sz="4" w:space="0"/>
              <w:bottom w:val="single" w:color="000000" w:sz="4" w:space="0"/>
            </w:tcBorders>
          </w:tcPr>
          <w:p>
            <w:pPr>
              <w:pStyle w:val="54"/>
              <w:spacing w:line="338" w:lineRule="exact"/>
              <w:ind w:left="117" w:right="73"/>
              <w:rPr>
                <w:color w:val="auto"/>
                <w:sz w:val="21"/>
                <w:highlight w:val="none"/>
              </w:rPr>
            </w:pPr>
            <w:r>
              <w:rPr>
                <w:color w:val="auto"/>
                <w:spacing w:val="-6"/>
                <w:sz w:val="21"/>
                <w:highlight w:val="none"/>
              </w:rPr>
              <w:t>在易发伤亡事故</w:t>
            </w:r>
            <w:r>
              <w:rPr>
                <w:color w:val="auto"/>
                <w:spacing w:val="-3"/>
                <w:sz w:val="21"/>
                <w:highlight w:val="none"/>
              </w:rPr>
              <w:t>（或危险</w:t>
            </w:r>
            <w:r>
              <w:rPr>
                <w:color w:val="auto"/>
                <w:spacing w:val="-27"/>
                <w:sz w:val="21"/>
                <w:highlight w:val="none"/>
              </w:rPr>
              <w:t>）</w:t>
            </w:r>
            <w:r>
              <w:rPr>
                <w:color w:val="auto"/>
                <w:spacing w:val="-7"/>
                <w:sz w:val="21"/>
                <w:highlight w:val="none"/>
              </w:rPr>
              <w:t>处设置明显的、符合国家标准要求的安全警</w:t>
            </w:r>
            <w:r>
              <w:rPr>
                <w:color w:val="auto"/>
                <w:spacing w:val="-5"/>
                <w:sz w:val="21"/>
                <w:highlight w:val="none"/>
              </w:rPr>
              <w:t>示标志牌。</w:t>
            </w:r>
            <w:r>
              <w:rPr>
                <w:color w:val="auto"/>
                <w:sz w:val="21"/>
                <w:highlight w:val="none"/>
              </w:rPr>
              <w:t xml:space="preserve"> </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81" w:hRule="atLeast"/>
        </w:trPr>
        <w:tc>
          <w:tcPr>
            <w:tcW w:w="739" w:type="dxa"/>
            <w:vMerge w:val="continue"/>
            <w:tcBorders>
              <w:top w:val="nil"/>
              <w:bottom w:val="single" w:color="000000" w:sz="4" w:space="0"/>
              <w:right w:val="single" w:color="000000" w:sz="4" w:space="0"/>
            </w:tcBorders>
          </w:tcPr>
          <w:p>
            <w:pPr>
              <w:rPr>
                <w:color w:val="auto"/>
                <w:sz w:val="2"/>
                <w:szCs w:val="2"/>
                <w:highlight w:val="none"/>
              </w:rPr>
            </w:pPr>
          </w:p>
        </w:tc>
        <w:tc>
          <w:tcPr>
            <w:tcW w:w="2069" w:type="dxa"/>
            <w:gridSpan w:val="2"/>
            <w:tcBorders>
              <w:top w:val="single" w:color="000000" w:sz="4" w:space="0"/>
              <w:left w:val="single" w:color="000000" w:sz="4" w:space="0"/>
              <w:bottom w:val="single" w:color="000000" w:sz="4" w:space="0"/>
              <w:right w:val="single" w:color="000000" w:sz="4" w:space="0"/>
            </w:tcBorders>
          </w:tcPr>
          <w:p>
            <w:pPr>
              <w:pStyle w:val="54"/>
              <w:spacing w:before="1"/>
              <w:rPr>
                <w:b/>
                <w:color w:val="auto"/>
                <w:sz w:val="18"/>
                <w:highlight w:val="none"/>
              </w:rPr>
            </w:pPr>
          </w:p>
          <w:p>
            <w:pPr>
              <w:pStyle w:val="54"/>
              <w:ind w:left="621"/>
              <w:rPr>
                <w:color w:val="auto"/>
                <w:sz w:val="21"/>
                <w:highlight w:val="none"/>
              </w:rPr>
            </w:pPr>
            <w:r>
              <w:rPr>
                <w:color w:val="auto"/>
                <w:sz w:val="21"/>
                <w:highlight w:val="none"/>
              </w:rPr>
              <w:t xml:space="preserve">现场围挡 </w:t>
            </w:r>
          </w:p>
        </w:tc>
        <w:tc>
          <w:tcPr>
            <w:tcW w:w="6647" w:type="dxa"/>
            <w:tcBorders>
              <w:top w:val="single" w:color="000000" w:sz="4" w:space="0"/>
              <w:left w:val="single" w:color="000000" w:sz="4" w:space="0"/>
              <w:bottom w:val="single" w:color="000000" w:sz="4" w:space="0"/>
            </w:tcBorders>
          </w:tcPr>
          <w:p>
            <w:pPr>
              <w:pStyle w:val="54"/>
              <w:numPr>
                <w:ilvl w:val="0"/>
                <w:numId w:val="3"/>
              </w:numPr>
              <w:tabs>
                <w:tab w:val="left" w:pos="331"/>
              </w:tabs>
              <w:spacing w:before="61"/>
              <w:ind w:hanging="214"/>
              <w:rPr>
                <w:color w:val="auto"/>
                <w:sz w:val="21"/>
                <w:highlight w:val="none"/>
              </w:rPr>
            </w:pPr>
            <w:r>
              <w:rPr>
                <w:color w:val="auto"/>
                <w:spacing w:val="-7"/>
                <w:sz w:val="21"/>
                <w:highlight w:val="none"/>
              </w:rPr>
              <w:t xml:space="preserve">现场采用封闭围挡，高度不小于 </w:t>
            </w:r>
            <w:r>
              <w:rPr>
                <w:color w:val="auto"/>
                <w:sz w:val="21"/>
                <w:highlight w:val="none"/>
              </w:rPr>
              <w:t>1.8m</w:t>
            </w:r>
            <w:r>
              <w:rPr>
                <w:color w:val="auto"/>
                <w:spacing w:val="-3"/>
                <w:sz w:val="21"/>
                <w:highlight w:val="none"/>
              </w:rPr>
              <w:t>。</w:t>
            </w:r>
            <w:r>
              <w:rPr>
                <w:color w:val="auto"/>
                <w:sz w:val="21"/>
                <w:highlight w:val="none"/>
              </w:rPr>
              <w:t xml:space="preserve"> </w:t>
            </w:r>
          </w:p>
          <w:p>
            <w:pPr>
              <w:pStyle w:val="54"/>
              <w:numPr>
                <w:ilvl w:val="0"/>
                <w:numId w:val="3"/>
              </w:numPr>
              <w:tabs>
                <w:tab w:val="left" w:pos="331"/>
              </w:tabs>
              <w:spacing w:before="72" w:line="259" w:lineRule="exact"/>
              <w:ind w:hanging="214"/>
              <w:rPr>
                <w:color w:val="auto"/>
                <w:sz w:val="21"/>
                <w:highlight w:val="none"/>
              </w:rPr>
            </w:pPr>
            <w:r>
              <w:rPr>
                <w:color w:val="auto"/>
                <w:spacing w:val="-3"/>
                <w:sz w:val="21"/>
                <w:highlight w:val="none"/>
              </w:rPr>
              <w:t>围挡材料可用彩色、定型钢板，砌块等墙体。</w:t>
            </w:r>
            <w:r>
              <w:rPr>
                <w:color w:val="auto"/>
                <w:sz w:val="21"/>
                <w:highlight w:val="none"/>
              </w:rPr>
              <w:t xml:space="preserve"> </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1019" w:hRule="atLeast"/>
        </w:trPr>
        <w:tc>
          <w:tcPr>
            <w:tcW w:w="739" w:type="dxa"/>
            <w:vMerge w:val="continue"/>
            <w:tcBorders>
              <w:top w:val="nil"/>
              <w:bottom w:val="single" w:color="000000" w:sz="4" w:space="0"/>
              <w:right w:val="single" w:color="000000" w:sz="4" w:space="0"/>
            </w:tcBorders>
          </w:tcPr>
          <w:p>
            <w:pPr>
              <w:rPr>
                <w:color w:val="auto"/>
                <w:sz w:val="2"/>
                <w:szCs w:val="2"/>
                <w:highlight w:val="none"/>
              </w:rPr>
            </w:pPr>
          </w:p>
        </w:tc>
        <w:tc>
          <w:tcPr>
            <w:tcW w:w="2069" w:type="dxa"/>
            <w:gridSpan w:val="2"/>
            <w:tcBorders>
              <w:top w:val="single" w:color="000000" w:sz="4" w:space="0"/>
              <w:left w:val="single" w:color="000000" w:sz="4" w:space="0"/>
              <w:bottom w:val="single" w:color="000000" w:sz="4" w:space="0"/>
              <w:right w:val="single" w:color="000000" w:sz="4" w:space="0"/>
            </w:tcBorders>
          </w:tcPr>
          <w:p>
            <w:pPr>
              <w:pStyle w:val="54"/>
              <w:rPr>
                <w:b/>
                <w:color w:val="auto"/>
                <w:sz w:val="20"/>
                <w:highlight w:val="none"/>
              </w:rPr>
            </w:pPr>
          </w:p>
          <w:p>
            <w:pPr>
              <w:pStyle w:val="54"/>
              <w:spacing w:before="143"/>
              <w:ind w:left="621"/>
              <w:rPr>
                <w:color w:val="auto"/>
                <w:sz w:val="21"/>
                <w:highlight w:val="none"/>
              </w:rPr>
            </w:pPr>
            <w:r>
              <w:rPr>
                <w:color w:val="auto"/>
                <w:sz w:val="21"/>
                <w:highlight w:val="none"/>
              </w:rPr>
              <w:t xml:space="preserve">七牌二图 </w:t>
            </w:r>
          </w:p>
        </w:tc>
        <w:tc>
          <w:tcPr>
            <w:tcW w:w="6647" w:type="dxa"/>
            <w:tcBorders>
              <w:top w:val="single" w:color="000000" w:sz="4" w:space="0"/>
              <w:left w:val="single" w:color="000000" w:sz="4" w:space="0"/>
              <w:bottom w:val="single" w:color="000000" w:sz="4" w:space="0"/>
            </w:tcBorders>
          </w:tcPr>
          <w:p>
            <w:pPr>
              <w:pStyle w:val="54"/>
              <w:spacing w:before="61" w:line="302" w:lineRule="auto"/>
              <w:ind w:left="117" w:right="73"/>
              <w:rPr>
                <w:color w:val="auto"/>
                <w:sz w:val="21"/>
                <w:highlight w:val="none"/>
              </w:rPr>
            </w:pPr>
            <w:r>
              <w:rPr>
                <w:color w:val="auto"/>
                <w:spacing w:val="-9"/>
                <w:sz w:val="21"/>
                <w:highlight w:val="none"/>
              </w:rPr>
              <w:t>在进门处悬挂工程概况、现场出入制度、管理人员名单及监督电话、安</w:t>
            </w:r>
            <w:r>
              <w:rPr>
                <w:color w:val="auto"/>
                <w:spacing w:val="-12"/>
                <w:sz w:val="21"/>
                <w:highlight w:val="none"/>
              </w:rPr>
              <w:t>全生产规定、文明施工、消防保卫、节能公示等七牌以及施工现场总平</w:t>
            </w:r>
          </w:p>
          <w:p>
            <w:pPr>
              <w:pStyle w:val="54"/>
              <w:spacing w:before="1" w:line="259" w:lineRule="exact"/>
              <w:ind w:left="117"/>
              <w:rPr>
                <w:color w:val="auto"/>
                <w:sz w:val="21"/>
                <w:highlight w:val="none"/>
              </w:rPr>
            </w:pPr>
            <w:r>
              <w:rPr>
                <w:color w:val="auto"/>
                <w:sz w:val="21"/>
                <w:highlight w:val="none"/>
              </w:rPr>
              <w:t xml:space="preserve">面图、工程效果图。 </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40" w:hRule="atLeast"/>
        </w:trPr>
        <w:tc>
          <w:tcPr>
            <w:tcW w:w="739" w:type="dxa"/>
            <w:vMerge w:val="continue"/>
            <w:tcBorders>
              <w:top w:val="nil"/>
              <w:bottom w:val="single" w:color="000000" w:sz="4" w:space="0"/>
              <w:right w:val="single" w:color="000000" w:sz="4" w:space="0"/>
            </w:tcBorders>
          </w:tcPr>
          <w:p>
            <w:pPr>
              <w:rPr>
                <w:color w:val="auto"/>
                <w:sz w:val="2"/>
                <w:szCs w:val="2"/>
                <w:highlight w:val="none"/>
              </w:rPr>
            </w:pPr>
          </w:p>
        </w:tc>
        <w:tc>
          <w:tcPr>
            <w:tcW w:w="2069" w:type="dxa"/>
            <w:gridSpan w:val="2"/>
            <w:tcBorders>
              <w:top w:val="single" w:color="000000" w:sz="4" w:space="0"/>
              <w:left w:val="single" w:color="000000" w:sz="4" w:space="0"/>
              <w:bottom w:val="single" w:color="000000" w:sz="4" w:space="0"/>
              <w:right w:val="single" w:color="000000" w:sz="4" w:space="0"/>
            </w:tcBorders>
          </w:tcPr>
          <w:p>
            <w:pPr>
              <w:pStyle w:val="54"/>
              <w:spacing w:before="61" w:line="259" w:lineRule="exact"/>
              <w:ind w:left="621"/>
              <w:rPr>
                <w:color w:val="auto"/>
                <w:sz w:val="21"/>
                <w:highlight w:val="none"/>
              </w:rPr>
            </w:pPr>
            <w:r>
              <w:rPr>
                <w:color w:val="auto"/>
                <w:sz w:val="21"/>
                <w:highlight w:val="none"/>
              </w:rPr>
              <w:t xml:space="preserve">企业标志 </w:t>
            </w:r>
          </w:p>
        </w:tc>
        <w:tc>
          <w:tcPr>
            <w:tcW w:w="6647" w:type="dxa"/>
            <w:tcBorders>
              <w:top w:val="single" w:color="000000" w:sz="4" w:space="0"/>
              <w:left w:val="single" w:color="000000" w:sz="4" w:space="0"/>
              <w:bottom w:val="single" w:color="000000" w:sz="4" w:space="0"/>
            </w:tcBorders>
          </w:tcPr>
          <w:p>
            <w:pPr>
              <w:pStyle w:val="54"/>
              <w:spacing w:before="61" w:line="259" w:lineRule="exact"/>
              <w:ind w:left="117"/>
              <w:rPr>
                <w:color w:val="auto"/>
                <w:sz w:val="21"/>
                <w:highlight w:val="none"/>
              </w:rPr>
            </w:pPr>
            <w:r>
              <w:rPr>
                <w:color w:val="auto"/>
                <w:sz w:val="21"/>
                <w:highlight w:val="none"/>
              </w:rPr>
              <w:t xml:space="preserve">现场出入的大门应设有本企业标志或企业标识。 </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1358" w:hRule="atLeast"/>
        </w:trPr>
        <w:tc>
          <w:tcPr>
            <w:tcW w:w="739" w:type="dxa"/>
            <w:vMerge w:val="continue"/>
            <w:tcBorders>
              <w:top w:val="nil"/>
              <w:bottom w:val="single" w:color="000000" w:sz="4" w:space="0"/>
              <w:right w:val="single" w:color="000000" w:sz="4" w:space="0"/>
            </w:tcBorders>
          </w:tcPr>
          <w:p>
            <w:pPr>
              <w:rPr>
                <w:color w:val="auto"/>
                <w:sz w:val="2"/>
                <w:szCs w:val="2"/>
                <w:highlight w:val="none"/>
              </w:rPr>
            </w:pPr>
          </w:p>
        </w:tc>
        <w:tc>
          <w:tcPr>
            <w:tcW w:w="2069" w:type="dxa"/>
            <w:gridSpan w:val="2"/>
            <w:tcBorders>
              <w:top w:val="single" w:color="000000" w:sz="4" w:space="0"/>
              <w:left w:val="single" w:color="000000" w:sz="4" w:space="0"/>
              <w:bottom w:val="single" w:color="000000" w:sz="4" w:space="0"/>
              <w:right w:val="single" w:color="000000" w:sz="4" w:space="0"/>
            </w:tcBorders>
          </w:tcPr>
          <w:p>
            <w:pPr>
              <w:pStyle w:val="54"/>
              <w:rPr>
                <w:b/>
                <w:color w:val="auto"/>
                <w:sz w:val="20"/>
                <w:highlight w:val="none"/>
              </w:rPr>
            </w:pPr>
          </w:p>
          <w:p>
            <w:pPr>
              <w:pStyle w:val="54"/>
              <w:spacing w:before="6"/>
              <w:rPr>
                <w:b/>
                <w:color w:val="auto"/>
                <w:sz w:val="24"/>
                <w:highlight w:val="none"/>
              </w:rPr>
            </w:pPr>
          </w:p>
          <w:p>
            <w:pPr>
              <w:pStyle w:val="54"/>
              <w:ind w:left="621"/>
              <w:rPr>
                <w:color w:val="auto"/>
                <w:sz w:val="21"/>
                <w:highlight w:val="none"/>
              </w:rPr>
            </w:pPr>
            <w:r>
              <w:rPr>
                <w:color w:val="auto"/>
                <w:sz w:val="21"/>
                <w:highlight w:val="none"/>
              </w:rPr>
              <w:t xml:space="preserve">场容场貌 </w:t>
            </w:r>
          </w:p>
        </w:tc>
        <w:tc>
          <w:tcPr>
            <w:tcW w:w="6647" w:type="dxa"/>
            <w:tcBorders>
              <w:top w:val="single" w:color="000000" w:sz="4" w:space="0"/>
              <w:left w:val="single" w:color="000000" w:sz="4" w:space="0"/>
              <w:bottom w:val="single" w:color="000000" w:sz="4" w:space="0"/>
            </w:tcBorders>
          </w:tcPr>
          <w:p>
            <w:pPr>
              <w:pStyle w:val="54"/>
              <w:numPr>
                <w:ilvl w:val="0"/>
                <w:numId w:val="4"/>
              </w:numPr>
              <w:tabs>
                <w:tab w:val="left" w:pos="331"/>
              </w:tabs>
              <w:spacing w:before="61"/>
              <w:ind w:hanging="214"/>
              <w:rPr>
                <w:color w:val="auto"/>
                <w:sz w:val="21"/>
                <w:highlight w:val="none"/>
              </w:rPr>
            </w:pPr>
            <w:r>
              <w:rPr>
                <w:color w:val="auto"/>
                <w:spacing w:val="-3"/>
                <w:sz w:val="21"/>
                <w:highlight w:val="none"/>
              </w:rPr>
              <w:t>道路畅通。</w:t>
            </w:r>
            <w:r>
              <w:rPr>
                <w:color w:val="auto"/>
                <w:sz w:val="21"/>
                <w:highlight w:val="none"/>
              </w:rPr>
              <w:t xml:space="preserve"> </w:t>
            </w:r>
          </w:p>
          <w:p>
            <w:pPr>
              <w:pStyle w:val="54"/>
              <w:numPr>
                <w:ilvl w:val="0"/>
                <w:numId w:val="4"/>
              </w:numPr>
              <w:tabs>
                <w:tab w:val="left" w:pos="331"/>
              </w:tabs>
              <w:spacing w:before="69"/>
              <w:ind w:hanging="214"/>
              <w:rPr>
                <w:color w:val="auto"/>
                <w:sz w:val="21"/>
                <w:highlight w:val="none"/>
              </w:rPr>
            </w:pPr>
            <w:r>
              <w:rPr>
                <w:color w:val="auto"/>
                <w:spacing w:val="-3"/>
                <w:sz w:val="21"/>
                <w:highlight w:val="none"/>
              </w:rPr>
              <w:t>排水设施齐全畅通。</w:t>
            </w:r>
            <w:r>
              <w:rPr>
                <w:color w:val="auto"/>
                <w:sz w:val="21"/>
                <w:highlight w:val="none"/>
              </w:rPr>
              <w:t xml:space="preserve"> </w:t>
            </w:r>
          </w:p>
          <w:p>
            <w:pPr>
              <w:pStyle w:val="54"/>
              <w:numPr>
                <w:ilvl w:val="0"/>
                <w:numId w:val="4"/>
              </w:numPr>
              <w:tabs>
                <w:tab w:val="left" w:pos="331"/>
              </w:tabs>
              <w:spacing w:line="340" w:lineRule="atLeast"/>
              <w:ind w:left="117" w:right="74" w:firstLine="0"/>
              <w:rPr>
                <w:color w:val="auto"/>
                <w:sz w:val="21"/>
                <w:highlight w:val="none"/>
              </w:rPr>
            </w:pPr>
            <w:r>
              <w:rPr>
                <w:color w:val="auto"/>
                <w:sz w:val="21"/>
                <w:highlight w:val="none"/>
              </w:rPr>
              <w:t>工地地面硬化处理（</w:t>
            </w:r>
            <w:r>
              <w:rPr>
                <w:color w:val="auto"/>
                <w:spacing w:val="-4"/>
                <w:sz w:val="21"/>
                <w:highlight w:val="none"/>
              </w:rPr>
              <w:t>办公区、生活区、现场道路、材料堆放、混凝</w:t>
            </w:r>
            <w:r>
              <w:rPr>
                <w:color w:val="auto"/>
                <w:spacing w:val="-3"/>
                <w:sz w:val="21"/>
                <w:highlight w:val="none"/>
              </w:rPr>
              <w:t>土搅拌、砂浆搅拌、钢筋加工等场地和外脚手架基础等）。</w:t>
            </w:r>
            <w:r>
              <w:rPr>
                <w:color w:val="auto"/>
                <w:sz w:val="21"/>
                <w:highlight w:val="none"/>
              </w:rPr>
              <w:t xml:space="preserve"> </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1022" w:hRule="atLeast"/>
        </w:trPr>
        <w:tc>
          <w:tcPr>
            <w:tcW w:w="739" w:type="dxa"/>
            <w:vMerge w:val="continue"/>
            <w:tcBorders>
              <w:top w:val="nil"/>
              <w:bottom w:val="single" w:color="000000" w:sz="4" w:space="0"/>
              <w:right w:val="single" w:color="000000" w:sz="4" w:space="0"/>
            </w:tcBorders>
          </w:tcPr>
          <w:p>
            <w:pPr>
              <w:rPr>
                <w:color w:val="auto"/>
                <w:sz w:val="2"/>
                <w:szCs w:val="2"/>
                <w:highlight w:val="none"/>
              </w:rPr>
            </w:pPr>
          </w:p>
        </w:tc>
        <w:tc>
          <w:tcPr>
            <w:tcW w:w="2069" w:type="dxa"/>
            <w:gridSpan w:val="2"/>
            <w:tcBorders>
              <w:top w:val="single" w:color="000000" w:sz="4" w:space="0"/>
              <w:left w:val="single" w:color="000000" w:sz="4" w:space="0"/>
              <w:bottom w:val="single" w:color="000000" w:sz="4" w:space="0"/>
              <w:right w:val="single" w:color="000000" w:sz="4" w:space="0"/>
            </w:tcBorders>
          </w:tcPr>
          <w:p>
            <w:pPr>
              <w:pStyle w:val="54"/>
              <w:rPr>
                <w:b/>
                <w:color w:val="auto"/>
                <w:sz w:val="20"/>
                <w:highlight w:val="none"/>
              </w:rPr>
            </w:pPr>
          </w:p>
          <w:p>
            <w:pPr>
              <w:pStyle w:val="54"/>
              <w:spacing w:before="146"/>
              <w:ind w:left="621"/>
              <w:rPr>
                <w:color w:val="auto"/>
                <w:sz w:val="21"/>
                <w:highlight w:val="none"/>
              </w:rPr>
            </w:pPr>
            <w:r>
              <w:rPr>
                <w:color w:val="auto"/>
                <w:sz w:val="21"/>
                <w:highlight w:val="none"/>
              </w:rPr>
              <w:t xml:space="preserve">材料堆放 </w:t>
            </w:r>
          </w:p>
        </w:tc>
        <w:tc>
          <w:tcPr>
            <w:tcW w:w="6647" w:type="dxa"/>
            <w:tcBorders>
              <w:top w:val="single" w:color="000000" w:sz="4" w:space="0"/>
              <w:left w:val="single" w:color="000000" w:sz="4" w:space="0"/>
              <w:bottom w:val="single" w:color="000000" w:sz="4" w:space="0"/>
            </w:tcBorders>
          </w:tcPr>
          <w:p>
            <w:pPr>
              <w:pStyle w:val="54"/>
              <w:numPr>
                <w:ilvl w:val="0"/>
                <w:numId w:val="5"/>
              </w:numPr>
              <w:tabs>
                <w:tab w:val="left" w:pos="387"/>
              </w:tabs>
              <w:spacing w:before="64"/>
              <w:ind w:hanging="270"/>
              <w:rPr>
                <w:color w:val="auto"/>
                <w:sz w:val="21"/>
                <w:highlight w:val="none"/>
              </w:rPr>
            </w:pPr>
            <w:r>
              <w:rPr>
                <w:color w:val="auto"/>
                <w:spacing w:val="-3"/>
                <w:sz w:val="21"/>
                <w:highlight w:val="none"/>
              </w:rPr>
              <w:t xml:space="preserve">材料、构件、料具等堆放时，应有名称、品种、规格等标牌。 </w:t>
            </w:r>
          </w:p>
          <w:p>
            <w:pPr>
              <w:pStyle w:val="54"/>
              <w:numPr>
                <w:ilvl w:val="0"/>
                <w:numId w:val="5"/>
              </w:numPr>
              <w:tabs>
                <w:tab w:val="left" w:pos="331"/>
              </w:tabs>
              <w:spacing w:before="69"/>
              <w:ind w:left="330" w:right="-15" w:hanging="214"/>
              <w:rPr>
                <w:color w:val="auto"/>
                <w:sz w:val="21"/>
                <w:highlight w:val="none"/>
              </w:rPr>
            </w:pPr>
            <w:r>
              <w:rPr>
                <w:color w:val="auto"/>
                <w:spacing w:val="-3"/>
                <w:sz w:val="21"/>
                <w:highlight w:val="none"/>
              </w:rPr>
              <w:t>水泥和其它易飞扬细颗粒建筑材料应封闭存放或采取覆盖等措施。</w:t>
            </w:r>
            <w:r>
              <w:rPr>
                <w:color w:val="auto"/>
                <w:sz w:val="21"/>
                <w:highlight w:val="none"/>
              </w:rPr>
              <w:t xml:space="preserve"> </w:t>
            </w:r>
          </w:p>
          <w:p>
            <w:pPr>
              <w:pStyle w:val="54"/>
              <w:numPr>
                <w:ilvl w:val="0"/>
                <w:numId w:val="5"/>
              </w:numPr>
              <w:tabs>
                <w:tab w:val="left" w:pos="331"/>
              </w:tabs>
              <w:spacing w:before="72" w:line="259" w:lineRule="exact"/>
              <w:ind w:left="330" w:hanging="214"/>
              <w:rPr>
                <w:color w:val="auto"/>
                <w:sz w:val="21"/>
                <w:highlight w:val="none"/>
              </w:rPr>
            </w:pPr>
            <w:r>
              <w:rPr>
                <w:color w:val="auto"/>
                <w:spacing w:val="-3"/>
                <w:sz w:val="21"/>
                <w:highlight w:val="none"/>
              </w:rPr>
              <w:t>易燃、易爆和有毒有害物品分类存放。</w:t>
            </w:r>
            <w:r>
              <w:rPr>
                <w:color w:val="auto"/>
                <w:sz w:val="21"/>
                <w:highlight w:val="none"/>
              </w:rPr>
              <w:t xml:space="preserve"> </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37" w:hRule="atLeast"/>
        </w:trPr>
        <w:tc>
          <w:tcPr>
            <w:tcW w:w="739" w:type="dxa"/>
            <w:vMerge w:val="continue"/>
            <w:tcBorders>
              <w:top w:val="nil"/>
              <w:bottom w:val="single" w:color="000000" w:sz="4" w:space="0"/>
              <w:right w:val="single" w:color="000000" w:sz="4" w:space="0"/>
            </w:tcBorders>
          </w:tcPr>
          <w:p>
            <w:pPr>
              <w:rPr>
                <w:color w:val="auto"/>
                <w:sz w:val="2"/>
                <w:szCs w:val="2"/>
                <w:highlight w:val="none"/>
              </w:rPr>
            </w:pPr>
          </w:p>
        </w:tc>
        <w:tc>
          <w:tcPr>
            <w:tcW w:w="2069" w:type="dxa"/>
            <w:gridSpan w:val="2"/>
            <w:tcBorders>
              <w:top w:val="single" w:color="000000" w:sz="4" w:space="0"/>
              <w:left w:val="single" w:color="000000" w:sz="4" w:space="0"/>
              <w:bottom w:val="single" w:color="000000" w:sz="4" w:space="0"/>
              <w:right w:val="single" w:color="000000" w:sz="4" w:space="0"/>
            </w:tcBorders>
          </w:tcPr>
          <w:p>
            <w:pPr>
              <w:pStyle w:val="54"/>
              <w:spacing w:before="61" w:line="257" w:lineRule="exact"/>
              <w:ind w:left="621"/>
              <w:rPr>
                <w:color w:val="auto"/>
                <w:sz w:val="21"/>
                <w:highlight w:val="none"/>
              </w:rPr>
            </w:pPr>
            <w:r>
              <w:rPr>
                <w:color w:val="auto"/>
                <w:sz w:val="21"/>
                <w:highlight w:val="none"/>
              </w:rPr>
              <w:t xml:space="preserve">现场防火 </w:t>
            </w:r>
          </w:p>
        </w:tc>
        <w:tc>
          <w:tcPr>
            <w:tcW w:w="6647" w:type="dxa"/>
            <w:tcBorders>
              <w:top w:val="single" w:color="000000" w:sz="4" w:space="0"/>
              <w:left w:val="single" w:color="000000" w:sz="4" w:space="0"/>
              <w:bottom w:val="single" w:color="000000" w:sz="4" w:space="0"/>
            </w:tcBorders>
          </w:tcPr>
          <w:p>
            <w:pPr>
              <w:pStyle w:val="54"/>
              <w:spacing w:before="61" w:line="257" w:lineRule="exact"/>
              <w:ind w:left="117"/>
              <w:rPr>
                <w:color w:val="auto"/>
                <w:sz w:val="21"/>
                <w:highlight w:val="none"/>
              </w:rPr>
            </w:pPr>
            <w:r>
              <w:rPr>
                <w:color w:val="auto"/>
                <w:sz w:val="21"/>
                <w:highlight w:val="none"/>
              </w:rPr>
              <w:t xml:space="preserve">消防器材配置合理，符合消防要求。 </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81" w:hRule="atLeast"/>
        </w:trPr>
        <w:tc>
          <w:tcPr>
            <w:tcW w:w="739" w:type="dxa"/>
            <w:vMerge w:val="continue"/>
            <w:tcBorders>
              <w:top w:val="nil"/>
              <w:bottom w:val="single" w:color="000000" w:sz="4" w:space="0"/>
              <w:right w:val="single" w:color="000000" w:sz="4" w:space="0"/>
            </w:tcBorders>
          </w:tcPr>
          <w:p>
            <w:pPr>
              <w:rPr>
                <w:color w:val="auto"/>
                <w:sz w:val="2"/>
                <w:szCs w:val="2"/>
                <w:highlight w:val="none"/>
              </w:rPr>
            </w:pPr>
          </w:p>
        </w:tc>
        <w:tc>
          <w:tcPr>
            <w:tcW w:w="2069" w:type="dxa"/>
            <w:gridSpan w:val="2"/>
            <w:tcBorders>
              <w:top w:val="single" w:color="000000" w:sz="4" w:space="0"/>
              <w:left w:val="single" w:color="000000" w:sz="4" w:space="0"/>
              <w:bottom w:val="single" w:color="000000" w:sz="4" w:space="0"/>
              <w:right w:val="single" w:color="000000" w:sz="4" w:space="0"/>
            </w:tcBorders>
          </w:tcPr>
          <w:p>
            <w:pPr>
              <w:pStyle w:val="54"/>
              <w:rPr>
                <w:b/>
                <w:color w:val="auto"/>
                <w:sz w:val="18"/>
                <w:highlight w:val="none"/>
              </w:rPr>
            </w:pPr>
          </w:p>
          <w:p>
            <w:pPr>
              <w:pStyle w:val="54"/>
              <w:ind w:left="621"/>
              <w:rPr>
                <w:color w:val="auto"/>
                <w:sz w:val="21"/>
                <w:highlight w:val="none"/>
              </w:rPr>
            </w:pPr>
            <w:r>
              <w:rPr>
                <w:color w:val="auto"/>
                <w:sz w:val="21"/>
                <w:highlight w:val="none"/>
              </w:rPr>
              <w:t xml:space="preserve">垃圾清运 </w:t>
            </w:r>
          </w:p>
        </w:tc>
        <w:tc>
          <w:tcPr>
            <w:tcW w:w="6647" w:type="dxa"/>
            <w:tcBorders>
              <w:top w:val="single" w:color="000000" w:sz="4" w:space="0"/>
              <w:left w:val="single" w:color="000000" w:sz="4" w:space="0"/>
              <w:bottom w:val="single" w:color="000000" w:sz="4" w:space="0"/>
            </w:tcBorders>
          </w:tcPr>
          <w:p>
            <w:pPr>
              <w:pStyle w:val="54"/>
              <w:numPr>
                <w:ilvl w:val="0"/>
                <w:numId w:val="6"/>
              </w:numPr>
              <w:tabs>
                <w:tab w:val="left" w:pos="331"/>
              </w:tabs>
              <w:spacing w:before="63"/>
              <w:ind w:right="-15" w:hanging="214"/>
              <w:rPr>
                <w:color w:val="auto"/>
                <w:sz w:val="21"/>
                <w:highlight w:val="none"/>
              </w:rPr>
            </w:pPr>
            <w:r>
              <w:rPr>
                <w:color w:val="auto"/>
                <w:spacing w:val="-3"/>
                <w:sz w:val="21"/>
                <w:highlight w:val="none"/>
              </w:rPr>
              <w:t>施工现场应设置密闭式垃圾站，施工垃圾、生活垃圾应分类存放。</w:t>
            </w:r>
            <w:r>
              <w:rPr>
                <w:color w:val="auto"/>
                <w:sz w:val="21"/>
                <w:highlight w:val="none"/>
              </w:rPr>
              <w:t xml:space="preserve"> </w:t>
            </w:r>
          </w:p>
          <w:p>
            <w:pPr>
              <w:pStyle w:val="54"/>
              <w:numPr>
                <w:ilvl w:val="0"/>
                <w:numId w:val="6"/>
              </w:numPr>
              <w:tabs>
                <w:tab w:val="left" w:pos="331"/>
              </w:tabs>
              <w:spacing w:before="69" w:line="259" w:lineRule="exact"/>
              <w:ind w:hanging="214"/>
              <w:rPr>
                <w:color w:val="auto"/>
                <w:sz w:val="21"/>
                <w:highlight w:val="none"/>
              </w:rPr>
            </w:pPr>
            <w:r>
              <w:rPr>
                <w:color w:val="auto"/>
                <w:spacing w:val="-3"/>
                <w:sz w:val="21"/>
                <w:highlight w:val="none"/>
              </w:rPr>
              <w:t>施工垃圾必须采用相应容器或管道运输。</w:t>
            </w:r>
            <w:r>
              <w:rPr>
                <w:color w:val="auto"/>
                <w:sz w:val="21"/>
                <w:highlight w:val="none"/>
              </w:rPr>
              <w:t xml:space="preserve"> </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78" w:hRule="atLeast"/>
        </w:trPr>
        <w:tc>
          <w:tcPr>
            <w:tcW w:w="739" w:type="dxa"/>
            <w:vMerge w:val="continue"/>
            <w:tcBorders>
              <w:top w:val="nil"/>
              <w:bottom w:val="single" w:color="000000" w:sz="4" w:space="0"/>
              <w:right w:val="single" w:color="000000" w:sz="4" w:space="0"/>
            </w:tcBorders>
          </w:tcPr>
          <w:p>
            <w:pPr>
              <w:rPr>
                <w:color w:val="auto"/>
                <w:sz w:val="2"/>
                <w:szCs w:val="2"/>
                <w:highlight w:val="none"/>
              </w:rPr>
            </w:pPr>
          </w:p>
        </w:tc>
        <w:tc>
          <w:tcPr>
            <w:tcW w:w="2069" w:type="dxa"/>
            <w:gridSpan w:val="2"/>
            <w:tcBorders>
              <w:top w:val="single" w:color="000000" w:sz="4" w:space="0"/>
              <w:left w:val="single" w:color="000000" w:sz="4" w:space="0"/>
              <w:bottom w:val="single" w:color="000000" w:sz="4" w:space="0"/>
              <w:right w:val="single" w:color="000000" w:sz="4" w:space="0"/>
            </w:tcBorders>
          </w:tcPr>
          <w:p>
            <w:pPr>
              <w:pStyle w:val="54"/>
              <w:spacing w:before="61"/>
              <w:ind w:left="115"/>
              <w:rPr>
                <w:color w:val="auto"/>
                <w:sz w:val="21"/>
                <w:highlight w:val="none"/>
              </w:rPr>
            </w:pPr>
            <w:r>
              <w:rPr>
                <w:color w:val="auto"/>
                <w:sz w:val="21"/>
                <w:highlight w:val="none"/>
              </w:rPr>
              <w:t>宣传栏、环保及不扰</w:t>
            </w:r>
          </w:p>
          <w:p>
            <w:pPr>
              <w:pStyle w:val="54"/>
              <w:spacing w:before="71" w:line="257" w:lineRule="exact"/>
              <w:ind w:left="115"/>
              <w:rPr>
                <w:color w:val="auto"/>
                <w:sz w:val="21"/>
                <w:highlight w:val="none"/>
              </w:rPr>
            </w:pPr>
            <w:r>
              <w:rPr>
                <w:color w:val="auto"/>
                <w:sz w:val="21"/>
                <w:highlight w:val="none"/>
              </w:rPr>
              <w:t xml:space="preserve">民措施 </w:t>
            </w:r>
          </w:p>
        </w:tc>
        <w:tc>
          <w:tcPr>
            <w:tcW w:w="6647" w:type="dxa"/>
            <w:tcBorders>
              <w:top w:val="single" w:color="000000" w:sz="4" w:space="0"/>
              <w:left w:val="single" w:color="000000" w:sz="4" w:space="0"/>
              <w:bottom w:val="single" w:color="000000" w:sz="4" w:space="0"/>
            </w:tcBorders>
          </w:tcPr>
          <w:p>
            <w:pPr>
              <w:pStyle w:val="54"/>
              <w:spacing w:before="61"/>
              <w:ind w:left="117"/>
              <w:rPr>
                <w:color w:val="auto"/>
                <w:sz w:val="21"/>
                <w:highlight w:val="none"/>
              </w:rPr>
            </w:pPr>
            <w:r>
              <w:rPr>
                <w:color w:val="auto"/>
                <w:sz w:val="21"/>
                <w:highlight w:val="none"/>
              </w:rPr>
              <w:t>宣传栏、安全宣传标语等，洗车（防止污染市区道路）、粉尘、噪声控</w:t>
            </w:r>
          </w:p>
          <w:p>
            <w:pPr>
              <w:pStyle w:val="54"/>
              <w:spacing w:before="71" w:line="257" w:lineRule="exact"/>
              <w:ind w:left="117"/>
              <w:rPr>
                <w:color w:val="auto"/>
                <w:sz w:val="21"/>
                <w:highlight w:val="none"/>
              </w:rPr>
            </w:pPr>
            <w:r>
              <w:rPr>
                <w:color w:val="auto"/>
                <w:sz w:val="21"/>
                <w:highlight w:val="none"/>
              </w:rPr>
              <w:t xml:space="preserve">制和排污（污水、废气）措施等。 </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1012" w:hRule="atLeast"/>
        </w:trPr>
        <w:tc>
          <w:tcPr>
            <w:tcW w:w="739" w:type="dxa"/>
            <w:vMerge w:val="restart"/>
            <w:tcBorders>
              <w:top w:val="single" w:color="000000" w:sz="4" w:space="0"/>
              <w:right w:val="single" w:color="000000" w:sz="4" w:space="0"/>
            </w:tcBorders>
          </w:tcPr>
          <w:p>
            <w:pPr>
              <w:pStyle w:val="54"/>
              <w:rPr>
                <w:b/>
                <w:color w:val="auto"/>
                <w:sz w:val="20"/>
                <w:highlight w:val="none"/>
              </w:rPr>
            </w:pPr>
          </w:p>
          <w:p>
            <w:pPr>
              <w:pStyle w:val="54"/>
              <w:rPr>
                <w:b/>
                <w:color w:val="auto"/>
                <w:sz w:val="20"/>
                <w:highlight w:val="none"/>
              </w:rPr>
            </w:pPr>
          </w:p>
          <w:p>
            <w:pPr>
              <w:pStyle w:val="54"/>
              <w:rPr>
                <w:b/>
                <w:color w:val="auto"/>
                <w:sz w:val="20"/>
                <w:highlight w:val="none"/>
              </w:rPr>
            </w:pPr>
          </w:p>
          <w:p>
            <w:pPr>
              <w:pStyle w:val="54"/>
              <w:rPr>
                <w:b/>
                <w:color w:val="auto"/>
                <w:sz w:val="20"/>
                <w:highlight w:val="none"/>
              </w:rPr>
            </w:pPr>
          </w:p>
          <w:p>
            <w:pPr>
              <w:pStyle w:val="54"/>
              <w:rPr>
                <w:b/>
                <w:color w:val="auto"/>
                <w:sz w:val="20"/>
                <w:highlight w:val="none"/>
              </w:rPr>
            </w:pPr>
          </w:p>
          <w:p>
            <w:pPr>
              <w:pStyle w:val="54"/>
              <w:rPr>
                <w:b/>
                <w:color w:val="auto"/>
                <w:sz w:val="20"/>
                <w:highlight w:val="none"/>
              </w:rPr>
            </w:pPr>
          </w:p>
          <w:p>
            <w:pPr>
              <w:pStyle w:val="54"/>
              <w:rPr>
                <w:b/>
                <w:color w:val="auto"/>
                <w:sz w:val="20"/>
                <w:highlight w:val="none"/>
              </w:rPr>
            </w:pPr>
          </w:p>
          <w:p>
            <w:pPr>
              <w:pStyle w:val="54"/>
              <w:spacing w:before="149" w:line="304" w:lineRule="auto"/>
              <w:ind w:left="157" w:right="33"/>
              <w:rPr>
                <w:color w:val="auto"/>
                <w:sz w:val="21"/>
                <w:highlight w:val="none"/>
              </w:rPr>
            </w:pPr>
            <w:r>
              <w:rPr>
                <w:color w:val="auto"/>
                <w:sz w:val="21"/>
                <w:highlight w:val="none"/>
              </w:rPr>
              <w:t xml:space="preserve">临时设施 </w:t>
            </w:r>
          </w:p>
        </w:tc>
        <w:tc>
          <w:tcPr>
            <w:tcW w:w="2069" w:type="dxa"/>
            <w:gridSpan w:val="2"/>
            <w:tcBorders>
              <w:top w:val="single" w:color="000000" w:sz="4" w:space="0"/>
              <w:left w:val="single" w:color="000000" w:sz="4" w:space="0"/>
              <w:bottom w:val="single" w:color="000000" w:sz="4" w:space="0"/>
              <w:right w:val="single" w:color="000000" w:sz="4" w:space="0"/>
            </w:tcBorders>
          </w:tcPr>
          <w:p>
            <w:pPr>
              <w:pStyle w:val="54"/>
              <w:rPr>
                <w:b/>
                <w:color w:val="auto"/>
                <w:sz w:val="18"/>
                <w:highlight w:val="none"/>
              </w:rPr>
            </w:pPr>
          </w:p>
          <w:p>
            <w:pPr>
              <w:pStyle w:val="54"/>
              <w:spacing w:line="304" w:lineRule="auto"/>
              <w:ind w:left="621" w:right="489"/>
              <w:rPr>
                <w:color w:val="auto"/>
                <w:sz w:val="21"/>
                <w:highlight w:val="none"/>
              </w:rPr>
            </w:pPr>
            <w:r>
              <w:rPr>
                <w:color w:val="auto"/>
                <w:sz w:val="21"/>
                <w:highlight w:val="none"/>
              </w:rPr>
              <w:t xml:space="preserve">现场办公生活设施 </w:t>
            </w:r>
          </w:p>
        </w:tc>
        <w:tc>
          <w:tcPr>
            <w:tcW w:w="6647" w:type="dxa"/>
            <w:tcBorders>
              <w:top w:val="single" w:color="000000" w:sz="4" w:space="0"/>
              <w:left w:val="single" w:color="000000" w:sz="4" w:space="0"/>
              <w:bottom w:val="single" w:color="000000" w:sz="4" w:space="0"/>
            </w:tcBorders>
          </w:tcPr>
          <w:p>
            <w:pPr>
              <w:pStyle w:val="54"/>
              <w:numPr>
                <w:ilvl w:val="0"/>
                <w:numId w:val="7"/>
              </w:numPr>
              <w:tabs>
                <w:tab w:val="left" w:pos="331"/>
              </w:tabs>
              <w:spacing w:before="63"/>
              <w:ind w:hanging="214"/>
              <w:rPr>
                <w:color w:val="auto"/>
                <w:sz w:val="21"/>
                <w:highlight w:val="none"/>
              </w:rPr>
            </w:pPr>
            <w:r>
              <w:rPr>
                <w:color w:val="auto"/>
                <w:spacing w:val="-3"/>
                <w:sz w:val="21"/>
                <w:highlight w:val="none"/>
              </w:rPr>
              <w:t>施工现场办公、生活区与作业区分开设置，保持安全距离。</w:t>
            </w:r>
            <w:r>
              <w:rPr>
                <w:color w:val="auto"/>
                <w:sz w:val="21"/>
                <w:highlight w:val="none"/>
              </w:rPr>
              <w:t xml:space="preserve"> </w:t>
            </w:r>
          </w:p>
          <w:p>
            <w:pPr>
              <w:pStyle w:val="54"/>
              <w:numPr>
                <w:ilvl w:val="0"/>
                <w:numId w:val="7"/>
              </w:numPr>
              <w:tabs>
                <w:tab w:val="left" w:pos="331"/>
              </w:tabs>
              <w:spacing w:line="342" w:lineRule="exact"/>
              <w:ind w:left="117" w:right="74" w:firstLine="0"/>
              <w:rPr>
                <w:color w:val="auto"/>
                <w:sz w:val="21"/>
                <w:highlight w:val="none"/>
              </w:rPr>
            </w:pPr>
            <w:r>
              <w:rPr>
                <w:color w:val="auto"/>
                <w:spacing w:val="-4"/>
                <w:sz w:val="21"/>
                <w:highlight w:val="none"/>
              </w:rPr>
              <w:t>工地办公室、现场宿舍、食堂、厕所、饮水、沐浴、休息场所等符</w:t>
            </w:r>
            <w:r>
              <w:rPr>
                <w:color w:val="auto"/>
                <w:spacing w:val="-3"/>
                <w:sz w:val="21"/>
                <w:highlight w:val="none"/>
              </w:rPr>
              <w:t>合卫生、消防安全要求。</w:t>
            </w:r>
            <w:r>
              <w:rPr>
                <w:color w:val="auto"/>
                <w:sz w:val="21"/>
                <w:highlight w:val="none"/>
              </w:rPr>
              <w:t xml:space="preserve"> </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1335" w:hRule="atLeast"/>
        </w:trPr>
        <w:tc>
          <w:tcPr>
            <w:tcW w:w="739" w:type="dxa"/>
            <w:vMerge w:val="continue"/>
            <w:tcBorders>
              <w:top w:val="nil"/>
              <w:right w:val="single" w:color="000000" w:sz="4" w:space="0"/>
            </w:tcBorders>
          </w:tcPr>
          <w:p>
            <w:pPr>
              <w:rPr>
                <w:color w:val="auto"/>
                <w:sz w:val="2"/>
                <w:szCs w:val="2"/>
                <w:highlight w:val="none"/>
              </w:rPr>
            </w:pPr>
          </w:p>
        </w:tc>
        <w:tc>
          <w:tcPr>
            <w:tcW w:w="523" w:type="dxa"/>
            <w:vMerge w:val="restart"/>
            <w:tcBorders>
              <w:top w:val="single" w:color="000000" w:sz="4" w:space="0"/>
              <w:left w:val="single" w:color="000000" w:sz="4" w:space="0"/>
              <w:right w:val="single" w:color="000000" w:sz="4" w:space="0"/>
            </w:tcBorders>
          </w:tcPr>
          <w:p>
            <w:pPr>
              <w:pStyle w:val="54"/>
              <w:rPr>
                <w:b/>
                <w:color w:val="auto"/>
                <w:sz w:val="20"/>
                <w:highlight w:val="none"/>
              </w:rPr>
            </w:pPr>
          </w:p>
          <w:p>
            <w:pPr>
              <w:pStyle w:val="54"/>
              <w:spacing w:before="137" w:line="302" w:lineRule="auto"/>
              <w:ind w:left="163" w:right="31"/>
              <w:rPr>
                <w:color w:val="auto"/>
                <w:sz w:val="21"/>
                <w:highlight w:val="none"/>
              </w:rPr>
            </w:pPr>
            <w:r>
              <w:rPr>
                <w:color w:val="auto"/>
                <w:sz w:val="21"/>
                <w:highlight w:val="none"/>
              </w:rPr>
              <w:t xml:space="preserve">施工现场临时用电 </w:t>
            </w:r>
          </w:p>
        </w:tc>
        <w:tc>
          <w:tcPr>
            <w:tcW w:w="1546" w:type="dxa"/>
            <w:tcBorders>
              <w:top w:val="single" w:color="000000" w:sz="4" w:space="0"/>
              <w:left w:val="single" w:color="000000" w:sz="4" w:space="0"/>
              <w:bottom w:val="single" w:color="000000" w:sz="4" w:space="0"/>
              <w:right w:val="single" w:color="000000" w:sz="4" w:space="0"/>
            </w:tcBorders>
          </w:tcPr>
          <w:p>
            <w:pPr>
              <w:pStyle w:val="54"/>
              <w:rPr>
                <w:b/>
                <w:color w:val="auto"/>
                <w:sz w:val="20"/>
                <w:highlight w:val="none"/>
              </w:rPr>
            </w:pPr>
          </w:p>
          <w:p>
            <w:pPr>
              <w:pStyle w:val="54"/>
              <w:spacing w:before="5"/>
              <w:rPr>
                <w:b/>
                <w:color w:val="auto"/>
                <w:sz w:val="23"/>
                <w:highlight w:val="none"/>
              </w:rPr>
            </w:pPr>
          </w:p>
          <w:p>
            <w:pPr>
              <w:pStyle w:val="54"/>
              <w:ind w:left="362"/>
              <w:rPr>
                <w:color w:val="auto"/>
                <w:sz w:val="21"/>
                <w:highlight w:val="none"/>
              </w:rPr>
            </w:pPr>
            <w:r>
              <w:rPr>
                <w:color w:val="auto"/>
                <w:sz w:val="21"/>
                <w:highlight w:val="none"/>
              </w:rPr>
              <w:t xml:space="preserve">配电线路 </w:t>
            </w:r>
          </w:p>
        </w:tc>
        <w:tc>
          <w:tcPr>
            <w:tcW w:w="6647" w:type="dxa"/>
            <w:tcBorders>
              <w:top w:val="single" w:color="000000" w:sz="4" w:space="0"/>
              <w:left w:val="single" w:color="000000" w:sz="4" w:space="0"/>
              <w:bottom w:val="single" w:color="000000" w:sz="4" w:space="0"/>
            </w:tcBorders>
          </w:tcPr>
          <w:p>
            <w:pPr>
              <w:pStyle w:val="54"/>
              <w:numPr>
                <w:ilvl w:val="0"/>
                <w:numId w:val="8"/>
              </w:numPr>
              <w:tabs>
                <w:tab w:val="left" w:pos="331"/>
              </w:tabs>
              <w:spacing w:before="47"/>
              <w:ind w:hanging="214"/>
              <w:rPr>
                <w:color w:val="auto"/>
                <w:sz w:val="21"/>
                <w:highlight w:val="none"/>
              </w:rPr>
            </w:pPr>
            <w:r>
              <w:rPr>
                <w:color w:val="auto"/>
                <w:spacing w:val="-19"/>
                <w:sz w:val="21"/>
                <w:highlight w:val="none"/>
              </w:rPr>
              <w:t xml:space="preserve">按照 </w:t>
            </w:r>
            <w:r>
              <w:rPr>
                <w:color w:val="auto"/>
                <w:sz w:val="21"/>
                <w:highlight w:val="none"/>
              </w:rPr>
              <w:t>TN-S</w:t>
            </w:r>
            <w:r>
              <w:rPr>
                <w:color w:val="auto"/>
                <w:spacing w:val="-9"/>
                <w:sz w:val="21"/>
                <w:highlight w:val="none"/>
              </w:rPr>
              <w:t xml:space="preserve"> 系统要求配备五芯电缆、四芯电缆和三芯电缆。</w:t>
            </w:r>
            <w:r>
              <w:rPr>
                <w:color w:val="auto"/>
                <w:sz w:val="21"/>
                <w:highlight w:val="none"/>
              </w:rPr>
              <w:t xml:space="preserve"> </w:t>
            </w:r>
          </w:p>
          <w:p>
            <w:pPr>
              <w:pStyle w:val="54"/>
              <w:numPr>
                <w:ilvl w:val="0"/>
                <w:numId w:val="8"/>
              </w:numPr>
              <w:tabs>
                <w:tab w:val="left" w:pos="331"/>
              </w:tabs>
              <w:spacing w:before="70" w:line="304" w:lineRule="auto"/>
              <w:ind w:left="117" w:right="74" w:firstLine="0"/>
              <w:rPr>
                <w:color w:val="auto"/>
                <w:sz w:val="21"/>
                <w:highlight w:val="none"/>
              </w:rPr>
            </w:pPr>
            <w:r>
              <w:rPr>
                <w:color w:val="auto"/>
                <w:spacing w:val="-4"/>
                <w:sz w:val="21"/>
                <w:highlight w:val="none"/>
              </w:rPr>
              <w:t>按要求架设临时用电线路的电杆、横担、瓷夹、瓷瓶等，或电缆埋</w:t>
            </w:r>
            <w:r>
              <w:rPr>
                <w:color w:val="auto"/>
                <w:spacing w:val="-2"/>
                <w:sz w:val="21"/>
                <w:highlight w:val="none"/>
              </w:rPr>
              <w:t>地的地沟。</w:t>
            </w:r>
            <w:r>
              <w:rPr>
                <w:color w:val="auto"/>
                <w:sz w:val="21"/>
                <w:highlight w:val="none"/>
              </w:rPr>
              <w:t xml:space="preserve"> </w:t>
            </w:r>
          </w:p>
          <w:p>
            <w:pPr>
              <w:pStyle w:val="54"/>
              <w:numPr>
                <w:ilvl w:val="0"/>
                <w:numId w:val="8"/>
              </w:numPr>
              <w:tabs>
                <w:tab w:val="left" w:pos="331"/>
              </w:tabs>
              <w:spacing w:line="245" w:lineRule="exact"/>
              <w:ind w:right="-29" w:hanging="214"/>
              <w:rPr>
                <w:color w:val="auto"/>
                <w:sz w:val="21"/>
                <w:highlight w:val="none"/>
              </w:rPr>
            </w:pPr>
            <w:r>
              <w:rPr>
                <w:color w:val="auto"/>
                <w:spacing w:val="-13"/>
                <w:sz w:val="21"/>
                <w:highlight w:val="none"/>
              </w:rPr>
              <w:t>对靠近施工现场的外电线路，设置木质、塑料等绝缘体的防护设施。</w:t>
            </w:r>
            <w:r>
              <w:rPr>
                <w:color w:val="auto"/>
                <w:sz w:val="21"/>
                <w:highlight w:val="none"/>
              </w:rPr>
              <w:t xml:space="preserve"> </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029" w:hRule="atLeast"/>
        </w:trPr>
        <w:tc>
          <w:tcPr>
            <w:tcW w:w="739" w:type="dxa"/>
            <w:vMerge w:val="continue"/>
            <w:tcBorders>
              <w:top w:val="nil"/>
              <w:right w:val="single" w:color="000000" w:sz="4" w:space="0"/>
            </w:tcBorders>
          </w:tcPr>
          <w:p>
            <w:pPr>
              <w:rPr>
                <w:color w:val="auto"/>
                <w:sz w:val="2"/>
                <w:szCs w:val="2"/>
                <w:highlight w:val="none"/>
              </w:rPr>
            </w:pPr>
          </w:p>
        </w:tc>
        <w:tc>
          <w:tcPr>
            <w:tcW w:w="523" w:type="dxa"/>
            <w:vMerge w:val="continue"/>
            <w:tcBorders>
              <w:top w:val="nil"/>
              <w:left w:val="single" w:color="000000" w:sz="4" w:space="0"/>
              <w:right w:val="single" w:color="000000" w:sz="4" w:space="0"/>
            </w:tcBorders>
          </w:tcPr>
          <w:p>
            <w:pPr>
              <w:rPr>
                <w:color w:val="auto"/>
                <w:sz w:val="2"/>
                <w:szCs w:val="2"/>
                <w:highlight w:val="none"/>
              </w:rPr>
            </w:pPr>
          </w:p>
        </w:tc>
        <w:tc>
          <w:tcPr>
            <w:tcW w:w="1546" w:type="dxa"/>
            <w:tcBorders>
              <w:top w:val="single" w:color="000000" w:sz="4" w:space="0"/>
              <w:left w:val="single" w:color="000000" w:sz="4" w:space="0"/>
              <w:right w:val="single" w:color="000000" w:sz="4" w:space="0"/>
            </w:tcBorders>
          </w:tcPr>
          <w:p>
            <w:pPr>
              <w:pStyle w:val="54"/>
              <w:rPr>
                <w:b/>
                <w:color w:val="auto"/>
                <w:sz w:val="20"/>
                <w:highlight w:val="none"/>
              </w:rPr>
            </w:pPr>
          </w:p>
          <w:p>
            <w:pPr>
              <w:pStyle w:val="54"/>
              <w:rPr>
                <w:b/>
                <w:color w:val="auto"/>
                <w:sz w:val="20"/>
                <w:highlight w:val="none"/>
              </w:rPr>
            </w:pPr>
          </w:p>
          <w:p>
            <w:pPr>
              <w:pStyle w:val="54"/>
              <w:spacing w:before="2"/>
              <w:rPr>
                <w:b/>
                <w:color w:val="auto"/>
                <w:sz w:val="17"/>
                <w:highlight w:val="none"/>
              </w:rPr>
            </w:pPr>
          </w:p>
          <w:p>
            <w:pPr>
              <w:pStyle w:val="54"/>
              <w:spacing w:line="304" w:lineRule="auto"/>
              <w:ind w:left="465" w:right="330"/>
              <w:rPr>
                <w:color w:val="auto"/>
                <w:sz w:val="21"/>
                <w:highlight w:val="none"/>
              </w:rPr>
            </w:pPr>
            <w:r>
              <w:rPr>
                <w:color w:val="auto"/>
                <w:sz w:val="21"/>
                <w:highlight w:val="none"/>
              </w:rPr>
              <w:t xml:space="preserve">配电箱开关箱 </w:t>
            </w:r>
          </w:p>
        </w:tc>
        <w:tc>
          <w:tcPr>
            <w:tcW w:w="6647" w:type="dxa"/>
            <w:tcBorders>
              <w:top w:val="single" w:color="000000" w:sz="4" w:space="0"/>
              <w:left w:val="single" w:color="000000" w:sz="4" w:space="0"/>
            </w:tcBorders>
          </w:tcPr>
          <w:p>
            <w:pPr>
              <w:pStyle w:val="54"/>
              <w:numPr>
                <w:ilvl w:val="0"/>
                <w:numId w:val="9"/>
              </w:numPr>
              <w:tabs>
                <w:tab w:val="left" w:pos="331"/>
              </w:tabs>
              <w:spacing w:before="53" w:line="302" w:lineRule="auto"/>
              <w:ind w:right="74" w:firstLine="0"/>
              <w:jc w:val="both"/>
              <w:rPr>
                <w:color w:val="auto"/>
                <w:sz w:val="21"/>
                <w:highlight w:val="none"/>
              </w:rPr>
            </w:pPr>
            <w:r>
              <w:rPr>
                <w:color w:val="auto"/>
                <w:spacing w:val="-3"/>
                <w:sz w:val="21"/>
                <w:highlight w:val="none"/>
              </w:rPr>
              <w:t>按三级配电要求，配备总配电箱、分配电箱、开关箱三类</w:t>
            </w:r>
            <w:r>
              <w:rPr>
                <w:color w:val="auto"/>
                <w:sz w:val="21"/>
                <w:highlight w:val="none"/>
              </w:rPr>
              <w:t>（</w:t>
            </w:r>
            <w:r>
              <w:rPr>
                <w:color w:val="auto"/>
                <w:spacing w:val="-2"/>
                <w:sz w:val="21"/>
                <w:highlight w:val="none"/>
              </w:rPr>
              <w:t>铁质</w:t>
            </w:r>
            <w:r>
              <w:rPr>
                <w:color w:val="auto"/>
                <w:spacing w:val="-14"/>
                <w:sz w:val="21"/>
                <w:highlight w:val="none"/>
              </w:rPr>
              <w:t xml:space="preserve">） </w:t>
            </w:r>
            <w:r>
              <w:rPr>
                <w:color w:val="auto"/>
                <w:spacing w:val="-10"/>
                <w:sz w:val="21"/>
                <w:highlight w:val="none"/>
              </w:rPr>
              <w:t>标准电箱，开关箱应符合“一机、一箱、一闸、一漏”，三类电箱中的</w:t>
            </w:r>
            <w:r>
              <w:rPr>
                <w:color w:val="auto"/>
                <w:spacing w:val="-5"/>
                <w:sz w:val="21"/>
                <w:highlight w:val="none"/>
              </w:rPr>
              <w:t>各类电器应是合格品。</w:t>
            </w:r>
            <w:r>
              <w:rPr>
                <w:color w:val="auto"/>
                <w:sz w:val="21"/>
                <w:highlight w:val="none"/>
              </w:rPr>
              <w:t xml:space="preserve"> </w:t>
            </w:r>
          </w:p>
          <w:p>
            <w:pPr>
              <w:pStyle w:val="54"/>
              <w:numPr>
                <w:ilvl w:val="0"/>
                <w:numId w:val="9"/>
              </w:numPr>
              <w:tabs>
                <w:tab w:val="left" w:pos="331"/>
              </w:tabs>
              <w:spacing w:before="3" w:line="302" w:lineRule="auto"/>
              <w:ind w:right="74" w:firstLine="0"/>
              <w:rPr>
                <w:color w:val="auto"/>
                <w:sz w:val="21"/>
                <w:highlight w:val="none"/>
              </w:rPr>
            </w:pPr>
            <w:r>
              <w:rPr>
                <w:color w:val="auto"/>
                <w:spacing w:val="-4"/>
                <w:sz w:val="21"/>
                <w:highlight w:val="none"/>
              </w:rPr>
              <w:t>按两级保护的要求，选取符合容量要求和质量合格的总配电箱和开</w:t>
            </w:r>
            <w:r>
              <w:rPr>
                <w:color w:val="auto"/>
                <w:spacing w:val="-3"/>
                <w:sz w:val="21"/>
                <w:highlight w:val="none"/>
              </w:rPr>
              <w:t>关箱中的漏电保护器。</w:t>
            </w:r>
            <w:r>
              <w:rPr>
                <w:color w:val="auto"/>
                <w:sz w:val="21"/>
                <w:highlight w:val="none"/>
              </w:rPr>
              <w:t xml:space="preserve"> </w:t>
            </w:r>
          </w:p>
          <w:p>
            <w:pPr>
              <w:pStyle w:val="54"/>
              <w:numPr>
                <w:ilvl w:val="0"/>
                <w:numId w:val="9"/>
              </w:numPr>
              <w:tabs>
                <w:tab w:val="left" w:pos="331"/>
              </w:tabs>
              <w:spacing w:before="2" w:line="257" w:lineRule="exact"/>
              <w:ind w:left="330" w:hanging="214"/>
              <w:rPr>
                <w:color w:val="auto"/>
                <w:sz w:val="21"/>
                <w:highlight w:val="none"/>
              </w:rPr>
            </w:pPr>
            <w:r>
              <w:rPr>
                <w:color w:val="auto"/>
                <w:spacing w:val="-3"/>
                <w:sz w:val="21"/>
                <w:highlight w:val="none"/>
              </w:rPr>
              <w:t xml:space="preserve">对大型、落地式分配电箱、开关箱设置防护棚和通透式围挡。 </w:t>
            </w:r>
          </w:p>
        </w:tc>
      </w:tr>
    </w:tbl>
    <w:p>
      <w:pPr>
        <w:spacing w:line="257" w:lineRule="exact"/>
        <w:rPr>
          <w:color w:val="auto"/>
          <w:sz w:val="21"/>
          <w:highlight w:val="none"/>
        </w:rPr>
        <w:sectPr>
          <w:pgSz w:w="11900" w:h="16850"/>
          <w:pgMar w:top="1400" w:right="760" w:bottom="1320" w:left="760" w:header="1158" w:footer="1133" w:gutter="0"/>
          <w:cols w:space="720" w:num="1"/>
        </w:sectPr>
      </w:pPr>
    </w:p>
    <w:p>
      <w:pPr>
        <w:pStyle w:val="2"/>
        <w:spacing w:before="10"/>
        <w:rPr>
          <w:b/>
          <w:color w:val="auto"/>
          <w:sz w:val="3"/>
          <w:highlight w:val="none"/>
        </w:rPr>
      </w:pPr>
    </w:p>
    <w:tbl>
      <w:tblPr>
        <w:tblStyle w:val="52"/>
        <w:tblW w:w="0" w:type="auto"/>
        <w:tblInd w:w="566" w:type="dxa"/>
        <w:tblBorders>
          <w:top w:val="single" w:color="000000" w:sz="18" w:space="0"/>
          <w:left w:val="single" w:color="000000" w:sz="18" w:space="0"/>
          <w:bottom w:val="single" w:color="000000" w:sz="18" w:space="0"/>
          <w:right w:val="single" w:color="000000" w:sz="18" w:space="0"/>
          <w:insideH w:val="single" w:color="000000" w:sz="18" w:space="0"/>
          <w:insideV w:val="single" w:color="000000" w:sz="18" w:space="0"/>
        </w:tblBorders>
        <w:tblLayout w:type="fixed"/>
        <w:tblCellMar>
          <w:top w:w="0" w:type="dxa"/>
          <w:left w:w="0" w:type="dxa"/>
          <w:bottom w:w="0" w:type="dxa"/>
          <w:right w:w="0" w:type="dxa"/>
        </w:tblCellMar>
      </w:tblPr>
      <w:tblGrid>
        <w:gridCol w:w="739"/>
        <w:gridCol w:w="523"/>
        <w:gridCol w:w="1546"/>
        <w:gridCol w:w="6647"/>
      </w:tblGrid>
      <w:tr>
        <w:tblPrEx>
          <w:tblBorders>
            <w:top w:val="single" w:color="000000" w:sz="18" w:space="0"/>
            <w:left w:val="single" w:color="000000" w:sz="18" w:space="0"/>
            <w:bottom w:val="single" w:color="000000" w:sz="18" w:space="0"/>
            <w:right w:val="single" w:color="000000" w:sz="18" w:space="0"/>
            <w:insideH w:val="single" w:color="000000" w:sz="18" w:space="0"/>
            <w:insideV w:val="single" w:color="000000" w:sz="18" w:space="0"/>
          </w:tblBorders>
          <w:tblCellMar>
            <w:top w:w="0" w:type="dxa"/>
            <w:left w:w="0" w:type="dxa"/>
            <w:bottom w:w="0" w:type="dxa"/>
            <w:right w:w="0" w:type="dxa"/>
          </w:tblCellMar>
        </w:tblPrEx>
        <w:trPr>
          <w:trHeight w:val="342" w:hRule="atLeast"/>
        </w:trPr>
        <w:tc>
          <w:tcPr>
            <w:tcW w:w="739" w:type="dxa"/>
            <w:vMerge w:val="restart"/>
            <w:tcBorders>
              <w:left w:val="single" w:color="000000" w:sz="12" w:space="0"/>
              <w:bottom w:val="single" w:color="000000" w:sz="4" w:space="0"/>
              <w:right w:val="single" w:color="000000" w:sz="4" w:space="0"/>
            </w:tcBorders>
          </w:tcPr>
          <w:p>
            <w:pPr>
              <w:pStyle w:val="54"/>
              <w:rPr>
                <w:rFonts w:ascii="Times New Roman"/>
                <w:color w:val="auto"/>
                <w:sz w:val="20"/>
                <w:highlight w:val="none"/>
              </w:rPr>
            </w:pPr>
          </w:p>
        </w:tc>
        <w:tc>
          <w:tcPr>
            <w:tcW w:w="523" w:type="dxa"/>
            <w:vMerge w:val="restart"/>
            <w:tcBorders>
              <w:left w:val="single" w:color="000000" w:sz="4" w:space="0"/>
              <w:bottom w:val="single" w:color="000000" w:sz="4" w:space="0"/>
              <w:right w:val="single" w:color="000000" w:sz="4" w:space="0"/>
            </w:tcBorders>
          </w:tcPr>
          <w:p>
            <w:pPr>
              <w:pStyle w:val="54"/>
              <w:rPr>
                <w:rFonts w:ascii="Times New Roman"/>
                <w:color w:val="auto"/>
                <w:sz w:val="20"/>
                <w:highlight w:val="none"/>
              </w:rPr>
            </w:pPr>
          </w:p>
        </w:tc>
        <w:tc>
          <w:tcPr>
            <w:tcW w:w="1546" w:type="dxa"/>
            <w:tcBorders>
              <w:left w:val="single" w:color="000000" w:sz="4" w:space="0"/>
              <w:bottom w:val="single" w:color="000000" w:sz="4" w:space="0"/>
              <w:right w:val="single" w:color="000000" w:sz="4" w:space="0"/>
            </w:tcBorders>
          </w:tcPr>
          <w:p>
            <w:pPr>
              <w:pStyle w:val="54"/>
              <w:spacing w:before="63" w:line="259" w:lineRule="exact"/>
              <w:ind w:left="362"/>
              <w:rPr>
                <w:color w:val="auto"/>
                <w:sz w:val="21"/>
                <w:highlight w:val="none"/>
              </w:rPr>
            </w:pPr>
            <w:r>
              <w:rPr>
                <w:color w:val="auto"/>
                <w:sz w:val="21"/>
                <w:highlight w:val="none"/>
              </w:rPr>
              <w:t xml:space="preserve">接地装置 </w:t>
            </w:r>
          </w:p>
        </w:tc>
        <w:tc>
          <w:tcPr>
            <w:tcW w:w="6647" w:type="dxa"/>
            <w:tcBorders>
              <w:left w:val="single" w:color="000000" w:sz="4" w:space="0"/>
              <w:bottom w:val="single" w:color="000000" w:sz="4" w:space="0"/>
              <w:right w:val="single" w:color="000000" w:sz="12" w:space="0"/>
            </w:tcBorders>
          </w:tcPr>
          <w:p>
            <w:pPr>
              <w:pStyle w:val="54"/>
              <w:spacing w:before="63" w:line="259" w:lineRule="exact"/>
              <w:ind w:left="117"/>
              <w:rPr>
                <w:color w:val="auto"/>
                <w:sz w:val="21"/>
                <w:highlight w:val="none"/>
              </w:rPr>
            </w:pPr>
            <w:r>
              <w:rPr>
                <w:color w:val="auto"/>
                <w:sz w:val="21"/>
                <w:highlight w:val="none"/>
              </w:rPr>
              <w:t xml:space="preserve">施工现场应设置不少于三处的重复接地装置。 </w:t>
            </w:r>
          </w:p>
        </w:tc>
      </w:tr>
      <w:tr>
        <w:tblPrEx>
          <w:tblBorders>
            <w:top w:val="single" w:color="000000" w:sz="18" w:space="0"/>
            <w:left w:val="single" w:color="000000" w:sz="18" w:space="0"/>
            <w:bottom w:val="single" w:color="000000" w:sz="18" w:space="0"/>
            <w:right w:val="single" w:color="000000" w:sz="18" w:space="0"/>
            <w:insideH w:val="single" w:color="000000" w:sz="18" w:space="0"/>
            <w:insideV w:val="single" w:color="000000" w:sz="18" w:space="0"/>
          </w:tblBorders>
          <w:tblCellMar>
            <w:top w:w="0" w:type="dxa"/>
            <w:left w:w="0" w:type="dxa"/>
            <w:bottom w:w="0" w:type="dxa"/>
            <w:right w:w="0" w:type="dxa"/>
          </w:tblCellMar>
        </w:tblPrEx>
        <w:trPr>
          <w:trHeight w:val="678" w:hRule="atLeast"/>
        </w:trPr>
        <w:tc>
          <w:tcPr>
            <w:tcW w:w="739" w:type="dxa"/>
            <w:vMerge w:val="continue"/>
            <w:tcBorders>
              <w:top w:val="nil"/>
              <w:left w:val="single" w:color="000000" w:sz="12" w:space="0"/>
              <w:bottom w:val="single" w:color="000000" w:sz="4" w:space="0"/>
              <w:right w:val="single" w:color="000000" w:sz="4" w:space="0"/>
            </w:tcBorders>
          </w:tcPr>
          <w:p>
            <w:pPr>
              <w:rPr>
                <w:color w:val="auto"/>
                <w:sz w:val="2"/>
                <w:szCs w:val="2"/>
                <w:highlight w:val="none"/>
              </w:rPr>
            </w:pPr>
          </w:p>
        </w:tc>
        <w:tc>
          <w:tcPr>
            <w:tcW w:w="523" w:type="dxa"/>
            <w:vMerge w:val="continue"/>
            <w:tcBorders>
              <w:top w:val="nil"/>
              <w:left w:val="single" w:color="000000" w:sz="4" w:space="0"/>
              <w:bottom w:val="single" w:color="000000" w:sz="4" w:space="0"/>
              <w:right w:val="single" w:color="000000" w:sz="4" w:space="0"/>
            </w:tcBorders>
          </w:tcPr>
          <w:p>
            <w:pPr>
              <w:rPr>
                <w:color w:val="auto"/>
                <w:sz w:val="2"/>
                <w:szCs w:val="2"/>
                <w:highlight w:val="none"/>
              </w:rPr>
            </w:pPr>
          </w:p>
        </w:tc>
        <w:tc>
          <w:tcPr>
            <w:tcW w:w="1546" w:type="dxa"/>
            <w:tcBorders>
              <w:top w:val="single" w:color="000000" w:sz="4" w:space="0"/>
              <w:left w:val="single" w:color="000000" w:sz="4" w:space="0"/>
              <w:bottom w:val="single" w:color="000000" w:sz="4" w:space="0"/>
              <w:right w:val="single" w:color="000000" w:sz="4" w:space="0"/>
            </w:tcBorders>
          </w:tcPr>
          <w:p>
            <w:pPr>
              <w:pStyle w:val="54"/>
              <w:spacing w:line="338" w:lineRule="exact"/>
              <w:ind w:left="676" w:right="120" w:hanging="526"/>
              <w:rPr>
                <w:color w:val="auto"/>
                <w:sz w:val="21"/>
                <w:highlight w:val="none"/>
              </w:rPr>
            </w:pPr>
            <w:r>
              <w:rPr>
                <w:color w:val="auto"/>
                <w:sz w:val="21"/>
                <w:highlight w:val="none"/>
              </w:rPr>
              <w:t xml:space="preserve">现场变配电装置 </w:t>
            </w:r>
          </w:p>
        </w:tc>
        <w:tc>
          <w:tcPr>
            <w:tcW w:w="6647" w:type="dxa"/>
            <w:tcBorders>
              <w:top w:val="single" w:color="000000" w:sz="4" w:space="0"/>
              <w:left w:val="single" w:color="000000" w:sz="4" w:space="0"/>
              <w:bottom w:val="single" w:color="000000" w:sz="4" w:space="0"/>
              <w:right w:val="single" w:color="000000" w:sz="12" w:space="0"/>
            </w:tcBorders>
          </w:tcPr>
          <w:p>
            <w:pPr>
              <w:pStyle w:val="54"/>
              <w:rPr>
                <w:b/>
                <w:color w:val="auto"/>
                <w:sz w:val="18"/>
                <w:highlight w:val="none"/>
              </w:rPr>
            </w:pPr>
          </w:p>
          <w:p>
            <w:pPr>
              <w:pStyle w:val="54"/>
              <w:ind w:left="117"/>
              <w:rPr>
                <w:color w:val="auto"/>
                <w:sz w:val="21"/>
                <w:highlight w:val="none"/>
              </w:rPr>
            </w:pPr>
            <w:r>
              <w:rPr>
                <w:color w:val="auto"/>
                <w:sz w:val="21"/>
                <w:highlight w:val="none"/>
              </w:rPr>
              <w:t xml:space="preserve">总配电房建筑材料必须达到消防防火要求，室内做硬地坪、电缆沟。 </w:t>
            </w:r>
          </w:p>
        </w:tc>
      </w:tr>
      <w:tr>
        <w:tblPrEx>
          <w:tblBorders>
            <w:top w:val="single" w:color="000000" w:sz="18" w:space="0"/>
            <w:left w:val="single" w:color="000000" w:sz="18" w:space="0"/>
            <w:bottom w:val="single" w:color="000000" w:sz="18" w:space="0"/>
            <w:right w:val="single" w:color="000000" w:sz="18" w:space="0"/>
            <w:insideH w:val="single" w:color="000000" w:sz="18" w:space="0"/>
            <w:insideV w:val="single" w:color="000000" w:sz="18" w:space="0"/>
          </w:tblBorders>
          <w:tblCellMar>
            <w:top w:w="0" w:type="dxa"/>
            <w:left w:w="0" w:type="dxa"/>
            <w:bottom w:w="0" w:type="dxa"/>
            <w:right w:w="0" w:type="dxa"/>
          </w:tblCellMar>
        </w:tblPrEx>
        <w:trPr>
          <w:trHeight w:val="340" w:hRule="atLeast"/>
        </w:trPr>
        <w:tc>
          <w:tcPr>
            <w:tcW w:w="739" w:type="dxa"/>
            <w:tcBorders>
              <w:top w:val="single" w:color="000000" w:sz="4" w:space="0"/>
              <w:left w:val="single" w:color="000000" w:sz="12" w:space="0"/>
              <w:bottom w:val="single" w:color="000000" w:sz="4" w:space="0"/>
              <w:right w:val="single" w:color="000000" w:sz="4" w:space="0"/>
            </w:tcBorders>
          </w:tcPr>
          <w:p>
            <w:pPr>
              <w:pStyle w:val="54"/>
              <w:spacing w:before="61" w:line="259" w:lineRule="exact"/>
              <w:ind w:left="157"/>
              <w:rPr>
                <w:b/>
                <w:color w:val="auto"/>
                <w:sz w:val="21"/>
                <w:highlight w:val="none"/>
              </w:rPr>
            </w:pPr>
            <w:r>
              <w:rPr>
                <w:b/>
                <w:color w:val="auto"/>
                <w:sz w:val="21"/>
                <w:highlight w:val="none"/>
              </w:rPr>
              <w:t>类别</w:t>
            </w:r>
            <w:r>
              <w:rPr>
                <w:b/>
                <w:color w:val="auto"/>
                <w:w w:val="99"/>
                <w:sz w:val="21"/>
                <w:highlight w:val="none"/>
              </w:rPr>
              <w:t xml:space="preserve"> </w:t>
            </w:r>
          </w:p>
        </w:tc>
        <w:tc>
          <w:tcPr>
            <w:tcW w:w="2069" w:type="dxa"/>
            <w:gridSpan w:val="2"/>
            <w:tcBorders>
              <w:top w:val="single" w:color="000000" w:sz="4" w:space="0"/>
              <w:left w:val="single" w:color="000000" w:sz="4" w:space="0"/>
              <w:bottom w:val="single" w:color="000000" w:sz="4" w:space="0"/>
              <w:right w:val="single" w:color="000000" w:sz="4" w:space="0"/>
            </w:tcBorders>
          </w:tcPr>
          <w:p>
            <w:pPr>
              <w:pStyle w:val="54"/>
              <w:spacing w:before="61" w:line="259" w:lineRule="exact"/>
              <w:ind w:left="619"/>
              <w:rPr>
                <w:b/>
                <w:color w:val="auto"/>
                <w:sz w:val="21"/>
                <w:highlight w:val="none"/>
              </w:rPr>
            </w:pPr>
            <w:r>
              <w:rPr>
                <w:b/>
                <w:color w:val="auto"/>
                <w:sz w:val="21"/>
                <w:highlight w:val="none"/>
              </w:rPr>
              <w:t>项目名称</w:t>
            </w:r>
            <w:r>
              <w:rPr>
                <w:b/>
                <w:color w:val="auto"/>
                <w:w w:val="99"/>
                <w:sz w:val="21"/>
                <w:highlight w:val="none"/>
              </w:rPr>
              <w:t xml:space="preserve"> </w:t>
            </w:r>
          </w:p>
        </w:tc>
        <w:tc>
          <w:tcPr>
            <w:tcW w:w="6647" w:type="dxa"/>
            <w:tcBorders>
              <w:top w:val="single" w:color="000000" w:sz="4" w:space="0"/>
              <w:left w:val="single" w:color="000000" w:sz="4" w:space="0"/>
              <w:bottom w:val="single" w:color="000000" w:sz="4" w:space="0"/>
              <w:right w:val="single" w:color="000000" w:sz="12" w:space="0"/>
            </w:tcBorders>
          </w:tcPr>
          <w:p>
            <w:pPr>
              <w:pStyle w:val="54"/>
              <w:spacing w:before="61" w:line="259" w:lineRule="exact"/>
              <w:ind w:left="2628" w:right="2483"/>
              <w:jc w:val="center"/>
              <w:rPr>
                <w:b/>
                <w:color w:val="auto"/>
                <w:sz w:val="21"/>
                <w:highlight w:val="none"/>
              </w:rPr>
            </w:pPr>
            <w:r>
              <w:rPr>
                <w:b/>
                <w:color w:val="auto"/>
                <w:sz w:val="21"/>
                <w:highlight w:val="none"/>
              </w:rPr>
              <w:t>主要内容和要求</w:t>
            </w:r>
            <w:r>
              <w:rPr>
                <w:b/>
                <w:color w:val="auto"/>
                <w:w w:val="99"/>
                <w:sz w:val="21"/>
                <w:highlight w:val="none"/>
              </w:rPr>
              <w:t xml:space="preserve"> </w:t>
            </w:r>
          </w:p>
        </w:tc>
      </w:tr>
      <w:tr>
        <w:tblPrEx>
          <w:tblBorders>
            <w:top w:val="single" w:color="000000" w:sz="18" w:space="0"/>
            <w:left w:val="single" w:color="000000" w:sz="18" w:space="0"/>
            <w:bottom w:val="single" w:color="000000" w:sz="18" w:space="0"/>
            <w:right w:val="single" w:color="000000" w:sz="18" w:space="0"/>
            <w:insideH w:val="single" w:color="000000" w:sz="18" w:space="0"/>
            <w:insideV w:val="single" w:color="000000" w:sz="18" w:space="0"/>
          </w:tblBorders>
          <w:tblCellMar>
            <w:top w:w="0" w:type="dxa"/>
            <w:left w:w="0" w:type="dxa"/>
            <w:bottom w:w="0" w:type="dxa"/>
            <w:right w:w="0" w:type="dxa"/>
          </w:tblCellMar>
        </w:tblPrEx>
        <w:trPr>
          <w:trHeight w:val="678" w:hRule="atLeast"/>
        </w:trPr>
        <w:tc>
          <w:tcPr>
            <w:tcW w:w="739" w:type="dxa"/>
            <w:vMerge w:val="restart"/>
            <w:tcBorders>
              <w:top w:val="single" w:color="000000" w:sz="4" w:space="0"/>
              <w:left w:val="single" w:color="000000" w:sz="12" w:space="0"/>
              <w:bottom w:val="single" w:color="000000" w:sz="4" w:space="0"/>
              <w:right w:val="single" w:color="000000" w:sz="4" w:space="0"/>
            </w:tcBorders>
          </w:tcPr>
          <w:p>
            <w:pPr>
              <w:pStyle w:val="54"/>
              <w:rPr>
                <w:b/>
                <w:color w:val="auto"/>
                <w:sz w:val="20"/>
                <w:highlight w:val="none"/>
              </w:rPr>
            </w:pPr>
          </w:p>
          <w:p>
            <w:pPr>
              <w:pStyle w:val="54"/>
              <w:rPr>
                <w:b/>
                <w:color w:val="auto"/>
                <w:sz w:val="20"/>
                <w:highlight w:val="none"/>
              </w:rPr>
            </w:pPr>
          </w:p>
          <w:p>
            <w:pPr>
              <w:pStyle w:val="54"/>
              <w:rPr>
                <w:b/>
                <w:color w:val="auto"/>
                <w:sz w:val="20"/>
                <w:highlight w:val="none"/>
              </w:rPr>
            </w:pPr>
          </w:p>
          <w:p>
            <w:pPr>
              <w:pStyle w:val="54"/>
              <w:rPr>
                <w:b/>
                <w:color w:val="auto"/>
                <w:sz w:val="20"/>
                <w:highlight w:val="none"/>
              </w:rPr>
            </w:pPr>
          </w:p>
          <w:p>
            <w:pPr>
              <w:pStyle w:val="54"/>
              <w:rPr>
                <w:b/>
                <w:color w:val="auto"/>
                <w:sz w:val="20"/>
                <w:highlight w:val="none"/>
              </w:rPr>
            </w:pPr>
          </w:p>
          <w:p>
            <w:pPr>
              <w:pStyle w:val="54"/>
              <w:rPr>
                <w:b/>
                <w:color w:val="auto"/>
                <w:sz w:val="20"/>
                <w:highlight w:val="none"/>
              </w:rPr>
            </w:pPr>
          </w:p>
          <w:p>
            <w:pPr>
              <w:pStyle w:val="54"/>
              <w:rPr>
                <w:b/>
                <w:color w:val="auto"/>
                <w:sz w:val="20"/>
                <w:highlight w:val="none"/>
              </w:rPr>
            </w:pPr>
          </w:p>
          <w:p>
            <w:pPr>
              <w:pStyle w:val="54"/>
              <w:rPr>
                <w:b/>
                <w:color w:val="auto"/>
                <w:sz w:val="20"/>
                <w:highlight w:val="none"/>
              </w:rPr>
            </w:pPr>
          </w:p>
          <w:p>
            <w:pPr>
              <w:pStyle w:val="54"/>
              <w:rPr>
                <w:b/>
                <w:color w:val="auto"/>
                <w:sz w:val="20"/>
                <w:highlight w:val="none"/>
              </w:rPr>
            </w:pPr>
          </w:p>
          <w:p>
            <w:pPr>
              <w:pStyle w:val="54"/>
              <w:spacing w:before="11"/>
              <w:rPr>
                <w:b/>
                <w:color w:val="auto"/>
                <w:sz w:val="26"/>
                <w:highlight w:val="none"/>
              </w:rPr>
            </w:pPr>
          </w:p>
          <w:p>
            <w:pPr>
              <w:pStyle w:val="54"/>
              <w:spacing w:before="1" w:line="304" w:lineRule="auto"/>
              <w:ind w:left="157" w:right="33"/>
              <w:rPr>
                <w:color w:val="auto"/>
                <w:sz w:val="21"/>
                <w:highlight w:val="none"/>
              </w:rPr>
            </w:pPr>
            <w:r>
              <w:rPr>
                <w:color w:val="auto"/>
                <w:sz w:val="21"/>
                <w:highlight w:val="none"/>
              </w:rPr>
              <w:t xml:space="preserve">安全施工 </w:t>
            </w:r>
          </w:p>
        </w:tc>
        <w:tc>
          <w:tcPr>
            <w:tcW w:w="523" w:type="dxa"/>
            <w:vMerge w:val="restart"/>
            <w:tcBorders>
              <w:top w:val="single" w:color="000000" w:sz="4" w:space="0"/>
              <w:left w:val="single" w:color="000000" w:sz="4" w:space="0"/>
              <w:bottom w:val="single" w:color="000000" w:sz="4" w:space="0"/>
              <w:right w:val="single" w:color="000000" w:sz="4" w:space="0"/>
            </w:tcBorders>
          </w:tcPr>
          <w:p>
            <w:pPr>
              <w:pStyle w:val="54"/>
              <w:rPr>
                <w:b/>
                <w:color w:val="auto"/>
                <w:sz w:val="20"/>
                <w:highlight w:val="none"/>
              </w:rPr>
            </w:pPr>
          </w:p>
          <w:p>
            <w:pPr>
              <w:pStyle w:val="54"/>
              <w:rPr>
                <w:b/>
                <w:color w:val="auto"/>
                <w:sz w:val="20"/>
                <w:highlight w:val="none"/>
              </w:rPr>
            </w:pPr>
          </w:p>
          <w:p>
            <w:pPr>
              <w:pStyle w:val="54"/>
              <w:rPr>
                <w:b/>
                <w:color w:val="auto"/>
                <w:sz w:val="20"/>
                <w:highlight w:val="none"/>
              </w:rPr>
            </w:pPr>
          </w:p>
          <w:p>
            <w:pPr>
              <w:pStyle w:val="54"/>
              <w:rPr>
                <w:b/>
                <w:color w:val="auto"/>
                <w:sz w:val="20"/>
                <w:highlight w:val="none"/>
              </w:rPr>
            </w:pPr>
          </w:p>
          <w:p>
            <w:pPr>
              <w:pStyle w:val="54"/>
              <w:rPr>
                <w:b/>
                <w:color w:val="auto"/>
                <w:sz w:val="20"/>
                <w:highlight w:val="none"/>
              </w:rPr>
            </w:pPr>
          </w:p>
          <w:p>
            <w:pPr>
              <w:pStyle w:val="54"/>
              <w:spacing w:before="11"/>
              <w:rPr>
                <w:b/>
                <w:color w:val="auto"/>
                <w:sz w:val="26"/>
                <w:highlight w:val="none"/>
              </w:rPr>
            </w:pPr>
          </w:p>
          <w:p>
            <w:pPr>
              <w:pStyle w:val="54"/>
              <w:spacing w:line="302" w:lineRule="auto"/>
              <w:ind w:left="163" w:right="31"/>
              <w:jc w:val="both"/>
              <w:rPr>
                <w:color w:val="auto"/>
                <w:sz w:val="21"/>
                <w:highlight w:val="none"/>
              </w:rPr>
            </w:pPr>
            <w:r>
              <w:rPr>
                <w:color w:val="auto"/>
                <w:sz w:val="21"/>
                <w:highlight w:val="none"/>
              </w:rPr>
              <w:t xml:space="preserve">高处作业防护 </w:t>
            </w:r>
          </w:p>
        </w:tc>
        <w:tc>
          <w:tcPr>
            <w:tcW w:w="1546" w:type="dxa"/>
            <w:tcBorders>
              <w:top w:val="single" w:color="000000" w:sz="4" w:space="0"/>
              <w:left w:val="single" w:color="000000" w:sz="4" w:space="0"/>
              <w:bottom w:val="single" w:color="000000" w:sz="4" w:space="0"/>
              <w:right w:val="single" w:color="000000" w:sz="4" w:space="0"/>
            </w:tcBorders>
          </w:tcPr>
          <w:p>
            <w:pPr>
              <w:pStyle w:val="54"/>
              <w:spacing w:before="61"/>
              <w:ind w:left="117"/>
              <w:rPr>
                <w:color w:val="auto"/>
                <w:sz w:val="21"/>
                <w:highlight w:val="none"/>
              </w:rPr>
            </w:pPr>
            <w:r>
              <w:rPr>
                <w:color w:val="auto"/>
                <w:sz w:val="21"/>
                <w:highlight w:val="none"/>
              </w:rPr>
              <w:t>楼层、屋面、</w:t>
            </w:r>
          </w:p>
          <w:p>
            <w:pPr>
              <w:pStyle w:val="54"/>
              <w:spacing w:before="71" w:line="257" w:lineRule="exact"/>
              <w:ind w:left="117"/>
              <w:rPr>
                <w:color w:val="auto"/>
                <w:sz w:val="21"/>
                <w:highlight w:val="none"/>
              </w:rPr>
            </w:pPr>
            <w:r>
              <w:rPr>
                <w:color w:val="auto"/>
                <w:sz w:val="21"/>
                <w:highlight w:val="none"/>
              </w:rPr>
              <w:t xml:space="preserve">阳台等临边 </w:t>
            </w:r>
          </w:p>
        </w:tc>
        <w:tc>
          <w:tcPr>
            <w:tcW w:w="6647" w:type="dxa"/>
            <w:tcBorders>
              <w:top w:val="single" w:color="000000" w:sz="4" w:space="0"/>
              <w:left w:val="single" w:color="000000" w:sz="4" w:space="0"/>
              <w:bottom w:val="single" w:color="000000" w:sz="4" w:space="0"/>
              <w:right w:val="single" w:color="000000" w:sz="12" w:space="0"/>
            </w:tcBorders>
          </w:tcPr>
          <w:p>
            <w:pPr>
              <w:pStyle w:val="54"/>
              <w:rPr>
                <w:b/>
                <w:color w:val="auto"/>
                <w:sz w:val="18"/>
                <w:highlight w:val="none"/>
              </w:rPr>
            </w:pPr>
          </w:p>
          <w:p>
            <w:pPr>
              <w:pStyle w:val="54"/>
              <w:ind w:left="117"/>
              <w:rPr>
                <w:color w:val="auto"/>
                <w:sz w:val="21"/>
                <w:highlight w:val="none"/>
              </w:rPr>
            </w:pPr>
            <w:r>
              <w:rPr>
                <w:color w:val="auto"/>
                <w:sz w:val="21"/>
                <w:highlight w:val="none"/>
              </w:rPr>
              <w:t xml:space="preserve">设两道防护栏杆和 18cm 高的踢脚板，用密目式安全立网全封闭。 </w:t>
            </w:r>
          </w:p>
        </w:tc>
      </w:tr>
      <w:tr>
        <w:tblPrEx>
          <w:tblBorders>
            <w:top w:val="single" w:color="000000" w:sz="18" w:space="0"/>
            <w:left w:val="single" w:color="000000" w:sz="18" w:space="0"/>
            <w:bottom w:val="single" w:color="000000" w:sz="18" w:space="0"/>
            <w:right w:val="single" w:color="000000" w:sz="18" w:space="0"/>
            <w:insideH w:val="single" w:color="000000" w:sz="18" w:space="0"/>
            <w:insideV w:val="single" w:color="000000" w:sz="18" w:space="0"/>
          </w:tblBorders>
          <w:tblCellMar>
            <w:top w:w="0" w:type="dxa"/>
            <w:left w:w="0" w:type="dxa"/>
            <w:bottom w:w="0" w:type="dxa"/>
            <w:right w:w="0" w:type="dxa"/>
          </w:tblCellMar>
        </w:tblPrEx>
        <w:trPr>
          <w:trHeight w:val="681" w:hRule="atLeast"/>
        </w:trPr>
        <w:tc>
          <w:tcPr>
            <w:tcW w:w="739" w:type="dxa"/>
            <w:vMerge w:val="continue"/>
            <w:tcBorders>
              <w:top w:val="nil"/>
              <w:left w:val="single" w:color="000000" w:sz="12" w:space="0"/>
              <w:bottom w:val="single" w:color="000000" w:sz="4" w:space="0"/>
              <w:right w:val="single" w:color="000000" w:sz="4" w:space="0"/>
            </w:tcBorders>
          </w:tcPr>
          <w:p>
            <w:pPr>
              <w:rPr>
                <w:color w:val="auto"/>
                <w:sz w:val="2"/>
                <w:szCs w:val="2"/>
                <w:highlight w:val="none"/>
              </w:rPr>
            </w:pPr>
          </w:p>
        </w:tc>
        <w:tc>
          <w:tcPr>
            <w:tcW w:w="523" w:type="dxa"/>
            <w:vMerge w:val="continue"/>
            <w:tcBorders>
              <w:top w:val="nil"/>
              <w:left w:val="single" w:color="000000" w:sz="4" w:space="0"/>
              <w:bottom w:val="single" w:color="000000" w:sz="4" w:space="0"/>
              <w:right w:val="single" w:color="000000" w:sz="4" w:space="0"/>
            </w:tcBorders>
          </w:tcPr>
          <w:p>
            <w:pPr>
              <w:rPr>
                <w:color w:val="auto"/>
                <w:sz w:val="2"/>
                <w:szCs w:val="2"/>
                <w:highlight w:val="none"/>
              </w:rPr>
            </w:pPr>
          </w:p>
        </w:tc>
        <w:tc>
          <w:tcPr>
            <w:tcW w:w="1546" w:type="dxa"/>
            <w:tcBorders>
              <w:top w:val="single" w:color="000000" w:sz="4" w:space="0"/>
              <w:left w:val="single" w:color="000000" w:sz="4" w:space="0"/>
              <w:bottom w:val="single" w:color="000000" w:sz="4" w:space="0"/>
              <w:right w:val="single" w:color="000000" w:sz="4" w:space="0"/>
            </w:tcBorders>
          </w:tcPr>
          <w:p>
            <w:pPr>
              <w:pStyle w:val="54"/>
              <w:rPr>
                <w:b/>
                <w:color w:val="auto"/>
                <w:sz w:val="18"/>
                <w:highlight w:val="none"/>
              </w:rPr>
            </w:pPr>
          </w:p>
          <w:p>
            <w:pPr>
              <w:pStyle w:val="54"/>
              <w:ind w:left="117"/>
              <w:rPr>
                <w:color w:val="auto"/>
                <w:sz w:val="21"/>
                <w:highlight w:val="none"/>
              </w:rPr>
            </w:pPr>
            <w:r>
              <w:rPr>
                <w:color w:val="auto"/>
                <w:sz w:val="21"/>
                <w:highlight w:val="none"/>
              </w:rPr>
              <w:t xml:space="preserve">通道口 </w:t>
            </w:r>
          </w:p>
        </w:tc>
        <w:tc>
          <w:tcPr>
            <w:tcW w:w="6647" w:type="dxa"/>
            <w:tcBorders>
              <w:top w:val="single" w:color="000000" w:sz="4" w:space="0"/>
              <w:left w:val="single" w:color="000000" w:sz="4" w:space="0"/>
              <w:bottom w:val="single" w:color="000000" w:sz="4" w:space="0"/>
              <w:right w:val="single" w:color="000000" w:sz="12" w:space="0"/>
            </w:tcBorders>
          </w:tcPr>
          <w:p>
            <w:pPr>
              <w:pStyle w:val="54"/>
              <w:spacing w:line="338" w:lineRule="exact"/>
              <w:ind w:left="117" w:right="71"/>
              <w:rPr>
                <w:color w:val="auto"/>
                <w:sz w:val="21"/>
                <w:highlight w:val="none"/>
              </w:rPr>
            </w:pPr>
            <w:r>
              <w:rPr>
                <w:color w:val="auto"/>
                <w:spacing w:val="-6"/>
                <w:sz w:val="21"/>
                <w:highlight w:val="none"/>
              </w:rPr>
              <w:t xml:space="preserve">设防护棚，防护棚应为不小于 </w:t>
            </w:r>
            <w:r>
              <w:rPr>
                <w:color w:val="auto"/>
                <w:sz w:val="21"/>
                <w:highlight w:val="none"/>
              </w:rPr>
              <w:t>5cm</w:t>
            </w:r>
            <w:r>
              <w:rPr>
                <w:color w:val="auto"/>
                <w:spacing w:val="-11"/>
                <w:sz w:val="21"/>
                <w:highlight w:val="none"/>
              </w:rPr>
              <w:t xml:space="preserve"> 厚的木板或两道相距 </w:t>
            </w:r>
            <w:r>
              <w:rPr>
                <w:color w:val="auto"/>
                <w:sz w:val="21"/>
                <w:highlight w:val="none"/>
              </w:rPr>
              <w:t>50cm</w:t>
            </w:r>
            <w:r>
              <w:rPr>
                <w:color w:val="auto"/>
                <w:spacing w:val="-10"/>
                <w:sz w:val="21"/>
                <w:highlight w:val="none"/>
              </w:rPr>
              <w:t xml:space="preserve"> 的竹笆。</w:t>
            </w:r>
            <w:r>
              <w:rPr>
                <w:color w:val="auto"/>
                <w:spacing w:val="-5"/>
                <w:sz w:val="21"/>
                <w:highlight w:val="none"/>
              </w:rPr>
              <w:t>两侧应沿栏杆架用密目式安全网封闭。</w:t>
            </w:r>
            <w:r>
              <w:rPr>
                <w:color w:val="auto"/>
                <w:sz w:val="21"/>
                <w:highlight w:val="none"/>
              </w:rPr>
              <w:t xml:space="preserve"> </w:t>
            </w:r>
          </w:p>
        </w:tc>
      </w:tr>
      <w:tr>
        <w:tblPrEx>
          <w:tblBorders>
            <w:top w:val="single" w:color="000000" w:sz="18" w:space="0"/>
            <w:left w:val="single" w:color="000000" w:sz="18" w:space="0"/>
            <w:bottom w:val="single" w:color="000000" w:sz="18" w:space="0"/>
            <w:right w:val="single" w:color="000000" w:sz="18" w:space="0"/>
            <w:insideH w:val="single" w:color="000000" w:sz="18" w:space="0"/>
            <w:insideV w:val="single" w:color="000000" w:sz="18" w:space="0"/>
          </w:tblBorders>
          <w:tblCellMar>
            <w:top w:w="0" w:type="dxa"/>
            <w:left w:w="0" w:type="dxa"/>
            <w:bottom w:w="0" w:type="dxa"/>
            <w:right w:w="0" w:type="dxa"/>
          </w:tblCellMar>
        </w:tblPrEx>
        <w:trPr>
          <w:trHeight w:val="678" w:hRule="atLeast"/>
        </w:trPr>
        <w:tc>
          <w:tcPr>
            <w:tcW w:w="739" w:type="dxa"/>
            <w:vMerge w:val="continue"/>
            <w:tcBorders>
              <w:top w:val="nil"/>
              <w:left w:val="single" w:color="000000" w:sz="12" w:space="0"/>
              <w:bottom w:val="single" w:color="000000" w:sz="4" w:space="0"/>
              <w:right w:val="single" w:color="000000" w:sz="4" w:space="0"/>
            </w:tcBorders>
          </w:tcPr>
          <w:p>
            <w:pPr>
              <w:rPr>
                <w:color w:val="auto"/>
                <w:sz w:val="2"/>
                <w:szCs w:val="2"/>
                <w:highlight w:val="none"/>
              </w:rPr>
            </w:pPr>
          </w:p>
        </w:tc>
        <w:tc>
          <w:tcPr>
            <w:tcW w:w="523" w:type="dxa"/>
            <w:vMerge w:val="continue"/>
            <w:tcBorders>
              <w:top w:val="nil"/>
              <w:left w:val="single" w:color="000000" w:sz="4" w:space="0"/>
              <w:bottom w:val="single" w:color="000000" w:sz="4" w:space="0"/>
              <w:right w:val="single" w:color="000000" w:sz="4" w:space="0"/>
            </w:tcBorders>
          </w:tcPr>
          <w:p>
            <w:pPr>
              <w:rPr>
                <w:color w:val="auto"/>
                <w:sz w:val="2"/>
                <w:szCs w:val="2"/>
                <w:highlight w:val="none"/>
              </w:rPr>
            </w:pPr>
          </w:p>
        </w:tc>
        <w:tc>
          <w:tcPr>
            <w:tcW w:w="1546" w:type="dxa"/>
            <w:tcBorders>
              <w:top w:val="single" w:color="000000" w:sz="4" w:space="0"/>
              <w:left w:val="single" w:color="000000" w:sz="4" w:space="0"/>
              <w:bottom w:val="single" w:color="000000" w:sz="4" w:space="0"/>
              <w:right w:val="single" w:color="000000" w:sz="4" w:space="0"/>
            </w:tcBorders>
          </w:tcPr>
          <w:p>
            <w:pPr>
              <w:pStyle w:val="54"/>
              <w:rPr>
                <w:b/>
                <w:color w:val="auto"/>
                <w:sz w:val="18"/>
                <w:highlight w:val="none"/>
              </w:rPr>
            </w:pPr>
          </w:p>
          <w:p>
            <w:pPr>
              <w:pStyle w:val="54"/>
              <w:ind w:left="117"/>
              <w:rPr>
                <w:color w:val="auto"/>
                <w:sz w:val="21"/>
                <w:highlight w:val="none"/>
              </w:rPr>
            </w:pPr>
            <w:r>
              <w:rPr>
                <w:color w:val="auto"/>
                <w:sz w:val="21"/>
                <w:highlight w:val="none"/>
              </w:rPr>
              <w:t xml:space="preserve">预留洞口 </w:t>
            </w:r>
          </w:p>
        </w:tc>
        <w:tc>
          <w:tcPr>
            <w:tcW w:w="6647" w:type="dxa"/>
            <w:tcBorders>
              <w:top w:val="single" w:color="000000" w:sz="4" w:space="0"/>
              <w:left w:val="single" w:color="000000" w:sz="4" w:space="0"/>
              <w:bottom w:val="single" w:color="000000" w:sz="4" w:space="0"/>
              <w:right w:val="single" w:color="000000" w:sz="12" w:space="0"/>
            </w:tcBorders>
          </w:tcPr>
          <w:p>
            <w:pPr>
              <w:pStyle w:val="54"/>
              <w:spacing w:before="61"/>
              <w:ind w:left="117"/>
              <w:rPr>
                <w:color w:val="auto"/>
                <w:sz w:val="21"/>
                <w:highlight w:val="none"/>
              </w:rPr>
            </w:pPr>
            <w:r>
              <w:rPr>
                <w:color w:val="auto"/>
                <w:sz w:val="21"/>
                <w:highlight w:val="none"/>
              </w:rPr>
              <w:t>用硬质材料全封闭，短边超过 1.5m 长的洞口，除封闭外四周还应设有</w:t>
            </w:r>
          </w:p>
          <w:p>
            <w:pPr>
              <w:pStyle w:val="54"/>
              <w:spacing w:before="71" w:line="257" w:lineRule="exact"/>
              <w:ind w:left="117"/>
              <w:rPr>
                <w:color w:val="auto"/>
                <w:sz w:val="21"/>
                <w:highlight w:val="none"/>
              </w:rPr>
            </w:pPr>
            <w:r>
              <w:rPr>
                <w:color w:val="auto"/>
                <w:sz w:val="21"/>
                <w:highlight w:val="none"/>
              </w:rPr>
              <w:t xml:space="preserve">防护栏杆。 </w:t>
            </w:r>
          </w:p>
        </w:tc>
      </w:tr>
      <w:tr>
        <w:tblPrEx>
          <w:tblBorders>
            <w:top w:val="single" w:color="000000" w:sz="18" w:space="0"/>
            <w:left w:val="single" w:color="000000" w:sz="18" w:space="0"/>
            <w:bottom w:val="single" w:color="000000" w:sz="18" w:space="0"/>
            <w:right w:val="single" w:color="000000" w:sz="18" w:space="0"/>
            <w:insideH w:val="single" w:color="000000" w:sz="18" w:space="0"/>
            <w:insideV w:val="single" w:color="000000" w:sz="18" w:space="0"/>
          </w:tblBorders>
          <w:tblCellMar>
            <w:top w:w="0" w:type="dxa"/>
            <w:left w:w="0" w:type="dxa"/>
            <w:bottom w:w="0" w:type="dxa"/>
            <w:right w:w="0" w:type="dxa"/>
          </w:tblCellMar>
        </w:tblPrEx>
        <w:trPr>
          <w:trHeight w:val="681" w:hRule="atLeast"/>
        </w:trPr>
        <w:tc>
          <w:tcPr>
            <w:tcW w:w="739" w:type="dxa"/>
            <w:vMerge w:val="continue"/>
            <w:tcBorders>
              <w:top w:val="nil"/>
              <w:left w:val="single" w:color="000000" w:sz="12" w:space="0"/>
              <w:bottom w:val="single" w:color="000000" w:sz="4" w:space="0"/>
              <w:right w:val="single" w:color="000000" w:sz="4" w:space="0"/>
            </w:tcBorders>
          </w:tcPr>
          <w:p>
            <w:pPr>
              <w:rPr>
                <w:color w:val="auto"/>
                <w:sz w:val="2"/>
                <w:szCs w:val="2"/>
                <w:highlight w:val="none"/>
              </w:rPr>
            </w:pPr>
          </w:p>
        </w:tc>
        <w:tc>
          <w:tcPr>
            <w:tcW w:w="523" w:type="dxa"/>
            <w:vMerge w:val="continue"/>
            <w:tcBorders>
              <w:top w:val="nil"/>
              <w:left w:val="single" w:color="000000" w:sz="4" w:space="0"/>
              <w:bottom w:val="single" w:color="000000" w:sz="4" w:space="0"/>
              <w:right w:val="single" w:color="000000" w:sz="4" w:space="0"/>
            </w:tcBorders>
          </w:tcPr>
          <w:p>
            <w:pPr>
              <w:rPr>
                <w:color w:val="auto"/>
                <w:sz w:val="2"/>
                <w:szCs w:val="2"/>
                <w:highlight w:val="none"/>
              </w:rPr>
            </w:pPr>
          </w:p>
        </w:tc>
        <w:tc>
          <w:tcPr>
            <w:tcW w:w="1546" w:type="dxa"/>
            <w:tcBorders>
              <w:top w:val="single" w:color="000000" w:sz="4" w:space="0"/>
              <w:left w:val="single" w:color="000000" w:sz="4" w:space="0"/>
              <w:bottom w:val="single" w:color="000000" w:sz="4" w:space="0"/>
              <w:right w:val="single" w:color="000000" w:sz="4" w:space="0"/>
            </w:tcBorders>
          </w:tcPr>
          <w:p>
            <w:pPr>
              <w:pStyle w:val="54"/>
              <w:spacing w:before="1"/>
              <w:rPr>
                <w:b/>
                <w:color w:val="auto"/>
                <w:sz w:val="18"/>
                <w:highlight w:val="none"/>
              </w:rPr>
            </w:pPr>
          </w:p>
          <w:p>
            <w:pPr>
              <w:pStyle w:val="54"/>
              <w:ind w:left="117"/>
              <w:rPr>
                <w:color w:val="auto"/>
                <w:sz w:val="21"/>
                <w:highlight w:val="none"/>
              </w:rPr>
            </w:pPr>
            <w:r>
              <w:rPr>
                <w:color w:val="auto"/>
                <w:sz w:val="21"/>
                <w:highlight w:val="none"/>
              </w:rPr>
              <w:t xml:space="preserve">电梯井口 </w:t>
            </w:r>
          </w:p>
        </w:tc>
        <w:tc>
          <w:tcPr>
            <w:tcW w:w="6647" w:type="dxa"/>
            <w:tcBorders>
              <w:top w:val="single" w:color="000000" w:sz="4" w:space="0"/>
              <w:left w:val="single" w:color="000000" w:sz="4" w:space="0"/>
              <w:bottom w:val="single" w:color="000000" w:sz="4" w:space="0"/>
              <w:right w:val="single" w:color="000000" w:sz="12" w:space="0"/>
            </w:tcBorders>
          </w:tcPr>
          <w:p>
            <w:pPr>
              <w:pStyle w:val="54"/>
              <w:spacing w:line="338" w:lineRule="exact"/>
              <w:ind w:left="117" w:right="78"/>
              <w:rPr>
                <w:color w:val="auto"/>
                <w:sz w:val="21"/>
                <w:highlight w:val="none"/>
              </w:rPr>
            </w:pPr>
            <w:r>
              <w:rPr>
                <w:color w:val="auto"/>
                <w:spacing w:val="-6"/>
                <w:sz w:val="21"/>
                <w:highlight w:val="none"/>
              </w:rPr>
              <w:t xml:space="preserve">设置定型化、工具化的防护门，在电梯井内每隔 </w:t>
            </w:r>
            <w:r>
              <w:rPr>
                <w:color w:val="auto"/>
                <w:sz w:val="21"/>
                <w:highlight w:val="none"/>
              </w:rPr>
              <w:t>2</w:t>
            </w:r>
            <w:r>
              <w:rPr>
                <w:color w:val="auto"/>
                <w:spacing w:val="-26"/>
                <w:sz w:val="21"/>
                <w:highlight w:val="none"/>
              </w:rPr>
              <w:t xml:space="preserve"> 层</w:t>
            </w:r>
            <w:r>
              <w:rPr>
                <w:color w:val="auto"/>
                <w:sz w:val="21"/>
                <w:highlight w:val="none"/>
              </w:rPr>
              <w:t>（</w:t>
            </w:r>
            <w:r>
              <w:rPr>
                <w:color w:val="auto"/>
                <w:spacing w:val="-12"/>
                <w:sz w:val="21"/>
                <w:highlight w:val="none"/>
              </w:rPr>
              <w:t xml:space="preserve">不大于 </w:t>
            </w:r>
            <w:r>
              <w:rPr>
                <w:color w:val="auto"/>
                <w:spacing w:val="-3"/>
                <w:sz w:val="21"/>
                <w:highlight w:val="none"/>
              </w:rPr>
              <w:t>10m）</w:t>
            </w:r>
            <w:r>
              <w:rPr>
                <w:color w:val="auto"/>
                <w:spacing w:val="-8"/>
                <w:sz w:val="21"/>
                <w:highlight w:val="none"/>
              </w:rPr>
              <w:t>设</w:t>
            </w:r>
            <w:r>
              <w:rPr>
                <w:color w:val="auto"/>
                <w:spacing w:val="-3"/>
                <w:sz w:val="21"/>
                <w:highlight w:val="none"/>
              </w:rPr>
              <w:t>置一道水平防护。</w:t>
            </w:r>
            <w:r>
              <w:rPr>
                <w:color w:val="auto"/>
                <w:sz w:val="21"/>
                <w:highlight w:val="none"/>
              </w:rPr>
              <w:t xml:space="preserve"> </w:t>
            </w:r>
          </w:p>
        </w:tc>
      </w:tr>
      <w:tr>
        <w:tblPrEx>
          <w:tblBorders>
            <w:top w:val="single" w:color="000000" w:sz="18" w:space="0"/>
            <w:left w:val="single" w:color="000000" w:sz="18" w:space="0"/>
            <w:bottom w:val="single" w:color="000000" w:sz="18" w:space="0"/>
            <w:right w:val="single" w:color="000000" w:sz="18" w:space="0"/>
            <w:insideH w:val="single" w:color="000000" w:sz="18" w:space="0"/>
            <w:insideV w:val="single" w:color="000000" w:sz="18" w:space="0"/>
          </w:tblBorders>
          <w:tblCellMar>
            <w:top w:w="0" w:type="dxa"/>
            <w:left w:w="0" w:type="dxa"/>
            <w:bottom w:w="0" w:type="dxa"/>
            <w:right w:w="0" w:type="dxa"/>
          </w:tblCellMar>
        </w:tblPrEx>
        <w:trPr>
          <w:trHeight w:val="340" w:hRule="atLeast"/>
        </w:trPr>
        <w:tc>
          <w:tcPr>
            <w:tcW w:w="739" w:type="dxa"/>
            <w:vMerge w:val="continue"/>
            <w:tcBorders>
              <w:top w:val="nil"/>
              <w:left w:val="single" w:color="000000" w:sz="12" w:space="0"/>
              <w:bottom w:val="single" w:color="000000" w:sz="4" w:space="0"/>
              <w:right w:val="single" w:color="000000" w:sz="4" w:space="0"/>
            </w:tcBorders>
          </w:tcPr>
          <w:p>
            <w:pPr>
              <w:rPr>
                <w:color w:val="auto"/>
                <w:sz w:val="2"/>
                <w:szCs w:val="2"/>
                <w:highlight w:val="none"/>
              </w:rPr>
            </w:pPr>
          </w:p>
        </w:tc>
        <w:tc>
          <w:tcPr>
            <w:tcW w:w="523" w:type="dxa"/>
            <w:vMerge w:val="continue"/>
            <w:tcBorders>
              <w:top w:val="nil"/>
              <w:left w:val="single" w:color="000000" w:sz="4" w:space="0"/>
              <w:bottom w:val="single" w:color="000000" w:sz="4" w:space="0"/>
              <w:right w:val="single" w:color="000000" w:sz="4" w:space="0"/>
            </w:tcBorders>
          </w:tcPr>
          <w:p>
            <w:pPr>
              <w:rPr>
                <w:color w:val="auto"/>
                <w:sz w:val="2"/>
                <w:szCs w:val="2"/>
                <w:highlight w:val="none"/>
              </w:rPr>
            </w:pPr>
          </w:p>
        </w:tc>
        <w:tc>
          <w:tcPr>
            <w:tcW w:w="1546" w:type="dxa"/>
            <w:tcBorders>
              <w:top w:val="single" w:color="000000" w:sz="4" w:space="0"/>
              <w:left w:val="single" w:color="000000" w:sz="4" w:space="0"/>
              <w:bottom w:val="single" w:color="000000" w:sz="4" w:space="0"/>
              <w:right w:val="single" w:color="000000" w:sz="4" w:space="0"/>
            </w:tcBorders>
          </w:tcPr>
          <w:p>
            <w:pPr>
              <w:pStyle w:val="54"/>
              <w:spacing w:before="61" w:line="259" w:lineRule="exact"/>
              <w:ind w:left="117"/>
              <w:rPr>
                <w:color w:val="auto"/>
                <w:sz w:val="21"/>
                <w:highlight w:val="none"/>
              </w:rPr>
            </w:pPr>
            <w:r>
              <w:rPr>
                <w:color w:val="auto"/>
                <w:sz w:val="21"/>
                <w:highlight w:val="none"/>
              </w:rPr>
              <w:t xml:space="preserve">楼梯边 </w:t>
            </w:r>
          </w:p>
        </w:tc>
        <w:tc>
          <w:tcPr>
            <w:tcW w:w="6647" w:type="dxa"/>
            <w:tcBorders>
              <w:top w:val="single" w:color="000000" w:sz="4" w:space="0"/>
              <w:left w:val="single" w:color="000000" w:sz="4" w:space="0"/>
              <w:bottom w:val="single" w:color="000000" w:sz="4" w:space="0"/>
              <w:right w:val="single" w:color="000000" w:sz="12" w:space="0"/>
            </w:tcBorders>
          </w:tcPr>
          <w:p>
            <w:pPr>
              <w:pStyle w:val="54"/>
              <w:spacing w:before="61" w:line="259" w:lineRule="exact"/>
              <w:ind w:left="117"/>
              <w:rPr>
                <w:color w:val="auto"/>
                <w:sz w:val="21"/>
                <w:highlight w:val="none"/>
              </w:rPr>
            </w:pPr>
            <w:r>
              <w:rPr>
                <w:color w:val="auto"/>
                <w:sz w:val="21"/>
                <w:highlight w:val="none"/>
              </w:rPr>
              <w:t xml:space="preserve">设 1.2m 高的定型化、工具化的防护栏，18cm 高的踢脚板。 </w:t>
            </w:r>
          </w:p>
        </w:tc>
      </w:tr>
      <w:tr>
        <w:tblPrEx>
          <w:tblBorders>
            <w:top w:val="single" w:color="000000" w:sz="18" w:space="0"/>
            <w:left w:val="single" w:color="000000" w:sz="18" w:space="0"/>
            <w:bottom w:val="single" w:color="000000" w:sz="18" w:space="0"/>
            <w:right w:val="single" w:color="000000" w:sz="18" w:space="0"/>
            <w:insideH w:val="single" w:color="000000" w:sz="18" w:space="0"/>
            <w:insideV w:val="single" w:color="000000" w:sz="18" w:space="0"/>
          </w:tblBorders>
          <w:tblCellMar>
            <w:top w:w="0" w:type="dxa"/>
            <w:left w:w="0" w:type="dxa"/>
            <w:bottom w:w="0" w:type="dxa"/>
            <w:right w:w="0" w:type="dxa"/>
          </w:tblCellMar>
        </w:tblPrEx>
        <w:trPr>
          <w:trHeight w:val="678" w:hRule="atLeast"/>
        </w:trPr>
        <w:tc>
          <w:tcPr>
            <w:tcW w:w="739" w:type="dxa"/>
            <w:vMerge w:val="continue"/>
            <w:tcBorders>
              <w:top w:val="nil"/>
              <w:left w:val="single" w:color="000000" w:sz="12" w:space="0"/>
              <w:bottom w:val="single" w:color="000000" w:sz="4" w:space="0"/>
              <w:right w:val="single" w:color="000000" w:sz="4" w:space="0"/>
            </w:tcBorders>
          </w:tcPr>
          <w:p>
            <w:pPr>
              <w:rPr>
                <w:color w:val="auto"/>
                <w:sz w:val="2"/>
                <w:szCs w:val="2"/>
                <w:highlight w:val="none"/>
              </w:rPr>
            </w:pPr>
          </w:p>
        </w:tc>
        <w:tc>
          <w:tcPr>
            <w:tcW w:w="523" w:type="dxa"/>
            <w:vMerge w:val="continue"/>
            <w:tcBorders>
              <w:top w:val="nil"/>
              <w:left w:val="single" w:color="000000" w:sz="4" w:space="0"/>
              <w:bottom w:val="single" w:color="000000" w:sz="4" w:space="0"/>
              <w:right w:val="single" w:color="000000" w:sz="4" w:space="0"/>
            </w:tcBorders>
          </w:tcPr>
          <w:p>
            <w:pPr>
              <w:rPr>
                <w:color w:val="auto"/>
                <w:sz w:val="2"/>
                <w:szCs w:val="2"/>
                <w:highlight w:val="none"/>
              </w:rPr>
            </w:pPr>
          </w:p>
        </w:tc>
        <w:tc>
          <w:tcPr>
            <w:tcW w:w="1546" w:type="dxa"/>
            <w:tcBorders>
              <w:top w:val="single" w:color="000000" w:sz="4" w:space="0"/>
              <w:left w:val="single" w:color="000000" w:sz="4" w:space="0"/>
              <w:bottom w:val="single" w:color="000000" w:sz="4" w:space="0"/>
              <w:right w:val="single" w:color="000000" w:sz="4" w:space="0"/>
            </w:tcBorders>
          </w:tcPr>
          <w:p>
            <w:pPr>
              <w:pStyle w:val="54"/>
              <w:spacing w:before="61"/>
              <w:ind w:left="117"/>
              <w:rPr>
                <w:color w:val="auto"/>
                <w:sz w:val="21"/>
                <w:highlight w:val="none"/>
              </w:rPr>
            </w:pPr>
            <w:r>
              <w:rPr>
                <w:color w:val="auto"/>
                <w:sz w:val="21"/>
                <w:highlight w:val="none"/>
              </w:rPr>
              <w:t>垂直方向交叉</w:t>
            </w:r>
          </w:p>
          <w:p>
            <w:pPr>
              <w:pStyle w:val="54"/>
              <w:spacing w:before="71" w:line="257" w:lineRule="exact"/>
              <w:ind w:left="117"/>
              <w:rPr>
                <w:color w:val="auto"/>
                <w:sz w:val="21"/>
                <w:highlight w:val="none"/>
              </w:rPr>
            </w:pPr>
            <w:r>
              <w:rPr>
                <w:color w:val="auto"/>
                <w:sz w:val="21"/>
                <w:highlight w:val="none"/>
              </w:rPr>
              <w:t xml:space="preserve">作业 </w:t>
            </w:r>
          </w:p>
        </w:tc>
        <w:tc>
          <w:tcPr>
            <w:tcW w:w="6647" w:type="dxa"/>
            <w:tcBorders>
              <w:top w:val="single" w:color="000000" w:sz="4" w:space="0"/>
              <w:left w:val="single" w:color="000000" w:sz="4" w:space="0"/>
              <w:bottom w:val="single" w:color="000000" w:sz="4" w:space="0"/>
              <w:right w:val="single" w:color="000000" w:sz="12" w:space="0"/>
            </w:tcBorders>
          </w:tcPr>
          <w:p>
            <w:pPr>
              <w:pStyle w:val="54"/>
              <w:rPr>
                <w:b/>
                <w:color w:val="auto"/>
                <w:sz w:val="18"/>
                <w:highlight w:val="none"/>
              </w:rPr>
            </w:pPr>
          </w:p>
          <w:p>
            <w:pPr>
              <w:pStyle w:val="54"/>
              <w:ind w:left="117"/>
              <w:rPr>
                <w:color w:val="auto"/>
                <w:sz w:val="21"/>
                <w:highlight w:val="none"/>
              </w:rPr>
            </w:pPr>
            <w:r>
              <w:rPr>
                <w:color w:val="auto"/>
                <w:sz w:val="21"/>
                <w:highlight w:val="none"/>
              </w:rPr>
              <w:t xml:space="preserve">设置防护隔离棚或其它设施。 </w:t>
            </w:r>
          </w:p>
        </w:tc>
      </w:tr>
      <w:tr>
        <w:tblPrEx>
          <w:tblBorders>
            <w:top w:val="single" w:color="000000" w:sz="18" w:space="0"/>
            <w:left w:val="single" w:color="000000" w:sz="18" w:space="0"/>
            <w:bottom w:val="single" w:color="000000" w:sz="18" w:space="0"/>
            <w:right w:val="single" w:color="000000" w:sz="18" w:space="0"/>
            <w:insideH w:val="single" w:color="000000" w:sz="18" w:space="0"/>
            <w:insideV w:val="single" w:color="000000" w:sz="18" w:space="0"/>
          </w:tblBorders>
          <w:tblCellMar>
            <w:top w:w="0" w:type="dxa"/>
            <w:left w:w="0" w:type="dxa"/>
            <w:bottom w:w="0" w:type="dxa"/>
            <w:right w:w="0" w:type="dxa"/>
          </w:tblCellMar>
        </w:tblPrEx>
        <w:trPr>
          <w:trHeight w:val="681" w:hRule="atLeast"/>
        </w:trPr>
        <w:tc>
          <w:tcPr>
            <w:tcW w:w="739" w:type="dxa"/>
            <w:vMerge w:val="continue"/>
            <w:tcBorders>
              <w:top w:val="nil"/>
              <w:left w:val="single" w:color="000000" w:sz="12" w:space="0"/>
              <w:bottom w:val="single" w:color="000000" w:sz="4" w:space="0"/>
              <w:right w:val="single" w:color="000000" w:sz="4" w:space="0"/>
            </w:tcBorders>
          </w:tcPr>
          <w:p>
            <w:pPr>
              <w:rPr>
                <w:color w:val="auto"/>
                <w:sz w:val="2"/>
                <w:szCs w:val="2"/>
                <w:highlight w:val="none"/>
              </w:rPr>
            </w:pPr>
          </w:p>
        </w:tc>
        <w:tc>
          <w:tcPr>
            <w:tcW w:w="523" w:type="dxa"/>
            <w:vMerge w:val="continue"/>
            <w:tcBorders>
              <w:top w:val="nil"/>
              <w:left w:val="single" w:color="000000" w:sz="4" w:space="0"/>
              <w:bottom w:val="single" w:color="000000" w:sz="4" w:space="0"/>
              <w:right w:val="single" w:color="000000" w:sz="4" w:space="0"/>
            </w:tcBorders>
          </w:tcPr>
          <w:p>
            <w:pPr>
              <w:rPr>
                <w:color w:val="auto"/>
                <w:sz w:val="2"/>
                <w:szCs w:val="2"/>
                <w:highlight w:val="none"/>
              </w:rPr>
            </w:pPr>
          </w:p>
        </w:tc>
        <w:tc>
          <w:tcPr>
            <w:tcW w:w="1546" w:type="dxa"/>
            <w:tcBorders>
              <w:top w:val="single" w:color="000000" w:sz="4" w:space="0"/>
              <w:left w:val="single" w:color="000000" w:sz="4" w:space="0"/>
              <w:bottom w:val="single" w:color="000000" w:sz="4" w:space="0"/>
              <w:right w:val="single" w:color="000000" w:sz="4" w:space="0"/>
            </w:tcBorders>
          </w:tcPr>
          <w:p>
            <w:pPr>
              <w:pStyle w:val="54"/>
              <w:rPr>
                <w:b/>
                <w:color w:val="auto"/>
                <w:sz w:val="18"/>
                <w:highlight w:val="none"/>
              </w:rPr>
            </w:pPr>
          </w:p>
          <w:p>
            <w:pPr>
              <w:pStyle w:val="54"/>
              <w:ind w:left="117"/>
              <w:rPr>
                <w:color w:val="auto"/>
                <w:sz w:val="21"/>
                <w:highlight w:val="none"/>
              </w:rPr>
            </w:pPr>
            <w:r>
              <w:rPr>
                <w:color w:val="auto"/>
                <w:sz w:val="21"/>
                <w:highlight w:val="none"/>
              </w:rPr>
              <w:t xml:space="preserve">高处作业 </w:t>
            </w:r>
          </w:p>
        </w:tc>
        <w:tc>
          <w:tcPr>
            <w:tcW w:w="6647" w:type="dxa"/>
            <w:tcBorders>
              <w:top w:val="single" w:color="000000" w:sz="4" w:space="0"/>
              <w:left w:val="single" w:color="000000" w:sz="4" w:space="0"/>
              <w:bottom w:val="single" w:color="000000" w:sz="4" w:space="0"/>
              <w:right w:val="single" w:color="000000" w:sz="12" w:space="0"/>
            </w:tcBorders>
          </w:tcPr>
          <w:p>
            <w:pPr>
              <w:pStyle w:val="54"/>
              <w:spacing w:before="61"/>
              <w:ind w:left="117"/>
              <w:rPr>
                <w:color w:val="auto"/>
                <w:sz w:val="21"/>
                <w:highlight w:val="none"/>
              </w:rPr>
            </w:pPr>
            <w:r>
              <w:rPr>
                <w:color w:val="auto"/>
                <w:sz w:val="21"/>
                <w:highlight w:val="none"/>
              </w:rPr>
              <w:t>有悬挂安全带的悬索或其它设施，有操作平台，有上下的梯子或其它形</w:t>
            </w:r>
          </w:p>
          <w:p>
            <w:pPr>
              <w:pStyle w:val="54"/>
              <w:spacing w:before="71" w:line="259" w:lineRule="exact"/>
              <w:ind w:left="117"/>
              <w:rPr>
                <w:color w:val="auto"/>
                <w:sz w:val="21"/>
                <w:highlight w:val="none"/>
              </w:rPr>
            </w:pPr>
            <w:r>
              <w:rPr>
                <w:color w:val="auto"/>
                <w:sz w:val="21"/>
                <w:highlight w:val="none"/>
              </w:rPr>
              <w:t xml:space="preserve">式的通道。 </w:t>
            </w:r>
          </w:p>
        </w:tc>
      </w:tr>
      <w:tr>
        <w:tblPrEx>
          <w:tblBorders>
            <w:top w:val="single" w:color="000000" w:sz="18" w:space="0"/>
            <w:left w:val="single" w:color="000000" w:sz="18" w:space="0"/>
            <w:bottom w:val="single" w:color="000000" w:sz="18" w:space="0"/>
            <w:right w:val="single" w:color="000000" w:sz="18" w:space="0"/>
            <w:insideH w:val="single" w:color="000000" w:sz="18" w:space="0"/>
            <w:insideV w:val="single" w:color="000000" w:sz="18" w:space="0"/>
          </w:tblBorders>
          <w:tblCellMar>
            <w:top w:w="0" w:type="dxa"/>
            <w:left w:w="0" w:type="dxa"/>
            <w:bottom w:w="0" w:type="dxa"/>
            <w:right w:w="0" w:type="dxa"/>
          </w:tblCellMar>
        </w:tblPrEx>
        <w:trPr>
          <w:trHeight w:val="678" w:hRule="atLeast"/>
        </w:trPr>
        <w:tc>
          <w:tcPr>
            <w:tcW w:w="739" w:type="dxa"/>
            <w:vMerge w:val="continue"/>
            <w:tcBorders>
              <w:top w:val="nil"/>
              <w:left w:val="single" w:color="000000" w:sz="12" w:space="0"/>
              <w:bottom w:val="single" w:color="000000" w:sz="4" w:space="0"/>
              <w:right w:val="single" w:color="000000" w:sz="4" w:space="0"/>
            </w:tcBorders>
          </w:tcPr>
          <w:p>
            <w:pPr>
              <w:rPr>
                <w:color w:val="auto"/>
                <w:sz w:val="2"/>
                <w:szCs w:val="2"/>
                <w:highlight w:val="none"/>
              </w:rPr>
            </w:pPr>
          </w:p>
        </w:tc>
        <w:tc>
          <w:tcPr>
            <w:tcW w:w="523" w:type="dxa"/>
            <w:vMerge w:val="continue"/>
            <w:tcBorders>
              <w:top w:val="nil"/>
              <w:left w:val="single" w:color="000000" w:sz="4" w:space="0"/>
              <w:bottom w:val="single" w:color="000000" w:sz="4" w:space="0"/>
              <w:right w:val="single" w:color="000000" w:sz="4" w:space="0"/>
            </w:tcBorders>
          </w:tcPr>
          <w:p>
            <w:pPr>
              <w:rPr>
                <w:color w:val="auto"/>
                <w:sz w:val="2"/>
                <w:szCs w:val="2"/>
                <w:highlight w:val="none"/>
              </w:rPr>
            </w:pPr>
          </w:p>
        </w:tc>
        <w:tc>
          <w:tcPr>
            <w:tcW w:w="1546" w:type="dxa"/>
            <w:tcBorders>
              <w:top w:val="single" w:color="000000" w:sz="4" w:space="0"/>
              <w:left w:val="single" w:color="000000" w:sz="4" w:space="0"/>
              <w:bottom w:val="single" w:color="000000" w:sz="4" w:space="0"/>
              <w:right w:val="single" w:color="000000" w:sz="4" w:space="0"/>
            </w:tcBorders>
          </w:tcPr>
          <w:p>
            <w:pPr>
              <w:pStyle w:val="54"/>
              <w:spacing w:before="61"/>
              <w:ind w:left="117"/>
              <w:rPr>
                <w:color w:val="auto"/>
                <w:sz w:val="21"/>
                <w:highlight w:val="none"/>
              </w:rPr>
            </w:pPr>
            <w:r>
              <w:rPr>
                <w:color w:val="auto"/>
                <w:sz w:val="21"/>
                <w:highlight w:val="none"/>
              </w:rPr>
              <w:t>基坑、物料平</w:t>
            </w:r>
          </w:p>
          <w:p>
            <w:pPr>
              <w:pStyle w:val="54"/>
              <w:spacing w:before="71" w:line="257" w:lineRule="exact"/>
              <w:ind w:left="117"/>
              <w:rPr>
                <w:color w:val="auto"/>
                <w:sz w:val="21"/>
                <w:highlight w:val="none"/>
              </w:rPr>
            </w:pPr>
            <w:r>
              <w:rPr>
                <w:color w:val="auto"/>
                <w:sz w:val="21"/>
                <w:highlight w:val="none"/>
              </w:rPr>
              <w:t xml:space="preserve">台 </w:t>
            </w:r>
          </w:p>
        </w:tc>
        <w:tc>
          <w:tcPr>
            <w:tcW w:w="6647" w:type="dxa"/>
            <w:tcBorders>
              <w:top w:val="single" w:color="000000" w:sz="4" w:space="0"/>
              <w:left w:val="single" w:color="000000" w:sz="4" w:space="0"/>
              <w:bottom w:val="single" w:color="000000" w:sz="4" w:space="0"/>
              <w:right w:val="single" w:color="000000" w:sz="12" w:space="0"/>
            </w:tcBorders>
          </w:tcPr>
          <w:p>
            <w:pPr>
              <w:pStyle w:val="54"/>
              <w:rPr>
                <w:b/>
                <w:color w:val="auto"/>
                <w:sz w:val="18"/>
                <w:highlight w:val="none"/>
              </w:rPr>
            </w:pPr>
          </w:p>
          <w:p>
            <w:pPr>
              <w:pStyle w:val="54"/>
              <w:ind w:left="117"/>
              <w:rPr>
                <w:color w:val="auto"/>
                <w:sz w:val="21"/>
                <w:highlight w:val="none"/>
              </w:rPr>
            </w:pPr>
            <w:r>
              <w:rPr>
                <w:color w:val="auto"/>
                <w:sz w:val="21"/>
                <w:highlight w:val="none"/>
              </w:rPr>
              <w:t xml:space="preserve">设 1.2m 高标准化的防护栏，用密目式安全立网封闭，悬挂标识。 </w:t>
            </w:r>
          </w:p>
        </w:tc>
      </w:tr>
      <w:tr>
        <w:tblPrEx>
          <w:tblBorders>
            <w:top w:val="single" w:color="000000" w:sz="18" w:space="0"/>
            <w:left w:val="single" w:color="000000" w:sz="18" w:space="0"/>
            <w:bottom w:val="single" w:color="000000" w:sz="18" w:space="0"/>
            <w:right w:val="single" w:color="000000" w:sz="18" w:space="0"/>
            <w:insideH w:val="single" w:color="000000" w:sz="18" w:space="0"/>
            <w:insideV w:val="single" w:color="000000" w:sz="18" w:space="0"/>
          </w:tblBorders>
          <w:tblCellMar>
            <w:top w:w="0" w:type="dxa"/>
            <w:left w:w="0" w:type="dxa"/>
            <w:bottom w:w="0" w:type="dxa"/>
            <w:right w:w="0" w:type="dxa"/>
          </w:tblCellMar>
        </w:tblPrEx>
        <w:trPr>
          <w:trHeight w:val="681" w:hRule="atLeast"/>
        </w:trPr>
        <w:tc>
          <w:tcPr>
            <w:tcW w:w="739" w:type="dxa"/>
            <w:vMerge w:val="continue"/>
            <w:tcBorders>
              <w:top w:val="nil"/>
              <w:left w:val="single" w:color="000000" w:sz="12" w:space="0"/>
              <w:bottom w:val="single" w:color="000000" w:sz="4" w:space="0"/>
              <w:right w:val="single" w:color="000000" w:sz="4" w:space="0"/>
            </w:tcBorders>
          </w:tcPr>
          <w:p>
            <w:pPr>
              <w:rPr>
                <w:color w:val="auto"/>
                <w:sz w:val="2"/>
                <w:szCs w:val="2"/>
                <w:highlight w:val="none"/>
              </w:rPr>
            </w:pPr>
          </w:p>
        </w:tc>
        <w:tc>
          <w:tcPr>
            <w:tcW w:w="2069" w:type="dxa"/>
            <w:gridSpan w:val="2"/>
            <w:tcBorders>
              <w:top w:val="single" w:color="000000" w:sz="4" w:space="0"/>
              <w:left w:val="single" w:color="000000" w:sz="4" w:space="0"/>
              <w:bottom w:val="single" w:color="000000" w:sz="4" w:space="0"/>
              <w:right w:val="single" w:color="000000" w:sz="4" w:space="0"/>
            </w:tcBorders>
          </w:tcPr>
          <w:p>
            <w:pPr>
              <w:pStyle w:val="54"/>
              <w:spacing w:before="1"/>
              <w:rPr>
                <w:b/>
                <w:color w:val="auto"/>
                <w:sz w:val="18"/>
                <w:highlight w:val="none"/>
              </w:rPr>
            </w:pPr>
          </w:p>
          <w:p>
            <w:pPr>
              <w:pStyle w:val="54"/>
              <w:ind w:left="410"/>
              <w:rPr>
                <w:color w:val="auto"/>
                <w:sz w:val="21"/>
                <w:highlight w:val="none"/>
              </w:rPr>
            </w:pPr>
            <w:r>
              <w:rPr>
                <w:color w:val="auto"/>
                <w:sz w:val="21"/>
                <w:highlight w:val="none"/>
              </w:rPr>
              <w:t xml:space="preserve">安全防护用品 </w:t>
            </w:r>
          </w:p>
        </w:tc>
        <w:tc>
          <w:tcPr>
            <w:tcW w:w="6647" w:type="dxa"/>
            <w:tcBorders>
              <w:top w:val="single" w:color="000000" w:sz="4" w:space="0"/>
              <w:left w:val="single" w:color="000000" w:sz="4" w:space="0"/>
              <w:bottom w:val="single" w:color="000000" w:sz="4" w:space="0"/>
              <w:right w:val="single" w:color="000000" w:sz="12" w:space="0"/>
            </w:tcBorders>
          </w:tcPr>
          <w:p>
            <w:pPr>
              <w:pStyle w:val="54"/>
              <w:spacing w:before="61"/>
              <w:ind w:left="117" w:right="-15"/>
              <w:rPr>
                <w:color w:val="auto"/>
                <w:sz w:val="21"/>
                <w:highlight w:val="none"/>
              </w:rPr>
            </w:pPr>
            <w:r>
              <w:rPr>
                <w:color w:val="auto"/>
                <w:spacing w:val="-3"/>
                <w:sz w:val="21"/>
                <w:highlight w:val="none"/>
              </w:rPr>
              <w:t>安全帽、安全带、特种作业人员</w:t>
            </w:r>
            <w:r>
              <w:rPr>
                <w:color w:val="auto"/>
                <w:sz w:val="21"/>
                <w:highlight w:val="none"/>
              </w:rPr>
              <w:t>（</w:t>
            </w:r>
            <w:r>
              <w:rPr>
                <w:color w:val="auto"/>
                <w:spacing w:val="-3"/>
                <w:sz w:val="21"/>
                <w:highlight w:val="none"/>
              </w:rPr>
              <w:t>电工、焊工、架子工等</w:t>
            </w:r>
            <w:r>
              <w:rPr>
                <w:color w:val="auto"/>
                <w:sz w:val="21"/>
                <w:highlight w:val="none"/>
              </w:rPr>
              <w:t>）</w:t>
            </w:r>
            <w:r>
              <w:rPr>
                <w:color w:val="auto"/>
                <w:spacing w:val="-3"/>
                <w:sz w:val="21"/>
                <w:highlight w:val="none"/>
              </w:rPr>
              <w:t>防护服装、</w:t>
            </w:r>
          </w:p>
          <w:p>
            <w:pPr>
              <w:pStyle w:val="54"/>
              <w:spacing w:before="72" w:line="259" w:lineRule="exact"/>
              <w:ind w:left="117"/>
              <w:rPr>
                <w:color w:val="auto"/>
                <w:sz w:val="21"/>
                <w:highlight w:val="none"/>
              </w:rPr>
            </w:pPr>
            <w:r>
              <w:rPr>
                <w:color w:val="auto"/>
                <w:sz w:val="21"/>
                <w:highlight w:val="none"/>
              </w:rPr>
              <w:t xml:space="preserve">用品等。 </w:t>
            </w:r>
          </w:p>
        </w:tc>
      </w:tr>
      <w:tr>
        <w:tblPrEx>
          <w:tblBorders>
            <w:top w:val="single" w:color="000000" w:sz="18" w:space="0"/>
            <w:left w:val="single" w:color="000000" w:sz="18" w:space="0"/>
            <w:bottom w:val="single" w:color="000000" w:sz="18" w:space="0"/>
            <w:right w:val="single" w:color="000000" w:sz="18" w:space="0"/>
            <w:insideH w:val="single" w:color="000000" w:sz="18" w:space="0"/>
            <w:insideV w:val="single" w:color="000000" w:sz="18" w:space="0"/>
          </w:tblBorders>
          <w:tblCellMar>
            <w:top w:w="0" w:type="dxa"/>
            <w:left w:w="0" w:type="dxa"/>
            <w:bottom w:w="0" w:type="dxa"/>
            <w:right w:w="0" w:type="dxa"/>
          </w:tblCellMar>
        </w:tblPrEx>
        <w:trPr>
          <w:trHeight w:val="330" w:hRule="atLeast"/>
        </w:trPr>
        <w:tc>
          <w:tcPr>
            <w:tcW w:w="739" w:type="dxa"/>
            <w:vMerge w:val="restart"/>
            <w:tcBorders>
              <w:top w:val="single" w:color="000000" w:sz="4" w:space="0"/>
              <w:left w:val="single" w:color="000000" w:sz="12" w:space="0"/>
              <w:bottom w:val="single" w:color="000000" w:sz="12" w:space="0"/>
              <w:right w:val="single" w:color="000000" w:sz="4" w:space="0"/>
            </w:tcBorders>
          </w:tcPr>
          <w:p>
            <w:pPr>
              <w:pStyle w:val="54"/>
              <w:rPr>
                <w:b/>
                <w:color w:val="auto"/>
                <w:sz w:val="20"/>
                <w:highlight w:val="none"/>
              </w:rPr>
            </w:pPr>
          </w:p>
          <w:p>
            <w:pPr>
              <w:pStyle w:val="54"/>
              <w:rPr>
                <w:b/>
                <w:color w:val="auto"/>
                <w:sz w:val="20"/>
                <w:highlight w:val="none"/>
              </w:rPr>
            </w:pPr>
          </w:p>
          <w:p>
            <w:pPr>
              <w:pStyle w:val="54"/>
              <w:rPr>
                <w:b/>
                <w:color w:val="auto"/>
                <w:sz w:val="20"/>
                <w:highlight w:val="none"/>
              </w:rPr>
            </w:pPr>
          </w:p>
          <w:p>
            <w:pPr>
              <w:pStyle w:val="54"/>
              <w:rPr>
                <w:b/>
                <w:color w:val="auto"/>
                <w:sz w:val="20"/>
                <w:highlight w:val="none"/>
              </w:rPr>
            </w:pPr>
          </w:p>
          <w:p>
            <w:pPr>
              <w:pStyle w:val="54"/>
              <w:rPr>
                <w:b/>
                <w:color w:val="auto"/>
                <w:sz w:val="20"/>
                <w:highlight w:val="none"/>
              </w:rPr>
            </w:pPr>
          </w:p>
          <w:p>
            <w:pPr>
              <w:pStyle w:val="54"/>
              <w:spacing w:before="5"/>
              <w:rPr>
                <w:b/>
                <w:color w:val="auto"/>
                <w:sz w:val="25"/>
                <w:highlight w:val="none"/>
              </w:rPr>
            </w:pPr>
          </w:p>
          <w:p>
            <w:pPr>
              <w:pStyle w:val="54"/>
              <w:ind w:left="157"/>
              <w:rPr>
                <w:color w:val="auto"/>
                <w:sz w:val="21"/>
                <w:highlight w:val="none"/>
              </w:rPr>
            </w:pPr>
            <w:r>
              <w:rPr>
                <w:color w:val="auto"/>
                <w:sz w:val="21"/>
                <w:highlight w:val="none"/>
              </w:rPr>
              <w:t xml:space="preserve">其它 </w:t>
            </w:r>
          </w:p>
        </w:tc>
        <w:tc>
          <w:tcPr>
            <w:tcW w:w="523" w:type="dxa"/>
            <w:vMerge w:val="restart"/>
            <w:tcBorders>
              <w:top w:val="single" w:color="000000" w:sz="4" w:space="0"/>
              <w:left w:val="single" w:color="000000" w:sz="4" w:space="0"/>
              <w:bottom w:val="single" w:color="000000" w:sz="4" w:space="0"/>
              <w:right w:val="single" w:color="000000" w:sz="4" w:space="0"/>
            </w:tcBorders>
          </w:tcPr>
          <w:p>
            <w:pPr>
              <w:pStyle w:val="54"/>
              <w:spacing w:before="61" w:line="302" w:lineRule="auto"/>
              <w:ind w:left="163" w:right="136"/>
              <w:jc w:val="both"/>
              <w:rPr>
                <w:color w:val="auto"/>
                <w:sz w:val="21"/>
                <w:highlight w:val="none"/>
              </w:rPr>
            </w:pPr>
            <w:r>
              <w:rPr>
                <w:color w:val="auto"/>
                <w:sz w:val="21"/>
                <w:highlight w:val="none"/>
              </w:rPr>
              <w:t>机械设备防</w:t>
            </w:r>
          </w:p>
          <w:p>
            <w:pPr>
              <w:pStyle w:val="54"/>
              <w:spacing w:before="4" w:line="249" w:lineRule="exact"/>
              <w:ind w:left="163"/>
              <w:rPr>
                <w:color w:val="auto"/>
                <w:sz w:val="21"/>
                <w:highlight w:val="none"/>
              </w:rPr>
            </w:pPr>
            <w:r>
              <w:rPr>
                <w:color w:val="auto"/>
                <w:sz w:val="21"/>
                <w:highlight w:val="none"/>
              </w:rPr>
              <w:t xml:space="preserve">护 </w:t>
            </w:r>
          </w:p>
        </w:tc>
        <w:tc>
          <w:tcPr>
            <w:tcW w:w="1546" w:type="dxa"/>
            <w:tcBorders>
              <w:top w:val="single" w:color="000000" w:sz="4" w:space="0"/>
              <w:left w:val="single" w:color="000000" w:sz="4" w:space="0"/>
              <w:bottom w:val="single" w:color="000000" w:sz="4" w:space="0"/>
              <w:right w:val="single" w:color="000000" w:sz="4" w:space="0"/>
            </w:tcBorders>
          </w:tcPr>
          <w:p>
            <w:pPr>
              <w:pStyle w:val="54"/>
              <w:spacing w:before="61" w:line="249" w:lineRule="exact"/>
              <w:ind w:left="256"/>
              <w:rPr>
                <w:color w:val="auto"/>
                <w:sz w:val="21"/>
                <w:highlight w:val="none"/>
              </w:rPr>
            </w:pPr>
            <w:r>
              <w:rPr>
                <w:color w:val="auto"/>
                <w:sz w:val="21"/>
                <w:highlight w:val="none"/>
              </w:rPr>
              <w:t xml:space="preserve">中小型机械 </w:t>
            </w:r>
          </w:p>
        </w:tc>
        <w:tc>
          <w:tcPr>
            <w:tcW w:w="6647" w:type="dxa"/>
            <w:tcBorders>
              <w:top w:val="single" w:color="000000" w:sz="4" w:space="0"/>
              <w:left w:val="single" w:color="000000" w:sz="4" w:space="0"/>
              <w:bottom w:val="single" w:color="000000" w:sz="4" w:space="0"/>
              <w:right w:val="single" w:color="000000" w:sz="12" w:space="0"/>
            </w:tcBorders>
          </w:tcPr>
          <w:p>
            <w:pPr>
              <w:pStyle w:val="54"/>
              <w:spacing w:before="61" w:line="249" w:lineRule="exact"/>
              <w:ind w:left="117"/>
              <w:rPr>
                <w:color w:val="auto"/>
                <w:sz w:val="21"/>
                <w:highlight w:val="none"/>
              </w:rPr>
            </w:pPr>
            <w:r>
              <w:rPr>
                <w:color w:val="auto"/>
                <w:sz w:val="21"/>
                <w:highlight w:val="none"/>
              </w:rPr>
              <w:t xml:space="preserve">设防护棚（同通道口防护并有防雨措施）。 </w:t>
            </w:r>
          </w:p>
        </w:tc>
      </w:tr>
      <w:tr>
        <w:tblPrEx>
          <w:tblBorders>
            <w:top w:val="single" w:color="000000" w:sz="18" w:space="0"/>
            <w:left w:val="single" w:color="000000" w:sz="18" w:space="0"/>
            <w:bottom w:val="single" w:color="000000" w:sz="18" w:space="0"/>
            <w:right w:val="single" w:color="000000" w:sz="18" w:space="0"/>
            <w:insideH w:val="single" w:color="000000" w:sz="18" w:space="0"/>
            <w:insideV w:val="single" w:color="000000" w:sz="18" w:space="0"/>
          </w:tblBorders>
          <w:tblCellMar>
            <w:top w:w="0" w:type="dxa"/>
            <w:left w:w="0" w:type="dxa"/>
            <w:bottom w:w="0" w:type="dxa"/>
            <w:right w:w="0" w:type="dxa"/>
          </w:tblCellMar>
        </w:tblPrEx>
        <w:trPr>
          <w:trHeight w:val="1669" w:hRule="atLeast"/>
        </w:trPr>
        <w:tc>
          <w:tcPr>
            <w:tcW w:w="739" w:type="dxa"/>
            <w:vMerge w:val="continue"/>
            <w:tcBorders>
              <w:top w:val="nil"/>
              <w:left w:val="single" w:color="000000" w:sz="12" w:space="0"/>
              <w:bottom w:val="single" w:color="000000" w:sz="12" w:space="0"/>
              <w:right w:val="single" w:color="000000" w:sz="4" w:space="0"/>
            </w:tcBorders>
          </w:tcPr>
          <w:p>
            <w:pPr>
              <w:rPr>
                <w:color w:val="auto"/>
                <w:sz w:val="2"/>
                <w:szCs w:val="2"/>
                <w:highlight w:val="none"/>
              </w:rPr>
            </w:pPr>
          </w:p>
        </w:tc>
        <w:tc>
          <w:tcPr>
            <w:tcW w:w="523" w:type="dxa"/>
            <w:vMerge w:val="continue"/>
            <w:tcBorders>
              <w:top w:val="nil"/>
              <w:left w:val="single" w:color="000000" w:sz="4" w:space="0"/>
              <w:bottom w:val="single" w:color="000000" w:sz="4" w:space="0"/>
              <w:right w:val="single" w:color="000000" w:sz="4" w:space="0"/>
            </w:tcBorders>
          </w:tcPr>
          <w:p>
            <w:pPr>
              <w:rPr>
                <w:color w:val="auto"/>
                <w:sz w:val="2"/>
                <w:szCs w:val="2"/>
                <w:highlight w:val="none"/>
              </w:rPr>
            </w:pPr>
          </w:p>
        </w:tc>
        <w:tc>
          <w:tcPr>
            <w:tcW w:w="1546" w:type="dxa"/>
            <w:tcBorders>
              <w:top w:val="single" w:color="000000" w:sz="4" w:space="0"/>
              <w:left w:val="single" w:color="000000" w:sz="4" w:space="0"/>
              <w:bottom w:val="single" w:color="000000" w:sz="4" w:space="0"/>
              <w:right w:val="single" w:color="000000" w:sz="4" w:space="0"/>
            </w:tcBorders>
          </w:tcPr>
          <w:p>
            <w:pPr>
              <w:pStyle w:val="54"/>
              <w:rPr>
                <w:b/>
                <w:color w:val="auto"/>
                <w:sz w:val="20"/>
                <w:highlight w:val="none"/>
              </w:rPr>
            </w:pPr>
          </w:p>
          <w:p>
            <w:pPr>
              <w:pStyle w:val="54"/>
              <w:rPr>
                <w:b/>
                <w:color w:val="auto"/>
                <w:sz w:val="20"/>
                <w:highlight w:val="none"/>
              </w:rPr>
            </w:pPr>
          </w:p>
          <w:p>
            <w:pPr>
              <w:pStyle w:val="54"/>
              <w:spacing w:before="7"/>
              <w:rPr>
                <w:b/>
                <w:color w:val="auto"/>
                <w:sz w:val="16"/>
                <w:highlight w:val="none"/>
              </w:rPr>
            </w:pPr>
          </w:p>
          <w:p>
            <w:pPr>
              <w:pStyle w:val="54"/>
              <w:spacing w:before="1"/>
              <w:ind w:left="151"/>
              <w:rPr>
                <w:color w:val="auto"/>
                <w:sz w:val="21"/>
                <w:highlight w:val="none"/>
              </w:rPr>
            </w:pPr>
            <w:r>
              <w:rPr>
                <w:color w:val="auto"/>
                <w:sz w:val="21"/>
                <w:highlight w:val="none"/>
              </w:rPr>
              <w:t xml:space="preserve">垂直运输设备 </w:t>
            </w:r>
          </w:p>
        </w:tc>
        <w:tc>
          <w:tcPr>
            <w:tcW w:w="6647" w:type="dxa"/>
            <w:tcBorders>
              <w:top w:val="single" w:color="000000" w:sz="4" w:space="0"/>
              <w:left w:val="single" w:color="000000" w:sz="4" w:space="0"/>
              <w:bottom w:val="single" w:color="000000" w:sz="4" w:space="0"/>
              <w:right w:val="single" w:color="000000" w:sz="12" w:space="0"/>
            </w:tcBorders>
          </w:tcPr>
          <w:p>
            <w:pPr>
              <w:pStyle w:val="54"/>
              <w:rPr>
                <w:b/>
                <w:color w:val="auto"/>
                <w:sz w:val="20"/>
                <w:highlight w:val="none"/>
              </w:rPr>
            </w:pPr>
          </w:p>
          <w:p>
            <w:pPr>
              <w:pStyle w:val="54"/>
              <w:numPr>
                <w:ilvl w:val="0"/>
                <w:numId w:val="10"/>
              </w:numPr>
              <w:tabs>
                <w:tab w:val="left" w:pos="331"/>
              </w:tabs>
              <w:spacing w:before="128"/>
              <w:ind w:hanging="214"/>
              <w:rPr>
                <w:color w:val="auto"/>
                <w:sz w:val="21"/>
                <w:highlight w:val="none"/>
              </w:rPr>
            </w:pPr>
            <w:r>
              <w:rPr>
                <w:color w:val="auto"/>
                <w:spacing w:val="-3"/>
                <w:sz w:val="21"/>
                <w:highlight w:val="none"/>
              </w:rPr>
              <w:t>垂直运输设备检测、检验、日常维护、保养等。</w:t>
            </w:r>
            <w:r>
              <w:rPr>
                <w:color w:val="auto"/>
                <w:sz w:val="21"/>
                <w:highlight w:val="none"/>
              </w:rPr>
              <w:t xml:space="preserve"> </w:t>
            </w:r>
          </w:p>
          <w:p>
            <w:pPr>
              <w:pStyle w:val="54"/>
              <w:numPr>
                <w:ilvl w:val="0"/>
                <w:numId w:val="10"/>
              </w:numPr>
              <w:tabs>
                <w:tab w:val="left" w:pos="331"/>
              </w:tabs>
              <w:spacing w:before="72" w:line="304" w:lineRule="auto"/>
              <w:ind w:left="117" w:right="74" w:firstLine="0"/>
              <w:rPr>
                <w:color w:val="auto"/>
                <w:sz w:val="21"/>
                <w:highlight w:val="none"/>
              </w:rPr>
            </w:pPr>
            <w:r>
              <w:rPr>
                <w:color w:val="auto"/>
                <w:spacing w:val="-4"/>
                <w:sz w:val="21"/>
                <w:highlight w:val="none"/>
              </w:rPr>
              <w:t>物料提升机、施工电梯等物料平台搭设、外侧用密目式安全立网全</w:t>
            </w:r>
            <w:r>
              <w:rPr>
                <w:color w:val="auto"/>
                <w:spacing w:val="-3"/>
                <w:sz w:val="21"/>
                <w:highlight w:val="none"/>
              </w:rPr>
              <w:t>封闭，有安全通道、安全防护门、防护棚等。</w:t>
            </w:r>
            <w:r>
              <w:rPr>
                <w:color w:val="auto"/>
                <w:sz w:val="21"/>
                <w:highlight w:val="none"/>
              </w:rPr>
              <w:t xml:space="preserve"> </w:t>
            </w:r>
          </w:p>
        </w:tc>
      </w:tr>
      <w:tr>
        <w:tblPrEx>
          <w:tblBorders>
            <w:top w:val="single" w:color="000000" w:sz="18" w:space="0"/>
            <w:left w:val="single" w:color="000000" w:sz="18" w:space="0"/>
            <w:bottom w:val="single" w:color="000000" w:sz="18" w:space="0"/>
            <w:right w:val="single" w:color="000000" w:sz="18" w:space="0"/>
            <w:insideH w:val="single" w:color="000000" w:sz="18" w:space="0"/>
            <w:insideV w:val="single" w:color="000000" w:sz="18" w:space="0"/>
          </w:tblBorders>
          <w:tblCellMar>
            <w:top w:w="0" w:type="dxa"/>
            <w:left w:w="0" w:type="dxa"/>
            <w:bottom w:w="0" w:type="dxa"/>
            <w:right w:w="0" w:type="dxa"/>
          </w:tblCellMar>
        </w:tblPrEx>
        <w:trPr>
          <w:trHeight w:val="320" w:hRule="atLeast"/>
        </w:trPr>
        <w:tc>
          <w:tcPr>
            <w:tcW w:w="739" w:type="dxa"/>
            <w:vMerge w:val="continue"/>
            <w:tcBorders>
              <w:top w:val="nil"/>
              <w:left w:val="single" w:color="000000" w:sz="12" w:space="0"/>
              <w:bottom w:val="single" w:color="000000" w:sz="12" w:space="0"/>
              <w:right w:val="single" w:color="000000" w:sz="4" w:space="0"/>
            </w:tcBorders>
          </w:tcPr>
          <w:p>
            <w:pPr>
              <w:rPr>
                <w:color w:val="auto"/>
                <w:sz w:val="2"/>
                <w:szCs w:val="2"/>
                <w:highlight w:val="none"/>
              </w:rPr>
            </w:pPr>
          </w:p>
        </w:tc>
        <w:tc>
          <w:tcPr>
            <w:tcW w:w="2069" w:type="dxa"/>
            <w:gridSpan w:val="2"/>
            <w:tcBorders>
              <w:top w:val="single" w:color="000000" w:sz="4" w:space="0"/>
              <w:left w:val="single" w:color="000000" w:sz="4" w:space="0"/>
              <w:bottom w:val="single" w:color="000000" w:sz="4" w:space="0"/>
              <w:right w:val="single" w:color="000000" w:sz="4" w:space="0"/>
            </w:tcBorders>
          </w:tcPr>
          <w:p>
            <w:pPr>
              <w:pStyle w:val="54"/>
              <w:spacing w:before="51" w:line="249" w:lineRule="exact"/>
              <w:ind w:left="410"/>
              <w:rPr>
                <w:color w:val="auto"/>
                <w:sz w:val="21"/>
                <w:highlight w:val="none"/>
              </w:rPr>
            </w:pPr>
            <w:r>
              <w:rPr>
                <w:color w:val="auto"/>
                <w:sz w:val="21"/>
                <w:highlight w:val="none"/>
              </w:rPr>
              <w:t xml:space="preserve">专家论证审查 </w:t>
            </w:r>
          </w:p>
        </w:tc>
        <w:tc>
          <w:tcPr>
            <w:tcW w:w="6647" w:type="dxa"/>
            <w:tcBorders>
              <w:top w:val="single" w:color="000000" w:sz="4" w:space="0"/>
              <w:left w:val="single" w:color="000000" w:sz="4" w:space="0"/>
              <w:bottom w:val="single" w:color="000000" w:sz="4" w:space="0"/>
              <w:right w:val="single" w:color="000000" w:sz="12" w:space="0"/>
            </w:tcBorders>
          </w:tcPr>
          <w:p>
            <w:pPr>
              <w:pStyle w:val="54"/>
              <w:spacing w:before="51" w:line="249" w:lineRule="exact"/>
              <w:ind w:left="117"/>
              <w:rPr>
                <w:color w:val="auto"/>
                <w:sz w:val="21"/>
                <w:highlight w:val="none"/>
              </w:rPr>
            </w:pPr>
            <w:r>
              <w:rPr>
                <w:color w:val="auto"/>
                <w:sz w:val="21"/>
                <w:highlight w:val="none"/>
              </w:rPr>
              <w:t xml:space="preserve">超过一定规模的危险性较大分部分项工程专家论证审查。 </w:t>
            </w:r>
          </w:p>
        </w:tc>
      </w:tr>
      <w:tr>
        <w:tblPrEx>
          <w:tblBorders>
            <w:top w:val="single" w:color="000000" w:sz="18" w:space="0"/>
            <w:left w:val="single" w:color="000000" w:sz="18" w:space="0"/>
            <w:bottom w:val="single" w:color="000000" w:sz="18" w:space="0"/>
            <w:right w:val="single" w:color="000000" w:sz="18" w:space="0"/>
            <w:insideH w:val="single" w:color="000000" w:sz="18" w:space="0"/>
            <w:insideV w:val="single" w:color="000000" w:sz="18" w:space="0"/>
          </w:tblBorders>
          <w:tblCellMar>
            <w:top w:w="0" w:type="dxa"/>
            <w:left w:w="0" w:type="dxa"/>
            <w:bottom w:w="0" w:type="dxa"/>
            <w:right w:w="0" w:type="dxa"/>
          </w:tblCellMar>
        </w:tblPrEx>
        <w:trPr>
          <w:trHeight w:val="320" w:hRule="atLeast"/>
        </w:trPr>
        <w:tc>
          <w:tcPr>
            <w:tcW w:w="739" w:type="dxa"/>
            <w:vMerge w:val="continue"/>
            <w:tcBorders>
              <w:top w:val="nil"/>
              <w:left w:val="single" w:color="000000" w:sz="12" w:space="0"/>
              <w:bottom w:val="single" w:color="000000" w:sz="12" w:space="0"/>
              <w:right w:val="single" w:color="000000" w:sz="4" w:space="0"/>
            </w:tcBorders>
          </w:tcPr>
          <w:p>
            <w:pPr>
              <w:rPr>
                <w:color w:val="auto"/>
                <w:sz w:val="2"/>
                <w:szCs w:val="2"/>
                <w:highlight w:val="none"/>
              </w:rPr>
            </w:pPr>
          </w:p>
        </w:tc>
        <w:tc>
          <w:tcPr>
            <w:tcW w:w="2069" w:type="dxa"/>
            <w:gridSpan w:val="2"/>
            <w:tcBorders>
              <w:top w:val="single" w:color="000000" w:sz="4" w:space="0"/>
              <w:left w:val="single" w:color="000000" w:sz="4" w:space="0"/>
              <w:bottom w:val="single" w:color="000000" w:sz="6" w:space="0"/>
              <w:right w:val="single" w:color="000000" w:sz="4" w:space="0"/>
            </w:tcBorders>
          </w:tcPr>
          <w:p>
            <w:pPr>
              <w:pStyle w:val="54"/>
              <w:spacing w:before="51" w:line="250" w:lineRule="exact"/>
              <w:ind w:left="410"/>
              <w:rPr>
                <w:color w:val="auto"/>
                <w:sz w:val="21"/>
                <w:highlight w:val="none"/>
              </w:rPr>
            </w:pPr>
            <w:r>
              <w:rPr>
                <w:color w:val="auto"/>
                <w:sz w:val="21"/>
                <w:highlight w:val="none"/>
              </w:rPr>
              <w:t xml:space="preserve">应急救援预案 </w:t>
            </w:r>
          </w:p>
        </w:tc>
        <w:tc>
          <w:tcPr>
            <w:tcW w:w="6647" w:type="dxa"/>
            <w:tcBorders>
              <w:top w:val="single" w:color="000000" w:sz="4" w:space="0"/>
              <w:left w:val="single" w:color="000000" w:sz="4" w:space="0"/>
              <w:bottom w:val="single" w:color="000000" w:sz="6" w:space="0"/>
              <w:right w:val="single" w:color="000000" w:sz="12" w:space="0"/>
            </w:tcBorders>
          </w:tcPr>
          <w:p>
            <w:pPr>
              <w:pStyle w:val="54"/>
              <w:spacing w:before="51" w:line="250" w:lineRule="exact"/>
              <w:ind w:left="117"/>
              <w:rPr>
                <w:color w:val="auto"/>
                <w:sz w:val="21"/>
                <w:highlight w:val="none"/>
              </w:rPr>
            </w:pPr>
            <w:r>
              <w:rPr>
                <w:color w:val="auto"/>
                <w:sz w:val="21"/>
                <w:highlight w:val="none"/>
              </w:rPr>
              <w:t xml:space="preserve">救援器材准备及演练等。 </w:t>
            </w:r>
          </w:p>
        </w:tc>
      </w:tr>
      <w:tr>
        <w:tblPrEx>
          <w:tblBorders>
            <w:top w:val="single" w:color="000000" w:sz="18" w:space="0"/>
            <w:left w:val="single" w:color="000000" w:sz="18" w:space="0"/>
            <w:bottom w:val="single" w:color="000000" w:sz="18" w:space="0"/>
            <w:right w:val="single" w:color="000000" w:sz="18" w:space="0"/>
            <w:insideH w:val="single" w:color="000000" w:sz="18" w:space="0"/>
            <w:insideV w:val="single" w:color="000000" w:sz="18" w:space="0"/>
          </w:tblBorders>
          <w:tblCellMar>
            <w:top w:w="0" w:type="dxa"/>
            <w:left w:w="0" w:type="dxa"/>
            <w:bottom w:w="0" w:type="dxa"/>
            <w:right w:w="0" w:type="dxa"/>
          </w:tblCellMar>
        </w:tblPrEx>
        <w:trPr>
          <w:trHeight w:val="668" w:hRule="atLeast"/>
        </w:trPr>
        <w:tc>
          <w:tcPr>
            <w:tcW w:w="739" w:type="dxa"/>
            <w:vMerge w:val="continue"/>
            <w:tcBorders>
              <w:top w:val="nil"/>
              <w:left w:val="single" w:color="000000" w:sz="12" w:space="0"/>
              <w:bottom w:val="single" w:color="000000" w:sz="12" w:space="0"/>
              <w:right w:val="single" w:color="000000" w:sz="4" w:space="0"/>
            </w:tcBorders>
          </w:tcPr>
          <w:p>
            <w:pPr>
              <w:rPr>
                <w:color w:val="auto"/>
                <w:sz w:val="2"/>
                <w:szCs w:val="2"/>
                <w:highlight w:val="none"/>
              </w:rPr>
            </w:pPr>
          </w:p>
        </w:tc>
        <w:tc>
          <w:tcPr>
            <w:tcW w:w="2069" w:type="dxa"/>
            <w:gridSpan w:val="2"/>
            <w:tcBorders>
              <w:top w:val="single" w:color="000000" w:sz="6" w:space="0"/>
              <w:left w:val="single" w:color="000000" w:sz="4" w:space="0"/>
              <w:bottom w:val="single" w:color="000000" w:sz="12" w:space="0"/>
              <w:right w:val="single" w:color="000000" w:sz="4" w:space="0"/>
            </w:tcBorders>
          </w:tcPr>
          <w:p>
            <w:pPr>
              <w:pStyle w:val="54"/>
              <w:spacing w:before="3"/>
              <w:rPr>
                <w:b/>
                <w:color w:val="auto"/>
                <w:sz w:val="17"/>
                <w:highlight w:val="none"/>
              </w:rPr>
            </w:pPr>
          </w:p>
          <w:p>
            <w:pPr>
              <w:pStyle w:val="54"/>
              <w:spacing w:before="1"/>
              <w:ind w:left="304"/>
              <w:rPr>
                <w:color w:val="auto"/>
                <w:sz w:val="21"/>
                <w:highlight w:val="none"/>
              </w:rPr>
            </w:pPr>
            <w:r>
              <w:rPr>
                <w:color w:val="auto"/>
                <w:sz w:val="21"/>
                <w:highlight w:val="none"/>
              </w:rPr>
              <w:t xml:space="preserve">非正常情况施工 </w:t>
            </w:r>
          </w:p>
        </w:tc>
        <w:tc>
          <w:tcPr>
            <w:tcW w:w="6647" w:type="dxa"/>
            <w:tcBorders>
              <w:top w:val="single" w:color="000000" w:sz="6" w:space="0"/>
              <w:left w:val="single" w:color="000000" w:sz="4" w:space="0"/>
              <w:bottom w:val="single" w:color="000000" w:sz="12" w:space="0"/>
              <w:right w:val="single" w:color="000000" w:sz="12" w:space="0"/>
            </w:tcBorders>
          </w:tcPr>
          <w:p>
            <w:pPr>
              <w:pStyle w:val="54"/>
              <w:spacing w:before="51"/>
              <w:ind w:left="117"/>
              <w:rPr>
                <w:color w:val="auto"/>
                <w:sz w:val="21"/>
                <w:highlight w:val="none"/>
              </w:rPr>
            </w:pPr>
            <w:r>
              <w:rPr>
                <w:color w:val="auto"/>
                <w:sz w:val="21"/>
                <w:highlight w:val="none"/>
              </w:rPr>
              <w:t>其它特殊情况下的防护费用，如：城市主干道、人流密集、河边等处施</w:t>
            </w:r>
          </w:p>
          <w:p>
            <w:pPr>
              <w:pStyle w:val="54"/>
              <w:spacing w:before="69" w:line="259" w:lineRule="exact"/>
              <w:ind w:left="117"/>
              <w:rPr>
                <w:color w:val="auto"/>
                <w:sz w:val="21"/>
                <w:highlight w:val="none"/>
              </w:rPr>
            </w:pPr>
            <w:r>
              <w:rPr>
                <w:color w:val="auto"/>
                <w:sz w:val="21"/>
                <w:highlight w:val="none"/>
              </w:rPr>
              <w:t xml:space="preserve">工及文物、古建筑、古树保护等。 </w:t>
            </w:r>
          </w:p>
        </w:tc>
      </w:tr>
    </w:tbl>
    <w:p>
      <w:pPr>
        <w:pStyle w:val="2"/>
        <w:spacing w:before="50" w:line="285" w:lineRule="auto"/>
        <w:ind w:left="658" w:right="680"/>
        <w:rPr>
          <w:color w:val="auto"/>
          <w:highlight w:val="none"/>
        </w:rPr>
      </w:pPr>
      <w:r>
        <w:rPr>
          <w:color w:val="auto"/>
          <w:highlight w:val="none"/>
        </w:rPr>
        <w:t xml:space="preserve">注：本表所列建设工程安全文明施工费，是依据现行法律法规及标准、规范确定的。如法律法规和标准、规范修订，本表所列项目应按照修订后的法律法规和标准规范进行调整。 </w:t>
      </w:r>
    </w:p>
    <w:p>
      <w:pPr>
        <w:pStyle w:val="2"/>
        <w:spacing w:line="267" w:lineRule="exact"/>
        <w:ind w:left="658"/>
        <w:rPr>
          <w:color w:val="auto"/>
          <w:highlight w:val="none"/>
        </w:rPr>
      </w:pPr>
      <w:r>
        <w:rPr>
          <w:color w:val="auto"/>
          <w:highlight w:val="none"/>
        </w:rPr>
        <w:t xml:space="preserve"> </w:t>
      </w:r>
    </w:p>
    <w:p>
      <w:pPr>
        <w:spacing w:line="267" w:lineRule="exact"/>
        <w:rPr>
          <w:color w:val="auto"/>
          <w:highlight w:val="none"/>
        </w:rPr>
        <w:sectPr>
          <w:headerReference r:id="rId11" w:type="default"/>
          <w:footerReference r:id="rId12" w:type="default"/>
          <w:pgSz w:w="11900" w:h="16850"/>
          <w:pgMar w:top="1320" w:right="760" w:bottom="1320" w:left="760" w:header="1138" w:footer="1136" w:gutter="0"/>
          <w:cols w:space="720" w:num="1"/>
        </w:sectPr>
      </w:pPr>
    </w:p>
    <w:p>
      <w:pPr>
        <w:pStyle w:val="2"/>
        <w:spacing w:before="2"/>
        <w:rPr>
          <w:color w:val="auto"/>
          <w:sz w:val="23"/>
          <w:highlight w:val="none"/>
        </w:rPr>
      </w:pPr>
    </w:p>
    <w:p>
      <w:pPr>
        <w:pStyle w:val="2"/>
        <w:spacing w:before="72" w:line="239" w:lineRule="exact"/>
        <w:ind w:right="158"/>
        <w:jc w:val="center"/>
        <w:rPr>
          <w:color w:val="auto"/>
          <w:highlight w:val="none"/>
        </w:rPr>
      </w:pPr>
      <w:r>
        <w:rPr>
          <w:color w:val="auto"/>
          <w:highlight w:val="none"/>
        </w:rPr>
        <w:t xml:space="preserve"> </w:t>
      </w:r>
    </w:p>
    <w:p>
      <w:pPr>
        <w:spacing w:line="380" w:lineRule="exact"/>
        <w:ind w:left="162"/>
        <w:jc w:val="center"/>
        <w:rPr>
          <w:b/>
          <w:color w:val="auto"/>
          <w:sz w:val="32"/>
          <w:highlight w:val="none"/>
        </w:rPr>
      </w:pPr>
      <w:r>
        <w:rPr>
          <w:b/>
          <w:color w:val="auto"/>
          <w:sz w:val="32"/>
          <w:highlight w:val="none"/>
        </w:rPr>
        <w:t>供应商直接控股、管理关系信息表</w:t>
      </w:r>
      <w:r>
        <w:rPr>
          <w:b/>
          <w:color w:val="auto"/>
          <w:w w:val="98"/>
          <w:sz w:val="32"/>
          <w:highlight w:val="none"/>
        </w:rPr>
        <w:t xml:space="preserve"> </w:t>
      </w:r>
    </w:p>
    <w:p>
      <w:pPr>
        <w:spacing w:before="92"/>
        <w:ind w:left="122"/>
        <w:jc w:val="center"/>
        <w:rPr>
          <w:b/>
          <w:color w:val="auto"/>
          <w:sz w:val="24"/>
          <w:highlight w:val="none"/>
        </w:rPr>
      </w:pPr>
      <w:r>
        <w:rPr>
          <w:b/>
          <w:color w:val="auto"/>
          <w:w w:val="99"/>
          <w:sz w:val="24"/>
          <w:highlight w:val="none"/>
        </w:rPr>
        <w:t xml:space="preserve"> </w:t>
      </w:r>
    </w:p>
    <w:p>
      <w:pPr>
        <w:pStyle w:val="2"/>
        <w:jc w:val="center"/>
        <w:rPr>
          <w:color w:val="auto"/>
          <w:sz w:val="32"/>
          <w:szCs w:val="32"/>
          <w:highlight w:val="none"/>
        </w:rPr>
      </w:pPr>
      <w:r>
        <w:rPr>
          <w:color w:val="auto"/>
          <w:sz w:val="32"/>
          <w:szCs w:val="32"/>
          <w:highlight w:val="none"/>
        </w:rPr>
        <w:t>供应商直接控股股东信息表</w:t>
      </w:r>
    </w:p>
    <w:p>
      <w:pPr>
        <w:pStyle w:val="2"/>
        <w:rPr>
          <w:b/>
          <w:color w:val="auto"/>
          <w:sz w:val="20"/>
          <w:highlight w:val="none"/>
        </w:rPr>
      </w:pPr>
    </w:p>
    <w:p>
      <w:pPr>
        <w:pStyle w:val="2"/>
        <w:rPr>
          <w:b/>
          <w:color w:val="auto"/>
          <w:sz w:val="20"/>
          <w:highlight w:val="none"/>
        </w:rPr>
      </w:pPr>
    </w:p>
    <w:p>
      <w:pPr>
        <w:pStyle w:val="2"/>
        <w:spacing w:before="11"/>
        <w:rPr>
          <w:b/>
          <w:color w:val="auto"/>
          <w:sz w:val="12"/>
          <w:highlight w:val="none"/>
        </w:rPr>
      </w:pPr>
    </w:p>
    <w:tbl>
      <w:tblPr>
        <w:tblStyle w:val="52"/>
        <w:tblW w:w="0" w:type="auto"/>
        <w:tblInd w:w="121"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81"/>
        <w:gridCol w:w="2655"/>
        <w:gridCol w:w="1455"/>
        <w:gridCol w:w="4290"/>
        <w:gridCol w:w="86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5" w:hRule="atLeast"/>
        </w:trPr>
        <w:tc>
          <w:tcPr>
            <w:tcW w:w="881" w:type="dxa"/>
          </w:tcPr>
          <w:p>
            <w:pPr>
              <w:pStyle w:val="54"/>
              <w:spacing w:before="120"/>
              <w:ind w:left="239" w:right="110"/>
              <w:jc w:val="center"/>
              <w:rPr>
                <w:b/>
                <w:color w:val="auto"/>
                <w:sz w:val="24"/>
                <w:highlight w:val="none"/>
              </w:rPr>
            </w:pPr>
            <w:r>
              <w:rPr>
                <w:b/>
                <w:color w:val="auto"/>
                <w:sz w:val="24"/>
                <w:highlight w:val="none"/>
              </w:rPr>
              <w:t>序号</w:t>
            </w:r>
            <w:r>
              <w:rPr>
                <w:b/>
                <w:color w:val="auto"/>
                <w:w w:val="99"/>
                <w:sz w:val="24"/>
                <w:highlight w:val="none"/>
              </w:rPr>
              <w:t xml:space="preserve"> </w:t>
            </w:r>
          </w:p>
        </w:tc>
        <w:tc>
          <w:tcPr>
            <w:tcW w:w="2655" w:type="dxa"/>
          </w:tcPr>
          <w:p>
            <w:pPr>
              <w:pStyle w:val="54"/>
              <w:spacing w:before="120"/>
              <w:ind w:left="402" w:right="275"/>
              <w:jc w:val="center"/>
              <w:rPr>
                <w:b/>
                <w:color w:val="auto"/>
                <w:sz w:val="24"/>
                <w:highlight w:val="none"/>
              </w:rPr>
            </w:pPr>
            <w:r>
              <w:rPr>
                <w:b/>
                <w:color w:val="auto"/>
                <w:sz w:val="24"/>
                <w:highlight w:val="none"/>
              </w:rPr>
              <w:t>直接控股股东名称</w:t>
            </w:r>
            <w:r>
              <w:rPr>
                <w:b/>
                <w:color w:val="auto"/>
                <w:w w:val="99"/>
                <w:sz w:val="24"/>
                <w:highlight w:val="none"/>
              </w:rPr>
              <w:t xml:space="preserve"> </w:t>
            </w:r>
          </w:p>
        </w:tc>
        <w:tc>
          <w:tcPr>
            <w:tcW w:w="1455" w:type="dxa"/>
          </w:tcPr>
          <w:p>
            <w:pPr>
              <w:pStyle w:val="54"/>
              <w:spacing w:before="120"/>
              <w:ind w:left="285" w:right="156"/>
              <w:jc w:val="center"/>
              <w:rPr>
                <w:b/>
                <w:color w:val="auto"/>
                <w:sz w:val="24"/>
                <w:highlight w:val="none"/>
              </w:rPr>
            </w:pPr>
            <w:r>
              <w:rPr>
                <w:b/>
                <w:color w:val="auto"/>
                <w:sz w:val="24"/>
                <w:highlight w:val="none"/>
              </w:rPr>
              <w:t>出资比例</w:t>
            </w:r>
            <w:r>
              <w:rPr>
                <w:b/>
                <w:color w:val="auto"/>
                <w:w w:val="99"/>
                <w:sz w:val="24"/>
                <w:highlight w:val="none"/>
              </w:rPr>
              <w:t xml:space="preserve"> </w:t>
            </w:r>
          </w:p>
        </w:tc>
        <w:tc>
          <w:tcPr>
            <w:tcW w:w="4290" w:type="dxa"/>
          </w:tcPr>
          <w:p>
            <w:pPr>
              <w:pStyle w:val="54"/>
              <w:spacing w:before="120"/>
              <w:ind w:left="375" w:right="249"/>
              <w:jc w:val="center"/>
              <w:rPr>
                <w:b/>
                <w:color w:val="auto"/>
                <w:sz w:val="24"/>
                <w:highlight w:val="none"/>
              </w:rPr>
            </w:pPr>
            <w:r>
              <w:rPr>
                <w:b/>
                <w:color w:val="auto"/>
                <w:sz w:val="24"/>
                <w:highlight w:val="none"/>
              </w:rPr>
              <w:t>身份证号码或者统一社会信用代码</w:t>
            </w:r>
            <w:r>
              <w:rPr>
                <w:b/>
                <w:color w:val="auto"/>
                <w:w w:val="99"/>
                <w:sz w:val="24"/>
                <w:highlight w:val="none"/>
              </w:rPr>
              <w:t xml:space="preserve"> </w:t>
            </w:r>
          </w:p>
        </w:tc>
        <w:tc>
          <w:tcPr>
            <w:tcW w:w="869" w:type="dxa"/>
          </w:tcPr>
          <w:p>
            <w:pPr>
              <w:pStyle w:val="54"/>
              <w:spacing w:before="120"/>
              <w:ind w:left="231" w:right="105"/>
              <w:jc w:val="center"/>
              <w:rPr>
                <w:b/>
                <w:color w:val="auto"/>
                <w:sz w:val="24"/>
                <w:highlight w:val="none"/>
              </w:rPr>
            </w:pPr>
            <w:r>
              <w:rPr>
                <w:b/>
                <w:color w:val="auto"/>
                <w:sz w:val="24"/>
                <w:highlight w:val="none"/>
              </w:rPr>
              <w:t>备注</w:t>
            </w:r>
            <w:r>
              <w:rPr>
                <w:b/>
                <w:color w:val="auto"/>
                <w:w w:val="99"/>
                <w:sz w:val="24"/>
                <w:highlight w:val="non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8" w:hRule="atLeast"/>
        </w:trPr>
        <w:tc>
          <w:tcPr>
            <w:tcW w:w="881" w:type="dxa"/>
          </w:tcPr>
          <w:p>
            <w:pPr>
              <w:pStyle w:val="54"/>
              <w:spacing w:before="120"/>
              <w:ind w:left="237" w:right="110"/>
              <w:jc w:val="center"/>
              <w:rPr>
                <w:color w:val="auto"/>
                <w:sz w:val="24"/>
                <w:highlight w:val="none"/>
              </w:rPr>
            </w:pPr>
            <w:r>
              <w:rPr>
                <w:color w:val="auto"/>
                <w:sz w:val="24"/>
                <w:highlight w:val="none"/>
              </w:rPr>
              <w:t xml:space="preserve">1 </w:t>
            </w:r>
          </w:p>
        </w:tc>
        <w:tc>
          <w:tcPr>
            <w:tcW w:w="2655" w:type="dxa"/>
          </w:tcPr>
          <w:p>
            <w:pPr>
              <w:pStyle w:val="54"/>
              <w:spacing w:before="120"/>
              <w:ind w:left="129"/>
              <w:jc w:val="center"/>
              <w:rPr>
                <w:color w:val="auto"/>
                <w:sz w:val="24"/>
                <w:highlight w:val="none"/>
              </w:rPr>
            </w:pPr>
            <w:r>
              <w:rPr>
                <w:color w:val="auto"/>
                <w:sz w:val="24"/>
                <w:highlight w:val="none"/>
              </w:rPr>
              <w:t xml:space="preserve"> </w:t>
            </w:r>
          </w:p>
        </w:tc>
        <w:tc>
          <w:tcPr>
            <w:tcW w:w="1455" w:type="dxa"/>
          </w:tcPr>
          <w:p>
            <w:pPr>
              <w:pStyle w:val="54"/>
              <w:spacing w:before="120"/>
              <w:ind w:left="129"/>
              <w:jc w:val="center"/>
              <w:rPr>
                <w:color w:val="auto"/>
                <w:sz w:val="24"/>
                <w:highlight w:val="none"/>
              </w:rPr>
            </w:pPr>
            <w:r>
              <w:rPr>
                <w:color w:val="auto"/>
                <w:sz w:val="24"/>
                <w:highlight w:val="none"/>
              </w:rPr>
              <w:t xml:space="preserve"> </w:t>
            </w:r>
          </w:p>
        </w:tc>
        <w:tc>
          <w:tcPr>
            <w:tcW w:w="4290" w:type="dxa"/>
          </w:tcPr>
          <w:p>
            <w:pPr>
              <w:pStyle w:val="54"/>
              <w:spacing w:before="120"/>
              <w:ind w:left="127"/>
              <w:jc w:val="center"/>
              <w:rPr>
                <w:color w:val="auto"/>
                <w:sz w:val="24"/>
                <w:highlight w:val="none"/>
              </w:rPr>
            </w:pPr>
            <w:r>
              <w:rPr>
                <w:color w:val="auto"/>
                <w:sz w:val="24"/>
                <w:highlight w:val="none"/>
              </w:rPr>
              <w:t xml:space="preserve"> </w:t>
            </w:r>
          </w:p>
        </w:tc>
        <w:tc>
          <w:tcPr>
            <w:tcW w:w="869" w:type="dxa"/>
          </w:tcPr>
          <w:p>
            <w:pPr>
              <w:pStyle w:val="54"/>
              <w:spacing w:before="120"/>
              <w:ind w:left="124"/>
              <w:jc w:val="center"/>
              <w:rPr>
                <w:color w:val="auto"/>
                <w:sz w:val="24"/>
                <w:highlight w:val="none"/>
              </w:rPr>
            </w:pPr>
            <w:r>
              <w:rPr>
                <w:color w:val="auto"/>
                <w:sz w:val="24"/>
                <w:highlight w:val="non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7" w:hRule="atLeast"/>
        </w:trPr>
        <w:tc>
          <w:tcPr>
            <w:tcW w:w="881" w:type="dxa"/>
          </w:tcPr>
          <w:p>
            <w:pPr>
              <w:pStyle w:val="54"/>
              <w:spacing w:before="119"/>
              <w:ind w:left="237" w:right="110"/>
              <w:jc w:val="center"/>
              <w:rPr>
                <w:color w:val="auto"/>
                <w:sz w:val="24"/>
                <w:highlight w:val="none"/>
              </w:rPr>
            </w:pPr>
            <w:r>
              <w:rPr>
                <w:color w:val="auto"/>
                <w:sz w:val="24"/>
                <w:highlight w:val="none"/>
              </w:rPr>
              <w:t xml:space="preserve">2 </w:t>
            </w:r>
          </w:p>
        </w:tc>
        <w:tc>
          <w:tcPr>
            <w:tcW w:w="2655" w:type="dxa"/>
          </w:tcPr>
          <w:p>
            <w:pPr>
              <w:pStyle w:val="54"/>
              <w:spacing w:before="119"/>
              <w:ind w:left="129"/>
              <w:jc w:val="center"/>
              <w:rPr>
                <w:color w:val="auto"/>
                <w:sz w:val="24"/>
                <w:highlight w:val="none"/>
              </w:rPr>
            </w:pPr>
            <w:r>
              <w:rPr>
                <w:color w:val="auto"/>
                <w:sz w:val="24"/>
                <w:highlight w:val="none"/>
              </w:rPr>
              <w:t xml:space="preserve"> </w:t>
            </w:r>
          </w:p>
        </w:tc>
        <w:tc>
          <w:tcPr>
            <w:tcW w:w="1455" w:type="dxa"/>
          </w:tcPr>
          <w:p>
            <w:pPr>
              <w:pStyle w:val="54"/>
              <w:spacing w:before="119"/>
              <w:ind w:left="129"/>
              <w:jc w:val="center"/>
              <w:rPr>
                <w:color w:val="auto"/>
                <w:sz w:val="24"/>
                <w:highlight w:val="none"/>
              </w:rPr>
            </w:pPr>
            <w:r>
              <w:rPr>
                <w:color w:val="auto"/>
                <w:sz w:val="24"/>
                <w:highlight w:val="none"/>
              </w:rPr>
              <w:t xml:space="preserve"> </w:t>
            </w:r>
          </w:p>
        </w:tc>
        <w:tc>
          <w:tcPr>
            <w:tcW w:w="4290" w:type="dxa"/>
          </w:tcPr>
          <w:p>
            <w:pPr>
              <w:pStyle w:val="54"/>
              <w:spacing w:before="119"/>
              <w:ind w:left="127"/>
              <w:jc w:val="center"/>
              <w:rPr>
                <w:color w:val="auto"/>
                <w:sz w:val="24"/>
                <w:highlight w:val="none"/>
              </w:rPr>
            </w:pPr>
            <w:r>
              <w:rPr>
                <w:color w:val="auto"/>
                <w:sz w:val="24"/>
                <w:highlight w:val="none"/>
              </w:rPr>
              <w:t xml:space="preserve"> </w:t>
            </w:r>
          </w:p>
        </w:tc>
        <w:tc>
          <w:tcPr>
            <w:tcW w:w="869" w:type="dxa"/>
          </w:tcPr>
          <w:p>
            <w:pPr>
              <w:pStyle w:val="54"/>
              <w:spacing w:before="119"/>
              <w:ind w:left="124"/>
              <w:jc w:val="center"/>
              <w:rPr>
                <w:color w:val="auto"/>
                <w:sz w:val="24"/>
                <w:highlight w:val="none"/>
              </w:rPr>
            </w:pPr>
            <w:r>
              <w:rPr>
                <w:color w:val="auto"/>
                <w:sz w:val="24"/>
                <w:highlight w:val="non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5" w:hRule="atLeast"/>
        </w:trPr>
        <w:tc>
          <w:tcPr>
            <w:tcW w:w="881" w:type="dxa"/>
          </w:tcPr>
          <w:p>
            <w:pPr>
              <w:pStyle w:val="54"/>
              <w:spacing w:before="119"/>
              <w:ind w:left="237" w:right="110"/>
              <w:jc w:val="center"/>
              <w:rPr>
                <w:color w:val="auto"/>
                <w:sz w:val="24"/>
                <w:highlight w:val="none"/>
              </w:rPr>
            </w:pPr>
            <w:r>
              <w:rPr>
                <w:color w:val="auto"/>
                <w:sz w:val="24"/>
                <w:highlight w:val="none"/>
              </w:rPr>
              <w:t xml:space="preserve">3 </w:t>
            </w:r>
          </w:p>
        </w:tc>
        <w:tc>
          <w:tcPr>
            <w:tcW w:w="2655" w:type="dxa"/>
          </w:tcPr>
          <w:p>
            <w:pPr>
              <w:pStyle w:val="54"/>
              <w:spacing w:before="119"/>
              <w:ind w:left="129"/>
              <w:jc w:val="center"/>
              <w:rPr>
                <w:color w:val="auto"/>
                <w:sz w:val="24"/>
                <w:highlight w:val="none"/>
              </w:rPr>
            </w:pPr>
            <w:r>
              <w:rPr>
                <w:color w:val="auto"/>
                <w:sz w:val="24"/>
                <w:highlight w:val="none"/>
              </w:rPr>
              <w:t xml:space="preserve"> </w:t>
            </w:r>
          </w:p>
        </w:tc>
        <w:tc>
          <w:tcPr>
            <w:tcW w:w="1455" w:type="dxa"/>
          </w:tcPr>
          <w:p>
            <w:pPr>
              <w:pStyle w:val="54"/>
              <w:spacing w:before="119"/>
              <w:ind w:left="129"/>
              <w:jc w:val="center"/>
              <w:rPr>
                <w:color w:val="auto"/>
                <w:sz w:val="24"/>
                <w:highlight w:val="none"/>
              </w:rPr>
            </w:pPr>
            <w:r>
              <w:rPr>
                <w:color w:val="auto"/>
                <w:sz w:val="24"/>
                <w:highlight w:val="none"/>
              </w:rPr>
              <w:t xml:space="preserve"> </w:t>
            </w:r>
          </w:p>
        </w:tc>
        <w:tc>
          <w:tcPr>
            <w:tcW w:w="4290" w:type="dxa"/>
          </w:tcPr>
          <w:p>
            <w:pPr>
              <w:pStyle w:val="54"/>
              <w:spacing w:before="119"/>
              <w:ind w:left="127"/>
              <w:jc w:val="center"/>
              <w:rPr>
                <w:color w:val="auto"/>
                <w:sz w:val="24"/>
                <w:highlight w:val="none"/>
              </w:rPr>
            </w:pPr>
            <w:r>
              <w:rPr>
                <w:color w:val="auto"/>
                <w:sz w:val="24"/>
                <w:highlight w:val="none"/>
              </w:rPr>
              <w:t xml:space="preserve"> </w:t>
            </w:r>
          </w:p>
        </w:tc>
        <w:tc>
          <w:tcPr>
            <w:tcW w:w="869" w:type="dxa"/>
          </w:tcPr>
          <w:p>
            <w:pPr>
              <w:pStyle w:val="54"/>
              <w:spacing w:before="119"/>
              <w:ind w:left="124"/>
              <w:jc w:val="center"/>
              <w:rPr>
                <w:color w:val="auto"/>
                <w:sz w:val="24"/>
                <w:highlight w:val="none"/>
              </w:rPr>
            </w:pPr>
            <w:r>
              <w:rPr>
                <w:color w:val="auto"/>
                <w:sz w:val="24"/>
                <w:highlight w:val="non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7" w:hRule="atLeast"/>
        </w:trPr>
        <w:tc>
          <w:tcPr>
            <w:tcW w:w="881" w:type="dxa"/>
          </w:tcPr>
          <w:p>
            <w:pPr>
              <w:pStyle w:val="54"/>
              <w:spacing w:before="122"/>
              <w:ind w:left="237" w:right="110"/>
              <w:jc w:val="center"/>
              <w:rPr>
                <w:color w:val="auto"/>
                <w:sz w:val="24"/>
                <w:highlight w:val="none"/>
              </w:rPr>
            </w:pPr>
            <w:r>
              <w:rPr>
                <w:color w:val="auto"/>
                <w:w w:val="200"/>
                <w:sz w:val="24"/>
                <w:highlight w:val="none"/>
              </w:rPr>
              <w:t>„„</w:t>
            </w:r>
            <w:r>
              <w:rPr>
                <w:color w:val="auto"/>
                <w:sz w:val="24"/>
                <w:highlight w:val="none"/>
              </w:rPr>
              <w:t xml:space="preserve"> </w:t>
            </w:r>
          </w:p>
        </w:tc>
        <w:tc>
          <w:tcPr>
            <w:tcW w:w="2655" w:type="dxa"/>
          </w:tcPr>
          <w:p>
            <w:pPr>
              <w:pStyle w:val="54"/>
              <w:spacing w:before="122"/>
              <w:ind w:left="129"/>
              <w:jc w:val="center"/>
              <w:rPr>
                <w:color w:val="auto"/>
                <w:sz w:val="24"/>
                <w:highlight w:val="none"/>
              </w:rPr>
            </w:pPr>
            <w:r>
              <w:rPr>
                <w:color w:val="auto"/>
                <w:sz w:val="24"/>
                <w:highlight w:val="none"/>
              </w:rPr>
              <w:t xml:space="preserve"> </w:t>
            </w:r>
          </w:p>
        </w:tc>
        <w:tc>
          <w:tcPr>
            <w:tcW w:w="1455" w:type="dxa"/>
          </w:tcPr>
          <w:p>
            <w:pPr>
              <w:pStyle w:val="54"/>
              <w:spacing w:before="122"/>
              <w:ind w:left="129"/>
              <w:jc w:val="center"/>
              <w:rPr>
                <w:color w:val="auto"/>
                <w:sz w:val="24"/>
                <w:highlight w:val="none"/>
              </w:rPr>
            </w:pPr>
            <w:r>
              <w:rPr>
                <w:color w:val="auto"/>
                <w:sz w:val="24"/>
                <w:highlight w:val="none"/>
              </w:rPr>
              <w:t xml:space="preserve"> </w:t>
            </w:r>
          </w:p>
        </w:tc>
        <w:tc>
          <w:tcPr>
            <w:tcW w:w="4290" w:type="dxa"/>
          </w:tcPr>
          <w:p>
            <w:pPr>
              <w:pStyle w:val="54"/>
              <w:spacing w:before="122"/>
              <w:ind w:left="127"/>
              <w:jc w:val="center"/>
              <w:rPr>
                <w:color w:val="auto"/>
                <w:sz w:val="24"/>
                <w:highlight w:val="none"/>
              </w:rPr>
            </w:pPr>
            <w:r>
              <w:rPr>
                <w:color w:val="auto"/>
                <w:sz w:val="24"/>
                <w:highlight w:val="none"/>
              </w:rPr>
              <w:t xml:space="preserve"> </w:t>
            </w:r>
          </w:p>
        </w:tc>
        <w:tc>
          <w:tcPr>
            <w:tcW w:w="869" w:type="dxa"/>
          </w:tcPr>
          <w:p>
            <w:pPr>
              <w:pStyle w:val="54"/>
              <w:spacing w:before="122"/>
              <w:ind w:left="124"/>
              <w:jc w:val="center"/>
              <w:rPr>
                <w:color w:val="auto"/>
                <w:sz w:val="24"/>
                <w:highlight w:val="none"/>
              </w:rPr>
            </w:pPr>
            <w:r>
              <w:rPr>
                <w:color w:val="auto"/>
                <w:sz w:val="24"/>
                <w:highlight w:val="none"/>
              </w:rPr>
              <w:t xml:space="preserve"> </w:t>
            </w:r>
          </w:p>
        </w:tc>
      </w:tr>
    </w:tbl>
    <w:p>
      <w:pPr>
        <w:ind w:left="658"/>
        <w:rPr>
          <w:color w:val="auto"/>
          <w:sz w:val="24"/>
          <w:highlight w:val="none"/>
        </w:rPr>
      </w:pPr>
      <w:r>
        <w:rPr>
          <w:color w:val="auto"/>
          <w:sz w:val="24"/>
          <w:highlight w:val="none"/>
        </w:rPr>
        <w:t xml:space="preserve">注： </w:t>
      </w:r>
    </w:p>
    <w:p>
      <w:pPr>
        <w:pStyle w:val="53"/>
        <w:numPr>
          <w:ilvl w:val="0"/>
          <w:numId w:val="11"/>
        </w:numPr>
        <w:tabs>
          <w:tab w:val="left" w:pos="1380"/>
        </w:tabs>
        <w:spacing w:before="161" w:line="364" w:lineRule="auto"/>
        <w:ind w:right="598" w:firstLine="480"/>
        <w:jc w:val="both"/>
        <w:rPr>
          <w:color w:val="auto"/>
          <w:sz w:val="24"/>
          <w:highlight w:val="none"/>
        </w:rPr>
      </w:pPr>
      <w:r>
        <w:rPr>
          <w:color w:val="auto"/>
          <w:spacing w:val="-7"/>
          <w:sz w:val="24"/>
          <w:highlight w:val="none"/>
        </w:rPr>
        <w:t>直接控股股东：是指其出资额占有限责任公司资本总额百分之五十以上或者其持</w:t>
      </w:r>
      <w:r>
        <w:rPr>
          <w:color w:val="auto"/>
          <w:spacing w:val="-9"/>
          <w:sz w:val="24"/>
          <w:highlight w:val="none"/>
        </w:rPr>
        <w:t>有的股份占股份有限公司股份总额百分之五十以上的股东；出资额或者持有股份的比例</w:t>
      </w:r>
      <w:r>
        <w:rPr>
          <w:color w:val="auto"/>
          <w:spacing w:val="-10"/>
          <w:sz w:val="24"/>
          <w:highlight w:val="none"/>
        </w:rPr>
        <w:t>虽然不足百分之五十，但依其出资额或者持有的股份所享有的表决权已足以对股东会、</w:t>
      </w:r>
      <w:r>
        <w:rPr>
          <w:color w:val="auto"/>
          <w:sz w:val="24"/>
          <w:highlight w:val="none"/>
        </w:rPr>
        <w:t xml:space="preserve">股东大会的决议产生重大影响的股东。 </w:t>
      </w:r>
    </w:p>
    <w:p>
      <w:pPr>
        <w:pStyle w:val="53"/>
        <w:numPr>
          <w:ilvl w:val="0"/>
          <w:numId w:val="11"/>
        </w:numPr>
        <w:tabs>
          <w:tab w:val="left" w:pos="1380"/>
        </w:tabs>
        <w:spacing w:line="362" w:lineRule="auto"/>
        <w:ind w:right="655" w:firstLine="480"/>
        <w:rPr>
          <w:color w:val="auto"/>
          <w:sz w:val="24"/>
          <w:highlight w:val="none"/>
        </w:rPr>
      </w:pPr>
      <w:r>
        <w:rPr>
          <w:color w:val="auto"/>
          <w:spacing w:val="-4"/>
          <w:sz w:val="24"/>
          <w:highlight w:val="none"/>
        </w:rPr>
        <w:t>本表所指的控股关系仅限于直接控股关系，不包括间接的控股关系。公司实际控</w:t>
      </w:r>
      <w:r>
        <w:rPr>
          <w:color w:val="auto"/>
          <w:sz w:val="24"/>
          <w:highlight w:val="none"/>
        </w:rPr>
        <w:t xml:space="preserve">制人与公司之间的关系不属于本表所指的直接控股关系。 </w:t>
      </w:r>
    </w:p>
    <w:p>
      <w:pPr>
        <w:pStyle w:val="53"/>
        <w:numPr>
          <w:ilvl w:val="0"/>
          <w:numId w:val="11"/>
        </w:numPr>
        <w:tabs>
          <w:tab w:val="left" w:pos="1380"/>
        </w:tabs>
        <w:spacing w:before="2"/>
        <w:ind w:left="1379" w:hanging="242"/>
        <w:rPr>
          <w:color w:val="auto"/>
          <w:sz w:val="24"/>
          <w:highlight w:val="none"/>
        </w:rPr>
      </w:pPr>
      <w:r>
        <w:rPr>
          <w:color w:val="auto"/>
          <w:sz w:val="24"/>
          <w:highlight w:val="none"/>
        </w:rPr>
        <w:t xml:space="preserve">供应商不存在直接控股股东的，则填“无”。 </w:t>
      </w:r>
    </w:p>
    <w:p>
      <w:pPr>
        <w:pStyle w:val="2"/>
        <w:rPr>
          <w:color w:val="auto"/>
          <w:sz w:val="20"/>
          <w:highlight w:val="none"/>
        </w:rPr>
      </w:pPr>
    </w:p>
    <w:p>
      <w:pPr>
        <w:pStyle w:val="2"/>
        <w:rPr>
          <w:color w:val="auto"/>
          <w:sz w:val="20"/>
          <w:highlight w:val="none"/>
        </w:rPr>
      </w:pPr>
    </w:p>
    <w:p>
      <w:pPr>
        <w:pStyle w:val="2"/>
        <w:rPr>
          <w:color w:val="auto"/>
          <w:sz w:val="20"/>
          <w:highlight w:val="none"/>
        </w:rPr>
      </w:pPr>
    </w:p>
    <w:p>
      <w:pPr>
        <w:pStyle w:val="2"/>
        <w:rPr>
          <w:color w:val="auto"/>
          <w:sz w:val="20"/>
          <w:highlight w:val="none"/>
        </w:rPr>
      </w:pPr>
    </w:p>
    <w:p>
      <w:pPr>
        <w:pStyle w:val="2"/>
        <w:rPr>
          <w:color w:val="auto"/>
          <w:sz w:val="20"/>
          <w:highlight w:val="none"/>
        </w:rPr>
      </w:pPr>
    </w:p>
    <w:p>
      <w:pPr>
        <w:pStyle w:val="2"/>
        <w:rPr>
          <w:color w:val="auto"/>
          <w:sz w:val="26"/>
          <w:highlight w:val="none"/>
        </w:rPr>
      </w:pPr>
    </w:p>
    <w:p>
      <w:pPr>
        <w:spacing w:before="66"/>
        <w:ind w:left="2578"/>
        <w:rPr>
          <w:color w:val="auto"/>
          <w:sz w:val="24"/>
          <w:highlight w:val="none"/>
        </w:rPr>
      </w:pPr>
      <w:r>
        <w:rPr>
          <w:color w:val="auto"/>
          <w:sz w:val="24"/>
          <w:highlight w:val="none"/>
        </w:rPr>
        <w:t>法定代表人或者委托代理人（签字/电子签名）：</w:t>
      </w:r>
      <w:r>
        <w:rPr>
          <w:color w:val="auto"/>
          <w:sz w:val="24"/>
          <w:highlight w:val="none"/>
          <w:u w:val="single"/>
        </w:rPr>
        <w:t xml:space="preserve">             </w:t>
      </w:r>
      <w:r>
        <w:rPr>
          <w:color w:val="auto"/>
          <w:sz w:val="24"/>
          <w:highlight w:val="none"/>
        </w:rPr>
        <w:t xml:space="preserve">    </w:t>
      </w:r>
    </w:p>
    <w:p>
      <w:pPr>
        <w:pStyle w:val="2"/>
        <w:spacing w:before="9"/>
        <w:rPr>
          <w:color w:val="auto"/>
          <w:sz w:val="16"/>
          <w:highlight w:val="none"/>
        </w:rPr>
      </w:pPr>
    </w:p>
    <w:p>
      <w:pPr>
        <w:spacing w:before="67"/>
        <w:ind w:left="3659"/>
        <w:rPr>
          <w:color w:val="auto"/>
          <w:sz w:val="24"/>
          <w:highlight w:val="none"/>
        </w:rPr>
      </w:pPr>
      <w:r>
        <w:rPr>
          <w:color w:val="auto"/>
          <w:sz w:val="24"/>
          <w:highlight w:val="none"/>
        </w:rPr>
        <w:t>供应商（电子签章）：</w:t>
      </w:r>
      <w:r>
        <w:rPr>
          <w:color w:val="auto"/>
          <w:sz w:val="24"/>
          <w:highlight w:val="none"/>
          <w:u w:val="single"/>
        </w:rPr>
        <w:t xml:space="preserve">                           </w:t>
      </w:r>
      <w:r>
        <w:rPr>
          <w:color w:val="auto"/>
          <w:sz w:val="24"/>
          <w:highlight w:val="none"/>
        </w:rPr>
        <w:t xml:space="preserve">    </w:t>
      </w:r>
    </w:p>
    <w:p>
      <w:pPr>
        <w:pStyle w:val="2"/>
        <w:spacing w:before="10"/>
        <w:rPr>
          <w:color w:val="auto"/>
          <w:sz w:val="13"/>
          <w:highlight w:val="none"/>
        </w:rPr>
      </w:pPr>
    </w:p>
    <w:p>
      <w:pPr>
        <w:spacing w:before="101"/>
        <w:ind w:left="5939"/>
        <w:rPr>
          <w:color w:val="auto"/>
          <w:sz w:val="28"/>
          <w:highlight w:val="none"/>
        </w:rPr>
      </w:pPr>
      <w:r>
        <w:rPr>
          <w:color w:val="auto"/>
          <w:sz w:val="24"/>
          <w:highlight w:val="none"/>
        </w:rPr>
        <w:t>年 月 日</w:t>
      </w:r>
      <w:r>
        <w:rPr>
          <w:color w:val="auto"/>
          <w:sz w:val="28"/>
          <w:highlight w:val="none"/>
        </w:rPr>
        <w:t xml:space="preserve"> </w:t>
      </w:r>
    </w:p>
    <w:p>
      <w:pPr>
        <w:rPr>
          <w:color w:val="auto"/>
          <w:sz w:val="28"/>
          <w:highlight w:val="none"/>
        </w:rPr>
        <w:sectPr>
          <w:headerReference r:id="rId13" w:type="default"/>
          <w:footerReference r:id="rId14" w:type="default"/>
          <w:pgSz w:w="11900" w:h="16850"/>
          <w:pgMar w:top="1400" w:right="760" w:bottom="1320" w:left="760" w:header="1158" w:footer="1136" w:gutter="0"/>
          <w:cols w:space="720" w:num="1"/>
        </w:sectPr>
      </w:pPr>
    </w:p>
    <w:p>
      <w:pPr>
        <w:spacing w:before="1" w:line="330" w:lineRule="exact"/>
        <w:ind w:left="143"/>
        <w:jc w:val="center"/>
        <w:rPr>
          <w:b/>
          <w:color w:val="auto"/>
          <w:sz w:val="28"/>
          <w:highlight w:val="none"/>
        </w:rPr>
      </w:pPr>
      <w:r>
        <w:rPr>
          <w:b/>
          <w:color w:val="auto"/>
          <w:w w:val="99"/>
          <w:sz w:val="28"/>
          <w:highlight w:val="none"/>
        </w:rPr>
        <w:t xml:space="preserve"> </w:t>
      </w:r>
    </w:p>
    <w:p>
      <w:pPr>
        <w:pStyle w:val="2"/>
        <w:jc w:val="center"/>
        <w:rPr>
          <w:color w:val="auto"/>
          <w:sz w:val="32"/>
          <w:szCs w:val="32"/>
          <w:highlight w:val="none"/>
        </w:rPr>
      </w:pPr>
      <w:r>
        <w:rPr>
          <w:color w:val="auto"/>
          <w:sz w:val="32"/>
          <w:szCs w:val="32"/>
          <w:highlight w:val="none"/>
        </w:rPr>
        <w:t>供应商直接管理关系信息表</w:t>
      </w:r>
    </w:p>
    <w:p>
      <w:pPr>
        <w:pStyle w:val="9"/>
        <w:spacing w:line="294" w:lineRule="exact"/>
        <w:ind w:left="122"/>
        <w:jc w:val="center"/>
        <w:outlineLvl w:val="9"/>
        <w:rPr>
          <w:color w:val="auto"/>
          <w:highlight w:val="none"/>
        </w:rPr>
      </w:pPr>
      <w:r>
        <w:rPr>
          <w:color w:val="auto"/>
          <w:w w:val="99"/>
          <w:highlight w:val="none"/>
        </w:rPr>
        <w:t xml:space="preserve"> </w:t>
      </w:r>
    </w:p>
    <w:p>
      <w:pPr>
        <w:pStyle w:val="2"/>
        <w:spacing w:before="6" w:after="1"/>
        <w:rPr>
          <w:b/>
          <w:color w:val="auto"/>
          <w:sz w:val="12"/>
          <w:highlight w:val="none"/>
        </w:rPr>
      </w:pPr>
    </w:p>
    <w:tbl>
      <w:tblPr>
        <w:tblStyle w:val="52"/>
        <w:tblW w:w="0" w:type="auto"/>
        <w:tblInd w:w="36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09"/>
        <w:gridCol w:w="3601"/>
        <w:gridCol w:w="3556"/>
        <w:gridCol w:w="169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705" w:hRule="atLeast"/>
        </w:trPr>
        <w:tc>
          <w:tcPr>
            <w:tcW w:w="809" w:type="dxa"/>
          </w:tcPr>
          <w:p>
            <w:pPr>
              <w:pStyle w:val="54"/>
              <w:spacing w:before="120"/>
              <w:ind w:left="203" w:right="74"/>
              <w:jc w:val="center"/>
              <w:rPr>
                <w:b/>
                <w:color w:val="auto"/>
                <w:sz w:val="24"/>
                <w:highlight w:val="none"/>
              </w:rPr>
            </w:pPr>
            <w:r>
              <w:rPr>
                <w:b/>
                <w:color w:val="auto"/>
                <w:sz w:val="24"/>
                <w:highlight w:val="none"/>
              </w:rPr>
              <w:t>序号</w:t>
            </w:r>
            <w:r>
              <w:rPr>
                <w:b/>
                <w:color w:val="auto"/>
                <w:w w:val="99"/>
                <w:sz w:val="24"/>
                <w:highlight w:val="none"/>
              </w:rPr>
              <w:t xml:space="preserve"> </w:t>
            </w:r>
          </w:p>
        </w:tc>
        <w:tc>
          <w:tcPr>
            <w:tcW w:w="3601" w:type="dxa"/>
          </w:tcPr>
          <w:p>
            <w:pPr>
              <w:pStyle w:val="54"/>
              <w:spacing w:before="120"/>
              <w:ind w:left="634" w:right="506"/>
              <w:jc w:val="center"/>
              <w:rPr>
                <w:b/>
                <w:color w:val="auto"/>
                <w:sz w:val="24"/>
                <w:highlight w:val="none"/>
              </w:rPr>
            </w:pPr>
            <w:r>
              <w:rPr>
                <w:b/>
                <w:color w:val="auto"/>
                <w:sz w:val="24"/>
                <w:highlight w:val="none"/>
              </w:rPr>
              <w:t>直接管理关系单位名称</w:t>
            </w:r>
            <w:r>
              <w:rPr>
                <w:b/>
                <w:color w:val="auto"/>
                <w:w w:val="99"/>
                <w:sz w:val="24"/>
                <w:highlight w:val="none"/>
              </w:rPr>
              <w:t xml:space="preserve"> </w:t>
            </w:r>
          </w:p>
        </w:tc>
        <w:tc>
          <w:tcPr>
            <w:tcW w:w="3556" w:type="dxa"/>
          </w:tcPr>
          <w:p>
            <w:pPr>
              <w:pStyle w:val="54"/>
              <w:spacing w:before="120"/>
              <w:ind w:left="853" w:right="725"/>
              <w:jc w:val="center"/>
              <w:rPr>
                <w:b/>
                <w:color w:val="auto"/>
                <w:sz w:val="24"/>
                <w:highlight w:val="none"/>
              </w:rPr>
            </w:pPr>
            <w:r>
              <w:rPr>
                <w:b/>
                <w:color w:val="auto"/>
                <w:sz w:val="24"/>
                <w:highlight w:val="none"/>
              </w:rPr>
              <w:t>统一社会信用代码</w:t>
            </w:r>
            <w:r>
              <w:rPr>
                <w:b/>
                <w:color w:val="auto"/>
                <w:w w:val="99"/>
                <w:sz w:val="24"/>
                <w:highlight w:val="none"/>
              </w:rPr>
              <w:t xml:space="preserve"> </w:t>
            </w:r>
          </w:p>
        </w:tc>
        <w:tc>
          <w:tcPr>
            <w:tcW w:w="1691" w:type="dxa"/>
          </w:tcPr>
          <w:p>
            <w:pPr>
              <w:pStyle w:val="54"/>
              <w:spacing w:before="120"/>
              <w:ind w:left="641" w:right="518"/>
              <w:jc w:val="center"/>
              <w:rPr>
                <w:b/>
                <w:color w:val="auto"/>
                <w:sz w:val="24"/>
                <w:highlight w:val="none"/>
              </w:rPr>
            </w:pPr>
            <w:r>
              <w:rPr>
                <w:b/>
                <w:color w:val="auto"/>
                <w:sz w:val="24"/>
                <w:highlight w:val="none"/>
              </w:rPr>
              <w:t>备注</w:t>
            </w:r>
            <w:r>
              <w:rPr>
                <w:b/>
                <w:color w:val="auto"/>
                <w:w w:val="99"/>
                <w:sz w:val="24"/>
                <w:highlight w:val="non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7" w:hRule="atLeast"/>
        </w:trPr>
        <w:tc>
          <w:tcPr>
            <w:tcW w:w="809" w:type="dxa"/>
          </w:tcPr>
          <w:p>
            <w:pPr>
              <w:pStyle w:val="54"/>
              <w:spacing w:before="120"/>
              <w:ind w:left="201" w:right="74"/>
              <w:jc w:val="center"/>
              <w:rPr>
                <w:color w:val="auto"/>
                <w:sz w:val="24"/>
                <w:highlight w:val="none"/>
              </w:rPr>
            </w:pPr>
            <w:r>
              <w:rPr>
                <w:color w:val="auto"/>
                <w:sz w:val="24"/>
                <w:highlight w:val="none"/>
              </w:rPr>
              <w:t xml:space="preserve">1 </w:t>
            </w:r>
          </w:p>
        </w:tc>
        <w:tc>
          <w:tcPr>
            <w:tcW w:w="3601" w:type="dxa"/>
          </w:tcPr>
          <w:p>
            <w:pPr>
              <w:pStyle w:val="54"/>
              <w:spacing w:before="120"/>
              <w:ind w:left="129"/>
              <w:jc w:val="center"/>
              <w:rPr>
                <w:color w:val="auto"/>
                <w:sz w:val="24"/>
                <w:highlight w:val="none"/>
              </w:rPr>
            </w:pPr>
            <w:r>
              <w:rPr>
                <w:color w:val="auto"/>
                <w:sz w:val="24"/>
                <w:highlight w:val="none"/>
              </w:rPr>
              <w:t xml:space="preserve"> </w:t>
            </w:r>
          </w:p>
        </w:tc>
        <w:tc>
          <w:tcPr>
            <w:tcW w:w="3556" w:type="dxa"/>
          </w:tcPr>
          <w:p>
            <w:pPr>
              <w:pStyle w:val="54"/>
              <w:spacing w:before="120"/>
              <w:ind w:left="125"/>
              <w:jc w:val="center"/>
              <w:rPr>
                <w:color w:val="auto"/>
                <w:sz w:val="24"/>
                <w:highlight w:val="none"/>
              </w:rPr>
            </w:pPr>
            <w:r>
              <w:rPr>
                <w:color w:val="auto"/>
                <w:sz w:val="24"/>
                <w:highlight w:val="none"/>
              </w:rPr>
              <w:t xml:space="preserve"> </w:t>
            </w:r>
          </w:p>
        </w:tc>
        <w:tc>
          <w:tcPr>
            <w:tcW w:w="1691" w:type="dxa"/>
          </w:tcPr>
          <w:p>
            <w:pPr>
              <w:pStyle w:val="54"/>
              <w:spacing w:before="120"/>
              <w:ind w:left="125"/>
              <w:jc w:val="center"/>
              <w:rPr>
                <w:color w:val="auto"/>
                <w:sz w:val="24"/>
                <w:highlight w:val="none"/>
              </w:rPr>
            </w:pPr>
            <w:r>
              <w:rPr>
                <w:color w:val="auto"/>
                <w:sz w:val="24"/>
                <w:highlight w:val="non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7" w:hRule="atLeast"/>
        </w:trPr>
        <w:tc>
          <w:tcPr>
            <w:tcW w:w="809" w:type="dxa"/>
          </w:tcPr>
          <w:p>
            <w:pPr>
              <w:pStyle w:val="54"/>
              <w:spacing w:before="120"/>
              <w:ind w:left="201" w:right="74"/>
              <w:jc w:val="center"/>
              <w:rPr>
                <w:color w:val="auto"/>
                <w:sz w:val="24"/>
                <w:highlight w:val="none"/>
              </w:rPr>
            </w:pPr>
            <w:r>
              <w:rPr>
                <w:color w:val="auto"/>
                <w:sz w:val="24"/>
                <w:highlight w:val="none"/>
              </w:rPr>
              <w:t xml:space="preserve">2 </w:t>
            </w:r>
          </w:p>
        </w:tc>
        <w:tc>
          <w:tcPr>
            <w:tcW w:w="3601" w:type="dxa"/>
          </w:tcPr>
          <w:p>
            <w:pPr>
              <w:pStyle w:val="54"/>
              <w:spacing w:before="120"/>
              <w:ind w:left="129"/>
              <w:jc w:val="center"/>
              <w:rPr>
                <w:color w:val="auto"/>
                <w:sz w:val="24"/>
                <w:highlight w:val="none"/>
              </w:rPr>
            </w:pPr>
            <w:r>
              <w:rPr>
                <w:color w:val="auto"/>
                <w:sz w:val="24"/>
                <w:highlight w:val="none"/>
              </w:rPr>
              <w:t xml:space="preserve"> </w:t>
            </w:r>
          </w:p>
        </w:tc>
        <w:tc>
          <w:tcPr>
            <w:tcW w:w="3556" w:type="dxa"/>
          </w:tcPr>
          <w:p>
            <w:pPr>
              <w:pStyle w:val="54"/>
              <w:spacing w:before="120"/>
              <w:ind w:left="125"/>
              <w:jc w:val="center"/>
              <w:rPr>
                <w:color w:val="auto"/>
                <w:sz w:val="24"/>
                <w:highlight w:val="none"/>
              </w:rPr>
            </w:pPr>
            <w:r>
              <w:rPr>
                <w:color w:val="auto"/>
                <w:sz w:val="24"/>
                <w:highlight w:val="none"/>
              </w:rPr>
              <w:t xml:space="preserve"> </w:t>
            </w:r>
          </w:p>
        </w:tc>
        <w:tc>
          <w:tcPr>
            <w:tcW w:w="1691" w:type="dxa"/>
          </w:tcPr>
          <w:p>
            <w:pPr>
              <w:pStyle w:val="54"/>
              <w:spacing w:before="120"/>
              <w:ind w:left="125"/>
              <w:jc w:val="center"/>
              <w:rPr>
                <w:color w:val="auto"/>
                <w:sz w:val="24"/>
                <w:highlight w:val="none"/>
              </w:rPr>
            </w:pPr>
            <w:r>
              <w:rPr>
                <w:color w:val="auto"/>
                <w:sz w:val="24"/>
                <w:highlight w:val="non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5" w:hRule="atLeast"/>
        </w:trPr>
        <w:tc>
          <w:tcPr>
            <w:tcW w:w="809" w:type="dxa"/>
          </w:tcPr>
          <w:p>
            <w:pPr>
              <w:pStyle w:val="54"/>
              <w:spacing w:before="120"/>
              <w:ind w:left="201" w:right="74"/>
              <w:jc w:val="center"/>
              <w:rPr>
                <w:color w:val="auto"/>
                <w:sz w:val="24"/>
                <w:highlight w:val="none"/>
              </w:rPr>
            </w:pPr>
            <w:r>
              <w:rPr>
                <w:color w:val="auto"/>
                <w:sz w:val="24"/>
                <w:highlight w:val="none"/>
              </w:rPr>
              <w:t xml:space="preserve">3 </w:t>
            </w:r>
          </w:p>
        </w:tc>
        <w:tc>
          <w:tcPr>
            <w:tcW w:w="3601" w:type="dxa"/>
          </w:tcPr>
          <w:p>
            <w:pPr>
              <w:pStyle w:val="54"/>
              <w:spacing w:before="120"/>
              <w:ind w:left="129"/>
              <w:jc w:val="center"/>
              <w:rPr>
                <w:color w:val="auto"/>
                <w:sz w:val="24"/>
                <w:highlight w:val="none"/>
              </w:rPr>
            </w:pPr>
            <w:r>
              <w:rPr>
                <w:color w:val="auto"/>
                <w:sz w:val="24"/>
                <w:highlight w:val="none"/>
              </w:rPr>
              <w:t xml:space="preserve"> </w:t>
            </w:r>
          </w:p>
        </w:tc>
        <w:tc>
          <w:tcPr>
            <w:tcW w:w="3556" w:type="dxa"/>
          </w:tcPr>
          <w:p>
            <w:pPr>
              <w:pStyle w:val="54"/>
              <w:spacing w:before="120"/>
              <w:ind w:left="125"/>
              <w:jc w:val="center"/>
              <w:rPr>
                <w:color w:val="auto"/>
                <w:sz w:val="24"/>
                <w:highlight w:val="none"/>
              </w:rPr>
            </w:pPr>
            <w:r>
              <w:rPr>
                <w:color w:val="auto"/>
                <w:sz w:val="24"/>
                <w:highlight w:val="none"/>
              </w:rPr>
              <w:t xml:space="preserve"> </w:t>
            </w:r>
          </w:p>
        </w:tc>
        <w:tc>
          <w:tcPr>
            <w:tcW w:w="1691" w:type="dxa"/>
          </w:tcPr>
          <w:p>
            <w:pPr>
              <w:pStyle w:val="54"/>
              <w:spacing w:before="120"/>
              <w:ind w:left="125"/>
              <w:jc w:val="center"/>
              <w:rPr>
                <w:color w:val="auto"/>
                <w:sz w:val="24"/>
                <w:highlight w:val="none"/>
              </w:rPr>
            </w:pPr>
            <w:r>
              <w:rPr>
                <w:color w:val="auto"/>
                <w:sz w:val="24"/>
                <w:highlight w:val="non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7" w:hRule="atLeast"/>
        </w:trPr>
        <w:tc>
          <w:tcPr>
            <w:tcW w:w="809" w:type="dxa"/>
          </w:tcPr>
          <w:p>
            <w:pPr>
              <w:pStyle w:val="54"/>
              <w:spacing w:before="120"/>
              <w:ind w:left="201" w:right="74"/>
              <w:jc w:val="center"/>
              <w:rPr>
                <w:color w:val="auto"/>
                <w:sz w:val="24"/>
                <w:highlight w:val="none"/>
              </w:rPr>
            </w:pPr>
            <w:r>
              <w:rPr>
                <w:color w:val="auto"/>
                <w:w w:val="200"/>
                <w:sz w:val="24"/>
                <w:highlight w:val="none"/>
              </w:rPr>
              <w:t>„„</w:t>
            </w:r>
            <w:r>
              <w:rPr>
                <w:color w:val="auto"/>
                <w:sz w:val="24"/>
                <w:highlight w:val="none"/>
              </w:rPr>
              <w:t xml:space="preserve"> </w:t>
            </w:r>
          </w:p>
        </w:tc>
        <w:tc>
          <w:tcPr>
            <w:tcW w:w="3601" w:type="dxa"/>
          </w:tcPr>
          <w:p>
            <w:pPr>
              <w:pStyle w:val="54"/>
              <w:spacing w:before="120"/>
              <w:ind w:left="129"/>
              <w:jc w:val="center"/>
              <w:rPr>
                <w:color w:val="auto"/>
                <w:sz w:val="24"/>
                <w:highlight w:val="none"/>
              </w:rPr>
            </w:pPr>
            <w:r>
              <w:rPr>
                <w:color w:val="auto"/>
                <w:sz w:val="24"/>
                <w:highlight w:val="none"/>
              </w:rPr>
              <w:t xml:space="preserve"> </w:t>
            </w:r>
          </w:p>
        </w:tc>
        <w:tc>
          <w:tcPr>
            <w:tcW w:w="3556" w:type="dxa"/>
          </w:tcPr>
          <w:p>
            <w:pPr>
              <w:pStyle w:val="54"/>
              <w:spacing w:before="120"/>
              <w:ind w:left="125"/>
              <w:jc w:val="center"/>
              <w:rPr>
                <w:color w:val="auto"/>
                <w:sz w:val="24"/>
                <w:highlight w:val="none"/>
              </w:rPr>
            </w:pPr>
            <w:r>
              <w:rPr>
                <w:color w:val="auto"/>
                <w:sz w:val="24"/>
                <w:highlight w:val="none"/>
              </w:rPr>
              <w:t xml:space="preserve"> </w:t>
            </w:r>
          </w:p>
        </w:tc>
        <w:tc>
          <w:tcPr>
            <w:tcW w:w="1691" w:type="dxa"/>
          </w:tcPr>
          <w:p>
            <w:pPr>
              <w:pStyle w:val="54"/>
              <w:spacing w:before="120"/>
              <w:ind w:left="125"/>
              <w:jc w:val="center"/>
              <w:rPr>
                <w:color w:val="auto"/>
                <w:sz w:val="24"/>
                <w:highlight w:val="none"/>
              </w:rPr>
            </w:pPr>
            <w:r>
              <w:rPr>
                <w:color w:val="auto"/>
                <w:sz w:val="24"/>
                <w:highlight w:val="none"/>
              </w:rPr>
              <w:t xml:space="preserve"> </w:t>
            </w:r>
          </w:p>
        </w:tc>
      </w:tr>
    </w:tbl>
    <w:p>
      <w:pPr>
        <w:ind w:left="658"/>
        <w:rPr>
          <w:color w:val="auto"/>
          <w:sz w:val="24"/>
          <w:highlight w:val="none"/>
        </w:rPr>
      </w:pPr>
      <w:r>
        <w:rPr>
          <w:color w:val="auto"/>
          <w:sz w:val="24"/>
          <w:highlight w:val="none"/>
        </w:rPr>
        <w:t xml:space="preserve">注： </w:t>
      </w:r>
    </w:p>
    <w:p>
      <w:pPr>
        <w:pStyle w:val="53"/>
        <w:numPr>
          <w:ilvl w:val="0"/>
          <w:numId w:val="12"/>
        </w:numPr>
        <w:tabs>
          <w:tab w:val="left" w:pos="1380"/>
        </w:tabs>
        <w:spacing w:before="160" w:line="362" w:lineRule="auto"/>
        <w:ind w:right="597" w:firstLine="480"/>
        <w:rPr>
          <w:color w:val="auto"/>
          <w:sz w:val="24"/>
          <w:highlight w:val="none"/>
        </w:rPr>
      </w:pPr>
      <w:r>
        <w:rPr>
          <w:color w:val="auto"/>
          <w:spacing w:val="-1"/>
          <w:sz w:val="24"/>
          <w:highlight w:val="none"/>
        </w:rPr>
        <w:t xml:space="preserve">管理关系：是指不具有出资持股关系的其他单位之间存在的管理与被管理关系， </w:t>
      </w:r>
      <w:r>
        <w:rPr>
          <w:color w:val="auto"/>
          <w:sz w:val="24"/>
          <w:highlight w:val="none"/>
        </w:rPr>
        <w:t xml:space="preserve">如一些上下级关系的事业单位和团体组织。 </w:t>
      </w:r>
    </w:p>
    <w:p>
      <w:pPr>
        <w:pStyle w:val="53"/>
        <w:numPr>
          <w:ilvl w:val="0"/>
          <w:numId w:val="12"/>
        </w:numPr>
        <w:tabs>
          <w:tab w:val="left" w:pos="1380"/>
        </w:tabs>
        <w:spacing w:before="5"/>
        <w:ind w:left="1379" w:hanging="242"/>
        <w:rPr>
          <w:color w:val="auto"/>
          <w:sz w:val="24"/>
          <w:highlight w:val="none"/>
        </w:rPr>
      </w:pPr>
      <w:r>
        <w:rPr>
          <w:color w:val="auto"/>
          <w:spacing w:val="-12"/>
          <w:sz w:val="24"/>
          <w:highlight w:val="none"/>
        </w:rPr>
        <w:t>本表所指的管理关系仅限于直接管理关系，不包括间接的管理关系。</w:t>
      </w:r>
      <w:r>
        <w:rPr>
          <w:color w:val="auto"/>
          <w:sz w:val="24"/>
          <w:highlight w:val="none"/>
        </w:rPr>
        <w:t xml:space="preserve"> </w:t>
      </w:r>
    </w:p>
    <w:p>
      <w:pPr>
        <w:pStyle w:val="53"/>
        <w:numPr>
          <w:ilvl w:val="0"/>
          <w:numId w:val="12"/>
        </w:numPr>
        <w:tabs>
          <w:tab w:val="left" w:pos="1380"/>
        </w:tabs>
        <w:spacing w:before="159"/>
        <w:ind w:left="1379" w:hanging="242"/>
        <w:rPr>
          <w:color w:val="auto"/>
          <w:sz w:val="24"/>
          <w:highlight w:val="none"/>
        </w:rPr>
      </w:pPr>
      <w:r>
        <w:rPr>
          <w:color w:val="auto"/>
          <w:sz w:val="24"/>
          <w:highlight w:val="none"/>
        </w:rPr>
        <w:t xml:space="preserve">供应商不存在直接管理关系的，则填“无”。 </w:t>
      </w:r>
    </w:p>
    <w:p>
      <w:pPr>
        <w:pStyle w:val="2"/>
        <w:rPr>
          <w:color w:val="auto"/>
          <w:sz w:val="20"/>
          <w:highlight w:val="none"/>
        </w:rPr>
      </w:pPr>
    </w:p>
    <w:p>
      <w:pPr>
        <w:pStyle w:val="2"/>
        <w:rPr>
          <w:color w:val="auto"/>
          <w:sz w:val="20"/>
          <w:highlight w:val="none"/>
        </w:rPr>
      </w:pPr>
    </w:p>
    <w:p>
      <w:pPr>
        <w:pStyle w:val="2"/>
        <w:rPr>
          <w:color w:val="auto"/>
          <w:sz w:val="20"/>
          <w:highlight w:val="none"/>
        </w:rPr>
      </w:pPr>
    </w:p>
    <w:p>
      <w:pPr>
        <w:pStyle w:val="2"/>
        <w:rPr>
          <w:color w:val="auto"/>
          <w:sz w:val="20"/>
          <w:highlight w:val="none"/>
        </w:rPr>
      </w:pPr>
    </w:p>
    <w:p>
      <w:pPr>
        <w:pStyle w:val="2"/>
        <w:rPr>
          <w:color w:val="auto"/>
          <w:sz w:val="20"/>
          <w:highlight w:val="none"/>
        </w:rPr>
      </w:pPr>
    </w:p>
    <w:p>
      <w:pPr>
        <w:pStyle w:val="2"/>
        <w:rPr>
          <w:color w:val="auto"/>
          <w:sz w:val="20"/>
          <w:highlight w:val="none"/>
        </w:rPr>
      </w:pPr>
    </w:p>
    <w:p>
      <w:pPr>
        <w:pStyle w:val="2"/>
        <w:rPr>
          <w:color w:val="auto"/>
          <w:sz w:val="20"/>
          <w:highlight w:val="none"/>
        </w:rPr>
      </w:pPr>
    </w:p>
    <w:p>
      <w:pPr>
        <w:pStyle w:val="2"/>
        <w:rPr>
          <w:color w:val="auto"/>
          <w:sz w:val="20"/>
          <w:highlight w:val="none"/>
        </w:rPr>
      </w:pPr>
    </w:p>
    <w:p>
      <w:pPr>
        <w:pStyle w:val="2"/>
        <w:rPr>
          <w:color w:val="auto"/>
          <w:sz w:val="20"/>
          <w:highlight w:val="none"/>
        </w:rPr>
      </w:pPr>
    </w:p>
    <w:p>
      <w:pPr>
        <w:pStyle w:val="2"/>
        <w:rPr>
          <w:color w:val="auto"/>
          <w:sz w:val="20"/>
          <w:highlight w:val="none"/>
        </w:rPr>
      </w:pPr>
    </w:p>
    <w:p>
      <w:pPr>
        <w:pStyle w:val="2"/>
        <w:spacing w:before="9"/>
        <w:rPr>
          <w:color w:val="auto"/>
          <w:sz w:val="18"/>
          <w:highlight w:val="none"/>
        </w:rPr>
      </w:pPr>
    </w:p>
    <w:p>
      <w:pPr>
        <w:spacing w:line="364" w:lineRule="auto"/>
        <w:ind w:left="4019" w:right="1316" w:hanging="1200"/>
        <w:rPr>
          <w:color w:val="auto"/>
          <w:sz w:val="24"/>
          <w:highlight w:val="none"/>
        </w:rPr>
      </w:pPr>
      <w:r>
        <w:rPr>
          <w:color w:val="auto"/>
          <w:sz w:val="24"/>
          <w:highlight w:val="none"/>
        </w:rPr>
        <w:t>法定代表人或者委托代理人（签字/电子签名）：</w:t>
      </w:r>
      <w:r>
        <w:rPr>
          <w:color w:val="auto"/>
          <w:sz w:val="24"/>
          <w:highlight w:val="none"/>
          <w:u w:val="single"/>
        </w:rPr>
        <w:t xml:space="preserve">       </w:t>
      </w:r>
      <w:r>
        <w:rPr>
          <w:color w:val="auto"/>
          <w:sz w:val="24"/>
          <w:highlight w:val="none"/>
        </w:rPr>
        <w:t xml:space="preserve"> 供应商（电子签章）：</w:t>
      </w:r>
      <w:r>
        <w:rPr>
          <w:color w:val="auto"/>
          <w:sz w:val="24"/>
          <w:highlight w:val="none"/>
          <w:u w:val="single"/>
        </w:rPr>
        <w:t xml:space="preserve">                </w:t>
      </w:r>
      <w:r>
        <w:rPr>
          <w:color w:val="auto"/>
          <w:sz w:val="24"/>
          <w:highlight w:val="none"/>
        </w:rPr>
        <w:t xml:space="preserve"> </w:t>
      </w:r>
    </w:p>
    <w:p>
      <w:pPr>
        <w:spacing w:line="307" w:lineRule="exact"/>
        <w:ind w:left="1830"/>
        <w:rPr>
          <w:color w:val="auto"/>
          <w:sz w:val="24"/>
          <w:highlight w:val="none"/>
        </w:rPr>
      </w:pPr>
      <w:r>
        <w:rPr>
          <w:color w:val="auto"/>
          <w:sz w:val="24"/>
          <w:highlight w:val="none"/>
        </w:rPr>
        <w:t xml:space="preserve">                                        年 月 日 </w:t>
      </w:r>
    </w:p>
    <w:p>
      <w:pPr>
        <w:spacing w:before="159"/>
        <w:ind w:right="115"/>
        <w:jc w:val="center"/>
        <w:rPr>
          <w:color w:val="auto"/>
          <w:sz w:val="24"/>
          <w:highlight w:val="none"/>
        </w:rPr>
      </w:pPr>
      <w:r>
        <w:rPr>
          <w:color w:val="auto"/>
          <w:sz w:val="24"/>
          <w:highlight w:val="none"/>
        </w:rPr>
        <w:t xml:space="preserve"> </w:t>
      </w:r>
    </w:p>
    <w:p>
      <w:pPr>
        <w:jc w:val="center"/>
        <w:rPr>
          <w:color w:val="auto"/>
          <w:sz w:val="24"/>
          <w:highlight w:val="none"/>
        </w:rPr>
        <w:sectPr>
          <w:pgSz w:w="11900" w:h="16850"/>
          <w:pgMar w:top="1400" w:right="760" w:bottom="1320" w:left="760" w:header="1158" w:footer="1136" w:gutter="0"/>
          <w:cols w:space="720" w:num="1"/>
        </w:sectPr>
      </w:pPr>
    </w:p>
    <w:p>
      <w:pPr>
        <w:pStyle w:val="2"/>
        <w:rPr>
          <w:color w:val="auto"/>
          <w:sz w:val="24"/>
          <w:highlight w:val="none"/>
        </w:rPr>
      </w:pPr>
    </w:p>
    <w:p>
      <w:pPr>
        <w:pStyle w:val="2"/>
        <w:rPr>
          <w:color w:val="auto"/>
          <w:sz w:val="24"/>
          <w:highlight w:val="none"/>
        </w:rPr>
      </w:pPr>
    </w:p>
    <w:p>
      <w:pPr>
        <w:pStyle w:val="2"/>
        <w:rPr>
          <w:color w:val="auto"/>
          <w:sz w:val="24"/>
          <w:highlight w:val="none"/>
        </w:rPr>
      </w:pPr>
    </w:p>
    <w:p>
      <w:pPr>
        <w:pStyle w:val="2"/>
        <w:spacing w:before="7"/>
        <w:rPr>
          <w:color w:val="auto"/>
          <w:sz w:val="23"/>
          <w:highlight w:val="none"/>
        </w:rPr>
      </w:pPr>
    </w:p>
    <w:p>
      <w:pPr>
        <w:spacing w:before="17" w:line="275" w:lineRule="exact"/>
        <w:ind w:right="3766"/>
        <w:rPr>
          <w:color w:val="auto"/>
          <w:sz w:val="24"/>
          <w:highlight w:val="none"/>
        </w:rPr>
      </w:pPr>
    </w:p>
    <w:p>
      <w:pPr>
        <w:spacing w:before="17" w:line="275" w:lineRule="exact"/>
        <w:ind w:right="3766"/>
        <w:rPr>
          <w:color w:val="auto"/>
          <w:sz w:val="24"/>
          <w:highlight w:val="none"/>
        </w:rPr>
      </w:pPr>
    </w:p>
    <w:p>
      <w:pPr>
        <w:spacing w:before="17" w:line="275" w:lineRule="exact"/>
        <w:ind w:right="3766"/>
        <w:rPr>
          <w:color w:val="auto"/>
          <w:sz w:val="24"/>
          <w:highlight w:val="none"/>
        </w:rPr>
      </w:pPr>
    </w:p>
    <w:p>
      <w:pPr>
        <w:spacing w:before="17" w:line="275" w:lineRule="exact"/>
        <w:ind w:right="3766"/>
        <w:rPr>
          <w:color w:val="auto"/>
          <w:sz w:val="24"/>
          <w:highlight w:val="none"/>
        </w:rPr>
      </w:pPr>
    </w:p>
    <w:p>
      <w:pPr>
        <w:spacing w:before="17" w:line="440" w:lineRule="exact"/>
        <w:ind w:left="565" w:leftChars="257" w:right="176"/>
        <w:jc w:val="center"/>
        <w:rPr>
          <w:b/>
          <w:bCs/>
          <w:color w:val="auto"/>
          <w:sz w:val="32"/>
          <w:szCs w:val="32"/>
          <w:highlight w:val="none"/>
        </w:rPr>
      </w:pPr>
      <w:r>
        <w:rPr>
          <w:rFonts w:hint="eastAsia"/>
          <w:b/>
          <w:bCs/>
          <w:color w:val="auto"/>
          <w:sz w:val="32"/>
          <w:szCs w:val="32"/>
          <w:highlight w:val="none"/>
        </w:rPr>
        <w:t>竞标声明</w:t>
      </w:r>
    </w:p>
    <w:p>
      <w:pPr>
        <w:spacing w:before="17" w:line="440" w:lineRule="exact"/>
        <w:ind w:left="565" w:leftChars="257" w:right="176"/>
        <w:rPr>
          <w:color w:val="auto"/>
          <w:sz w:val="24"/>
          <w:highlight w:val="none"/>
        </w:rPr>
      </w:pPr>
      <w:r>
        <w:rPr>
          <w:color w:val="auto"/>
          <w:sz w:val="24"/>
          <w:highlight w:val="none"/>
        </w:rPr>
        <w:t xml:space="preserve"> </w:t>
      </w:r>
      <w:r>
        <w:rPr>
          <w:rFonts w:hint="eastAsia"/>
          <w:color w:val="auto"/>
          <w:sz w:val="24"/>
          <w:highlight w:val="none"/>
        </w:rPr>
        <w:t>致：</w:t>
      </w:r>
      <w:r>
        <w:rPr>
          <w:rFonts w:hint="eastAsia"/>
          <w:color w:val="auto"/>
          <w:sz w:val="24"/>
          <w:highlight w:val="none"/>
          <w:u w:val="single"/>
        </w:rPr>
        <w:t xml:space="preserve"> </w:t>
      </w:r>
      <w:r>
        <w:rPr>
          <w:color w:val="auto"/>
          <w:sz w:val="24"/>
          <w:highlight w:val="none"/>
          <w:u w:val="single"/>
        </w:rPr>
        <w:t xml:space="preserve">          </w:t>
      </w:r>
      <w:r>
        <w:rPr>
          <w:rFonts w:hint="eastAsia"/>
          <w:color w:val="auto"/>
          <w:sz w:val="24"/>
          <w:highlight w:val="none"/>
        </w:rPr>
        <w:t>（采购单位）</w:t>
      </w:r>
    </w:p>
    <w:p>
      <w:pPr>
        <w:spacing w:before="17" w:line="440" w:lineRule="exact"/>
        <w:ind w:left="565" w:leftChars="257" w:right="176" w:firstLine="480" w:firstLineChars="200"/>
        <w:rPr>
          <w:color w:val="auto"/>
          <w:sz w:val="24"/>
          <w:highlight w:val="none"/>
        </w:rPr>
      </w:pPr>
      <w:r>
        <w:rPr>
          <w:rFonts w:hint="eastAsia"/>
          <w:color w:val="auto"/>
          <w:sz w:val="24"/>
          <w:highlight w:val="none"/>
          <w:u w:val="single"/>
        </w:rPr>
        <w:t xml:space="preserve">（供应商名称） </w:t>
      </w:r>
      <w:r>
        <w:rPr>
          <w:color w:val="auto"/>
          <w:sz w:val="24"/>
          <w:highlight w:val="none"/>
          <w:u w:val="single"/>
        </w:rPr>
        <w:t xml:space="preserve"> </w:t>
      </w:r>
      <w:r>
        <w:rPr>
          <w:rFonts w:hint="eastAsia"/>
          <w:color w:val="auto"/>
          <w:sz w:val="24"/>
          <w:highlight w:val="none"/>
        </w:rPr>
        <w:t>系中华人民共和国合法供应商，经营地址</w:t>
      </w:r>
      <w:r>
        <w:rPr>
          <w:color w:val="auto"/>
          <w:sz w:val="24"/>
          <w:highlight w:val="none"/>
        </w:rPr>
        <w:t xml:space="preserve"> </w:t>
      </w:r>
      <w:r>
        <w:rPr>
          <w:color w:val="auto"/>
          <w:sz w:val="24"/>
          <w:highlight w:val="none"/>
          <w:u w:val="single"/>
        </w:rPr>
        <w:t xml:space="preserve">                </w:t>
      </w:r>
      <w:r>
        <w:rPr>
          <w:color w:val="auto"/>
          <w:sz w:val="24"/>
          <w:highlight w:val="none"/>
        </w:rPr>
        <w:t>。我方愿意参加贵方组织的</w:t>
      </w:r>
      <w:r>
        <w:rPr>
          <w:rFonts w:hint="eastAsia"/>
          <w:color w:val="auto"/>
          <w:sz w:val="24"/>
          <w:highlight w:val="none"/>
          <w:u w:val="single"/>
          <w:lang w:val="en-US" w:eastAsia="zh-CN"/>
        </w:rPr>
        <w:t xml:space="preserve">   </w:t>
      </w:r>
      <w:r>
        <w:rPr>
          <w:color w:val="auto"/>
          <w:sz w:val="24"/>
          <w:highlight w:val="none"/>
          <w:u w:val="single"/>
        </w:rPr>
        <w:t>（项目名称）</w:t>
      </w:r>
      <w:r>
        <w:rPr>
          <w:rFonts w:hint="eastAsia"/>
          <w:color w:val="auto"/>
          <w:sz w:val="24"/>
          <w:highlight w:val="none"/>
          <w:u w:val="single"/>
          <w:lang w:val="en-US" w:eastAsia="zh-CN"/>
        </w:rPr>
        <w:t xml:space="preserve"> </w:t>
      </w:r>
      <w:r>
        <w:rPr>
          <w:color w:val="auto"/>
          <w:sz w:val="24"/>
          <w:highlight w:val="none"/>
        </w:rPr>
        <w:t>项目的竞标，为便于贵方公正、择优地确定</w:t>
      </w:r>
      <w:r>
        <w:rPr>
          <w:rFonts w:hint="eastAsia"/>
          <w:color w:val="auto"/>
          <w:sz w:val="24"/>
          <w:highlight w:val="none"/>
        </w:rPr>
        <w:t>成交供应商，我方就本次竞标有关事项郑重声明如下：</w:t>
      </w:r>
      <w:r>
        <w:rPr>
          <w:color w:val="auto"/>
          <w:sz w:val="24"/>
          <w:highlight w:val="none"/>
        </w:rPr>
        <w:t xml:space="preserve"> </w:t>
      </w:r>
    </w:p>
    <w:p>
      <w:pPr>
        <w:spacing w:before="17" w:line="440" w:lineRule="exact"/>
        <w:ind w:left="565" w:leftChars="257" w:right="176" w:firstLine="240" w:firstLineChars="100"/>
        <w:rPr>
          <w:color w:val="auto"/>
          <w:sz w:val="24"/>
          <w:highlight w:val="none"/>
        </w:rPr>
      </w:pPr>
      <w:r>
        <w:rPr>
          <w:color w:val="auto"/>
          <w:sz w:val="24"/>
          <w:highlight w:val="none"/>
        </w:rPr>
        <w:t xml:space="preserve">1. 我方向贵方提交的所有响应文件、资料都是准确的和真实的。 </w:t>
      </w:r>
    </w:p>
    <w:p>
      <w:pPr>
        <w:spacing w:before="17" w:line="440" w:lineRule="exact"/>
        <w:ind w:left="565" w:leftChars="257" w:right="176" w:firstLine="240" w:firstLineChars="100"/>
        <w:rPr>
          <w:color w:val="auto"/>
          <w:sz w:val="24"/>
          <w:highlight w:val="none"/>
        </w:rPr>
      </w:pPr>
      <w:r>
        <w:rPr>
          <w:color w:val="auto"/>
          <w:sz w:val="24"/>
          <w:highlight w:val="none"/>
        </w:rPr>
        <w:t xml:space="preserve">2. 我方不是为本次采购项目提供整体设计、规范编制或者项目管理、监理、检测等服务的供应商。 </w:t>
      </w:r>
    </w:p>
    <w:p>
      <w:pPr>
        <w:spacing w:before="17" w:line="440" w:lineRule="exact"/>
        <w:ind w:left="565" w:leftChars="257" w:right="176" w:firstLine="240" w:firstLineChars="100"/>
        <w:rPr>
          <w:color w:val="auto"/>
          <w:sz w:val="24"/>
          <w:highlight w:val="none"/>
        </w:rPr>
      </w:pPr>
      <w:r>
        <w:rPr>
          <w:color w:val="auto"/>
          <w:sz w:val="24"/>
          <w:highlight w:val="none"/>
        </w:rPr>
        <w:t xml:space="preserve">3. 在此，我方宣布同意如下： </w:t>
      </w:r>
    </w:p>
    <w:p>
      <w:pPr>
        <w:spacing w:before="17" w:line="440" w:lineRule="exact"/>
        <w:ind w:left="565" w:leftChars="257" w:right="176" w:firstLine="240" w:firstLineChars="100"/>
        <w:rPr>
          <w:color w:val="auto"/>
          <w:sz w:val="24"/>
          <w:highlight w:val="none"/>
        </w:rPr>
      </w:pPr>
      <w:r>
        <w:rPr>
          <w:rFonts w:hint="eastAsia"/>
          <w:color w:val="auto"/>
          <w:sz w:val="24"/>
          <w:highlight w:val="none"/>
        </w:rPr>
        <w:t>（</w:t>
      </w:r>
      <w:r>
        <w:rPr>
          <w:color w:val="auto"/>
          <w:sz w:val="24"/>
          <w:highlight w:val="none"/>
        </w:rPr>
        <w:t>1）</w:t>
      </w:r>
      <w:r>
        <w:rPr>
          <w:color w:val="auto"/>
          <w:sz w:val="24"/>
          <w:highlight w:val="none"/>
        </w:rPr>
        <w:tab/>
      </w:r>
      <w:r>
        <w:rPr>
          <w:color w:val="auto"/>
          <w:sz w:val="24"/>
          <w:highlight w:val="none"/>
        </w:rPr>
        <w:t xml:space="preserve">将按磋商文件的约定履行合同责任和义务； </w:t>
      </w:r>
    </w:p>
    <w:p>
      <w:pPr>
        <w:spacing w:before="17" w:line="440" w:lineRule="exact"/>
        <w:ind w:left="565" w:leftChars="257" w:right="176" w:firstLine="240" w:firstLineChars="100"/>
        <w:rPr>
          <w:color w:val="auto"/>
          <w:sz w:val="24"/>
          <w:highlight w:val="none"/>
        </w:rPr>
      </w:pPr>
      <w:r>
        <w:rPr>
          <w:rFonts w:hint="eastAsia"/>
          <w:color w:val="auto"/>
          <w:sz w:val="24"/>
          <w:highlight w:val="none"/>
        </w:rPr>
        <w:t>（</w:t>
      </w:r>
      <w:r>
        <w:rPr>
          <w:color w:val="auto"/>
          <w:sz w:val="24"/>
          <w:highlight w:val="none"/>
        </w:rPr>
        <w:t xml:space="preserve">2）已详细审查全部磋商文件，包括澄清或者更正公告（如有）； </w:t>
      </w:r>
    </w:p>
    <w:p>
      <w:pPr>
        <w:spacing w:before="17" w:line="440" w:lineRule="exact"/>
        <w:ind w:left="565" w:leftChars="257" w:right="176" w:firstLine="240" w:firstLineChars="100"/>
        <w:rPr>
          <w:color w:val="auto"/>
          <w:sz w:val="24"/>
          <w:highlight w:val="none"/>
        </w:rPr>
      </w:pPr>
      <w:r>
        <w:rPr>
          <w:rFonts w:hint="eastAsia"/>
          <w:color w:val="auto"/>
          <w:sz w:val="24"/>
          <w:highlight w:val="none"/>
        </w:rPr>
        <w:t>（</w:t>
      </w:r>
      <w:r>
        <w:rPr>
          <w:color w:val="auto"/>
          <w:sz w:val="24"/>
          <w:highlight w:val="none"/>
        </w:rPr>
        <w:t xml:space="preserve">3）同意提供按照贵方可能要求的与磋商有关的一切数据或者资料； </w:t>
      </w:r>
    </w:p>
    <w:p>
      <w:pPr>
        <w:spacing w:before="17" w:line="440" w:lineRule="exact"/>
        <w:ind w:left="565" w:leftChars="257" w:right="176" w:firstLine="240" w:firstLineChars="100"/>
        <w:rPr>
          <w:color w:val="auto"/>
          <w:sz w:val="24"/>
          <w:highlight w:val="none"/>
        </w:rPr>
      </w:pPr>
      <w:r>
        <w:rPr>
          <w:rFonts w:hint="eastAsia"/>
          <w:color w:val="auto"/>
          <w:sz w:val="24"/>
          <w:highlight w:val="none"/>
        </w:rPr>
        <w:t>（</w:t>
      </w:r>
      <w:r>
        <w:rPr>
          <w:color w:val="auto"/>
          <w:sz w:val="24"/>
          <w:highlight w:val="none"/>
        </w:rPr>
        <w:t xml:space="preserve">4）响应磋商文件规定的竞标有效期。 </w:t>
      </w:r>
    </w:p>
    <w:p>
      <w:pPr>
        <w:spacing w:before="17" w:line="440" w:lineRule="exact"/>
        <w:ind w:left="565" w:leftChars="257" w:right="176" w:firstLine="240" w:firstLineChars="100"/>
        <w:rPr>
          <w:color w:val="auto"/>
          <w:sz w:val="24"/>
          <w:highlight w:val="none"/>
        </w:rPr>
      </w:pPr>
      <w:r>
        <w:rPr>
          <w:color w:val="auto"/>
          <w:sz w:val="24"/>
          <w:highlight w:val="none"/>
        </w:rPr>
        <w:t xml:space="preserve">4. 我方承诺符合《中华人民共和国政府采购法》第二十二条规定： </w:t>
      </w:r>
    </w:p>
    <w:p>
      <w:pPr>
        <w:spacing w:before="17" w:line="440" w:lineRule="exact"/>
        <w:ind w:left="565" w:leftChars="257" w:right="176" w:firstLine="240" w:firstLineChars="100"/>
        <w:rPr>
          <w:color w:val="auto"/>
          <w:sz w:val="24"/>
          <w:highlight w:val="none"/>
        </w:rPr>
      </w:pPr>
      <w:r>
        <w:rPr>
          <w:rFonts w:hint="eastAsia"/>
          <w:color w:val="auto"/>
          <w:sz w:val="24"/>
          <w:highlight w:val="none"/>
        </w:rPr>
        <w:t>（</w:t>
      </w:r>
      <w:r>
        <w:rPr>
          <w:color w:val="auto"/>
          <w:sz w:val="24"/>
          <w:highlight w:val="none"/>
        </w:rPr>
        <w:t xml:space="preserve">1）具有独立承担民事责任的能力； </w:t>
      </w:r>
    </w:p>
    <w:p>
      <w:pPr>
        <w:spacing w:before="17" w:line="440" w:lineRule="exact"/>
        <w:ind w:left="565" w:leftChars="257" w:right="176" w:firstLine="240" w:firstLineChars="100"/>
        <w:rPr>
          <w:color w:val="auto"/>
          <w:sz w:val="24"/>
          <w:highlight w:val="none"/>
        </w:rPr>
      </w:pPr>
      <w:r>
        <w:rPr>
          <w:rFonts w:hint="eastAsia"/>
          <w:color w:val="auto"/>
          <w:sz w:val="24"/>
          <w:highlight w:val="none"/>
        </w:rPr>
        <w:t>（</w:t>
      </w:r>
      <w:r>
        <w:rPr>
          <w:color w:val="auto"/>
          <w:sz w:val="24"/>
          <w:highlight w:val="none"/>
        </w:rPr>
        <w:t xml:space="preserve">2）具有良好的商业信誉和健全的财务会计制度； </w:t>
      </w:r>
    </w:p>
    <w:p>
      <w:pPr>
        <w:spacing w:before="17" w:line="440" w:lineRule="exact"/>
        <w:ind w:left="565" w:leftChars="257" w:right="176" w:firstLine="240" w:firstLineChars="100"/>
        <w:rPr>
          <w:color w:val="auto"/>
          <w:sz w:val="24"/>
          <w:highlight w:val="none"/>
        </w:rPr>
      </w:pPr>
      <w:r>
        <w:rPr>
          <w:rFonts w:hint="eastAsia"/>
          <w:color w:val="auto"/>
          <w:sz w:val="24"/>
          <w:highlight w:val="none"/>
        </w:rPr>
        <w:t>（</w:t>
      </w:r>
      <w:r>
        <w:rPr>
          <w:color w:val="auto"/>
          <w:sz w:val="24"/>
          <w:highlight w:val="none"/>
        </w:rPr>
        <w:t>3）</w:t>
      </w:r>
      <w:r>
        <w:rPr>
          <w:color w:val="auto"/>
          <w:sz w:val="24"/>
          <w:highlight w:val="none"/>
        </w:rPr>
        <w:tab/>
      </w:r>
      <w:r>
        <w:rPr>
          <w:color w:val="auto"/>
          <w:sz w:val="24"/>
          <w:highlight w:val="none"/>
        </w:rPr>
        <w:t xml:space="preserve">具有履行合同所必需的设备和专业技术能力； </w:t>
      </w:r>
    </w:p>
    <w:p>
      <w:pPr>
        <w:spacing w:before="17" w:line="440" w:lineRule="exact"/>
        <w:ind w:left="565" w:leftChars="257" w:right="176" w:firstLine="240" w:firstLineChars="100"/>
        <w:rPr>
          <w:color w:val="auto"/>
          <w:sz w:val="24"/>
          <w:highlight w:val="none"/>
        </w:rPr>
      </w:pPr>
      <w:r>
        <w:rPr>
          <w:rFonts w:hint="eastAsia"/>
          <w:color w:val="auto"/>
          <w:sz w:val="24"/>
          <w:highlight w:val="none"/>
        </w:rPr>
        <w:t>（</w:t>
      </w:r>
      <w:r>
        <w:rPr>
          <w:color w:val="auto"/>
          <w:sz w:val="24"/>
          <w:highlight w:val="none"/>
        </w:rPr>
        <w:t>4）</w:t>
      </w:r>
      <w:r>
        <w:rPr>
          <w:color w:val="auto"/>
          <w:sz w:val="24"/>
          <w:highlight w:val="none"/>
        </w:rPr>
        <w:tab/>
      </w:r>
      <w:r>
        <w:rPr>
          <w:color w:val="auto"/>
          <w:sz w:val="24"/>
          <w:highlight w:val="none"/>
        </w:rPr>
        <w:t xml:space="preserve">有依法缴纳税收和社会保障资金的良好记录； </w:t>
      </w:r>
    </w:p>
    <w:p>
      <w:pPr>
        <w:spacing w:before="17" w:line="440" w:lineRule="exact"/>
        <w:ind w:left="565" w:leftChars="257" w:right="176" w:firstLine="240" w:firstLineChars="100"/>
        <w:rPr>
          <w:color w:val="auto"/>
          <w:sz w:val="24"/>
          <w:highlight w:val="none"/>
        </w:rPr>
      </w:pPr>
      <w:r>
        <w:rPr>
          <w:rFonts w:hint="eastAsia"/>
          <w:color w:val="auto"/>
          <w:sz w:val="24"/>
          <w:highlight w:val="none"/>
        </w:rPr>
        <w:t>（</w:t>
      </w:r>
      <w:r>
        <w:rPr>
          <w:color w:val="auto"/>
          <w:sz w:val="24"/>
          <w:highlight w:val="none"/>
        </w:rPr>
        <w:t>5）</w:t>
      </w:r>
      <w:r>
        <w:rPr>
          <w:color w:val="auto"/>
          <w:sz w:val="24"/>
          <w:highlight w:val="none"/>
        </w:rPr>
        <w:tab/>
      </w:r>
      <w:r>
        <w:rPr>
          <w:color w:val="auto"/>
          <w:sz w:val="24"/>
          <w:highlight w:val="none"/>
        </w:rPr>
        <w:t xml:space="preserve">参加政府采购活动前三年内，在经营活动中没有重大违法记录； </w:t>
      </w:r>
    </w:p>
    <w:p>
      <w:pPr>
        <w:spacing w:before="17" w:line="440" w:lineRule="exact"/>
        <w:ind w:left="565" w:leftChars="257" w:right="176" w:firstLine="240" w:firstLineChars="100"/>
        <w:rPr>
          <w:color w:val="auto"/>
          <w:sz w:val="24"/>
          <w:highlight w:val="none"/>
        </w:rPr>
      </w:pPr>
      <w:r>
        <w:rPr>
          <w:rFonts w:hint="eastAsia"/>
          <w:color w:val="auto"/>
          <w:sz w:val="24"/>
          <w:highlight w:val="none"/>
        </w:rPr>
        <w:t>（</w:t>
      </w:r>
      <w:r>
        <w:rPr>
          <w:color w:val="auto"/>
          <w:sz w:val="24"/>
          <w:highlight w:val="none"/>
        </w:rPr>
        <w:t>6）</w:t>
      </w:r>
      <w:r>
        <w:rPr>
          <w:color w:val="auto"/>
          <w:sz w:val="24"/>
          <w:highlight w:val="none"/>
        </w:rPr>
        <w:tab/>
      </w:r>
      <w:r>
        <w:rPr>
          <w:color w:val="auto"/>
          <w:sz w:val="24"/>
          <w:highlight w:val="none"/>
        </w:rPr>
        <w:t xml:space="preserve">法律、行政法规规定的其他条件。 </w:t>
      </w:r>
    </w:p>
    <w:p>
      <w:pPr>
        <w:spacing w:before="17" w:line="440" w:lineRule="exact"/>
        <w:ind w:left="565" w:leftChars="257" w:right="176" w:firstLine="240" w:firstLineChars="100"/>
        <w:rPr>
          <w:color w:val="auto"/>
          <w:sz w:val="24"/>
          <w:highlight w:val="none"/>
        </w:rPr>
      </w:pPr>
      <w:r>
        <w:rPr>
          <w:color w:val="auto"/>
          <w:sz w:val="24"/>
          <w:highlight w:val="none"/>
        </w:rPr>
        <w:t xml:space="preserve">5. 我方在此声明，我方在参加本项目的政府采购活动前三年内，在经营活动中没有重大违法记录（重大违法记录是指供应商因违法经营受到刑事处罚或者责令停产停业、吊销许可证或者执照、较大数额罚款等行政处罚），未被列入失信被执行人、重大税收违法案件当事人名单、政府采购严重违法失信行为记录名单，完全符合《中华人民共和国政府采购法》第二十二条规定的供应商资格条件，我方对此声明负全部法律责任。 </w:t>
      </w:r>
    </w:p>
    <w:p>
      <w:pPr>
        <w:spacing w:before="17" w:line="440" w:lineRule="exact"/>
        <w:ind w:left="565" w:leftChars="257" w:right="176" w:firstLine="240" w:firstLineChars="100"/>
        <w:rPr>
          <w:color w:val="auto"/>
          <w:sz w:val="24"/>
          <w:highlight w:val="none"/>
        </w:rPr>
      </w:pPr>
      <w:r>
        <w:rPr>
          <w:color w:val="auto"/>
          <w:sz w:val="24"/>
          <w:highlight w:val="none"/>
        </w:rPr>
        <w:t>6. 根据《中华人民共和国政府采购法实施条例》第五十条要求对政府采购合同进行</w:t>
      </w:r>
      <w:r>
        <w:rPr>
          <w:rFonts w:hint="eastAsia"/>
          <w:color w:val="auto"/>
          <w:sz w:val="24"/>
          <w:highlight w:val="none"/>
        </w:rPr>
        <w:t>公告，但政府采购合同中涉及国家秘密、商业秘密的内容除外。我方就对本次响应文件进行注明如下：（两项内容中必须选择一项）</w:t>
      </w:r>
      <w:r>
        <w:rPr>
          <w:color w:val="auto"/>
          <w:sz w:val="24"/>
          <w:highlight w:val="none"/>
        </w:rPr>
        <w:t xml:space="preserve">  </w:t>
      </w:r>
    </w:p>
    <w:p>
      <w:pPr>
        <w:spacing w:before="17" w:line="440" w:lineRule="exact"/>
        <w:ind w:left="565" w:leftChars="257" w:right="176" w:firstLine="240" w:firstLineChars="100"/>
        <w:rPr>
          <w:color w:val="auto"/>
          <w:sz w:val="24"/>
          <w:highlight w:val="none"/>
        </w:rPr>
      </w:pPr>
      <w:r>
        <w:rPr>
          <w:rFonts w:hint="eastAsia"/>
          <w:color w:val="auto"/>
          <w:sz w:val="24"/>
          <w:highlight w:val="none"/>
        </w:rPr>
        <w:t>□我方本次响应文件内容中未涉及商业秘密；</w:t>
      </w:r>
      <w:r>
        <w:rPr>
          <w:color w:val="auto"/>
          <w:sz w:val="24"/>
          <w:highlight w:val="none"/>
        </w:rPr>
        <w:t xml:space="preserve"> </w:t>
      </w:r>
    </w:p>
    <w:p>
      <w:pPr>
        <w:spacing w:before="17" w:line="440" w:lineRule="exact"/>
        <w:ind w:left="565" w:leftChars="257" w:right="176" w:firstLine="240" w:firstLineChars="100"/>
        <w:rPr>
          <w:color w:val="auto"/>
          <w:sz w:val="24"/>
          <w:highlight w:val="none"/>
        </w:rPr>
      </w:pPr>
      <w:r>
        <w:rPr>
          <w:rFonts w:hint="eastAsia"/>
          <w:color w:val="auto"/>
          <w:sz w:val="24"/>
          <w:highlight w:val="none"/>
        </w:rPr>
        <w:t>□我方本次响应文件涉及商业秘密的内容有：</w:t>
      </w:r>
      <w:r>
        <w:rPr>
          <w:color w:val="auto"/>
          <w:sz w:val="24"/>
          <w:highlight w:val="none"/>
          <w:u w:val="single"/>
        </w:rPr>
        <w:t xml:space="preserve">                         </w:t>
      </w:r>
      <w:r>
        <w:rPr>
          <w:color w:val="auto"/>
          <w:sz w:val="24"/>
          <w:highlight w:val="none"/>
        </w:rPr>
        <w:t>；</w:t>
      </w:r>
    </w:p>
    <w:p>
      <w:pPr>
        <w:spacing w:before="17" w:line="440" w:lineRule="exact"/>
        <w:ind w:left="565" w:leftChars="257" w:right="176" w:firstLine="240" w:firstLineChars="100"/>
        <w:rPr>
          <w:color w:val="auto"/>
          <w:sz w:val="24"/>
          <w:highlight w:val="none"/>
          <w:u w:val="single"/>
        </w:rPr>
      </w:pPr>
      <w:r>
        <w:rPr>
          <w:color w:val="auto"/>
          <w:sz w:val="24"/>
          <w:highlight w:val="none"/>
        </w:rPr>
        <w:t>7.与本磋商有关的一切正式往来信函请寄：</w:t>
      </w:r>
      <w:r>
        <w:rPr>
          <w:color w:val="auto"/>
          <w:sz w:val="24"/>
          <w:highlight w:val="none"/>
          <w:u w:val="single"/>
        </w:rPr>
        <w:t xml:space="preserve">                   </w:t>
      </w:r>
    </w:p>
    <w:p>
      <w:pPr>
        <w:spacing w:before="17" w:line="440" w:lineRule="exact"/>
        <w:ind w:left="565" w:leftChars="257" w:right="176" w:firstLine="480" w:firstLineChars="200"/>
        <w:rPr>
          <w:color w:val="auto"/>
          <w:sz w:val="24"/>
          <w:highlight w:val="none"/>
        </w:rPr>
      </w:pPr>
      <w:r>
        <w:rPr>
          <w:color w:val="auto"/>
          <w:sz w:val="24"/>
          <w:highlight w:val="none"/>
        </w:rPr>
        <w:t>邮政编号：</w:t>
      </w:r>
      <w:r>
        <w:rPr>
          <w:color w:val="auto"/>
          <w:sz w:val="24"/>
          <w:highlight w:val="none"/>
          <w:u w:val="single"/>
        </w:rPr>
        <w:t xml:space="preserve">                          </w:t>
      </w:r>
    </w:p>
    <w:p>
      <w:pPr>
        <w:spacing w:before="17" w:line="440" w:lineRule="exact"/>
        <w:ind w:left="565" w:leftChars="257" w:right="176" w:firstLine="480" w:firstLineChars="200"/>
        <w:rPr>
          <w:color w:val="auto"/>
          <w:sz w:val="24"/>
          <w:highlight w:val="none"/>
        </w:rPr>
      </w:pPr>
      <w:r>
        <w:rPr>
          <w:color w:val="auto"/>
          <w:sz w:val="24"/>
          <w:highlight w:val="none"/>
        </w:rPr>
        <w:t>电 话 / 传 真 ：</w:t>
      </w:r>
      <w:r>
        <w:rPr>
          <w:color w:val="auto"/>
          <w:sz w:val="24"/>
          <w:highlight w:val="none"/>
          <w:u w:val="single"/>
        </w:rPr>
        <w:t xml:space="preserve">                    </w:t>
      </w:r>
    </w:p>
    <w:p>
      <w:pPr>
        <w:spacing w:before="17" w:line="440" w:lineRule="exact"/>
        <w:ind w:left="565" w:leftChars="257" w:right="176" w:firstLine="480" w:firstLineChars="200"/>
        <w:rPr>
          <w:color w:val="auto"/>
          <w:sz w:val="24"/>
          <w:highlight w:val="none"/>
          <w:u w:val="single"/>
        </w:rPr>
      </w:pPr>
      <w:r>
        <w:rPr>
          <w:color w:val="auto"/>
          <w:sz w:val="24"/>
          <w:highlight w:val="none"/>
        </w:rPr>
        <w:t>电 子 函 件 ：</w:t>
      </w:r>
      <w:r>
        <w:rPr>
          <w:rFonts w:hint="eastAsia"/>
          <w:color w:val="auto"/>
          <w:sz w:val="24"/>
          <w:highlight w:val="none"/>
          <w:u w:val="single"/>
        </w:rPr>
        <w:t xml:space="preserve"> </w:t>
      </w:r>
      <w:r>
        <w:rPr>
          <w:color w:val="auto"/>
          <w:sz w:val="24"/>
          <w:highlight w:val="none"/>
          <w:u w:val="single"/>
        </w:rPr>
        <w:t xml:space="preserve">                     </w:t>
      </w:r>
    </w:p>
    <w:p>
      <w:pPr>
        <w:spacing w:before="17" w:line="440" w:lineRule="exact"/>
        <w:ind w:left="565" w:leftChars="257" w:right="176" w:firstLine="480" w:firstLineChars="200"/>
        <w:rPr>
          <w:color w:val="auto"/>
          <w:sz w:val="24"/>
          <w:highlight w:val="none"/>
          <w:u w:val="single"/>
        </w:rPr>
      </w:pPr>
      <w:r>
        <w:rPr>
          <w:color w:val="auto"/>
          <w:sz w:val="24"/>
          <w:highlight w:val="none"/>
        </w:rPr>
        <w:t>开 户 银 行 ：</w:t>
      </w:r>
      <w:r>
        <w:rPr>
          <w:rFonts w:hint="eastAsia"/>
          <w:color w:val="auto"/>
          <w:sz w:val="24"/>
          <w:highlight w:val="none"/>
          <w:u w:val="single"/>
        </w:rPr>
        <w:t xml:space="preserve"> </w:t>
      </w:r>
      <w:r>
        <w:rPr>
          <w:color w:val="auto"/>
          <w:sz w:val="24"/>
          <w:highlight w:val="none"/>
          <w:u w:val="single"/>
        </w:rPr>
        <w:t xml:space="preserve">                    </w:t>
      </w:r>
    </w:p>
    <w:p>
      <w:pPr>
        <w:spacing w:before="17" w:line="440" w:lineRule="exact"/>
        <w:ind w:left="565" w:leftChars="257" w:right="176" w:firstLine="480" w:firstLineChars="200"/>
        <w:rPr>
          <w:color w:val="auto"/>
          <w:sz w:val="24"/>
          <w:highlight w:val="none"/>
          <w:u w:val="single"/>
        </w:rPr>
      </w:pPr>
      <w:r>
        <w:rPr>
          <w:color w:val="auto"/>
          <w:sz w:val="24"/>
          <w:highlight w:val="none"/>
        </w:rPr>
        <w:t>帐 号 ：</w:t>
      </w:r>
      <w:r>
        <w:rPr>
          <w:color w:val="auto"/>
          <w:sz w:val="24"/>
          <w:highlight w:val="none"/>
          <w:u w:val="single"/>
        </w:rPr>
        <w:t xml:space="preserve">                           </w:t>
      </w:r>
    </w:p>
    <w:p>
      <w:pPr>
        <w:spacing w:before="17" w:line="440" w:lineRule="exact"/>
        <w:ind w:left="565" w:leftChars="257" w:right="176" w:firstLine="240" w:firstLineChars="100"/>
        <w:rPr>
          <w:color w:val="auto"/>
          <w:sz w:val="24"/>
          <w:highlight w:val="none"/>
        </w:rPr>
      </w:pPr>
      <w:r>
        <w:rPr>
          <w:color w:val="auto"/>
          <w:sz w:val="24"/>
          <w:highlight w:val="none"/>
        </w:rPr>
        <w:t xml:space="preserve">8.以上事项如有虚假或者隐瞒，我方愿意承担一切后果，并不再寻求任何旨在减轻或者免除法律责任的辩解。 </w:t>
      </w:r>
    </w:p>
    <w:p>
      <w:pPr>
        <w:spacing w:before="17" w:line="440" w:lineRule="exact"/>
        <w:ind w:left="565" w:leftChars="257" w:right="176"/>
        <w:rPr>
          <w:color w:val="auto"/>
          <w:sz w:val="24"/>
          <w:highlight w:val="none"/>
        </w:rPr>
      </w:pPr>
      <w:r>
        <w:rPr>
          <w:color w:val="auto"/>
          <w:sz w:val="24"/>
          <w:highlight w:val="none"/>
        </w:rPr>
        <w:t xml:space="preserve"> </w:t>
      </w:r>
      <w:r>
        <w:rPr>
          <w:rFonts w:hint="eastAsia"/>
          <w:color w:val="auto"/>
          <w:sz w:val="24"/>
          <w:highlight w:val="none"/>
        </w:rPr>
        <w:t>特此承诺。</w:t>
      </w:r>
      <w:r>
        <w:rPr>
          <w:color w:val="auto"/>
          <w:sz w:val="24"/>
          <w:highlight w:val="none"/>
        </w:rPr>
        <w:t xml:space="preserve"> </w:t>
      </w:r>
    </w:p>
    <w:p>
      <w:pPr>
        <w:spacing w:before="17" w:line="440" w:lineRule="exact"/>
        <w:ind w:left="565" w:leftChars="257" w:right="176"/>
        <w:rPr>
          <w:color w:val="auto"/>
          <w:sz w:val="24"/>
          <w:highlight w:val="none"/>
        </w:rPr>
      </w:pPr>
      <w:r>
        <w:rPr>
          <w:color w:val="auto"/>
          <w:sz w:val="24"/>
          <w:highlight w:val="none"/>
        </w:rPr>
        <w:t xml:space="preserve"> </w:t>
      </w:r>
    </w:p>
    <w:p>
      <w:pPr>
        <w:spacing w:before="17" w:line="440" w:lineRule="exact"/>
        <w:ind w:left="565" w:leftChars="257" w:right="176"/>
        <w:rPr>
          <w:color w:val="auto"/>
          <w:sz w:val="24"/>
          <w:highlight w:val="none"/>
        </w:rPr>
      </w:pPr>
    </w:p>
    <w:p>
      <w:pPr>
        <w:spacing w:before="17" w:line="440" w:lineRule="exact"/>
        <w:ind w:left="565" w:leftChars="257" w:right="176"/>
        <w:rPr>
          <w:color w:val="auto"/>
          <w:sz w:val="24"/>
          <w:highlight w:val="none"/>
        </w:rPr>
      </w:pPr>
    </w:p>
    <w:p>
      <w:pPr>
        <w:spacing w:before="17" w:line="440" w:lineRule="exact"/>
        <w:ind w:left="565" w:leftChars="257" w:right="176"/>
        <w:rPr>
          <w:color w:val="auto"/>
          <w:sz w:val="24"/>
          <w:highlight w:val="none"/>
        </w:rPr>
      </w:pPr>
    </w:p>
    <w:p>
      <w:pPr>
        <w:spacing w:before="17" w:line="440" w:lineRule="exact"/>
        <w:ind w:left="565" w:leftChars="257" w:right="176"/>
        <w:jc w:val="center"/>
        <w:rPr>
          <w:color w:val="auto"/>
          <w:sz w:val="24"/>
          <w:highlight w:val="none"/>
        </w:rPr>
      </w:pPr>
      <w:r>
        <w:rPr>
          <w:rFonts w:hint="eastAsia"/>
          <w:color w:val="auto"/>
          <w:sz w:val="24"/>
          <w:highlight w:val="none"/>
        </w:rPr>
        <w:t>法定代表人（签字或者盖章或者电子签名）：</w:t>
      </w:r>
      <w:r>
        <w:rPr>
          <w:rFonts w:hint="eastAsia"/>
          <w:color w:val="auto"/>
          <w:sz w:val="24"/>
          <w:highlight w:val="none"/>
          <w:u w:val="single"/>
        </w:rPr>
        <w:t xml:space="preserve"> </w:t>
      </w:r>
      <w:r>
        <w:rPr>
          <w:color w:val="auto"/>
          <w:sz w:val="24"/>
          <w:highlight w:val="none"/>
          <w:u w:val="single"/>
        </w:rPr>
        <w:t xml:space="preserve">              </w:t>
      </w:r>
    </w:p>
    <w:p>
      <w:pPr>
        <w:spacing w:before="17" w:line="440" w:lineRule="exact"/>
        <w:ind w:left="565" w:leftChars="257" w:right="176" w:firstLine="2400" w:firstLineChars="1000"/>
        <w:rPr>
          <w:color w:val="auto"/>
          <w:sz w:val="24"/>
          <w:highlight w:val="none"/>
        </w:rPr>
      </w:pPr>
      <w:r>
        <w:rPr>
          <w:rFonts w:hint="eastAsia"/>
          <w:color w:val="auto"/>
          <w:sz w:val="24"/>
          <w:highlight w:val="none"/>
        </w:rPr>
        <w:t>供应商（电子签章）：</w:t>
      </w:r>
      <w:r>
        <w:rPr>
          <w:color w:val="auto"/>
          <w:sz w:val="24"/>
          <w:highlight w:val="none"/>
          <w:u w:val="single"/>
        </w:rPr>
        <w:t xml:space="preserve"> </w:t>
      </w:r>
      <w:r>
        <w:rPr>
          <w:color w:val="auto"/>
          <w:sz w:val="24"/>
          <w:highlight w:val="none"/>
          <w:u w:val="single"/>
        </w:rPr>
        <w:tab/>
      </w:r>
      <w:r>
        <w:rPr>
          <w:color w:val="auto"/>
          <w:sz w:val="24"/>
          <w:highlight w:val="none"/>
          <w:u w:val="single"/>
        </w:rPr>
        <w:t xml:space="preserve">                               </w:t>
      </w:r>
      <w:r>
        <w:rPr>
          <w:color w:val="auto"/>
          <w:sz w:val="24"/>
          <w:highlight w:val="none"/>
        </w:rPr>
        <w:t xml:space="preserve"> </w:t>
      </w:r>
    </w:p>
    <w:p>
      <w:pPr>
        <w:spacing w:before="17" w:line="440" w:lineRule="exact"/>
        <w:ind w:left="565" w:leftChars="257" w:right="176"/>
        <w:rPr>
          <w:color w:val="auto"/>
          <w:sz w:val="24"/>
          <w:highlight w:val="none"/>
        </w:rPr>
      </w:pPr>
      <w:r>
        <w:rPr>
          <w:color w:val="auto"/>
          <w:sz w:val="24"/>
          <w:highlight w:val="none"/>
        </w:rPr>
        <w:t xml:space="preserve"> </w:t>
      </w:r>
    </w:p>
    <w:p>
      <w:pPr>
        <w:spacing w:before="17" w:line="440" w:lineRule="exact"/>
        <w:ind w:left="565" w:leftChars="257" w:right="176"/>
        <w:rPr>
          <w:color w:val="auto"/>
          <w:sz w:val="24"/>
          <w:highlight w:val="none"/>
        </w:rPr>
      </w:pPr>
      <w:r>
        <w:rPr>
          <w:color w:val="auto"/>
          <w:sz w:val="24"/>
          <w:highlight w:val="none"/>
        </w:rPr>
        <w:t xml:space="preserve">                                          年</w:t>
      </w:r>
      <w:r>
        <w:rPr>
          <w:color w:val="auto"/>
          <w:sz w:val="24"/>
          <w:highlight w:val="none"/>
        </w:rPr>
        <w:tab/>
      </w:r>
      <w:r>
        <w:rPr>
          <w:color w:val="auto"/>
          <w:sz w:val="24"/>
          <w:highlight w:val="none"/>
        </w:rPr>
        <w:t>月</w:t>
      </w:r>
      <w:r>
        <w:rPr>
          <w:color w:val="auto"/>
          <w:sz w:val="24"/>
          <w:highlight w:val="none"/>
        </w:rPr>
        <w:tab/>
      </w:r>
      <w:r>
        <w:rPr>
          <w:color w:val="auto"/>
          <w:sz w:val="24"/>
          <w:highlight w:val="none"/>
        </w:rPr>
        <w:t>日</w:t>
      </w:r>
    </w:p>
    <w:p>
      <w:pPr>
        <w:tabs>
          <w:tab w:val="left" w:pos="6419"/>
          <w:tab w:val="left" w:pos="7140"/>
        </w:tabs>
        <w:spacing w:before="67"/>
        <w:ind w:left="709"/>
        <w:rPr>
          <w:color w:val="auto"/>
          <w:sz w:val="24"/>
          <w:highlight w:val="none"/>
        </w:rPr>
        <w:sectPr>
          <w:type w:val="continuous"/>
          <w:pgSz w:w="11900" w:h="16850"/>
          <w:pgMar w:top="1600" w:right="760" w:bottom="1702" w:left="760" w:header="720" w:footer="816" w:gutter="0"/>
          <w:cols w:space="720" w:num="1"/>
        </w:sectPr>
      </w:pPr>
    </w:p>
    <w:p>
      <w:pPr>
        <w:pStyle w:val="2"/>
        <w:spacing w:before="6"/>
        <w:rPr>
          <w:color w:val="auto"/>
          <w:sz w:val="8"/>
          <w:highlight w:val="none"/>
        </w:rPr>
      </w:pPr>
    </w:p>
    <w:p>
      <w:pPr>
        <w:spacing w:line="360" w:lineRule="auto"/>
        <w:ind w:left="565" w:leftChars="257" w:right="174" w:rightChars="79"/>
        <w:jc w:val="center"/>
        <w:rPr>
          <w:color w:val="auto"/>
          <w:sz w:val="32"/>
          <w:highlight w:val="none"/>
        </w:rPr>
      </w:pPr>
      <w:r>
        <w:rPr>
          <w:color w:val="auto"/>
          <w:sz w:val="32"/>
          <w:highlight w:val="none"/>
        </w:rPr>
        <w:t>无串通竞标行为的承诺函</w:t>
      </w:r>
    </w:p>
    <w:p>
      <w:pPr>
        <w:spacing w:line="360" w:lineRule="auto"/>
        <w:ind w:left="565" w:leftChars="257" w:right="174" w:rightChars="79"/>
        <w:rPr>
          <w:b/>
          <w:bCs/>
          <w:color w:val="auto"/>
          <w:highlight w:val="none"/>
        </w:rPr>
      </w:pPr>
    </w:p>
    <w:p>
      <w:pPr>
        <w:spacing w:line="360" w:lineRule="auto"/>
        <w:ind w:left="565" w:leftChars="257" w:right="174" w:rightChars="79"/>
        <w:rPr>
          <w:b/>
          <w:bCs/>
          <w:color w:val="auto"/>
          <w:highlight w:val="none"/>
        </w:rPr>
      </w:pPr>
      <w:r>
        <w:rPr>
          <w:b/>
          <w:bCs/>
          <w:color w:val="auto"/>
          <w:highlight w:val="none"/>
        </w:rPr>
        <w:t>一、我方承诺无下列相互串通竞标的情形：</w:t>
      </w:r>
      <w:r>
        <w:rPr>
          <w:b/>
          <w:bCs/>
          <w:color w:val="auto"/>
          <w:w w:val="99"/>
          <w:highlight w:val="none"/>
        </w:rPr>
        <w:t xml:space="preserve"> </w:t>
      </w:r>
    </w:p>
    <w:p>
      <w:pPr>
        <w:spacing w:line="360" w:lineRule="auto"/>
        <w:ind w:left="565" w:leftChars="257" w:right="174" w:rightChars="79" w:firstLine="220" w:firstLineChars="100"/>
        <w:rPr>
          <w:color w:val="auto"/>
          <w:highlight w:val="none"/>
        </w:rPr>
      </w:pPr>
      <w:r>
        <w:rPr>
          <w:rFonts w:hint="eastAsia"/>
          <w:color w:val="auto"/>
          <w:highlight w:val="none"/>
        </w:rPr>
        <w:t>（1）</w:t>
      </w:r>
      <w:r>
        <w:rPr>
          <w:color w:val="auto"/>
          <w:highlight w:val="none"/>
        </w:rPr>
        <w:t xml:space="preserve">不同供应商的响应文件由同一单位或者个人编制；  </w:t>
      </w:r>
    </w:p>
    <w:p>
      <w:pPr>
        <w:spacing w:line="360" w:lineRule="auto"/>
        <w:ind w:left="565" w:leftChars="257" w:right="174" w:rightChars="79" w:firstLine="220" w:firstLineChars="100"/>
        <w:rPr>
          <w:color w:val="auto"/>
          <w:highlight w:val="none"/>
        </w:rPr>
      </w:pPr>
      <w:r>
        <w:rPr>
          <w:rFonts w:hint="eastAsia"/>
          <w:color w:val="auto"/>
          <w:highlight w:val="none"/>
        </w:rPr>
        <w:t>（2）</w:t>
      </w:r>
      <w:r>
        <w:rPr>
          <w:color w:val="auto"/>
          <w:highlight w:val="none"/>
        </w:rPr>
        <w:t xml:space="preserve">不同供应商委托同一单位或者个人办理竞标事宜； </w:t>
      </w:r>
    </w:p>
    <w:p>
      <w:pPr>
        <w:spacing w:line="360" w:lineRule="auto"/>
        <w:ind w:left="565" w:leftChars="257" w:right="174" w:rightChars="79" w:firstLine="220" w:firstLineChars="100"/>
        <w:rPr>
          <w:color w:val="auto"/>
          <w:highlight w:val="none"/>
        </w:rPr>
      </w:pPr>
      <w:r>
        <w:rPr>
          <w:rFonts w:hint="eastAsia"/>
          <w:color w:val="auto"/>
          <w:highlight w:val="none"/>
        </w:rPr>
        <w:t>（3）</w:t>
      </w:r>
      <w:r>
        <w:rPr>
          <w:color w:val="auto"/>
          <w:highlight w:val="none"/>
        </w:rPr>
        <w:t xml:space="preserve">不同供应商的响应文件载明的项目管理员为同一个人； </w:t>
      </w:r>
    </w:p>
    <w:p>
      <w:pPr>
        <w:spacing w:line="360" w:lineRule="auto"/>
        <w:ind w:left="565" w:leftChars="257" w:right="174" w:rightChars="79" w:firstLine="196" w:firstLineChars="100"/>
        <w:rPr>
          <w:color w:val="auto"/>
          <w:highlight w:val="none"/>
        </w:rPr>
      </w:pPr>
      <w:r>
        <w:rPr>
          <w:rFonts w:hint="eastAsia"/>
          <w:color w:val="auto"/>
          <w:spacing w:val="-12"/>
          <w:highlight w:val="none"/>
        </w:rPr>
        <w:t>（4）</w:t>
      </w:r>
      <w:r>
        <w:rPr>
          <w:color w:val="auto"/>
          <w:spacing w:val="-12"/>
          <w:highlight w:val="none"/>
        </w:rPr>
        <w:t>不同供应商的响应文件异常一致或者竞标报价呈规律性差异；</w:t>
      </w:r>
      <w:r>
        <w:rPr>
          <w:color w:val="auto"/>
          <w:highlight w:val="none"/>
        </w:rPr>
        <w:t xml:space="preserve"> </w:t>
      </w:r>
    </w:p>
    <w:p>
      <w:pPr>
        <w:spacing w:line="360" w:lineRule="auto"/>
        <w:ind w:left="565" w:leftChars="257" w:right="174" w:rightChars="79" w:firstLine="220" w:firstLineChars="100"/>
        <w:rPr>
          <w:color w:val="auto"/>
          <w:highlight w:val="none"/>
        </w:rPr>
      </w:pPr>
      <w:r>
        <w:rPr>
          <w:rFonts w:hint="eastAsia"/>
          <w:color w:val="auto"/>
          <w:highlight w:val="none"/>
        </w:rPr>
        <w:t>（5）</w:t>
      </w:r>
      <w:r>
        <w:rPr>
          <w:color w:val="auto"/>
          <w:highlight w:val="none"/>
        </w:rPr>
        <w:t xml:space="preserve">不同供应商的响应文件相互混装；  </w:t>
      </w:r>
    </w:p>
    <w:p>
      <w:pPr>
        <w:spacing w:line="360" w:lineRule="auto"/>
        <w:ind w:left="565" w:leftChars="257" w:right="174" w:rightChars="79"/>
        <w:rPr>
          <w:b/>
          <w:color w:val="auto"/>
          <w:highlight w:val="none"/>
        </w:rPr>
      </w:pPr>
      <w:r>
        <w:rPr>
          <w:b/>
          <w:color w:val="auto"/>
          <w:highlight w:val="none"/>
        </w:rPr>
        <w:t>二、我方承诺无下列恶意串通的情形：</w:t>
      </w:r>
      <w:r>
        <w:rPr>
          <w:b/>
          <w:color w:val="auto"/>
          <w:w w:val="99"/>
          <w:highlight w:val="none"/>
        </w:rPr>
        <w:t xml:space="preserve"> </w:t>
      </w:r>
    </w:p>
    <w:p>
      <w:pPr>
        <w:spacing w:line="360" w:lineRule="auto"/>
        <w:ind w:left="565" w:leftChars="257" w:right="174" w:rightChars="79" w:firstLine="226" w:firstLineChars="100"/>
        <w:rPr>
          <w:color w:val="auto"/>
          <w:highlight w:val="none"/>
        </w:rPr>
      </w:pPr>
      <w:r>
        <w:rPr>
          <w:rFonts w:hint="eastAsia"/>
          <w:color w:val="auto"/>
          <w:spacing w:val="3"/>
          <w:highlight w:val="none"/>
        </w:rPr>
        <w:t>（1）</w:t>
      </w:r>
      <w:r>
        <w:rPr>
          <w:color w:val="auto"/>
          <w:spacing w:val="3"/>
          <w:highlight w:val="none"/>
        </w:rPr>
        <w:t xml:space="preserve">供应商直接或者间接从采购人或者采购代理机构处获得其他供应商的相关信息并修改其响应文件； </w:t>
      </w:r>
    </w:p>
    <w:p>
      <w:pPr>
        <w:spacing w:line="360" w:lineRule="auto"/>
        <w:ind w:left="565" w:leftChars="257" w:right="174" w:rightChars="79" w:firstLine="220" w:firstLineChars="100"/>
        <w:rPr>
          <w:color w:val="auto"/>
          <w:highlight w:val="none"/>
        </w:rPr>
      </w:pPr>
      <w:r>
        <w:rPr>
          <w:rFonts w:hint="eastAsia"/>
          <w:color w:val="auto"/>
          <w:highlight w:val="none"/>
        </w:rPr>
        <w:t>（2）</w:t>
      </w:r>
      <w:r>
        <w:rPr>
          <w:color w:val="auto"/>
          <w:highlight w:val="none"/>
        </w:rPr>
        <w:t xml:space="preserve">供应商按照采购人或者采购代理机构的授意撤换、修改响应文件； </w:t>
      </w:r>
    </w:p>
    <w:p>
      <w:pPr>
        <w:spacing w:line="360" w:lineRule="auto"/>
        <w:ind w:left="565" w:leftChars="257" w:right="174" w:rightChars="79" w:firstLine="220" w:firstLineChars="100"/>
        <w:rPr>
          <w:color w:val="auto"/>
          <w:highlight w:val="none"/>
        </w:rPr>
      </w:pPr>
      <w:r>
        <w:rPr>
          <w:rFonts w:hint="eastAsia"/>
          <w:color w:val="auto"/>
          <w:highlight w:val="none"/>
        </w:rPr>
        <w:t>（3）</w:t>
      </w:r>
      <w:r>
        <w:rPr>
          <w:color w:val="auto"/>
          <w:highlight w:val="none"/>
        </w:rPr>
        <w:t xml:space="preserve">供应商之间协商报价、技术方案等响应文件的实质性内容； </w:t>
      </w:r>
    </w:p>
    <w:p>
      <w:pPr>
        <w:spacing w:line="360" w:lineRule="auto"/>
        <w:ind w:left="565" w:leftChars="257" w:right="174" w:rightChars="79" w:firstLine="202" w:firstLineChars="100"/>
        <w:rPr>
          <w:color w:val="auto"/>
          <w:highlight w:val="none"/>
        </w:rPr>
      </w:pPr>
      <w:r>
        <w:rPr>
          <w:rFonts w:hint="eastAsia"/>
          <w:color w:val="auto"/>
          <w:spacing w:val="-9"/>
          <w:highlight w:val="none"/>
        </w:rPr>
        <w:t>（4）</w:t>
      </w:r>
      <w:r>
        <w:rPr>
          <w:color w:val="auto"/>
          <w:spacing w:val="-9"/>
          <w:highlight w:val="none"/>
        </w:rPr>
        <w:t>属于同一集团、协会、商会等组织成员的供应商按照该组织要求协同参加政府采</w:t>
      </w:r>
      <w:r>
        <w:rPr>
          <w:color w:val="auto"/>
          <w:highlight w:val="none"/>
        </w:rPr>
        <w:t xml:space="preserve">购活动； </w:t>
      </w:r>
    </w:p>
    <w:p>
      <w:pPr>
        <w:spacing w:line="360" w:lineRule="auto"/>
        <w:ind w:left="565" w:leftChars="257" w:right="174" w:rightChars="79" w:firstLine="212" w:firstLineChars="100"/>
        <w:rPr>
          <w:color w:val="auto"/>
          <w:highlight w:val="none"/>
        </w:rPr>
      </w:pPr>
      <w:r>
        <w:rPr>
          <w:rFonts w:hint="eastAsia"/>
          <w:color w:val="auto"/>
          <w:spacing w:val="-4"/>
          <w:highlight w:val="none"/>
        </w:rPr>
        <w:t>（5）</w:t>
      </w:r>
      <w:r>
        <w:rPr>
          <w:color w:val="auto"/>
          <w:spacing w:val="-4"/>
          <w:highlight w:val="none"/>
        </w:rPr>
        <w:t>供应商之间事先约定一致抬高或者压低竞标报价，或者在竞争性磋商项目中事先约定轮流以高价位或者低价位成交，或者事先约定由某一特定供应商成交，然后再参加</w:t>
      </w:r>
      <w:r>
        <w:rPr>
          <w:color w:val="auto"/>
          <w:highlight w:val="none"/>
        </w:rPr>
        <w:t xml:space="preserve">竞标； </w:t>
      </w:r>
    </w:p>
    <w:p>
      <w:pPr>
        <w:spacing w:line="360" w:lineRule="auto"/>
        <w:ind w:left="565" w:leftChars="257" w:right="174" w:rightChars="79" w:firstLine="220" w:firstLineChars="100"/>
        <w:rPr>
          <w:color w:val="auto"/>
          <w:highlight w:val="none"/>
        </w:rPr>
      </w:pPr>
      <w:r>
        <w:rPr>
          <w:rFonts w:hint="eastAsia"/>
          <w:color w:val="auto"/>
          <w:highlight w:val="none"/>
        </w:rPr>
        <w:t>（6）</w:t>
      </w:r>
      <w:r>
        <w:rPr>
          <w:color w:val="auto"/>
          <w:highlight w:val="none"/>
        </w:rPr>
        <w:t xml:space="preserve">供应商之间商定部分供应商放弃参加政府采购活动或者放弃成交； </w:t>
      </w:r>
    </w:p>
    <w:p>
      <w:pPr>
        <w:spacing w:line="360" w:lineRule="auto"/>
        <w:ind w:left="565" w:leftChars="257" w:right="174" w:rightChars="79" w:firstLine="210" w:firstLineChars="100"/>
        <w:rPr>
          <w:color w:val="auto"/>
          <w:highlight w:val="none"/>
        </w:rPr>
      </w:pPr>
      <w:r>
        <w:rPr>
          <w:rFonts w:hint="eastAsia"/>
          <w:color w:val="auto"/>
          <w:spacing w:val="-5"/>
          <w:highlight w:val="none"/>
        </w:rPr>
        <w:t>（7）</w:t>
      </w:r>
      <w:r>
        <w:rPr>
          <w:color w:val="auto"/>
          <w:spacing w:val="-5"/>
          <w:highlight w:val="none"/>
        </w:rPr>
        <w:t>供应商与采购人或者采购代理机构之间、供应商相互之间，为谋求特定供应商成</w:t>
      </w:r>
      <w:r>
        <w:rPr>
          <w:color w:val="auto"/>
          <w:highlight w:val="none"/>
        </w:rPr>
        <w:t xml:space="preserve">交或者排斥其他供应商的其他串通行为。 </w:t>
      </w:r>
    </w:p>
    <w:p>
      <w:pPr>
        <w:spacing w:line="360" w:lineRule="auto"/>
        <w:ind w:left="565" w:leftChars="257" w:right="174" w:rightChars="79"/>
        <w:rPr>
          <w:color w:val="auto"/>
          <w:highlight w:val="none"/>
        </w:rPr>
      </w:pPr>
      <w:r>
        <w:rPr>
          <w:color w:val="auto"/>
          <w:highlight w:val="none"/>
        </w:rPr>
        <w:t xml:space="preserve"> </w:t>
      </w:r>
    </w:p>
    <w:p>
      <w:pPr>
        <w:spacing w:line="360" w:lineRule="auto"/>
        <w:ind w:left="565" w:leftChars="257" w:right="174" w:rightChars="79" w:firstLine="207" w:firstLineChars="100"/>
        <w:rPr>
          <w:b/>
          <w:bCs/>
          <w:color w:val="auto"/>
          <w:highlight w:val="none"/>
        </w:rPr>
      </w:pPr>
      <w:r>
        <w:rPr>
          <w:b/>
          <w:bCs/>
          <w:color w:val="auto"/>
          <w:spacing w:val="-7"/>
          <w:highlight w:val="none"/>
        </w:rPr>
        <w:t>以上情形一经核查属实，我方愿意承担一切后果，并不再寻求任何旨在减轻或者免</w:t>
      </w:r>
      <w:r>
        <w:rPr>
          <w:b/>
          <w:bCs/>
          <w:color w:val="auto"/>
          <w:highlight w:val="none"/>
        </w:rPr>
        <w:t>除法律责任的辩解。</w:t>
      </w:r>
      <w:r>
        <w:rPr>
          <w:b/>
          <w:bCs/>
          <w:color w:val="auto"/>
          <w:w w:val="99"/>
          <w:highlight w:val="none"/>
        </w:rPr>
        <w:t xml:space="preserve"> </w:t>
      </w:r>
    </w:p>
    <w:p>
      <w:pPr>
        <w:spacing w:before="1"/>
        <w:ind w:left="658"/>
        <w:rPr>
          <w:color w:val="auto"/>
          <w:sz w:val="24"/>
          <w:highlight w:val="none"/>
        </w:rPr>
      </w:pPr>
      <w:r>
        <w:rPr>
          <w:color w:val="auto"/>
          <w:sz w:val="24"/>
          <w:highlight w:val="none"/>
        </w:rPr>
        <w:t xml:space="preserve"> </w:t>
      </w:r>
    </w:p>
    <w:p>
      <w:pPr>
        <w:spacing w:before="132"/>
        <w:ind w:left="2460"/>
        <w:jc w:val="center"/>
        <w:rPr>
          <w:color w:val="auto"/>
          <w:sz w:val="24"/>
          <w:highlight w:val="none"/>
        </w:rPr>
      </w:pPr>
    </w:p>
    <w:p>
      <w:pPr>
        <w:spacing w:before="132"/>
        <w:ind w:left="2460"/>
        <w:jc w:val="center"/>
        <w:rPr>
          <w:color w:val="auto"/>
          <w:sz w:val="24"/>
          <w:highlight w:val="none"/>
        </w:rPr>
      </w:pPr>
      <w:r>
        <w:rPr>
          <w:color w:val="auto"/>
          <w:sz w:val="24"/>
          <w:highlight w:val="none"/>
        </w:rPr>
        <w:t>供应商（电子签章）：</w:t>
      </w:r>
      <w:r>
        <w:rPr>
          <w:color w:val="auto"/>
          <w:sz w:val="24"/>
          <w:highlight w:val="none"/>
          <w:u w:val="single"/>
        </w:rPr>
        <w:t xml:space="preserve">               </w:t>
      </w:r>
      <w:r>
        <w:rPr>
          <w:color w:val="auto"/>
          <w:sz w:val="24"/>
          <w:highlight w:val="none"/>
        </w:rPr>
        <w:t xml:space="preserve"> </w:t>
      </w:r>
    </w:p>
    <w:p>
      <w:pPr>
        <w:spacing w:before="132"/>
        <w:ind w:right="115"/>
        <w:jc w:val="center"/>
        <w:rPr>
          <w:color w:val="auto"/>
          <w:sz w:val="24"/>
          <w:highlight w:val="none"/>
        </w:rPr>
      </w:pPr>
      <w:r>
        <w:rPr>
          <w:color w:val="auto"/>
          <w:sz w:val="24"/>
          <w:highlight w:val="none"/>
        </w:rPr>
        <w:t xml:space="preserve">                               年   月   日 </w:t>
      </w:r>
    </w:p>
    <w:p>
      <w:pPr>
        <w:spacing w:before="21"/>
        <w:ind w:right="115"/>
        <w:jc w:val="center"/>
        <w:rPr>
          <w:color w:val="auto"/>
          <w:sz w:val="24"/>
          <w:highlight w:val="none"/>
        </w:rPr>
      </w:pPr>
      <w:r>
        <w:rPr>
          <w:color w:val="auto"/>
          <w:sz w:val="24"/>
          <w:highlight w:val="none"/>
        </w:rPr>
        <w:t xml:space="preserve"> </w:t>
      </w:r>
    </w:p>
    <w:p>
      <w:pPr>
        <w:jc w:val="center"/>
        <w:rPr>
          <w:color w:val="auto"/>
          <w:sz w:val="24"/>
          <w:highlight w:val="none"/>
        </w:rPr>
        <w:sectPr>
          <w:pgSz w:w="11900" w:h="16850"/>
          <w:pgMar w:top="1400" w:right="760" w:bottom="1320" w:left="760" w:header="1158" w:footer="1136" w:gutter="0"/>
          <w:cols w:space="720" w:num="1"/>
        </w:sectPr>
      </w:pPr>
    </w:p>
    <w:p>
      <w:pPr>
        <w:pStyle w:val="2"/>
        <w:rPr>
          <w:color w:val="auto"/>
          <w:sz w:val="20"/>
          <w:highlight w:val="none"/>
        </w:rPr>
      </w:pPr>
    </w:p>
    <w:p>
      <w:pPr>
        <w:spacing w:before="201" w:line="295" w:lineRule="auto"/>
        <w:ind w:left="658" w:right="174"/>
        <w:jc w:val="center"/>
        <w:rPr>
          <w:b/>
          <w:color w:val="auto"/>
          <w:sz w:val="32"/>
          <w:highlight w:val="none"/>
        </w:rPr>
      </w:pPr>
      <w:r>
        <w:rPr>
          <w:b/>
          <w:color w:val="auto"/>
          <w:sz w:val="32"/>
          <w:highlight w:val="none"/>
        </w:rPr>
        <w:t>二、</w:t>
      </w:r>
      <w:r>
        <w:rPr>
          <w:rFonts w:hint="eastAsia"/>
          <w:b/>
          <w:color w:val="auto"/>
          <w:sz w:val="32"/>
          <w:highlight w:val="none"/>
          <w:lang w:eastAsia="zh-CN"/>
        </w:rPr>
        <w:t>报价</w:t>
      </w:r>
      <w:r>
        <w:rPr>
          <w:b/>
          <w:color w:val="auto"/>
          <w:sz w:val="32"/>
          <w:highlight w:val="none"/>
        </w:rPr>
        <w:t>文件格式</w:t>
      </w:r>
    </w:p>
    <w:p>
      <w:pPr>
        <w:spacing w:before="201" w:line="295" w:lineRule="auto"/>
        <w:ind w:left="658" w:right="6663"/>
        <w:rPr>
          <w:b/>
          <w:color w:val="auto"/>
          <w:sz w:val="32"/>
          <w:highlight w:val="none"/>
        </w:rPr>
      </w:pPr>
      <w:r>
        <w:rPr>
          <w:b/>
          <w:color w:val="auto"/>
          <w:sz w:val="32"/>
          <w:highlight w:val="none"/>
        </w:rPr>
        <w:t>1.</w:t>
      </w:r>
      <w:r>
        <w:rPr>
          <w:rFonts w:hint="eastAsia"/>
          <w:b/>
          <w:color w:val="auto"/>
          <w:sz w:val="32"/>
          <w:highlight w:val="none"/>
          <w:lang w:eastAsia="zh-CN"/>
        </w:rPr>
        <w:t>报价</w:t>
      </w:r>
      <w:r>
        <w:rPr>
          <w:b/>
          <w:color w:val="auto"/>
          <w:sz w:val="32"/>
          <w:highlight w:val="none"/>
        </w:rPr>
        <w:t>文件封面格式</w:t>
      </w:r>
      <w:r>
        <w:rPr>
          <w:b/>
          <w:color w:val="auto"/>
          <w:w w:val="98"/>
          <w:sz w:val="32"/>
          <w:highlight w:val="none"/>
        </w:rPr>
        <w:t xml:space="preserve"> </w:t>
      </w:r>
    </w:p>
    <w:p>
      <w:pPr>
        <w:pStyle w:val="2"/>
        <w:rPr>
          <w:b/>
          <w:color w:val="auto"/>
          <w:sz w:val="20"/>
          <w:highlight w:val="none"/>
        </w:rPr>
      </w:pPr>
    </w:p>
    <w:p>
      <w:pPr>
        <w:pStyle w:val="2"/>
        <w:rPr>
          <w:b/>
          <w:color w:val="auto"/>
          <w:sz w:val="20"/>
          <w:highlight w:val="none"/>
        </w:rPr>
      </w:pPr>
    </w:p>
    <w:p>
      <w:pPr>
        <w:pStyle w:val="2"/>
        <w:rPr>
          <w:b/>
          <w:color w:val="auto"/>
          <w:sz w:val="20"/>
          <w:highlight w:val="none"/>
        </w:rPr>
      </w:pPr>
    </w:p>
    <w:p>
      <w:pPr>
        <w:pStyle w:val="2"/>
        <w:rPr>
          <w:b/>
          <w:color w:val="auto"/>
          <w:sz w:val="20"/>
          <w:highlight w:val="none"/>
        </w:rPr>
      </w:pPr>
    </w:p>
    <w:p>
      <w:pPr>
        <w:pStyle w:val="2"/>
        <w:rPr>
          <w:b/>
          <w:color w:val="auto"/>
          <w:sz w:val="20"/>
          <w:highlight w:val="none"/>
        </w:rPr>
      </w:pPr>
    </w:p>
    <w:p>
      <w:pPr>
        <w:pStyle w:val="2"/>
        <w:rPr>
          <w:b/>
          <w:color w:val="auto"/>
          <w:sz w:val="20"/>
          <w:highlight w:val="none"/>
        </w:rPr>
      </w:pPr>
    </w:p>
    <w:p>
      <w:pPr>
        <w:pStyle w:val="2"/>
        <w:rPr>
          <w:b/>
          <w:color w:val="auto"/>
          <w:sz w:val="20"/>
          <w:highlight w:val="none"/>
        </w:rPr>
      </w:pPr>
    </w:p>
    <w:p>
      <w:pPr>
        <w:pStyle w:val="2"/>
        <w:spacing w:before="9"/>
        <w:rPr>
          <w:b/>
          <w:color w:val="auto"/>
          <w:sz w:val="19"/>
          <w:highlight w:val="none"/>
        </w:rPr>
      </w:pPr>
    </w:p>
    <w:p>
      <w:pPr>
        <w:bidi w:val="0"/>
        <w:jc w:val="center"/>
        <w:rPr>
          <w:color w:val="auto"/>
          <w:sz w:val="44"/>
          <w:szCs w:val="44"/>
          <w:highlight w:val="none"/>
        </w:rPr>
      </w:pPr>
      <w:r>
        <w:rPr>
          <w:rFonts w:hint="eastAsia"/>
          <w:color w:val="auto"/>
          <w:sz w:val="44"/>
          <w:szCs w:val="44"/>
          <w:highlight w:val="none"/>
          <w:lang w:eastAsia="zh-CN"/>
        </w:rPr>
        <w:t>报</w:t>
      </w:r>
      <w:r>
        <w:rPr>
          <w:rFonts w:hint="eastAsia"/>
          <w:color w:val="auto"/>
          <w:sz w:val="44"/>
          <w:szCs w:val="44"/>
          <w:highlight w:val="none"/>
          <w:lang w:val="en-US" w:eastAsia="zh-CN"/>
        </w:rPr>
        <w:t xml:space="preserve"> </w:t>
      </w:r>
      <w:r>
        <w:rPr>
          <w:rFonts w:hint="eastAsia"/>
          <w:color w:val="auto"/>
          <w:sz w:val="44"/>
          <w:szCs w:val="44"/>
          <w:highlight w:val="none"/>
          <w:lang w:eastAsia="zh-CN"/>
        </w:rPr>
        <w:t>价</w:t>
      </w:r>
      <w:r>
        <w:rPr>
          <w:rFonts w:hint="eastAsia"/>
          <w:color w:val="auto"/>
          <w:sz w:val="44"/>
          <w:szCs w:val="44"/>
          <w:highlight w:val="none"/>
          <w:lang w:val="en-US" w:eastAsia="zh-CN"/>
        </w:rPr>
        <w:t xml:space="preserve"> </w:t>
      </w:r>
      <w:r>
        <w:rPr>
          <w:color w:val="auto"/>
          <w:sz w:val="44"/>
          <w:szCs w:val="44"/>
          <w:highlight w:val="none"/>
        </w:rPr>
        <w:t>文 件</w:t>
      </w:r>
    </w:p>
    <w:p>
      <w:pPr>
        <w:pStyle w:val="2"/>
        <w:rPr>
          <w:color w:val="auto"/>
          <w:sz w:val="52"/>
          <w:highlight w:val="none"/>
        </w:rPr>
      </w:pPr>
    </w:p>
    <w:p>
      <w:pPr>
        <w:pStyle w:val="2"/>
        <w:rPr>
          <w:color w:val="auto"/>
          <w:sz w:val="52"/>
          <w:highlight w:val="none"/>
        </w:rPr>
      </w:pPr>
    </w:p>
    <w:p>
      <w:pPr>
        <w:pStyle w:val="2"/>
        <w:rPr>
          <w:color w:val="auto"/>
          <w:sz w:val="52"/>
          <w:highlight w:val="none"/>
        </w:rPr>
      </w:pPr>
    </w:p>
    <w:p>
      <w:pPr>
        <w:spacing w:before="358"/>
        <w:ind w:left="1299"/>
        <w:rPr>
          <w:color w:val="auto"/>
          <w:sz w:val="32"/>
          <w:highlight w:val="none"/>
        </w:rPr>
      </w:pPr>
      <w:r>
        <w:rPr>
          <w:color w:val="auto"/>
          <w:w w:val="95"/>
          <w:sz w:val="32"/>
          <w:highlight w:val="none"/>
        </w:rPr>
        <w:t xml:space="preserve">项目名称： </w:t>
      </w:r>
    </w:p>
    <w:p>
      <w:pPr>
        <w:spacing w:before="126"/>
        <w:ind w:left="1378"/>
        <w:rPr>
          <w:color w:val="auto"/>
          <w:sz w:val="32"/>
          <w:highlight w:val="none"/>
        </w:rPr>
      </w:pPr>
      <w:r>
        <w:rPr>
          <w:color w:val="auto"/>
          <w:w w:val="99"/>
          <w:sz w:val="32"/>
          <w:highlight w:val="none"/>
        </w:rPr>
        <w:t xml:space="preserve"> </w:t>
      </w:r>
    </w:p>
    <w:p>
      <w:pPr>
        <w:spacing w:before="125"/>
        <w:ind w:left="1299"/>
        <w:rPr>
          <w:color w:val="auto"/>
          <w:sz w:val="32"/>
          <w:highlight w:val="none"/>
        </w:rPr>
      </w:pPr>
      <w:r>
        <w:rPr>
          <w:color w:val="auto"/>
          <w:w w:val="95"/>
          <w:sz w:val="32"/>
          <w:highlight w:val="none"/>
        </w:rPr>
        <w:t xml:space="preserve">项目编号： </w:t>
      </w:r>
    </w:p>
    <w:p>
      <w:pPr>
        <w:spacing w:before="125"/>
        <w:ind w:left="1378"/>
        <w:rPr>
          <w:color w:val="auto"/>
          <w:sz w:val="32"/>
          <w:highlight w:val="none"/>
        </w:rPr>
      </w:pPr>
      <w:r>
        <w:rPr>
          <w:color w:val="auto"/>
          <w:spacing w:val="1"/>
          <w:w w:val="99"/>
          <w:sz w:val="32"/>
          <w:highlight w:val="none"/>
        </w:rPr>
        <w:t xml:space="preserve"> </w:t>
      </w:r>
      <w:r>
        <w:rPr>
          <w:color w:val="auto"/>
          <w:w w:val="99"/>
          <w:sz w:val="32"/>
          <w:highlight w:val="none"/>
        </w:rPr>
        <w:t xml:space="preserve"> </w:t>
      </w:r>
    </w:p>
    <w:p>
      <w:pPr>
        <w:spacing w:before="56"/>
        <w:ind w:left="1299"/>
        <w:rPr>
          <w:color w:val="auto"/>
          <w:sz w:val="32"/>
          <w:highlight w:val="none"/>
        </w:rPr>
      </w:pPr>
      <w:r>
        <w:rPr>
          <w:color w:val="auto"/>
          <w:sz w:val="32"/>
          <w:highlight w:val="none"/>
        </w:rPr>
        <w:t xml:space="preserve">供应商名称： </w:t>
      </w:r>
    </w:p>
    <w:p>
      <w:pPr>
        <w:spacing w:before="55"/>
        <w:ind w:left="1378"/>
        <w:rPr>
          <w:color w:val="auto"/>
          <w:sz w:val="32"/>
          <w:highlight w:val="none"/>
        </w:rPr>
      </w:pPr>
      <w:r>
        <w:rPr>
          <w:color w:val="auto"/>
          <w:w w:val="99"/>
          <w:sz w:val="32"/>
          <w:highlight w:val="none"/>
        </w:rPr>
        <w:t xml:space="preserve"> </w:t>
      </w:r>
    </w:p>
    <w:p>
      <w:pPr>
        <w:spacing w:before="53"/>
        <w:ind w:left="1378"/>
        <w:rPr>
          <w:color w:val="auto"/>
          <w:sz w:val="32"/>
          <w:highlight w:val="none"/>
        </w:rPr>
      </w:pPr>
      <w:r>
        <w:rPr>
          <w:color w:val="auto"/>
          <w:w w:val="99"/>
          <w:sz w:val="32"/>
          <w:highlight w:val="none"/>
        </w:rPr>
        <w:t xml:space="preserve"> </w:t>
      </w:r>
    </w:p>
    <w:p>
      <w:pPr>
        <w:pStyle w:val="2"/>
        <w:rPr>
          <w:color w:val="auto"/>
          <w:sz w:val="20"/>
          <w:highlight w:val="none"/>
        </w:rPr>
      </w:pPr>
    </w:p>
    <w:p>
      <w:pPr>
        <w:pStyle w:val="2"/>
        <w:spacing w:before="12"/>
        <w:rPr>
          <w:color w:val="auto"/>
          <w:highlight w:val="none"/>
        </w:rPr>
      </w:pPr>
    </w:p>
    <w:p>
      <w:pPr>
        <w:spacing w:before="54"/>
        <w:ind w:left="164"/>
        <w:jc w:val="center"/>
        <w:rPr>
          <w:color w:val="auto"/>
          <w:sz w:val="32"/>
          <w:highlight w:val="none"/>
        </w:rPr>
      </w:pPr>
      <w:r>
        <w:rPr>
          <w:color w:val="auto"/>
          <w:sz w:val="32"/>
          <w:highlight w:val="none"/>
        </w:rPr>
        <w:t xml:space="preserve">年 月 日 </w:t>
      </w:r>
    </w:p>
    <w:p>
      <w:pPr>
        <w:jc w:val="center"/>
        <w:rPr>
          <w:color w:val="auto"/>
          <w:sz w:val="32"/>
          <w:highlight w:val="none"/>
        </w:rPr>
        <w:sectPr>
          <w:pgSz w:w="11900" w:h="16850"/>
          <w:pgMar w:top="1400" w:right="760" w:bottom="1320" w:left="760" w:header="1158" w:footer="1136" w:gutter="0"/>
          <w:cols w:space="720" w:num="1"/>
        </w:sectPr>
      </w:pPr>
    </w:p>
    <w:p>
      <w:pPr>
        <w:pStyle w:val="2"/>
        <w:rPr>
          <w:color w:val="auto"/>
          <w:sz w:val="20"/>
          <w:highlight w:val="none"/>
        </w:rPr>
      </w:pPr>
    </w:p>
    <w:p>
      <w:pPr>
        <w:pStyle w:val="53"/>
        <w:numPr>
          <w:ilvl w:val="0"/>
          <w:numId w:val="13"/>
        </w:numPr>
        <w:tabs>
          <w:tab w:val="left" w:pos="1125"/>
        </w:tabs>
        <w:spacing w:before="54"/>
        <w:ind w:hanging="325"/>
        <w:rPr>
          <w:b/>
          <w:color w:val="auto"/>
          <w:sz w:val="24"/>
          <w:highlight w:val="none"/>
        </w:rPr>
      </w:pPr>
      <w:r>
        <w:rPr>
          <w:rFonts w:hint="eastAsia"/>
          <w:b/>
          <w:color w:val="auto"/>
          <w:sz w:val="32"/>
          <w:highlight w:val="none"/>
          <w:lang w:eastAsia="zh-CN"/>
        </w:rPr>
        <w:t>报价</w:t>
      </w:r>
      <w:r>
        <w:rPr>
          <w:b/>
          <w:color w:val="auto"/>
          <w:sz w:val="32"/>
          <w:highlight w:val="none"/>
        </w:rPr>
        <w:t>文件目录</w:t>
      </w:r>
      <w:r>
        <w:rPr>
          <w:b/>
          <w:color w:val="auto"/>
          <w:w w:val="99"/>
          <w:sz w:val="24"/>
          <w:highlight w:val="none"/>
        </w:rPr>
        <w:t xml:space="preserve"> </w:t>
      </w:r>
    </w:p>
    <w:p>
      <w:pPr>
        <w:pStyle w:val="2"/>
        <w:spacing w:before="11"/>
        <w:rPr>
          <w:b/>
          <w:color w:val="auto"/>
          <w:sz w:val="25"/>
          <w:highlight w:val="none"/>
        </w:rPr>
      </w:pPr>
    </w:p>
    <w:p>
      <w:pPr>
        <w:spacing w:line="364" w:lineRule="auto"/>
        <w:ind w:left="658" w:right="661" w:firstLine="640"/>
        <w:rPr>
          <w:color w:val="auto"/>
          <w:sz w:val="32"/>
          <w:highlight w:val="none"/>
        </w:rPr>
      </w:pPr>
      <w:r>
        <w:rPr>
          <w:color w:val="auto"/>
          <w:spacing w:val="4"/>
          <w:w w:val="95"/>
          <w:sz w:val="32"/>
          <w:highlight w:val="none"/>
        </w:rPr>
        <w:t>根据磋商文件规定及供应商提供的材料自行编写目录（</w:t>
      </w:r>
      <w:r>
        <w:rPr>
          <w:color w:val="auto"/>
          <w:w w:val="95"/>
          <w:sz w:val="32"/>
          <w:highlight w:val="none"/>
        </w:rPr>
        <w:t xml:space="preserve">部分 </w:t>
      </w:r>
      <w:r>
        <w:rPr>
          <w:color w:val="auto"/>
          <w:sz w:val="32"/>
          <w:highlight w:val="none"/>
        </w:rPr>
        <w:t xml:space="preserve">格式后附）。 </w:t>
      </w:r>
    </w:p>
    <w:p>
      <w:pPr>
        <w:spacing w:line="364" w:lineRule="auto"/>
        <w:rPr>
          <w:color w:val="auto"/>
          <w:sz w:val="32"/>
          <w:highlight w:val="none"/>
        </w:rPr>
        <w:sectPr>
          <w:pgSz w:w="11900" w:h="16850"/>
          <w:pgMar w:top="1400" w:right="760" w:bottom="1320" w:left="760" w:header="1158" w:footer="1136" w:gutter="0"/>
          <w:cols w:space="720" w:num="1"/>
        </w:sectPr>
      </w:pPr>
    </w:p>
    <w:p>
      <w:pPr>
        <w:spacing w:line="360" w:lineRule="auto"/>
        <w:ind w:left="565" w:leftChars="257" w:right="174" w:rightChars="79"/>
        <w:jc w:val="center"/>
        <w:rPr>
          <w:color w:val="auto"/>
          <w:sz w:val="44"/>
          <w:szCs w:val="44"/>
          <w:highlight w:val="none"/>
        </w:rPr>
      </w:pPr>
      <w:r>
        <w:rPr>
          <w:color w:val="auto"/>
          <w:sz w:val="44"/>
          <w:szCs w:val="44"/>
          <w:highlight w:val="none"/>
        </w:rPr>
        <w:t>磋 商 函</w:t>
      </w:r>
    </w:p>
    <w:p>
      <w:pPr>
        <w:spacing w:line="360" w:lineRule="auto"/>
        <w:ind w:left="565" w:leftChars="257" w:right="174" w:rightChars="79"/>
        <w:rPr>
          <w:color w:val="auto"/>
          <w:highlight w:val="none"/>
        </w:rPr>
      </w:pPr>
    </w:p>
    <w:p>
      <w:pPr>
        <w:spacing w:line="360" w:lineRule="auto"/>
        <w:ind w:left="565" w:leftChars="257" w:right="174" w:rightChars="79" w:firstLine="220" w:firstLineChars="100"/>
        <w:rPr>
          <w:color w:val="auto"/>
          <w:sz w:val="9"/>
          <w:highlight w:val="none"/>
        </w:rPr>
      </w:pPr>
      <w:r>
        <w:rPr>
          <w:color w:val="auto"/>
          <w:highlight w:val="none"/>
        </w:rPr>
        <w:t>1</w:t>
      </w:r>
      <w:r>
        <w:rPr>
          <w:color w:val="auto"/>
          <w:spacing w:val="-5"/>
          <w:highlight w:val="none"/>
        </w:rPr>
        <w:t>、根据你方项目编号为</w:t>
      </w:r>
      <w:r>
        <w:rPr>
          <w:color w:val="auto"/>
          <w:spacing w:val="98"/>
          <w:highlight w:val="none"/>
          <w:u w:val="single"/>
        </w:rPr>
        <w:t xml:space="preserve"> </w:t>
      </w:r>
      <w:r>
        <w:rPr>
          <w:color w:val="auto"/>
          <w:highlight w:val="none"/>
          <w:u w:val="single"/>
        </w:rPr>
        <w:t>（</w:t>
      </w:r>
      <w:r>
        <w:rPr>
          <w:color w:val="auto"/>
          <w:spacing w:val="-3"/>
          <w:highlight w:val="none"/>
          <w:u w:val="single"/>
        </w:rPr>
        <w:t>项目编号</w:t>
      </w:r>
      <w:r>
        <w:rPr>
          <w:color w:val="auto"/>
          <w:spacing w:val="-13"/>
          <w:highlight w:val="none"/>
          <w:u w:val="single"/>
        </w:rPr>
        <w:t>）</w:t>
      </w:r>
      <w:r>
        <w:rPr>
          <w:color w:val="auto"/>
          <w:spacing w:val="5"/>
          <w:highlight w:val="none"/>
          <w:u w:val="single"/>
        </w:rPr>
        <w:t xml:space="preserve">  </w:t>
      </w:r>
      <w:r>
        <w:rPr>
          <w:color w:val="auto"/>
          <w:highlight w:val="none"/>
        </w:rPr>
        <w:t>的</w:t>
      </w:r>
      <w:r>
        <w:rPr>
          <w:color w:val="auto"/>
          <w:spacing w:val="102"/>
          <w:highlight w:val="none"/>
          <w:u w:val="single"/>
        </w:rPr>
        <w:t xml:space="preserve"> </w:t>
      </w:r>
      <w:r>
        <w:rPr>
          <w:color w:val="auto"/>
          <w:highlight w:val="none"/>
          <w:u w:val="single"/>
        </w:rPr>
        <w:t>（</w:t>
      </w:r>
      <w:r>
        <w:rPr>
          <w:color w:val="auto"/>
          <w:spacing w:val="-3"/>
          <w:highlight w:val="none"/>
          <w:u w:val="single"/>
        </w:rPr>
        <w:t>项目名称</w:t>
      </w:r>
      <w:r>
        <w:rPr>
          <w:color w:val="auto"/>
          <w:spacing w:val="-13"/>
          <w:highlight w:val="none"/>
          <w:u w:val="single"/>
        </w:rPr>
        <w:t>）</w:t>
      </w:r>
      <w:r>
        <w:rPr>
          <w:color w:val="auto"/>
          <w:spacing w:val="5"/>
          <w:highlight w:val="none"/>
          <w:u w:val="single"/>
        </w:rPr>
        <w:t xml:space="preserve">  </w:t>
      </w:r>
      <w:r>
        <w:rPr>
          <w:color w:val="auto"/>
          <w:spacing w:val="-5"/>
          <w:highlight w:val="none"/>
        </w:rPr>
        <w:t>工程竞争性磋商文件</w:t>
      </w:r>
      <w:r>
        <w:rPr>
          <w:color w:val="auto"/>
          <w:highlight w:val="none"/>
        </w:rPr>
        <w:t>（</w:t>
      </w:r>
      <w:r>
        <w:rPr>
          <w:color w:val="auto"/>
          <w:spacing w:val="-3"/>
          <w:highlight w:val="none"/>
        </w:rPr>
        <w:t>含补遗书</w:t>
      </w:r>
    </w:p>
    <w:p>
      <w:pPr>
        <w:spacing w:line="360" w:lineRule="auto"/>
        <w:ind w:left="565" w:leftChars="257" w:right="174" w:rightChars="79"/>
        <w:rPr>
          <w:color w:val="auto"/>
          <w:sz w:val="9"/>
          <w:highlight w:val="none"/>
        </w:rPr>
      </w:pPr>
      <w:r>
        <w:rPr>
          <w:color w:val="auto"/>
          <w:highlight w:val="none"/>
        </w:rPr>
        <w:t>第</w:t>
      </w:r>
      <w:r>
        <w:rPr>
          <w:color w:val="auto"/>
          <w:spacing w:val="4"/>
          <w:highlight w:val="none"/>
          <w:u w:val="single"/>
        </w:rPr>
        <w:t xml:space="preserve">    </w:t>
      </w:r>
      <w:r>
        <w:rPr>
          <w:color w:val="auto"/>
          <w:spacing w:val="-2"/>
          <w:highlight w:val="none"/>
        </w:rPr>
        <w:t>号至第</w:t>
      </w:r>
      <w:r>
        <w:rPr>
          <w:color w:val="auto"/>
          <w:spacing w:val="4"/>
          <w:highlight w:val="none"/>
          <w:u w:val="single"/>
        </w:rPr>
        <w:t xml:space="preserve">     </w:t>
      </w:r>
      <w:r>
        <w:rPr>
          <w:color w:val="auto"/>
          <w:highlight w:val="none"/>
        </w:rPr>
        <w:t>号</w:t>
      </w:r>
      <w:r>
        <w:rPr>
          <w:color w:val="auto"/>
          <w:spacing w:val="-17"/>
          <w:highlight w:val="none"/>
        </w:rPr>
        <w:t>），</w:t>
      </w:r>
      <w:r>
        <w:rPr>
          <w:color w:val="auto"/>
          <w:spacing w:val="-7"/>
          <w:highlight w:val="none"/>
        </w:rPr>
        <w:t>参照《政府采购竞争性磋商采购方式管理暂行办法》等有关规定，经踏勘</w:t>
      </w:r>
    </w:p>
    <w:p>
      <w:pPr>
        <w:spacing w:line="360" w:lineRule="auto"/>
        <w:ind w:left="565" w:leftChars="257" w:right="174" w:rightChars="79"/>
        <w:rPr>
          <w:color w:val="auto"/>
          <w:highlight w:val="none"/>
        </w:rPr>
      </w:pPr>
      <w:r>
        <w:rPr>
          <w:color w:val="auto"/>
          <w:highlight w:val="none"/>
        </w:rPr>
        <w:t>项目现场和研究上述竞争性磋商文件的磋商须知、合同条款、图纸、工程建设标准和工程量清单及其他有关文件后，我方愿以人民币（大写）</w:t>
      </w:r>
      <w:r>
        <w:rPr>
          <w:color w:val="auto"/>
          <w:highlight w:val="none"/>
          <w:u w:val="single"/>
        </w:rPr>
        <w:t xml:space="preserve">              </w:t>
      </w:r>
      <w:r>
        <w:rPr>
          <w:color w:val="auto"/>
          <w:highlight w:val="none"/>
        </w:rPr>
        <w:t>元（RMB</w:t>
      </w:r>
      <w:r>
        <w:rPr>
          <w:color w:val="auto"/>
          <w:highlight w:val="none"/>
          <w:u w:val="single"/>
        </w:rPr>
        <w:t xml:space="preserve">¥        </w:t>
      </w:r>
      <w:r>
        <w:rPr>
          <w:color w:val="auto"/>
          <w:highlight w:val="none"/>
        </w:rPr>
        <w:t>元）的磋商报价并按上述图纸、合同条款、工程建设标准和工程量清单（如有时）的条件要求承包上述工程的施工、竣工，并承担任何质量缺陷保修责任。我方保证工程质量达到</w:t>
      </w:r>
      <w:r>
        <w:rPr>
          <w:color w:val="auto"/>
          <w:highlight w:val="none"/>
          <w:u w:val="single"/>
        </w:rPr>
        <w:t xml:space="preserve">      </w:t>
      </w:r>
      <w:r>
        <w:rPr>
          <w:color w:val="auto"/>
          <w:highlight w:val="none"/>
        </w:rPr>
        <w:t xml:space="preserve">等级。 </w:t>
      </w:r>
    </w:p>
    <w:p>
      <w:pPr>
        <w:spacing w:line="360" w:lineRule="auto"/>
        <w:ind w:left="565" w:leftChars="257" w:right="174" w:rightChars="79" w:firstLine="220" w:firstLineChars="100"/>
        <w:rPr>
          <w:color w:val="auto"/>
          <w:highlight w:val="none"/>
        </w:rPr>
      </w:pPr>
      <w:r>
        <w:rPr>
          <w:color w:val="auto"/>
          <w:highlight w:val="none"/>
        </w:rPr>
        <w:t xml:space="preserve">2、我方已详细审核全部竞争性磋商文件，包括修改文件（如有时）及有关附件。 </w:t>
      </w:r>
    </w:p>
    <w:p>
      <w:pPr>
        <w:spacing w:line="360" w:lineRule="auto"/>
        <w:ind w:left="565" w:leftChars="257" w:right="174" w:rightChars="79" w:firstLine="220" w:firstLineChars="100"/>
        <w:rPr>
          <w:color w:val="auto"/>
          <w:highlight w:val="none"/>
        </w:rPr>
      </w:pPr>
      <w:r>
        <w:rPr>
          <w:color w:val="auto"/>
          <w:highlight w:val="none"/>
        </w:rPr>
        <w:t xml:space="preserve">3、我方承认磋商函附录是我方磋商函的组成部分。 </w:t>
      </w:r>
    </w:p>
    <w:p>
      <w:pPr>
        <w:spacing w:line="360" w:lineRule="auto"/>
        <w:ind w:left="565" w:leftChars="257" w:right="174" w:rightChars="79" w:firstLine="220" w:firstLineChars="100"/>
        <w:rPr>
          <w:color w:val="auto"/>
          <w:highlight w:val="none"/>
        </w:rPr>
      </w:pPr>
      <w:r>
        <w:rPr>
          <w:color w:val="auto"/>
          <w:highlight w:val="none"/>
        </w:rPr>
        <w:t>4、一旦我方成交，我方保证按合同书中规定的工期</w:t>
      </w:r>
      <w:r>
        <w:rPr>
          <w:color w:val="auto"/>
          <w:highlight w:val="none"/>
          <w:u w:val="single"/>
        </w:rPr>
        <w:t xml:space="preserve">        </w:t>
      </w:r>
      <w:r>
        <w:rPr>
          <w:color w:val="auto"/>
          <w:highlight w:val="none"/>
        </w:rPr>
        <w:t xml:space="preserve">日历天内完成并移交全部工程。 </w:t>
      </w:r>
    </w:p>
    <w:p>
      <w:pPr>
        <w:spacing w:line="360" w:lineRule="auto"/>
        <w:ind w:left="565" w:leftChars="257" w:right="174" w:rightChars="79" w:firstLine="220" w:firstLineChars="100"/>
        <w:rPr>
          <w:color w:val="auto"/>
          <w:highlight w:val="none"/>
        </w:rPr>
      </w:pPr>
      <w:r>
        <w:rPr>
          <w:color w:val="auto"/>
          <w:highlight w:val="none"/>
        </w:rPr>
        <w:t xml:space="preserve">5、如果我方成交，我方将按照文件规定提交履约保证金作为履约担保。 </w:t>
      </w:r>
    </w:p>
    <w:p>
      <w:pPr>
        <w:spacing w:line="360" w:lineRule="auto"/>
        <w:ind w:left="565" w:leftChars="257" w:right="174" w:rightChars="79" w:firstLine="220" w:firstLineChars="100"/>
        <w:rPr>
          <w:color w:val="auto"/>
          <w:highlight w:val="none"/>
        </w:rPr>
      </w:pPr>
      <w:r>
        <w:rPr>
          <w:color w:val="auto"/>
          <w:highlight w:val="none"/>
        </w:rPr>
        <w:t xml:space="preserve">6、我方同意所提交的响应文件在竞争性磋商文件的“磋商须知”中第 16.2 条规定的响应文件有效期内有效，在此期间内如果成交，我方将受此约束。 </w:t>
      </w:r>
    </w:p>
    <w:p>
      <w:pPr>
        <w:spacing w:line="360" w:lineRule="auto"/>
        <w:ind w:left="565" w:leftChars="257" w:right="174" w:rightChars="79" w:firstLine="220" w:firstLineChars="100"/>
        <w:rPr>
          <w:color w:val="auto"/>
          <w:highlight w:val="none"/>
        </w:rPr>
      </w:pPr>
      <w:r>
        <w:rPr>
          <w:color w:val="auto"/>
          <w:highlight w:val="none"/>
        </w:rPr>
        <w:t>7</w:t>
      </w:r>
      <w:r>
        <w:rPr>
          <w:color w:val="auto"/>
          <w:spacing w:val="-11"/>
          <w:highlight w:val="none"/>
        </w:rPr>
        <w:t>、除非另外达成协议并生效，你方的成交通知书和本响应文件将成为约束双方的合同文件的组</w:t>
      </w:r>
      <w:r>
        <w:rPr>
          <w:color w:val="auto"/>
          <w:spacing w:val="-8"/>
          <w:highlight w:val="none"/>
        </w:rPr>
        <w:t>成部分。</w:t>
      </w:r>
      <w:r>
        <w:rPr>
          <w:color w:val="auto"/>
          <w:highlight w:val="none"/>
        </w:rPr>
        <w:t xml:space="preserve"> </w:t>
      </w:r>
    </w:p>
    <w:p>
      <w:pPr>
        <w:spacing w:line="360" w:lineRule="auto"/>
        <w:ind w:left="565" w:leftChars="257" w:right="174" w:rightChars="79" w:firstLine="220" w:firstLineChars="100"/>
        <w:rPr>
          <w:color w:val="auto"/>
          <w:highlight w:val="none"/>
        </w:rPr>
      </w:pPr>
      <w:r>
        <w:rPr>
          <w:color w:val="auto"/>
          <w:highlight w:val="none"/>
        </w:rPr>
        <w:t>8、我方将与本磋商函一起，提交人民币</w:t>
      </w:r>
      <w:r>
        <w:rPr>
          <w:color w:val="auto"/>
          <w:highlight w:val="none"/>
          <w:u w:val="single"/>
        </w:rPr>
        <w:t xml:space="preserve">   </w:t>
      </w:r>
      <w:r>
        <w:rPr>
          <w:color w:val="auto"/>
          <w:highlight w:val="none"/>
        </w:rPr>
        <w:t xml:space="preserve">元作为磋商保证金。 </w:t>
      </w:r>
    </w:p>
    <w:p>
      <w:pPr>
        <w:spacing w:line="360" w:lineRule="auto"/>
        <w:ind w:left="565" w:leftChars="257" w:right="174" w:rightChars="79"/>
        <w:rPr>
          <w:color w:val="auto"/>
          <w:sz w:val="20"/>
          <w:highlight w:val="none"/>
        </w:rPr>
      </w:pPr>
    </w:p>
    <w:p>
      <w:pPr>
        <w:spacing w:line="360" w:lineRule="auto"/>
        <w:ind w:left="565" w:leftChars="257" w:right="174" w:rightChars="79"/>
        <w:rPr>
          <w:color w:val="auto"/>
          <w:sz w:val="14"/>
          <w:highlight w:val="none"/>
        </w:rPr>
      </w:pPr>
    </w:p>
    <w:p>
      <w:pPr>
        <w:spacing w:line="360" w:lineRule="auto"/>
        <w:ind w:left="565" w:leftChars="257" w:right="174" w:rightChars="79"/>
        <w:rPr>
          <w:color w:val="auto"/>
          <w:sz w:val="14"/>
          <w:highlight w:val="none"/>
        </w:rPr>
      </w:pPr>
    </w:p>
    <w:p>
      <w:pPr>
        <w:spacing w:line="360" w:lineRule="auto"/>
        <w:ind w:left="565" w:leftChars="257" w:right="174" w:rightChars="79"/>
        <w:rPr>
          <w:color w:val="auto"/>
          <w:sz w:val="14"/>
          <w:highlight w:val="none"/>
        </w:rPr>
      </w:pPr>
    </w:p>
    <w:p>
      <w:pPr>
        <w:spacing w:line="360" w:lineRule="auto"/>
        <w:ind w:left="565" w:leftChars="257" w:right="174" w:rightChars="79"/>
        <w:rPr>
          <w:color w:val="auto"/>
          <w:highlight w:val="none"/>
        </w:rPr>
      </w:pPr>
      <w:r>
        <w:rPr>
          <w:color w:val="auto"/>
          <w:highlight w:val="none"/>
        </w:rPr>
        <w:t xml:space="preserve">                              供 应 商 ：</w:t>
      </w:r>
      <w:r>
        <w:rPr>
          <w:color w:val="auto"/>
          <w:highlight w:val="none"/>
          <w:u w:val="single"/>
        </w:rPr>
        <w:t xml:space="preserve"> （ 电 子 签 章 ）</w:t>
      </w:r>
      <w:r>
        <w:rPr>
          <w:rFonts w:hint="eastAsia"/>
          <w:color w:val="auto"/>
          <w:highlight w:val="none"/>
          <w:u w:val="single"/>
        </w:rPr>
        <w:t xml:space="preserve"> </w:t>
      </w:r>
      <w:r>
        <w:rPr>
          <w:color w:val="auto"/>
          <w:highlight w:val="none"/>
          <w:u w:val="single"/>
        </w:rPr>
        <w:t xml:space="preserve">            </w:t>
      </w:r>
    </w:p>
    <w:p>
      <w:pPr>
        <w:spacing w:line="360" w:lineRule="auto"/>
        <w:ind w:left="565" w:leftChars="257" w:right="174" w:rightChars="79"/>
        <w:rPr>
          <w:color w:val="auto"/>
          <w:highlight w:val="none"/>
        </w:rPr>
      </w:pPr>
      <w:r>
        <w:rPr>
          <w:color w:val="auto"/>
          <w:highlight w:val="none"/>
        </w:rPr>
        <w:t xml:space="preserve">                              单位地址：</w:t>
      </w:r>
      <w:r>
        <w:rPr>
          <w:color w:val="auto"/>
          <w:highlight w:val="none"/>
          <w:u w:val="single"/>
        </w:rPr>
        <w:t xml:space="preserve">                                </w:t>
      </w:r>
      <w:r>
        <w:rPr>
          <w:color w:val="auto"/>
          <w:highlight w:val="none"/>
        </w:rPr>
        <w:t xml:space="preserve"> </w:t>
      </w:r>
    </w:p>
    <w:p>
      <w:pPr>
        <w:spacing w:line="360" w:lineRule="auto"/>
        <w:ind w:left="565" w:leftChars="257" w:right="174" w:rightChars="79"/>
        <w:rPr>
          <w:color w:val="auto"/>
          <w:highlight w:val="none"/>
        </w:rPr>
      </w:pPr>
      <w:r>
        <w:rPr>
          <w:color w:val="auto"/>
          <w:highlight w:val="none"/>
        </w:rPr>
        <w:t xml:space="preserve">     </w:t>
      </w:r>
      <w:r>
        <w:rPr>
          <w:color w:val="auto"/>
          <w:spacing w:val="-3"/>
          <w:highlight w:val="none"/>
        </w:rPr>
        <w:t xml:space="preserve"> </w:t>
      </w:r>
      <w:r>
        <w:rPr>
          <w:color w:val="auto"/>
          <w:highlight w:val="none"/>
        </w:rPr>
        <w:t xml:space="preserve">  </w:t>
      </w:r>
      <w:r>
        <w:rPr>
          <w:color w:val="auto"/>
          <w:spacing w:val="-2"/>
          <w:highlight w:val="none"/>
        </w:rPr>
        <w:t xml:space="preserve">                       </w:t>
      </w:r>
      <w:r>
        <w:rPr>
          <w:color w:val="auto"/>
          <w:spacing w:val="-3"/>
          <w:highlight w:val="none"/>
        </w:rPr>
        <w:t>法定代表人或其委托代理人：</w:t>
      </w:r>
      <w:r>
        <w:rPr>
          <w:color w:val="auto"/>
          <w:spacing w:val="3"/>
          <w:highlight w:val="none"/>
          <w:u w:val="single"/>
        </w:rPr>
        <w:t xml:space="preserve">        </w:t>
      </w:r>
      <w:r>
        <w:rPr>
          <w:color w:val="auto"/>
          <w:highlight w:val="none"/>
          <w:u w:val="single"/>
        </w:rPr>
        <w:t>（</w:t>
      </w:r>
      <w:r>
        <w:rPr>
          <w:color w:val="auto"/>
          <w:spacing w:val="-2"/>
          <w:highlight w:val="none"/>
          <w:u w:val="single"/>
        </w:rPr>
        <w:t>签字</w:t>
      </w:r>
      <w:r>
        <w:rPr>
          <w:color w:val="auto"/>
          <w:highlight w:val="none"/>
          <w:u w:val="single"/>
        </w:rPr>
        <w:t>/</w:t>
      </w:r>
      <w:r>
        <w:rPr>
          <w:color w:val="auto"/>
          <w:spacing w:val="-3"/>
          <w:highlight w:val="none"/>
          <w:u w:val="single"/>
        </w:rPr>
        <w:t>电子签名</w:t>
      </w:r>
      <w:r>
        <w:rPr>
          <w:color w:val="auto"/>
          <w:highlight w:val="none"/>
          <w:u w:val="single"/>
        </w:rPr>
        <w:t>）</w:t>
      </w:r>
      <w:r>
        <w:rPr>
          <w:color w:val="auto"/>
          <w:highlight w:val="none"/>
        </w:rPr>
        <w:t xml:space="preserve"> </w:t>
      </w:r>
    </w:p>
    <w:p>
      <w:pPr>
        <w:spacing w:line="360" w:lineRule="auto"/>
        <w:ind w:right="174" w:rightChars="79" w:firstLine="3888" w:firstLineChars="1800"/>
        <w:rPr>
          <w:color w:val="auto"/>
          <w:highlight w:val="none"/>
        </w:rPr>
      </w:pPr>
      <w:r>
        <w:rPr>
          <w:color w:val="auto"/>
          <w:spacing w:val="-2"/>
          <w:highlight w:val="none"/>
        </w:rPr>
        <w:t>邮政编码：</w:t>
      </w:r>
      <w:r>
        <w:rPr>
          <w:color w:val="auto"/>
          <w:spacing w:val="29"/>
          <w:highlight w:val="none"/>
          <w:u w:val="single"/>
        </w:rPr>
        <w:t xml:space="preserve">      </w:t>
      </w:r>
      <w:r>
        <w:rPr>
          <w:color w:val="auto"/>
          <w:spacing w:val="-2"/>
          <w:highlight w:val="none"/>
        </w:rPr>
        <w:t>电话：</w:t>
      </w:r>
      <w:r>
        <w:rPr>
          <w:color w:val="auto"/>
          <w:highlight w:val="none"/>
          <w:u w:val="single"/>
        </w:rPr>
        <w:t xml:space="preserve">      </w:t>
      </w:r>
      <w:r>
        <w:rPr>
          <w:color w:val="auto"/>
          <w:spacing w:val="-1"/>
          <w:highlight w:val="none"/>
        </w:rPr>
        <w:t xml:space="preserve"> 传真：</w:t>
      </w:r>
      <w:r>
        <w:rPr>
          <w:color w:val="auto"/>
          <w:spacing w:val="-1"/>
          <w:highlight w:val="none"/>
          <w:u w:val="single"/>
        </w:rPr>
        <w:t xml:space="preserve"> </w:t>
      </w:r>
      <w:r>
        <w:rPr>
          <w:color w:val="auto"/>
          <w:spacing w:val="-3"/>
          <w:highlight w:val="none"/>
          <w:u w:val="single"/>
        </w:rPr>
        <w:t xml:space="preserve">  </w:t>
      </w:r>
      <w:r>
        <w:rPr>
          <w:color w:val="auto"/>
          <w:highlight w:val="none"/>
          <w:u w:val="single"/>
        </w:rPr>
        <w:t xml:space="preserve">     </w:t>
      </w:r>
      <w:r>
        <w:rPr>
          <w:color w:val="auto"/>
          <w:spacing w:val="-3"/>
          <w:highlight w:val="none"/>
          <w:u w:val="single"/>
        </w:rPr>
        <w:t xml:space="preserve">  </w:t>
      </w:r>
      <w:r>
        <w:rPr>
          <w:color w:val="auto"/>
          <w:highlight w:val="none"/>
        </w:rPr>
        <w:t xml:space="preserve"> </w:t>
      </w:r>
    </w:p>
    <w:p>
      <w:pPr>
        <w:spacing w:line="360" w:lineRule="auto"/>
        <w:ind w:left="565" w:leftChars="257" w:right="174" w:rightChars="79"/>
        <w:rPr>
          <w:color w:val="auto"/>
          <w:highlight w:val="none"/>
        </w:rPr>
      </w:pPr>
      <w:r>
        <w:rPr>
          <w:color w:val="auto"/>
          <w:highlight w:val="none"/>
        </w:rPr>
        <w:t xml:space="preserve">     </w:t>
      </w:r>
      <w:r>
        <w:rPr>
          <w:color w:val="auto"/>
          <w:spacing w:val="-3"/>
          <w:highlight w:val="none"/>
        </w:rPr>
        <w:t xml:space="preserve"> </w:t>
      </w:r>
      <w:r>
        <w:rPr>
          <w:color w:val="auto"/>
          <w:highlight w:val="none"/>
        </w:rPr>
        <w:t xml:space="preserve">  </w:t>
      </w:r>
      <w:r>
        <w:rPr>
          <w:color w:val="auto"/>
          <w:spacing w:val="-2"/>
          <w:highlight w:val="none"/>
        </w:rPr>
        <w:t xml:space="preserve">                       </w:t>
      </w:r>
      <w:r>
        <w:rPr>
          <w:color w:val="auto"/>
          <w:spacing w:val="-3"/>
          <w:highlight w:val="none"/>
        </w:rPr>
        <w:t>开户银行名称：</w:t>
      </w:r>
      <w:r>
        <w:rPr>
          <w:color w:val="auto"/>
          <w:highlight w:val="none"/>
          <w:u w:val="single"/>
        </w:rPr>
        <w:t xml:space="preserve">     </w:t>
      </w:r>
      <w:r>
        <w:rPr>
          <w:color w:val="auto"/>
          <w:spacing w:val="-3"/>
          <w:highlight w:val="none"/>
          <w:u w:val="single"/>
        </w:rPr>
        <w:t xml:space="preserve"> </w:t>
      </w:r>
      <w:r>
        <w:rPr>
          <w:color w:val="auto"/>
          <w:highlight w:val="none"/>
          <w:u w:val="single"/>
        </w:rPr>
        <w:t xml:space="preserve">   </w:t>
      </w:r>
      <w:r>
        <w:rPr>
          <w:color w:val="auto"/>
          <w:spacing w:val="-3"/>
          <w:highlight w:val="none"/>
          <w:u w:val="single"/>
        </w:rPr>
        <w:t xml:space="preserve"> </w:t>
      </w:r>
      <w:r>
        <w:rPr>
          <w:color w:val="auto"/>
          <w:highlight w:val="none"/>
          <w:u w:val="single"/>
        </w:rPr>
        <w:t xml:space="preserve">   </w:t>
      </w:r>
      <w:r>
        <w:rPr>
          <w:color w:val="auto"/>
          <w:spacing w:val="-3"/>
          <w:highlight w:val="none"/>
          <w:u w:val="single"/>
        </w:rPr>
        <w:t xml:space="preserve"> </w:t>
      </w:r>
      <w:r>
        <w:rPr>
          <w:color w:val="auto"/>
          <w:highlight w:val="none"/>
          <w:u w:val="single"/>
        </w:rPr>
        <w:t xml:space="preserve">   </w:t>
      </w:r>
      <w:r>
        <w:rPr>
          <w:color w:val="auto"/>
          <w:spacing w:val="-3"/>
          <w:highlight w:val="none"/>
          <w:u w:val="single"/>
        </w:rPr>
        <w:t xml:space="preserve"> </w:t>
      </w:r>
      <w:r>
        <w:rPr>
          <w:color w:val="auto"/>
          <w:highlight w:val="none"/>
          <w:u w:val="single"/>
        </w:rPr>
        <w:t xml:space="preserve">   </w:t>
      </w:r>
      <w:r>
        <w:rPr>
          <w:color w:val="auto"/>
          <w:spacing w:val="-3"/>
          <w:highlight w:val="none"/>
          <w:u w:val="single"/>
        </w:rPr>
        <w:t xml:space="preserve">  </w:t>
      </w:r>
      <w:r>
        <w:rPr>
          <w:color w:val="auto"/>
          <w:highlight w:val="none"/>
          <w:u w:val="single"/>
        </w:rPr>
        <w:t xml:space="preserve">     </w:t>
      </w:r>
      <w:r>
        <w:rPr>
          <w:color w:val="auto"/>
          <w:spacing w:val="-3"/>
          <w:highlight w:val="none"/>
          <w:u w:val="single"/>
        </w:rPr>
        <w:t xml:space="preserve"> </w:t>
      </w:r>
      <w:r>
        <w:rPr>
          <w:color w:val="auto"/>
          <w:highlight w:val="none"/>
          <w:u w:val="single"/>
        </w:rPr>
        <w:t xml:space="preserve">   </w:t>
      </w:r>
      <w:r>
        <w:rPr>
          <w:color w:val="auto"/>
          <w:spacing w:val="-3"/>
          <w:highlight w:val="none"/>
          <w:u w:val="single"/>
        </w:rPr>
        <w:t xml:space="preserve"> </w:t>
      </w:r>
      <w:r>
        <w:rPr>
          <w:color w:val="auto"/>
          <w:highlight w:val="none"/>
          <w:u w:val="single"/>
        </w:rPr>
        <w:t xml:space="preserve">  </w:t>
      </w:r>
      <w:r>
        <w:rPr>
          <w:color w:val="auto"/>
          <w:spacing w:val="-3"/>
          <w:highlight w:val="none"/>
          <w:u w:val="single"/>
        </w:rPr>
        <w:t xml:space="preserve"> </w:t>
      </w:r>
      <w:r>
        <w:rPr>
          <w:color w:val="auto"/>
          <w:highlight w:val="none"/>
        </w:rPr>
        <w:t xml:space="preserve"> </w:t>
      </w:r>
    </w:p>
    <w:p>
      <w:pPr>
        <w:spacing w:line="360" w:lineRule="auto"/>
        <w:ind w:left="565" w:leftChars="257" w:right="174" w:rightChars="79"/>
        <w:rPr>
          <w:color w:val="auto"/>
          <w:highlight w:val="none"/>
        </w:rPr>
      </w:pPr>
      <w:r>
        <w:rPr>
          <w:color w:val="auto"/>
          <w:highlight w:val="none"/>
        </w:rPr>
        <w:t xml:space="preserve">     </w:t>
      </w:r>
      <w:r>
        <w:rPr>
          <w:color w:val="auto"/>
          <w:spacing w:val="-3"/>
          <w:highlight w:val="none"/>
        </w:rPr>
        <w:t xml:space="preserve"> </w:t>
      </w:r>
      <w:r>
        <w:rPr>
          <w:color w:val="auto"/>
          <w:highlight w:val="none"/>
        </w:rPr>
        <w:t xml:space="preserve">  </w:t>
      </w:r>
      <w:r>
        <w:rPr>
          <w:color w:val="auto"/>
          <w:spacing w:val="-2"/>
          <w:highlight w:val="none"/>
        </w:rPr>
        <w:t xml:space="preserve">                       </w:t>
      </w:r>
      <w:r>
        <w:rPr>
          <w:color w:val="auto"/>
          <w:spacing w:val="-3"/>
          <w:highlight w:val="none"/>
        </w:rPr>
        <w:t>开户银行账号：</w:t>
      </w:r>
      <w:r>
        <w:rPr>
          <w:color w:val="auto"/>
          <w:highlight w:val="none"/>
          <w:u w:val="single"/>
        </w:rPr>
        <w:t xml:space="preserve">     </w:t>
      </w:r>
      <w:r>
        <w:rPr>
          <w:color w:val="auto"/>
          <w:spacing w:val="-3"/>
          <w:highlight w:val="none"/>
          <w:u w:val="single"/>
        </w:rPr>
        <w:t xml:space="preserve"> </w:t>
      </w:r>
      <w:r>
        <w:rPr>
          <w:color w:val="auto"/>
          <w:highlight w:val="none"/>
          <w:u w:val="single"/>
        </w:rPr>
        <w:t xml:space="preserve">   </w:t>
      </w:r>
      <w:r>
        <w:rPr>
          <w:color w:val="auto"/>
          <w:spacing w:val="-3"/>
          <w:highlight w:val="none"/>
          <w:u w:val="single"/>
        </w:rPr>
        <w:t xml:space="preserve"> </w:t>
      </w:r>
      <w:r>
        <w:rPr>
          <w:color w:val="auto"/>
          <w:highlight w:val="none"/>
          <w:u w:val="single"/>
        </w:rPr>
        <w:t xml:space="preserve">   </w:t>
      </w:r>
      <w:r>
        <w:rPr>
          <w:color w:val="auto"/>
          <w:spacing w:val="-3"/>
          <w:highlight w:val="none"/>
          <w:u w:val="single"/>
        </w:rPr>
        <w:t xml:space="preserve"> </w:t>
      </w:r>
      <w:r>
        <w:rPr>
          <w:color w:val="auto"/>
          <w:highlight w:val="none"/>
          <w:u w:val="single"/>
        </w:rPr>
        <w:t xml:space="preserve">   </w:t>
      </w:r>
      <w:r>
        <w:rPr>
          <w:color w:val="auto"/>
          <w:spacing w:val="-3"/>
          <w:highlight w:val="none"/>
          <w:u w:val="single"/>
        </w:rPr>
        <w:t xml:space="preserve"> </w:t>
      </w:r>
      <w:r>
        <w:rPr>
          <w:color w:val="auto"/>
          <w:highlight w:val="none"/>
          <w:u w:val="single"/>
        </w:rPr>
        <w:t xml:space="preserve">   </w:t>
      </w:r>
      <w:r>
        <w:rPr>
          <w:color w:val="auto"/>
          <w:spacing w:val="-3"/>
          <w:highlight w:val="none"/>
          <w:u w:val="single"/>
        </w:rPr>
        <w:t xml:space="preserve">  </w:t>
      </w:r>
      <w:r>
        <w:rPr>
          <w:color w:val="auto"/>
          <w:highlight w:val="none"/>
          <w:u w:val="single"/>
        </w:rPr>
        <w:t xml:space="preserve">     </w:t>
      </w:r>
      <w:r>
        <w:rPr>
          <w:color w:val="auto"/>
          <w:spacing w:val="-3"/>
          <w:highlight w:val="none"/>
          <w:u w:val="single"/>
        </w:rPr>
        <w:t xml:space="preserve"> </w:t>
      </w:r>
      <w:r>
        <w:rPr>
          <w:color w:val="auto"/>
          <w:highlight w:val="none"/>
          <w:u w:val="single"/>
        </w:rPr>
        <w:t xml:space="preserve">   </w:t>
      </w:r>
      <w:r>
        <w:rPr>
          <w:color w:val="auto"/>
          <w:spacing w:val="-3"/>
          <w:highlight w:val="none"/>
          <w:u w:val="single"/>
        </w:rPr>
        <w:t xml:space="preserve"> </w:t>
      </w:r>
      <w:r>
        <w:rPr>
          <w:color w:val="auto"/>
          <w:highlight w:val="none"/>
          <w:u w:val="single"/>
        </w:rPr>
        <w:t xml:space="preserve">  </w:t>
      </w:r>
      <w:r>
        <w:rPr>
          <w:color w:val="auto"/>
          <w:spacing w:val="-3"/>
          <w:highlight w:val="none"/>
          <w:u w:val="single"/>
        </w:rPr>
        <w:t xml:space="preserve"> </w:t>
      </w:r>
      <w:r>
        <w:rPr>
          <w:color w:val="auto"/>
          <w:highlight w:val="none"/>
        </w:rPr>
        <w:t xml:space="preserve"> </w:t>
      </w:r>
    </w:p>
    <w:p>
      <w:pPr>
        <w:spacing w:line="360" w:lineRule="auto"/>
        <w:ind w:left="565" w:leftChars="257" w:right="174" w:rightChars="79"/>
        <w:rPr>
          <w:color w:val="auto"/>
          <w:highlight w:val="none"/>
        </w:rPr>
      </w:pPr>
      <w:r>
        <w:rPr>
          <w:color w:val="auto"/>
          <w:highlight w:val="none"/>
        </w:rPr>
        <w:t xml:space="preserve">     </w:t>
      </w:r>
      <w:r>
        <w:rPr>
          <w:color w:val="auto"/>
          <w:spacing w:val="-3"/>
          <w:highlight w:val="none"/>
        </w:rPr>
        <w:t xml:space="preserve"> </w:t>
      </w:r>
      <w:r>
        <w:rPr>
          <w:color w:val="auto"/>
          <w:highlight w:val="none"/>
        </w:rPr>
        <w:t xml:space="preserve">  </w:t>
      </w:r>
      <w:r>
        <w:rPr>
          <w:color w:val="auto"/>
          <w:spacing w:val="-2"/>
          <w:highlight w:val="none"/>
        </w:rPr>
        <w:t xml:space="preserve">                       </w:t>
      </w:r>
      <w:r>
        <w:rPr>
          <w:color w:val="auto"/>
          <w:spacing w:val="-3"/>
          <w:highlight w:val="none"/>
        </w:rPr>
        <w:t>开户银行地址：</w:t>
      </w:r>
      <w:r>
        <w:rPr>
          <w:color w:val="auto"/>
          <w:highlight w:val="none"/>
          <w:u w:val="single"/>
        </w:rPr>
        <w:t xml:space="preserve">     </w:t>
      </w:r>
      <w:r>
        <w:rPr>
          <w:color w:val="auto"/>
          <w:spacing w:val="-3"/>
          <w:highlight w:val="none"/>
          <w:u w:val="single"/>
        </w:rPr>
        <w:t xml:space="preserve"> </w:t>
      </w:r>
      <w:r>
        <w:rPr>
          <w:color w:val="auto"/>
          <w:highlight w:val="none"/>
          <w:u w:val="single"/>
        </w:rPr>
        <w:t xml:space="preserve">   </w:t>
      </w:r>
      <w:r>
        <w:rPr>
          <w:color w:val="auto"/>
          <w:spacing w:val="-3"/>
          <w:highlight w:val="none"/>
          <w:u w:val="single"/>
        </w:rPr>
        <w:t xml:space="preserve"> </w:t>
      </w:r>
      <w:r>
        <w:rPr>
          <w:color w:val="auto"/>
          <w:highlight w:val="none"/>
          <w:u w:val="single"/>
        </w:rPr>
        <w:t xml:space="preserve">   </w:t>
      </w:r>
      <w:r>
        <w:rPr>
          <w:color w:val="auto"/>
          <w:spacing w:val="-3"/>
          <w:highlight w:val="none"/>
          <w:u w:val="single"/>
        </w:rPr>
        <w:t xml:space="preserve"> </w:t>
      </w:r>
      <w:r>
        <w:rPr>
          <w:color w:val="auto"/>
          <w:highlight w:val="none"/>
          <w:u w:val="single"/>
        </w:rPr>
        <w:t xml:space="preserve">   </w:t>
      </w:r>
      <w:r>
        <w:rPr>
          <w:color w:val="auto"/>
          <w:spacing w:val="-3"/>
          <w:highlight w:val="none"/>
          <w:u w:val="single"/>
        </w:rPr>
        <w:t xml:space="preserve"> </w:t>
      </w:r>
      <w:r>
        <w:rPr>
          <w:color w:val="auto"/>
          <w:highlight w:val="none"/>
          <w:u w:val="single"/>
        </w:rPr>
        <w:t xml:space="preserve">   </w:t>
      </w:r>
      <w:r>
        <w:rPr>
          <w:color w:val="auto"/>
          <w:spacing w:val="-3"/>
          <w:highlight w:val="none"/>
          <w:u w:val="single"/>
        </w:rPr>
        <w:t xml:space="preserve">  </w:t>
      </w:r>
      <w:r>
        <w:rPr>
          <w:color w:val="auto"/>
          <w:highlight w:val="none"/>
          <w:u w:val="single"/>
        </w:rPr>
        <w:t xml:space="preserve">     </w:t>
      </w:r>
      <w:r>
        <w:rPr>
          <w:color w:val="auto"/>
          <w:spacing w:val="-3"/>
          <w:highlight w:val="none"/>
          <w:u w:val="single"/>
        </w:rPr>
        <w:t xml:space="preserve"> </w:t>
      </w:r>
      <w:r>
        <w:rPr>
          <w:color w:val="auto"/>
          <w:highlight w:val="none"/>
          <w:u w:val="single"/>
        </w:rPr>
        <w:t xml:space="preserve">   </w:t>
      </w:r>
      <w:r>
        <w:rPr>
          <w:color w:val="auto"/>
          <w:spacing w:val="-3"/>
          <w:highlight w:val="none"/>
          <w:u w:val="single"/>
        </w:rPr>
        <w:t xml:space="preserve"> </w:t>
      </w:r>
      <w:r>
        <w:rPr>
          <w:color w:val="auto"/>
          <w:highlight w:val="none"/>
          <w:u w:val="single"/>
        </w:rPr>
        <w:t xml:space="preserve">  </w:t>
      </w:r>
      <w:r>
        <w:rPr>
          <w:color w:val="auto"/>
          <w:spacing w:val="-3"/>
          <w:highlight w:val="none"/>
          <w:u w:val="single"/>
        </w:rPr>
        <w:t xml:space="preserve"> </w:t>
      </w:r>
      <w:r>
        <w:rPr>
          <w:color w:val="auto"/>
          <w:highlight w:val="none"/>
        </w:rPr>
        <w:t xml:space="preserve"> </w:t>
      </w:r>
    </w:p>
    <w:p>
      <w:pPr>
        <w:spacing w:line="360" w:lineRule="auto"/>
        <w:ind w:left="565" w:leftChars="257" w:right="174" w:rightChars="79"/>
        <w:rPr>
          <w:color w:val="auto"/>
          <w:spacing w:val="-3"/>
          <w:highlight w:val="none"/>
        </w:rPr>
      </w:pPr>
      <w:r>
        <w:rPr>
          <w:color w:val="auto"/>
          <w:highlight w:val="none"/>
        </w:rPr>
        <w:t xml:space="preserve">     </w:t>
      </w:r>
      <w:r>
        <w:rPr>
          <w:color w:val="auto"/>
          <w:spacing w:val="-3"/>
          <w:highlight w:val="none"/>
        </w:rPr>
        <w:t xml:space="preserve"> </w:t>
      </w:r>
      <w:r>
        <w:rPr>
          <w:color w:val="auto"/>
          <w:highlight w:val="none"/>
        </w:rPr>
        <w:t xml:space="preserve">  </w:t>
      </w:r>
      <w:r>
        <w:rPr>
          <w:color w:val="auto"/>
          <w:spacing w:val="-2"/>
          <w:highlight w:val="none"/>
        </w:rPr>
        <w:t xml:space="preserve">                       </w:t>
      </w:r>
      <w:r>
        <w:rPr>
          <w:color w:val="auto"/>
          <w:spacing w:val="-3"/>
          <w:highlight w:val="none"/>
        </w:rPr>
        <w:t>开户银行电话：</w:t>
      </w:r>
      <w:r>
        <w:rPr>
          <w:color w:val="auto"/>
          <w:spacing w:val="-3"/>
          <w:highlight w:val="none"/>
          <w:u w:val="single"/>
        </w:rPr>
        <w:t xml:space="preserve">                                    </w:t>
      </w:r>
      <w:r>
        <w:rPr>
          <w:color w:val="auto"/>
          <w:spacing w:val="-3"/>
          <w:highlight w:val="none"/>
        </w:rPr>
        <w:t xml:space="preserve"> </w:t>
      </w:r>
    </w:p>
    <w:p>
      <w:pPr>
        <w:spacing w:line="360" w:lineRule="auto"/>
        <w:ind w:left="565" w:leftChars="257" w:right="174" w:rightChars="79" w:firstLine="4796" w:firstLineChars="2200"/>
        <w:rPr>
          <w:color w:val="auto"/>
          <w:highlight w:val="none"/>
        </w:rPr>
      </w:pPr>
      <w:r>
        <w:rPr>
          <w:color w:val="auto"/>
          <w:spacing w:val="-1"/>
          <w:highlight w:val="none"/>
        </w:rPr>
        <w:t>日 期 ：</w:t>
      </w:r>
      <w:r>
        <w:rPr>
          <w:color w:val="auto"/>
          <w:spacing w:val="-3"/>
          <w:highlight w:val="none"/>
          <w:u w:val="single"/>
        </w:rPr>
        <w:t xml:space="preserve"> </w:t>
      </w:r>
      <w:r>
        <w:rPr>
          <w:color w:val="auto"/>
          <w:highlight w:val="none"/>
        </w:rPr>
        <w:t>年</w:t>
      </w:r>
      <w:r>
        <w:rPr>
          <w:color w:val="auto"/>
          <w:highlight w:val="none"/>
          <w:u w:val="single"/>
        </w:rPr>
        <w:t xml:space="preserve"> </w:t>
      </w:r>
      <w:r>
        <w:rPr>
          <w:color w:val="auto"/>
          <w:highlight w:val="none"/>
        </w:rPr>
        <w:t>月</w:t>
      </w:r>
      <w:r>
        <w:rPr>
          <w:color w:val="auto"/>
          <w:spacing w:val="23"/>
          <w:highlight w:val="none"/>
          <w:u w:val="single"/>
        </w:rPr>
        <w:t xml:space="preserve"> </w:t>
      </w:r>
      <w:r>
        <w:rPr>
          <w:color w:val="auto"/>
          <w:spacing w:val="-3"/>
          <w:highlight w:val="none"/>
        </w:rPr>
        <w:t>日</w:t>
      </w:r>
      <w:r>
        <w:rPr>
          <w:color w:val="auto"/>
          <w:highlight w:val="none"/>
        </w:rPr>
        <w:t xml:space="preserve"> </w:t>
      </w:r>
    </w:p>
    <w:p>
      <w:pPr>
        <w:pStyle w:val="9"/>
        <w:spacing w:line="304" w:lineRule="exact"/>
        <w:ind w:left="2886"/>
        <w:outlineLvl w:val="9"/>
        <w:rPr>
          <w:color w:val="auto"/>
          <w:highlight w:val="none"/>
        </w:rPr>
      </w:pPr>
      <w:r>
        <w:rPr>
          <w:color w:val="auto"/>
          <w:w w:val="99"/>
          <w:highlight w:val="none"/>
        </w:rPr>
        <w:t xml:space="preserve"> </w:t>
      </w:r>
    </w:p>
    <w:p>
      <w:pPr>
        <w:spacing w:line="304" w:lineRule="exact"/>
        <w:rPr>
          <w:color w:val="auto"/>
          <w:highlight w:val="none"/>
        </w:rPr>
        <w:sectPr>
          <w:pgSz w:w="11900" w:h="16850"/>
          <w:pgMar w:top="1134" w:right="760" w:bottom="1320" w:left="760" w:header="1158" w:footer="1136" w:gutter="0"/>
          <w:cols w:space="720" w:num="1"/>
        </w:sectPr>
      </w:pPr>
    </w:p>
    <w:p>
      <w:pPr>
        <w:spacing w:before="144"/>
        <w:ind w:left="122"/>
        <w:jc w:val="center"/>
        <w:rPr>
          <w:color w:val="auto"/>
          <w:sz w:val="32"/>
          <w:highlight w:val="none"/>
        </w:rPr>
      </w:pPr>
      <w:r>
        <w:rPr>
          <w:b/>
          <w:color w:val="auto"/>
          <w:w w:val="99"/>
          <w:sz w:val="24"/>
          <w:highlight w:val="none"/>
        </w:rPr>
        <w:t xml:space="preserve"> </w:t>
      </w:r>
      <w:r>
        <w:rPr>
          <w:color w:val="auto"/>
          <w:sz w:val="32"/>
          <w:highlight w:val="none"/>
        </w:rPr>
        <w:t>磋商函附录</w:t>
      </w:r>
    </w:p>
    <w:p>
      <w:pPr>
        <w:pStyle w:val="8"/>
        <w:spacing w:before="110" w:after="17"/>
        <w:jc w:val="center"/>
        <w:outlineLvl w:val="9"/>
        <w:rPr>
          <w:color w:val="auto"/>
          <w:highlight w:val="none"/>
        </w:rPr>
      </w:pPr>
      <w:r>
        <w:rPr>
          <w:color w:val="auto"/>
          <w:highlight w:val="none"/>
        </w:rPr>
        <mc:AlternateContent>
          <mc:Choice Requires="wps">
            <w:drawing>
              <wp:anchor distT="0" distB="0" distL="114300" distR="114300" simplePos="0" relativeHeight="251662336" behindDoc="1" locked="0" layoutInCell="1" allowOverlap="1">
                <wp:simplePos x="0" y="0"/>
                <wp:positionH relativeFrom="page">
                  <wp:posOffset>3853815</wp:posOffset>
                </wp:positionH>
                <wp:positionV relativeFrom="paragraph">
                  <wp:posOffset>316230</wp:posOffset>
                </wp:positionV>
                <wp:extent cx="2332355" cy="390525"/>
                <wp:effectExtent l="0" t="0" r="10795" b="9525"/>
                <wp:wrapNone/>
                <wp:docPr id="5" name="任意多边形 7"/>
                <wp:cNvGraphicFramePr/>
                <a:graphic xmlns:a="http://schemas.openxmlformats.org/drawingml/2006/main">
                  <a:graphicData uri="http://schemas.microsoft.com/office/word/2010/wordprocessingShape">
                    <wps:wsp>
                      <wps:cNvSpPr/>
                      <wps:spPr>
                        <a:xfrm>
                          <a:off x="0" y="0"/>
                          <a:ext cx="2332355" cy="390525"/>
                        </a:xfrm>
                        <a:custGeom>
                          <a:avLst/>
                          <a:gdLst/>
                          <a:ahLst/>
                          <a:cxnLst/>
                          <a:pathLst>
                            <a:path w="3673" h="615">
                              <a:moveTo>
                                <a:pt x="3672" y="0"/>
                              </a:moveTo>
                              <a:lnTo>
                                <a:pt x="0" y="0"/>
                              </a:lnTo>
                              <a:lnTo>
                                <a:pt x="0" y="254"/>
                              </a:lnTo>
                              <a:lnTo>
                                <a:pt x="0" y="614"/>
                              </a:lnTo>
                              <a:lnTo>
                                <a:pt x="4" y="614"/>
                              </a:lnTo>
                              <a:lnTo>
                                <a:pt x="4" y="254"/>
                              </a:lnTo>
                              <a:lnTo>
                                <a:pt x="4" y="614"/>
                              </a:lnTo>
                              <a:lnTo>
                                <a:pt x="3662" y="614"/>
                              </a:lnTo>
                              <a:lnTo>
                                <a:pt x="3662" y="254"/>
                              </a:lnTo>
                              <a:lnTo>
                                <a:pt x="3672" y="254"/>
                              </a:lnTo>
                              <a:lnTo>
                                <a:pt x="3672" y="0"/>
                              </a:lnTo>
                              <a:close/>
                            </a:path>
                          </a:pathLst>
                        </a:custGeom>
                        <a:solidFill>
                          <a:srgbClr val="FFFFFF"/>
                        </a:solidFill>
                        <a:ln>
                          <a:noFill/>
                        </a:ln>
                      </wps:spPr>
                      <wps:bodyPr upright="1"/>
                    </wps:wsp>
                  </a:graphicData>
                </a:graphic>
              </wp:anchor>
            </w:drawing>
          </mc:Choice>
          <mc:Fallback>
            <w:pict>
              <v:shape id="任意多边形 7" o:spid="_x0000_s1026" o:spt="100" style="position:absolute;left:0pt;margin-left:303.45pt;margin-top:24.9pt;height:30.75pt;width:183.65pt;mso-position-horizontal-relative:page;z-index:-251654144;mso-width-relative:page;mso-height-relative:page;" fillcolor="#FFFFFF" filled="t" stroked="f" coordsize="3673,615" o:gfxdata="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" path="m3672,0l0,0,0,254,0,614,4,614,4,254,4,614,3662,614,3662,254,3672,254,3672,0xe">
                <v:fill on="t" focussize="0,0"/>
                <v:stroke on="f"/>
                <v:imagedata o:title=""/>
                <o:lock v:ext="edit" aspectratio="f"/>
              </v:shape>
            </w:pict>
          </mc:Fallback>
        </mc:AlternateContent>
      </w:r>
      <w:r>
        <w:rPr>
          <w:color w:val="auto"/>
          <w:highlight w:val="none"/>
        </w:rPr>
        <w:t xml:space="preserve"> </w:t>
      </w:r>
    </w:p>
    <w:tbl>
      <w:tblPr>
        <w:tblStyle w:val="52"/>
        <w:tblW w:w="0" w:type="auto"/>
        <w:tblInd w:w="654"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96"/>
        <w:gridCol w:w="2753"/>
        <w:gridCol w:w="1205"/>
        <w:gridCol w:w="3677"/>
        <w:gridCol w:w="77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6" w:hRule="atLeast"/>
        </w:trPr>
        <w:tc>
          <w:tcPr>
            <w:tcW w:w="696" w:type="dxa"/>
            <w:vAlign w:val="center"/>
          </w:tcPr>
          <w:p>
            <w:pPr>
              <w:pStyle w:val="54"/>
              <w:ind w:left="136"/>
              <w:rPr>
                <w:color w:val="auto"/>
                <w:sz w:val="21"/>
                <w:highlight w:val="none"/>
              </w:rPr>
            </w:pPr>
            <w:r>
              <w:rPr>
                <w:b/>
                <w:color w:val="auto"/>
                <w:sz w:val="21"/>
                <w:highlight w:val="none"/>
              </w:rPr>
              <w:t>序号</w:t>
            </w:r>
            <w:r>
              <w:rPr>
                <w:color w:val="auto"/>
                <w:sz w:val="21"/>
                <w:highlight w:val="none"/>
              </w:rPr>
              <w:t xml:space="preserve"> </w:t>
            </w:r>
          </w:p>
        </w:tc>
        <w:tc>
          <w:tcPr>
            <w:tcW w:w="2753" w:type="dxa"/>
            <w:vAlign w:val="center"/>
          </w:tcPr>
          <w:p>
            <w:pPr>
              <w:pStyle w:val="54"/>
              <w:ind w:left="954"/>
              <w:rPr>
                <w:color w:val="auto"/>
                <w:sz w:val="21"/>
                <w:highlight w:val="none"/>
              </w:rPr>
            </w:pPr>
            <w:r>
              <w:rPr>
                <w:b/>
                <w:color w:val="auto"/>
                <w:sz w:val="21"/>
                <w:highlight w:val="none"/>
              </w:rPr>
              <w:t>条款名称</w:t>
            </w:r>
            <w:r>
              <w:rPr>
                <w:color w:val="auto"/>
                <w:sz w:val="21"/>
                <w:highlight w:val="none"/>
              </w:rPr>
              <w:t xml:space="preserve"> </w:t>
            </w:r>
          </w:p>
        </w:tc>
        <w:tc>
          <w:tcPr>
            <w:tcW w:w="1205" w:type="dxa"/>
            <w:vAlign w:val="center"/>
          </w:tcPr>
          <w:p>
            <w:pPr>
              <w:pStyle w:val="54"/>
              <w:ind w:left="74" w:right="-44"/>
              <w:jc w:val="center"/>
              <w:rPr>
                <w:color w:val="auto"/>
                <w:sz w:val="21"/>
                <w:highlight w:val="none"/>
              </w:rPr>
            </w:pPr>
            <w:r>
              <w:rPr>
                <w:b/>
                <w:color w:val="auto"/>
                <w:sz w:val="21"/>
                <w:highlight w:val="none"/>
              </w:rPr>
              <w:t>合同条目号</w:t>
            </w:r>
            <w:r>
              <w:rPr>
                <w:color w:val="auto"/>
                <w:sz w:val="21"/>
                <w:highlight w:val="none"/>
              </w:rPr>
              <w:t xml:space="preserve"> </w:t>
            </w:r>
          </w:p>
        </w:tc>
        <w:tc>
          <w:tcPr>
            <w:tcW w:w="3677" w:type="dxa"/>
            <w:vAlign w:val="center"/>
          </w:tcPr>
          <w:p>
            <w:pPr>
              <w:pStyle w:val="54"/>
              <w:spacing w:line="262" w:lineRule="exact"/>
              <w:ind w:left="1448" w:right="1334"/>
              <w:jc w:val="center"/>
              <w:rPr>
                <w:color w:val="auto"/>
                <w:sz w:val="21"/>
                <w:highlight w:val="none"/>
              </w:rPr>
            </w:pPr>
            <w:r>
              <w:rPr>
                <w:b/>
                <w:color w:val="auto"/>
                <w:sz w:val="21"/>
                <w:highlight w:val="none"/>
              </w:rPr>
              <w:t>约定内容</w:t>
            </w:r>
            <w:r>
              <w:rPr>
                <w:color w:val="auto"/>
                <w:sz w:val="21"/>
                <w:highlight w:val="none"/>
              </w:rPr>
              <w:t xml:space="preserve"> </w:t>
            </w:r>
          </w:p>
        </w:tc>
        <w:tc>
          <w:tcPr>
            <w:tcW w:w="770" w:type="dxa"/>
            <w:vAlign w:val="center"/>
          </w:tcPr>
          <w:p>
            <w:pPr>
              <w:pStyle w:val="54"/>
              <w:spacing w:line="262" w:lineRule="exact"/>
              <w:ind w:left="190"/>
              <w:rPr>
                <w:color w:val="auto"/>
                <w:sz w:val="21"/>
                <w:highlight w:val="none"/>
              </w:rPr>
            </w:pPr>
            <w:r>
              <w:rPr>
                <w:b/>
                <w:color w:val="auto"/>
                <w:sz w:val="21"/>
                <w:highlight w:val="none"/>
              </w:rPr>
              <w:t>备注</w:t>
            </w:r>
            <w:r>
              <w:rPr>
                <w:color w:val="auto"/>
                <w:sz w:val="21"/>
                <w:highlight w:val="non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7" w:hRule="atLeast"/>
        </w:trPr>
        <w:tc>
          <w:tcPr>
            <w:tcW w:w="696" w:type="dxa"/>
          </w:tcPr>
          <w:p>
            <w:pPr>
              <w:pStyle w:val="54"/>
              <w:spacing w:before="8"/>
              <w:rPr>
                <w:color w:val="auto"/>
                <w:sz w:val="17"/>
                <w:highlight w:val="none"/>
              </w:rPr>
            </w:pPr>
          </w:p>
          <w:p>
            <w:pPr>
              <w:pStyle w:val="54"/>
              <w:ind w:left="218"/>
              <w:rPr>
                <w:color w:val="auto"/>
                <w:sz w:val="21"/>
                <w:highlight w:val="none"/>
              </w:rPr>
            </w:pPr>
            <w:r>
              <w:rPr>
                <w:b/>
                <w:color w:val="auto"/>
                <w:sz w:val="21"/>
                <w:highlight w:val="none"/>
              </w:rPr>
              <w:t>1</w:t>
            </w:r>
            <w:r>
              <w:rPr>
                <w:color w:val="auto"/>
                <w:sz w:val="21"/>
                <w:highlight w:val="none"/>
              </w:rPr>
              <w:t xml:space="preserve"> </w:t>
            </w:r>
          </w:p>
        </w:tc>
        <w:tc>
          <w:tcPr>
            <w:tcW w:w="2753" w:type="dxa"/>
          </w:tcPr>
          <w:p>
            <w:pPr>
              <w:pStyle w:val="54"/>
              <w:spacing w:before="8"/>
              <w:rPr>
                <w:color w:val="auto"/>
                <w:sz w:val="17"/>
                <w:highlight w:val="none"/>
              </w:rPr>
            </w:pPr>
          </w:p>
          <w:p>
            <w:pPr>
              <w:pStyle w:val="54"/>
              <w:ind w:left="849"/>
              <w:rPr>
                <w:color w:val="auto"/>
                <w:sz w:val="21"/>
                <w:highlight w:val="none"/>
              </w:rPr>
            </w:pPr>
            <w:r>
              <w:rPr>
                <w:color w:val="auto"/>
                <w:sz w:val="21"/>
                <w:highlight w:val="none"/>
              </w:rPr>
              <w:t xml:space="preserve">缺陷责任期 </w:t>
            </w:r>
          </w:p>
        </w:tc>
        <w:tc>
          <w:tcPr>
            <w:tcW w:w="1205" w:type="dxa"/>
          </w:tcPr>
          <w:p>
            <w:pPr>
              <w:pStyle w:val="54"/>
              <w:spacing w:before="8"/>
              <w:rPr>
                <w:color w:val="auto"/>
                <w:sz w:val="17"/>
                <w:highlight w:val="none"/>
              </w:rPr>
            </w:pPr>
          </w:p>
          <w:p>
            <w:pPr>
              <w:pStyle w:val="54"/>
              <w:ind w:left="157" w:right="44"/>
              <w:jc w:val="center"/>
              <w:rPr>
                <w:color w:val="auto"/>
                <w:sz w:val="21"/>
                <w:highlight w:val="none"/>
              </w:rPr>
            </w:pPr>
            <w:r>
              <w:rPr>
                <w:b/>
                <w:color w:val="auto"/>
                <w:sz w:val="21"/>
                <w:highlight w:val="none"/>
              </w:rPr>
              <w:t>1.1.4.5</w:t>
            </w:r>
            <w:r>
              <w:rPr>
                <w:color w:val="auto"/>
                <w:sz w:val="21"/>
                <w:highlight w:val="none"/>
              </w:rPr>
              <w:t xml:space="preserve"> </w:t>
            </w:r>
          </w:p>
        </w:tc>
        <w:tc>
          <w:tcPr>
            <w:tcW w:w="3677" w:type="dxa"/>
          </w:tcPr>
          <w:p>
            <w:pPr>
              <w:pStyle w:val="54"/>
              <w:spacing w:before="8"/>
              <w:rPr>
                <w:color w:val="auto"/>
                <w:sz w:val="17"/>
                <w:highlight w:val="none"/>
              </w:rPr>
            </w:pPr>
          </w:p>
          <w:p>
            <w:pPr>
              <w:pStyle w:val="54"/>
              <w:ind w:left="9"/>
              <w:rPr>
                <w:color w:val="auto"/>
                <w:sz w:val="21"/>
                <w:highlight w:val="none"/>
              </w:rPr>
            </w:pPr>
            <w:r>
              <w:rPr>
                <w:color w:val="auto"/>
                <w:sz w:val="21"/>
                <w:highlight w:val="none"/>
              </w:rPr>
              <w:t>自实际交工日期起计算</w:t>
            </w:r>
            <w:r>
              <w:rPr>
                <w:color w:val="auto"/>
                <w:sz w:val="21"/>
                <w:highlight w:val="none"/>
                <w:u w:val="single"/>
              </w:rPr>
              <w:t xml:space="preserve">    </w:t>
            </w:r>
            <w:r>
              <w:rPr>
                <w:color w:val="auto"/>
                <w:sz w:val="21"/>
                <w:highlight w:val="none"/>
              </w:rPr>
              <w:t xml:space="preserve">年 </w:t>
            </w:r>
          </w:p>
        </w:tc>
        <w:tc>
          <w:tcPr>
            <w:tcW w:w="770" w:type="dxa"/>
          </w:tcPr>
          <w:p>
            <w:pPr>
              <w:pStyle w:val="54"/>
              <w:spacing w:before="78"/>
              <w:ind w:left="10"/>
              <w:rPr>
                <w:color w:val="auto"/>
                <w:sz w:val="21"/>
                <w:highlight w:val="none"/>
              </w:rPr>
            </w:pPr>
            <w:r>
              <w:rPr>
                <w:color w:val="auto"/>
                <w:sz w:val="21"/>
                <w:highlight w:val="non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4" w:hRule="atLeast"/>
        </w:trPr>
        <w:tc>
          <w:tcPr>
            <w:tcW w:w="696" w:type="dxa"/>
          </w:tcPr>
          <w:p>
            <w:pPr>
              <w:pStyle w:val="54"/>
              <w:spacing w:before="166"/>
              <w:ind w:left="218"/>
              <w:rPr>
                <w:color w:val="auto"/>
                <w:sz w:val="21"/>
                <w:highlight w:val="none"/>
              </w:rPr>
            </w:pPr>
            <w:r>
              <w:rPr>
                <w:b/>
                <w:color w:val="auto"/>
                <w:sz w:val="21"/>
                <w:highlight w:val="none"/>
              </w:rPr>
              <w:t>2</w:t>
            </w:r>
            <w:r>
              <w:rPr>
                <w:color w:val="auto"/>
                <w:sz w:val="21"/>
                <w:highlight w:val="none"/>
              </w:rPr>
              <w:t xml:space="preserve"> </w:t>
            </w:r>
          </w:p>
        </w:tc>
        <w:tc>
          <w:tcPr>
            <w:tcW w:w="2753" w:type="dxa"/>
          </w:tcPr>
          <w:p>
            <w:pPr>
              <w:pStyle w:val="54"/>
              <w:spacing w:before="166"/>
              <w:ind w:left="640"/>
              <w:rPr>
                <w:color w:val="auto"/>
                <w:sz w:val="21"/>
                <w:highlight w:val="none"/>
              </w:rPr>
            </w:pPr>
            <w:r>
              <w:rPr>
                <w:color w:val="auto"/>
                <w:sz w:val="21"/>
                <w:highlight w:val="none"/>
              </w:rPr>
              <w:t xml:space="preserve">逾期交工违约金 </w:t>
            </w:r>
          </w:p>
        </w:tc>
        <w:tc>
          <w:tcPr>
            <w:tcW w:w="1205" w:type="dxa"/>
          </w:tcPr>
          <w:p>
            <w:pPr>
              <w:pStyle w:val="54"/>
              <w:spacing w:before="166"/>
              <w:ind w:left="157" w:right="41"/>
              <w:jc w:val="center"/>
              <w:rPr>
                <w:color w:val="auto"/>
                <w:sz w:val="21"/>
                <w:highlight w:val="none"/>
              </w:rPr>
            </w:pPr>
            <w:r>
              <w:rPr>
                <w:b/>
                <w:color w:val="auto"/>
                <w:sz w:val="21"/>
                <w:highlight w:val="none"/>
              </w:rPr>
              <w:t>11.5</w:t>
            </w:r>
            <w:r>
              <w:rPr>
                <w:color w:val="auto"/>
                <w:sz w:val="21"/>
                <w:highlight w:val="none"/>
              </w:rPr>
              <w:t xml:space="preserve"> </w:t>
            </w:r>
          </w:p>
        </w:tc>
        <w:tc>
          <w:tcPr>
            <w:tcW w:w="3677" w:type="dxa"/>
          </w:tcPr>
          <w:p>
            <w:pPr>
              <w:pStyle w:val="54"/>
              <w:spacing w:before="166"/>
              <w:ind w:left="9"/>
              <w:rPr>
                <w:color w:val="auto"/>
                <w:sz w:val="21"/>
                <w:highlight w:val="none"/>
              </w:rPr>
            </w:pPr>
            <w:r>
              <w:rPr>
                <w:color w:val="auto"/>
                <w:sz w:val="21"/>
                <w:highlight w:val="none"/>
                <w:u w:val="single"/>
              </w:rPr>
              <w:t xml:space="preserve">     </w:t>
            </w:r>
            <w:r>
              <w:rPr>
                <w:color w:val="auto"/>
                <w:sz w:val="21"/>
                <w:highlight w:val="none"/>
              </w:rPr>
              <w:t xml:space="preserve">元/天 </w:t>
            </w:r>
          </w:p>
        </w:tc>
        <w:tc>
          <w:tcPr>
            <w:tcW w:w="770" w:type="dxa"/>
          </w:tcPr>
          <w:p>
            <w:pPr>
              <w:pStyle w:val="54"/>
              <w:spacing w:before="78"/>
              <w:ind w:left="10"/>
              <w:rPr>
                <w:color w:val="auto"/>
                <w:sz w:val="21"/>
                <w:highlight w:val="none"/>
              </w:rPr>
            </w:pPr>
            <w:r>
              <w:rPr>
                <w:color w:val="auto"/>
                <w:sz w:val="21"/>
                <w:highlight w:val="non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696" w:type="dxa"/>
          </w:tcPr>
          <w:p>
            <w:pPr>
              <w:pStyle w:val="54"/>
              <w:spacing w:before="9"/>
              <w:rPr>
                <w:color w:val="auto"/>
                <w:sz w:val="14"/>
                <w:highlight w:val="none"/>
              </w:rPr>
            </w:pPr>
          </w:p>
          <w:p>
            <w:pPr>
              <w:pStyle w:val="54"/>
              <w:ind w:left="218"/>
              <w:rPr>
                <w:color w:val="auto"/>
                <w:sz w:val="21"/>
                <w:highlight w:val="none"/>
              </w:rPr>
            </w:pPr>
            <w:r>
              <w:rPr>
                <w:b/>
                <w:color w:val="auto"/>
                <w:sz w:val="21"/>
                <w:highlight w:val="none"/>
              </w:rPr>
              <w:t>3</w:t>
            </w:r>
            <w:r>
              <w:rPr>
                <w:color w:val="auto"/>
                <w:sz w:val="21"/>
                <w:highlight w:val="none"/>
              </w:rPr>
              <w:t xml:space="preserve"> </w:t>
            </w:r>
          </w:p>
        </w:tc>
        <w:tc>
          <w:tcPr>
            <w:tcW w:w="2753" w:type="dxa"/>
          </w:tcPr>
          <w:p>
            <w:pPr>
              <w:pStyle w:val="54"/>
              <w:spacing w:before="9"/>
              <w:rPr>
                <w:color w:val="auto"/>
                <w:sz w:val="14"/>
                <w:highlight w:val="none"/>
              </w:rPr>
            </w:pPr>
          </w:p>
          <w:p>
            <w:pPr>
              <w:pStyle w:val="54"/>
              <w:ind w:left="429"/>
              <w:rPr>
                <w:color w:val="auto"/>
                <w:sz w:val="21"/>
                <w:highlight w:val="none"/>
              </w:rPr>
            </w:pPr>
            <w:r>
              <w:rPr>
                <w:color w:val="auto"/>
                <w:sz w:val="21"/>
                <w:highlight w:val="none"/>
              </w:rPr>
              <w:t xml:space="preserve">逾期交工违约金限额 </w:t>
            </w:r>
          </w:p>
        </w:tc>
        <w:tc>
          <w:tcPr>
            <w:tcW w:w="1205" w:type="dxa"/>
          </w:tcPr>
          <w:p>
            <w:pPr>
              <w:pStyle w:val="54"/>
              <w:spacing w:before="9"/>
              <w:rPr>
                <w:color w:val="auto"/>
                <w:sz w:val="14"/>
                <w:highlight w:val="none"/>
              </w:rPr>
            </w:pPr>
          </w:p>
          <w:p>
            <w:pPr>
              <w:pStyle w:val="54"/>
              <w:ind w:left="157" w:right="41"/>
              <w:jc w:val="center"/>
              <w:rPr>
                <w:color w:val="auto"/>
                <w:sz w:val="21"/>
                <w:highlight w:val="none"/>
              </w:rPr>
            </w:pPr>
            <w:r>
              <w:rPr>
                <w:b/>
                <w:color w:val="auto"/>
                <w:sz w:val="21"/>
                <w:highlight w:val="none"/>
              </w:rPr>
              <w:t>11.5</w:t>
            </w:r>
            <w:r>
              <w:rPr>
                <w:color w:val="auto"/>
                <w:sz w:val="21"/>
                <w:highlight w:val="none"/>
              </w:rPr>
              <w:t xml:space="preserve"> </w:t>
            </w:r>
          </w:p>
        </w:tc>
        <w:tc>
          <w:tcPr>
            <w:tcW w:w="3677" w:type="dxa"/>
          </w:tcPr>
          <w:p>
            <w:pPr>
              <w:pStyle w:val="54"/>
              <w:spacing w:before="9"/>
              <w:rPr>
                <w:color w:val="auto"/>
                <w:sz w:val="14"/>
                <w:highlight w:val="none"/>
              </w:rPr>
            </w:pPr>
          </w:p>
          <w:p>
            <w:pPr>
              <w:pStyle w:val="54"/>
              <w:ind w:left="9"/>
              <w:rPr>
                <w:color w:val="auto"/>
                <w:sz w:val="21"/>
                <w:highlight w:val="none"/>
              </w:rPr>
            </w:pPr>
            <w:r>
              <w:rPr>
                <w:color w:val="auto"/>
                <w:sz w:val="21"/>
                <w:highlight w:val="none"/>
                <w:u w:val="single"/>
              </w:rPr>
              <w:t xml:space="preserve">     </w:t>
            </w:r>
            <w:r>
              <w:rPr>
                <w:color w:val="auto"/>
                <w:sz w:val="21"/>
                <w:highlight w:val="none"/>
              </w:rPr>
              <w:t xml:space="preserve">%签约合同价 </w:t>
            </w:r>
          </w:p>
        </w:tc>
        <w:tc>
          <w:tcPr>
            <w:tcW w:w="770" w:type="dxa"/>
          </w:tcPr>
          <w:p>
            <w:pPr>
              <w:pStyle w:val="54"/>
              <w:spacing w:before="78"/>
              <w:ind w:left="10"/>
              <w:rPr>
                <w:color w:val="auto"/>
                <w:sz w:val="21"/>
                <w:highlight w:val="none"/>
              </w:rPr>
            </w:pPr>
            <w:r>
              <w:rPr>
                <w:color w:val="auto"/>
                <w:sz w:val="21"/>
                <w:highlight w:val="non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9" w:hRule="atLeast"/>
        </w:trPr>
        <w:tc>
          <w:tcPr>
            <w:tcW w:w="696" w:type="dxa"/>
          </w:tcPr>
          <w:p>
            <w:pPr>
              <w:pStyle w:val="54"/>
              <w:spacing w:before="137"/>
              <w:ind w:left="218"/>
              <w:rPr>
                <w:color w:val="auto"/>
                <w:sz w:val="21"/>
                <w:highlight w:val="none"/>
              </w:rPr>
            </w:pPr>
            <w:r>
              <w:rPr>
                <w:b/>
                <w:color w:val="auto"/>
                <w:sz w:val="21"/>
                <w:highlight w:val="none"/>
              </w:rPr>
              <w:t>4</w:t>
            </w:r>
            <w:r>
              <w:rPr>
                <w:color w:val="auto"/>
                <w:sz w:val="21"/>
                <w:highlight w:val="none"/>
              </w:rPr>
              <w:t xml:space="preserve"> </w:t>
            </w:r>
          </w:p>
        </w:tc>
        <w:tc>
          <w:tcPr>
            <w:tcW w:w="2753" w:type="dxa"/>
          </w:tcPr>
          <w:p>
            <w:pPr>
              <w:pStyle w:val="54"/>
              <w:spacing w:before="137"/>
              <w:ind w:left="640"/>
              <w:rPr>
                <w:color w:val="auto"/>
                <w:sz w:val="21"/>
                <w:highlight w:val="none"/>
              </w:rPr>
            </w:pPr>
            <w:r>
              <w:rPr>
                <w:color w:val="auto"/>
                <w:sz w:val="21"/>
                <w:highlight w:val="none"/>
              </w:rPr>
              <w:t xml:space="preserve">提前交工的奖金 </w:t>
            </w:r>
          </w:p>
        </w:tc>
        <w:tc>
          <w:tcPr>
            <w:tcW w:w="1205" w:type="dxa"/>
          </w:tcPr>
          <w:p>
            <w:pPr>
              <w:pStyle w:val="54"/>
              <w:spacing w:before="137"/>
              <w:ind w:left="157" w:right="41"/>
              <w:jc w:val="center"/>
              <w:rPr>
                <w:color w:val="auto"/>
                <w:sz w:val="21"/>
                <w:highlight w:val="none"/>
              </w:rPr>
            </w:pPr>
            <w:r>
              <w:rPr>
                <w:b/>
                <w:color w:val="auto"/>
                <w:sz w:val="21"/>
                <w:highlight w:val="none"/>
              </w:rPr>
              <w:t>11.6</w:t>
            </w:r>
            <w:r>
              <w:rPr>
                <w:color w:val="auto"/>
                <w:sz w:val="21"/>
                <w:highlight w:val="none"/>
              </w:rPr>
              <w:t xml:space="preserve"> </w:t>
            </w:r>
          </w:p>
        </w:tc>
        <w:tc>
          <w:tcPr>
            <w:tcW w:w="3677" w:type="dxa"/>
          </w:tcPr>
          <w:p>
            <w:pPr>
              <w:pStyle w:val="54"/>
              <w:spacing w:before="137"/>
              <w:ind w:left="9"/>
              <w:rPr>
                <w:color w:val="auto"/>
                <w:sz w:val="21"/>
                <w:highlight w:val="none"/>
              </w:rPr>
            </w:pPr>
            <w:r>
              <w:rPr>
                <w:color w:val="auto"/>
                <w:sz w:val="21"/>
                <w:highlight w:val="none"/>
                <w:u w:val="single"/>
              </w:rPr>
              <w:t xml:space="preserve">     </w:t>
            </w:r>
            <w:r>
              <w:rPr>
                <w:color w:val="auto"/>
                <w:sz w:val="21"/>
                <w:highlight w:val="none"/>
              </w:rPr>
              <w:t xml:space="preserve">元/天 </w:t>
            </w:r>
          </w:p>
        </w:tc>
        <w:tc>
          <w:tcPr>
            <w:tcW w:w="770" w:type="dxa"/>
          </w:tcPr>
          <w:p>
            <w:pPr>
              <w:pStyle w:val="54"/>
              <w:spacing w:before="77"/>
              <w:ind w:left="10"/>
              <w:rPr>
                <w:color w:val="auto"/>
                <w:sz w:val="21"/>
                <w:highlight w:val="none"/>
              </w:rPr>
            </w:pPr>
            <w:r>
              <w:rPr>
                <w:color w:val="auto"/>
                <w:sz w:val="21"/>
                <w:highlight w:val="non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4" w:hRule="atLeast"/>
        </w:trPr>
        <w:tc>
          <w:tcPr>
            <w:tcW w:w="696" w:type="dxa"/>
          </w:tcPr>
          <w:p>
            <w:pPr>
              <w:pStyle w:val="54"/>
              <w:spacing w:before="3"/>
              <w:rPr>
                <w:color w:val="auto"/>
                <w:sz w:val="15"/>
                <w:highlight w:val="none"/>
              </w:rPr>
            </w:pPr>
          </w:p>
          <w:p>
            <w:pPr>
              <w:pStyle w:val="54"/>
              <w:ind w:left="218"/>
              <w:rPr>
                <w:color w:val="auto"/>
                <w:sz w:val="21"/>
                <w:highlight w:val="none"/>
              </w:rPr>
            </w:pPr>
            <w:r>
              <w:rPr>
                <w:b/>
                <w:color w:val="auto"/>
                <w:sz w:val="21"/>
                <w:highlight w:val="none"/>
              </w:rPr>
              <w:t>5</w:t>
            </w:r>
            <w:r>
              <w:rPr>
                <w:color w:val="auto"/>
                <w:sz w:val="21"/>
                <w:highlight w:val="none"/>
              </w:rPr>
              <w:t xml:space="preserve"> </w:t>
            </w:r>
          </w:p>
        </w:tc>
        <w:tc>
          <w:tcPr>
            <w:tcW w:w="2753" w:type="dxa"/>
          </w:tcPr>
          <w:p>
            <w:pPr>
              <w:pStyle w:val="54"/>
              <w:spacing w:before="3"/>
              <w:rPr>
                <w:color w:val="auto"/>
                <w:sz w:val="15"/>
                <w:highlight w:val="none"/>
              </w:rPr>
            </w:pPr>
          </w:p>
          <w:p>
            <w:pPr>
              <w:pStyle w:val="54"/>
              <w:ind w:left="429"/>
              <w:rPr>
                <w:color w:val="auto"/>
                <w:sz w:val="21"/>
                <w:highlight w:val="none"/>
              </w:rPr>
            </w:pPr>
            <w:r>
              <w:rPr>
                <w:color w:val="auto"/>
                <w:sz w:val="21"/>
                <w:highlight w:val="none"/>
              </w:rPr>
              <w:t xml:space="preserve">提前交工的奖金限额 </w:t>
            </w:r>
          </w:p>
        </w:tc>
        <w:tc>
          <w:tcPr>
            <w:tcW w:w="1205" w:type="dxa"/>
          </w:tcPr>
          <w:p>
            <w:pPr>
              <w:pStyle w:val="54"/>
              <w:spacing w:before="3"/>
              <w:rPr>
                <w:color w:val="auto"/>
                <w:sz w:val="15"/>
                <w:highlight w:val="none"/>
              </w:rPr>
            </w:pPr>
          </w:p>
          <w:p>
            <w:pPr>
              <w:pStyle w:val="54"/>
              <w:ind w:left="157" w:right="41"/>
              <w:jc w:val="center"/>
              <w:rPr>
                <w:color w:val="auto"/>
                <w:sz w:val="21"/>
                <w:highlight w:val="none"/>
              </w:rPr>
            </w:pPr>
            <w:r>
              <w:rPr>
                <w:b/>
                <w:color w:val="auto"/>
                <w:sz w:val="21"/>
                <w:highlight w:val="none"/>
              </w:rPr>
              <w:t>11.6</w:t>
            </w:r>
            <w:r>
              <w:rPr>
                <w:color w:val="auto"/>
                <w:sz w:val="21"/>
                <w:highlight w:val="none"/>
              </w:rPr>
              <w:t xml:space="preserve"> </w:t>
            </w:r>
          </w:p>
        </w:tc>
        <w:tc>
          <w:tcPr>
            <w:tcW w:w="3677" w:type="dxa"/>
          </w:tcPr>
          <w:p>
            <w:pPr>
              <w:pStyle w:val="54"/>
              <w:spacing w:before="3"/>
              <w:rPr>
                <w:color w:val="auto"/>
                <w:sz w:val="15"/>
                <w:highlight w:val="none"/>
              </w:rPr>
            </w:pPr>
          </w:p>
          <w:p>
            <w:pPr>
              <w:pStyle w:val="54"/>
              <w:ind w:left="9"/>
              <w:rPr>
                <w:color w:val="auto"/>
                <w:sz w:val="21"/>
                <w:highlight w:val="none"/>
              </w:rPr>
            </w:pPr>
            <w:r>
              <w:rPr>
                <w:color w:val="auto"/>
                <w:sz w:val="21"/>
                <w:highlight w:val="none"/>
                <w:u w:val="single"/>
              </w:rPr>
              <w:t xml:space="preserve">     </w:t>
            </w:r>
            <w:r>
              <w:rPr>
                <w:color w:val="auto"/>
                <w:sz w:val="21"/>
                <w:highlight w:val="none"/>
              </w:rPr>
              <w:t xml:space="preserve">%签约合同价 </w:t>
            </w:r>
          </w:p>
        </w:tc>
        <w:tc>
          <w:tcPr>
            <w:tcW w:w="770" w:type="dxa"/>
          </w:tcPr>
          <w:p>
            <w:pPr>
              <w:pStyle w:val="54"/>
              <w:spacing w:before="78"/>
              <w:ind w:left="10"/>
              <w:rPr>
                <w:color w:val="auto"/>
                <w:sz w:val="21"/>
                <w:highlight w:val="none"/>
              </w:rPr>
            </w:pPr>
            <w:r>
              <w:rPr>
                <w:color w:val="auto"/>
                <w:sz w:val="21"/>
                <w:highlight w:val="non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2" w:hRule="atLeast"/>
        </w:trPr>
        <w:tc>
          <w:tcPr>
            <w:tcW w:w="696" w:type="dxa"/>
          </w:tcPr>
          <w:p>
            <w:pPr>
              <w:pStyle w:val="54"/>
              <w:rPr>
                <w:color w:val="auto"/>
                <w:sz w:val="15"/>
                <w:highlight w:val="none"/>
              </w:rPr>
            </w:pPr>
          </w:p>
          <w:p>
            <w:pPr>
              <w:pStyle w:val="54"/>
              <w:spacing w:before="1"/>
              <w:ind w:left="218"/>
              <w:rPr>
                <w:color w:val="auto"/>
                <w:sz w:val="21"/>
                <w:highlight w:val="none"/>
              </w:rPr>
            </w:pPr>
            <w:r>
              <w:rPr>
                <w:b/>
                <w:color w:val="auto"/>
                <w:sz w:val="21"/>
                <w:highlight w:val="none"/>
              </w:rPr>
              <w:t>6</w:t>
            </w:r>
            <w:r>
              <w:rPr>
                <w:color w:val="auto"/>
                <w:sz w:val="21"/>
                <w:highlight w:val="none"/>
              </w:rPr>
              <w:t xml:space="preserve"> </w:t>
            </w:r>
          </w:p>
        </w:tc>
        <w:tc>
          <w:tcPr>
            <w:tcW w:w="2753" w:type="dxa"/>
          </w:tcPr>
          <w:p>
            <w:pPr>
              <w:pStyle w:val="54"/>
              <w:rPr>
                <w:color w:val="auto"/>
                <w:sz w:val="15"/>
                <w:highlight w:val="none"/>
              </w:rPr>
            </w:pPr>
          </w:p>
          <w:p>
            <w:pPr>
              <w:pStyle w:val="54"/>
              <w:spacing w:before="1"/>
              <w:ind w:left="429"/>
              <w:rPr>
                <w:color w:val="auto"/>
                <w:sz w:val="21"/>
                <w:highlight w:val="none"/>
              </w:rPr>
            </w:pPr>
            <w:r>
              <w:rPr>
                <w:color w:val="auto"/>
                <w:sz w:val="21"/>
                <w:highlight w:val="none"/>
              </w:rPr>
              <w:t xml:space="preserve">价格调整的差额计算 </w:t>
            </w:r>
          </w:p>
        </w:tc>
        <w:tc>
          <w:tcPr>
            <w:tcW w:w="1205" w:type="dxa"/>
          </w:tcPr>
          <w:p>
            <w:pPr>
              <w:pStyle w:val="54"/>
              <w:rPr>
                <w:color w:val="auto"/>
                <w:sz w:val="15"/>
                <w:highlight w:val="none"/>
              </w:rPr>
            </w:pPr>
          </w:p>
          <w:p>
            <w:pPr>
              <w:pStyle w:val="54"/>
              <w:spacing w:before="1"/>
              <w:ind w:left="157" w:right="44"/>
              <w:jc w:val="center"/>
              <w:rPr>
                <w:color w:val="auto"/>
                <w:sz w:val="21"/>
                <w:highlight w:val="none"/>
              </w:rPr>
            </w:pPr>
            <w:r>
              <w:rPr>
                <w:b/>
                <w:color w:val="auto"/>
                <w:sz w:val="21"/>
                <w:highlight w:val="none"/>
              </w:rPr>
              <w:t>16.1</w:t>
            </w:r>
            <w:r>
              <w:rPr>
                <w:color w:val="auto"/>
                <w:sz w:val="21"/>
                <w:highlight w:val="none"/>
              </w:rPr>
              <w:t xml:space="preserve"> </w:t>
            </w:r>
          </w:p>
        </w:tc>
        <w:tc>
          <w:tcPr>
            <w:tcW w:w="3677" w:type="dxa"/>
          </w:tcPr>
          <w:p>
            <w:pPr>
              <w:pStyle w:val="54"/>
              <w:rPr>
                <w:color w:val="auto"/>
                <w:sz w:val="15"/>
                <w:highlight w:val="none"/>
              </w:rPr>
            </w:pPr>
          </w:p>
          <w:p>
            <w:pPr>
              <w:pStyle w:val="54"/>
              <w:spacing w:before="1"/>
              <w:ind w:left="9"/>
              <w:rPr>
                <w:rFonts w:hint="eastAsia" w:eastAsia="宋体"/>
                <w:color w:val="auto"/>
                <w:sz w:val="21"/>
                <w:highlight w:val="none"/>
                <w:lang w:val="en-US" w:eastAsia="zh-CN"/>
              </w:rPr>
            </w:pPr>
            <w:r>
              <w:rPr>
                <w:rFonts w:hint="eastAsia"/>
                <w:color w:val="auto"/>
                <w:sz w:val="21"/>
                <w:highlight w:val="none"/>
                <w:lang w:val="en-US" w:eastAsia="zh-CN"/>
              </w:rPr>
              <w:t>/</w:t>
            </w:r>
          </w:p>
        </w:tc>
        <w:tc>
          <w:tcPr>
            <w:tcW w:w="770" w:type="dxa"/>
          </w:tcPr>
          <w:p>
            <w:pPr>
              <w:pStyle w:val="54"/>
              <w:spacing w:before="78"/>
              <w:ind w:left="10"/>
              <w:rPr>
                <w:color w:val="auto"/>
                <w:sz w:val="21"/>
                <w:highlight w:val="none"/>
              </w:rPr>
            </w:pPr>
            <w:r>
              <w:rPr>
                <w:color w:val="auto"/>
                <w:sz w:val="21"/>
                <w:highlight w:val="non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7" w:hRule="atLeast"/>
        </w:trPr>
        <w:tc>
          <w:tcPr>
            <w:tcW w:w="696" w:type="dxa"/>
          </w:tcPr>
          <w:p>
            <w:pPr>
              <w:pStyle w:val="54"/>
              <w:rPr>
                <w:color w:val="auto"/>
                <w:sz w:val="15"/>
                <w:highlight w:val="none"/>
              </w:rPr>
            </w:pPr>
          </w:p>
          <w:p>
            <w:pPr>
              <w:pStyle w:val="54"/>
              <w:spacing w:before="1"/>
              <w:ind w:left="218"/>
              <w:rPr>
                <w:color w:val="auto"/>
                <w:sz w:val="21"/>
                <w:highlight w:val="none"/>
              </w:rPr>
            </w:pPr>
            <w:r>
              <w:rPr>
                <w:b/>
                <w:color w:val="auto"/>
                <w:sz w:val="21"/>
                <w:highlight w:val="none"/>
              </w:rPr>
              <w:t>7</w:t>
            </w:r>
            <w:r>
              <w:rPr>
                <w:color w:val="auto"/>
                <w:sz w:val="21"/>
                <w:highlight w:val="none"/>
              </w:rPr>
              <w:t xml:space="preserve"> </w:t>
            </w:r>
          </w:p>
        </w:tc>
        <w:tc>
          <w:tcPr>
            <w:tcW w:w="2753" w:type="dxa"/>
          </w:tcPr>
          <w:p>
            <w:pPr>
              <w:pStyle w:val="54"/>
              <w:rPr>
                <w:color w:val="auto"/>
                <w:sz w:val="15"/>
                <w:highlight w:val="none"/>
              </w:rPr>
            </w:pPr>
          </w:p>
          <w:p>
            <w:pPr>
              <w:pStyle w:val="54"/>
              <w:spacing w:before="1"/>
              <w:ind w:left="640"/>
              <w:rPr>
                <w:color w:val="auto"/>
                <w:sz w:val="21"/>
                <w:highlight w:val="none"/>
              </w:rPr>
            </w:pPr>
            <w:r>
              <w:rPr>
                <w:color w:val="auto"/>
                <w:sz w:val="21"/>
                <w:highlight w:val="none"/>
              </w:rPr>
              <w:t xml:space="preserve">开工预付款金额 </w:t>
            </w:r>
          </w:p>
        </w:tc>
        <w:tc>
          <w:tcPr>
            <w:tcW w:w="1205" w:type="dxa"/>
          </w:tcPr>
          <w:p>
            <w:pPr>
              <w:pStyle w:val="54"/>
              <w:rPr>
                <w:color w:val="auto"/>
                <w:sz w:val="15"/>
                <w:highlight w:val="none"/>
              </w:rPr>
            </w:pPr>
          </w:p>
          <w:p>
            <w:pPr>
              <w:pStyle w:val="54"/>
              <w:spacing w:before="1"/>
              <w:ind w:left="157" w:right="44"/>
              <w:jc w:val="center"/>
              <w:rPr>
                <w:color w:val="auto"/>
                <w:sz w:val="21"/>
                <w:highlight w:val="none"/>
              </w:rPr>
            </w:pPr>
            <w:r>
              <w:rPr>
                <w:b/>
                <w:color w:val="auto"/>
                <w:sz w:val="21"/>
                <w:highlight w:val="none"/>
              </w:rPr>
              <w:t>17.2.1</w:t>
            </w:r>
            <w:r>
              <w:rPr>
                <w:color w:val="auto"/>
                <w:sz w:val="21"/>
                <w:highlight w:val="none"/>
              </w:rPr>
              <w:t xml:space="preserve"> </w:t>
            </w:r>
          </w:p>
        </w:tc>
        <w:tc>
          <w:tcPr>
            <w:tcW w:w="3677" w:type="dxa"/>
          </w:tcPr>
          <w:p>
            <w:pPr>
              <w:pStyle w:val="54"/>
              <w:rPr>
                <w:color w:val="auto"/>
                <w:sz w:val="15"/>
                <w:highlight w:val="none"/>
              </w:rPr>
            </w:pPr>
          </w:p>
          <w:p>
            <w:pPr>
              <w:pStyle w:val="54"/>
              <w:spacing w:before="1"/>
              <w:ind w:left="9"/>
              <w:rPr>
                <w:color w:val="auto"/>
                <w:sz w:val="21"/>
                <w:highlight w:val="none"/>
              </w:rPr>
            </w:pPr>
            <w:r>
              <w:rPr>
                <w:color w:val="auto"/>
                <w:sz w:val="21"/>
                <w:highlight w:val="none"/>
                <w:u w:val="single"/>
              </w:rPr>
              <w:t xml:space="preserve">   </w:t>
            </w:r>
            <w:r>
              <w:rPr>
                <w:rFonts w:hint="eastAsia"/>
                <w:color w:val="auto"/>
                <w:sz w:val="21"/>
                <w:highlight w:val="none"/>
                <w:u w:val="single"/>
              </w:rPr>
              <w:t xml:space="preserve"> </w:t>
            </w:r>
            <w:r>
              <w:rPr>
                <w:color w:val="auto"/>
                <w:spacing w:val="103"/>
                <w:sz w:val="21"/>
                <w:highlight w:val="none"/>
                <w:u w:val="single"/>
              </w:rPr>
              <w:t xml:space="preserve"> </w:t>
            </w:r>
            <w:r>
              <w:rPr>
                <w:color w:val="auto"/>
                <w:spacing w:val="-3"/>
                <w:sz w:val="21"/>
                <w:highlight w:val="none"/>
              </w:rPr>
              <w:t xml:space="preserve">%签约合同价 </w:t>
            </w:r>
          </w:p>
        </w:tc>
        <w:tc>
          <w:tcPr>
            <w:tcW w:w="770" w:type="dxa"/>
          </w:tcPr>
          <w:p>
            <w:pPr>
              <w:pStyle w:val="54"/>
              <w:spacing w:before="78"/>
              <w:ind w:left="10"/>
              <w:rPr>
                <w:color w:val="auto"/>
                <w:sz w:val="21"/>
                <w:highlight w:val="none"/>
              </w:rPr>
            </w:pPr>
            <w:r>
              <w:rPr>
                <w:color w:val="auto"/>
                <w:sz w:val="21"/>
                <w:highlight w:val="non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30" w:hRule="atLeast"/>
        </w:trPr>
        <w:tc>
          <w:tcPr>
            <w:tcW w:w="696" w:type="dxa"/>
          </w:tcPr>
          <w:p>
            <w:pPr>
              <w:pStyle w:val="54"/>
              <w:spacing w:before="5"/>
              <w:rPr>
                <w:color w:val="auto"/>
                <w:sz w:val="24"/>
                <w:highlight w:val="none"/>
              </w:rPr>
            </w:pPr>
          </w:p>
          <w:p>
            <w:pPr>
              <w:pStyle w:val="54"/>
              <w:ind w:left="218"/>
              <w:rPr>
                <w:color w:val="auto"/>
                <w:sz w:val="21"/>
                <w:highlight w:val="none"/>
              </w:rPr>
            </w:pPr>
            <w:r>
              <w:rPr>
                <w:b/>
                <w:color w:val="auto"/>
                <w:sz w:val="21"/>
                <w:highlight w:val="none"/>
              </w:rPr>
              <w:t>8</w:t>
            </w:r>
            <w:r>
              <w:rPr>
                <w:color w:val="auto"/>
                <w:sz w:val="21"/>
                <w:highlight w:val="none"/>
              </w:rPr>
              <w:t xml:space="preserve"> </w:t>
            </w:r>
          </w:p>
        </w:tc>
        <w:tc>
          <w:tcPr>
            <w:tcW w:w="2753" w:type="dxa"/>
          </w:tcPr>
          <w:p>
            <w:pPr>
              <w:pStyle w:val="54"/>
              <w:spacing w:before="5"/>
              <w:rPr>
                <w:color w:val="auto"/>
                <w:sz w:val="24"/>
                <w:highlight w:val="none"/>
              </w:rPr>
            </w:pPr>
          </w:p>
          <w:p>
            <w:pPr>
              <w:pStyle w:val="54"/>
              <w:jc w:val="center"/>
              <w:rPr>
                <w:color w:val="auto"/>
                <w:sz w:val="21"/>
                <w:highlight w:val="none"/>
              </w:rPr>
            </w:pPr>
            <w:r>
              <w:rPr>
                <w:color w:val="auto"/>
                <w:sz w:val="21"/>
                <w:highlight w:val="none"/>
              </w:rPr>
              <w:t>材料、设备预付款比例</w:t>
            </w:r>
          </w:p>
        </w:tc>
        <w:tc>
          <w:tcPr>
            <w:tcW w:w="1205" w:type="dxa"/>
          </w:tcPr>
          <w:p>
            <w:pPr>
              <w:pStyle w:val="54"/>
              <w:spacing w:before="5"/>
              <w:rPr>
                <w:color w:val="auto"/>
                <w:sz w:val="24"/>
                <w:highlight w:val="none"/>
              </w:rPr>
            </w:pPr>
          </w:p>
          <w:p>
            <w:pPr>
              <w:pStyle w:val="54"/>
              <w:ind w:left="157" w:right="44"/>
              <w:jc w:val="center"/>
              <w:rPr>
                <w:color w:val="auto"/>
                <w:sz w:val="21"/>
                <w:highlight w:val="none"/>
              </w:rPr>
            </w:pPr>
            <w:r>
              <w:rPr>
                <w:b/>
                <w:color w:val="auto"/>
                <w:sz w:val="21"/>
                <w:highlight w:val="none"/>
              </w:rPr>
              <w:t>17.2.1</w:t>
            </w:r>
            <w:r>
              <w:rPr>
                <w:color w:val="auto"/>
                <w:sz w:val="21"/>
                <w:highlight w:val="none"/>
              </w:rPr>
              <w:t xml:space="preserve"> </w:t>
            </w:r>
          </w:p>
        </w:tc>
        <w:tc>
          <w:tcPr>
            <w:tcW w:w="3677" w:type="dxa"/>
          </w:tcPr>
          <w:p>
            <w:pPr>
              <w:pStyle w:val="54"/>
              <w:spacing w:before="42" w:line="360" w:lineRule="atLeast"/>
              <w:ind w:left="9" w:right="-15"/>
              <w:rPr>
                <w:color w:val="auto"/>
                <w:sz w:val="21"/>
                <w:highlight w:val="none"/>
              </w:rPr>
            </w:pPr>
            <w:r>
              <w:rPr>
                <w:color w:val="auto"/>
                <w:sz w:val="21"/>
                <w:highlight w:val="none"/>
                <w:u w:val="single"/>
              </w:rPr>
              <w:t xml:space="preserve">     </w:t>
            </w:r>
            <w:r>
              <w:rPr>
                <w:color w:val="auto"/>
                <w:spacing w:val="-3"/>
                <w:sz w:val="21"/>
                <w:highlight w:val="none"/>
                <w:u w:val="single"/>
              </w:rPr>
              <w:t xml:space="preserve"> </w:t>
            </w:r>
            <w:r>
              <w:rPr>
                <w:color w:val="auto"/>
                <w:spacing w:val="3"/>
                <w:sz w:val="21"/>
                <w:highlight w:val="none"/>
              </w:rPr>
              <w:t>等主要材料、设备单据所列费用的</w:t>
            </w:r>
            <w:r>
              <w:rPr>
                <w:color w:val="auto"/>
                <w:spacing w:val="3"/>
                <w:sz w:val="21"/>
                <w:highlight w:val="none"/>
                <w:u w:val="single"/>
              </w:rPr>
              <w:t xml:space="preserve">    </w:t>
            </w:r>
            <w:r>
              <w:rPr>
                <w:color w:val="auto"/>
                <w:spacing w:val="-3"/>
                <w:sz w:val="21"/>
                <w:highlight w:val="none"/>
              </w:rPr>
              <w:t>%</w:t>
            </w:r>
            <w:r>
              <w:rPr>
                <w:color w:val="auto"/>
                <w:sz w:val="21"/>
                <w:highlight w:val="none"/>
              </w:rPr>
              <w:t xml:space="preserve"> </w:t>
            </w:r>
          </w:p>
        </w:tc>
        <w:tc>
          <w:tcPr>
            <w:tcW w:w="770" w:type="dxa"/>
          </w:tcPr>
          <w:p>
            <w:pPr>
              <w:pStyle w:val="54"/>
              <w:spacing w:before="78"/>
              <w:ind w:left="10"/>
              <w:rPr>
                <w:color w:val="auto"/>
                <w:sz w:val="21"/>
                <w:highlight w:val="none"/>
              </w:rPr>
            </w:pPr>
            <w:r>
              <w:rPr>
                <w:color w:val="auto"/>
                <w:sz w:val="21"/>
                <w:highlight w:val="non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7" w:hRule="atLeast"/>
        </w:trPr>
        <w:tc>
          <w:tcPr>
            <w:tcW w:w="696" w:type="dxa"/>
          </w:tcPr>
          <w:p>
            <w:pPr>
              <w:pStyle w:val="54"/>
              <w:spacing w:before="3"/>
              <w:rPr>
                <w:color w:val="auto"/>
                <w:sz w:val="15"/>
                <w:highlight w:val="none"/>
              </w:rPr>
            </w:pPr>
          </w:p>
          <w:p>
            <w:pPr>
              <w:pStyle w:val="54"/>
              <w:ind w:left="218"/>
              <w:rPr>
                <w:color w:val="auto"/>
                <w:sz w:val="21"/>
                <w:highlight w:val="none"/>
              </w:rPr>
            </w:pPr>
            <w:r>
              <w:rPr>
                <w:b/>
                <w:color w:val="auto"/>
                <w:sz w:val="21"/>
                <w:highlight w:val="none"/>
              </w:rPr>
              <w:t>9</w:t>
            </w:r>
            <w:r>
              <w:rPr>
                <w:color w:val="auto"/>
                <w:sz w:val="21"/>
                <w:highlight w:val="none"/>
              </w:rPr>
              <w:t xml:space="preserve"> </w:t>
            </w:r>
          </w:p>
        </w:tc>
        <w:tc>
          <w:tcPr>
            <w:tcW w:w="2753" w:type="dxa"/>
          </w:tcPr>
          <w:p>
            <w:pPr>
              <w:pStyle w:val="54"/>
              <w:spacing w:before="3"/>
              <w:rPr>
                <w:color w:val="auto"/>
                <w:sz w:val="15"/>
                <w:highlight w:val="none"/>
              </w:rPr>
            </w:pPr>
          </w:p>
          <w:p>
            <w:pPr>
              <w:pStyle w:val="54"/>
              <w:jc w:val="center"/>
              <w:rPr>
                <w:color w:val="auto"/>
                <w:sz w:val="21"/>
                <w:highlight w:val="none"/>
              </w:rPr>
            </w:pPr>
            <w:r>
              <w:rPr>
                <w:color w:val="auto"/>
                <w:sz w:val="21"/>
                <w:highlight w:val="none"/>
              </w:rPr>
              <w:t>进度付款证书最低限额</w:t>
            </w:r>
          </w:p>
        </w:tc>
        <w:tc>
          <w:tcPr>
            <w:tcW w:w="1205" w:type="dxa"/>
          </w:tcPr>
          <w:p>
            <w:pPr>
              <w:pStyle w:val="54"/>
              <w:spacing w:before="3"/>
              <w:rPr>
                <w:color w:val="auto"/>
                <w:sz w:val="15"/>
                <w:highlight w:val="none"/>
              </w:rPr>
            </w:pPr>
          </w:p>
          <w:p>
            <w:pPr>
              <w:pStyle w:val="54"/>
              <w:ind w:left="157" w:right="44"/>
              <w:jc w:val="center"/>
              <w:rPr>
                <w:color w:val="auto"/>
                <w:sz w:val="21"/>
                <w:highlight w:val="none"/>
              </w:rPr>
            </w:pPr>
            <w:r>
              <w:rPr>
                <w:b/>
                <w:color w:val="auto"/>
                <w:sz w:val="21"/>
                <w:highlight w:val="none"/>
              </w:rPr>
              <w:t>17.3.3(1)</w:t>
            </w:r>
            <w:r>
              <w:rPr>
                <w:color w:val="auto"/>
                <w:sz w:val="21"/>
                <w:highlight w:val="none"/>
              </w:rPr>
              <w:t xml:space="preserve"> </w:t>
            </w:r>
          </w:p>
        </w:tc>
        <w:tc>
          <w:tcPr>
            <w:tcW w:w="3677" w:type="dxa"/>
          </w:tcPr>
          <w:p>
            <w:pPr>
              <w:pStyle w:val="54"/>
              <w:spacing w:before="3"/>
              <w:rPr>
                <w:color w:val="auto"/>
                <w:sz w:val="15"/>
                <w:highlight w:val="none"/>
              </w:rPr>
            </w:pPr>
          </w:p>
          <w:p>
            <w:pPr>
              <w:pStyle w:val="54"/>
              <w:ind w:left="9"/>
              <w:rPr>
                <w:color w:val="auto"/>
                <w:sz w:val="21"/>
                <w:highlight w:val="none"/>
              </w:rPr>
            </w:pPr>
            <w:r>
              <w:rPr>
                <w:color w:val="auto"/>
                <w:sz w:val="21"/>
                <w:highlight w:val="none"/>
                <w:u w:val="single"/>
              </w:rPr>
              <w:t xml:space="preserve">      </w:t>
            </w:r>
            <w:r>
              <w:rPr>
                <w:color w:val="auto"/>
                <w:sz w:val="21"/>
                <w:highlight w:val="none"/>
              </w:rPr>
              <w:t>%签约合同价或</w:t>
            </w:r>
            <w:r>
              <w:rPr>
                <w:color w:val="auto"/>
                <w:sz w:val="21"/>
                <w:highlight w:val="none"/>
                <w:u w:val="single"/>
              </w:rPr>
              <w:t xml:space="preserve">      </w:t>
            </w:r>
            <w:r>
              <w:rPr>
                <w:color w:val="auto"/>
                <w:sz w:val="21"/>
                <w:highlight w:val="none"/>
              </w:rPr>
              <w:t xml:space="preserve">万元 </w:t>
            </w:r>
          </w:p>
        </w:tc>
        <w:tc>
          <w:tcPr>
            <w:tcW w:w="770" w:type="dxa"/>
          </w:tcPr>
          <w:p>
            <w:pPr>
              <w:pStyle w:val="54"/>
              <w:spacing w:before="77"/>
              <w:ind w:left="10"/>
              <w:rPr>
                <w:color w:val="auto"/>
                <w:sz w:val="21"/>
                <w:highlight w:val="none"/>
              </w:rPr>
            </w:pPr>
            <w:r>
              <w:rPr>
                <w:color w:val="auto"/>
                <w:sz w:val="21"/>
                <w:highlight w:val="non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4" w:hRule="atLeast"/>
        </w:trPr>
        <w:tc>
          <w:tcPr>
            <w:tcW w:w="696" w:type="dxa"/>
          </w:tcPr>
          <w:p>
            <w:pPr>
              <w:pStyle w:val="54"/>
              <w:spacing w:before="8"/>
              <w:rPr>
                <w:color w:val="auto"/>
                <w:sz w:val="15"/>
                <w:highlight w:val="none"/>
              </w:rPr>
            </w:pPr>
          </w:p>
          <w:p>
            <w:pPr>
              <w:pStyle w:val="54"/>
              <w:ind w:left="165"/>
              <w:rPr>
                <w:color w:val="auto"/>
                <w:sz w:val="21"/>
                <w:highlight w:val="none"/>
              </w:rPr>
            </w:pPr>
            <w:r>
              <w:rPr>
                <w:b/>
                <w:color w:val="auto"/>
                <w:sz w:val="21"/>
                <w:highlight w:val="none"/>
              </w:rPr>
              <w:t>10</w:t>
            </w:r>
            <w:r>
              <w:rPr>
                <w:color w:val="auto"/>
                <w:sz w:val="21"/>
                <w:highlight w:val="none"/>
              </w:rPr>
              <w:t xml:space="preserve"> </w:t>
            </w:r>
          </w:p>
        </w:tc>
        <w:tc>
          <w:tcPr>
            <w:tcW w:w="2753" w:type="dxa"/>
          </w:tcPr>
          <w:p>
            <w:pPr>
              <w:pStyle w:val="54"/>
              <w:spacing w:before="8"/>
              <w:rPr>
                <w:color w:val="auto"/>
                <w:sz w:val="15"/>
                <w:highlight w:val="none"/>
              </w:rPr>
            </w:pPr>
          </w:p>
          <w:p>
            <w:pPr>
              <w:pStyle w:val="54"/>
              <w:ind w:left="484"/>
              <w:rPr>
                <w:color w:val="auto"/>
                <w:sz w:val="21"/>
                <w:highlight w:val="none"/>
              </w:rPr>
            </w:pPr>
            <w:r>
              <w:rPr>
                <w:color w:val="auto"/>
                <w:sz w:val="21"/>
                <w:highlight w:val="none"/>
              </w:rPr>
              <w:t xml:space="preserve">逾期付款违约金的利率 </w:t>
            </w:r>
          </w:p>
        </w:tc>
        <w:tc>
          <w:tcPr>
            <w:tcW w:w="1205" w:type="dxa"/>
          </w:tcPr>
          <w:p>
            <w:pPr>
              <w:pStyle w:val="54"/>
              <w:spacing w:before="8"/>
              <w:rPr>
                <w:color w:val="auto"/>
                <w:sz w:val="15"/>
                <w:highlight w:val="none"/>
              </w:rPr>
            </w:pPr>
          </w:p>
          <w:p>
            <w:pPr>
              <w:pStyle w:val="54"/>
              <w:ind w:left="157" w:right="44"/>
              <w:jc w:val="center"/>
              <w:rPr>
                <w:color w:val="auto"/>
                <w:sz w:val="21"/>
                <w:highlight w:val="none"/>
              </w:rPr>
            </w:pPr>
            <w:r>
              <w:rPr>
                <w:b/>
                <w:color w:val="auto"/>
                <w:sz w:val="21"/>
                <w:highlight w:val="none"/>
              </w:rPr>
              <w:t>17.3.3(2)</w:t>
            </w:r>
            <w:r>
              <w:rPr>
                <w:color w:val="auto"/>
                <w:sz w:val="21"/>
                <w:highlight w:val="none"/>
              </w:rPr>
              <w:t xml:space="preserve"> </w:t>
            </w:r>
          </w:p>
        </w:tc>
        <w:tc>
          <w:tcPr>
            <w:tcW w:w="3677" w:type="dxa"/>
          </w:tcPr>
          <w:p>
            <w:pPr>
              <w:pStyle w:val="54"/>
              <w:spacing w:before="8"/>
              <w:rPr>
                <w:color w:val="auto"/>
                <w:sz w:val="15"/>
                <w:highlight w:val="none"/>
              </w:rPr>
            </w:pPr>
          </w:p>
          <w:p>
            <w:pPr>
              <w:pStyle w:val="54"/>
              <w:ind w:left="9"/>
              <w:rPr>
                <w:color w:val="auto"/>
                <w:sz w:val="21"/>
                <w:highlight w:val="none"/>
              </w:rPr>
            </w:pPr>
            <w:r>
              <w:rPr>
                <w:color w:val="auto"/>
                <w:sz w:val="21"/>
                <w:highlight w:val="none"/>
                <w:u w:val="single"/>
              </w:rPr>
              <w:t xml:space="preserve">      </w:t>
            </w:r>
            <w:r>
              <w:rPr>
                <w:rFonts w:hint="eastAsia"/>
                <w:color w:val="auto"/>
                <w:sz w:val="21"/>
                <w:highlight w:val="none"/>
              </w:rPr>
              <w:t>‰</w:t>
            </w:r>
            <w:r>
              <w:rPr>
                <w:color w:val="auto"/>
                <w:sz w:val="21"/>
                <w:highlight w:val="none"/>
              </w:rPr>
              <w:t xml:space="preserve">/天 </w:t>
            </w:r>
          </w:p>
        </w:tc>
        <w:tc>
          <w:tcPr>
            <w:tcW w:w="770" w:type="dxa"/>
          </w:tcPr>
          <w:p>
            <w:pPr>
              <w:pStyle w:val="54"/>
              <w:spacing w:before="78"/>
              <w:ind w:left="10"/>
              <w:rPr>
                <w:color w:val="auto"/>
                <w:sz w:val="21"/>
                <w:highlight w:val="none"/>
              </w:rPr>
            </w:pPr>
            <w:r>
              <w:rPr>
                <w:color w:val="auto"/>
                <w:sz w:val="21"/>
                <w:highlight w:val="non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50" w:hRule="atLeast"/>
        </w:trPr>
        <w:tc>
          <w:tcPr>
            <w:tcW w:w="696" w:type="dxa"/>
          </w:tcPr>
          <w:p>
            <w:pPr>
              <w:pStyle w:val="54"/>
              <w:rPr>
                <w:color w:val="auto"/>
                <w:sz w:val="20"/>
                <w:highlight w:val="none"/>
              </w:rPr>
            </w:pPr>
          </w:p>
          <w:p>
            <w:pPr>
              <w:pStyle w:val="54"/>
              <w:rPr>
                <w:color w:val="auto"/>
                <w:sz w:val="20"/>
                <w:highlight w:val="none"/>
              </w:rPr>
            </w:pPr>
          </w:p>
          <w:p>
            <w:pPr>
              <w:pStyle w:val="54"/>
              <w:spacing w:before="4"/>
              <w:rPr>
                <w:color w:val="auto"/>
                <w:sz w:val="24"/>
                <w:highlight w:val="none"/>
              </w:rPr>
            </w:pPr>
          </w:p>
          <w:p>
            <w:pPr>
              <w:pStyle w:val="54"/>
              <w:ind w:left="165"/>
              <w:rPr>
                <w:color w:val="auto"/>
                <w:sz w:val="21"/>
                <w:highlight w:val="none"/>
              </w:rPr>
            </w:pPr>
            <w:r>
              <w:rPr>
                <w:b/>
                <w:color w:val="auto"/>
                <w:sz w:val="21"/>
                <w:highlight w:val="none"/>
              </w:rPr>
              <w:t>11</w:t>
            </w:r>
            <w:r>
              <w:rPr>
                <w:color w:val="auto"/>
                <w:sz w:val="21"/>
                <w:highlight w:val="none"/>
              </w:rPr>
              <w:t xml:space="preserve"> </w:t>
            </w:r>
          </w:p>
        </w:tc>
        <w:tc>
          <w:tcPr>
            <w:tcW w:w="2753" w:type="dxa"/>
          </w:tcPr>
          <w:p>
            <w:pPr>
              <w:pStyle w:val="54"/>
              <w:rPr>
                <w:color w:val="auto"/>
                <w:sz w:val="20"/>
                <w:highlight w:val="none"/>
              </w:rPr>
            </w:pPr>
          </w:p>
          <w:p>
            <w:pPr>
              <w:pStyle w:val="54"/>
              <w:rPr>
                <w:color w:val="auto"/>
                <w:sz w:val="20"/>
                <w:highlight w:val="none"/>
              </w:rPr>
            </w:pPr>
          </w:p>
          <w:p>
            <w:pPr>
              <w:pStyle w:val="54"/>
              <w:spacing w:before="4"/>
              <w:rPr>
                <w:color w:val="auto"/>
                <w:sz w:val="24"/>
                <w:highlight w:val="none"/>
              </w:rPr>
            </w:pPr>
          </w:p>
          <w:p>
            <w:pPr>
              <w:pStyle w:val="54"/>
              <w:ind w:left="640"/>
              <w:rPr>
                <w:color w:val="auto"/>
                <w:sz w:val="21"/>
                <w:highlight w:val="none"/>
              </w:rPr>
            </w:pPr>
            <w:r>
              <w:rPr>
                <w:color w:val="auto"/>
                <w:sz w:val="21"/>
                <w:highlight w:val="none"/>
              </w:rPr>
              <w:t xml:space="preserve">质量保证金金额 </w:t>
            </w:r>
          </w:p>
        </w:tc>
        <w:tc>
          <w:tcPr>
            <w:tcW w:w="1205" w:type="dxa"/>
          </w:tcPr>
          <w:p>
            <w:pPr>
              <w:pStyle w:val="54"/>
              <w:rPr>
                <w:color w:val="auto"/>
                <w:sz w:val="20"/>
                <w:highlight w:val="none"/>
              </w:rPr>
            </w:pPr>
          </w:p>
          <w:p>
            <w:pPr>
              <w:pStyle w:val="54"/>
              <w:rPr>
                <w:color w:val="auto"/>
                <w:sz w:val="20"/>
                <w:highlight w:val="none"/>
              </w:rPr>
            </w:pPr>
          </w:p>
          <w:p>
            <w:pPr>
              <w:pStyle w:val="54"/>
              <w:spacing w:before="4"/>
              <w:rPr>
                <w:color w:val="auto"/>
                <w:sz w:val="24"/>
                <w:highlight w:val="none"/>
              </w:rPr>
            </w:pPr>
          </w:p>
          <w:p>
            <w:pPr>
              <w:pStyle w:val="54"/>
              <w:ind w:left="157" w:right="44"/>
              <w:jc w:val="center"/>
              <w:rPr>
                <w:color w:val="auto"/>
                <w:sz w:val="21"/>
                <w:highlight w:val="none"/>
              </w:rPr>
            </w:pPr>
            <w:r>
              <w:rPr>
                <w:b/>
                <w:color w:val="auto"/>
                <w:sz w:val="21"/>
                <w:highlight w:val="none"/>
              </w:rPr>
              <w:t>17.4.1</w:t>
            </w:r>
            <w:r>
              <w:rPr>
                <w:color w:val="auto"/>
                <w:sz w:val="21"/>
                <w:highlight w:val="none"/>
              </w:rPr>
              <w:t xml:space="preserve"> </w:t>
            </w:r>
          </w:p>
        </w:tc>
        <w:tc>
          <w:tcPr>
            <w:tcW w:w="3677" w:type="dxa"/>
            <w:vAlign w:val="center"/>
          </w:tcPr>
          <w:p>
            <w:pPr>
              <w:pStyle w:val="54"/>
              <w:spacing w:line="321" w:lineRule="auto"/>
              <w:ind w:left="9" w:right="-15"/>
              <w:jc w:val="both"/>
              <w:rPr>
                <w:color w:val="auto"/>
                <w:sz w:val="21"/>
                <w:highlight w:val="none"/>
              </w:rPr>
            </w:pPr>
            <w:r>
              <w:rPr>
                <w:color w:val="auto"/>
                <w:sz w:val="21"/>
                <w:highlight w:val="none"/>
                <w:u w:val="single"/>
              </w:rPr>
              <w:t xml:space="preserve">    </w:t>
            </w:r>
            <w:r>
              <w:rPr>
                <w:color w:val="auto"/>
                <w:spacing w:val="-5"/>
                <w:sz w:val="21"/>
                <w:highlight w:val="none"/>
              </w:rPr>
              <w:t>%合同价格，若交工验收时承包人具</w:t>
            </w:r>
            <w:r>
              <w:rPr>
                <w:color w:val="auto"/>
                <w:sz w:val="21"/>
                <w:highlight w:val="none"/>
              </w:rPr>
              <w:t>备被采购项目所在地省级交通运输主管</w:t>
            </w:r>
            <w:r>
              <w:rPr>
                <w:color w:val="auto"/>
                <w:spacing w:val="-5"/>
                <w:sz w:val="21"/>
                <w:highlight w:val="none"/>
              </w:rPr>
              <w:t>部门评定的最高信用等级，发包人给予</w:t>
            </w:r>
            <w:r>
              <w:rPr>
                <w:color w:val="auto"/>
                <w:spacing w:val="-5"/>
                <w:sz w:val="21"/>
                <w:highlight w:val="none"/>
                <w:u w:val="single"/>
              </w:rPr>
              <w:t xml:space="preserve"> </w:t>
            </w:r>
          </w:p>
          <w:p>
            <w:pPr>
              <w:pStyle w:val="54"/>
              <w:spacing w:line="267" w:lineRule="exact"/>
              <w:ind w:left="9"/>
              <w:rPr>
                <w:color w:val="auto"/>
                <w:sz w:val="21"/>
                <w:highlight w:val="none"/>
              </w:rPr>
            </w:pPr>
            <w:r>
              <w:rPr>
                <w:color w:val="auto"/>
                <w:sz w:val="21"/>
                <w:highlight w:val="none"/>
                <w:u w:val="single"/>
              </w:rPr>
              <w:t xml:space="preserve"> </w:t>
            </w:r>
            <w:r>
              <w:rPr>
                <w:rFonts w:hint="eastAsia"/>
                <w:color w:val="auto"/>
                <w:sz w:val="21"/>
                <w:highlight w:val="none"/>
                <w:u w:val="single"/>
              </w:rPr>
              <w:t xml:space="preserve">  </w:t>
            </w:r>
            <w:r>
              <w:rPr>
                <w:color w:val="auto"/>
                <w:sz w:val="21"/>
                <w:highlight w:val="none"/>
                <w:u w:val="single"/>
              </w:rPr>
              <w:t xml:space="preserve"> </w:t>
            </w:r>
            <w:r>
              <w:rPr>
                <w:color w:val="auto"/>
                <w:sz w:val="21"/>
                <w:highlight w:val="none"/>
              </w:rPr>
              <w:t xml:space="preserve">%合同价格质量保证金的优惠 </w:t>
            </w:r>
          </w:p>
        </w:tc>
        <w:tc>
          <w:tcPr>
            <w:tcW w:w="770" w:type="dxa"/>
          </w:tcPr>
          <w:p>
            <w:pPr>
              <w:pStyle w:val="54"/>
              <w:spacing w:before="80"/>
              <w:ind w:left="10"/>
              <w:rPr>
                <w:color w:val="auto"/>
                <w:sz w:val="21"/>
                <w:highlight w:val="none"/>
              </w:rPr>
            </w:pPr>
            <w:r>
              <w:rPr>
                <w:color w:val="auto"/>
                <w:sz w:val="21"/>
                <w:highlight w:val="non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6" w:hRule="atLeast"/>
        </w:trPr>
        <w:tc>
          <w:tcPr>
            <w:tcW w:w="696" w:type="dxa"/>
          </w:tcPr>
          <w:p>
            <w:pPr>
              <w:pStyle w:val="54"/>
              <w:spacing w:before="171"/>
              <w:ind w:left="165"/>
              <w:rPr>
                <w:color w:val="auto"/>
                <w:sz w:val="21"/>
                <w:highlight w:val="none"/>
              </w:rPr>
            </w:pPr>
            <w:r>
              <w:rPr>
                <w:b/>
                <w:color w:val="auto"/>
                <w:sz w:val="21"/>
                <w:highlight w:val="none"/>
              </w:rPr>
              <w:t>12</w:t>
            </w:r>
            <w:r>
              <w:rPr>
                <w:color w:val="auto"/>
                <w:sz w:val="21"/>
                <w:highlight w:val="none"/>
              </w:rPr>
              <w:t xml:space="preserve"> </w:t>
            </w:r>
          </w:p>
        </w:tc>
        <w:tc>
          <w:tcPr>
            <w:tcW w:w="2753" w:type="dxa"/>
          </w:tcPr>
          <w:p>
            <w:pPr>
              <w:pStyle w:val="54"/>
              <w:spacing w:before="171"/>
              <w:ind w:left="1094" w:right="979"/>
              <w:jc w:val="center"/>
              <w:rPr>
                <w:color w:val="auto"/>
                <w:sz w:val="21"/>
                <w:highlight w:val="none"/>
              </w:rPr>
            </w:pPr>
            <w:r>
              <w:rPr>
                <w:color w:val="auto"/>
                <w:sz w:val="21"/>
                <w:highlight w:val="none"/>
              </w:rPr>
              <w:t xml:space="preserve">保修期 </w:t>
            </w:r>
          </w:p>
        </w:tc>
        <w:tc>
          <w:tcPr>
            <w:tcW w:w="1205" w:type="dxa"/>
          </w:tcPr>
          <w:p>
            <w:pPr>
              <w:pStyle w:val="54"/>
              <w:spacing w:before="171"/>
              <w:ind w:left="157" w:right="41"/>
              <w:jc w:val="center"/>
              <w:rPr>
                <w:color w:val="auto"/>
                <w:sz w:val="21"/>
                <w:highlight w:val="none"/>
              </w:rPr>
            </w:pPr>
            <w:r>
              <w:rPr>
                <w:b/>
                <w:color w:val="auto"/>
                <w:sz w:val="21"/>
                <w:highlight w:val="none"/>
              </w:rPr>
              <w:t>19.7</w:t>
            </w:r>
            <w:r>
              <w:rPr>
                <w:color w:val="auto"/>
                <w:sz w:val="21"/>
                <w:highlight w:val="none"/>
              </w:rPr>
              <w:t xml:space="preserve"> </w:t>
            </w:r>
          </w:p>
        </w:tc>
        <w:tc>
          <w:tcPr>
            <w:tcW w:w="3677" w:type="dxa"/>
          </w:tcPr>
          <w:p>
            <w:pPr>
              <w:pStyle w:val="54"/>
              <w:spacing w:before="171"/>
              <w:ind w:left="9"/>
              <w:rPr>
                <w:color w:val="auto"/>
                <w:sz w:val="21"/>
                <w:highlight w:val="none"/>
              </w:rPr>
            </w:pPr>
            <w:r>
              <w:rPr>
                <w:color w:val="auto"/>
                <w:sz w:val="21"/>
                <w:highlight w:val="none"/>
              </w:rPr>
              <w:t>自实际交工日期起计算</w:t>
            </w:r>
            <w:r>
              <w:rPr>
                <w:color w:val="auto"/>
                <w:sz w:val="21"/>
                <w:highlight w:val="none"/>
                <w:u w:val="single"/>
              </w:rPr>
              <w:t xml:space="preserve">   </w:t>
            </w:r>
            <w:r>
              <w:rPr>
                <w:color w:val="auto"/>
                <w:sz w:val="21"/>
                <w:highlight w:val="none"/>
              </w:rPr>
              <w:t xml:space="preserve">年 </w:t>
            </w:r>
          </w:p>
        </w:tc>
        <w:tc>
          <w:tcPr>
            <w:tcW w:w="770" w:type="dxa"/>
          </w:tcPr>
          <w:p>
            <w:pPr>
              <w:pStyle w:val="54"/>
              <w:spacing w:before="80"/>
              <w:ind w:left="10"/>
              <w:rPr>
                <w:color w:val="auto"/>
                <w:sz w:val="21"/>
                <w:highlight w:val="none"/>
              </w:rPr>
            </w:pPr>
            <w:r>
              <w:rPr>
                <w:color w:val="auto"/>
                <w:sz w:val="21"/>
                <w:highlight w:val="none"/>
              </w:rPr>
              <w:t xml:space="preserve"> </w:t>
            </w:r>
          </w:p>
        </w:tc>
      </w:tr>
    </w:tbl>
    <w:p>
      <w:pPr>
        <w:pStyle w:val="2"/>
        <w:rPr>
          <w:color w:val="auto"/>
          <w:sz w:val="28"/>
          <w:highlight w:val="none"/>
        </w:rPr>
      </w:pPr>
    </w:p>
    <w:p>
      <w:pPr>
        <w:pStyle w:val="2"/>
        <w:rPr>
          <w:color w:val="auto"/>
          <w:sz w:val="23"/>
          <w:highlight w:val="none"/>
        </w:rPr>
      </w:pPr>
    </w:p>
    <w:p>
      <w:pPr>
        <w:pStyle w:val="2"/>
        <w:ind w:left="1078" w:firstLine="3150" w:firstLineChars="1500"/>
        <w:rPr>
          <w:color w:val="auto"/>
          <w:highlight w:val="none"/>
        </w:rPr>
      </w:pPr>
      <w:r>
        <w:rPr>
          <w:color w:val="auto"/>
          <w:highlight w:val="none"/>
        </w:rPr>
        <w:t>供应商（电子签章）：</w:t>
      </w:r>
      <w:r>
        <w:rPr>
          <w:color w:val="auto"/>
          <w:highlight w:val="none"/>
          <w:u w:val="single"/>
        </w:rPr>
        <w:t xml:space="preserve">                        </w:t>
      </w:r>
      <w:r>
        <w:rPr>
          <w:color w:val="auto"/>
          <w:highlight w:val="none"/>
        </w:rPr>
        <w:t xml:space="preserve"> </w:t>
      </w:r>
    </w:p>
    <w:p>
      <w:pPr>
        <w:pStyle w:val="2"/>
        <w:spacing w:before="11"/>
        <w:rPr>
          <w:color w:val="auto"/>
          <w:sz w:val="10"/>
          <w:highlight w:val="none"/>
        </w:rPr>
      </w:pPr>
    </w:p>
    <w:p>
      <w:pPr>
        <w:pStyle w:val="2"/>
        <w:spacing w:before="72"/>
        <w:ind w:left="1078" w:firstLine="3150" w:firstLineChars="1500"/>
        <w:rPr>
          <w:color w:val="auto"/>
          <w:highlight w:val="none"/>
        </w:rPr>
      </w:pPr>
      <w:r>
        <w:rPr>
          <w:color w:val="auto"/>
          <w:highlight w:val="none"/>
        </w:rPr>
        <w:t>法人代表或委托代理人（签字/电子签名）：</w:t>
      </w:r>
      <w:r>
        <w:rPr>
          <w:color w:val="auto"/>
          <w:highlight w:val="none"/>
          <w:u w:val="single"/>
        </w:rPr>
        <w:t xml:space="preserve">                </w:t>
      </w:r>
      <w:r>
        <w:rPr>
          <w:color w:val="auto"/>
          <w:highlight w:val="none"/>
        </w:rPr>
        <w:t xml:space="preserve"> </w:t>
      </w:r>
    </w:p>
    <w:p>
      <w:pPr>
        <w:pStyle w:val="2"/>
        <w:spacing w:before="11"/>
        <w:rPr>
          <w:color w:val="auto"/>
          <w:sz w:val="10"/>
          <w:highlight w:val="none"/>
        </w:rPr>
      </w:pPr>
    </w:p>
    <w:p>
      <w:pPr>
        <w:pStyle w:val="2"/>
        <w:spacing w:before="72"/>
        <w:ind w:left="1078" w:firstLine="3990" w:firstLineChars="1900"/>
        <w:rPr>
          <w:color w:val="auto"/>
          <w:highlight w:val="none"/>
        </w:rPr>
      </w:pPr>
      <w:r>
        <w:rPr>
          <w:color w:val="auto"/>
          <w:highlight w:val="none"/>
        </w:rPr>
        <w:t>日 期 ：</w:t>
      </w:r>
      <w:r>
        <w:rPr>
          <w:color w:val="auto"/>
          <w:highlight w:val="none"/>
          <w:u w:val="single"/>
        </w:rPr>
        <w:t xml:space="preserve"> </w:t>
      </w:r>
      <w:r>
        <w:rPr>
          <w:color w:val="auto"/>
          <w:highlight w:val="none"/>
        </w:rPr>
        <w:t>年</w:t>
      </w:r>
      <w:r>
        <w:rPr>
          <w:color w:val="auto"/>
          <w:highlight w:val="none"/>
          <w:u w:val="single"/>
        </w:rPr>
        <w:t xml:space="preserve"> </w:t>
      </w:r>
      <w:r>
        <w:rPr>
          <w:color w:val="auto"/>
          <w:highlight w:val="none"/>
        </w:rPr>
        <w:t>月</w:t>
      </w:r>
      <w:r>
        <w:rPr>
          <w:color w:val="auto"/>
          <w:highlight w:val="none"/>
          <w:u w:val="single"/>
        </w:rPr>
        <w:t xml:space="preserve"> </w:t>
      </w:r>
      <w:r>
        <w:rPr>
          <w:color w:val="auto"/>
          <w:highlight w:val="none"/>
        </w:rPr>
        <w:t xml:space="preserve">日 </w:t>
      </w:r>
    </w:p>
    <w:p>
      <w:pPr>
        <w:rPr>
          <w:color w:val="auto"/>
          <w:highlight w:val="none"/>
        </w:rPr>
        <w:sectPr>
          <w:pgSz w:w="11900" w:h="16850"/>
          <w:pgMar w:top="1400" w:right="760" w:bottom="1320" w:left="760" w:header="1158" w:footer="1136" w:gutter="0"/>
          <w:cols w:space="720" w:num="1"/>
        </w:sectPr>
      </w:pPr>
    </w:p>
    <w:p>
      <w:pPr>
        <w:spacing w:before="68"/>
        <w:ind w:left="4"/>
        <w:jc w:val="center"/>
        <w:rPr>
          <w:color w:val="auto"/>
          <w:sz w:val="32"/>
          <w:highlight w:val="none"/>
        </w:rPr>
      </w:pPr>
      <w:r>
        <w:rPr>
          <w:color w:val="auto"/>
          <w:sz w:val="32"/>
          <w:highlight w:val="none"/>
        </w:rPr>
        <w:t>磋商报价表</w:t>
      </w:r>
    </w:p>
    <w:p>
      <w:pPr>
        <w:pStyle w:val="9"/>
        <w:spacing w:before="16"/>
        <w:ind w:left="122"/>
        <w:jc w:val="center"/>
        <w:outlineLvl w:val="9"/>
        <w:rPr>
          <w:color w:val="auto"/>
          <w:highlight w:val="none"/>
        </w:rPr>
      </w:pPr>
      <w:r>
        <w:rPr>
          <w:color w:val="auto"/>
          <w:w w:val="99"/>
          <w:highlight w:val="none"/>
        </w:rPr>
        <w:t xml:space="preserve"> </w:t>
      </w:r>
    </w:p>
    <w:p>
      <w:pPr>
        <w:pStyle w:val="2"/>
        <w:spacing w:before="3" w:after="4"/>
        <w:ind w:right="1433"/>
        <w:jc w:val="center"/>
        <w:rPr>
          <w:color w:val="auto"/>
          <w:highlight w:val="none"/>
        </w:rPr>
      </w:pPr>
      <w:r>
        <w:rPr>
          <w:color w:val="auto"/>
          <w:highlight w:val="none"/>
        </w:rPr>
        <w:t xml:space="preserve">                                               币种：人民币 </w:t>
      </w:r>
    </w:p>
    <w:tbl>
      <w:tblPr>
        <w:tblStyle w:val="52"/>
        <w:tblW w:w="0" w:type="auto"/>
        <w:tblInd w:w="79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985"/>
        <w:gridCol w:w="3120"/>
        <w:gridCol w:w="1985"/>
        <w:gridCol w:w="170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2" w:hRule="atLeast"/>
        </w:trPr>
        <w:tc>
          <w:tcPr>
            <w:tcW w:w="5105" w:type="dxa"/>
            <w:gridSpan w:val="2"/>
          </w:tcPr>
          <w:p>
            <w:pPr>
              <w:pStyle w:val="54"/>
              <w:spacing w:before="8"/>
              <w:rPr>
                <w:color w:val="auto"/>
                <w:sz w:val="15"/>
                <w:highlight w:val="none"/>
              </w:rPr>
            </w:pPr>
          </w:p>
          <w:p>
            <w:pPr>
              <w:pStyle w:val="54"/>
              <w:ind w:left="2164" w:right="2051"/>
              <w:jc w:val="center"/>
              <w:rPr>
                <w:color w:val="auto"/>
                <w:sz w:val="21"/>
                <w:highlight w:val="none"/>
              </w:rPr>
            </w:pPr>
            <w:r>
              <w:rPr>
                <w:color w:val="auto"/>
                <w:sz w:val="21"/>
                <w:highlight w:val="none"/>
              </w:rPr>
              <w:t xml:space="preserve">磋商报价 </w:t>
            </w:r>
          </w:p>
        </w:tc>
        <w:tc>
          <w:tcPr>
            <w:tcW w:w="1985" w:type="dxa"/>
          </w:tcPr>
          <w:p>
            <w:pPr>
              <w:pStyle w:val="54"/>
              <w:spacing w:before="8"/>
              <w:rPr>
                <w:color w:val="auto"/>
                <w:sz w:val="15"/>
                <w:highlight w:val="none"/>
              </w:rPr>
            </w:pPr>
          </w:p>
          <w:p>
            <w:pPr>
              <w:pStyle w:val="54"/>
              <w:ind w:right="-15"/>
              <w:jc w:val="right"/>
              <w:rPr>
                <w:color w:val="auto"/>
                <w:sz w:val="21"/>
                <w:highlight w:val="none"/>
              </w:rPr>
            </w:pPr>
            <w:r>
              <w:rPr>
                <w:color w:val="auto"/>
                <w:sz w:val="21"/>
                <w:highlight w:val="none"/>
              </w:rPr>
              <w:t xml:space="preserve">元 </w:t>
            </w:r>
          </w:p>
        </w:tc>
        <w:tc>
          <w:tcPr>
            <w:tcW w:w="1704" w:type="dxa"/>
          </w:tcPr>
          <w:p>
            <w:pPr>
              <w:pStyle w:val="54"/>
              <w:spacing w:before="8"/>
              <w:rPr>
                <w:color w:val="auto"/>
                <w:sz w:val="15"/>
                <w:highlight w:val="none"/>
              </w:rPr>
            </w:pPr>
          </w:p>
          <w:p>
            <w:pPr>
              <w:pStyle w:val="54"/>
              <w:ind w:left="639"/>
              <w:rPr>
                <w:color w:val="auto"/>
                <w:sz w:val="21"/>
                <w:highlight w:val="none"/>
              </w:rPr>
            </w:pPr>
            <w:r>
              <w:rPr>
                <w:color w:val="auto"/>
                <w:sz w:val="21"/>
                <w:highlight w:val="none"/>
              </w:rPr>
              <w:t xml:space="preserve">备注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4" w:hRule="atLeast"/>
        </w:trPr>
        <w:tc>
          <w:tcPr>
            <w:tcW w:w="1985" w:type="dxa"/>
            <w:vMerge w:val="restart"/>
          </w:tcPr>
          <w:p>
            <w:pPr>
              <w:pStyle w:val="54"/>
              <w:rPr>
                <w:color w:val="auto"/>
                <w:sz w:val="20"/>
                <w:highlight w:val="none"/>
              </w:rPr>
            </w:pPr>
          </w:p>
          <w:p>
            <w:pPr>
              <w:pStyle w:val="54"/>
              <w:rPr>
                <w:color w:val="auto"/>
                <w:sz w:val="20"/>
                <w:highlight w:val="none"/>
              </w:rPr>
            </w:pPr>
          </w:p>
          <w:p>
            <w:pPr>
              <w:pStyle w:val="54"/>
              <w:rPr>
                <w:color w:val="auto"/>
                <w:sz w:val="20"/>
                <w:highlight w:val="none"/>
              </w:rPr>
            </w:pPr>
          </w:p>
          <w:p>
            <w:pPr>
              <w:pStyle w:val="54"/>
              <w:rPr>
                <w:color w:val="auto"/>
                <w:sz w:val="20"/>
                <w:highlight w:val="none"/>
              </w:rPr>
            </w:pPr>
          </w:p>
          <w:p>
            <w:pPr>
              <w:pStyle w:val="54"/>
              <w:rPr>
                <w:color w:val="auto"/>
                <w:sz w:val="20"/>
                <w:highlight w:val="none"/>
              </w:rPr>
            </w:pPr>
          </w:p>
          <w:p>
            <w:pPr>
              <w:pStyle w:val="54"/>
              <w:spacing w:before="10"/>
              <w:rPr>
                <w:color w:val="auto"/>
                <w:sz w:val="19"/>
                <w:highlight w:val="none"/>
              </w:rPr>
            </w:pPr>
          </w:p>
          <w:p>
            <w:pPr>
              <w:pStyle w:val="54"/>
              <w:ind w:left="814" w:right="700"/>
              <w:jc w:val="center"/>
              <w:rPr>
                <w:color w:val="auto"/>
                <w:sz w:val="21"/>
                <w:highlight w:val="none"/>
              </w:rPr>
            </w:pPr>
            <w:r>
              <w:rPr>
                <w:color w:val="auto"/>
                <w:sz w:val="21"/>
                <w:highlight w:val="none"/>
              </w:rPr>
              <w:t xml:space="preserve">其中 </w:t>
            </w:r>
          </w:p>
        </w:tc>
        <w:tc>
          <w:tcPr>
            <w:tcW w:w="3120" w:type="dxa"/>
          </w:tcPr>
          <w:p>
            <w:pPr>
              <w:pStyle w:val="54"/>
              <w:spacing w:before="2"/>
              <w:rPr>
                <w:color w:val="auto"/>
                <w:sz w:val="16"/>
                <w:highlight w:val="none"/>
              </w:rPr>
            </w:pPr>
          </w:p>
          <w:p>
            <w:pPr>
              <w:pStyle w:val="54"/>
              <w:ind w:left="436" w:right="323"/>
              <w:jc w:val="center"/>
              <w:rPr>
                <w:color w:val="auto"/>
                <w:sz w:val="21"/>
                <w:highlight w:val="none"/>
              </w:rPr>
            </w:pPr>
            <w:r>
              <w:rPr>
                <w:color w:val="auto"/>
                <w:sz w:val="21"/>
                <w:highlight w:val="none"/>
              </w:rPr>
              <w:t xml:space="preserve">安全文明施工费 </w:t>
            </w:r>
          </w:p>
        </w:tc>
        <w:tc>
          <w:tcPr>
            <w:tcW w:w="1985" w:type="dxa"/>
          </w:tcPr>
          <w:p>
            <w:pPr>
              <w:pStyle w:val="54"/>
              <w:spacing w:before="2"/>
              <w:rPr>
                <w:color w:val="auto"/>
                <w:sz w:val="16"/>
                <w:highlight w:val="none"/>
              </w:rPr>
            </w:pPr>
          </w:p>
          <w:p>
            <w:pPr>
              <w:pStyle w:val="54"/>
              <w:ind w:right="-15"/>
              <w:jc w:val="right"/>
              <w:rPr>
                <w:color w:val="auto"/>
                <w:sz w:val="21"/>
                <w:highlight w:val="none"/>
              </w:rPr>
            </w:pPr>
            <w:r>
              <w:rPr>
                <w:color w:val="auto"/>
                <w:sz w:val="21"/>
                <w:highlight w:val="none"/>
              </w:rPr>
              <w:t xml:space="preserve">元 </w:t>
            </w:r>
          </w:p>
        </w:tc>
        <w:tc>
          <w:tcPr>
            <w:tcW w:w="1704" w:type="dxa"/>
          </w:tcPr>
          <w:p>
            <w:pPr>
              <w:pStyle w:val="54"/>
              <w:ind w:left="112"/>
              <w:jc w:val="center"/>
              <w:rPr>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1" w:hRule="atLeast"/>
        </w:trPr>
        <w:tc>
          <w:tcPr>
            <w:tcW w:w="1985" w:type="dxa"/>
            <w:vMerge w:val="continue"/>
            <w:tcBorders>
              <w:top w:val="nil"/>
            </w:tcBorders>
          </w:tcPr>
          <w:p>
            <w:pPr>
              <w:rPr>
                <w:color w:val="auto"/>
                <w:sz w:val="2"/>
                <w:szCs w:val="2"/>
                <w:highlight w:val="none"/>
              </w:rPr>
            </w:pPr>
          </w:p>
        </w:tc>
        <w:tc>
          <w:tcPr>
            <w:tcW w:w="3120" w:type="dxa"/>
          </w:tcPr>
          <w:p>
            <w:pPr>
              <w:pStyle w:val="54"/>
              <w:spacing w:before="4"/>
              <w:rPr>
                <w:color w:val="auto"/>
                <w:sz w:val="16"/>
                <w:highlight w:val="none"/>
              </w:rPr>
            </w:pPr>
          </w:p>
          <w:p>
            <w:pPr>
              <w:pStyle w:val="54"/>
              <w:spacing w:before="1"/>
              <w:ind w:left="436" w:right="323"/>
              <w:jc w:val="center"/>
              <w:rPr>
                <w:color w:val="auto"/>
                <w:sz w:val="21"/>
                <w:highlight w:val="none"/>
              </w:rPr>
            </w:pPr>
            <w:r>
              <w:rPr>
                <w:color w:val="auto"/>
                <w:sz w:val="21"/>
                <w:highlight w:val="none"/>
              </w:rPr>
              <w:t xml:space="preserve">发包人提供材料（如有） </w:t>
            </w:r>
          </w:p>
        </w:tc>
        <w:tc>
          <w:tcPr>
            <w:tcW w:w="1985" w:type="dxa"/>
          </w:tcPr>
          <w:p>
            <w:pPr>
              <w:pStyle w:val="54"/>
              <w:spacing w:before="4"/>
              <w:rPr>
                <w:color w:val="auto"/>
                <w:sz w:val="16"/>
                <w:highlight w:val="none"/>
              </w:rPr>
            </w:pPr>
          </w:p>
          <w:p>
            <w:pPr>
              <w:pStyle w:val="54"/>
              <w:spacing w:before="1"/>
              <w:ind w:right="-15"/>
              <w:jc w:val="right"/>
              <w:rPr>
                <w:color w:val="auto"/>
                <w:sz w:val="21"/>
                <w:highlight w:val="none"/>
              </w:rPr>
            </w:pPr>
            <w:r>
              <w:rPr>
                <w:color w:val="auto"/>
                <w:sz w:val="21"/>
                <w:highlight w:val="none"/>
              </w:rPr>
              <w:t xml:space="preserve">元 </w:t>
            </w:r>
          </w:p>
        </w:tc>
        <w:tc>
          <w:tcPr>
            <w:tcW w:w="1704" w:type="dxa"/>
          </w:tcPr>
          <w:p>
            <w:pPr>
              <w:pStyle w:val="54"/>
              <w:spacing w:before="174"/>
              <w:ind w:left="106"/>
              <w:rPr>
                <w:color w:val="auto"/>
                <w:sz w:val="21"/>
                <w:highlight w:val="none"/>
              </w:rPr>
            </w:pPr>
            <w:r>
              <w:rPr>
                <w:color w:val="auto"/>
                <w:sz w:val="21"/>
                <w:highlight w:val="non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62" w:hRule="atLeast"/>
        </w:trPr>
        <w:tc>
          <w:tcPr>
            <w:tcW w:w="1985" w:type="dxa"/>
            <w:vMerge w:val="continue"/>
            <w:tcBorders>
              <w:top w:val="nil"/>
            </w:tcBorders>
          </w:tcPr>
          <w:p>
            <w:pPr>
              <w:rPr>
                <w:color w:val="auto"/>
                <w:sz w:val="2"/>
                <w:szCs w:val="2"/>
                <w:highlight w:val="none"/>
              </w:rPr>
            </w:pPr>
          </w:p>
        </w:tc>
        <w:tc>
          <w:tcPr>
            <w:tcW w:w="3120" w:type="dxa"/>
          </w:tcPr>
          <w:p>
            <w:pPr>
              <w:pStyle w:val="54"/>
              <w:spacing w:before="176"/>
              <w:ind w:left="108"/>
              <w:rPr>
                <w:color w:val="auto"/>
                <w:sz w:val="21"/>
                <w:highlight w:val="none"/>
              </w:rPr>
            </w:pPr>
            <w:r>
              <w:rPr>
                <w:color w:val="auto"/>
                <w:sz w:val="21"/>
                <w:highlight w:val="none"/>
              </w:rPr>
              <w:t>承包人提供材料（设备）暂估价</w:t>
            </w:r>
          </w:p>
          <w:p>
            <w:pPr>
              <w:pStyle w:val="54"/>
              <w:spacing w:before="6"/>
              <w:rPr>
                <w:color w:val="auto"/>
                <w:sz w:val="16"/>
                <w:highlight w:val="none"/>
              </w:rPr>
            </w:pPr>
          </w:p>
          <w:p>
            <w:pPr>
              <w:pStyle w:val="54"/>
              <w:ind w:left="1140"/>
              <w:rPr>
                <w:color w:val="auto"/>
                <w:sz w:val="21"/>
                <w:highlight w:val="none"/>
              </w:rPr>
            </w:pPr>
            <w:r>
              <w:rPr>
                <w:color w:val="auto"/>
                <w:sz w:val="21"/>
                <w:highlight w:val="none"/>
              </w:rPr>
              <w:t xml:space="preserve">（如有） </w:t>
            </w:r>
          </w:p>
        </w:tc>
        <w:tc>
          <w:tcPr>
            <w:tcW w:w="1985" w:type="dxa"/>
          </w:tcPr>
          <w:p>
            <w:pPr>
              <w:pStyle w:val="54"/>
              <w:rPr>
                <w:color w:val="auto"/>
                <w:sz w:val="20"/>
                <w:highlight w:val="none"/>
              </w:rPr>
            </w:pPr>
          </w:p>
          <w:p>
            <w:pPr>
              <w:pStyle w:val="54"/>
              <w:spacing w:before="160"/>
              <w:ind w:right="-15"/>
              <w:jc w:val="right"/>
              <w:rPr>
                <w:color w:val="auto"/>
                <w:sz w:val="21"/>
                <w:highlight w:val="none"/>
              </w:rPr>
            </w:pPr>
            <w:r>
              <w:rPr>
                <w:color w:val="auto"/>
                <w:sz w:val="21"/>
                <w:highlight w:val="none"/>
              </w:rPr>
              <w:t xml:space="preserve">元 </w:t>
            </w:r>
          </w:p>
        </w:tc>
        <w:tc>
          <w:tcPr>
            <w:tcW w:w="1704" w:type="dxa"/>
          </w:tcPr>
          <w:p>
            <w:pPr>
              <w:pStyle w:val="54"/>
              <w:spacing w:before="176"/>
              <w:ind w:left="106"/>
              <w:rPr>
                <w:color w:val="auto"/>
                <w:sz w:val="21"/>
                <w:highlight w:val="none"/>
              </w:rPr>
            </w:pPr>
            <w:r>
              <w:rPr>
                <w:color w:val="auto"/>
                <w:sz w:val="21"/>
                <w:highlight w:val="non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1" w:hRule="atLeast"/>
        </w:trPr>
        <w:tc>
          <w:tcPr>
            <w:tcW w:w="1985" w:type="dxa"/>
            <w:vMerge w:val="continue"/>
            <w:tcBorders>
              <w:top w:val="nil"/>
            </w:tcBorders>
          </w:tcPr>
          <w:p>
            <w:pPr>
              <w:rPr>
                <w:color w:val="auto"/>
                <w:sz w:val="2"/>
                <w:szCs w:val="2"/>
                <w:highlight w:val="none"/>
              </w:rPr>
            </w:pPr>
          </w:p>
        </w:tc>
        <w:tc>
          <w:tcPr>
            <w:tcW w:w="3120" w:type="dxa"/>
          </w:tcPr>
          <w:p>
            <w:pPr>
              <w:pStyle w:val="54"/>
              <w:spacing w:before="4"/>
              <w:rPr>
                <w:color w:val="auto"/>
                <w:sz w:val="16"/>
                <w:highlight w:val="none"/>
              </w:rPr>
            </w:pPr>
          </w:p>
          <w:p>
            <w:pPr>
              <w:pStyle w:val="54"/>
              <w:spacing w:before="1"/>
              <w:ind w:left="436" w:right="323"/>
              <w:jc w:val="center"/>
              <w:rPr>
                <w:color w:val="auto"/>
                <w:sz w:val="21"/>
                <w:highlight w:val="none"/>
              </w:rPr>
            </w:pPr>
            <w:r>
              <w:rPr>
                <w:color w:val="auto"/>
                <w:sz w:val="21"/>
                <w:highlight w:val="none"/>
              </w:rPr>
              <w:t xml:space="preserve">暂估专业工程（如有） </w:t>
            </w:r>
          </w:p>
        </w:tc>
        <w:tc>
          <w:tcPr>
            <w:tcW w:w="1985" w:type="dxa"/>
          </w:tcPr>
          <w:p>
            <w:pPr>
              <w:pStyle w:val="54"/>
              <w:spacing w:before="4"/>
              <w:rPr>
                <w:color w:val="auto"/>
                <w:sz w:val="16"/>
                <w:highlight w:val="none"/>
              </w:rPr>
            </w:pPr>
          </w:p>
          <w:p>
            <w:pPr>
              <w:pStyle w:val="54"/>
              <w:spacing w:before="1"/>
              <w:ind w:right="-15"/>
              <w:jc w:val="right"/>
              <w:rPr>
                <w:color w:val="auto"/>
                <w:sz w:val="21"/>
                <w:highlight w:val="none"/>
              </w:rPr>
            </w:pPr>
            <w:r>
              <w:rPr>
                <w:color w:val="auto"/>
                <w:sz w:val="21"/>
                <w:highlight w:val="none"/>
              </w:rPr>
              <w:t xml:space="preserve">元 </w:t>
            </w:r>
          </w:p>
        </w:tc>
        <w:tc>
          <w:tcPr>
            <w:tcW w:w="1704" w:type="dxa"/>
          </w:tcPr>
          <w:p>
            <w:pPr>
              <w:pStyle w:val="54"/>
              <w:spacing w:before="173"/>
              <w:ind w:left="106"/>
              <w:rPr>
                <w:color w:val="auto"/>
                <w:sz w:val="21"/>
                <w:highlight w:val="none"/>
              </w:rPr>
            </w:pPr>
            <w:r>
              <w:rPr>
                <w:color w:val="auto"/>
                <w:sz w:val="21"/>
                <w:highlight w:val="non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1" w:hRule="atLeast"/>
        </w:trPr>
        <w:tc>
          <w:tcPr>
            <w:tcW w:w="1985" w:type="dxa"/>
            <w:vMerge w:val="continue"/>
            <w:tcBorders>
              <w:top w:val="nil"/>
            </w:tcBorders>
          </w:tcPr>
          <w:p>
            <w:pPr>
              <w:rPr>
                <w:color w:val="auto"/>
                <w:sz w:val="2"/>
                <w:szCs w:val="2"/>
                <w:highlight w:val="none"/>
              </w:rPr>
            </w:pPr>
          </w:p>
        </w:tc>
        <w:tc>
          <w:tcPr>
            <w:tcW w:w="3120" w:type="dxa"/>
          </w:tcPr>
          <w:p>
            <w:pPr>
              <w:pStyle w:val="54"/>
              <w:spacing w:before="4"/>
              <w:rPr>
                <w:color w:val="auto"/>
                <w:sz w:val="16"/>
                <w:highlight w:val="none"/>
              </w:rPr>
            </w:pPr>
          </w:p>
          <w:p>
            <w:pPr>
              <w:pStyle w:val="54"/>
              <w:spacing w:before="1"/>
              <w:ind w:left="436" w:right="320"/>
              <w:jc w:val="center"/>
              <w:rPr>
                <w:color w:val="auto"/>
                <w:sz w:val="21"/>
                <w:highlight w:val="none"/>
              </w:rPr>
            </w:pPr>
            <w:r>
              <w:rPr>
                <w:color w:val="auto"/>
                <w:sz w:val="21"/>
                <w:highlight w:val="none"/>
              </w:rPr>
              <w:t xml:space="preserve">暂列金额（如有） </w:t>
            </w:r>
          </w:p>
        </w:tc>
        <w:tc>
          <w:tcPr>
            <w:tcW w:w="1985" w:type="dxa"/>
          </w:tcPr>
          <w:p>
            <w:pPr>
              <w:pStyle w:val="54"/>
              <w:spacing w:before="4"/>
              <w:rPr>
                <w:color w:val="auto"/>
                <w:sz w:val="16"/>
                <w:highlight w:val="none"/>
              </w:rPr>
            </w:pPr>
          </w:p>
          <w:p>
            <w:pPr>
              <w:pStyle w:val="54"/>
              <w:spacing w:before="1"/>
              <w:ind w:right="-15"/>
              <w:jc w:val="right"/>
              <w:rPr>
                <w:color w:val="auto"/>
                <w:sz w:val="21"/>
                <w:highlight w:val="none"/>
              </w:rPr>
            </w:pPr>
            <w:r>
              <w:rPr>
                <w:color w:val="auto"/>
                <w:sz w:val="21"/>
                <w:highlight w:val="none"/>
              </w:rPr>
              <w:t xml:space="preserve">元 </w:t>
            </w:r>
          </w:p>
        </w:tc>
        <w:tc>
          <w:tcPr>
            <w:tcW w:w="1704" w:type="dxa"/>
          </w:tcPr>
          <w:p>
            <w:pPr>
              <w:pStyle w:val="54"/>
              <w:spacing w:before="173"/>
              <w:ind w:left="106"/>
              <w:rPr>
                <w:color w:val="auto"/>
                <w:sz w:val="21"/>
                <w:highlight w:val="none"/>
              </w:rPr>
            </w:pPr>
            <w:r>
              <w:rPr>
                <w:color w:val="auto"/>
                <w:sz w:val="21"/>
                <w:highlight w:val="non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59" w:hRule="atLeast"/>
        </w:trPr>
        <w:tc>
          <w:tcPr>
            <w:tcW w:w="8794" w:type="dxa"/>
            <w:gridSpan w:val="4"/>
          </w:tcPr>
          <w:p>
            <w:pPr>
              <w:pStyle w:val="54"/>
              <w:spacing w:before="173"/>
              <w:ind w:left="107"/>
              <w:rPr>
                <w:color w:val="auto"/>
                <w:sz w:val="21"/>
                <w:highlight w:val="none"/>
              </w:rPr>
            </w:pPr>
            <w:r>
              <w:rPr>
                <w:color w:val="auto"/>
                <w:sz w:val="21"/>
                <w:highlight w:val="none"/>
              </w:rPr>
              <w:t>备注：供应商在响应竞争性磋商文件中规定的实质性要求和条件的基础上，可做出其他有利于</w:t>
            </w:r>
          </w:p>
          <w:p>
            <w:pPr>
              <w:pStyle w:val="54"/>
              <w:spacing w:before="6"/>
              <w:rPr>
                <w:color w:val="auto"/>
                <w:sz w:val="16"/>
                <w:highlight w:val="none"/>
              </w:rPr>
            </w:pPr>
          </w:p>
          <w:p>
            <w:pPr>
              <w:pStyle w:val="54"/>
              <w:ind w:left="107"/>
              <w:rPr>
                <w:color w:val="auto"/>
                <w:sz w:val="21"/>
                <w:highlight w:val="none"/>
              </w:rPr>
            </w:pPr>
            <w:r>
              <w:rPr>
                <w:color w:val="auto"/>
                <w:sz w:val="21"/>
                <w:highlight w:val="none"/>
              </w:rPr>
              <w:t xml:space="preserve">采购单位的承诺。此类承诺可在本表中予以补充填写。 </w:t>
            </w:r>
          </w:p>
        </w:tc>
      </w:tr>
    </w:tbl>
    <w:p>
      <w:pPr>
        <w:pStyle w:val="2"/>
        <w:rPr>
          <w:color w:val="auto"/>
          <w:sz w:val="20"/>
          <w:highlight w:val="none"/>
        </w:rPr>
      </w:pPr>
    </w:p>
    <w:p>
      <w:pPr>
        <w:pStyle w:val="2"/>
        <w:rPr>
          <w:color w:val="auto"/>
          <w:sz w:val="20"/>
          <w:highlight w:val="none"/>
        </w:rPr>
      </w:pPr>
    </w:p>
    <w:p>
      <w:pPr>
        <w:pStyle w:val="2"/>
        <w:rPr>
          <w:color w:val="auto"/>
          <w:sz w:val="20"/>
          <w:highlight w:val="none"/>
        </w:rPr>
      </w:pPr>
    </w:p>
    <w:p>
      <w:pPr>
        <w:pStyle w:val="2"/>
        <w:spacing w:before="2"/>
        <w:rPr>
          <w:color w:val="auto"/>
          <w:sz w:val="25"/>
          <w:highlight w:val="none"/>
        </w:rPr>
      </w:pPr>
    </w:p>
    <w:p>
      <w:pPr>
        <w:pStyle w:val="2"/>
        <w:ind w:left="870"/>
        <w:rPr>
          <w:color w:val="auto"/>
          <w:highlight w:val="none"/>
        </w:rPr>
      </w:pPr>
      <w:r>
        <w:rPr>
          <w:color w:val="auto"/>
          <w:highlight w:val="none"/>
        </w:rPr>
        <w:t>供应商（电子签章）：</w:t>
      </w:r>
      <w:r>
        <w:rPr>
          <w:color w:val="auto"/>
          <w:highlight w:val="none"/>
          <w:u w:val="single"/>
        </w:rPr>
        <w:t xml:space="preserve">                        </w:t>
      </w:r>
      <w:r>
        <w:rPr>
          <w:color w:val="auto"/>
          <w:highlight w:val="none"/>
        </w:rPr>
        <w:t xml:space="preserve"> </w:t>
      </w:r>
    </w:p>
    <w:p>
      <w:pPr>
        <w:pStyle w:val="2"/>
        <w:spacing w:before="12"/>
        <w:rPr>
          <w:color w:val="auto"/>
          <w:sz w:val="15"/>
          <w:highlight w:val="none"/>
        </w:rPr>
      </w:pPr>
    </w:p>
    <w:p>
      <w:pPr>
        <w:pStyle w:val="2"/>
        <w:spacing w:before="71"/>
        <w:ind w:left="870"/>
        <w:rPr>
          <w:color w:val="auto"/>
          <w:highlight w:val="none"/>
        </w:rPr>
      </w:pPr>
      <w:r>
        <w:rPr>
          <w:color w:val="auto"/>
          <w:highlight w:val="none"/>
        </w:rPr>
        <w:t>法定代表人或其委托代理人（签字/电子签名）：</w:t>
      </w:r>
      <w:r>
        <w:rPr>
          <w:color w:val="auto"/>
          <w:highlight w:val="none"/>
          <w:u w:val="single"/>
        </w:rPr>
        <w:t xml:space="preserve">                    </w:t>
      </w:r>
      <w:r>
        <w:rPr>
          <w:color w:val="auto"/>
          <w:highlight w:val="none"/>
        </w:rPr>
        <w:t xml:space="preserve"> </w:t>
      </w:r>
    </w:p>
    <w:p>
      <w:pPr>
        <w:pStyle w:val="2"/>
        <w:spacing w:before="12"/>
        <w:rPr>
          <w:color w:val="auto"/>
          <w:sz w:val="15"/>
          <w:highlight w:val="none"/>
        </w:rPr>
      </w:pPr>
    </w:p>
    <w:p>
      <w:pPr>
        <w:pStyle w:val="2"/>
        <w:spacing w:before="72"/>
        <w:ind w:left="870"/>
        <w:rPr>
          <w:color w:val="auto"/>
          <w:highlight w:val="none"/>
        </w:rPr>
      </w:pPr>
      <w:r>
        <w:rPr>
          <w:color w:val="auto"/>
          <w:highlight w:val="none"/>
        </w:rPr>
        <w:t>日 期 ：</w:t>
      </w:r>
      <w:r>
        <w:rPr>
          <w:color w:val="auto"/>
          <w:highlight w:val="none"/>
          <w:u w:val="single"/>
        </w:rPr>
        <w:t xml:space="preserve"> </w:t>
      </w:r>
      <w:r>
        <w:rPr>
          <w:color w:val="auto"/>
          <w:highlight w:val="none"/>
        </w:rPr>
        <w:t>年</w:t>
      </w:r>
      <w:r>
        <w:rPr>
          <w:color w:val="auto"/>
          <w:highlight w:val="none"/>
          <w:u w:val="single"/>
        </w:rPr>
        <w:t xml:space="preserve"> </w:t>
      </w:r>
      <w:r>
        <w:rPr>
          <w:color w:val="auto"/>
          <w:highlight w:val="none"/>
        </w:rPr>
        <w:t>月</w:t>
      </w:r>
      <w:r>
        <w:rPr>
          <w:color w:val="auto"/>
          <w:highlight w:val="none"/>
          <w:u w:val="single"/>
        </w:rPr>
        <w:t xml:space="preserve"> </w:t>
      </w:r>
      <w:r>
        <w:rPr>
          <w:color w:val="auto"/>
          <w:highlight w:val="none"/>
        </w:rPr>
        <w:t xml:space="preserve">日 </w:t>
      </w:r>
    </w:p>
    <w:p>
      <w:pPr>
        <w:pStyle w:val="2"/>
        <w:spacing w:before="3"/>
        <w:rPr>
          <w:color w:val="auto"/>
          <w:sz w:val="16"/>
          <w:highlight w:val="none"/>
        </w:rPr>
      </w:pPr>
    </w:p>
    <w:p>
      <w:pPr>
        <w:pStyle w:val="9"/>
        <w:spacing w:before="66"/>
        <w:ind w:left="1078"/>
        <w:outlineLvl w:val="9"/>
        <w:rPr>
          <w:color w:val="auto"/>
          <w:highlight w:val="none"/>
        </w:rPr>
      </w:pPr>
      <w:r>
        <w:rPr>
          <w:color w:val="auto"/>
          <w:w w:val="99"/>
          <w:highlight w:val="none"/>
        </w:rPr>
        <w:t xml:space="preserve"> </w:t>
      </w:r>
    </w:p>
    <w:p>
      <w:pPr>
        <w:rPr>
          <w:color w:val="auto"/>
          <w:highlight w:val="none"/>
        </w:rPr>
        <w:sectPr>
          <w:pgSz w:w="11900" w:h="16850"/>
          <w:pgMar w:top="1400" w:right="760" w:bottom="1320" w:left="760" w:header="1158" w:footer="1136" w:gutter="0"/>
          <w:cols w:space="720" w:num="1"/>
        </w:sectPr>
      </w:pPr>
    </w:p>
    <w:p>
      <w:pPr>
        <w:ind w:left="545"/>
        <w:jc w:val="center"/>
        <w:rPr>
          <w:b/>
          <w:color w:val="auto"/>
          <w:sz w:val="24"/>
          <w:highlight w:val="none"/>
        </w:rPr>
      </w:pPr>
      <w:r>
        <w:rPr>
          <w:b/>
          <w:color w:val="auto"/>
          <w:w w:val="99"/>
          <w:sz w:val="24"/>
          <w:highlight w:val="none"/>
        </w:rPr>
        <w:t xml:space="preserve"> </w:t>
      </w:r>
    </w:p>
    <w:p>
      <w:pPr>
        <w:spacing w:before="30"/>
        <w:ind w:left="424"/>
        <w:jc w:val="center"/>
        <w:rPr>
          <w:color w:val="auto"/>
          <w:sz w:val="32"/>
          <w:highlight w:val="none"/>
        </w:rPr>
      </w:pPr>
      <w:r>
        <w:rPr>
          <w:color w:val="auto"/>
          <w:sz w:val="32"/>
          <w:highlight w:val="none"/>
        </w:rPr>
        <w:t>已标价工程量清单</w:t>
      </w:r>
    </w:p>
    <w:p>
      <w:pPr>
        <w:pStyle w:val="2"/>
        <w:spacing w:line="196" w:lineRule="exact"/>
        <w:ind w:left="1604"/>
        <w:rPr>
          <w:color w:val="auto"/>
          <w:highlight w:val="none"/>
        </w:rPr>
      </w:pPr>
    </w:p>
    <w:p>
      <w:pPr>
        <w:pStyle w:val="2"/>
        <w:spacing w:line="196" w:lineRule="exact"/>
        <w:ind w:left="1604"/>
        <w:rPr>
          <w:color w:val="auto"/>
          <w:sz w:val="24"/>
          <w:szCs w:val="24"/>
          <w:highlight w:val="none"/>
        </w:rPr>
      </w:pPr>
    </w:p>
    <w:p>
      <w:pPr>
        <w:pStyle w:val="2"/>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textAlignment w:val="auto"/>
        <w:rPr>
          <w:color w:val="auto"/>
          <w:sz w:val="24"/>
          <w:szCs w:val="24"/>
          <w:highlight w:val="none"/>
        </w:rPr>
      </w:pPr>
      <w:r>
        <w:rPr>
          <w:rFonts w:hint="eastAsia"/>
          <w:color w:val="auto"/>
          <w:sz w:val="24"/>
          <w:szCs w:val="24"/>
          <w:highlight w:val="none"/>
        </w:rPr>
        <w:t>本项目由采购人提供书面工程量清单，由供应商按照采购人提供的工程量清单填写本合同各工程子目的单价、合价和总额价。</w:t>
      </w:r>
      <w:r>
        <w:rPr>
          <w:color w:val="auto"/>
          <w:sz w:val="24"/>
          <w:szCs w:val="24"/>
          <w:highlight w:val="none"/>
        </w:rPr>
        <w:t xml:space="preserve"> </w:t>
      </w:r>
    </w:p>
    <w:p>
      <w:pPr>
        <w:spacing w:line="196" w:lineRule="exact"/>
        <w:rPr>
          <w:color w:val="auto"/>
          <w:highlight w:val="none"/>
        </w:rPr>
        <w:sectPr>
          <w:pgSz w:w="11900" w:h="16850"/>
          <w:pgMar w:top="1400" w:right="760" w:bottom="1320" w:left="760" w:header="1158" w:footer="1136" w:gutter="0"/>
          <w:cols w:space="720" w:num="1"/>
        </w:sectPr>
      </w:pPr>
    </w:p>
    <w:p>
      <w:pPr>
        <w:pStyle w:val="2"/>
        <w:spacing w:before="12"/>
        <w:rPr>
          <w:color w:val="auto"/>
          <w:sz w:val="15"/>
          <w:highlight w:val="none"/>
        </w:rPr>
      </w:pPr>
    </w:p>
    <w:p>
      <w:pPr>
        <w:jc w:val="center"/>
        <w:rPr>
          <w:color w:val="auto"/>
          <w:sz w:val="32"/>
          <w:szCs w:val="32"/>
          <w:highlight w:val="none"/>
        </w:rPr>
      </w:pPr>
      <w:r>
        <w:rPr>
          <w:color w:val="auto"/>
          <w:sz w:val="32"/>
          <w:szCs w:val="32"/>
          <w:highlight w:val="none"/>
        </w:rPr>
        <w:t>三、</w:t>
      </w:r>
      <w:r>
        <w:rPr>
          <w:rFonts w:hint="eastAsia"/>
          <w:color w:val="auto"/>
          <w:sz w:val="32"/>
          <w:szCs w:val="32"/>
          <w:highlight w:val="none"/>
          <w:lang w:eastAsia="zh-CN"/>
        </w:rPr>
        <w:t>商务</w:t>
      </w:r>
      <w:r>
        <w:rPr>
          <w:color w:val="auto"/>
          <w:sz w:val="32"/>
          <w:szCs w:val="32"/>
          <w:highlight w:val="none"/>
        </w:rPr>
        <w:t>技术文件格式</w:t>
      </w:r>
    </w:p>
    <w:p>
      <w:pPr>
        <w:pStyle w:val="53"/>
        <w:numPr>
          <w:ilvl w:val="0"/>
          <w:numId w:val="14"/>
        </w:numPr>
        <w:tabs>
          <w:tab w:val="left" w:pos="1089"/>
        </w:tabs>
        <w:spacing w:before="94"/>
        <w:ind w:hanging="431"/>
        <w:jc w:val="left"/>
        <w:rPr>
          <w:b/>
          <w:color w:val="auto"/>
          <w:sz w:val="32"/>
          <w:highlight w:val="none"/>
        </w:rPr>
      </w:pPr>
      <w:r>
        <w:rPr>
          <w:rFonts w:hint="eastAsia"/>
          <w:b/>
          <w:color w:val="auto"/>
          <w:sz w:val="32"/>
          <w:highlight w:val="none"/>
          <w:lang w:eastAsia="zh-CN"/>
        </w:rPr>
        <w:t>商务</w:t>
      </w:r>
      <w:r>
        <w:rPr>
          <w:b/>
          <w:color w:val="auto"/>
          <w:sz w:val="32"/>
          <w:highlight w:val="none"/>
        </w:rPr>
        <w:t>技术文件封面格式</w:t>
      </w:r>
      <w:r>
        <w:rPr>
          <w:b/>
          <w:color w:val="auto"/>
          <w:w w:val="98"/>
          <w:sz w:val="32"/>
          <w:highlight w:val="none"/>
        </w:rPr>
        <w:t xml:space="preserve"> </w:t>
      </w:r>
    </w:p>
    <w:p>
      <w:pPr>
        <w:pStyle w:val="2"/>
        <w:rPr>
          <w:b/>
          <w:color w:val="auto"/>
          <w:sz w:val="20"/>
          <w:highlight w:val="none"/>
        </w:rPr>
      </w:pPr>
    </w:p>
    <w:p>
      <w:pPr>
        <w:pStyle w:val="2"/>
        <w:rPr>
          <w:b/>
          <w:color w:val="auto"/>
          <w:sz w:val="20"/>
          <w:highlight w:val="none"/>
        </w:rPr>
      </w:pPr>
    </w:p>
    <w:p>
      <w:pPr>
        <w:pStyle w:val="2"/>
        <w:rPr>
          <w:b/>
          <w:color w:val="auto"/>
          <w:sz w:val="20"/>
          <w:highlight w:val="none"/>
        </w:rPr>
      </w:pPr>
    </w:p>
    <w:p>
      <w:pPr>
        <w:pStyle w:val="2"/>
        <w:rPr>
          <w:b/>
          <w:color w:val="auto"/>
          <w:sz w:val="20"/>
          <w:highlight w:val="none"/>
        </w:rPr>
      </w:pPr>
    </w:p>
    <w:p>
      <w:pPr>
        <w:pStyle w:val="2"/>
        <w:rPr>
          <w:b/>
          <w:color w:val="auto"/>
          <w:sz w:val="20"/>
          <w:highlight w:val="none"/>
        </w:rPr>
      </w:pPr>
    </w:p>
    <w:p>
      <w:pPr>
        <w:pStyle w:val="2"/>
        <w:spacing w:before="1"/>
        <w:rPr>
          <w:b/>
          <w:color w:val="auto"/>
          <w:sz w:val="25"/>
          <w:highlight w:val="none"/>
        </w:rPr>
      </w:pPr>
    </w:p>
    <w:p>
      <w:pPr>
        <w:jc w:val="center"/>
        <w:rPr>
          <w:b/>
          <w:bCs/>
          <w:color w:val="auto"/>
          <w:sz w:val="44"/>
          <w:szCs w:val="44"/>
          <w:highlight w:val="none"/>
        </w:rPr>
      </w:pPr>
      <w:r>
        <w:rPr>
          <w:rFonts w:hint="eastAsia" w:ascii="宋体" w:hAnsi="宋体" w:eastAsia="宋体" w:cs="宋体"/>
          <w:b/>
          <w:bCs/>
          <w:color w:val="auto"/>
          <w:sz w:val="44"/>
          <w:szCs w:val="44"/>
          <w:highlight w:val="none"/>
          <w:lang w:eastAsia="zh-CN"/>
        </w:rPr>
        <w:t>商</w:t>
      </w:r>
      <w:r>
        <w:rPr>
          <w:rFonts w:hint="eastAsia" w:ascii="宋体" w:hAnsi="宋体" w:eastAsia="宋体" w:cs="宋体"/>
          <w:b/>
          <w:bCs/>
          <w:color w:val="auto"/>
          <w:sz w:val="44"/>
          <w:szCs w:val="44"/>
          <w:highlight w:val="none"/>
          <w:lang w:val="en-US" w:eastAsia="zh-CN"/>
        </w:rPr>
        <w:t xml:space="preserve"> </w:t>
      </w:r>
      <w:r>
        <w:rPr>
          <w:rFonts w:hint="eastAsia" w:ascii="宋体" w:hAnsi="宋体" w:eastAsia="宋体" w:cs="宋体"/>
          <w:b/>
          <w:bCs/>
          <w:color w:val="auto"/>
          <w:sz w:val="44"/>
          <w:szCs w:val="44"/>
          <w:highlight w:val="none"/>
          <w:lang w:eastAsia="zh-CN"/>
        </w:rPr>
        <w:t>务</w:t>
      </w:r>
      <w:r>
        <w:rPr>
          <w:rFonts w:hint="eastAsia" w:ascii="宋体" w:hAnsi="宋体" w:eastAsia="宋体" w:cs="宋体"/>
          <w:b/>
          <w:bCs/>
          <w:color w:val="auto"/>
          <w:sz w:val="44"/>
          <w:szCs w:val="44"/>
          <w:highlight w:val="none"/>
          <w:lang w:val="en-US" w:eastAsia="zh-CN"/>
        </w:rPr>
        <w:t xml:space="preserve"> </w:t>
      </w:r>
      <w:r>
        <w:rPr>
          <w:b/>
          <w:bCs/>
          <w:color w:val="auto"/>
          <w:sz w:val="44"/>
          <w:szCs w:val="44"/>
          <w:highlight w:val="none"/>
        </w:rPr>
        <w:t>技 术 文 件</w:t>
      </w:r>
    </w:p>
    <w:p>
      <w:pPr>
        <w:pStyle w:val="2"/>
        <w:rPr>
          <w:color w:val="auto"/>
          <w:sz w:val="52"/>
          <w:highlight w:val="none"/>
        </w:rPr>
      </w:pPr>
    </w:p>
    <w:p>
      <w:pPr>
        <w:pStyle w:val="2"/>
        <w:rPr>
          <w:color w:val="auto"/>
          <w:sz w:val="52"/>
          <w:highlight w:val="none"/>
        </w:rPr>
      </w:pPr>
    </w:p>
    <w:p>
      <w:pPr>
        <w:pStyle w:val="2"/>
        <w:rPr>
          <w:color w:val="auto"/>
          <w:sz w:val="52"/>
          <w:highlight w:val="none"/>
        </w:rPr>
      </w:pPr>
    </w:p>
    <w:p>
      <w:pPr>
        <w:spacing w:before="361"/>
        <w:ind w:left="1299"/>
        <w:rPr>
          <w:color w:val="auto"/>
          <w:sz w:val="32"/>
          <w:highlight w:val="none"/>
        </w:rPr>
      </w:pPr>
      <w:r>
        <w:rPr>
          <w:color w:val="auto"/>
          <w:w w:val="95"/>
          <w:sz w:val="32"/>
          <w:highlight w:val="none"/>
        </w:rPr>
        <w:t xml:space="preserve">项目名称： </w:t>
      </w:r>
    </w:p>
    <w:p>
      <w:pPr>
        <w:spacing w:before="125"/>
        <w:ind w:left="1378"/>
        <w:rPr>
          <w:color w:val="auto"/>
          <w:sz w:val="32"/>
          <w:highlight w:val="none"/>
        </w:rPr>
      </w:pPr>
      <w:r>
        <w:rPr>
          <w:color w:val="auto"/>
          <w:w w:val="99"/>
          <w:sz w:val="32"/>
          <w:highlight w:val="none"/>
        </w:rPr>
        <w:t xml:space="preserve"> </w:t>
      </w:r>
    </w:p>
    <w:p>
      <w:pPr>
        <w:spacing w:before="126"/>
        <w:ind w:left="1299"/>
        <w:rPr>
          <w:color w:val="auto"/>
          <w:sz w:val="32"/>
          <w:highlight w:val="none"/>
        </w:rPr>
      </w:pPr>
      <w:r>
        <w:rPr>
          <w:color w:val="auto"/>
          <w:w w:val="95"/>
          <w:sz w:val="32"/>
          <w:highlight w:val="none"/>
        </w:rPr>
        <w:t xml:space="preserve">项目编号： </w:t>
      </w:r>
    </w:p>
    <w:p>
      <w:pPr>
        <w:spacing w:before="125"/>
        <w:ind w:left="1378"/>
        <w:rPr>
          <w:color w:val="auto"/>
          <w:sz w:val="32"/>
          <w:highlight w:val="none"/>
        </w:rPr>
      </w:pPr>
      <w:r>
        <w:rPr>
          <w:color w:val="auto"/>
          <w:spacing w:val="1"/>
          <w:w w:val="99"/>
          <w:sz w:val="32"/>
          <w:highlight w:val="none"/>
        </w:rPr>
        <w:t xml:space="preserve"> </w:t>
      </w:r>
      <w:r>
        <w:rPr>
          <w:color w:val="auto"/>
          <w:w w:val="99"/>
          <w:sz w:val="32"/>
          <w:highlight w:val="none"/>
        </w:rPr>
        <w:t xml:space="preserve"> </w:t>
      </w:r>
    </w:p>
    <w:p>
      <w:pPr>
        <w:spacing w:before="55"/>
        <w:ind w:left="1299"/>
        <w:rPr>
          <w:color w:val="auto"/>
          <w:sz w:val="32"/>
          <w:highlight w:val="none"/>
        </w:rPr>
      </w:pPr>
      <w:r>
        <w:rPr>
          <w:color w:val="auto"/>
          <w:sz w:val="32"/>
          <w:highlight w:val="none"/>
        </w:rPr>
        <w:t xml:space="preserve">供应商名称： </w:t>
      </w:r>
    </w:p>
    <w:p>
      <w:pPr>
        <w:spacing w:before="54"/>
        <w:ind w:left="1378"/>
        <w:rPr>
          <w:color w:val="auto"/>
          <w:sz w:val="32"/>
          <w:highlight w:val="none"/>
        </w:rPr>
      </w:pPr>
      <w:r>
        <w:rPr>
          <w:color w:val="auto"/>
          <w:w w:val="99"/>
          <w:sz w:val="32"/>
          <w:highlight w:val="none"/>
        </w:rPr>
        <w:t xml:space="preserve"> </w:t>
      </w:r>
    </w:p>
    <w:p>
      <w:pPr>
        <w:spacing w:before="55"/>
        <w:ind w:left="1378"/>
        <w:rPr>
          <w:color w:val="auto"/>
          <w:sz w:val="32"/>
          <w:highlight w:val="none"/>
        </w:rPr>
      </w:pPr>
      <w:r>
        <w:rPr>
          <w:color w:val="auto"/>
          <w:w w:val="99"/>
          <w:sz w:val="32"/>
          <w:highlight w:val="none"/>
        </w:rPr>
        <w:t xml:space="preserve"> </w:t>
      </w:r>
    </w:p>
    <w:p>
      <w:pPr>
        <w:pStyle w:val="2"/>
        <w:rPr>
          <w:color w:val="auto"/>
          <w:sz w:val="20"/>
          <w:highlight w:val="none"/>
        </w:rPr>
      </w:pPr>
    </w:p>
    <w:p>
      <w:pPr>
        <w:pStyle w:val="2"/>
        <w:spacing w:before="12"/>
        <w:rPr>
          <w:color w:val="auto"/>
          <w:highlight w:val="none"/>
        </w:rPr>
      </w:pPr>
    </w:p>
    <w:p>
      <w:pPr>
        <w:spacing w:before="54"/>
        <w:ind w:left="164"/>
        <w:jc w:val="center"/>
        <w:rPr>
          <w:color w:val="auto"/>
          <w:sz w:val="32"/>
          <w:highlight w:val="none"/>
        </w:rPr>
      </w:pPr>
      <w:r>
        <w:rPr>
          <w:color w:val="auto"/>
          <w:sz w:val="32"/>
          <w:highlight w:val="none"/>
        </w:rPr>
        <w:t xml:space="preserve">年 月 日 </w:t>
      </w:r>
    </w:p>
    <w:p>
      <w:pPr>
        <w:jc w:val="center"/>
        <w:rPr>
          <w:color w:val="auto"/>
          <w:sz w:val="32"/>
          <w:highlight w:val="none"/>
        </w:rPr>
        <w:sectPr>
          <w:headerReference r:id="rId15" w:type="default"/>
          <w:footerReference r:id="rId16" w:type="default"/>
          <w:pgSz w:w="11900" w:h="16850"/>
          <w:pgMar w:top="1400" w:right="760" w:bottom="1320" w:left="760" w:header="1158" w:footer="1136" w:gutter="0"/>
          <w:cols w:space="720" w:num="1"/>
        </w:sectPr>
      </w:pPr>
    </w:p>
    <w:p>
      <w:pPr>
        <w:pStyle w:val="2"/>
        <w:rPr>
          <w:color w:val="auto"/>
          <w:sz w:val="20"/>
          <w:highlight w:val="none"/>
        </w:rPr>
      </w:pPr>
    </w:p>
    <w:p>
      <w:pPr>
        <w:pStyle w:val="2"/>
        <w:spacing w:before="3"/>
        <w:rPr>
          <w:color w:val="auto"/>
          <w:sz w:val="27"/>
          <w:highlight w:val="none"/>
        </w:rPr>
      </w:pPr>
    </w:p>
    <w:p>
      <w:pPr>
        <w:pStyle w:val="53"/>
        <w:numPr>
          <w:ilvl w:val="0"/>
          <w:numId w:val="14"/>
        </w:numPr>
        <w:tabs>
          <w:tab w:val="left" w:pos="1125"/>
        </w:tabs>
        <w:spacing w:before="54"/>
        <w:ind w:left="1124" w:hanging="325"/>
        <w:jc w:val="left"/>
        <w:rPr>
          <w:b/>
          <w:color w:val="auto"/>
          <w:sz w:val="24"/>
          <w:highlight w:val="none"/>
        </w:rPr>
      </w:pPr>
      <w:r>
        <w:rPr>
          <w:rFonts w:hint="eastAsia"/>
          <w:b/>
          <w:color w:val="auto"/>
          <w:sz w:val="32"/>
          <w:highlight w:val="none"/>
          <w:lang w:eastAsia="zh-CN"/>
        </w:rPr>
        <w:t>商务</w:t>
      </w:r>
      <w:r>
        <w:rPr>
          <w:b/>
          <w:color w:val="auto"/>
          <w:sz w:val="32"/>
          <w:highlight w:val="none"/>
        </w:rPr>
        <w:t>技术文件目录</w:t>
      </w:r>
      <w:r>
        <w:rPr>
          <w:b/>
          <w:color w:val="auto"/>
          <w:w w:val="99"/>
          <w:sz w:val="24"/>
          <w:highlight w:val="none"/>
        </w:rPr>
        <w:t xml:space="preserve"> </w:t>
      </w:r>
    </w:p>
    <w:p>
      <w:pPr>
        <w:pStyle w:val="2"/>
        <w:spacing w:before="6"/>
        <w:rPr>
          <w:b/>
          <w:color w:val="auto"/>
          <w:sz w:val="28"/>
          <w:highlight w:val="none"/>
        </w:rPr>
      </w:pPr>
    </w:p>
    <w:p>
      <w:pPr>
        <w:jc w:val="center"/>
        <w:rPr>
          <w:color w:val="auto"/>
          <w:sz w:val="28"/>
          <w:szCs w:val="28"/>
          <w:highlight w:val="none"/>
        </w:rPr>
      </w:pPr>
      <w:r>
        <w:rPr>
          <w:color w:val="auto"/>
          <w:sz w:val="28"/>
          <w:szCs w:val="28"/>
          <w:highlight w:val="none"/>
        </w:rPr>
        <w:t>根据磋商文件规定及供应商提供的材料自行编写目录（部分格式后附）。</w:t>
      </w:r>
    </w:p>
    <w:p>
      <w:pPr>
        <w:pStyle w:val="2"/>
        <w:spacing w:line="258" w:lineRule="exact"/>
        <w:ind w:left="1078"/>
        <w:rPr>
          <w:color w:val="auto"/>
          <w:highlight w:val="none"/>
        </w:rPr>
      </w:pPr>
      <w:r>
        <w:rPr>
          <w:color w:val="auto"/>
          <w:highlight w:val="none"/>
        </w:rPr>
        <w:t xml:space="preserve"> </w:t>
      </w:r>
    </w:p>
    <w:p>
      <w:pPr>
        <w:spacing w:line="258" w:lineRule="exact"/>
        <w:rPr>
          <w:color w:val="auto"/>
          <w:highlight w:val="none"/>
        </w:rPr>
        <w:sectPr>
          <w:pgSz w:w="11900" w:h="16850"/>
          <w:pgMar w:top="1400" w:right="760" w:bottom="1320" w:left="760" w:header="1158" w:footer="1136" w:gutter="0"/>
          <w:cols w:space="720" w:num="1"/>
        </w:sectPr>
      </w:pPr>
    </w:p>
    <w:p>
      <w:pPr>
        <w:spacing w:before="68"/>
        <w:ind w:left="544"/>
        <w:jc w:val="center"/>
        <w:rPr>
          <w:color w:val="auto"/>
          <w:sz w:val="32"/>
          <w:highlight w:val="none"/>
        </w:rPr>
      </w:pPr>
      <w:r>
        <w:rPr>
          <w:color w:val="auto"/>
          <w:sz w:val="32"/>
          <w:highlight w:val="none"/>
        </w:rPr>
        <w:t>法定代表人证明书</w:t>
      </w:r>
    </w:p>
    <w:p>
      <w:pPr>
        <w:spacing w:line="374" w:lineRule="auto"/>
        <w:ind w:left="1225" w:right="870"/>
        <w:rPr>
          <w:color w:val="auto"/>
          <w:sz w:val="24"/>
          <w:highlight w:val="none"/>
        </w:rPr>
      </w:pPr>
    </w:p>
    <w:p>
      <w:pPr>
        <w:spacing w:line="374" w:lineRule="auto"/>
        <w:ind w:left="1225" w:right="870"/>
        <w:rPr>
          <w:color w:val="auto"/>
          <w:sz w:val="24"/>
          <w:highlight w:val="none"/>
        </w:rPr>
      </w:pPr>
    </w:p>
    <w:p>
      <w:pPr>
        <w:spacing w:line="374" w:lineRule="auto"/>
        <w:ind w:left="1225" w:right="870"/>
        <w:rPr>
          <w:color w:val="auto"/>
          <w:sz w:val="24"/>
          <w:highlight w:val="none"/>
          <w:u w:val="single"/>
        </w:rPr>
      </w:pPr>
      <w:r>
        <w:rPr>
          <w:color w:val="auto"/>
          <w:sz w:val="24"/>
          <w:highlight w:val="none"/>
        </w:rPr>
        <w:t>供应商名称：</w:t>
      </w:r>
      <w:r>
        <w:rPr>
          <w:color w:val="auto"/>
          <w:sz w:val="24"/>
          <w:highlight w:val="none"/>
          <w:u w:val="single"/>
        </w:rPr>
        <w:t xml:space="preserve">                                                       </w:t>
      </w:r>
    </w:p>
    <w:p>
      <w:pPr>
        <w:spacing w:line="374" w:lineRule="auto"/>
        <w:ind w:left="1225" w:right="870"/>
        <w:rPr>
          <w:color w:val="auto"/>
          <w:sz w:val="24"/>
          <w:highlight w:val="none"/>
        </w:rPr>
      </w:pPr>
      <w:r>
        <w:rPr>
          <w:color w:val="auto"/>
          <w:spacing w:val="23"/>
          <w:sz w:val="24"/>
          <w:highlight w:val="none"/>
        </w:rPr>
        <w:t>地 址 ：</w:t>
      </w:r>
      <w:r>
        <w:rPr>
          <w:color w:val="auto"/>
          <w:spacing w:val="23"/>
          <w:sz w:val="24"/>
          <w:highlight w:val="none"/>
          <w:u w:val="single"/>
        </w:rPr>
        <w:t xml:space="preserve">                                                </w:t>
      </w:r>
      <w:r>
        <w:rPr>
          <w:color w:val="auto"/>
          <w:spacing w:val="1"/>
          <w:sz w:val="24"/>
          <w:highlight w:val="none"/>
          <w:u w:val="single"/>
        </w:rPr>
        <w:t xml:space="preserve"> </w:t>
      </w:r>
    </w:p>
    <w:p>
      <w:pPr>
        <w:spacing w:before="2" w:line="374" w:lineRule="auto"/>
        <w:ind w:left="1225" w:right="1166"/>
        <w:rPr>
          <w:color w:val="auto"/>
          <w:sz w:val="24"/>
          <w:highlight w:val="none"/>
          <w:u w:val="single"/>
        </w:rPr>
      </w:pPr>
      <w:r>
        <w:rPr>
          <w:color w:val="auto"/>
          <w:sz w:val="24"/>
          <w:highlight w:val="none"/>
        </w:rPr>
        <w:t>姓  名 ：</w:t>
      </w:r>
      <w:r>
        <w:rPr>
          <w:color w:val="auto"/>
          <w:sz w:val="24"/>
          <w:highlight w:val="none"/>
          <w:u w:val="single"/>
        </w:rPr>
        <w:t xml:space="preserve">                   </w:t>
      </w:r>
      <w:r>
        <w:rPr>
          <w:color w:val="auto"/>
          <w:sz w:val="24"/>
          <w:highlight w:val="none"/>
        </w:rPr>
        <w:t xml:space="preserve">           性  别 ：</w:t>
      </w:r>
      <w:r>
        <w:rPr>
          <w:rFonts w:hint="eastAsia"/>
          <w:color w:val="auto"/>
          <w:sz w:val="24"/>
          <w:highlight w:val="none"/>
          <w:u w:val="single"/>
        </w:rPr>
        <w:t xml:space="preserve"> </w:t>
      </w:r>
      <w:r>
        <w:rPr>
          <w:color w:val="auto"/>
          <w:sz w:val="24"/>
          <w:highlight w:val="none"/>
          <w:u w:val="single"/>
        </w:rPr>
        <w:t xml:space="preserve">                  </w:t>
      </w:r>
    </w:p>
    <w:p>
      <w:pPr>
        <w:spacing w:before="2" w:line="374" w:lineRule="auto"/>
        <w:ind w:left="1225" w:right="1166"/>
        <w:rPr>
          <w:color w:val="auto"/>
          <w:sz w:val="24"/>
          <w:highlight w:val="none"/>
          <w:u w:val="single"/>
        </w:rPr>
      </w:pPr>
      <w:r>
        <w:rPr>
          <w:color w:val="auto"/>
          <w:sz w:val="24"/>
          <w:highlight w:val="none"/>
        </w:rPr>
        <w:t>年  龄 ：</w:t>
      </w:r>
      <w:r>
        <w:rPr>
          <w:color w:val="auto"/>
          <w:sz w:val="24"/>
          <w:highlight w:val="none"/>
          <w:u w:val="single"/>
        </w:rPr>
        <w:t xml:space="preserve">                   </w:t>
      </w:r>
      <w:r>
        <w:rPr>
          <w:color w:val="auto"/>
          <w:sz w:val="24"/>
          <w:highlight w:val="none"/>
        </w:rPr>
        <w:t xml:space="preserve">           职  务 ： </w:t>
      </w:r>
      <w:r>
        <w:rPr>
          <w:color w:val="auto"/>
          <w:sz w:val="24"/>
          <w:highlight w:val="none"/>
          <w:u w:val="single"/>
        </w:rPr>
        <w:t xml:space="preserve">                  </w:t>
      </w:r>
    </w:p>
    <w:p>
      <w:pPr>
        <w:spacing w:before="2" w:line="374" w:lineRule="auto"/>
        <w:ind w:left="1225" w:right="1166"/>
        <w:rPr>
          <w:color w:val="auto"/>
          <w:sz w:val="24"/>
          <w:highlight w:val="none"/>
        </w:rPr>
      </w:pPr>
      <w:r>
        <w:rPr>
          <w:color w:val="auto"/>
          <w:sz w:val="24"/>
          <w:highlight w:val="none"/>
        </w:rPr>
        <w:t>身份证号码：</w:t>
      </w:r>
      <w:r>
        <w:rPr>
          <w:color w:val="auto"/>
          <w:sz w:val="24"/>
          <w:highlight w:val="none"/>
          <w:u w:val="single"/>
        </w:rPr>
        <w:t xml:space="preserve">                                        </w:t>
      </w:r>
      <w:r>
        <w:rPr>
          <w:color w:val="auto"/>
          <w:sz w:val="24"/>
          <w:highlight w:val="none"/>
        </w:rPr>
        <w:t xml:space="preserve"> </w:t>
      </w:r>
    </w:p>
    <w:p>
      <w:pPr>
        <w:spacing w:before="2" w:line="374" w:lineRule="auto"/>
        <w:ind w:left="1225" w:right="1166"/>
        <w:rPr>
          <w:color w:val="auto"/>
          <w:sz w:val="24"/>
          <w:highlight w:val="none"/>
        </w:rPr>
      </w:pPr>
      <w:r>
        <w:rPr>
          <w:color w:val="auto"/>
          <w:sz w:val="24"/>
          <w:highlight w:val="none"/>
        </w:rPr>
        <w:t>系</w:t>
      </w:r>
      <w:r>
        <w:rPr>
          <w:color w:val="auto"/>
          <w:spacing w:val="119"/>
          <w:sz w:val="24"/>
          <w:highlight w:val="none"/>
          <w:u w:val="single"/>
        </w:rPr>
        <w:t xml:space="preserve"> </w:t>
      </w:r>
      <w:r>
        <w:rPr>
          <w:color w:val="auto"/>
          <w:sz w:val="24"/>
          <w:highlight w:val="none"/>
          <w:u w:val="single"/>
        </w:rPr>
        <w:t>（供应商名称）</w:t>
      </w:r>
      <w:r>
        <w:rPr>
          <w:rFonts w:hint="eastAsia"/>
          <w:color w:val="auto"/>
          <w:sz w:val="24"/>
          <w:highlight w:val="none"/>
          <w:u w:val="single"/>
        </w:rPr>
        <w:t xml:space="preserve"> </w:t>
      </w:r>
      <w:r>
        <w:rPr>
          <w:color w:val="auto"/>
          <w:sz w:val="24"/>
          <w:highlight w:val="none"/>
          <w:u w:val="single"/>
        </w:rPr>
        <w:t xml:space="preserve">   </w:t>
      </w:r>
      <w:r>
        <w:rPr>
          <w:color w:val="auto"/>
          <w:sz w:val="24"/>
          <w:highlight w:val="none"/>
        </w:rPr>
        <w:t xml:space="preserve">的法定代表人。 </w:t>
      </w:r>
    </w:p>
    <w:p>
      <w:pPr>
        <w:spacing w:before="1"/>
        <w:ind w:left="1225"/>
        <w:rPr>
          <w:color w:val="auto"/>
          <w:sz w:val="24"/>
          <w:highlight w:val="none"/>
        </w:rPr>
      </w:pPr>
      <w:r>
        <w:rPr>
          <w:color w:val="auto"/>
          <w:sz w:val="24"/>
          <w:highlight w:val="none"/>
        </w:rPr>
        <w:t xml:space="preserve">     特此证明。 </w:t>
      </w:r>
    </w:p>
    <w:p>
      <w:pPr>
        <w:spacing w:before="172"/>
        <w:ind w:left="1225"/>
        <w:rPr>
          <w:color w:val="auto"/>
          <w:sz w:val="24"/>
          <w:highlight w:val="none"/>
        </w:rPr>
      </w:pPr>
      <w:r>
        <w:rPr>
          <w:color w:val="auto"/>
          <w:sz w:val="24"/>
          <w:highlight w:val="none"/>
        </w:rPr>
        <w:t xml:space="preserve"> </w:t>
      </w:r>
    </w:p>
    <w:p>
      <w:pPr>
        <w:spacing w:before="173"/>
        <w:ind w:left="1225"/>
        <w:rPr>
          <w:color w:val="auto"/>
          <w:sz w:val="24"/>
          <w:highlight w:val="none"/>
        </w:rPr>
      </w:pPr>
      <w:r>
        <w:rPr>
          <w:color w:val="auto"/>
          <w:sz w:val="24"/>
          <w:highlight w:val="none"/>
        </w:rPr>
        <w:t xml:space="preserve"> </w:t>
      </w:r>
    </w:p>
    <w:p>
      <w:pPr>
        <w:spacing w:before="173"/>
        <w:ind w:left="1225"/>
        <w:rPr>
          <w:color w:val="auto"/>
          <w:sz w:val="24"/>
          <w:highlight w:val="none"/>
        </w:rPr>
      </w:pPr>
      <w:r>
        <w:rPr>
          <w:color w:val="auto"/>
          <w:sz w:val="24"/>
          <w:highlight w:val="none"/>
        </w:rPr>
        <w:t xml:space="preserve"> </w:t>
      </w:r>
    </w:p>
    <w:p>
      <w:pPr>
        <w:spacing w:before="172"/>
        <w:ind w:left="1225"/>
        <w:rPr>
          <w:color w:val="auto"/>
          <w:sz w:val="24"/>
          <w:highlight w:val="none"/>
        </w:rPr>
      </w:pPr>
      <w:r>
        <w:rPr>
          <w:color w:val="auto"/>
          <w:sz w:val="24"/>
          <w:highlight w:val="none"/>
        </w:rPr>
        <w:t xml:space="preserve">     附件：法定代表人有效身份证正反面扫描件 </w:t>
      </w:r>
    </w:p>
    <w:p>
      <w:pPr>
        <w:spacing w:before="173"/>
        <w:ind w:left="1198"/>
        <w:rPr>
          <w:color w:val="auto"/>
          <w:sz w:val="24"/>
          <w:highlight w:val="none"/>
        </w:rPr>
      </w:pPr>
      <w:r>
        <w:rPr>
          <w:color w:val="auto"/>
          <w:sz w:val="24"/>
          <w:highlight w:val="none"/>
        </w:rPr>
        <w:t xml:space="preserve"> </w:t>
      </w:r>
    </w:p>
    <w:p>
      <w:pPr>
        <w:pStyle w:val="2"/>
        <w:spacing w:before="3"/>
        <w:rPr>
          <w:color w:val="auto"/>
          <w:sz w:val="8"/>
          <w:highlight w:val="none"/>
        </w:rPr>
      </w:pPr>
    </w:p>
    <w:p>
      <w:pPr>
        <w:spacing w:before="67"/>
        <w:ind w:left="4089"/>
        <w:rPr>
          <w:color w:val="auto"/>
          <w:sz w:val="24"/>
          <w:highlight w:val="none"/>
        </w:rPr>
      </w:pPr>
      <w:r>
        <w:rPr>
          <w:color w:val="auto"/>
          <w:sz w:val="24"/>
          <w:highlight w:val="none"/>
        </w:rPr>
        <w:t xml:space="preserve">         供应商（电子签章）：</w:t>
      </w:r>
      <w:r>
        <w:rPr>
          <w:color w:val="auto"/>
          <w:sz w:val="24"/>
          <w:highlight w:val="none"/>
          <w:u w:val="single"/>
        </w:rPr>
        <w:t xml:space="preserve">                  </w:t>
      </w:r>
      <w:r>
        <w:rPr>
          <w:color w:val="auto"/>
          <w:sz w:val="24"/>
          <w:highlight w:val="none"/>
        </w:rPr>
        <w:t xml:space="preserve"> </w:t>
      </w:r>
    </w:p>
    <w:p>
      <w:pPr>
        <w:spacing w:before="172"/>
        <w:ind w:left="3060"/>
        <w:jc w:val="center"/>
        <w:rPr>
          <w:color w:val="auto"/>
          <w:sz w:val="24"/>
          <w:highlight w:val="none"/>
        </w:rPr>
      </w:pPr>
      <w:r>
        <w:rPr>
          <w:color w:val="auto"/>
          <w:sz w:val="24"/>
          <w:highlight w:val="none"/>
        </w:rPr>
        <w:t xml:space="preserve">    日 期 ：</w:t>
      </w:r>
      <w:r>
        <w:rPr>
          <w:color w:val="auto"/>
          <w:sz w:val="24"/>
          <w:highlight w:val="none"/>
          <w:u w:val="single"/>
        </w:rPr>
        <w:t xml:space="preserve"> </w:t>
      </w:r>
      <w:r>
        <w:rPr>
          <w:color w:val="auto"/>
          <w:sz w:val="24"/>
          <w:highlight w:val="none"/>
        </w:rPr>
        <w:t>年</w:t>
      </w:r>
      <w:r>
        <w:rPr>
          <w:color w:val="auto"/>
          <w:sz w:val="24"/>
          <w:highlight w:val="none"/>
          <w:u w:val="single"/>
        </w:rPr>
        <w:t xml:space="preserve"> </w:t>
      </w:r>
      <w:r>
        <w:rPr>
          <w:color w:val="auto"/>
          <w:sz w:val="24"/>
          <w:highlight w:val="none"/>
        </w:rPr>
        <w:t>月</w:t>
      </w:r>
      <w:r>
        <w:rPr>
          <w:color w:val="auto"/>
          <w:sz w:val="24"/>
          <w:highlight w:val="none"/>
          <w:u w:val="single"/>
        </w:rPr>
        <w:t xml:space="preserve"> </w:t>
      </w:r>
      <w:r>
        <w:rPr>
          <w:color w:val="auto"/>
          <w:sz w:val="24"/>
          <w:highlight w:val="none"/>
        </w:rPr>
        <w:t xml:space="preserve">日 </w:t>
      </w:r>
    </w:p>
    <w:p>
      <w:pPr>
        <w:spacing w:before="29"/>
        <w:ind w:left="122"/>
        <w:jc w:val="center"/>
        <w:rPr>
          <w:b/>
          <w:color w:val="auto"/>
          <w:sz w:val="24"/>
          <w:highlight w:val="none"/>
        </w:rPr>
      </w:pPr>
      <w:r>
        <w:rPr>
          <w:b/>
          <w:color w:val="auto"/>
          <w:w w:val="99"/>
          <w:sz w:val="24"/>
          <w:highlight w:val="none"/>
        </w:rPr>
        <w:t xml:space="preserve"> </w:t>
      </w:r>
    </w:p>
    <w:p>
      <w:pPr>
        <w:spacing w:before="161"/>
        <w:ind w:left="658"/>
        <w:rPr>
          <w:b/>
          <w:color w:val="auto"/>
          <w:sz w:val="21"/>
          <w:highlight w:val="none"/>
        </w:rPr>
      </w:pPr>
      <w:r>
        <w:rPr>
          <w:b/>
          <w:color w:val="auto"/>
          <w:w w:val="99"/>
          <w:sz w:val="21"/>
          <w:highlight w:val="none"/>
        </w:rPr>
        <w:t xml:space="preserve"> </w:t>
      </w:r>
    </w:p>
    <w:p>
      <w:pPr>
        <w:rPr>
          <w:color w:val="auto"/>
          <w:sz w:val="21"/>
          <w:highlight w:val="none"/>
        </w:rPr>
        <w:sectPr>
          <w:pgSz w:w="11900" w:h="16850"/>
          <w:pgMar w:top="1400" w:right="760" w:bottom="1320" w:left="760" w:header="1158" w:footer="1133" w:gutter="0"/>
          <w:cols w:space="720" w:num="1"/>
        </w:sectPr>
      </w:pPr>
    </w:p>
    <w:p>
      <w:pPr>
        <w:pStyle w:val="2"/>
        <w:jc w:val="center"/>
        <w:rPr>
          <w:color w:val="auto"/>
          <w:sz w:val="44"/>
          <w:szCs w:val="44"/>
          <w:highlight w:val="none"/>
        </w:rPr>
      </w:pPr>
      <w:r>
        <w:rPr>
          <w:color w:val="auto"/>
          <w:w w:val="95"/>
          <w:sz w:val="44"/>
          <w:szCs w:val="44"/>
          <w:highlight w:val="none"/>
        </w:rPr>
        <w:t>授权委托书</w:t>
      </w:r>
    </w:p>
    <w:p>
      <w:pPr>
        <w:spacing w:before="74"/>
        <w:ind w:left="4"/>
        <w:jc w:val="center"/>
        <w:rPr>
          <w:color w:val="auto"/>
          <w:sz w:val="32"/>
          <w:highlight w:val="none"/>
        </w:rPr>
      </w:pPr>
      <w:r>
        <w:rPr>
          <w:color w:val="auto"/>
          <w:w w:val="95"/>
          <w:sz w:val="32"/>
          <w:highlight w:val="none"/>
        </w:rPr>
        <w:t>（如有委托时）</w:t>
      </w:r>
    </w:p>
    <w:p>
      <w:pPr>
        <w:spacing w:before="1"/>
        <w:ind w:left="658"/>
        <w:rPr>
          <w:color w:val="auto"/>
          <w:sz w:val="24"/>
          <w:highlight w:val="none"/>
        </w:rPr>
      </w:pPr>
    </w:p>
    <w:p>
      <w:pPr>
        <w:spacing w:before="1"/>
        <w:ind w:left="658"/>
        <w:rPr>
          <w:color w:val="auto"/>
          <w:sz w:val="24"/>
          <w:highlight w:val="none"/>
        </w:rPr>
      </w:pPr>
      <w:r>
        <w:rPr>
          <w:color w:val="auto"/>
          <w:sz w:val="24"/>
          <w:highlight w:val="none"/>
        </w:rPr>
        <w:t>致：</w:t>
      </w:r>
      <w:r>
        <w:rPr>
          <w:color w:val="auto"/>
          <w:sz w:val="24"/>
          <w:highlight w:val="none"/>
          <w:u w:val="single"/>
        </w:rPr>
        <w:t>（采购人名称）</w:t>
      </w:r>
      <w:r>
        <w:rPr>
          <w:color w:val="auto"/>
          <w:sz w:val="24"/>
          <w:highlight w:val="none"/>
        </w:rPr>
        <w:t xml:space="preserve">： </w:t>
      </w:r>
    </w:p>
    <w:p>
      <w:pPr>
        <w:spacing w:before="172" w:line="374" w:lineRule="auto"/>
        <w:ind w:left="658" w:right="596" w:firstLine="480"/>
        <w:rPr>
          <w:color w:val="auto"/>
          <w:sz w:val="24"/>
          <w:highlight w:val="none"/>
        </w:rPr>
      </w:pPr>
      <w:r>
        <w:rPr>
          <w:color w:val="auto"/>
          <w:sz w:val="24"/>
          <w:highlight w:val="none"/>
        </w:rPr>
        <w:t>我</w:t>
      </w:r>
      <w:r>
        <w:rPr>
          <w:color w:val="auto"/>
          <w:spacing w:val="54"/>
          <w:sz w:val="24"/>
          <w:highlight w:val="none"/>
          <w:u w:val="single"/>
        </w:rPr>
        <w:t xml:space="preserve"> </w:t>
      </w:r>
      <w:r>
        <w:rPr>
          <w:color w:val="auto"/>
          <w:sz w:val="24"/>
          <w:highlight w:val="none"/>
          <w:u w:val="single"/>
        </w:rPr>
        <w:t>（姓名</w:t>
      </w:r>
      <w:r>
        <w:rPr>
          <w:color w:val="auto"/>
          <w:spacing w:val="-65"/>
          <w:sz w:val="24"/>
          <w:highlight w:val="none"/>
          <w:u w:val="single"/>
        </w:rPr>
        <w:t>）</w:t>
      </w:r>
      <w:r>
        <w:rPr>
          <w:color w:val="auto"/>
          <w:spacing w:val="-55"/>
          <w:sz w:val="24"/>
          <w:highlight w:val="none"/>
          <w:u w:val="single"/>
        </w:rPr>
        <w:t xml:space="preserve">  </w:t>
      </w:r>
      <w:r>
        <w:rPr>
          <w:color w:val="auto"/>
          <w:sz w:val="24"/>
          <w:highlight w:val="none"/>
        </w:rPr>
        <w:t>系</w:t>
      </w:r>
      <w:r>
        <w:rPr>
          <w:color w:val="auto"/>
          <w:spacing w:val="54"/>
          <w:sz w:val="24"/>
          <w:highlight w:val="none"/>
          <w:u w:val="single"/>
        </w:rPr>
        <w:t xml:space="preserve"> </w:t>
      </w:r>
      <w:r>
        <w:rPr>
          <w:color w:val="auto"/>
          <w:sz w:val="24"/>
          <w:highlight w:val="none"/>
          <w:u w:val="single"/>
        </w:rPr>
        <w:t>（供应商名称</w:t>
      </w:r>
      <w:r>
        <w:rPr>
          <w:color w:val="auto"/>
          <w:spacing w:val="-65"/>
          <w:sz w:val="24"/>
          <w:highlight w:val="none"/>
          <w:u w:val="single"/>
        </w:rPr>
        <w:t>）</w:t>
      </w:r>
      <w:r>
        <w:rPr>
          <w:color w:val="auto"/>
          <w:spacing w:val="-55"/>
          <w:sz w:val="24"/>
          <w:highlight w:val="none"/>
          <w:u w:val="single"/>
        </w:rPr>
        <w:t xml:space="preserve">  </w:t>
      </w:r>
      <w:r>
        <w:rPr>
          <w:color w:val="auto"/>
          <w:spacing w:val="-65"/>
          <w:sz w:val="24"/>
          <w:highlight w:val="none"/>
        </w:rPr>
        <w:t>的</w:t>
      </w:r>
      <w:r>
        <w:rPr>
          <w:color w:val="auto"/>
          <w:sz w:val="24"/>
          <w:highlight w:val="none"/>
        </w:rPr>
        <w:t>（</w:t>
      </w:r>
      <w:r>
        <w:rPr>
          <w:color w:val="auto"/>
          <w:sz w:val="24"/>
          <w:highlight w:val="none"/>
          <w:u w:val="single"/>
        </w:rPr>
        <w:t>□法定代表人/□负责人/□自然人本人</w:t>
      </w:r>
      <w:r>
        <w:rPr>
          <w:color w:val="auto"/>
          <w:spacing w:val="-71"/>
          <w:sz w:val="24"/>
          <w:highlight w:val="none"/>
        </w:rPr>
        <w:t xml:space="preserve">）， </w:t>
      </w:r>
      <w:r>
        <w:rPr>
          <w:color w:val="auto"/>
          <w:sz w:val="24"/>
          <w:highlight w:val="none"/>
        </w:rPr>
        <w:t>现授权</w:t>
      </w:r>
      <w:r>
        <w:rPr>
          <w:color w:val="auto"/>
          <w:spacing w:val="-20"/>
          <w:sz w:val="24"/>
          <w:highlight w:val="none"/>
          <w:u w:val="single"/>
        </w:rPr>
        <w:t xml:space="preserve"> </w:t>
      </w:r>
      <w:r>
        <w:rPr>
          <w:color w:val="auto"/>
          <w:sz w:val="24"/>
          <w:highlight w:val="none"/>
          <w:u w:val="single"/>
        </w:rPr>
        <w:t>（姓名</w:t>
      </w:r>
      <w:r>
        <w:rPr>
          <w:color w:val="auto"/>
          <w:spacing w:val="-20"/>
          <w:sz w:val="24"/>
          <w:highlight w:val="none"/>
          <w:u w:val="single"/>
        </w:rPr>
        <w:t>）</w:t>
      </w:r>
      <w:r>
        <w:rPr>
          <w:color w:val="auto"/>
          <w:sz w:val="24"/>
          <w:highlight w:val="none"/>
          <w:u w:val="single"/>
        </w:rPr>
        <w:t xml:space="preserve"> </w:t>
      </w:r>
      <w:r>
        <w:rPr>
          <w:color w:val="auto"/>
          <w:sz w:val="24"/>
          <w:highlight w:val="none"/>
        </w:rPr>
        <w:t>以我方的名义参加</w:t>
      </w:r>
      <w:r>
        <w:rPr>
          <w:color w:val="auto"/>
          <w:sz w:val="24"/>
          <w:highlight w:val="none"/>
          <w:u w:val="single"/>
        </w:rPr>
        <w:t xml:space="preserve"> </w:t>
      </w:r>
      <w:r>
        <w:rPr>
          <w:color w:val="auto"/>
          <w:spacing w:val="-3"/>
          <w:sz w:val="24"/>
          <w:highlight w:val="none"/>
        </w:rPr>
        <w:t>项目的竞标活动，并代表我方全权</w:t>
      </w:r>
      <w:r>
        <w:rPr>
          <w:color w:val="auto"/>
          <w:sz w:val="24"/>
          <w:highlight w:val="none"/>
        </w:rPr>
        <w:t xml:space="preserve">办理针对上述项目的所有采购程序和环节的具体事务和签署相关文件。 </w:t>
      </w:r>
    </w:p>
    <w:p>
      <w:pPr>
        <w:spacing w:before="173"/>
        <w:ind w:left="658"/>
        <w:rPr>
          <w:color w:val="auto"/>
          <w:sz w:val="24"/>
          <w:highlight w:val="none"/>
        </w:rPr>
      </w:pPr>
      <w:r>
        <w:rPr>
          <w:color w:val="auto"/>
          <w:sz w:val="24"/>
          <w:highlight w:val="none"/>
        </w:rPr>
        <w:t xml:space="preserve">    我方对委托代理人的签字事项负全部责任。 </w:t>
      </w:r>
    </w:p>
    <w:p>
      <w:pPr>
        <w:spacing w:before="172" w:line="374" w:lineRule="auto"/>
        <w:ind w:left="658" w:right="588" w:firstLine="480"/>
        <w:rPr>
          <w:color w:val="auto"/>
          <w:sz w:val="24"/>
          <w:highlight w:val="none"/>
        </w:rPr>
      </w:pPr>
      <w:r>
        <w:rPr>
          <w:color w:val="auto"/>
          <w:sz w:val="24"/>
          <w:highlight w:val="none"/>
        </w:rPr>
        <w:t xml:space="preserve">本授权书自签署之日起生效，在撤销授权的书面通知以前，本授权书一直有效。委托代理人在授权书有效期内签署的所有文件不因授权的撤销而失效。 </w:t>
      </w:r>
    </w:p>
    <w:p>
      <w:pPr>
        <w:spacing w:before="1"/>
        <w:ind w:left="1138"/>
        <w:rPr>
          <w:color w:val="auto"/>
          <w:sz w:val="24"/>
          <w:highlight w:val="none"/>
        </w:rPr>
      </w:pPr>
      <w:r>
        <w:rPr>
          <w:color w:val="auto"/>
          <w:sz w:val="24"/>
          <w:highlight w:val="none"/>
        </w:rPr>
        <w:t xml:space="preserve">委托代理人无转委托权，特此委托。 </w:t>
      </w:r>
    </w:p>
    <w:p>
      <w:pPr>
        <w:spacing w:before="172"/>
        <w:ind w:left="1138"/>
        <w:rPr>
          <w:color w:val="auto"/>
          <w:sz w:val="24"/>
          <w:highlight w:val="none"/>
        </w:rPr>
      </w:pPr>
      <w:r>
        <w:rPr>
          <w:color w:val="auto"/>
          <w:sz w:val="24"/>
          <w:highlight w:val="none"/>
        </w:rPr>
        <w:t xml:space="preserve">附：法定代表人身份证明书及委托代理人有效身份证正反面扫描件 </w:t>
      </w:r>
    </w:p>
    <w:p>
      <w:pPr>
        <w:pStyle w:val="2"/>
        <w:rPr>
          <w:color w:val="auto"/>
          <w:sz w:val="20"/>
          <w:highlight w:val="none"/>
        </w:rPr>
      </w:pPr>
    </w:p>
    <w:p>
      <w:pPr>
        <w:pStyle w:val="2"/>
        <w:spacing w:before="10"/>
        <w:rPr>
          <w:color w:val="auto"/>
          <w:sz w:val="25"/>
          <w:highlight w:val="none"/>
        </w:rPr>
      </w:pPr>
    </w:p>
    <w:p>
      <w:pPr>
        <w:spacing w:before="67"/>
        <w:ind w:left="658"/>
        <w:rPr>
          <w:color w:val="auto"/>
          <w:sz w:val="24"/>
          <w:highlight w:val="none"/>
        </w:rPr>
      </w:pPr>
      <w:r>
        <w:rPr>
          <w:color w:val="auto"/>
          <w:sz w:val="24"/>
          <w:highlight w:val="none"/>
        </w:rPr>
        <w:t>委托代理人（签字/电子签名）：</w:t>
      </w:r>
      <w:r>
        <w:rPr>
          <w:color w:val="auto"/>
          <w:sz w:val="24"/>
          <w:highlight w:val="none"/>
          <w:u w:val="single"/>
        </w:rPr>
        <w:t xml:space="preserve">        </w:t>
      </w:r>
      <w:r>
        <w:rPr>
          <w:color w:val="auto"/>
          <w:sz w:val="24"/>
          <w:highlight w:val="none"/>
        </w:rPr>
        <w:t xml:space="preserve"> </w:t>
      </w:r>
    </w:p>
    <w:p>
      <w:pPr>
        <w:spacing w:before="172"/>
        <w:ind w:left="658"/>
        <w:rPr>
          <w:color w:val="auto"/>
          <w:sz w:val="24"/>
          <w:highlight w:val="none"/>
        </w:rPr>
      </w:pPr>
      <w:r>
        <w:rPr>
          <w:color w:val="auto"/>
          <w:sz w:val="24"/>
          <w:highlight w:val="none"/>
        </w:rPr>
        <w:t>委托代理人身份证号码：</w:t>
      </w:r>
      <w:r>
        <w:rPr>
          <w:color w:val="auto"/>
          <w:sz w:val="24"/>
          <w:highlight w:val="none"/>
          <w:u w:val="single"/>
        </w:rPr>
        <w:t xml:space="preserve">                              </w:t>
      </w:r>
      <w:r>
        <w:rPr>
          <w:color w:val="auto"/>
          <w:sz w:val="24"/>
          <w:highlight w:val="none"/>
        </w:rPr>
        <w:t xml:space="preserve"> </w:t>
      </w:r>
    </w:p>
    <w:p>
      <w:pPr>
        <w:spacing w:before="173"/>
        <w:ind w:left="658"/>
        <w:rPr>
          <w:color w:val="auto"/>
          <w:sz w:val="24"/>
          <w:highlight w:val="none"/>
        </w:rPr>
      </w:pPr>
      <w:r>
        <w:rPr>
          <w:color w:val="auto"/>
          <w:sz w:val="24"/>
          <w:highlight w:val="none"/>
        </w:rPr>
        <w:t>法定代表人（签字或者盖章或者电子签名）：</w:t>
      </w:r>
      <w:r>
        <w:rPr>
          <w:color w:val="auto"/>
          <w:sz w:val="24"/>
          <w:highlight w:val="none"/>
          <w:u w:val="single"/>
        </w:rPr>
        <w:t xml:space="preserve">                    </w:t>
      </w:r>
      <w:r>
        <w:rPr>
          <w:color w:val="auto"/>
          <w:sz w:val="24"/>
          <w:highlight w:val="none"/>
        </w:rPr>
        <w:t xml:space="preserve"> </w:t>
      </w:r>
    </w:p>
    <w:p>
      <w:pPr>
        <w:spacing w:before="172"/>
        <w:ind w:left="658"/>
        <w:rPr>
          <w:color w:val="auto"/>
          <w:sz w:val="24"/>
          <w:highlight w:val="none"/>
        </w:rPr>
      </w:pPr>
      <w:r>
        <w:rPr>
          <w:color w:val="auto"/>
          <w:sz w:val="24"/>
          <w:highlight w:val="none"/>
        </w:rPr>
        <w:t xml:space="preserve">                                 </w:t>
      </w:r>
    </w:p>
    <w:p>
      <w:pPr>
        <w:spacing w:before="173"/>
        <w:ind w:left="658"/>
        <w:rPr>
          <w:color w:val="auto"/>
          <w:sz w:val="24"/>
          <w:highlight w:val="none"/>
        </w:rPr>
      </w:pPr>
      <w:r>
        <w:rPr>
          <w:color w:val="auto"/>
          <w:sz w:val="24"/>
          <w:highlight w:val="none"/>
        </w:rPr>
        <w:t xml:space="preserve">                         供应商（电子签章）：</w:t>
      </w:r>
      <w:r>
        <w:rPr>
          <w:color w:val="auto"/>
          <w:sz w:val="24"/>
          <w:highlight w:val="none"/>
          <w:u w:val="single"/>
        </w:rPr>
        <w:t xml:space="preserve">                      </w:t>
      </w:r>
      <w:r>
        <w:rPr>
          <w:color w:val="auto"/>
          <w:sz w:val="24"/>
          <w:highlight w:val="none"/>
        </w:rPr>
        <w:t xml:space="preserve"> </w:t>
      </w:r>
    </w:p>
    <w:p>
      <w:pPr>
        <w:spacing w:before="172"/>
        <w:ind w:left="658"/>
        <w:rPr>
          <w:color w:val="auto"/>
          <w:sz w:val="24"/>
          <w:highlight w:val="none"/>
        </w:rPr>
      </w:pPr>
      <w:r>
        <w:rPr>
          <w:color w:val="auto"/>
          <w:sz w:val="24"/>
          <w:highlight w:val="none"/>
        </w:rPr>
        <w:t xml:space="preserve">                                         年 月 日 </w:t>
      </w:r>
    </w:p>
    <w:p>
      <w:pPr>
        <w:spacing w:before="173"/>
        <w:ind w:left="658"/>
        <w:rPr>
          <w:color w:val="auto"/>
          <w:sz w:val="24"/>
          <w:highlight w:val="none"/>
        </w:rPr>
      </w:pPr>
      <w:r>
        <w:rPr>
          <w:color w:val="auto"/>
          <w:sz w:val="24"/>
          <w:highlight w:val="none"/>
        </w:rPr>
        <w:t xml:space="preserve"> </w:t>
      </w:r>
    </w:p>
    <w:p>
      <w:pPr>
        <w:spacing w:before="173" w:line="374" w:lineRule="auto"/>
        <w:ind w:left="658" w:right="588"/>
        <w:rPr>
          <w:color w:val="auto"/>
          <w:sz w:val="24"/>
          <w:highlight w:val="none"/>
        </w:rPr>
      </w:pPr>
      <w:r>
        <w:rPr>
          <w:color w:val="auto"/>
          <w:sz w:val="24"/>
          <w:highlight w:val="none"/>
        </w:rPr>
        <w:t>注：1.法定代表人必须在授权委托书上签字或者盖章或者电子签名，委托代理人必须在授权委托书上签字或者电子签名，</w:t>
      </w:r>
      <w:r>
        <w:rPr>
          <w:b/>
          <w:color w:val="auto"/>
          <w:sz w:val="24"/>
          <w:highlight w:val="none"/>
        </w:rPr>
        <w:t>否则按无效竞标处理</w:t>
      </w:r>
      <w:r>
        <w:rPr>
          <w:color w:val="auto"/>
          <w:sz w:val="24"/>
          <w:highlight w:val="none"/>
        </w:rPr>
        <w:t xml:space="preserve">； </w:t>
      </w:r>
    </w:p>
    <w:p>
      <w:pPr>
        <w:ind w:firstLine="960" w:firstLineChars="400"/>
        <w:rPr>
          <w:color w:val="auto"/>
          <w:sz w:val="24"/>
          <w:highlight w:val="none"/>
        </w:rPr>
      </w:pPr>
      <w:r>
        <w:rPr>
          <w:color w:val="auto"/>
          <w:sz w:val="24"/>
          <w:highlight w:val="none"/>
        </w:rPr>
        <w:t xml:space="preserve">2.法人、其他组织竞标时“我方”是指“我单位”，自然人竞标时“我方”是指“本人”。 </w:t>
      </w:r>
    </w:p>
    <w:p>
      <w:pPr>
        <w:spacing w:before="29"/>
        <w:ind w:left="424"/>
        <w:jc w:val="center"/>
        <w:rPr>
          <w:color w:val="auto"/>
          <w:sz w:val="32"/>
          <w:highlight w:val="none"/>
        </w:rPr>
      </w:pPr>
    </w:p>
    <w:p>
      <w:pPr>
        <w:rPr>
          <w:color w:val="auto"/>
          <w:sz w:val="32"/>
          <w:highlight w:val="none"/>
        </w:rPr>
      </w:pPr>
      <w:r>
        <w:rPr>
          <w:color w:val="auto"/>
          <w:sz w:val="32"/>
          <w:highlight w:val="none"/>
        </w:rPr>
        <w:br w:type="page"/>
      </w:r>
    </w:p>
    <w:p>
      <w:pPr>
        <w:spacing w:before="29"/>
        <w:ind w:left="424"/>
        <w:jc w:val="center"/>
        <w:rPr>
          <w:color w:val="auto"/>
          <w:sz w:val="32"/>
          <w:highlight w:val="none"/>
        </w:rPr>
      </w:pPr>
      <w:r>
        <w:rPr>
          <w:color w:val="auto"/>
          <w:sz w:val="32"/>
          <w:highlight w:val="none"/>
        </w:rPr>
        <w:t>施工组织设计</w:t>
      </w:r>
    </w:p>
    <w:p>
      <w:pPr>
        <w:pStyle w:val="2"/>
        <w:rPr>
          <w:color w:val="auto"/>
          <w:sz w:val="20"/>
          <w:highlight w:val="none"/>
        </w:rPr>
      </w:pPr>
    </w:p>
    <w:p>
      <w:pPr>
        <w:pStyle w:val="2"/>
        <w:spacing w:before="7"/>
        <w:rPr>
          <w:color w:val="auto"/>
          <w:sz w:val="28"/>
          <w:highlight w:val="none"/>
        </w:rPr>
      </w:pPr>
    </w:p>
    <w:p>
      <w:pPr>
        <w:pStyle w:val="53"/>
        <w:numPr>
          <w:ilvl w:val="1"/>
          <w:numId w:val="14"/>
        </w:numPr>
        <w:tabs>
          <w:tab w:val="left" w:pos="1514"/>
        </w:tabs>
        <w:spacing w:before="72"/>
        <w:ind w:hanging="335"/>
        <w:rPr>
          <w:color w:val="auto"/>
          <w:sz w:val="21"/>
          <w:highlight w:val="none"/>
        </w:rPr>
      </w:pPr>
      <w:r>
        <w:rPr>
          <w:color w:val="auto"/>
          <w:spacing w:val="-3"/>
          <w:sz w:val="21"/>
          <w:highlight w:val="none"/>
        </w:rPr>
        <w:t xml:space="preserve">供应商应按以下要点编制施工组织设计（文字宜精炼、内容具有针对性)： </w:t>
      </w:r>
    </w:p>
    <w:p>
      <w:pPr>
        <w:pStyle w:val="2"/>
        <w:spacing w:before="6"/>
        <w:rPr>
          <w:color w:val="auto"/>
          <w:sz w:val="16"/>
          <w:highlight w:val="none"/>
        </w:rPr>
      </w:pPr>
    </w:p>
    <w:p>
      <w:pPr>
        <w:pStyle w:val="53"/>
        <w:numPr>
          <w:ilvl w:val="2"/>
          <w:numId w:val="14"/>
        </w:numPr>
        <w:tabs>
          <w:tab w:val="left" w:pos="1794"/>
        </w:tabs>
        <w:rPr>
          <w:color w:val="auto"/>
          <w:sz w:val="21"/>
          <w:highlight w:val="none"/>
        </w:rPr>
      </w:pPr>
      <w:r>
        <w:rPr>
          <w:color w:val="auto"/>
          <w:spacing w:val="-3"/>
          <w:sz w:val="21"/>
          <w:highlight w:val="none"/>
        </w:rPr>
        <w:t>主要工程项目的施工方案、方法与技术措施</w:t>
      </w:r>
      <w:r>
        <w:rPr>
          <w:color w:val="auto"/>
          <w:sz w:val="21"/>
          <w:highlight w:val="none"/>
        </w:rPr>
        <w:t xml:space="preserve"> </w:t>
      </w:r>
    </w:p>
    <w:p>
      <w:pPr>
        <w:pStyle w:val="2"/>
        <w:spacing w:before="6"/>
        <w:rPr>
          <w:color w:val="auto"/>
          <w:sz w:val="16"/>
          <w:highlight w:val="none"/>
        </w:rPr>
      </w:pPr>
    </w:p>
    <w:p>
      <w:pPr>
        <w:pStyle w:val="53"/>
        <w:numPr>
          <w:ilvl w:val="2"/>
          <w:numId w:val="14"/>
        </w:numPr>
        <w:tabs>
          <w:tab w:val="left" w:pos="1826"/>
        </w:tabs>
        <w:ind w:left="1825" w:hanging="527"/>
        <w:rPr>
          <w:color w:val="auto"/>
          <w:sz w:val="21"/>
          <w:highlight w:val="none"/>
        </w:rPr>
      </w:pPr>
      <w:r>
        <w:rPr>
          <w:color w:val="auto"/>
          <w:spacing w:val="-3"/>
          <w:sz w:val="21"/>
          <w:highlight w:val="none"/>
        </w:rPr>
        <w:t>投入工程项目的主要物资计划</w:t>
      </w:r>
      <w:r>
        <w:rPr>
          <w:color w:val="auto"/>
          <w:sz w:val="21"/>
          <w:highlight w:val="none"/>
        </w:rPr>
        <w:t xml:space="preserve"> </w:t>
      </w:r>
    </w:p>
    <w:p>
      <w:pPr>
        <w:pStyle w:val="2"/>
        <w:spacing w:before="5"/>
        <w:rPr>
          <w:color w:val="auto"/>
          <w:sz w:val="16"/>
          <w:highlight w:val="none"/>
        </w:rPr>
      </w:pPr>
    </w:p>
    <w:p>
      <w:pPr>
        <w:pStyle w:val="53"/>
        <w:numPr>
          <w:ilvl w:val="2"/>
          <w:numId w:val="14"/>
        </w:numPr>
        <w:tabs>
          <w:tab w:val="left" w:pos="1826"/>
        </w:tabs>
        <w:spacing w:before="1"/>
        <w:ind w:left="1825" w:hanging="527"/>
        <w:rPr>
          <w:color w:val="auto"/>
          <w:sz w:val="21"/>
          <w:highlight w:val="none"/>
        </w:rPr>
      </w:pPr>
      <w:r>
        <w:rPr>
          <w:color w:val="auto"/>
          <w:spacing w:val="-3"/>
          <w:sz w:val="21"/>
          <w:highlight w:val="none"/>
        </w:rPr>
        <w:t xml:space="preserve">投入工程项目的主要施工机械、设备计划 </w:t>
      </w:r>
    </w:p>
    <w:p>
      <w:pPr>
        <w:pStyle w:val="2"/>
        <w:spacing w:before="6"/>
        <w:rPr>
          <w:color w:val="auto"/>
          <w:sz w:val="16"/>
          <w:highlight w:val="none"/>
        </w:rPr>
      </w:pPr>
    </w:p>
    <w:p>
      <w:pPr>
        <w:pStyle w:val="53"/>
        <w:numPr>
          <w:ilvl w:val="2"/>
          <w:numId w:val="14"/>
        </w:numPr>
        <w:tabs>
          <w:tab w:val="left" w:pos="1826"/>
        </w:tabs>
        <w:ind w:left="1825" w:hanging="527"/>
        <w:rPr>
          <w:color w:val="auto"/>
          <w:sz w:val="21"/>
          <w:highlight w:val="none"/>
        </w:rPr>
      </w:pPr>
      <w:r>
        <w:rPr>
          <w:color w:val="auto"/>
          <w:spacing w:val="-3"/>
          <w:sz w:val="21"/>
          <w:highlight w:val="none"/>
        </w:rPr>
        <w:t xml:space="preserve">投入工程项目的劳动力安排 </w:t>
      </w:r>
    </w:p>
    <w:p>
      <w:pPr>
        <w:pStyle w:val="2"/>
        <w:spacing w:before="6"/>
        <w:rPr>
          <w:color w:val="auto"/>
          <w:sz w:val="16"/>
          <w:highlight w:val="none"/>
        </w:rPr>
      </w:pPr>
    </w:p>
    <w:p>
      <w:pPr>
        <w:pStyle w:val="53"/>
        <w:numPr>
          <w:ilvl w:val="2"/>
          <w:numId w:val="14"/>
        </w:numPr>
        <w:tabs>
          <w:tab w:val="left" w:pos="1826"/>
        </w:tabs>
        <w:ind w:left="1825" w:hanging="527"/>
        <w:rPr>
          <w:color w:val="auto"/>
          <w:sz w:val="21"/>
          <w:highlight w:val="none"/>
        </w:rPr>
      </w:pPr>
      <w:r>
        <w:rPr>
          <w:color w:val="auto"/>
          <w:spacing w:val="-3"/>
          <w:sz w:val="21"/>
          <w:highlight w:val="none"/>
        </w:rPr>
        <w:t>工程质量管理体系及保证措施</w:t>
      </w:r>
      <w:r>
        <w:rPr>
          <w:color w:val="auto"/>
          <w:sz w:val="21"/>
          <w:highlight w:val="none"/>
        </w:rPr>
        <w:t xml:space="preserve"> </w:t>
      </w:r>
    </w:p>
    <w:p>
      <w:pPr>
        <w:pStyle w:val="2"/>
        <w:spacing w:before="6"/>
        <w:rPr>
          <w:color w:val="auto"/>
          <w:sz w:val="16"/>
          <w:highlight w:val="none"/>
        </w:rPr>
      </w:pPr>
    </w:p>
    <w:p>
      <w:pPr>
        <w:pStyle w:val="53"/>
        <w:numPr>
          <w:ilvl w:val="2"/>
          <w:numId w:val="14"/>
        </w:numPr>
        <w:tabs>
          <w:tab w:val="left" w:pos="1826"/>
        </w:tabs>
        <w:ind w:left="1825" w:hanging="527"/>
        <w:rPr>
          <w:color w:val="auto"/>
          <w:sz w:val="21"/>
          <w:highlight w:val="none"/>
        </w:rPr>
      </w:pPr>
      <w:r>
        <w:rPr>
          <w:color w:val="auto"/>
          <w:spacing w:val="-3"/>
          <w:sz w:val="21"/>
          <w:highlight w:val="none"/>
        </w:rPr>
        <w:t>安全生产管理体系及保证措施</w:t>
      </w:r>
      <w:r>
        <w:rPr>
          <w:color w:val="auto"/>
          <w:sz w:val="21"/>
          <w:highlight w:val="none"/>
        </w:rPr>
        <w:t xml:space="preserve"> </w:t>
      </w:r>
    </w:p>
    <w:p>
      <w:pPr>
        <w:pStyle w:val="2"/>
        <w:spacing w:before="6"/>
        <w:rPr>
          <w:color w:val="auto"/>
          <w:sz w:val="16"/>
          <w:highlight w:val="none"/>
        </w:rPr>
      </w:pPr>
    </w:p>
    <w:p>
      <w:pPr>
        <w:pStyle w:val="53"/>
        <w:numPr>
          <w:ilvl w:val="2"/>
          <w:numId w:val="14"/>
        </w:numPr>
        <w:tabs>
          <w:tab w:val="left" w:pos="1826"/>
        </w:tabs>
        <w:ind w:left="1825" w:hanging="527"/>
        <w:rPr>
          <w:color w:val="auto"/>
          <w:sz w:val="21"/>
          <w:highlight w:val="none"/>
        </w:rPr>
      </w:pPr>
      <w:r>
        <w:rPr>
          <w:color w:val="auto"/>
          <w:spacing w:val="-3"/>
          <w:sz w:val="21"/>
          <w:highlight w:val="none"/>
        </w:rPr>
        <w:t>工期保证体系及保证措施</w:t>
      </w:r>
      <w:r>
        <w:rPr>
          <w:color w:val="auto"/>
          <w:sz w:val="21"/>
          <w:highlight w:val="none"/>
        </w:rPr>
        <w:t xml:space="preserve"> </w:t>
      </w:r>
    </w:p>
    <w:p>
      <w:pPr>
        <w:pStyle w:val="2"/>
        <w:spacing w:before="6"/>
        <w:rPr>
          <w:color w:val="auto"/>
          <w:sz w:val="16"/>
          <w:highlight w:val="none"/>
        </w:rPr>
      </w:pPr>
    </w:p>
    <w:p>
      <w:pPr>
        <w:pStyle w:val="53"/>
        <w:numPr>
          <w:ilvl w:val="2"/>
          <w:numId w:val="14"/>
        </w:numPr>
        <w:tabs>
          <w:tab w:val="left" w:pos="1826"/>
        </w:tabs>
        <w:ind w:left="1825" w:hanging="527"/>
        <w:rPr>
          <w:color w:val="auto"/>
          <w:sz w:val="21"/>
          <w:highlight w:val="none"/>
        </w:rPr>
      </w:pPr>
      <w:r>
        <w:rPr>
          <w:color w:val="auto"/>
          <w:spacing w:val="-3"/>
          <w:sz w:val="21"/>
          <w:highlight w:val="none"/>
        </w:rPr>
        <w:t xml:space="preserve">工程施工的重点和难点及保证措施 </w:t>
      </w:r>
    </w:p>
    <w:p>
      <w:pPr>
        <w:pStyle w:val="2"/>
        <w:spacing w:before="6"/>
        <w:rPr>
          <w:color w:val="auto"/>
          <w:sz w:val="16"/>
          <w:highlight w:val="none"/>
        </w:rPr>
      </w:pPr>
    </w:p>
    <w:p>
      <w:pPr>
        <w:pStyle w:val="53"/>
        <w:numPr>
          <w:ilvl w:val="2"/>
          <w:numId w:val="14"/>
        </w:numPr>
        <w:tabs>
          <w:tab w:val="left" w:pos="1826"/>
        </w:tabs>
        <w:ind w:left="1825" w:hanging="527"/>
        <w:rPr>
          <w:color w:val="auto"/>
          <w:sz w:val="21"/>
          <w:highlight w:val="none"/>
        </w:rPr>
      </w:pPr>
      <w:r>
        <w:rPr>
          <w:color w:val="auto"/>
          <w:spacing w:val="-3"/>
          <w:sz w:val="21"/>
          <w:highlight w:val="none"/>
        </w:rPr>
        <w:t>工程施工总平面图</w:t>
      </w:r>
      <w:r>
        <w:rPr>
          <w:color w:val="auto"/>
          <w:sz w:val="21"/>
          <w:highlight w:val="none"/>
        </w:rPr>
        <w:t xml:space="preserve"> </w:t>
      </w:r>
    </w:p>
    <w:p>
      <w:pPr>
        <w:pStyle w:val="2"/>
        <w:spacing w:before="6"/>
        <w:rPr>
          <w:color w:val="auto"/>
          <w:sz w:val="16"/>
          <w:highlight w:val="none"/>
        </w:rPr>
      </w:pPr>
    </w:p>
    <w:p>
      <w:pPr>
        <w:pStyle w:val="53"/>
        <w:numPr>
          <w:ilvl w:val="2"/>
          <w:numId w:val="14"/>
        </w:numPr>
        <w:tabs>
          <w:tab w:val="left" w:pos="1826"/>
        </w:tabs>
        <w:ind w:left="1825" w:hanging="527"/>
        <w:rPr>
          <w:color w:val="auto"/>
          <w:sz w:val="21"/>
          <w:highlight w:val="none"/>
        </w:rPr>
      </w:pPr>
      <w:r>
        <w:rPr>
          <w:color w:val="auto"/>
          <w:spacing w:val="-3"/>
          <w:sz w:val="21"/>
          <w:highlight w:val="none"/>
        </w:rPr>
        <w:t>其他应说明的事项（</w:t>
      </w:r>
      <w:r>
        <w:rPr>
          <w:color w:val="auto"/>
          <w:spacing w:val="-2"/>
          <w:sz w:val="21"/>
          <w:highlight w:val="none"/>
        </w:rPr>
        <w:t>如有</w:t>
      </w:r>
      <w:r>
        <w:rPr>
          <w:color w:val="auto"/>
          <w:sz w:val="21"/>
          <w:highlight w:val="none"/>
        </w:rPr>
        <w:t xml:space="preserve">） </w:t>
      </w:r>
    </w:p>
    <w:p>
      <w:pPr>
        <w:pStyle w:val="2"/>
        <w:spacing w:before="6"/>
        <w:rPr>
          <w:color w:val="auto"/>
          <w:sz w:val="16"/>
          <w:highlight w:val="none"/>
        </w:rPr>
      </w:pPr>
    </w:p>
    <w:p>
      <w:pPr>
        <w:pStyle w:val="53"/>
        <w:numPr>
          <w:ilvl w:val="1"/>
          <w:numId w:val="14"/>
        </w:numPr>
        <w:tabs>
          <w:tab w:val="left" w:pos="1538"/>
        </w:tabs>
        <w:spacing w:line="427" w:lineRule="auto"/>
        <w:ind w:left="1618" w:right="2219" w:hanging="440"/>
        <w:rPr>
          <w:color w:val="auto"/>
          <w:sz w:val="21"/>
          <w:highlight w:val="none"/>
        </w:rPr>
      </w:pPr>
      <w:r>
        <w:rPr>
          <w:color w:val="auto"/>
          <w:spacing w:val="-3"/>
          <w:sz w:val="21"/>
          <w:highlight w:val="none"/>
        </w:rPr>
        <w:t>施工组织设计除釆用文字表述外可附下列图表，图表及格式要求附后。附表一施工网络图</w:t>
      </w:r>
      <w:r>
        <w:rPr>
          <w:color w:val="auto"/>
          <w:sz w:val="21"/>
          <w:highlight w:val="none"/>
        </w:rPr>
        <w:t xml:space="preserve"> </w:t>
      </w:r>
    </w:p>
    <w:p>
      <w:pPr>
        <w:pStyle w:val="2"/>
        <w:spacing w:before="2" w:line="427" w:lineRule="auto"/>
        <w:ind w:left="1618" w:right="6761"/>
        <w:rPr>
          <w:color w:val="auto"/>
          <w:highlight w:val="none"/>
        </w:rPr>
      </w:pPr>
      <w:r>
        <w:rPr>
          <w:color w:val="auto"/>
          <w:highlight w:val="none"/>
        </w:rPr>
        <w:t xml:space="preserve">附表二施工总平面图附表三劳动力计划表 </w:t>
      </w:r>
    </w:p>
    <w:p>
      <w:pPr>
        <w:spacing w:line="427" w:lineRule="auto"/>
        <w:rPr>
          <w:color w:val="auto"/>
          <w:highlight w:val="none"/>
        </w:rPr>
        <w:sectPr>
          <w:headerReference r:id="rId17" w:type="default"/>
          <w:footerReference r:id="rId18" w:type="default"/>
          <w:pgSz w:w="11900" w:h="16850"/>
          <w:pgMar w:top="1400" w:right="760" w:bottom="1320" w:left="760" w:header="1158" w:footer="1136" w:gutter="0"/>
          <w:cols w:space="720" w:num="1"/>
        </w:sectPr>
      </w:pPr>
    </w:p>
    <w:p>
      <w:pPr>
        <w:pStyle w:val="2"/>
        <w:rPr>
          <w:color w:val="auto"/>
          <w:sz w:val="20"/>
          <w:highlight w:val="none"/>
        </w:rPr>
      </w:pPr>
    </w:p>
    <w:p>
      <w:pPr>
        <w:pStyle w:val="2"/>
        <w:spacing w:before="12"/>
        <w:rPr>
          <w:color w:val="auto"/>
          <w:sz w:val="17"/>
          <w:highlight w:val="none"/>
        </w:rPr>
      </w:pPr>
    </w:p>
    <w:p>
      <w:pPr>
        <w:ind w:left="658"/>
        <w:rPr>
          <w:b/>
          <w:color w:val="auto"/>
          <w:sz w:val="21"/>
          <w:highlight w:val="none"/>
        </w:rPr>
      </w:pPr>
      <w:r>
        <w:rPr>
          <w:b/>
          <w:color w:val="auto"/>
          <w:sz w:val="21"/>
          <w:highlight w:val="none"/>
        </w:rPr>
        <w:t>附表一：施工网络图</w:t>
      </w:r>
    </w:p>
    <w:p>
      <w:pPr>
        <w:pStyle w:val="2"/>
        <w:rPr>
          <w:b/>
          <w:color w:val="auto"/>
          <w:sz w:val="20"/>
          <w:highlight w:val="none"/>
        </w:rPr>
      </w:pPr>
    </w:p>
    <w:p>
      <w:pPr>
        <w:pStyle w:val="2"/>
        <w:spacing w:before="6"/>
        <w:rPr>
          <w:b/>
          <w:color w:val="auto"/>
          <w:sz w:val="15"/>
          <w:highlight w:val="none"/>
        </w:rPr>
      </w:pPr>
    </w:p>
    <w:tbl>
      <w:tblPr>
        <w:tblStyle w:val="52"/>
        <w:tblW w:w="0" w:type="auto"/>
        <w:tblInd w:w="544"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039"/>
        <w:gridCol w:w="475"/>
        <w:gridCol w:w="492"/>
        <w:gridCol w:w="500"/>
        <w:gridCol w:w="492"/>
        <w:gridCol w:w="497"/>
        <w:gridCol w:w="497"/>
        <w:gridCol w:w="492"/>
        <w:gridCol w:w="497"/>
        <w:gridCol w:w="494"/>
        <w:gridCol w:w="499"/>
        <w:gridCol w:w="497"/>
        <w:gridCol w:w="50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2" w:hRule="atLeast"/>
        </w:trPr>
        <w:tc>
          <w:tcPr>
            <w:tcW w:w="3039" w:type="dxa"/>
          </w:tcPr>
          <w:p>
            <w:pPr>
              <w:pStyle w:val="54"/>
              <w:spacing w:before="3"/>
              <w:rPr>
                <w:b/>
                <w:color w:val="auto"/>
                <w:sz w:val="15"/>
                <w:highlight w:val="none"/>
              </w:rPr>
            </w:pPr>
          </w:p>
          <w:p>
            <w:pPr>
              <w:pStyle w:val="54"/>
              <w:ind w:left="1340" w:right="1228"/>
              <w:jc w:val="center"/>
              <w:rPr>
                <w:color w:val="auto"/>
                <w:sz w:val="21"/>
                <w:highlight w:val="none"/>
              </w:rPr>
            </w:pPr>
            <w:r>
              <w:rPr>
                <w:color w:val="auto"/>
                <w:sz w:val="21"/>
                <w:highlight w:val="none"/>
              </w:rPr>
              <w:t xml:space="preserve">年度 </w:t>
            </w:r>
          </w:p>
        </w:tc>
        <w:tc>
          <w:tcPr>
            <w:tcW w:w="5941" w:type="dxa"/>
            <w:gridSpan w:val="12"/>
          </w:tcPr>
          <w:p>
            <w:pPr>
              <w:pStyle w:val="54"/>
              <w:spacing w:before="3"/>
              <w:rPr>
                <w:b/>
                <w:color w:val="auto"/>
                <w:sz w:val="15"/>
                <w:highlight w:val="none"/>
              </w:rPr>
            </w:pPr>
          </w:p>
          <w:p>
            <w:pPr>
              <w:pStyle w:val="54"/>
              <w:ind w:left="112"/>
              <w:jc w:val="center"/>
              <w:rPr>
                <w:color w:val="auto"/>
                <w:sz w:val="21"/>
                <w:highlight w:val="none"/>
              </w:rPr>
            </w:pPr>
            <w:r>
              <w:rPr>
                <w:color w:val="auto"/>
                <w:sz w:val="21"/>
                <w:highlight w:val="none"/>
                <w:u w:val="single"/>
              </w:rPr>
              <w:t xml:space="preserve">      </w:t>
            </w:r>
            <w:r>
              <w:rPr>
                <w:color w:val="auto"/>
                <w:sz w:val="21"/>
                <w:highlight w:val="none"/>
              </w:rPr>
              <w:t xml:space="preserve">年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0" w:hRule="atLeast"/>
        </w:trPr>
        <w:tc>
          <w:tcPr>
            <w:tcW w:w="3039" w:type="dxa"/>
            <w:vMerge w:val="restart"/>
          </w:tcPr>
          <w:p>
            <w:pPr>
              <w:pStyle w:val="54"/>
              <w:rPr>
                <w:b/>
                <w:color w:val="auto"/>
                <w:sz w:val="20"/>
                <w:highlight w:val="none"/>
              </w:rPr>
            </w:pPr>
          </w:p>
          <w:p>
            <w:pPr>
              <w:pStyle w:val="54"/>
              <w:spacing w:before="6"/>
              <w:rPr>
                <w:b/>
                <w:color w:val="auto"/>
                <w:sz w:val="18"/>
                <w:highlight w:val="none"/>
              </w:rPr>
            </w:pPr>
          </w:p>
          <w:p>
            <w:pPr>
              <w:pStyle w:val="54"/>
              <w:ind w:left="1340" w:right="1228"/>
              <w:jc w:val="center"/>
              <w:rPr>
                <w:color w:val="auto"/>
                <w:sz w:val="21"/>
                <w:highlight w:val="none"/>
              </w:rPr>
            </w:pPr>
            <w:r>
              <w:rPr>
                <w:color w:val="auto"/>
                <w:sz w:val="21"/>
                <w:highlight w:val="none"/>
              </w:rPr>
              <w:t xml:space="preserve">月份 </w:t>
            </w:r>
          </w:p>
        </w:tc>
        <w:tc>
          <w:tcPr>
            <w:tcW w:w="1467" w:type="dxa"/>
            <w:gridSpan w:val="3"/>
          </w:tcPr>
          <w:p>
            <w:pPr>
              <w:pStyle w:val="54"/>
              <w:rPr>
                <w:b/>
                <w:color w:val="auto"/>
                <w:sz w:val="15"/>
                <w:highlight w:val="none"/>
              </w:rPr>
            </w:pPr>
          </w:p>
          <w:p>
            <w:pPr>
              <w:pStyle w:val="54"/>
              <w:spacing w:before="1"/>
              <w:ind w:left="549"/>
              <w:rPr>
                <w:color w:val="auto"/>
                <w:sz w:val="21"/>
                <w:highlight w:val="none"/>
              </w:rPr>
            </w:pPr>
            <w:r>
              <w:rPr>
                <w:color w:val="auto"/>
                <w:sz w:val="21"/>
                <w:highlight w:val="none"/>
              </w:rPr>
              <w:t xml:space="preserve">月 </w:t>
            </w:r>
          </w:p>
        </w:tc>
        <w:tc>
          <w:tcPr>
            <w:tcW w:w="1486" w:type="dxa"/>
            <w:gridSpan w:val="3"/>
          </w:tcPr>
          <w:p>
            <w:pPr>
              <w:pStyle w:val="54"/>
              <w:rPr>
                <w:b/>
                <w:color w:val="auto"/>
                <w:sz w:val="15"/>
                <w:highlight w:val="none"/>
              </w:rPr>
            </w:pPr>
          </w:p>
          <w:p>
            <w:pPr>
              <w:pStyle w:val="54"/>
              <w:spacing w:before="1"/>
              <w:ind w:left="503"/>
              <w:rPr>
                <w:color w:val="auto"/>
                <w:sz w:val="21"/>
                <w:highlight w:val="none"/>
              </w:rPr>
            </w:pPr>
            <w:r>
              <w:rPr>
                <w:color w:val="auto"/>
                <w:sz w:val="21"/>
                <w:highlight w:val="none"/>
              </w:rPr>
              <w:t xml:space="preserve">月 </w:t>
            </w:r>
          </w:p>
        </w:tc>
        <w:tc>
          <w:tcPr>
            <w:tcW w:w="1483" w:type="dxa"/>
            <w:gridSpan w:val="3"/>
          </w:tcPr>
          <w:p>
            <w:pPr>
              <w:pStyle w:val="54"/>
              <w:rPr>
                <w:b/>
                <w:color w:val="auto"/>
                <w:sz w:val="15"/>
                <w:highlight w:val="none"/>
              </w:rPr>
            </w:pPr>
          </w:p>
          <w:p>
            <w:pPr>
              <w:pStyle w:val="54"/>
              <w:spacing w:before="1"/>
              <w:ind w:left="503"/>
              <w:rPr>
                <w:color w:val="auto"/>
                <w:sz w:val="21"/>
                <w:highlight w:val="none"/>
              </w:rPr>
            </w:pPr>
            <w:r>
              <w:rPr>
                <w:color w:val="auto"/>
                <w:sz w:val="21"/>
                <w:highlight w:val="none"/>
              </w:rPr>
              <w:t xml:space="preserve">月 </w:t>
            </w:r>
          </w:p>
        </w:tc>
        <w:tc>
          <w:tcPr>
            <w:tcW w:w="1505" w:type="dxa"/>
            <w:gridSpan w:val="3"/>
          </w:tcPr>
          <w:p>
            <w:pPr>
              <w:pStyle w:val="54"/>
              <w:rPr>
                <w:b/>
                <w:color w:val="auto"/>
                <w:sz w:val="15"/>
                <w:highlight w:val="none"/>
              </w:rPr>
            </w:pPr>
          </w:p>
          <w:p>
            <w:pPr>
              <w:pStyle w:val="54"/>
              <w:spacing w:before="1"/>
              <w:ind w:left="515"/>
              <w:rPr>
                <w:color w:val="auto"/>
                <w:sz w:val="21"/>
                <w:highlight w:val="none"/>
              </w:rPr>
            </w:pPr>
            <w:r>
              <w:rPr>
                <w:color w:val="auto"/>
                <w:sz w:val="21"/>
                <w:highlight w:val="none"/>
              </w:rPr>
              <w:t xml:space="preserve">月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2" w:hRule="atLeast"/>
        </w:trPr>
        <w:tc>
          <w:tcPr>
            <w:tcW w:w="3039" w:type="dxa"/>
            <w:vMerge w:val="continue"/>
            <w:tcBorders>
              <w:top w:val="nil"/>
            </w:tcBorders>
          </w:tcPr>
          <w:p>
            <w:pPr>
              <w:rPr>
                <w:color w:val="auto"/>
                <w:sz w:val="2"/>
                <w:szCs w:val="2"/>
                <w:highlight w:val="none"/>
              </w:rPr>
            </w:pPr>
          </w:p>
        </w:tc>
        <w:tc>
          <w:tcPr>
            <w:tcW w:w="475" w:type="dxa"/>
          </w:tcPr>
          <w:p>
            <w:pPr>
              <w:pStyle w:val="54"/>
              <w:rPr>
                <w:b/>
                <w:color w:val="auto"/>
                <w:sz w:val="15"/>
                <w:highlight w:val="none"/>
              </w:rPr>
            </w:pPr>
          </w:p>
          <w:p>
            <w:pPr>
              <w:pStyle w:val="54"/>
              <w:spacing w:before="1"/>
              <w:ind w:left="131"/>
              <w:rPr>
                <w:color w:val="auto"/>
                <w:sz w:val="21"/>
                <w:highlight w:val="none"/>
              </w:rPr>
            </w:pPr>
            <w:r>
              <w:rPr>
                <w:color w:val="auto"/>
                <w:sz w:val="21"/>
                <w:highlight w:val="none"/>
              </w:rPr>
              <w:t xml:space="preserve">10 </w:t>
            </w:r>
          </w:p>
        </w:tc>
        <w:tc>
          <w:tcPr>
            <w:tcW w:w="492" w:type="dxa"/>
          </w:tcPr>
          <w:p>
            <w:pPr>
              <w:pStyle w:val="54"/>
              <w:rPr>
                <w:b/>
                <w:color w:val="auto"/>
                <w:sz w:val="15"/>
                <w:highlight w:val="none"/>
              </w:rPr>
            </w:pPr>
          </w:p>
          <w:p>
            <w:pPr>
              <w:pStyle w:val="54"/>
              <w:spacing w:before="1"/>
              <w:ind w:left="139"/>
              <w:rPr>
                <w:color w:val="auto"/>
                <w:sz w:val="21"/>
                <w:highlight w:val="none"/>
              </w:rPr>
            </w:pPr>
            <w:r>
              <w:rPr>
                <w:color w:val="auto"/>
                <w:sz w:val="21"/>
                <w:highlight w:val="none"/>
              </w:rPr>
              <w:t xml:space="preserve">20 </w:t>
            </w:r>
          </w:p>
        </w:tc>
        <w:tc>
          <w:tcPr>
            <w:tcW w:w="500" w:type="dxa"/>
          </w:tcPr>
          <w:p>
            <w:pPr>
              <w:pStyle w:val="54"/>
              <w:rPr>
                <w:b/>
                <w:color w:val="auto"/>
                <w:sz w:val="15"/>
                <w:highlight w:val="none"/>
              </w:rPr>
            </w:pPr>
          </w:p>
          <w:p>
            <w:pPr>
              <w:pStyle w:val="54"/>
              <w:spacing w:before="1"/>
              <w:ind w:left="143"/>
              <w:rPr>
                <w:color w:val="auto"/>
                <w:sz w:val="21"/>
                <w:highlight w:val="none"/>
              </w:rPr>
            </w:pPr>
            <w:r>
              <w:rPr>
                <w:color w:val="auto"/>
                <w:sz w:val="21"/>
                <w:highlight w:val="none"/>
              </w:rPr>
              <w:t xml:space="preserve">30 </w:t>
            </w:r>
          </w:p>
        </w:tc>
        <w:tc>
          <w:tcPr>
            <w:tcW w:w="492" w:type="dxa"/>
          </w:tcPr>
          <w:p>
            <w:pPr>
              <w:pStyle w:val="54"/>
              <w:rPr>
                <w:b/>
                <w:color w:val="auto"/>
                <w:sz w:val="15"/>
                <w:highlight w:val="none"/>
              </w:rPr>
            </w:pPr>
          </w:p>
          <w:p>
            <w:pPr>
              <w:pStyle w:val="54"/>
              <w:spacing w:before="1"/>
              <w:ind w:left="138"/>
              <w:rPr>
                <w:color w:val="auto"/>
                <w:sz w:val="21"/>
                <w:highlight w:val="none"/>
              </w:rPr>
            </w:pPr>
            <w:r>
              <w:rPr>
                <w:color w:val="auto"/>
                <w:sz w:val="21"/>
                <w:highlight w:val="none"/>
              </w:rPr>
              <w:t xml:space="preserve">10 </w:t>
            </w:r>
          </w:p>
        </w:tc>
        <w:tc>
          <w:tcPr>
            <w:tcW w:w="497" w:type="dxa"/>
          </w:tcPr>
          <w:p>
            <w:pPr>
              <w:pStyle w:val="54"/>
              <w:rPr>
                <w:b/>
                <w:color w:val="auto"/>
                <w:sz w:val="15"/>
                <w:highlight w:val="none"/>
              </w:rPr>
            </w:pPr>
          </w:p>
          <w:p>
            <w:pPr>
              <w:pStyle w:val="54"/>
              <w:spacing w:before="1"/>
              <w:ind w:left="141"/>
              <w:rPr>
                <w:color w:val="auto"/>
                <w:sz w:val="21"/>
                <w:highlight w:val="none"/>
              </w:rPr>
            </w:pPr>
            <w:r>
              <w:rPr>
                <w:color w:val="auto"/>
                <w:sz w:val="21"/>
                <w:highlight w:val="none"/>
              </w:rPr>
              <w:t xml:space="preserve">20 </w:t>
            </w:r>
          </w:p>
        </w:tc>
        <w:tc>
          <w:tcPr>
            <w:tcW w:w="497" w:type="dxa"/>
          </w:tcPr>
          <w:p>
            <w:pPr>
              <w:pStyle w:val="54"/>
              <w:rPr>
                <w:b/>
                <w:color w:val="auto"/>
                <w:sz w:val="15"/>
                <w:highlight w:val="none"/>
              </w:rPr>
            </w:pPr>
          </w:p>
          <w:p>
            <w:pPr>
              <w:pStyle w:val="54"/>
              <w:spacing w:before="1"/>
              <w:ind w:left="143"/>
              <w:rPr>
                <w:color w:val="auto"/>
                <w:sz w:val="21"/>
                <w:highlight w:val="none"/>
              </w:rPr>
            </w:pPr>
            <w:r>
              <w:rPr>
                <w:color w:val="auto"/>
                <w:sz w:val="21"/>
                <w:highlight w:val="none"/>
              </w:rPr>
              <w:t xml:space="preserve">31 </w:t>
            </w:r>
          </w:p>
        </w:tc>
        <w:tc>
          <w:tcPr>
            <w:tcW w:w="492" w:type="dxa"/>
          </w:tcPr>
          <w:p>
            <w:pPr>
              <w:pStyle w:val="54"/>
              <w:rPr>
                <w:b/>
                <w:color w:val="auto"/>
                <w:sz w:val="15"/>
                <w:highlight w:val="none"/>
              </w:rPr>
            </w:pPr>
          </w:p>
          <w:p>
            <w:pPr>
              <w:pStyle w:val="54"/>
              <w:spacing w:before="1"/>
              <w:ind w:left="138"/>
              <w:rPr>
                <w:color w:val="auto"/>
                <w:sz w:val="21"/>
                <w:highlight w:val="none"/>
              </w:rPr>
            </w:pPr>
            <w:r>
              <w:rPr>
                <w:color w:val="auto"/>
                <w:sz w:val="21"/>
                <w:highlight w:val="none"/>
              </w:rPr>
              <w:t xml:space="preserve">10 </w:t>
            </w:r>
          </w:p>
        </w:tc>
        <w:tc>
          <w:tcPr>
            <w:tcW w:w="497" w:type="dxa"/>
          </w:tcPr>
          <w:p>
            <w:pPr>
              <w:pStyle w:val="54"/>
              <w:rPr>
                <w:b/>
                <w:color w:val="auto"/>
                <w:sz w:val="15"/>
                <w:highlight w:val="none"/>
              </w:rPr>
            </w:pPr>
          </w:p>
          <w:p>
            <w:pPr>
              <w:pStyle w:val="54"/>
              <w:spacing w:before="1"/>
              <w:ind w:left="141"/>
              <w:rPr>
                <w:color w:val="auto"/>
                <w:sz w:val="21"/>
                <w:highlight w:val="none"/>
              </w:rPr>
            </w:pPr>
            <w:r>
              <w:rPr>
                <w:color w:val="auto"/>
                <w:sz w:val="21"/>
                <w:highlight w:val="none"/>
              </w:rPr>
              <w:t xml:space="preserve">20 </w:t>
            </w:r>
          </w:p>
        </w:tc>
        <w:tc>
          <w:tcPr>
            <w:tcW w:w="494" w:type="dxa"/>
          </w:tcPr>
          <w:p>
            <w:pPr>
              <w:pStyle w:val="54"/>
              <w:rPr>
                <w:b/>
                <w:color w:val="auto"/>
                <w:sz w:val="15"/>
                <w:highlight w:val="none"/>
              </w:rPr>
            </w:pPr>
          </w:p>
          <w:p>
            <w:pPr>
              <w:pStyle w:val="54"/>
              <w:spacing w:before="1"/>
              <w:ind w:left="141"/>
              <w:rPr>
                <w:color w:val="auto"/>
                <w:sz w:val="21"/>
                <w:highlight w:val="none"/>
              </w:rPr>
            </w:pPr>
            <w:r>
              <w:rPr>
                <w:color w:val="auto"/>
                <w:sz w:val="21"/>
                <w:highlight w:val="none"/>
              </w:rPr>
              <w:t xml:space="preserve">30 </w:t>
            </w:r>
          </w:p>
        </w:tc>
        <w:tc>
          <w:tcPr>
            <w:tcW w:w="499" w:type="dxa"/>
          </w:tcPr>
          <w:p>
            <w:pPr>
              <w:pStyle w:val="54"/>
              <w:rPr>
                <w:b/>
                <w:color w:val="auto"/>
                <w:sz w:val="15"/>
                <w:highlight w:val="none"/>
              </w:rPr>
            </w:pPr>
          </w:p>
          <w:p>
            <w:pPr>
              <w:pStyle w:val="54"/>
              <w:spacing w:before="1"/>
              <w:ind w:left="143"/>
              <w:rPr>
                <w:color w:val="auto"/>
                <w:sz w:val="21"/>
                <w:highlight w:val="none"/>
              </w:rPr>
            </w:pPr>
            <w:r>
              <w:rPr>
                <w:color w:val="auto"/>
                <w:sz w:val="21"/>
                <w:highlight w:val="none"/>
              </w:rPr>
              <w:t xml:space="preserve">10 </w:t>
            </w:r>
          </w:p>
        </w:tc>
        <w:tc>
          <w:tcPr>
            <w:tcW w:w="497" w:type="dxa"/>
          </w:tcPr>
          <w:p>
            <w:pPr>
              <w:pStyle w:val="54"/>
              <w:rPr>
                <w:b/>
                <w:color w:val="auto"/>
                <w:sz w:val="15"/>
                <w:highlight w:val="none"/>
              </w:rPr>
            </w:pPr>
          </w:p>
          <w:p>
            <w:pPr>
              <w:pStyle w:val="54"/>
              <w:spacing w:before="1"/>
              <w:ind w:left="141"/>
              <w:rPr>
                <w:color w:val="auto"/>
                <w:sz w:val="21"/>
                <w:highlight w:val="none"/>
              </w:rPr>
            </w:pPr>
            <w:r>
              <w:rPr>
                <w:color w:val="auto"/>
                <w:sz w:val="21"/>
                <w:highlight w:val="none"/>
              </w:rPr>
              <w:t xml:space="preserve">20 </w:t>
            </w:r>
          </w:p>
        </w:tc>
        <w:tc>
          <w:tcPr>
            <w:tcW w:w="509" w:type="dxa"/>
          </w:tcPr>
          <w:p>
            <w:pPr>
              <w:pStyle w:val="54"/>
              <w:rPr>
                <w:b/>
                <w:color w:val="auto"/>
                <w:sz w:val="15"/>
                <w:highlight w:val="none"/>
              </w:rPr>
            </w:pPr>
          </w:p>
          <w:p>
            <w:pPr>
              <w:pStyle w:val="54"/>
              <w:spacing w:before="1"/>
              <w:ind w:left="148"/>
              <w:rPr>
                <w:color w:val="auto"/>
                <w:sz w:val="21"/>
                <w:highlight w:val="none"/>
              </w:rPr>
            </w:pPr>
            <w:r>
              <w:rPr>
                <w:color w:val="auto"/>
                <w:sz w:val="21"/>
                <w:highlight w:val="none"/>
              </w:rPr>
              <w:t xml:space="preserve">31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0" w:hRule="atLeast"/>
        </w:trPr>
        <w:tc>
          <w:tcPr>
            <w:tcW w:w="3039" w:type="dxa"/>
          </w:tcPr>
          <w:p>
            <w:pPr>
              <w:pStyle w:val="54"/>
              <w:rPr>
                <w:b/>
                <w:color w:val="auto"/>
                <w:sz w:val="15"/>
                <w:highlight w:val="none"/>
              </w:rPr>
            </w:pPr>
          </w:p>
          <w:p>
            <w:pPr>
              <w:pStyle w:val="54"/>
              <w:spacing w:before="1"/>
              <w:ind w:left="9"/>
              <w:rPr>
                <w:color w:val="auto"/>
                <w:sz w:val="21"/>
                <w:highlight w:val="none"/>
              </w:rPr>
            </w:pPr>
            <w:r>
              <w:rPr>
                <w:color w:val="auto"/>
                <w:sz w:val="21"/>
                <w:highlight w:val="none"/>
              </w:rPr>
              <w:t xml:space="preserve">1.施工准备 </w:t>
            </w:r>
          </w:p>
        </w:tc>
        <w:tc>
          <w:tcPr>
            <w:tcW w:w="475" w:type="dxa"/>
          </w:tcPr>
          <w:p>
            <w:pPr>
              <w:pStyle w:val="54"/>
              <w:spacing w:before="77"/>
              <w:ind w:left="9"/>
              <w:rPr>
                <w:color w:val="auto"/>
                <w:sz w:val="21"/>
                <w:highlight w:val="none"/>
              </w:rPr>
            </w:pPr>
            <w:r>
              <w:rPr>
                <w:color w:val="auto"/>
                <w:sz w:val="21"/>
                <w:highlight w:val="none"/>
              </w:rPr>
              <w:t xml:space="preserve"> </w:t>
            </w:r>
          </w:p>
        </w:tc>
        <w:tc>
          <w:tcPr>
            <w:tcW w:w="492" w:type="dxa"/>
          </w:tcPr>
          <w:p>
            <w:pPr>
              <w:pStyle w:val="54"/>
              <w:spacing w:before="77"/>
              <w:ind w:left="9"/>
              <w:rPr>
                <w:color w:val="auto"/>
                <w:sz w:val="21"/>
                <w:highlight w:val="none"/>
              </w:rPr>
            </w:pPr>
            <w:r>
              <w:rPr>
                <w:color w:val="auto"/>
                <w:sz w:val="21"/>
                <w:highlight w:val="none"/>
              </w:rPr>
              <w:t xml:space="preserve"> </w:t>
            </w:r>
          </w:p>
        </w:tc>
        <w:tc>
          <w:tcPr>
            <w:tcW w:w="500" w:type="dxa"/>
          </w:tcPr>
          <w:p>
            <w:pPr>
              <w:pStyle w:val="54"/>
              <w:spacing w:before="77"/>
              <w:ind w:left="9"/>
              <w:rPr>
                <w:color w:val="auto"/>
                <w:sz w:val="21"/>
                <w:highlight w:val="none"/>
              </w:rPr>
            </w:pPr>
            <w:r>
              <w:rPr>
                <w:color w:val="auto"/>
                <w:sz w:val="21"/>
                <w:highlight w:val="none"/>
              </w:rPr>
              <w:t xml:space="preserve"> </w:t>
            </w:r>
          </w:p>
        </w:tc>
        <w:tc>
          <w:tcPr>
            <w:tcW w:w="492" w:type="dxa"/>
          </w:tcPr>
          <w:p>
            <w:pPr>
              <w:pStyle w:val="54"/>
              <w:spacing w:before="77"/>
              <w:ind w:left="9"/>
              <w:rPr>
                <w:color w:val="auto"/>
                <w:sz w:val="21"/>
                <w:highlight w:val="none"/>
              </w:rPr>
            </w:pPr>
            <w:r>
              <w:rPr>
                <w:color w:val="auto"/>
                <w:sz w:val="21"/>
                <w:highlight w:val="none"/>
              </w:rPr>
              <w:t xml:space="preserve"> </w:t>
            </w:r>
          </w:p>
        </w:tc>
        <w:tc>
          <w:tcPr>
            <w:tcW w:w="497" w:type="dxa"/>
          </w:tcPr>
          <w:p>
            <w:pPr>
              <w:pStyle w:val="54"/>
              <w:spacing w:before="77"/>
              <w:ind w:left="9"/>
              <w:rPr>
                <w:color w:val="auto"/>
                <w:sz w:val="21"/>
                <w:highlight w:val="none"/>
              </w:rPr>
            </w:pPr>
            <w:r>
              <w:rPr>
                <w:color w:val="auto"/>
                <w:sz w:val="21"/>
                <w:highlight w:val="none"/>
              </w:rPr>
              <w:t xml:space="preserve"> </w:t>
            </w:r>
          </w:p>
        </w:tc>
        <w:tc>
          <w:tcPr>
            <w:tcW w:w="497" w:type="dxa"/>
          </w:tcPr>
          <w:p>
            <w:pPr>
              <w:pStyle w:val="54"/>
              <w:spacing w:before="77"/>
              <w:ind w:left="11"/>
              <w:rPr>
                <w:color w:val="auto"/>
                <w:sz w:val="21"/>
                <w:highlight w:val="none"/>
              </w:rPr>
            </w:pPr>
            <w:r>
              <w:rPr>
                <w:color w:val="auto"/>
                <w:sz w:val="21"/>
                <w:highlight w:val="none"/>
              </w:rPr>
              <w:t xml:space="preserve"> </w:t>
            </w:r>
          </w:p>
        </w:tc>
        <w:tc>
          <w:tcPr>
            <w:tcW w:w="492" w:type="dxa"/>
          </w:tcPr>
          <w:p>
            <w:pPr>
              <w:pStyle w:val="54"/>
              <w:spacing w:before="77"/>
              <w:ind w:left="8"/>
              <w:rPr>
                <w:color w:val="auto"/>
                <w:sz w:val="21"/>
                <w:highlight w:val="none"/>
              </w:rPr>
            </w:pPr>
            <w:r>
              <w:rPr>
                <w:color w:val="auto"/>
                <w:sz w:val="21"/>
                <w:highlight w:val="none"/>
              </w:rPr>
              <w:t xml:space="preserve"> </w:t>
            </w:r>
          </w:p>
        </w:tc>
        <w:tc>
          <w:tcPr>
            <w:tcW w:w="497" w:type="dxa"/>
          </w:tcPr>
          <w:p>
            <w:pPr>
              <w:pStyle w:val="54"/>
              <w:spacing w:before="77"/>
              <w:ind w:left="8"/>
              <w:rPr>
                <w:color w:val="auto"/>
                <w:sz w:val="21"/>
                <w:highlight w:val="none"/>
              </w:rPr>
            </w:pPr>
            <w:r>
              <w:rPr>
                <w:color w:val="auto"/>
                <w:sz w:val="21"/>
                <w:highlight w:val="none"/>
              </w:rPr>
              <w:t xml:space="preserve"> </w:t>
            </w:r>
          </w:p>
        </w:tc>
        <w:tc>
          <w:tcPr>
            <w:tcW w:w="494" w:type="dxa"/>
          </w:tcPr>
          <w:p>
            <w:pPr>
              <w:pStyle w:val="54"/>
              <w:spacing w:before="77"/>
              <w:ind w:left="9"/>
              <w:rPr>
                <w:color w:val="auto"/>
                <w:sz w:val="21"/>
                <w:highlight w:val="none"/>
              </w:rPr>
            </w:pPr>
            <w:r>
              <w:rPr>
                <w:color w:val="auto"/>
                <w:sz w:val="21"/>
                <w:highlight w:val="none"/>
              </w:rPr>
              <w:t xml:space="preserve"> </w:t>
            </w:r>
          </w:p>
        </w:tc>
        <w:tc>
          <w:tcPr>
            <w:tcW w:w="499" w:type="dxa"/>
          </w:tcPr>
          <w:p>
            <w:pPr>
              <w:pStyle w:val="54"/>
              <w:spacing w:before="77"/>
              <w:ind w:left="11"/>
              <w:rPr>
                <w:color w:val="auto"/>
                <w:sz w:val="21"/>
                <w:highlight w:val="none"/>
              </w:rPr>
            </w:pPr>
            <w:r>
              <w:rPr>
                <w:color w:val="auto"/>
                <w:sz w:val="21"/>
                <w:highlight w:val="none"/>
              </w:rPr>
              <w:t xml:space="preserve"> </w:t>
            </w:r>
          </w:p>
        </w:tc>
        <w:tc>
          <w:tcPr>
            <w:tcW w:w="497" w:type="dxa"/>
          </w:tcPr>
          <w:p>
            <w:pPr>
              <w:pStyle w:val="54"/>
              <w:spacing w:before="77"/>
              <w:ind w:left="9"/>
              <w:rPr>
                <w:color w:val="auto"/>
                <w:sz w:val="21"/>
                <w:highlight w:val="none"/>
              </w:rPr>
            </w:pPr>
            <w:r>
              <w:rPr>
                <w:color w:val="auto"/>
                <w:sz w:val="21"/>
                <w:highlight w:val="none"/>
              </w:rPr>
              <w:t xml:space="preserve"> </w:t>
            </w:r>
          </w:p>
        </w:tc>
        <w:tc>
          <w:tcPr>
            <w:tcW w:w="509" w:type="dxa"/>
          </w:tcPr>
          <w:p>
            <w:pPr>
              <w:pStyle w:val="54"/>
              <w:spacing w:before="77"/>
              <w:ind w:left="9"/>
              <w:rPr>
                <w:color w:val="auto"/>
                <w:sz w:val="21"/>
                <w:highlight w:val="none"/>
              </w:rPr>
            </w:pPr>
            <w:r>
              <w:rPr>
                <w:color w:val="auto"/>
                <w:sz w:val="21"/>
                <w:highlight w:val="non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9" w:hRule="atLeast"/>
        </w:trPr>
        <w:tc>
          <w:tcPr>
            <w:tcW w:w="3039" w:type="dxa"/>
          </w:tcPr>
          <w:p>
            <w:pPr>
              <w:pStyle w:val="54"/>
              <w:rPr>
                <w:b/>
                <w:color w:val="auto"/>
                <w:sz w:val="15"/>
                <w:highlight w:val="none"/>
              </w:rPr>
            </w:pPr>
          </w:p>
          <w:p>
            <w:pPr>
              <w:pStyle w:val="54"/>
              <w:spacing w:before="1"/>
              <w:ind w:left="9"/>
              <w:rPr>
                <w:color w:val="auto"/>
                <w:sz w:val="21"/>
                <w:highlight w:val="none"/>
              </w:rPr>
            </w:pPr>
            <w:r>
              <w:rPr>
                <w:color w:val="auto"/>
                <w:sz w:val="21"/>
                <w:highlight w:val="none"/>
              </w:rPr>
              <w:t xml:space="preserve">2、土方开挖、清理 </w:t>
            </w:r>
          </w:p>
        </w:tc>
        <w:tc>
          <w:tcPr>
            <w:tcW w:w="475" w:type="dxa"/>
          </w:tcPr>
          <w:p>
            <w:pPr>
              <w:pStyle w:val="54"/>
              <w:spacing w:before="78"/>
              <w:ind w:left="9"/>
              <w:rPr>
                <w:color w:val="auto"/>
                <w:sz w:val="21"/>
                <w:highlight w:val="none"/>
              </w:rPr>
            </w:pPr>
            <w:r>
              <w:rPr>
                <w:color w:val="auto"/>
                <w:sz w:val="21"/>
                <w:highlight w:val="none"/>
              </w:rPr>
              <w:t xml:space="preserve"> </w:t>
            </w:r>
          </w:p>
        </w:tc>
        <w:tc>
          <w:tcPr>
            <w:tcW w:w="492" w:type="dxa"/>
          </w:tcPr>
          <w:p>
            <w:pPr>
              <w:pStyle w:val="54"/>
              <w:spacing w:before="78"/>
              <w:ind w:left="9"/>
              <w:rPr>
                <w:color w:val="auto"/>
                <w:sz w:val="21"/>
                <w:highlight w:val="none"/>
              </w:rPr>
            </w:pPr>
            <w:r>
              <w:rPr>
                <w:color w:val="auto"/>
                <w:sz w:val="21"/>
                <w:highlight w:val="none"/>
              </w:rPr>
              <w:t xml:space="preserve"> </w:t>
            </w:r>
          </w:p>
        </w:tc>
        <w:tc>
          <w:tcPr>
            <w:tcW w:w="500" w:type="dxa"/>
          </w:tcPr>
          <w:p>
            <w:pPr>
              <w:pStyle w:val="54"/>
              <w:spacing w:before="78"/>
              <w:ind w:left="9"/>
              <w:rPr>
                <w:color w:val="auto"/>
                <w:sz w:val="21"/>
                <w:highlight w:val="none"/>
              </w:rPr>
            </w:pPr>
            <w:r>
              <w:rPr>
                <w:color w:val="auto"/>
                <w:sz w:val="21"/>
                <w:highlight w:val="none"/>
              </w:rPr>
              <w:t xml:space="preserve"> </w:t>
            </w:r>
          </w:p>
        </w:tc>
        <w:tc>
          <w:tcPr>
            <w:tcW w:w="492" w:type="dxa"/>
          </w:tcPr>
          <w:p>
            <w:pPr>
              <w:pStyle w:val="54"/>
              <w:spacing w:before="78"/>
              <w:ind w:left="9"/>
              <w:rPr>
                <w:color w:val="auto"/>
                <w:sz w:val="21"/>
                <w:highlight w:val="none"/>
              </w:rPr>
            </w:pPr>
            <w:r>
              <w:rPr>
                <w:color w:val="auto"/>
                <w:sz w:val="21"/>
                <w:highlight w:val="none"/>
              </w:rPr>
              <w:t xml:space="preserve"> </w:t>
            </w:r>
          </w:p>
        </w:tc>
        <w:tc>
          <w:tcPr>
            <w:tcW w:w="497" w:type="dxa"/>
          </w:tcPr>
          <w:p>
            <w:pPr>
              <w:pStyle w:val="54"/>
              <w:spacing w:before="78"/>
              <w:ind w:left="9"/>
              <w:rPr>
                <w:color w:val="auto"/>
                <w:sz w:val="21"/>
                <w:highlight w:val="none"/>
              </w:rPr>
            </w:pPr>
            <w:r>
              <w:rPr>
                <w:color w:val="auto"/>
                <w:sz w:val="21"/>
                <w:highlight w:val="none"/>
              </w:rPr>
              <w:t xml:space="preserve"> </w:t>
            </w:r>
          </w:p>
        </w:tc>
        <w:tc>
          <w:tcPr>
            <w:tcW w:w="497" w:type="dxa"/>
          </w:tcPr>
          <w:p>
            <w:pPr>
              <w:pStyle w:val="54"/>
              <w:spacing w:before="78"/>
              <w:ind w:left="11"/>
              <w:rPr>
                <w:color w:val="auto"/>
                <w:sz w:val="21"/>
                <w:highlight w:val="none"/>
              </w:rPr>
            </w:pPr>
            <w:r>
              <w:rPr>
                <w:color w:val="auto"/>
                <w:sz w:val="21"/>
                <w:highlight w:val="none"/>
              </w:rPr>
              <w:t xml:space="preserve"> </w:t>
            </w:r>
          </w:p>
        </w:tc>
        <w:tc>
          <w:tcPr>
            <w:tcW w:w="492" w:type="dxa"/>
          </w:tcPr>
          <w:p>
            <w:pPr>
              <w:pStyle w:val="54"/>
              <w:spacing w:before="78"/>
              <w:ind w:left="8"/>
              <w:rPr>
                <w:color w:val="auto"/>
                <w:sz w:val="21"/>
                <w:highlight w:val="none"/>
              </w:rPr>
            </w:pPr>
            <w:r>
              <w:rPr>
                <w:color w:val="auto"/>
                <w:sz w:val="21"/>
                <w:highlight w:val="none"/>
              </w:rPr>
              <w:t xml:space="preserve"> </w:t>
            </w:r>
          </w:p>
        </w:tc>
        <w:tc>
          <w:tcPr>
            <w:tcW w:w="497" w:type="dxa"/>
          </w:tcPr>
          <w:p>
            <w:pPr>
              <w:pStyle w:val="54"/>
              <w:spacing w:before="78"/>
              <w:ind w:left="8"/>
              <w:rPr>
                <w:color w:val="auto"/>
                <w:sz w:val="21"/>
                <w:highlight w:val="none"/>
              </w:rPr>
            </w:pPr>
            <w:r>
              <w:rPr>
                <w:color w:val="auto"/>
                <w:sz w:val="21"/>
                <w:highlight w:val="none"/>
              </w:rPr>
              <w:t xml:space="preserve"> </w:t>
            </w:r>
          </w:p>
        </w:tc>
        <w:tc>
          <w:tcPr>
            <w:tcW w:w="494" w:type="dxa"/>
          </w:tcPr>
          <w:p>
            <w:pPr>
              <w:pStyle w:val="54"/>
              <w:spacing w:before="78"/>
              <w:ind w:left="9"/>
              <w:rPr>
                <w:color w:val="auto"/>
                <w:sz w:val="21"/>
                <w:highlight w:val="none"/>
              </w:rPr>
            </w:pPr>
            <w:r>
              <w:rPr>
                <w:color w:val="auto"/>
                <w:sz w:val="21"/>
                <w:highlight w:val="none"/>
              </w:rPr>
              <w:t xml:space="preserve"> </w:t>
            </w:r>
          </w:p>
        </w:tc>
        <w:tc>
          <w:tcPr>
            <w:tcW w:w="499" w:type="dxa"/>
          </w:tcPr>
          <w:p>
            <w:pPr>
              <w:pStyle w:val="54"/>
              <w:spacing w:before="78"/>
              <w:ind w:left="11"/>
              <w:rPr>
                <w:color w:val="auto"/>
                <w:sz w:val="21"/>
                <w:highlight w:val="none"/>
              </w:rPr>
            </w:pPr>
            <w:r>
              <w:rPr>
                <w:color w:val="auto"/>
                <w:sz w:val="21"/>
                <w:highlight w:val="none"/>
              </w:rPr>
              <w:t xml:space="preserve"> </w:t>
            </w:r>
          </w:p>
        </w:tc>
        <w:tc>
          <w:tcPr>
            <w:tcW w:w="497" w:type="dxa"/>
          </w:tcPr>
          <w:p>
            <w:pPr>
              <w:pStyle w:val="54"/>
              <w:spacing w:before="78"/>
              <w:ind w:left="9"/>
              <w:rPr>
                <w:color w:val="auto"/>
                <w:sz w:val="21"/>
                <w:highlight w:val="none"/>
              </w:rPr>
            </w:pPr>
            <w:r>
              <w:rPr>
                <w:color w:val="auto"/>
                <w:sz w:val="21"/>
                <w:highlight w:val="none"/>
              </w:rPr>
              <w:t xml:space="preserve"> </w:t>
            </w:r>
          </w:p>
        </w:tc>
        <w:tc>
          <w:tcPr>
            <w:tcW w:w="509" w:type="dxa"/>
          </w:tcPr>
          <w:p>
            <w:pPr>
              <w:pStyle w:val="54"/>
              <w:spacing w:before="78"/>
              <w:ind w:left="9"/>
              <w:rPr>
                <w:color w:val="auto"/>
                <w:sz w:val="21"/>
                <w:highlight w:val="none"/>
              </w:rPr>
            </w:pPr>
            <w:r>
              <w:rPr>
                <w:color w:val="auto"/>
                <w:sz w:val="21"/>
                <w:highlight w:val="non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2" w:hRule="atLeast"/>
        </w:trPr>
        <w:tc>
          <w:tcPr>
            <w:tcW w:w="3039" w:type="dxa"/>
          </w:tcPr>
          <w:p>
            <w:pPr>
              <w:pStyle w:val="54"/>
              <w:spacing w:before="3"/>
              <w:rPr>
                <w:b/>
                <w:color w:val="auto"/>
                <w:sz w:val="15"/>
                <w:highlight w:val="none"/>
              </w:rPr>
            </w:pPr>
          </w:p>
          <w:p>
            <w:pPr>
              <w:pStyle w:val="54"/>
              <w:ind w:left="9"/>
              <w:rPr>
                <w:color w:val="auto"/>
                <w:sz w:val="21"/>
                <w:highlight w:val="none"/>
              </w:rPr>
            </w:pPr>
            <w:r>
              <w:rPr>
                <w:color w:val="auto"/>
                <w:sz w:val="21"/>
                <w:highlight w:val="none"/>
              </w:rPr>
              <w:t xml:space="preserve">3.路基处理/填筑 </w:t>
            </w:r>
          </w:p>
        </w:tc>
        <w:tc>
          <w:tcPr>
            <w:tcW w:w="475" w:type="dxa"/>
          </w:tcPr>
          <w:p>
            <w:pPr>
              <w:pStyle w:val="54"/>
              <w:spacing w:before="80"/>
              <w:ind w:left="9"/>
              <w:rPr>
                <w:color w:val="auto"/>
                <w:sz w:val="21"/>
                <w:highlight w:val="none"/>
              </w:rPr>
            </w:pPr>
            <w:r>
              <w:rPr>
                <w:color w:val="auto"/>
                <w:sz w:val="21"/>
                <w:highlight w:val="none"/>
              </w:rPr>
              <w:t xml:space="preserve"> </w:t>
            </w:r>
          </w:p>
        </w:tc>
        <w:tc>
          <w:tcPr>
            <w:tcW w:w="492" w:type="dxa"/>
          </w:tcPr>
          <w:p>
            <w:pPr>
              <w:pStyle w:val="54"/>
              <w:spacing w:before="80"/>
              <w:ind w:left="9"/>
              <w:rPr>
                <w:color w:val="auto"/>
                <w:sz w:val="21"/>
                <w:highlight w:val="none"/>
              </w:rPr>
            </w:pPr>
            <w:r>
              <w:rPr>
                <w:color w:val="auto"/>
                <w:sz w:val="21"/>
                <w:highlight w:val="none"/>
              </w:rPr>
              <w:t xml:space="preserve"> </w:t>
            </w:r>
          </w:p>
        </w:tc>
        <w:tc>
          <w:tcPr>
            <w:tcW w:w="500" w:type="dxa"/>
          </w:tcPr>
          <w:p>
            <w:pPr>
              <w:pStyle w:val="54"/>
              <w:spacing w:before="80"/>
              <w:ind w:left="9"/>
              <w:rPr>
                <w:color w:val="auto"/>
                <w:sz w:val="21"/>
                <w:highlight w:val="none"/>
              </w:rPr>
            </w:pPr>
            <w:r>
              <w:rPr>
                <w:color w:val="auto"/>
                <w:sz w:val="21"/>
                <w:highlight w:val="none"/>
              </w:rPr>
              <w:t xml:space="preserve"> </w:t>
            </w:r>
          </w:p>
        </w:tc>
        <w:tc>
          <w:tcPr>
            <w:tcW w:w="492" w:type="dxa"/>
          </w:tcPr>
          <w:p>
            <w:pPr>
              <w:pStyle w:val="54"/>
              <w:spacing w:before="80"/>
              <w:ind w:left="9"/>
              <w:rPr>
                <w:color w:val="auto"/>
                <w:sz w:val="21"/>
                <w:highlight w:val="none"/>
              </w:rPr>
            </w:pPr>
            <w:r>
              <w:rPr>
                <w:color w:val="auto"/>
                <w:sz w:val="21"/>
                <w:highlight w:val="none"/>
              </w:rPr>
              <w:t xml:space="preserve"> </w:t>
            </w:r>
          </w:p>
        </w:tc>
        <w:tc>
          <w:tcPr>
            <w:tcW w:w="497" w:type="dxa"/>
          </w:tcPr>
          <w:p>
            <w:pPr>
              <w:pStyle w:val="54"/>
              <w:spacing w:before="80"/>
              <w:ind w:left="9"/>
              <w:rPr>
                <w:color w:val="auto"/>
                <w:sz w:val="21"/>
                <w:highlight w:val="none"/>
              </w:rPr>
            </w:pPr>
            <w:r>
              <w:rPr>
                <w:color w:val="auto"/>
                <w:sz w:val="21"/>
                <w:highlight w:val="none"/>
              </w:rPr>
              <w:t xml:space="preserve"> </w:t>
            </w:r>
          </w:p>
        </w:tc>
        <w:tc>
          <w:tcPr>
            <w:tcW w:w="497" w:type="dxa"/>
          </w:tcPr>
          <w:p>
            <w:pPr>
              <w:pStyle w:val="54"/>
              <w:spacing w:before="80"/>
              <w:ind w:left="11"/>
              <w:rPr>
                <w:color w:val="auto"/>
                <w:sz w:val="21"/>
                <w:highlight w:val="none"/>
              </w:rPr>
            </w:pPr>
            <w:r>
              <w:rPr>
                <w:color w:val="auto"/>
                <w:sz w:val="21"/>
                <w:highlight w:val="none"/>
              </w:rPr>
              <w:t xml:space="preserve"> </w:t>
            </w:r>
          </w:p>
        </w:tc>
        <w:tc>
          <w:tcPr>
            <w:tcW w:w="492" w:type="dxa"/>
          </w:tcPr>
          <w:p>
            <w:pPr>
              <w:pStyle w:val="54"/>
              <w:spacing w:before="80"/>
              <w:ind w:left="8"/>
              <w:rPr>
                <w:color w:val="auto"/>
                <w:sz w:val="21"/>
                <w:highlight w:val="none"/>
              </w:rPr>
            </w:pPr>
            <w:r>
              <w:rPr>
                <w:color w:val="auto"/>
                <w:sz w:val="21"/>
                <w:highlight w:val="none"/>
              </w:rPr>
              <w:t xml:space="preserve"> </w:t>
            </w:r>
          </w:p>
        </w:tc>
        <w:tc>
          <w:tcPr>
            <w:tcW w:w="497" w:type="dxa"/>
          </w:tcPr>
          <w:p>
            <w:pPr>
              <w:pStyle w:val="54"/>
              <w:spacing w:before="80"/>
              <w:ind w:left="8"/>
              <w:rPr>
                <w:color w:val="auto"/>
                <w:sz w:val="21"/>
                <w:highlight w:val="none"/>
              </w:rPr>
            </w:pPr>
            <w:r>
              <w:rPr>
                <w:color w:val="auto"/>
                <w:sz w:val="21"/>
                <w:highlight w:val="none"/>
              </w:rPr>
              <w:t xml:space="preserve"> </w:t>
            </w:r>
          </w:p>
        </w:tc>
        <w:tc>
          <w:tcPr>
            <w:tcW w:w="494" w:type="dxa"/>
          </w:tcPr>
          <w:p>
            <w:pPr>
              <w:pStyle w:val="54"/>
              <w:spacing w:before="80"/>
              <w:ind w:left="9"/>
              <w:rPr>
                <w:color w:val="auto"/>
                <w:sz w:val="21"/>
                <w:highlight w:val="none"/>
              </w:rPr>
            </w:pPr>
            <w:r>
              <w:rPr>
                <w:color w:val="auto"/>
                <w:sz w:val="21"/>
                <w:highlight w:val="none"/>
              </w:rPr>
              <w:t xml:space="preserve"> </w:t>
            </w:r>
          </w:p>
        </w:tc>
        <w:tc>
          <w:tcPr>
            <w:tcW w:w="499" w:type="dxa"/>
          </w:tcPr>
          <w:p>
            <w:pPr>
              <w:pStyle w:val="54"/>
              <w:spacing w:before="80"/>
              <w:ind w:left="11"/>
              <w:rPr>
                <w:color w:val="auto"/>
                <w:sz w:val="21"/>
                <w:highlight w:val="none"/>
              </w:rPr>
            </w:pPr>
            <w:r>
              <w:rPr>
                <w:color w:val="auto"/>
                <w:sz w:val="21"/>
                <w:highlight w:val="none"/>
              </w:rPr>
              <w:t xml:space="preserve"> </w:t>
            </w:r>
          </w:p>
        </w:tc>
        <w:tc>
          <w:tcPr>
            <w:tcW w:w="497" w:type="dxa"/>
          </w:tcPr>
          <w:p>
            <w:pPr>
              <w:pStyle w:val="54"/>
              <w:spacing w:before="80"/>
              <w:ind w:left="9"/>
              <w:rPr>
                <w:color w:val="auto"/>
                <w:sz w:val="21"/>
                <w:highlight w:val="none"/>
              </w:rPr>
            </w:pPr>
            <w:r>
              <w:rPr>
                <w:color w:val="auto"/>
                <w:sz w:val="21"/>
                <w:highlight w:val="none"/>
              </w:rPr>
              <w:t xml:space="preserve"> </w:t>
            </w:r>
          </w:p>
        </w:tc>
        <w:tc>
          <w:tcPr>
            <w:tcW w:w="509" w:type="dxa"/>
          </w:tcPr>
          <w:p>
            <w:pPr>
              <w:pStyle w:val="54"/>
              <w:spacing w:before="80"/>
              <w:ind w:left="9"/>
              <w:rPr>
                <w:color w:val="auto"/>
                <w:sz w:val="21"/>
                <w:highlight w:val="none"/>
              </w:rPr>
            </w:pPr>
            <w:r>
              <w:rPr>
                <w:color w:val="auto"/>
                <w:sz w:val="21"/>
                <w:highlight w:val="non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0" w:hRule="atLeast"/>
        </w:trPr>
        <w:tc>
          <w:tcPr>
            <w:tcW w:w="3039" w:type="dxa"/>
          </w:tcPr>
          <w:p>
            <w:pPr>
              <w:pStyle w:val="54"/>
              <w:rPr>
                <w:b/>
                <w:color w:val="auto"/>
                <w:sz w:val="15"/>
                <w:highlight w:val="none"/>
              </w:rPr>
            </w:pPr>
          </w:p>
          <w:p>
            <w:pPr>
              <w:pStyle w:val="54"/>
              <w:spacing w:before="1"/>
              <w:ind w:left="9"/>
              <w:rPr>
                <w:color w:val="auto"/>
                <w:sz w:val="21"/>
                <w:highlight w:val="none"/>
              </w:rPr>
            </w:pPr>
            <w:r>
              <w:rPr>
                <w:color w:val="auto"/>
                <w:sz w:val="21"/>
                <w:highlight w:val="none"/>
              </w:rPr>
              <w:t xml:space="preserve">4、路基压实、保养 </w:t>
            </w:r>
          </w:p>
        </w:tc>
        <w:tc>
          <w:tcPr>
            <w:tcW w:w="475" w:type="dxa"/>
          </w:tcPr>
          <w:p>
            <w:pPr>
              <w:pStyle w:val="54"/>
              <w:spacing w:before="77"/>
              <w:ind w:left="9"/>
              <w:rPr>
                <w:color w:val="auto"/>
                <w:sz w:val="21"/>
                <w:highlight w:val="none"/>
              </w:rPr>
            </w:pPr>
            <w:r>
              <w:rPr>
                <w:color w:val="auto"/>
                <w:sz w:val="21"/>
                <w:highlight w:val="none"/>
              </w:rPr>
              <w:t xml:space="preserve"> </w:t>
            </w:r>
          </w:p>
        </w:tc>
        <w:tc>
          <w:tcPr>
            <w:tcW w:w="492" w:type="dxa"/>
          </w:tcPr>
          <w:p>
            <w:pPr>
              <w:pStyle w:val="54"/>
              <w:spacing w:before="77"/>
              <w:ind w:left="9"/>
              <w:rPr>
                <w:color w:val="auto"/>
                <w:sz w:val="21"/>
                <w:highlight w:val="none"/>
              </w:rPr>
            </w:pPr>
            <w:r>
              <w:rPr>
                <w:color w:val="auto"/>
                <w:sz w:val="21"/>
                <w:highlight w:val="none"/>
              </w:rPr>
              <w:t xml:space="preserve"> </w:t>
            </w:r>
          </w:p>
        </w:tc>
        <w:tc>
          <w:tcPr>
            <w:tcW w:w="500" w:type="dxa"/>
          </w:tcPr>
          <w:p>
            <w:pPr>
              <w:pStyle w:val="54"/>
              <w:spacing w:before="77"/>
              <w:ind w:left="9"/>
              <w:rPr>
                <w:color w:val="auto"/>
                <w:sz w:val="21"/>
                <w:highlight w:val="none"/>
              </w:rPr>
            </w:pPr>
            <w:r>
              <w:rPr>
                <w:color w:val="auto"/>
                <w:sz w:val="21"/>
                <w:highlight w:val="none"/>
              </w:rPr>
              <w:t xml:space="preserve"> </w:t>
            </w:r>
          </w:p>
        </w:tc>
        <w:tc>
          <w:tcPr>
            <w:tcW w:w="492" w:type="dxa"/>
          </w:tcPr>
          <w:p>
            <w:pPr>
              <w:pStyle w:val="54"/>
              <w:spacing w:before="77"/>
              <w:ind w:left="9"/>
              <w:rPr>
                <w:color w:val="auto"/>
                <w:sz w:val="21"/>
                <w:highlight w:val="none"/>
              </w:rPr>
            </w:pPr>
            <w:r>
              <w:rPr>
                <w:color w:val="auto"/>
                <w:sz w:val="21"/>
                <w:highlight w:val="none"/>
              </w:rPr>
              <w:t xml:space="preserve"> </w:t>
            </w:r>
          </w:p>
        </w:tc>
        <w:tc>
          <w:tcPr>
            <w:tcW w:w="497" w:type="dxa"/>
          </w:tcPr>
          <w:p>
            <w:pPr>
              <w:pStyle w:val="54"/>
              <w:spacing w:before="77"/>
              <w:ind w:left="9"/>
              <w:rPr>
                <w:color w:val="auto"/>
                <w:sz w:val="21"/>
                <w:highlight w:val="none"/>
              </w:rPr>
            </w:pPr>
            <w:r>
              <w:rPr>
                <w:color w:val="auto"/>
                <w:sz w:val="21"/>
                <w:highlight w:val="none"/>
              </w:rPr>
              <w:t xml:space="preserve"> </w:t>
            </w:r>
          </w:p>
        </w:tc>
        <w:tc>
          <w:tcPr>
            <w:tcW w:w="497" w:type="dxa"/>
          </w:tcPr>
          <w:p>
            <w:pPr>
              <w:pStyle w:val="54"/>
              <w:spacing w:before="77"/>
              <w:ind w:left="11"/>
              <w:rPr>
                <w:color w:val="auto"/>
                <w:sz w:val="21"/>
                <w:highlight w:val="none"/>
              </w:rPr>
            </w:pPr>
            <w:r>
              <w:rPr>
                <w:color w:val="auto"/>
                <w:sz w:val="21"/>
                <w:highlight w:val="none"/>
              </w:rPr>
              <w:t xml:space="preserve"> </w:t>
            </w:r>
          </w:p>
        </w:tc>
        <w:tc>
          <w:tcPr>
            <w:tcW w:w="492" w:type="dxa"/>
          </w:tcPr>
          <w:p>
            <w:pPr>
              <w:pStyle w:val="54"/>
              <w:spacing w:before="77"/>
              <w:ind w:left="8"/>
              <w:rPr>
                <w:color w:val="auto"/>
                <w:sz w:val="21"/>
                <w:highlight w:val="none"/>
              </w:rPr>
            </w:pPr>
            <w:r>
              <w:rPr>
                <w:color w:val="auto"/>
                <w:sz w:val="21"/>
                <w:highlight w:val="none"/>
              </w:rPr>
              <w:t xml:space="preserve"> </w:t>
            </w:r>
          </w:p>
        </w:tc>
        <w:tc>
          <w:tcPr>
            <w:tcW w:w="497" w:type="dxa"/>
          </w:tcPr>
          <w:p>
            <w:pPr>
              <w:pStyle w:val="54"/>
              <w:spacing w:before="77"/>
              <w:ind w:left="8"/>
              <w:rPr>
                <w:color w:val="auto"/>
                <w:sz w:val="21"/>
                <w:highlight w:val="none"/>
              </w:rPr>
            </w:pPr>
            <w:r>
              <w:rPr>
                <w:color w:val="auto"/>
                <w:sz w:val="21"/>
                <w:highlight w:val="none"/>
              </w:rPr>
              <w:t xml:space="preserve"> </w:t>
            </w:r>
          </w:p>
        </w:tc>
        <w:tc>
          <w:tcPr>
            <w:tcW w:w="494" w:type="dxa"/>
          </w:tcPr>
          <w:p>
            <w:pPr>
              <w:pStyle w:val="54"/>
              <w:spacing w:before="77"/>
              <w:ind w:left="9"/>
              <w:rPr>
                <w:color w:val="auto"/>
                <w:sz w:val="21"/>
                <w:highlight w:val="none"/>
              </w:rPr>
            </w:pPr>
            <w:r>
              <w:rPr>
                <w:color w:val="auto"/>
                <w:sz w:val="21"/>
                <w:highlight w:val="none"/>
              </w:rPr>
              <w:t xml:space="preserve"> </w:t>
            </w:r>
          </w:p>
        </w:tc>
        <w:tc>
          <w:tcPr>
            <w:tcW w:w="499" w:type="dxa"/>
          </w:tcPr>
          <w:p>
            <w:pPr>
              <w:pStyle w:val="54"/>
              <w:spacing w:before="77"/>
              <w:ind w:left="11"/>
              <w:rPr>
                <w:color w:val="auto"/>
                <w:sz w:val="21"/>
                <w:highlight w:val="none"/>
              </w:rPr>
            </w:pPr>
            <w:r>
              <w:rPr>
                <w:color w:val="auto"/>
                <w:sz w:val="21"/>
                <w:highlight w:val="none"/>
              </w:rPr>
              <w:t xml:space="preserve"> </w:t>
            </w:r>
          </w:p>
        </w:tc>
        <w:tc>
          <w:tcPr>
            <w:tcW w:w="497" w:type="dxa"/>
          </w:tcPr>
          <w:p>
            <w:pPr>
              <w:pStyle w:val="54"/>
              <w:spacing w:before="77"/>
              <w:ind w:left="9"/>
              <w:rPr>
                <w:color w:val="auto"/>
                <w:sz w:val="21"/>
                <w:highlight w:val="none"/>
              </w:rPr>
            </w:pPr>
            <w:r>
              <w:rPr>
                <w:color w:val="auto"/>
                <w:sz w:val="21"/>
                <w:highlight w:val="none"/>
              </w:rPr>
              <w:t xml:space="preserve"> </w:t>
            </w:r>
          </w:p>
        </w:tc>
        <w:tc>
          <w:tcPr>
            <w:tcW w:w="509" w:type="dxa"/>
          </w:tcPr>
          <w:p>
            <w:pPr>
              <w:pStyle w:val="54"/>
              <w:spacing w:before="77"/>
              <w:ind w:left="9"/>
              <w:rPr>
                <w:color w:val="auto"/>
                <w:sz w:val="21"/>
                <w:highlight w:val="none"/>
              </w:rPr>
            </w:pPr>
            <w:r>
              <w:rPr>
                <w:color w:val="auto"/>
                <w:sz w:val="21"/>
                <w:highlight w:val="non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2" w:hRule="atLeast"/>
        </w:trPr>
        <w:tc>
          <w:tcPr>
            <w:tcW w:w="3039" w:type="dxa"/>
          </w:tcPr>
          <w:p>
            <w:pPr>
              <w:pStyle w:val="54"/>
              <w:spacing w:before="3"/>
              <w:rPr>
                <w:b/>
                <w:color w:val="auto"/>
                <w:sz w:val="15"/>
                <w:highlight w:val="none"/>
              </w:rPr>
            </w:pPr>
          </w:p>
          <w:p>
            <w:pPr>
              <w:pStyle w:val="54"/>
              <w:ind w:left="9" w:right="-15"/>
              <w:rPr>
                <w:color w:val="auto"/>
                <w:sz w:val="21"/>
                <w:highlight w:val="none"/>
              </w:rPr>
            </w:pPr>
            <w:r>
              <w:rPr>
                <w:color w:val="auto"/>
                <w:sz w:val="21"/>
                <w:highlight w:val="none"/>
              </w:rPr>
              <w:t>5</w:t>
            </w:r>
            <w:r>
              <w:rPr>
                <w:color w:val="auto"/>
                <w:spacing w:val="-7"/>
                <w:sz w:val="21"/>
                <w:highlight w:val="none"/>
              </w:rPr>
              <w:t>、硂路面、沥青混凝土面层施工</w:t>
            </w:r>
          </w:p>
        </w:tc>
        <w:tc>
          <w:tcPr>
            <w:tcW w:w="475" w:type="dxa"/>
          </w:tcPr>
          <w:p>
            <w:pPr>
              <w:pStyle w:val="54"/>
              <w:spacing w:before="77"/>
              <w:ind w:left="9"/>
              <w:rPr>
                <w:color w:val="auto"/>
                <w:sz w:val="21"/>
                <w:highlight w:val="none"/>
              </w:rPr>
            </w:pPr>
            <w:r>
              <w:rPr>
                <w:color w:val="auto"/>
                <w:sz w:val="21"/>
                <w:highlight w:val="none"/>
              </w:rPr>
              <w:t xml:space="preserve"> </w:t>
            </w:r>
          </w:p>
        </w:tc>
        <w:tc>
          <w:tcPr>
            <w:tcW w:w="492" w:type="dxa"/>
          </w:tcPr>
          <w:p>
            <w:pPr>
              <w:pStyle w:val="54"/>
              <w:spacing w:before="77"/>
              <w:ind w:left="9"/>
              <w:rPr>
                <w:color w:val="auto"/>
                <w:sz w:val="21"/>
                <w:highlight w:val="none"/>
              </w:rPr>
            </w:pPr>
            <w:r>
              <w:rPr>
                <w:color w:val="auto"/>
                <w:sz w:val="21"/>
                <w:highlight w:val="none"/>
              </w:rPr>
              <w:t xml:space="preserve"> </w:t>
            </w:r>
          </w:p>
        </w:tc>
        <w:tc>
          <w:tcPr>
            <w:tcW w:w="500" w:type="dxa"/>
          </w:tcPr>
          <w:p>
            <w:pPr>
              <w:pStyle w:val="54"/>
              <w:spacing w:before="77"/>
              <w:ind w:left="9"/>
              <w:rPr>
                <w:color w:val="auto"/>
                <w:sz w:val="21"/>
                <w:highlight w:val="none"/>
              </w:rPr>
            </w:pPr>
            <w:r>
              <w:rPr>
                <w:color w:val="auto"/>
                <w:sz w:val="21"/>
                <w:highlight w:val="none"/>
              </w:rPr>
              <w:t xml:space="preserve"> </w:t>
            </w:r>
          </w:p>
        </w:tc>
        <w:tc>
          <w:tcPr>
            <w:tcW w:w="492" w:type="dxa"/>
          </w:tcPr>
          <w:p>
            <w:pPr>
              <w:pStyle w:val="54"/>
              <w:spacing w:before="77"/>
              <w:ind w:left="9"/>
              <w:rPr>
                <w:color w:val="auto"/>
                <w:sz w:val="21"/>
                <w:highlight w:val="none"/>
              </w:rPr>
            </w:pPr>
            <w:r>
              <w:rPr>
                <w:color w:val="auto"/>
                <w:sz w:val="21"/>
                <w:highlight w:val="none"/>
              </w:rPr>
              <w:t xml:space="preserve"> </w:t>
            </w:r>
          </w:p>
        </w:tc>
        <w:tc>
          <w:tcPr>
            <w:tcW w:w="497" w:type="dxa"/>
          </w:tcPr>
          <w:p>
            <w:pPr>
              <w:pStyle w:val="54"/>
              <w:spacing w:before="77"/>
              <w:ind w:left="9"/>
              <w:rPr>
                <w:color w:val="auto"/>
                <w:sz w:val="21"/>
                <w:highlight w:val="none"/>
              </w:rPr>
            </w:pPr>
            <w:r>
              <w:rPr>
                <w:color w:val="auto"/>
                <w:sz w:val="21"/>
                <w:highlight w:val="none"/>
              </w:rPr>
              <w:t xml:space="preserve"> </w:t>
            </w:r>
          </w:p>
        </w:tc>
        <w:tc>
          <w:tcPr>
            <w:tcW w:w="497" w:type="dxa"/>
          </w:tcPr>
          <w:p>
            <w:pPr>
              <w:pStyle w:val="54"/>
              <w:spacing w:before="77"/>
              <w:ind w:left="11"/>
              <w:rPr>
                <w:color w:val="auto"/>
                <w:sz w:val="21"/>
                <w:highlight w:val="none"/>
              </w:rPr>
            </w:pPr>
            <w:r>
              <w:rPr>
                <w:color w:val="auto"/>
                <w:sz w:val="21"/>
                <w:highlight w:val="none"/>
              </w:rPr>
              <w:t xml:space="preserve"> </w:t>
            </w:r>
          </w:p>
        </w:tc>
        <w:tc>
          <w:tcPr>
            <w:tcW w:w="492" w:type="dxa"/>
          </w:tcPr>
          <w:p>
            <w:pPr>
              <w:pStyle w:val="54"/>
              <w:spacing w:before="77"/>
              <w:ind w:left="8"/>
              <w:rPr>
                <w:color w:val="auto"/>
                <w:sz w:val="21"/>
                <w:highlight w:val="none"/>
              </w:rPr>
            </w:pPr>
            <w:r>
              <w:rPr>
                <w:color w:val="auto"/>
                <w:sz w:val="21"/>
                <w:highlight w:val="none"/>
              </w:rPr>
              <w:t xml:space="preserve"> </w:t>
            </w:r>
          </w:p>
        </w:tc>
        <w:tc>
          <w:tcPr>
            <w:tcW w:w="497" w:type="dxa"/>
          </w:tcPr>
          <w:p>
            <w:pPr>
              <w:pStyle w:val="54"/>
              <w:spacing w:before="77"/>
              <w:ind w:left="8"/>
              <w:rPr>
                <w:color w:val="auto"/>
                <w:sz w:val="21"/>
                <w:highlight w:val="none"/>
              </w:rPr>
            </w:pPr>
            <w:r>
              <w:rPr>
                <w:color w:val="auto"/>
                <w:sz w:val="21"/>
                <w:highlight w:val="none"/>
              </w:rPr>
              <w:t xml:space="preserve"> </w:t>
            </w:r>
          </w:p>
        </w:tc>
        <w:tc>
          <w:tcPr>
            <w:tcW w:w="494" w:type="dxa"/>
          </w:tcPr>
          <w:p>
            <w:pPr>
              <w:pStyle w:val="54"/>
              <w:spacing w:before="77"/>
              <w:ind w:left="9"/>
              <w:rPr>
                <w:color w:val="auto"/>
                <w:sz w:val="21"/>
                <w:highlight w:val="none"/>
              </w:rPr>
            </w:pPr>
            <w:r>
              <w:rPr>
                <w:color w:val="auto"/>
                <w:sz w:val="21"/>
                <w:highlight w:val="none"/>
              </w:rPr>
              <w:t xml:space="preserve"> </w:t>
            </w:r>
          </w:p>
        </w:tc>
        <w:tc>
          <w:tcPr>
            <w:tcW w:w="499" w:type="dxa"/>
          </w:tcPr>
          <w:p>
            <w:pPr>
              <w:pStyle w:val="54"/>
              <w:spacing w:before="77"/>
              <w:ind w:left="11"/>
              <w:rPr>
                <w:color w:val="auto"/>
                <w:sz w:val="21"/>
                <w:highlight w:val="none"/>
              </w:rPr>
            </w:pPr>
            <w:r>
              <w:rPr>
                <w:color w:val="auto"/>
                <w:sz w:val="21"/>
                <w:highlight w:val="none"/>
              </w:rPr>
              <w:t xml:space="preserve"> </w:t>
            </w:r>
          </w:p>
        </w:tc>
        <w:tc>
          <w:tcPr>
            <w:tcW w:w="497" w:type="dxa"/>
          </w:tcPr>
          <w:p>
            <w:pPr>
              <w:pStyle w:val="54"/>
              <w:spacing w:before="77"/>
              <w:ind w:left="9"/>
              <w:rPr>
                <w:color w:val="auto"/>
                <w:sz w:val="21"/>
                <w:highlight w:val="none"/>
              </w:rPr>
            </w:pPr>
            <w:r>
              <w:rPr>
                <w:color w:val="auto"/>
                <w:sz w:val="21"/>
                <w:highlight w:val="none"/>
              </w:rPr>
              <w:t xml:space="preserve"> </w:t>
            </w:r>
          </w:p>
        </w:tc>
        <w:tc>
          <w:tcPr>
            <w:tcW w:w="509" w:type="dxa"/>
          </w:tcPr>
          <w:p>
            <w:pPr>
              <w:pStyle w:val="54"/>
              <w:spacing w:before="77"/>
              <w:ind w:left="9"/>
              <w:rPr>
                <w:color w:val="auto"/>
                <w:sz w:val="21"/>
                <w:highlight w:val="none"/>
              </w:rPr>
            </w:pPr>
            <w:r>
              <w:rPr>
                <w:color w:val="auto"/>
                <w:sz w:val="21"/>
                <w:highlight w:val="non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0" w:hRule="atLeast"/>
        </w:trPr>
        <w:tc>
          <w:tcPr>
            <w:tcW w:w="3039" w:type="dxa"/>
          </w:tcPr>
          <w:p>
            <w:pPr>
              <w:pStyle w:val="54"/>
              <w:rPr>
                <w:b/>
                <w:color w:val="auto"/>
                <w:sz w:val="15"/>
                <w:highlight w:val="none"/>
              </w:rPr>
            </w:pPr>
          </w:p>
          <w:p>
            <w:pPr>
              <w:pStyle w:val="54"/>
              <w:spacing w:before="1"/>
              <w:ind w:left="9"/>
              <w:rPr>
                <w:color w:val="auto"/>
                <w:sz w:val="21"/>
                <w:highlight w:val="none"/>
              </w:rPr>
            </w:pPr>
            <w:r>
              <w:rPr>
                <w:color w:val="auto"/>
                <w:sz w:val="21"/>
                <w:highlight w:val="none"/>
              </w:rPr>
              <w:t xml:space="preserve">6.保养 </w:t>
            </w:r>
          </w:p>
        </w:tc>
        <w:tc>
          <w:tcPr>
            <w:tcW w:w="475" w:type="dxa"/>
          </w:tcPr>
          <w:p>
            <w:pPr>
              <w:pStyle w:val="54"/>
              <w:spacing w:before="77"/>
              <w:ind w:left="9"/>
              <w:rPr>
                <w:color w:val="auto"/>
                <w:sz w:val="21"/>
                <w:highlight w:val="none"/>
              </w:rPr>
            </w:pPr>
            <w:r>
              <w:rPr>
                <w:color w:val="auto"/>
                <w:sz w:val="21"/>
                <w:highlight w:val="none"/>
              </w:rPr>
              <w:t xml:space="preserve"> </w:t>
            </w:r>
          </w:p>
        </w:tc>
        <w:tc>
          <w:tcPr>
            <w:tcW w:w="492" w:type="dxa"/>
          </w:tcPr>
          <w:p>
            <w:pPr>
              <w:pStyle w:val="54"/>
              <w:spacing w:before="77"/>
              <w:ind w:left="9"/>
              <w:rPr>
                <w:color w:val="auto"/>
                <w:sz w:val="21"/>
                <w:highlight w:val="none"/>
              </w:rPr>
            </w:pPr>
            <w:r>
              <w:rPr>
                <w:color w:val="auto"/>
                <w:sz w:val="21"/>
                <w:highlight w:val="none"/>
              </w:rPr>
              <w:t xml:space="preserve"> </w:t>
            </w:r>
          </w:p>
        </w:tc>
        <w:tc>
          <w:tcPr>
            <w:tcW w:w="500" w:type="dxa"/>
          </w:tcPr>
          <w:p>
            <w:pPr>
              <w:pStyle w:val="54"/>
              <w:spacing w:before="77"/>
              <w:ind w:left="9"/>
              <w:rPr>
                <w:color w:val="auto"/>
                <w:sz w:val="21"/>
                <w:highlight w:val="none"/>
              </w:rPr>
            </w:pPr>
            <w:r>
              <w:rPr>
                <w:color w:val="auto"/>
                <w:sz w:val="21"/>
                <w:highlight w:val="none"/>
              </w:rPr>
              <w:t xml:space="preserve"> </w:t>
            </w:r>
          </w:p>
        </w:tc>
        <w:tc>
          <w:tcPr>
            <w:tcW w:w="492" w:type="dxa"/>
          </w:tcPr>
          <w:p>
            <w:pPr>
              <w:pStyle w:val="54"/>
              <w:spacing w:before="77"/>
              <w:ind w:left="9"/>
              <w:rPr>
                <w:color w:val="auto"/>
                <w:sz w:val="21"/>
                <w:highlight w:val="none"/>
              </w:rPr>
            </w:pPr>
            <w:r>
              <w:rPr>
                <w:color w:val="auto"/>
                <w:sz w:val="21"/>
                <w:highlight w:val="none"/>
              </w:rPr>
              <w:t xml:space="preserve"> </w:t>
            </w:r>
          </w:p>
        </w:tc>
        <w:tc>
          <w:tcPr>
            <w:tcW w:w="497" w:type="dxa"/>
          </w:tcPr>
          <w:p>
            <w:pPr>
              <w:pStyle w:val="54"/>
              <w:spacing w:before="77"/>
              <w:ind w:left="9"/>
              <w:rPr>
                <w:color w:val="auto"/>
                <w:sz w:val="21"/>
                <w:highlight w:val="none"/>
              </w:rPr>
            </w:pPr>
            <w:r>
              <w:rPr>
                <w:color w:val="auto"/>
                <w:sz w:val="21"/>
                <w:highlight w:val="none"/>
              </w:rPr>
              <w:t xml:space="preserve"> </w:t>
            </w:r>
          </w:p>
        </w:tc>
        <w:tc>
          <w:tcPr>
            <w:tcW w:w="497" w:type="dxa"/>
          </w:tcPr>
          <w:p>
            <w:pPr>
              <w:pStyle w:val="54"/>
              <w:spacing w:before="77"/>
              <w:ind w:left="11"/>
              <w:rPr>
                <w:color w:val="auto"/>
                <w:sz w:val="21"/>
                <w:highlight w:val="none"/>
              </w:rPr>
            </w:pPr>
            <w:r>
              <w:rPr>
                <w:color w:val="auto"/>
                <w:sz w:val="21"/>
                <w:highlight w:val="none"/>
              </w:rPr>
              <w:t xml:space="preserve"> </w:t>
            </w:r>
          </w:p>
        </w:tc>
        <w:tc>
          <w:tcPr>
            <w:tcW w:w="492" w:type="dxa"/>
          </w:tcPr>
          <w:p>
            <w:pPr>
              <w:pStyle w:val="54"/>
              <w:spacing w:before="77"/>
              <w:ind w:left="8"/>
              <w:rPr>
                <w:color w:val="auto"/>
                <w:sz w:val="21"/>
                <w:highlight w:val="none"/>
              </w:rPr>
            </w:pPr>
            <w:r>
              <w:rPr>
                <w:color w:val="auto"/>
                <w:sz w:val="21"/>
                <w:highlight w:val="none"/>
              </w:rPr>
              <w:t xml:space="preserve"> </w:t>
            </w:r>
          </w:p>
        </w:tc>
        <w:tc>
          <w:tcPr>
            <w:tcW w:w="497" w:type="dxa"/>
          </w:tcPr>
          <w:p>
            <w:pPr>
              <w:pStyle w:val="54"/>
              <w:spacing w:before="77"/>
              <w:ind w:left="8"/>
              <w:rPr>
                <w:color w:val="auto"/>
                <w:sz w:val="21"/>
                <w:highlight w:val="none"/>
              </w:rPr>
            </w:pPr>
            <w:r>
              <w:rPr>
                <w:color w:val="auto"/>
                <w:sz w:val="21"/>
                <w:highlight w:val="none"/>
              </w:rPr>
              <w:t xml:space="preserve"> </w:t>
            </w:r>
          </w:p>
        </w:tc>
        <w:tc>
          <w:tcPr>
            <w:tcW w:w="494" w:type="dxa"/>
          </w:tcPr>
          <w:p>
            <w:pPr>
              <w:pStyle w:val="54"/>
              <w:spacing w:before="77"/>
              <w:ind w:left="9"/>
              <w:rPr>
                <w:color w:val="auto"/>
                <w:sz w:val="21"/>
                <w:highlight w:val="none"/>
              </w:rPr>
            </w:pPr>
            <w:r>
              <w:rPr>
                <w:color w:val="auto"/>
                <w:sz w:val="21"/>
                <w:highlight w:val="none"/>
              </w:rPr>
              <w:t xml:space="preserve"> </w:t>
            </w:r>
          </w:p>
        </w:tc>
        <w:tc>
          <w:tcPr>
            <w:tcW w:w="499" w:type="dxa"/>
          </w:tcPr>
          <w:p>
            <w:pPr>
              <w:pStyle w:val="54"/>
              <w:spacing w:before="77"/>
              <w:ind w:left="11"/>
              <w:rPr>
                <w:color w:val="auto"/>
                <w:sz w:val="21"/>
                <w:highlight w:val="none"/>
              </w:rPr>
            </w:pPr>
            <w:r>
              <w:rPr>
                <w:color w:val="auto"/>
                <w:sz w:val="21"/>
                <w:highlight w:val="none"/>
              </w:rPr>
              <w:t xml:space="preserve"> </w:t>
            </w:r>
          </w:p>
        </w:tc>
        <w:tc>
          <w:tcPr>
            <w:tcW w:w="497" w:type="dxa"/>
          </w:tcPr>
          <w:p>
            <w:pPr>
              <w:pStyle w:val="54"/>
              <w:spacing w:before="77"/>
              <w:ind w:left="9"/>
              <w:rPr>
                <w:color w:val="auto"/>
                <w:sz w:val="21"/>
                <w:highlight w:val="none"/>
              </w:rPr>
            </w:pPr>
            <w:r>
              <w:rPr>
                <w:color w:val="auto"/>
                <w:sz w:val="21"/>
                <w:highlight w:val="none"/>
              </w:rPr>
              <w:t xml:space="preserve"> </w:t>
            </w:r>
          </w:p>
        </w:tc>
        <w:tc>
          <w:tcPr>
            <w:tcW w:w="509" w:type="dxa"/>
          </w:tcPr>
          <w:p>
            <w:pPr>
              <w:pStyle w:val="54"/>
              <w:spacing w:before="77"/>
              <w:ind w:left="9"/>
              <w:rPr>
                <w:color w:val="auto"/>
                <w:sz w:val="21"/>
                <w:highlight w:val="none"/>
              </w:rPr>
            </w:pPr>
            <w:r>
              <w:rPr>
                <w:color w:val="auto"/>
                <w:sz w:val="21"/>
                <w:highlight w:val="non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3" w:hRule="atLeast"/>
        </w:trPr>
        <w:tc>
          <w:tcPr>
            <w:tcW w:w="3039" w:type="dxa"/>
          </w:tcPr>
          <w:p>
            <w:pPr>
              <w:pStyle w:val="54"/>
              <w:spacing w:before="5"/>
              <w:rPr>
                <w:b/>
                <w:color w:val="auto"/>
                <w:sz w:val="16"/>
                <w:highlight w:val="none"/>
              </w:rPr>
            </w:pPr>
          </w:p>
          <w:p>
            <w:pPr>
              <w:pStyle w:val="54"/>
              <w:ind w:left="9"/>
              <w:rPr>
                <w:color w:val="auto"/>
                <w:sz w:val="21"/>
                <w:highlight w:val="none"/>
              </w:rPr>
            </w:pPr>
            <w:r>
              <w:rPr>
                <w:color w:val="auto"/>
                <w:sz w:val="21"/>
                <w:highlight w:val="none"/>
              </w:rPr>
              <w:t xml:space="preserve">7、路基肩 </w:t>
            </w:r>
          </w:p>
        </w:tc>
        <w:tc>
          <w:tcPr>
            <w:tcW w:w="475" w:type="dxa"/>
          </w:tcPr>
          <w:p>
            <w:pPr>
              <w:pStyle w:val="54"/>
              <w:spacing w:before="78"/>
              <w:ind w:left="9"/>
              <w:rPr>
                <w:color w:val="auto"/>
                <w:sz w:val="21"/>
                <w:highlight w:val="none"/>
              </w:rPr>
            </w:pPr>
            <w:r>
              <w:rPr>
                <w:color w:val="auto"/>
                <w:sz w:val="21"/>
                <w:highlight w:val="none"/>
              </w:rPr>
              <w:t xml:space="preserve"> </w:t>
            </w:r>
          </w:p>
        </w:tc>
        <w:tc>
          <w:tcPr>
            <w:tcW w:w="492" w:type="dxa"/>
          </w:tcPr>
          <w:p>
            <w:pPr>
              <w:pStyle w:val="54"/>
              <w:spacing w:before="78"/>
              <w:ind w:left="9"/>
              <w:rPr>
                <w:color w:val="auto"/>
                <w:sz w:val="21"/>
                <w:highlight w:val="none"/>
              </w:rPr>
            </w:pPr>
            <w:r>
              <w:rPr>
                <w:color w:val="auto"/>
                <w:sz w:val="21"/>
                <w:highlight w:val="none"/>
              </w:rPr>
              <w:t xml:space="preserve"> </w:t>
            </w:r>
          </w:p>
        </w:tc>
        <w:tc>
          <w:tcPr>
            <w:tcW w:w="500" w:type="dxa"/>
          </w:tcPr>
          <w:p>
            <w:pPr>
              <w:pStyle w:val="54"/>
              <w:spacing w:before="78"/>
              <w:ind w:left="9"/>
              <w:rPr>
                <w:color w:val="auto"/>
                <w:sz w:val="21"/>
                <w:highlight w:val="none"/>
              </w:rPr>
            </w:pPr>
            <w:r>
              <w:rPr>
                <w:color w:val="auto"/>
                <w:sz w:val="21"/>
                <w:highlight w:val="none"/>
              </w:rPr>
              <w:t xml:space="preserve"> </w:t>
            </w:r>
          </w:p>
        </w:tc>
        <w:tc>
          <w:tcPr>
            <w:tcW w:w="492" w:type="dxa"/>
          </w:tcPr>
          <w:p>
            <w:pPr>
              <w:pStyle w:val="54"/>
              <w:spacing w:before="78"/>
              <w:ind w:left="9"/>
              <w:rPr>
                <w:color w:val="auto"/>
                <w:sz w:val="21"/>
                <w:highlight w:val="none"/>
              </w:rPr>
            </w:pPr>
            <w:r>
              <w:rPr>
                <w:color w:val="auto"/>
                <w:sz w:val="21"/>
                <w:highlight w:val="none"/>
              </w:rPr>
              <w:t xml:space="preserve"> </w:t>
            </w:r>
          </w:p>
        </w:tc>
        <w:tc>
          <w:tcPr>
            <w:tcW w:w="497" w:type="dxa"/>
          </w:tcPr>
          <w:p>
            <w:pPr>
              <w:pStyle w:val="54"/>
              <w:spacing w:before="78"/>
              <w:ind w:left="9"/>
              <w:rPr>
                <w:color w:val="auto"/>
                <w:sz w:val="21"/>
                <w:highlight w:val="none"/>
              </w:rPr>
            </w:pPr>
            <w:r>
              <w:rPr>
                <w:color w:val="auto"/>
                <w:sz w:val="21"/>
                <w:highlight w:val="none"/>
              </w:rPr>
              <w:t xml:space="preserve"> </w:t>
            </w:r>
          </w:p>
        </w:tc>
        <w:tc>
          <w:tcPr>
            <w:tcW w:w="497" w:type="dxa"/>
          </w:tcPr>
          <w:p>
            <w:pPr>
              <w:pStyle w:val="54"/>
              <w:spacing w:before="78"/>
              <w:ind w:left="11"/>
              <w:rPr>
                <w:color w:val="auto"/>
                <w:sz w:val="21"/>
                <w:highlight w:val="none"/>
              </w:rPr>
            </w:pPr>
            <w:r>
              <w:rPr>
                <w:color w:val="auto"/>
                <w:sz w:val="21"/>
                <w:highlight w:val="none"/>
              </w:rPr>
              <w:t xml:space="preserve"> </w:t>
            </w:r>
          </w:p>
        </w:tc>
        <w:tc>
          <w:tcPr>
            <w:tcW w:w="492" w:type="dxa"/>
          </w:tcPr>
          <w:p>
            <w:pPr>
              <w:pStyle w:val="54"/>
              <w:spacing w:before="78"/>
              <w:ind w:left="8"/>
              <w:rPr>
                <w:color w:val="auto"/>
                <w:sz w:val="21"/>
                <w:highlight w:val="none"/>
              </w:rPr>
            </w:pPr>
            <w:r>
              <w:rPr>
                <w:color w:val="auto"/>
                <w:sz w:val="21"/>
                <w:highlight w:val="none"/>
              </w:rPr>
              <w:t xml:space="preserve"> </w:t>
            </w:r>
          </w:p>
        </w:tc>
        <w:tc>
          <w:tcPr>
            <w:tcW w:w="497" w:type="dxa"/>
          </w:tcPr>
          <w:p>
            <w:pPr>
              <w:pStyle w:val="54"/>
              <w:spacing w:before="78"/>
              <w:ind w:left="8"/>
              <w:rPr>
                <w:color w:val="auto"/>
                <w:sz w:val="21"/>
                <w:highlight w:val="none"/>
              </w:rPr>
            </w:pPr>
            <w:r>
              <w:rPr>
                <w:color w:val="auto"/>
                <w:sz w:val="21"/>
                <w:highlight w:val="none"/>
              </w:rPr>
              <w:t xml:space="preserve"> </w:t>
            </w:r>
          </w:p>
        </w:tc>
        <w:tc>
          <w:tcPr>
            <w:tcW w:w="494" w:type="dxa"/>
          </w:tcPr>
          <w:p>
            <w:pPr>
              <w:pStyle w:val="54"/>
              <w:spacing w:before="78"/>
              <w:ind w:left="9"/>
              <w:rPr>
                <w:color w:val="auto"/>
                <w:sz w:val="21"/>
                <w:highlight w:val="none"/>
              </w:rPr>
            </w:pPr>
            <w:r>
              <w:rPr>
                <w:color w:val="auto"/>
                <w:sz w:val="21"/>
                <w:highlight w:val="none"/>
              </w:rPr>
              <w:t xml:space="preserve"> </w:t>
            </w:r>
          </w:p>
        </w:tc>
        <w:tc>
          <w:tcPr>
            <w:tcW w:w="499" w:type="dxa"/>
          </w:tcPr>
          <w:p>
            <w:pPr>
              <w:pStyle w:val="54"/>
              <w:spacing w:before="78"/>
              <w:ind w:left="11"/>
              <w:rPr>
                <w:color w:val="auto"/>
                <w:sz w:val="21"/>
                <w:highlight w:val="none"/>
              </w:rPr>
            </w:pPr>
            <w:r>
              <w:rPr>
                <w:color w:val="auto"/>
                <w:sz w:val="21"/>
                <w:highlight w:val="none"/>
              </w:rPr>
              <w:t xml:space="preserve"> </w:t>
            </w:r>
          </w:p>
        </w:tc>
        <w:tc>
          <w:tcPr>
            <w:tcW w:w="497" w:type="dxa"/>
          </w:tcPr>
          <w:p>
            <w:pPr>
              <w:pStyle w:val="54"/>
              <w:spacing w:before="78"/>
              <w:ind w:left="9"/>
              <w:rPr>
                <w:color w:val="auto"/>
                <w:sz w:val="21"/>
                <w:highlight w:val="none"/>
              </w:rPr>
            </w:pPr>
            <w:r>
              <w:rPr>
                <w:color w:val="auto"/>
                <w:sz w:val="21"/>
                <w:highlight w:val="none"/>
              </w:rPr>
              <w:t xml:space="preserve"> </w:t>
            </w:r>
          </w:p>
        </w:tc>
        <w:tc>
          <w:tcPr>
            <w:tcW w:w="509" w:type="dxa"/>
          </w:tcPr>
          <w:p>
            <w:pPr>
              <w:pStyle w:val="54"/>
              <w:spacing w:before="78"/>
              <w:ind w:left="9"/>
              <w:rPr>
                <w:color w:val="auto"/>
                <w:sz w:val="21"/>
                <w:highlight w:val="none"/>
              </w:rPr>
            </w:pPr>
            <w:r>
              <w:rPr>
                <w:color w:val="auto"/>
                <w:sz w:val="21"/>
                <w:highlight w:val="none"/>
              </w:rPr>
              <w:t xml:space="preserve"> </w:t>
            </w:r>
          </w:p>
        </w:tc>
      </w:tr>
    </w:tbl>
    <w:p>
      <w:pPr>
        <w:rPr>
          <w:color w:val="auto"/>
          <w:sz w:val="21"/>
          <w:highlight w:val="none"/>
        </w:rPr>
        <w:sectPr>
          <w:pgSz w:w="11900" w:h="16850"/>
          <w:pgMar w:top="1400" w:right="760" w:bottom="1320" w:left="760" w:header="1158" w:footer="1136" w:gutter="0"/>
          <w:cols w:space="720" w:num="1"/>
        </w:sectPr>
      </w:pPr>
    </w:p>
    <w:p>
      <w:pPr>
        <w:spacing w:before="71"/>
        <w:ind w:left="658"/>
        <w:rPr>
          <w:b/>
          <w:color w:val="auto"/>
          <w:sz w:val="21"/>
          <w:highlight w:val="none"/>
        </w:rPr>
      </w:pPr>
      <w:r>
        <w:rPr>
          <w:b/>
          <w:color w:val="auto"/>
          <w:sz w:val="21"/>
          <w:highlight w:val="none"/>
        </w:rPr>
        <w:t>附表二：施工总平面图</w:t>
      </w:r>
    </w:p>
    <w:p>
      <w:pPr>
        <w:pStyle w:val="2"/>
        <w:spacing w:line="427" w:lineRule="auto"/>
        <w:ind w:left="658" w:right="652" w:firstLine="422"/>
        <w:rPr>
          <w:color w:val="auto"/>
          <w:highlight w:val="none"/>
        </w:rPr>
      </w:pPr>
    </w:p>
    <w:p>
      <w:pPr>
        <w:pStyle w:val="2"/>
        <w:spacing w:line="427" w:lineRule="auto"/>
        <w:ind w:left="658" w:right="652" w:firstLine="422"/>
        <w:rPr>
          <w:color w:val="auto"/>
          <w:highlight w:val="none"/>
        </w:rPr>
      </w:pPr>
      <w:r>
        <w:rPr>
          <w:color w:val="auto"/>
          <w:highlight w:val="none"/>
        </w:rPr>
        <w:t>供应商应递交一份施工总平面图，绘出现场临时设施布置图表并附文字说明，说明机械停放、料场、加工场、现场办公、设备及仓储、供电、供水、生活、消防等设施的情况和布置。</w:t>
      </w:r>
    </w:p>
    <w:p>
      <w:pPr>
        <w:spacing w:line="427" w:lineRule="auto"/>
        <w:rPr>
          <w:color w:val="auto"/>
          <w:highlight w:val="none"/>
        </w:rPr>
        <w:sectPr>
          <w:pgSz w:w="11900" w:h="16850"/>
          <w:pgMar w:top="1400" w:right="760" w:bottom="1320" w:left="760" w:header="1158" w:footer="1136" w:gutter="0"/>
          <w:cols w:space="720" w:num="1"/>
        </w:sectPr>
      </w:pPr>
    </w:p>
    <w:p>
      <w:pPr>
        <w:pStyle w:val="2"/>
        <w:spacing w:before="5"/>
        <w:rPr>
          <w:color w:val="auto"/>
          <w:sz w:val="13"/>
          <w:highlight w:val="none"/>
        </w:rPr>
      </w:pPr>
    </w:p>
    <w:p>
      <w:pPr>
        <w:spacing w:before="72"/>
        <w:ind w:left="658"/>
        <w:rPr>
          <w:b/>
          <w:color w:val="auto"/>
          <w:sz w:val="21"/>
          <w:highlight w:val="none"/>
        </w:rPr>
      </w:pPr>
      <w:r>
        <w:rPr>
          <w:b/>
          <w:color w:val="auto"/>
          <w:sz w:val="21"/>
          <w:highlight w:val="none"/>
        </w:rPr>
        <w:t>附表三：劳动力计划表</w:t>
      </w:r>
    </w:p>
    <w:p>
      <w:pPr>
        <w:pStyle w:val="2"/>
        <w:spacing w:before="2" w:after="4"/>
        <w:ind w:left="6119"/>
        <w:rPr>
          <w:color w:val="auto"/>
          <w:highlight w:val="none"/>
        </w:rPr>
      </w:pPr>
      <w:r>
        <w:rPr>
          <w:color w:val="auto"/>
          <w:highlight w:val="none"/>
        </w:rPr>
        <w:t>单 位 ： 人</w:t>
      </w:r>
    </w:p>
    <w:tbl>
      <w:tblPr>
        <w:tblStyle w:val="52"/>
        <w:tblW w:w="0" w:type="auto"/>
        <w:tblInd w:w="654"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69"/>
        <w:gridCol w:w="1362"/>
        <w:gridCol w:w="1112"/>
        <w:gridCol w:w="1110"/>
        <w:gridCol w:w="1117"/>
        <w:gridCol w:w="1113"/>
        <w:gridCol w:w="1115"/>
        <w:gridCol w:w="112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1" w:hRule="atLeast"/>
        </w:trPr>
        <w:tc>
          <w:tcPr>
            <w:tcW w:w="869" w:type="dxa"/>
          </w:tcPr>
          <w:p>
            <w:pPr>
              <w:pStyle w:val="54"/>
              <w:spacing w:before="6"/>
              <w:rPr>
                <w:color w:val="auto"/>
                <w:sz w:val="17"/>
                <w:highlight w:val="none"/>
              </w:rPr>
            </w:pPr>
          </w:p>
          <w:p>
            <w:pPr>
              <w:pStyle w:val="54"/>
              <w:ind w:left="9"/>
              <w:rPr>
                <w:color w:val="auto"/>
                <w:sz w:val="21"/>
                <w:highlight w:val="none"/>
              </w:rPr>
            </w:pPr>
            <w:r>
              <w:rPr>
                <w:color w:val="auto"/>
                <w:sz w:val="21"/>
                <w:highlight w:val="none"/>
              </w:rPr>
              <w:t xml:space="preserve">工种 </w:t>
            </w:r>
          </w:p>
        </w:tc>
        <w:tc>
          <w:tcPr>
            <w:tcW w:w="8049" w:type="dxa"/>
            <w:gridSpan w:val="7"/>
          </w:tcPr>
          <w:p>
            <w:pPr>
              <w:pStyle w:val="54"/>
              <w:spacing w:before="6"/>
              <w:rPr>
                <w:color w:val="auto"/>
                <w:sz w:val="17"/>
                <w:highlight w:val="none"/>
              </w:rPr>
            </w:pPr>
          </w:p>
          <w:p>
            <w:pPr>
              <w:pStyle w:val="54"/>
              <w:ind w:left="6"/>
              <w:rPr>
                <w:color w:val="auto"/>
                <w:sz w:val="21"/>
                <w:highlight w:val="none"/>
              </w:rPr>
            </w:pPr>
            <w:r>
              <w:rPr>
                <w:color w:val="auto"/>
                <w:sz w:val="21"/>
                <w:highlight w:val="none"/>
              </w:rPr>
              <w:t xml:space="preserve">按工程施工阶段投入劳动力情况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4" w:hRule="atLeast"/>
        </w:trPr>
        <w:tc>
          <w:tcPr>
            <w:tcW w:w="869" w:type="dxa"/>
          </w:tcPr>
          <w:p>
            <w:pPr>
              <w:pStyle w:val="54"/>
              <w:spacing w:before="142"/>
              <w:ind w:left="9"/>
              <w:rPr>
                <w:color w:val="auto"/>
                <w:sz w:val="21"/>
                <w:highlight w:val="none"/>
              </w:rPr>
            </w:pPr>
            <w:r>
              <w:rPr>
                <w:color w:val="auto"/>
                <w:sz w:val="21"/>
                <w:highlight w:val="none"/>
              </w:rPr>
              <w:t xml:space="preserve"> </w:t>
            </w:r>
          </w:p>
        </w:tc>
        <w:tc>
          <w:tcPr>
            <w:tcW w:w="1362" w:type="dxa"/>
          </w:tcPr>
          <w:p>
            <w:pPr>
              <w:pStyle w:val="54"/>
              <w:spacing w:before="142"/>
              <w:ind w:left="6"/>
              <w:rPr>
                <w:color w:val="auto"/>
                <w:sz w:val="21"/>
                <w:highlight w:val="none"/>
              </w:rPr>
            </w:pPr>
            <w:r>
              <w:rPr>
                <w:color w:val="auto"/>
                <w:sz w:val="21"/>
                <w:highlight w:val="none"/>
              </w:rPr>
              <w:t xml:space="preserve"> </w:t>
            </w:r>
          </w:p>
        </w:tc>
        <w:tc>
          <w:tcPr>
            <w:tcW w:w="1112" w:type="dxa"/>
          </w:tcPr>
          <w:p>
            <w:pPr>
              <w:pStyle w:val="54"/>
              <w:spacing w:before="142"/>
              <w:ind w:left="8"/>
              <w:rPr>
                <w:color w:val="auto"/>
                <w:sz w:val="21"/>
                <w:highlight w:val="none"/>
              </w:rPr>
            </w:pPr>
            <w:r>
              <w:rPr>
                <w:color w:val="auto"/>
                <w:sz w:val="21"/>
                <w:highlight w:val="none"/>
              </w:rPr>
              <w:t xml:space="preserve"> </w:t>
            </w:r>
          </w:p>
        </w:tc>
        <w:tc>
          <w:tcPr>
            <w:tcW w:w="1110" w:type="dxa"/>
          </w:tcPr>
          <w:p>
            <w:pPr>
              <w:pStyle w:val="54"/>
              <w:spacing w:before="142"/>
              <w:ind w:left="7"/>
              <w:rPr>
                <w:color w:val="auto"/>
                <w:sz w:val="21"/>
                <w:highlight w:val="none"/>
              </w:rPr>
            </w:pPr>
            <w:r>
              <w:rPr>
                <w:color w:val="auto"/>
                <w:sz w:val="21"/>
                <w:highlight w:val="none"/>
              </w:rPr>
              <w:t xml:space="preserve"> </w:t>
            </w:r>
          </w:p>
        </w:tc>
        <w:tc>
          <w:tcPr>
            <w:tcW w:w="1117" w:type="dxa"/>
          </w:tcPr>
          <w:p>
            <w:pPr>
              <w:pStyle w:val="54"/>
              <w:spacing w:before="142"/>
              <w:ind w:left="6"/>
              <w:rPr>
                <w:color w:val="auto"/>
                <w:sz w:val="21"/>
                <w:highlight w:val="none"/>
              </w:rPr>
            </w:pPr>
            <w:r>
              <w:rPr>
                <w:color w:val="auto"/>
                <w:sz w:val="21"/>
                <w:highlight w:val="none"/>
              </w:rPr>
              <w:t xml:space="preserve"> </w:t>
            </w:r>
          </w:p>
        </w:tc>
        <w:tc>
          <w:tcPr>
            <w:tcW w:w="1113" w:type="dxa"/>
          </w:tcPr>
          <w:p>
            <w:pPr>
              <w:pStyle w:val="54"/>
              <w:spacing w:before="142"/>
              <w:ind w:left="5"/>
              <w:rPr>
                <w:color w:val="auto"/>
                <w:sz w:val="21"/>
                <w:highlight w:val="none"/>
              </w:rPr>
            </w:pPr>
            <w:r>
              <w:rPr>
                <w:color w:val="auto"/>
                <w:sz w:val="21"/>
                <w:highlight w:val="none"/>
              </w:rPr>
              <w:t xml:space="preserve"> </w:t>
            </w:r>
          </w:p>
        </w:tc>
        <w:tc>
          <w:tcPr>
            <w:tcW w:w="1115" w:type="dxa"/>
          </w:tcPr>
          <w:p>
            <w:pPr>
              <w:pStyle w:val="54"/>
              <w:spacing w:before="142"/>
              <w:ind w:left="2"/>
              <w:rPr>
                <w:color w:val="auto"/>
                <w:sz w:val="21"/>
                <w:highlight w:val="none"/>
              </w:rPr>
            </w:pPr>
            <w:r>
              <w:rPr>
                <w:color w:val="auto"/>
                <w:sz w:val="21"/>
                <w:highlight w:val="none"/>
              </w:rPr>
              <w:t xml:space="preserve"> </w:t>
            </w:r>
          </w:p>
        </w:tc>
        <w:tc>
          <w:tcPr>
            <w:tcW w:w="1120" w:type="dxa"/>
          </w:tcPr>
          <w:p>
            <w:pPr>
              <w:pStyle w:val="54"/>
              <w:spacing w:before="142"/>
              <w:ind w:left="3"/>
              <w:rPr>
                <w:color w:val="auto"/>
                <w:sz w:val="21"/>
                <w:highlight w:val="none"/>
              </w:rPr>
            </w:pPr>
            <w:r>
              <w:rPr>
                <w:color w:val="auto"/>
                <w:sz w:val="21"/>
                <w:highlight w:val="non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1" w:hRule="atLeast"/>
        </w:trPr>
        <w:tc>
          <w:tcPr>
            <w:tcW w:w="869" w:type="dxa"/>
          </w:tcPr>
          <w:p>
            <w:pPr>
              <w:pStyle w:val="54"/>
              <w:spacing w:before="145"/>
              <w:ind w:left="9"/>
              <w:rPr>
                <w:color w:val="auto"/>
                <w:sz w:val="21"/>
                <w:highlight w:val="none"/>
              </w:rPr>
            </w:pPr>
            <w:r>
              <w:rPr>
                <w:color w:val="auto"/>
                <w:sz w:val="21"/>
                <w:highlight w:val="none"/>
              </w:rPr>
              <w:t xml:space="preserve"> </w:t>
            </w:r>
          </w:p>
        </w:tc>
        <w:tc>
          <w:tcPr>
            <w:tcW w:w="1362" w:type="dxa"/>
          </w:tcPr>
          <w:p>
            <w:pPr>
              <w:pStyle w:val="54"/>
              <w:spacing w:before="145"/>
              <w:ind w:left="6"/>
              <w:rPr>
                <w:color w:val="auto"/>
                <w:sz w:val="21"/>
                <w:highlight w:val="none"/>
              </w:rPr>
            </w:pPr>
            <w:r>
              <w:rPr>
                <w:color w:val="auto"/>
                <w:sz w:val="21"/>
                <w:highlight w:val="none"/>
              </w:rPr>
              <w:t xml:space="preserve"> </w:t>
            </w:r>
          </w:p>
        </w:tc>
        <w:tc>
          <w:tcPr>
            <w:tcW w:w="1112" w:type="dxa"/>
          </w:tcPr>
          <w:p>
            <w:pPr>
              <w:pStyle w:val="54"/>
              <w:spacing w:before="145"/>
              <w:ind w:left="8"/>
              <w:rPr>
                <w:color w:val="auto"/>
                <w:sz w:val="21"/>
                <w:highlight w:val="none"/>
              </w:rPr>
            </w:pPr>
            <w:r>
              <w:rPr>
                <w:color w:val="auto"/>
                <w:sz w:val="21"/>
                <w:highlight w:val="none"/>
              </w:rPr>
              <w:t xml:space="preserve"> </w:t>
            </w:r>
          </w:p>
        </w:tc>
        <w:tc>
          <w:tcPr>
            <w:tcW w:w="1110" w:type="dxa"/>
          </w:tcPr>
          <w:p>
            <w:pPr>
              <w:pStyle w:val="54"/>
              <w:spacing w:before="145"/>
              <w:ind w:left="7"/>
              <w:rPr>
                <w:color w:val="auto"/>
                <w:sz w:val="21"/>
                <w:highlight w:val="none"/>
              </w:rPr>
            </w:pPr>
            <w:r>
              <w:rPr>
                <w:color w:val="auto"/>
                <w:sz w:val="21"/>
                <w:highlight w:val="none"/>
              </w:rPr>
              <w:t xml:space="preserve"> </w:t>
            </w:r>
          </w:p>
        </w:tc>
        <w:tc>
          <w:tcPr>
            <w:tcW w:w="1117" w:type="dxa"/>
          </w:tcPr>
          <w:p>
            <w:pPr>
              <w:pStyle w:val="54"/>
              <w:spacing w:before="145"/>
              <w:ind w:left="6"/>
              <w:rPr>
                <w:color w:val="auto"/>
                <w:sz w:val="21"/>
                <w:highlight w:val="none"/>
              </w:rPr>
            </w:pPr>
            <w:r>
              <w:rPr>
                <w:color w:val="auto"/>
                <w:sz w:val="21"/>
                <w:highlight w:val="none"/>
              </w:rPr>
              <w:t xml:space="preserve"> </w:t>
            </w:r>
          </w:p>
        </w:tc>
        <w:tc>
          <w:tcPr>
            <w:tcW w:w="1113" w:type="dxa"/>
          </w:tcPr>
          <w:p>
            <w:pPr>
              <w:pStyle w:val="54"/>
              <w:spacing w:before="145"/>
              <w:ind w:left="5"/>
              <w:rPr>
                <w:color w:val="auto"/>
                <w:sz w:val="21"/>
                <w:highlight w:val="none"/>
              </w:rPr>
            </w:pPr>
            <w:r>
              <w:rPr>
                <w:color w:val="auto"/>
                <w:sz w:val="21"/>
                <w:highlight w:val="none"/>
              </w:rPr>
              <w:t xml:space="preserve"> </w:t>
            </w:r>
          </w:p>
        </w:tc>
        <w:tc>
          <w:tcPr>
            <w:tcW w:w="1115" w:type="dxa"/>
          </w:tcPr>
          <w:p>
            <w:pPr>
              <w:pStyle w:val="54"/>
              <w:spacing w:before="145"/>
              <w:ind w:left="2"/>
              <w:rPr>
                <w:color w:val="auto"/>
                <w:sz w:val="21"/>
                <w:highlight w:val="none"/>
              </w:rPr>
            </w:pPr>
            <w:r>
              <w:rPr>
                <w:color w:val="auto"/>
                <w:sz w:val="21"/>
                <w:highlight w:val="none"/>
              </w:rPr>
              <w:t xml:space="preserve"> </w:t>
            </w:r>
          </w:p>
        </w:tc>
        <w:tc>
          <w:tcPr>
            <w:tcW w:w="1120" w:type="dxa"/>
          </w:tcPr>
          <w:p>
            <w:pPr>
              <w:pStyle w:val="54"/>
              <w:spacing w:before="145"/>
              <w:ind w:left="3"/>
              <w:rPr>
                <w:color w:val="auto"/>
                <w:sz w:val="21"/>
                <w:highlight w:val="none"/>
              </w:rPr>
            </w:pPr>
            <w:r>
              <w:rPr>
                <w:color w:val="auto"/>
                <w:sz w:val="21"/>
                <w:highlight w:val="non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1" w:hRule="atLeast"/>
        </w:trPr>
        <w:tc>
          <w:tcPr>
            <w:tcW w:w="869" w:type="dxa"/>
          </w:tcPr>
          <w:p>
            <w:pPr>
              <w:pStyle w:val="54"/>
              <w:spacing w:before="142"/>
              <w:ind w:left="9"/>
              <w:rPr>
                <w:color w:val="auto"/>
                <w:sz w:val="21"/>
                <w:highlight w:val="none"/>
              </w:rPr>
            </w:pPr>
            <w:r>
              <w:rPr>
                <w:color w:val="auto"/>
                <w:sz w:val="21"/>
                <w:highlight w:val="none"/>
              </w:rPr>
              <w:t xml:space="preserve"> </w:t>
            </w:r>
          </w:p>
        </w:tc>
        <w:tc>
          <w:tcPr>
            <w:tcW w:w="1362" w:type="dxa"/>
          </w:tcPr>
          <w:p>
            <w:pPr>
              <w:pStyle w:val="54"/>
              <w:spacing w:before="142"/>
              <w:ind w:left="6"/>
              <w:rPr>
                <w:color w:val="auto"/>
                <w:sz w:val="21"/>
                <w:highlight w:val="none"/>
              </w:rPr>
            </w:pPr>
            <w:r>
              <w:rPr>
                <w:color w:val="auto"/>
                <w:sz w:val="21"/>
                <w:highlight w:val="none"/>
              </w:rPr>
              <w:t xml:space="preserve"> </w:t>
            </w:r>
          </w:p>
        </w:tc>
        <w:tc>
          <w:tcPr>
            <w:tcW w:w="1112" w:type="dxa"/>
          </w:tcPr>
          <w:p>
            <w:pPr>
              <w:pStyle w:val="54"/>
              <w:spacing w:before="142"/>
              <w:ind w:left="8"/>
              <w:rPr>
                <w:color w:val="auto"/>
                <w:sz w:val="21"/>
                <w:highlight w:val="none"/>
              </w:rPr>
            </w:pPr>
            <w:r>
              <w:rPr>
                <w:color w:val="auto"/>
                <w:sz w:val="21"/>
                <w:highlight w:val="none"/>
              </w:rPr>
              <w:t xml:space="preserve"> </w:t>
            </w:r>
          </w:p>
        </w:tc>
        <w:tc>
          <w:tcPr>
            <w:tcW w:w="1110" w:type="dxa"/>
          </w:tcPr>
          <w:p>
            <w:pPr>
              <w:pStyle w:val="54"/>
              <w:spacing w:before="142"/>
              <w:ind w:left="7"/>
              <w:rPr>
                <w:color w:val="auto"/>
                <w:sz w:val="21"/>
                <w:highlight w:val="none"/>
              </w:rPr>
            </w:pPr>
            <w:r>
              <w:rPr>
                <w:color w:val="auto"/>
                <w:sz w:val="21"/>
                <w:highlight w:val="none"/>
              </w:rPr>
              <w:t xml:space="preserve"> </w:t>
            </w:r>
          </w:p>
        </w:tc>
        <w:tc>
          <w:tcPr>
            <w:tcW w:w="1117" w:type="dxa"/>
          </w:tcPr>
          <w:p>
            <w:pPr>
              <w:pStyle w:val="54"/>
              <w:spacing w:before="142"/>
              <w:ind w:left="6"/>
              <w:rPr>
                <w:color w:val="auto"/>
                <w:sz w:val="21"/>
                <w:highlight w:val="none"/>
              </w:rPr>
            </w:pPr>
            <w:r>
              <w:rPr>
                <w:color w:val="auto"/>
                <w:sz w:val="21"/>
                <w:highlight w:val="none"/>
              </w:rPr>
              <w:t xml:space="preserve"> </w:t>
            </w:r>
          </w:p>
        </w:tc>
        <w:tc>
          <w:tcPr>
            <w:tcW w:w="1113" w:type="dxa"/>
          </w:tcPr>
          <w:p>
            <w:pPr>
              <w:pStyle w:val="54"/>
              <w:spacing w:before="142"/>
              <w:ind w:left="5"/>
              <w:rPr>
                <w:color w:val="auto"/>
                <w:sz w:val="21"/>
                <w:highlight w:val="none"/>
              </w:rPr>
            </w:pPr>
            <w:r>
              <w:rPr>
                <w:color w:val="auto"/>
                <w:sz w:val="21"/>
                <w:highlight w:val="none"/>
              </w:rPr>
              <w:t xml:space="preserve"> </w:t>
            </w:r>
          </w:p>
        </w:tc>
        <w:tc>
          <w:tcPr>
            <w:tcW w:w="1115" w:type="dxa"/>
          </w:tcPr>
          <w:p>
            <w:pPr>
              <w:pStyle w:val="54"/>
              <w:spacing w:before="142"/>
              <w:ind w:left="2"/>
              <w:rPr>
                <w:color w:val="auto"/>
                <w:sz w:val="21"/>
                <w:highlight w:val="none"/>
              </w:rPr>
            </w:pPr>
            <w:r>
              <w:rPr>
                <w:color w:val="auto"/>
                <w:sz w:val="21"/>
                <w:highlight w:val="none"/>
              </w:rPr>
              <w:t xml:space="preserve"> </w:t>
            </w:r>
          </w:p>
        </w:tc>
        <w:tc>
          <w:tcPr>
            <w:tcW w:w="1120" w:type="dxa"/>
          </w:tcPr>
          <w:p>
            <w:pPr>
              <w:pStyle w:val="54"/>
              <w:spacing w:before="142"/>
              <w:ind w:left="3"/>
              <w:rPr>
                <w:color w:val="auto"/>
                <w:sz w:val="21"/>
                <w:highlight w:val="none"/>
              </w:rPr>
            </w:pPr>
            <w:r>
              <w:rPr>
                <w:color w:val="auto"/>
                <w:sz w:val="21"/>
                <w:highlight w:val="non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1" w:hRule="atLeast"/>
        </w:trPr>
        <w:tc>
          <w:tcPr>
            <w:tcW w:w="869" w:type="dxa"/>
          </w:tcPr>
          <w:p>
            <w:pPr>
              <w:pStyle w:val="54"/>
              <w:spacing w:before="142"/>
              <w:ind w:left="9"/>
              <w:rPr>
                <w:color w:val="auto"/>
                <w:sz w:val="21"/>
                <w:highlight w:val="none"/>
              </w:rPr>
            </w:pPr>
            <w:r>
              <w:rPr>
                <w:color w:val="auto"/>
                <w:sz w:val="21"/>
                <w:highlight w:val="none"/>
              </w:rPr>
              <w:t xml:space="preserve"> </w:t>
            </w:r>
          </w:p>
        </w:tc>
        <w:tc>
          <w:tcPr>
            <w:tcW w:w="1362" w:type="dxa"/>
          </w:tcPr>
          <w:p>
            <w:pPr>
              <w:pStyle w:val="54"/>
              <w:spacing w:before="142"/>
              <w:ind w:left="6"/>
              <w:rPr>
                <w:color w:val="auto"/>
                <w:sz w:val="21"/>
                <w:highlight w:val="none"/>
              </w:rPr>
            </w:pPr>
            <w:r>
              <w:rPr>
                <w:color w:val="auto"/>
                <w:sz w:val="21"/>
                <w:highlight w:val="none"/>
              </w:rPr>
              <w:t xml:space="preserve"> </w:t>
            </w:r>
          </w:p>
        </w:tc>
        <w:tc>
          <w:tcPr>
            <w:tcW w:w="1112" w:type="dxa"/>
          </w:tcPr>
          <w:p>
            <w:pPr>
              <w:pStyle w:val="54"/>
              <w:spacing w:before="142"/>
              <w:ind w:left="8"/>
              <w:rPr>
                <w:color w:val="auto"/>
                <w:sz w:val="21"/>
                <w:highlight w:val="none"/>
              </w:rPr>
            </w:pPr>
            <w:r>
              <w:rPr>
                <w:color w:val="auto"/>
                <w:sz w:val="21"/>
                <w:highlight w:val="none"/>
              </w:rPr>
              <w:t xml:space="preserve"> </w:t>
            </w:r>
          </w:p>
        </w:tc>
        <w:tc>
          <w:tcPr>
            <w:tcW w:w="1110" w:type="dxa"/>
          </w:tcPr>
          <w:p>
            <w:pPr>
              <w:pStyle w:val="54"/>
              <w:spacing w:before="142"/>
              <w:ind w:left="7"/>
              <w:rPr>
                <w:color w:val="auto"/>
                <w:sz w:val="21"/>
                <w:highlight w:val="none"/>
              </w:rPr>
            </w:pPr>
            <w:r>
              <w:rPr>
                <w:color w:val="auto"/>
                <w:sz w:val="21"/>
                <w:highlight w:val="none"/>
              </w:rPr>
              <w:t xml:space="preserve"> </w:t>
            </w:r>
          </w:p>
        </w:tc>
        <w:tc>
          <w:tcPr>
            <w:tcW w:w="1117" w:type="dxa"/>
          </w:tcPr>
          <w:p>
            <w:pPr>
              <w:pStyle w:val="54"/>
              <w:spacing w:before="142"/>
              <w:ind w:left="6"/>
              <w:rPr>
                <w:color w:val="auto"/>
                <w:sz w:val="21"/>
                <w:highlight w:val="none"/>
              </w:rPr>
            </w:pPr>
            <w:r>
              <w:rPr>
                <w:color w:val="auto"/>
                <w:sz w:val="21"/>
                <w:highlight w:val="none"/>
              </w:rPr>
              <w:t xml:space="preserve"> </w:t>
            </w:r>
          </w:p>
        </w:tc>
        <w:tc>
          <w:tcPr>
            <w:tcW w:w="1113" w:type="dxa"/>
          </w:tcPr>
          <w:p>
            <w:pPr>
              <w:pStyle w:val="54"/>
              <w:spacing w:before="142"/>
              <w:ind w:left="5"/>
              <w:rPr>
                <w:color w:val="auto"/>
                <w:sz w:val="21"/>
                <w:highlight w:val="none"/>
              </w:rPr>
            </w:pPr>
            <w:r>
              <w:rPr>
                <w:color w:val="auto"/>
                <w:sz w:val="21"/>
                <w:highlight w:val="none"/>
              </w:rPr>
              <w:t xml:space="preserve"> </w:t>
            </w:r>
          </w:p>
        </w:tc>
        <w:tc>
          <w:tcPr>
            <w:tcW w:w="1115" w:type="dxa"/>
          </w:tcPr>
          <w:p>
            <w:pPr>
              <w:pStyle w:val="54"/>
              <w:spacing w:before="142"/>
              <w:ind w:left="2"/>
              <w:rPr>
                <w:color w:val="auto"/>
                <w:sz w:val="21"/>
                <w:highlight w:val="none"/>
              </w:rPr>
            </w:pPr>
            <w:r>
              <w:rPr>
                <w:color w:val="auto"/>
                <w:sz w:val="21"/>
                <w:highlight w:val="none"/>
              </w:rPr>
              <w:t xml:space="preserve"> </w:t>
            </w:r>
          </w:p>
        </w:tc>
        <w:tc>
          <w:tcPr>
            <w:tcW w:w="1120" w:type="dxa"/>
          </w:tcPr>
          <w:p>
            <w:pPr>
              <w:pStyle w:val="54"/>
              <w:spacing w:before="142"/>
              <w:ind w:left="3"/>
              <w:rPr>
                <w:color w:val="auto"/>
                <w:sz w:val="21"/>
                <w:highlight w:val="none"/>
              </w:rPr>
            </w:pPr>
            <w:r>
              <w:rPr>
                <w:color w:val="auto"/>
                <w:sz w:val="21"/>
                <w:highlight w:val="non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7" w:hRule="atLeast"/>
        </w:trPr>
        <w:tc>
          <w:tcPr>
            <w:tcW w:w="869" w:type="dxa"/>
          </w:tcPr>
          <w:p>
            <w:pPr>
              <w:pStyle w:val="54"/>
              <w:spacing w:before="143"/>
              <w:ind w:left="9"/>
              <w:rPr>
                <w:color w:val="auto"/>
                <w:sz w:val="21"/>
                <w:highlight w:val="none"/>
              </w:rPr>
            </w:pPr>
            <w:r>
              <w:rPr>
                <w:color w:val="auto"/>
                <w:sz w:val="21"/>
                <w:highlight w:val="none"/>
              </w:rPr>
              <w:t xml:space="preserve"> </w:t>
            </w:r>
          </w:p>
        </w:tc>
        <w:tc>
          <w:tcPr>
            <w:tcW w:w="1362" w:type="dxa"/>
          </w:tcPr>
          <w:p>
            <w:pPr>
              <w:pStyle w:val="54"/>
              <w:spacing w:before="143"/>
              <w:ind w:left="6"/>
              <w:rPr>
                <w:color w:val="auto"/>
                <w:sz w:val="21"/>
                <w:highlight w:val="none"/>
              </w:rPr>
            </w:pPr>
            <w:r>
              <w:rPr>
                <w:color w:val="auto"/>
                <w:sz w:val="21"/>
                <w:highlight w:val="none"/>
              </w:rPr>
              <w:t xml:space="preserve"> </w:t>
            </w:r>
          </w:p>
        </w:tc>
        <w:tc>
          <w:tcPr>
            <w:tcW w:w="1112" w:type="dxa"/>
          </w:tcPr>
          <w:p>
            <w:pPr>
              <w:pStyle w:val="54"/>
              <w:spacing w:before="143"/>
              <w:ind w:left="8"/>
              <w:rPr>
                <w:color w:val="auto"/>
                <w:sz w:val="21"/>
                <w:highlight w:val="none"/>
              </w:rPr>
            </w:pPr>
            <w:r>
              <w:rPr>
                <w:color w:val="auto"/>
                <w:sz w:val="21"/>
                <w:highlight w:val="none"/>
              </w:rPr>
              <w:t xml:space="preserve"> </w:t>
            </w:r>
          </w:p>
        </w:tc>
        <w:tc>
          <w:tcPr>
            <w:tcW w:w="1110" w:type="dxa"/>
          </w:tcPr>
          <w:p>
            <w:pPr>
              <w:pStyle w:val="54"/>
              <w:spacing w:before="143"/>
              <w:ind w:left="7"/>
              <w:rPr>
                <w:color w:val="auto"/>
                <w:sz w:val="21"/>
                <w:highlight w:val="none"/>
              </w:rPr>
            </w:pPr>
            <w:r>
              <w:rPr>
                <w:color w:val="auto"/>
                <w:sz w:val="21"/>
                <w:highlight w:val="none"/>
              </w:rPr>
              <w:t xml:space="preserve"> </w:t>
            </w:r>
          </w:p>
        </w:tc>
        <w:tc>
          <w:tcPr>
            <w:tcW w:w="1117" w:type="dxa"/>
          </w:tcPr>
          <w:p>
            <w:pPr>
              <w:pStyle w:val="54"/>
              <w:spacing w:before="143"/>
              <w:ind w:left="6"/>
              <w:rPr>
                <w:color w:val="auto"/>
                <w:sz w:val="21"/>
                <w:highlight w:val="none"/>
              </w:rPr>
            </w:pPr>
            <w:r>
              <w:rPr>
                <w:color w:val="auto"/>
                <w:sz w:val="21"/>
                <w:highlight w:val="none"/>
              </w:rPr>
              <w:t xml:space="preserve"> </w:t>
            </w:r>
          </w:p>
        </w:tc>
        <w:tc>
          <w:tcPr>
            <w:tcW w:w="1113" w:type="dxa"/>
          </w:tcPr>
          <w:p>
            <w:pPr>
              <w:pStyle w:val="54"/>
              <w:spacing w:before="143"/>
              <w:ind w:left="5"/>
              <w:rPr>
                <w:color w:val="auto"/>
                <w:sz w:val="21"/>
                <w:highlight w:val="none"/>
              </w:rPr>
            </w:pPr>
            <w:r>
              <w:rPr>
                <w:color w:val="auto"/>
                <w:sz w:val="21"/>
                <w:highlight w:val="none"/>
              </w:rPr>
              <w:t xml:space="preserve"> </w:t>
            </w:r>
          </w:p>
        </w:tc>
        <w:tc>
          <w:tcPr>
            <w:tcW w:w="1115" w:type="dxa"/>
          </w:tcPr>
          <w:p>
            <w:pPr>
              <w:pStyle w:val="54"/>
              <w:spacing w:before="143"/>
              <w:ind w:left="2"/>
              <w:rPr>
                <w:color w:val="auto"/>
                <w:sz w:val="21"/>
                <w:highlight w:val="none"/>
              </w:rPr>
            </w:pPr>
            <w:r>
              <w:rPr>
                <w:color w:val="auto"/>
                <w:sz w:val="21"/>
                <w:highlight w:val="none"/>
              </w:rPr>
              <w:t xml:space="preserve"> </w:t>
            </w:r>
          </w:p>
        </w:tc>
        <w:tc>
          <w:tcPr>
            <w:tcW w:w="1120" w:type="dxa"/>
          </w:tcPr>
          <w:p>
            <w:pPr>
              <w:pStyle w:val="54"/>
              <w:spacing w:before="143"/>
              <w:ind w:left="3"/>
              <w:rPr>
                <w:color w:val="auto"/>
                <w:sz w:val="21"/>
                <w:highlight w:val="none"/>
              </w:rPr>
            </w:pPr>
            <w:r>
              <w:rPr>
                <w:color w:val="auto"/>
                <w:sz w:val="21"/>
                <w:highlight w:val="non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1" w:hRule="atLeast"/>
        </w:trPr>
        <w:tc>
          <w:tcPr>
            <w:tcW w:w="869" w:type="dxa"/>
          </w:tcPr>
          <w:p>
            <w:pPr>
              <w:pStyle w:val="54"/>
              <w:spacing w:before="142"/>
              <w:ind w:left="9"/>
              <w:rPr>
                <w:color w:val="auto"/>
                <w:sz w:val="21"/>
                <w:highlight w:val="none"/>
              </w:rPr>
            </w:pPr>
            <w:r>
              <w:rPr>
                <w:color w:val="auto"/>
                <w:sz w:val="21"/>
                <w:highlight w:val="none"/>
              </w:rPr>
              <w:t xml:space="preserve"> </w:t>
            </w:r>
          </w:p>
        </w:tc>
        <w:tc>
          <w:tcPr>
            <w:tcW w:w="1362" w:type="dxa"/>
          </w:tcPr>
          <w:p>
            <w:pPr>
              <w:pStyle w:val="54"/>
              <w:spacing w:before="142"/>
              <w:ind w:left="6"/>
              <w:rPr>
                <w:color w:val="auto"/>
                <w:sz w:val="21"/>
                <w:highlight w:val="none"/>
              </w:rPr>
            </w:pPr>
            <w:r>
              <w:rPr>
                <w:color w:val="auto"/>
                <w:sz w:val="21"/>
                <w:highlight w:val="none"/>
              </w:rPr>
              <w:t xml:space="preserve"> </w:t>
            </w:r>
          </w:p>
        </w:tc>
        <w:tc>
          <w:tcPr>
            <w:tcW w:w="1112" w:type="dxa"/>
          </w:tcPr>
          <w:p>
            <w:pPr>
              <w:pStyle w:val="54"/>
              <w:spacing w:before="142"/>
              <w:ind w:left="8"/>
              <w:rPr>
                <w:color w:val="auto"/>
                <w:sz w:val="21"/>
                <w:highlight w:val="none"/>
              </w:rPr>
            </w:pPr>
            <w:r>
              <w:rPr>
                <w:color w:val="auto"/>
                <w:sz w:val="21"/>
                <w:highlight w:val="none"/>
              </w:rPr>
              <w:t xml:space="preserve"> </w:t>
            </w:r>
          </w:p>
        </w:tc>
        <w:tc>
          <w:tcPr>
            <w:tcW w:w="1110" w:type="dxa"/>
          </w:tcPr>
          <w:p>
            <w:pPr>
              <w:pStyle w:val="54"/>
              <w:spacing w:before="142"/>
              <w:ind w:left="7"/>
              <w:rPr>
                <w:color w:val="auto"/>
                <w:sz w:val="21"/>
                <w:highlight w:val="none"/>
              </w:rPr>
            </w:pPr>
            <w:r>
              <w:rPr>
                <w:color w:val="auto"/>
                <w:sz w:val="21"/>
                <w:highlight w:val="none"/>
              </w:rPr>
              <w:t xml:space="preserve"> </w:t>
            </w:r>
          </w:p>
        </w:tc>
        <w:tc>
          <w:tcPr>
            <w:tcW w:w="1117" w:type="dxa"/>
          </w:tcPr>
          <w:p>
            <w:pPr>
              <w:pStyle w:val="54"/>
              <w:spacing w:before="142"/>
              <w:ind w:left="6"/>
              <w:rPr>
                <w:color w:val="auto"/>
                <w:sz w:val="21"/>
                <w:highlight w:val="none"/>
              </w:rPr>
            </w:pPr>
            <w:r>
              <w:rPr>
                <w:color w:val="auto"/>
                <w:sz w:val="21"/>
                <w:highlight w:val="none"/>
              </w:rPr>
              <w:t xml:space="preserve"> </w:t>
            </w:r>
          </w:p>
        </w:tc>
        <w:tc>
          <w:tcPr>
            <w:tcW w:w="1113" w:type="dxa"/>
          </w:tcPr>
          <w:p>
            <w:pPr>
              <w:pStyle w:val="54"/>
              <w:spacing w:before="142"/>
              <w:ind w:left="5"/>
              <w:rPr>
                <w:color w:val="auto"/>
                <w:sz w:val="21"/>
                <w:highlight w:val="none"/>
              </w:rPr>
            </w:pPr>
            <w:r>
              <w:rPr>
                <w:color w:val="auto"/>
                <w:sz w:val="21"/>
                <w:highlight w:val="none"/>
              </w:rPr>
              <w:t xml:space="preserve"> </w:t>
            </w:r>
          </w:p>
        </w:tc>
        <w:tc>
          <w:tcPr>
            <w:tcW w:w="1115" w:type="dxa"/>
          </w:tcPr>
          <w:p>
            <w:pPr>
              <w:pStyle w:val="54"/>
              <w:spacing w:before="142"/>
              <w:ind w:left="2"/>
              <w:rPr>
                <w:color w:val="auto"/>
                <w:sz w:val="21"/>
                <w:highlight w:val="none"/>
              </w:rPr>
            </w:pPr>
            <w:r>
              <w:rPr>
                <w:color w:val="auto"/>
                <w:sz w:val="21"/>
                <w:highlight w:val="none"/>
              </w:rPr>
              <w:t xml:space="preserve"> </w:t>
            </w:r>
          </w:p>
        </w:tc>
        <w:tc>
          <w:tcPr>
            <w:tcW w:w="1120" w:type="dxa"/>
          </w:tcPr>
          <w:p>
            <w:pPr>
              <w:pStyle w:val="54"/>
              <w:spacing w:before="142"/>
              <w:ind w:left="3"/>
              <w:rPr>
                <w:color w:val="auto"/>
                <w:sz w:val="21"/>
                <w:highlight w:val="none"/>
              </w:rPr>
            </w:pPr>
            <w:r>
              <w:rPr>
                <w:color w:val="auto"/>
                <w:sz w:val="21"/>
                <w:highlight w:val="non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1" w:hRule="atLeast"/>
        </w:trPr>
        <w:tc>
          <w:tcPr>
            <w:tcW w:w="869" w:type="dxa"/>
          </w:tcPr>
          <w:p>
            <w:pPr>
              <w:pStyle w:val="54"/>
              <w:spacing w:before="142"/>
              <w:ind w:left="9"/>
              <w:rPr>
                <w:color w:val="auto"/>
                <w:sz w:val="21"/>
                <w:highlight w:val="none"/>
              </w:rPr>
            </w:pPr>
            <w:r>
              <w:rPr>
                <w:color w:val="auto"/>
                <w:sz w:val="21"/>
                <w:highlight w:val="none"/>
              </w:rPr>
              <w:t xml:space="preserve"> </w:t>
            </w:r>
          </w:p>
        </w:tc>
        <w:tc>
          <w:tcPr>
            <w:tcW w:w="1362" w:type="dxa"/>
          </w:tcPr>
          <w:p>
            <w:pPr>
              <w:pStyle w:val="54"/>
              <w:spacing w:before="142"/>
              <w:ind w:left="6"/>
              <w:rPr>
                <w:color w:val="auto"/>
                <w:sz w:val="21"/>
                <w:highlight w:val="none"/>
              </w:rPr>
            </w:pPr>
            <w:r>
              <w:rPr>
                <w:color w:val="auto"/>
                <w:sz w:val="21"/>
                <w:highlight w:val="none"/>
              </w:rPr>
              <w:t xml:space="preserve"> </w:t>
            </w:r>
          </w:p>
        </w:tc>
        <w:tc>
          <w:tcPr>
            <w:tcW w:w="1112" w:type="dxa"/>
          </w:tcPr>
          <w:p>
            <w:pPr>
              <w:pStyle w:val="54"/>
              <w:spacing w:before="142"/>
              <w:ind w:left="8"/>
              <w:rPr>
                <w:color w:val="auto"/>
                <w:sz w:val="21"/>
                <w:highlight w:val="none"/>
              </w:rPr>
            </w:pPr>
            <w:r>
              <w:rPr>
                <w:color w:val="auto"/>
                <w:sz w:val="21"/>
                <w:highlight w:val="none"/>
              </w:rPr>
              <w:t xml:space="preserve"> </w:t>
            </w:r>
          </w:p>
        </w:tc>
        <w:tc>
          <w:tcPr>
            <w:tcW w:w="1110" w:type="dxa"/>
          </w:tcPr>
          <w:p>
            <w:pPr>
              <w:pStyle w:val="54"/>
              <w:spacing w:before="142"/>
              <w:ind w:left="7"/>
              <w:rPr>
                <w:color w:val="auto"/>
                <w:sz w:val="21"/>
                <w:highlight w:val="none"/>
              </w:rPr>
            </w:pPr>
            <w:r>
              <w:rPr>
                <w:color w:val="auto"/>
                <w:sz w:val="21"/>
                <w:highlight w:val="none"/>
              </w:rPr>
              <w:t xml:space="preserve"> </w:t>
            </w:r>
          </w:p>
        </w:tc>
        <w:tc>
          <w:tcPr>
            <w:tcW w:w="1117" w:type="dxa"/>
          </w:tcPr>
          <w:p>
            <w:pPr>
              <w:pStyle w:val="54"/>
              <w:spacing w:before="142"/>
              <w:ind w:left="6"/>
              <w:rPr>
                <w:color w:val="auto"/>
                <w:sz w:val="21"/>
                <w:highlight w:val="none"/>
              </w:rPr>
            </w:pPr>
            <w:r>
              <w:rPr>
                <w:color w:val="auto"/>
                <w:sz w:val="21"/>
                <w:highlight w:val="none"/>
              </w:rPr>
              <w:t xml:space="preserve"> </w:t>
            </w:r>
          </w:p>
        </w:tc>
        <w:tc>
          <w:tcPr>
            <w:tcW w:w="1113" w:type="dxa"/>
          </w:tcPr>
          <w:p>
            <w:pPr>
              <w:pStyle w:val="54"/>
              <w:spacing w:before="142"/>
              <w:ind w:left="5"/>
              <w:rPr>
                <w:color w:val="auto"/>
                <w:sz w:val="21"/>
                <w:highlight w:val="none"/>
              </w:rPr>
            </w:pPr>
            <w:r>
              <w:rPr>
                <w:color w:val="auto"/>
                <w:sz w:val="21"/>
                <w:highlight w:val="none"/>
              </w:rPr>
              <w:t xml:space="preserve"> </w:t>
            </w:r>
          </w:p>
        </w:tc>
        <w:tc>
          <w:tcPr>
            <w:tcW w:w="1115" w:type="dxa"/>
          </w:tcPr>
          <w:p>
            <w:pPr>
              <w:pStyle w:val="54"/>
              <w:spacing w:before="142"/>
              <w:ind w:left="2"/>
              <w:rPr>
                <w:color w:val="auto"/>
                <w:sz w:val="21"/>
                <w:highlight w:val="none"/>
              </w:rPr>
            </w:pPr>
            <w:r>
              <w:rPr>
                <w:color w:val="auto"/>
                <w:sz w:val="21"/>
                <w:highlight w:val="none"/>
              </w:rPr>
              <w:t xml:space="preserve"> </w:t>
            </w:r>
          </w:p>
        </w:tc>
        <w:tc>
          <w:tcPr>
            <w:tcW w:w="1120" w:type="dxa"/>
          </w:tcPr>
          <w:p>
            <w:pPr>
              <w:pStyle w:val="54"/>
              <w:spacing w:before="142"/>
              <w:ind w:left="3"/>
              <w:rPr>
                <w:color w:val="auto"/>
                <w:sz w:val="21"/>
                <w:highlight w:val="none"/>
              </w:rPr>
            </w:pPr>
            <w:r>
              <w:rPr>
                <w:color w:val="auto"/>
                <w:sz w:val="21"/>
                <w:highlight w:val="non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1" w:hRule="atLeast"/>
        </w:trPr>
        <w:tc>
          <w:tcPr>
            <w:tcW w:w="869" w:type="dxa"/>
          </w:tcPr>
          <w:p>
            <w:pPr>
              <w:pStyle w:val="54"/>
              <w:spacing w:before="142"/>
              <w:ind w:left="9"/>
              <w:rPr>
                <w:color w:val="auto"/>
                <w:sz w:val="21"/>
                <w:highlight w:val="none"/>
              </w:rPr>
            </w:pPr>
            <w:r>
              <w:rPr>
                <w:color w:val="auto"/>
                <w:sz w:val="21"/>
                <w:highlight w:val="none"/>
              </w:rPr>
              <w:t xml:space="preserve"> </w:t>
            </w:r>
          </w:p>
        </w:tc>
        <w:tc>
          <w:tcPr>
            <w:tcW w:w="1362" w:type="dxa"/>
          </w:tcPr>
          <w:p>
            <w:pPr>
              <w:pStyle w:val="54"/>
              <w:spacing w:before="142"/>
              <w:ind w:left="6"/>
              <w:rPr>
                <w:color w:val="auto"/>
                <w:sz w:val="21"/>
                <w:highlight w:val="none"/>
              </w:rPr>
            </w:pPr>
            <w:r>
              <w:rPr>
                <w:color w:val="auto"/>
                <w:sz w:val="21"/>
                <w:highlight w:val="none"/>
              </w:rPr>
              <w:t xml:space="preserve"> </w:t>
            </w:r>
          </w:p>
        </w:tc>
        <w:tc>
          <w:tcPr>
            <w:tcW w:w="1112" w:type="dxa"/>
          </w:tcPr>
          <w:p>
            <w:pPr>
              <w:pStyle w:val="54"/>
              <w:spacing w:before="142"/>
              <w:ind w:left="8"/>
              <w:rPr>
                <w:color w:val="auto"/>
                <w:sz w:val="21"/>
                <w:highlight w:val="none"/>
              </w:rPr>
            </w:pPr>
            <w:r>
              <w:rPr>
                <w:color w:val="auto"/>
                <w:sz w:val="21"/>
                <w:highlight w:val="none"/>
              </w:rPr>
              <w:t xml:space="preserve"> </w:t>
            </w:r>
          </w:p>
        </w:tc>
        <w:tc>
          <w:tcPr>
            <w:tcW w:w="1110" w:type="dxa"/>
          </w:tcPr>
          <w:p>
            <w:pPr>
              <w:pStyle w:val="54"/>
              <w:spacing w:before="142"/>
              <w:ind w:left="7"/>
              <w:rPr>
                <w:color w:val="auto"/>
                <w:sz w:val="21"/>
                <w:highlight w:val="none"/>
              </w:rPr>
            </w:pPr>
            <w:r>
              <w:rPr>
                <w:color w:val="auto"/>
                <w:sz w:val="21"/>
                <w:highlight w:val="none"/>
              </w:rPr>
              <w:t xml:space="preserve"> </w:t>
            </w:r>
          </w:p>
        </w:tc>
        <w:tc>
          <w:tcPr>
            <w:tcW w:w="1117" w:type="dxa"/>
          </w:tcPr>
          <w:p>
            <w:pPr>
              <w:pStyle w:val="54"/>
              <w:spacing w:before="142"/>
              <w:ind w:left="6"/>
              <w:rPr>
                <w:color w:val="auto"/>
                <w:sz w:val="21"/>
                <w:highlight w:val="none"/>
              </w:rPr>
            </w:pPr>
            <w:r>
              <w:rPr>
                <w:color w:val="auto"/>
                <w:sz w:val="21"/>
                <w:highlight w:val="none"/>
              </w:rPr>
              <w:t xml:space="preserve"> </w:t>
            </w:r>
          </w:p>
        </w:tc>
        <w:tc>
          <w:tcPr>
            <w:tcW w:w="1113" w:type="dxa"/>
          </w:tcPr>
          <w:p>
            <w:pPr>
              <w:pStyle w:val="54"/>
              <w:spacing w:before="142"/>
              <w:ind w:left="5"/>
              <w:rPr>
                <w:color w:val="auto"/>
                <w:sz w:val="21"/>
                <w:highlight w:val="none"/>
              </w:rPr>
            </w:pPr>
            <w:r>
              <w:rPr>
                <w:color w:val="auto"/>
                <w:sz w:val="21"/>
                <w:highlight w:val="none"/>
              </w:rPr>
              <w:t xml:space="preserve"> </w:t>
            </w:r>
          </w:p>
        </w:tc>
        <w:tc>
          <w:tcPr>
            <w:tcW w:w="1115" w:type="dxa"/>
          </w:tcPr>
          <w:p>
            <w:pPr>
              <w:pStyle w:val="54"/>
              <w:spacing w:before="142"/>
              <w:ind w:left="2"/>
              <w:rPr>
                <w:color w:val="auto"/>
                <w:sz w:val="21"/>
                <w:highlight w:val="none"/>
              </w:rPr>
            </w:pPr>
            <w:r>
              <w:rPr>
                <w:color w:val="auto"/>
                <w:sz w:val="21"/>
                <w:highlight w:val="none"/>
              </w:rPr>
              <w:t xml:space="preserve"> </w:t>
            </w:r>
          </w:p>
        </w:tc>
        <w:tc>
          <w:tcPr>
            <w:tcW w:w="1120" w:type="dxa"/>
          </w:tcPr>
          <w:p>
            <w:pPr>
              <w:pStyle w:val="54"/>
              <w:spacing w:before="142"/>
              <w:ind w:left="3"/>
              <w:rPr>
                <w:color w:val="auto"/>
                <w:sz w:val="21"/>
                <w:highlight w:val="none"/>
              </w:rPr>
            </w:pPr>
            <w:r>
              <w:rPr>
                <w:color w:val="auto"/>
                <w:sz w:val="21"/>
                <w:highlight w:val="non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6" w:hRule="atLeast"/>
        </w:trPr>
        <w:tc>
          <w:tcPr>
            <w:tcW w:w="869" w:type="dxa"/>
          </w:tcPr>
          <w:p>
            <w:pPr>
              <w:pStyle w:val="54"/>
              <w:spacing w:before="142"/>
              <w:ind w:left="9"/>
              <w:rPr>
                <w:color w:val="auto"/>
                <w:sz w:val="21"/>
                <w:highlight w:val="none"/>
              </w:rPr>
            </w:pPr>
            <w:r>
              <w:rPr>
                <w:color w:val="auto"/>
                <w:sz w:val="21"/>
                <w:highlight w:val="none"/>
              </w:rPr>
              <w:t xml:space="preserve"> </w:t>
            </w:r>
          </w:p>
        </w:tc>
        <w:tc>
          <w:tcPr>
            <w:tcW w:w="1362" w:type="dxa"/>
          </w:tcPr>
          <w:p>
            <w:pPr>
              <w:pStyle w:val="54"/>
              <w:spacing w:before="142"/>
              <w:ind w:left="6"/>
              <w:rPr>
                <w:color w:val="auto"/>
                <w:sz w:val="21"/>
                <w:highlight w:val="none"/>
              </w:rPr>
            </w:pPr>
            <w:r>
              <w:rPr>
                <w:color w:val="auto"/>
                <w:sz w:val="21"/>
                <w:highlight w:val="none"/>
              </w:rPr>
              <w:t xml:space="preserve"> </w:t>
            </w:r>
          </w:p>
        </w:tc>
        <w:tc>
          <w:tcPr>
            <w:tcW w:w="1112" w:type="dxa"/>
          </w:tcPr>
          <w:p>
            <w:pPr>
              <w:pStyle w:val="54"/>
              <w:spacing w:before="142"/>
              <w:ind w:left="8"/>
              <w:rPr>
                <w:color w:val="auto"/>
                <w:sz w:val="21"/>
                <w:highlight w:val="none"/>
              </w:rPr>
            </w:pPr>
            <w:r>
              <w:rPr>
                <w:color w:val="auto"/>
                <w:sz w:val="21"/>
                <w:highlight w:val="none"/>
              </w:rPr>
              <w:t xml:space="preserve"> </w:t>
            </w:r>
          </w:p>
        </w:tc>
        <w:tc>
          <w:tcPr>
            <w:tcW w:w="1110" w:type="dxa"/>
          </w:tcPr>
          <w:p>
            <w:pPr>
              <w:pStyle w:val="54"/>
              <w:spacing w:before="142"/>
              <w:ind w:left="7"/>
              <w:rPr>
                <w:color w:val="auto"/>
                <w:sz w:val="21"/>
                <w:highlight w:val="none"/>
              </w:rPr>
            </w:pPr>
            <w:r>
              <w:rPr>
                <w:color w:val="auto"/>
                <w:sz w:val="21"/>
                <w:highlight w:val="none"/>
              </w:rPr>
              <w:t xml:space="preserve"> </w:t>
            </w:r>
          </w:p>
        </w:tc>
        <w:tc>
          <w:tcPr>
            <w:tcW w:w="1117" w:type="dxa"/>
          </w:tcPr>
          <w:p>
            <w:pPr>
              <w:pStyle w:val="54"/>
              <w:spacing w:before="142"/>
              <w:ind w:left="6"/>
              <w:rPr>
                <w:color w:val="auto"/>
                <w:sz w:val="21"/>
                <w:highlight w:val="none"/>
              </w:rPr>
            </w:pPr>
            <w:r>
              <w:rPr>
                <w:color w:val="auto"/>
                <w:sz w:val="21"/>
                <w:highlight w:val="none"/>
              </w:rPr>
              <w:t xml:space="preserve"> </w:t>
            </w:r>
          </w:p>
        </w:tc>
        <w:tc>
          <w:tcPr>
            <w:tcW w:w="1113" w:type="dxa"/>
          </w:tcPr>
          <w:p>
            <w:pPr>
              <w:pStyle w:val="54"/>
              <w:spacing w:before="142"/>
              <w:ind w:left="5"/>
              <w:rPr>
                <w:color w:val="auto"/>
                <w:sz w:val="21"/>
                <w:highlight w:val="none"/>
              </w:rPr>
            </w:pPr>
            <w:r>
              <w:rPr>
                <w:color w:val="auto"/>
                <w:sz w:val="21"/>
                <w:highlight w:val="none"/>
              </w:rPr>
              <w:t xml:space="preserve"> </w:t>
            </w:r>
          </w:p>
        </w:tc>
        <w:tc>
          <w:tcPr>
            <w:tcW w:w="1115" w:type="dxa"/>
          </w:tcPr>
          <w:p>
            <w:pPr>
              <w:pStyle w:val="54"/>
              <w:spacing w:before="142"/>
              <w:ind w:left="2"/>
              <w:rPr>
                <w:color w:val="auto"/>
                <w:sz w:val="21"/>
                <w:highlight w:val="none"/>
              </w:rPr>
            </w:pPr>
            <w:r>
              <w:rPr>
                <w:color w:val="auto"/>
                <w:sz w:val="21"/>
                <w:highlight w:val="none"/>
              </w:rPr>
              <w:t xml:space="preserve"> </w:t>
            </w:r>
          </w:p>
        </w:tc>
        <w:tc>
          <w:tcPr>
            <w:tcW w:w="1120" w:type="dxa"/>
          </w:tcPr>
          <w:p>
            <w:pPr>
              <w:pStyle w:val="54"/>
              <w:spacing w:before="142"/>
              <w:ind w:left="3"/>
              <w:rPr>
                <w:color w:val="auto"/>
                <w:sz w:val="21"/>
                <w:highlight w:val="none"/>
              </w:rPr>
            </w:pPr>
            <w:r>
              <w:rPr>
                <w:color w:val="auto"/>
                <w:sz w:val="21"/>
                <w:highlight w:val="non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8" w:hRule="atLeast"/>
        </w:trPr>
        <w:tc>
          <w:tcPr>
            <w:tcW w:w="869" w:type="dxa"/>
          </w:tcPr>
          <w:p>
            <w:pPr>
              <w:pStyle w:val="54"/>
              <w:spacing w:before="142"/>
              <w:ind w:left="9"/>
              <w:rPr>
                <w:color w:val="auto"/>
                <w:sz w:val="21"/>
                <w:highlight w:val="none"/>
              </w:rPr>
            </w:pPr>
            <w:r>
              <w:rPr>
                <w:color w:val="auto"/>
                <w:sz w:val="21"/>
                <w:highlight w:val="none"/>
              </w:rPr>
              <w:t xml:space="preserve"> </w:t>
            </w:r>
          </w:p>
        </w:tc>
        <w:tc>
          <w:tcPr>
            <w:tcW w:w="1362" w:type="dxa"/>
          </w:tcPr>
          <w:p>
            <w:pPr>
              <w:pStyle w:val="54"/>
              <w:spacing w:before="142"/>
              <w:ind w:left="6"/>
              <w:rPr>
                <w:color w:val="auto"/>
                <w:sz w:val="21"/>
                <w:highlight w:val="none"/>
              </w:rPr>
            </w:pPr>
            <w:r>
              <w:rPr>
                <w:color w:val="auto"/>
                <w:sz w:val="21"/>
                <w:highlight w:val="none"/>
              </w:rPr>
              <w:t xml:space="preserve"> </w:t>
            </w:r>
          </w:p>
        </w:tc>
        <w:tc>
          <w:tcPr>
            <w:tcW w:w="1112" w:type="dxa"/>
          </w:tcPr>
          <w:p>
            <w:pPr>
              <w:pStyle w:val="54"/>
              <w:spacing w:before="142"/>
              <w:ind w:left="8"/>
              <w:rPr>
                <w:color w:val="auto"/>
                <w:sz w:val="21"/>
                <w:highlight w:val="none"/>
              </w:rPr>
            </w:pPr>
            <w:r>
              <w:rPr>
                <w:color w:val="auto"/>
                <w:sz w:val="21"/>
                <w:highlight w:val="none"/>
              </w:rPr>
              <w:t xml:space="preserve"> </w:t>
            </w:r>
          </w:p>
        </w:tc>
        <w:tc>
          <w:tcPr>
            <w:tcW w:w="1110" w:type="dxa"/>
          </w:tcPr>
          <w:p>
            <w:pPr>
              <w:pStyle w:val="54"/>
              <w:spacing w:before="142"/>
              <w:ind w:left="7"/>
              <w:rPr>
                <w:color w:val="auto"/>
                <w:sz w:val="21"/>
                <w:highlight w:val="none"/>
              </w:rPr>
            </w:pPr>
            <w:r>
              <w:rPr>
                <w:color w:val="auto"/>
                <w:sz w:val="21"/>
                <w:highlight w:val="none"/>
              </w:rPr>
              <w:t xml:space="preserve"> </w:t>
            </w:r>
          </w:p>
        </w:tc>
        <w:tc>
          <w:tcPr>
            <w:tcW w:w="1117" w:type="dxa"/>
          </w:tcPr>
          <w:p>
            <w:pPr>
              <w:pStyle w:val="54"/>
              <w:spacing w:before="142"/>
              <w:ind w:left="6"/>
              <w:rPr>
                <w:color w:val="auto"/>
                <w:sz w:val="21"/>
                <w:highlight w:val="none"/>
              </w:rPr>
            </w:pPr>
            <w:r>
              <w:rPr>
                <w:color w:val="auto"/>
                <w:sz w:val="21"/>
                <w:highlight w:val="none"/>
              </w:rPr>
              <w:t xml:space="preserve"> </w:t>
            </w:r>
          </w:p>
        </w:tc>
        <w:tc>
          <w:tcPr>
            <w:tcW w:w="1113" w:type="dxa"/>
          </w:tcPr>
          <w:p>
            <w:pPr>
              <w:pStyle w:val="54"/>
              <w:spacing w:before="142"/>
              <w:ind w:left="5"/>
              <w:rPr>
                <w:color w:val="auto"/>
                <w:sz w:val="21"/>
                <w:highlight w:val="none"/>
              </w:rPr>
            </w:pPr>
            <w:r>
              <w:rPr>
                <w:color w:val="auto"/>
                <w:sz w:val="21"/>
                <w:highlight w:val="none"/>
              </w:rPr>
              <w:t xml:space="preserve"> </w:t>
            </w:r>
          </w:p>
        </w:tc>
        <w:tc>
          <w:tcPr>
            <w:tcW w:w="1115" w:type="dxa"/>
          </w:tcPr>
          <w:p>
            <w:pPr>
              <w:pStyle w:val="54"/>
              <w:spacing w:before="142"/>
              <w:ind w:left="2"/>
              <w:rPr>
                <w:color w:val="auto"/>
                <w:sz w:val="21"/>
                <w:highlight w:val="none"/>
              </w:rPr>
            </w:pPr>
            <w:r>
              <w:rPr>
                <w:color w:val="auto"/>
                <w:sz w:val="21"/>
                <w:highlight w:val="none"/>
              </w:rPr>
              <w:t xml:space="preserve"> </w:t>
            </w:r>
          </w:p>
        </w:tc>
        <w:tc>
          <w:tcPr>
            <w:tcW w:w="1120" w:type="dxa"/>
          </w:tcPr>
          <w:p>
            <w:pPr>
              <w:pStyle w:val="54"/>
              <w:spacing w:before="142"/>
              <w:ind w:left="3"/>
              <w:rPr>
                <w:color w:val="auto"/>
                <w:sz w:val="21"/>
                <w:highlight w:val="none"/>
              </w:rPr>
            </w:pPr>
            <w:r>
              <w:rPr>
                <w:color w:val="auto"/>
                <w:sz w:val="21"/>
                <w:highlight w:val="non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1" w:hRule="atLeast"/>
        </w:trPr>
        <w:tc>
          <w:tcPr>
            <w:tcW w:w="869" w:type="dxa"/>
          </w:tcPr>
          <w:p>
            <w:pPr>
              <w:pStyle w:val="54"/>
              <w:spacing w:before="145"/>
              <w:ind w:left="9"/>
              <w:rPr>
                <w:color w:val="auto"/>
                <w:sz w:val="21"/>
                <w:highlight w:val="none"/>
              </w:rPr>
            </w:pPr>
            <w:r>
              <w:rPr>
                <w:color w:val="auto"/>
                <w:sz w:val="21"/>
                <w:highlight w:val="none"/>
              </w:rPr>
              <w:t xml:space="preserve"> </w:t>
            </w:r>
          </w:p>
        </w:tc>
        <w:tc>
          <w:tcPr>
            <w:tcW w:w="1362" w:type="dxa"/>
          </w:tcPr>
          <w:p>
            <w:pPr>
              <w:pStyle w:val="54"/>
              <w:spacing w:before="145"/>
              <w:ind w:left="6"/>
              <w:rPr>
                <w:color w:val="auto"/>
                <w:sz w:val="21"/>
                <w:highlight w:val="none"/>
              </w:rPr>
            </w:pPr>
            <w:r>
              <w:rPr>
                <w:color w:val="auto"/>
                <w:sz w:val="21"/>
                <w:highlight w:val="none"/>
              </w:rPr>
              <w:t xml:space="preserve"> </w:t>
            </w:r>
          </w:p>
        </w:tc>
        <w:tc>
          <w:tcPr>
            <w:tcW w:w="1112" w:type="dxa"/>
          </w:tcPr>
          <w:p>
            <w:pPr>
              <w:pStyle w:val="54"/>
              <w:spacing w:before="145"/>
              <w:ind w:left="8"/>
              <w:rPr>
                <w:color w:val="auto"/>
                <w:sz w:val="21"/>
                <w:highlight w:val="none"/>
              </w:rPr>
            </w:pPr>
            <w:r>
              <w:rPr>
                <w:color w:val="auto"/>
                <w:sz w:val="21"/>
                <w:highlight w:val="none"/>
              </w:rPr>
              <w:t xml:space="preserve"> </w:t>
            </w:r>
          </w:p>
        </w:tc>
        <w:tc>
          <w:tcPr>
            <w:tcW w:w="1110" w:type="dxa"/>
          </w:tcPr>
          <w:p>
            <w:pPr>
              <w:pStyle w:val="54"/>
              <w:spacing w:before="145"/>
              <w:ind w:left="7"/>
              <w:rPr>
                <w:color w:val="auto"/>
                <w:sz w:val="21"/>
                <w:highlight w:val="none"/>
              </w:rPr>
            </w:pPr>
            <w:r>
              <w:rPr>
                <w:color w:val="auto"/>
                <w:sz w:val="21"/>
                <w:highlight w:val="none"/>
              </w:rPr>
              <w:t xml:space="preserve"> </w:t>
            </w:r>
          </w:p>
        </w:tc>
        <w:tc>
          <w:tcPr>
            <w:tcW w:w="1117" w:type="dxa"/>
          </w:tcPr>
          <w:p>
            <w:pPr>
              <w:pStyle w:val="54"/>
              <w:spacing w:before="145"/>
              <w:ind w:left="6"/>
              <w:rPr>
                <w:color w:val="auto"/>
                <w:sz w:val="21"/>
                <w:highlight w:val="none"/>
              </w:rPr>
            </w:pPr>
            <w:r>
              <w:rPr>
                <w:color w:val="auto"/>
                <w:sz w:val="21"/>
                <w:highlight w:val="none"/>
              </w:rPr>
              <w:t xml:space="preserve"> </w:t>
            </w:r>
          </w:p>
        </w:tc>
        <w:tc>
          <w:tcPr>
            <w:tcW w:w="1113" w:type="dxa"/>
          </w:tcPr>
          <w:p>
            <w:pPr>
              <w:pStyle w:val="54"/>
              <w:spacing w:before="145"/>
              <w:ind w:left="5"/>
              <w:rPr>
                <w:color w:val="auto"/>
                <w:sz w:val="21"/>
                <w:highlight w:val="none"/>
              </w:rPr>
            </w:pPr>
            <w:r>
              <w:rPr>
                <w:color w:val="auto"/>
                <w:sz w:val="21"/>
                <w:highlight w:val="none"/>
              </w:rPr>
              <w:t xml:space="preserve"> </w:t>
            </w:r>
          </w:p>
        </w:tc>
        <w:tc>
          <w:tcPr>
            <w:tcW w:w="1115" w:type="dxa"/>
          </w:tcPr>
          <w:p>
            <w:pPr>
              <w:pStyle w:val="54"/>
              <w:spacing w:before="145"/>
              <w:ind w:left="2"/>
              <w:rPr>
                <w:color w:val="auto"/>
                <w:sz w:val="21"/>
                <w:highlight w:val="none"/>
              </w:rPr>
            </w:pPr>
            <w:r>
              <w:rPr>
                <w:color w:val="auto"/>
                <w:sz w:val="21"/>
                <w:highlight w:val="none"/>
              </w:rPr>
              <w:t xml:space="preserve"> </w:t>
            </w:r>
          </w:p>
        </w:tc>
        <w:tc>
          <w:tcPr>
            <w:tcW w:w="1120" w:type="dxa"/>
          </w:tcPr>
          <w:p>
            <w:pPr>
              <w:pStyle w:val="54"/>
              <w:spacing w:before="145"/>
              <w:ind w:left="3"/>
              <w:rPr>
                <w:color w:val="auto"/>
                <w:sz w:val="21"/>
                <w:highlight w:val="none"/>
              </w:rPr>
            </w:pPr>
            <w:r>
              <w:rPr>
                <w:color w:val="auto"/>
                <w:sz w:val="21"/>
                <w:highlight w:val="non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1" w:hRule="atLeast"/>
        </w:trPr>
        <w:tc>
          <w:tcPr>
            <w:tcW w:w="869" w:type="dxa"/>
          </w:tcPr>
          <w:p>
            <w:pPr>
              <w:pStyle w:val="54"/>
              <w:spacing w:before="145"/>
              <w:ind w:left="9"/>
              <w:rPr>
                <w:color w:val="auto"/>
                <w:sz w:val="21"/>
                <w:highlight w:val="none"/>
              </w:rPr>
            </w:pPr>
            <w:r>
              <w:rPr>
                <w:color w:val="auto"/>
                <w:sz w:val="21"/>
                <w:highlight w:val="none"/>
              </w:rPr>
              <w:t xml:space="preserve"> </w:t>
            </w:r>
          </w:p>
        </w:tc>
        <w:tc>
          <w:tcPr>
            <w:tcW w:w="1362" w:type="dxa"/>
          </w:tcPr>
          <w:p>
            <w:pPr>
              <w:pStyle w:val="54"/>
              <w:spacing w:before="145"/>
              <w:ind w:left="6"/>
              <w:rPr>
                <w:color w:val="auto"/>
                <w:sz w:val="21"/>
                <w:highlight w:val="none"/>
              </w:rPr>
            </w:pPr>
            <w:r>
              <w:rPr>
                <w:color w:val="auto"/>
                <w:sz w:val="21"/>
                <w:highlight w:val="none"/>
              </w:rPr>
              <w:t xml:space="preserve"> </w:t>
            </w:r>
          </w:p>
        </w:tc>
        <w:tc>
          <w:tcPr>
            <w:tcW w:w="1112" w:type="dxa"/>
          </w:tcPr>
          <w:p>
            <w:pPr>
              <w:pStyle w:val="54"/>
              <w:spacing w:before="145"/>
              <w:ind w:left="8"/>
              <w:rPr>
                <w:color w:val="auto"/>
                <w:sz w:val="21"/>
                <w:highlight w:val="none"/>
              </w:rPr>
            </w:pPr>
            <w:r>
              <w:rPr>
                <w:color w:val="auto"/>
                <w:sz w:val="21"/>
                <w:highlight w:val="none"/>
              </w:rPr>
              <w:t xml:space="preserve"> </w:t>
            </w:r>
          </w:p>
        </w:tc>
        <w:tc>
          <w:tcPr>
            <w:tcW w:w="1110" w:type="dxa"/>
          </w:tcPr>
          <w:p>
            <w:pPr>
              <w:pStyle w:val="54"/>
              <w:spacing w:before="145"/>
              <w:ind w:left="7"/>
              <w:rPr>
                <w:color w:val="auto"/>
                <w:sz w:val="21"/>
                <w:highlight w:val="none"/>
              </w:rPr>
            </w:pPr>
            <w:r>
              <w:rPr>
                <w:color w:val="auto"/>
                <w:sz w:val="21"/>
                <w:highlight w:val="none"/>
              </w:rPr>
              <w:t xml:space="preserve"> </w:t>
            </w:r>
          </w:p>
        </w:tc>
        <w:tc>
          <w:tcPr>
            <w:tcW w:w="1117" w:type="dxa"/>
          </w:tcPr>
          <w:p>
            <w:pPr>
              <w:pStyle w:val="54"/>
              <w:spacing w:before="145"/>
              <w:ind w:left="6"/>
              <w:rPr>
                <w:color w:val="auto"/>
                <w:sz w:val="21"/>
                <w:highlight w:val="none"/>
              </w:rPr>
            </w:pPr>
            <w:r>
              <w:rPr>
                <w:color w:val="auto"/>
                <w:sz w:val="21"/>
                <w:highlight w:val="none"/>
              </w:rPr>
              <w:t xml:space="preserve"> </w:t>
            </w:r>
          </w:p>
        </w:tc>
        <w:tc>
          <w:tcPr>
            <w:tcW w:w="1113" w:type="dxa"/>
          </w:tcPr>
          <w:p>
            <w:pPr>
              <w:pStyle w:val="54"/>
              <w:spacing w:before="145"/>
              <w:ind w:left="5"/>
              <w:rPr>
                <w:color w:val="auto"/>
                <w:sz w:val="21"/>
                <w:highlight w:val="none"/>
              </w:rPr>
            </w:pPr>
            <w:r>
              <w:rPr>
                <w:color w:val="auto"/>
                <w:sz w:val="21"/>
                <w:highlight w:val="none"/>
              </w:rPr>
              <w:t xml:space="preserve"> </w:t>
            </w:r>
          </w:p>
        </w:tc>
        <w:tc>
          <w:tcPr>
            <w:tcW w:w="1115" w:type="dxa"/>
          </w:tcPr>
          <w:p>
            <w:pPr>
              <w:pStyle w:val="54"/>
              <w:spacing w:before="145"/>
              <w:ind w:left="2"/>
              <w:rPr>
                <w:color w:val="auto"/>
                <w:sz w:val="21"/>
                <w:highlight w:val="none"/>
              </w:rPr>
            </w:pPr>
            <w:r>
              <w:rPr>
                <w:color w:val="auto"/>
                <w:sz w:val="21"/>
                <w:highlight w:val="none"/>
              </w:rPr>
              <w:t xml:space="preserve"> </w:t>
            </w:r>
          </w:p>
        </w:tc>
        <w:tc>
          <w:tcPr>
            <w:tcW w:w="1120" w:type="dxa"/>
          </w:tcPr>
          <w:p>
            <w:pPr>
              <w:pStyle w:val="54"/>
              <w:spacing w:before="145"/>
              <w:ind w:left="3"/>
              <w:rPr>
                <w:color w:val="auto"/>
                <w:sz w:val="21"/>
                <w:highlight w:val="none"/>
              </w:rPr>
            </w:pPr>
            <w:r>
              <w:rPr>
                <w:color w:val="auto"/>
                <w:sz w:val="21"/>
                <w:highlight w:val="non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1" w:hRule="atLeast"/>
        </w:trPr>
        <w:tc>
          <w:tcPr>
            <w:tcW w:w="869" w:type="dxa"/>
          </w:tcPr>
          <w:p>
            <w:pPr>
              <w:pStyle w:val="54"/>
              <w:spacing w:before="142"/>
              <w:ind w:left="9"/>
              <w:rPr>
                <w:color w:val="auto"/>
                <w:sz w:val="21"/>
                <w:highlight w:val="none"/>
              </w:rPr>
            </w:pPr>
            <w:r>
              <w:rPr>
                <w:color w:val="auto"/>
                <w:sz w:val="21"/>
                <w:highlight w:val="none"/>
              </w:rPr>
              <w:t xml:space="preserve"> </w:t>
            </w:r>
          </w:p>
        </w:tc>
        <w:tc>
          <w:tcPr>
            <w:tcW w:w="1362" w:type="dxa"/>
          </w:tcPr>
          <w:p>
            <w:pPr>
              <w:pStyle w:val="54"/>
              <w:spacing w:before="142"/>
              <w:ind w:left="6"/>
              <w:rPr>
                <w:color w:val="auto"/>
                <w:sz w:val="21"/>
                <w:highlight w:val="none"/>
              </w:rPr>
            </w:pPr>
            <w:r>
              <w:rPr>
                <w:color w:val="auto"/>
                <w:sz w:val="21"/>
                <w:highlight w:val="none"/>
              </w:rPr>
              <w:t xml:space="preserve"> </w:t>
            </w:r>
          </w:p>
        </w:tc>
        <w:tc>
          <w:tcPr>
            <w:tcW w:w="1112" w:type="dxa"/>
          </w:tcPr>
          <w:p>
            <w:pPr>
              <w:pStyle w:val="54"/>
              <w:spacing w:before="142"/>
              <w:ind w:left="8"/>
              <w:rPr>
                <w:color w:val="auto"/>
                <w:sz w:val="21"/>
                <w:highlight w:val="none"/>
              </w:rPr>
            </w:pPr>
            <w:r>
              <w:rPr>
                <w:color w:val="auto"/>
                <w:sz w:val="21"/>
                <w:highlight w:val="none"/>
              </w:rPr>
              <w:t xml:space="preserve"> </w:t>
            </w:r>
          </w:p>
        </w:tc>
        <w:tc>
          <w:tcPr>
            <w:tcW w:w="1110" w:type="dxa"/>
          </w:tcPr>
          <w:p>
            <w:pPr>
              <w:pStyle w:val="54"/>
              <w:spacing w:before="142"/>
              <w:ind w:left="7"/>
              <w:rPr>
                <w:color w:val="auto"/>
                <w:sz w:val="21"/>
                <w:highlight w:val="none"/>
              </w:rPr>
            </w:pPr>
            <w:r>
              <w:rPr>
                <w:color w:val="auto"/>
                <w:sz w:val="21"/>
                <w:highlight w:val="none"/>
              </w:rPr>
              <w:t xml:space="preserve"> </w:t>
            </w:r>
          </w:p>
        </w:tc>
        <w:tc>
          <w:tcPr>
            <w:tcW w:w="1117" w:type="dxa"/>
          </w:tcPr>
          <w:p>
            <w:pPr>
              <w:pStyle w:val="54"/>
              <w:spacing w:before="142"/>
              <w:ind w:left="6"/>
              <w:rPr>
                <w:color w:val="auto"/>
                <w:sz w:val="21"/>
                <w:highlight w:val="none"/>
              </w:rPr>
            </w:pPr>
            <w:r>
              <w:rPr>
                <w:color w:val="auto"/>
                <w:sz w:val="21"/>
                <w:highlight w:val="none"/>
              </w:rPr>
              <w:t xml:space="preserve"> </w:t>
            </w:r>
          </w:p>
        </w:tc>
        <w:tc>
          <w:tcPr>
            <w:tcW w:w="1113" w:type="dxa"/>
          </w:tcPr>
          <w:p>
            <w:pPr>
              <w:pStyle w:val="54"/>
              <w:spacing w:before="142"/>
              <w:ind w:left="5"/>
              <w:rPr>
                <w:color w:val="auto"/>
                <w:sz w:val="21"/>
                <w:highlight w:val="none"/>
              </w:rPr>
            </w:pPr>
            <w:r>
              <w:rPr>
                <w:color w:val="auto"/>
                <w:sz w:val="21"/>
                <w:highlight w:val="none"/>
              </w:rPr>
              <w:t xml:space="preserve"> </w:t>
            </w:r>
          </w:p>
        </w:tc>
        <w:tc>
          <w:tcPr>
            <w:tcW w:w="1115" w:type="dxa"/>
          </w:tcPr>
          <w:p>
            <w:pPr>
              <w:pStyle w:val="54"/>
              <w:spacing w:before="142"/>
              <w:ind w:left="2"/>
              <w:rPr>
                <w:color w:val="auto"/>
                <w:sz w:val="21"/>
                <w:highlight w:val="none"/>
              </w:rPr>
            </w:pPr>
            <w:r>
              <w:rPr>
                <w:color w:val="auto"/>
                <w:sz w:val="21"/>
                <w:highlight w:val="none"/>
              </w:rPr>
              <w:t xml:space="preserve"> </w:t>
            </w:r>
          </w:p>
        </w:tc>
        <w:tc>
          <w:tcPr>
            <w:tcW w:w="1120" w:type="dxa"/>
          </w:tcPr>
          <w:p>
            <w:pPr>
              <w:pStyle w:val="54"/>
              <w:spacing w:before="142"/>
              <w:ind w:left="3"/>
              <w:rPr>
                <w:color w:val="auto"/>
                <w:sz w:val="21"/>
                <w:highlight w:val="none"/>
              </w:rPr>
            </w:pPr>
            <w:r>
              <w:rPr>
                <w:color w:val="auto"/>
                <w:sz w:val="21"/>
                <w:highlight w:val="non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1" w:hRule="atLeast"/>
        </w:trPr>
        <w:tc>
          <w:tcPr>
            <w:tcW w:w="869" w:type="dxa"/>
          </w:tcPr>
          <w:p>
            <w:pPr>
              <w:pStyle w:val="54"/>
              <w:spacing w:before="142"/>
              <w:ind w:left="9"/>
              <w:rPr>
                <w:color w:val="auto"/>
                <w:sz w:val="21"/>
                <w:highlight w:val="none"/>
              </w:rPr>
            </w:pPr>
            <w:r>
              <w:rPr>
                <w:color w:val="auto"/>
                <w:sz w:val="21"/>
                <w:highlight w:val="none"/>
              </w:rPr>
              <w:t xml:space="preserve"> </w:t>
            </w:r>
          </w:p>
        </w:tc>
        <w:tc>
          <w:tcPr>
            <w:tcW w:w="1362" w:type="dxa"/>
          </w:tcPr>
          <w:p>
            <w:pPr>
              <w:pStyle w:val="54"/>
              <w:spacing w:before="142"/>
              <w:ind w:left="6"/>
              <w:rPr>
                <w:color w:val="auto"/>
                <w:sz w:val="21"/>
                <w:highlight w:val="none"/>
              </w:rPr>
            </w:pPr>
            <w:r>
              <w:rPr>
                <w:color w:val="auto"/>
                <w:sz w:val="21"/>
                <w:highlight w:val="none"/>
              </w:rPr>
              <w:t xml:space="preserve"> </w:t>
            </w:r>
          </w:p>
        </w:tc>
        <w:tc>
          <w:tcPr>
            <w:tcW w:w="1112" w:type="dxa"/>
          </w:tcPr>
          <w:p>
            <w:pPr>
              <w:pStyle w:val="54"/>
              <w:spacing w:before="142"/>
              <w:ind w:left="8"/>
              <w:rPr>
                <w:color w:val="auto"/>
                <w:sz w:val="21"/>
                <w:highlight w:val="none"/>
              </w:rPr>
            </w:pPr>
            <w:r>
              <w:rPr>
                <w:color w:val="auto"/>
                <w:sz w:val="21"/>
                <w:highlight w:val="none"/>
              </w:rPr>
              <w:t xml:space="preserve"> </w:t>
            </w:r>
          </w:p>
        </w:tc>
        <w:tc>
          <w:tcPr>
            <w:tcW w:w="1110" w:type="dxa"/>
          </w:tcPr>
          <w:p>
            <w:pPr>
              <w:pStyle w:val="54"/>
              <w:spacing w:before="142"/>
              <w:ind w:left="7"/>
              <w:rPr>
                <w:color w:val="auto"/>
                <w:sz w:val="21"/>
                <w:highlight w:val="none"/>
              </w:rPr>
            </w:pPr>
            <w:r>
              <w:rPr>
                <w:color w:val="auto"/>
                <w:sz w:val="21"/>
                <w:highlight w:val="none"/>
              </w:rPr>
              <w:t xml:space="preserve"> </w:t>
            </w:r>
          </w:p>
        </w:tc>
        <w:tc>
          <w:tcPr>
            <w:tcW w:w="1117" w:type="dxa"/>
          </w:tcPr>
          <w:p>
            <w:pPr>
              <w:pStyle w:val="54"/>
              <w:spacing w:before="142"/>
              <w:ind w:left="6"/>
              <w:rPr>
                <w:color w:val="auto"/>
                <w:sz w:val="21"/>
                <w:highlight w:val="none"/>
              </w:rPr>
            </w:pPr>
            <w:r>
              <w:rPr>
                <w:color w:val="auto"/>
                <w:sz w:val="21"/>
                <w:highlight w:val="none"/>
              </w:rPr>
              <w:t xml:space="preserve"> </w:t>
            </w:r>
          </w:p>
        </w:tc>
        <w:tc>
          <w:tcPr>
            <w:tcW w:w="1113" w:type="dxa"/>
          </w:tcPr>
          <w:p>
            <w:pPr>
              <w:pStyle w:val="54"/>
              <w:spacing w:before="142"/>
              <w:ind w:left="5"/>
              <w:rPr>
                <w:color w:val="auto"/>
                <w:sz w:val="21"/>
                <w:highlight w:val="none"/>
              </w:rPr>
            </w:pPr>
            <w:r>
              <w:rPr>
                <w:color w:val="auto"/>
                <w:sz w:val="21"/>
                <w:highlight w:val="none"/>
              </w:rPr>
              <w:t xml:space="preserve"> </w:t>
            </w:r>
          </w:p>
        </w:tc>
        <w:tc>
          <w:tcPr>
            <w:tcW w:w="1115" w:type="dxa"/>
          </w:tcPr>
          <w:p>
            <w:pPr>
              <w:pStyle w:val="54"/>
              <w:spacing w:before="142"/>
              <w:ind w:left="2"/>
              <w:rPr>
                <w:color w:val="auto"/>
                <w:sz w:val="21"/>
                <w:highlight w:val="none"/>
              </w:rPr>
            </w:pPr>
            <w:r>
              <w:rPr>
                <w:color w:val="auto"/>
                <w:sz w:val="21"/>
                <w:highlight w:val="none"/>
              </w:rPr>
              <w:t xml:space="preserve"> </w:t>
            </w:r>
          </w:p>
        </w:tc>
        <w:tc>
          <w:tcPr>
            <w:tcW w:w="1120" w:type="dxa"/>
          </w:tcPr>
          <w:p>
            <w:pPr>
              <w:pStyle w:val="54"/>
              <w:spacing w:before="142"/>
              <w:ind w:left="3"/>
              <w:rPr>
                <w:color w:val="auto"/>
                <w:sz w:val="21"/>
                <w:highlight w:val="none"/>
              </w:rPr>
            </w:pPr>
            <w:r>
              <w:rPr>
                <w:color w:val="auto"/>
                <w:sz w:val="21"/>
                <w:highlight w:val="non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6" w:hRule="atLeast"/>
        </w:trPr>
        <w:tc>
          <w:tcPr>
            <w:tcW w:w="869" w:type="dxa"/>
          </w:tcPr>
          <w:p>
            <w:pPr>
              <w:pStyle w:val="54"/>
              <w:spacing w:before="142"/>
              <w:ind w:left="9"/>
              <w:rPr>
                <w:color w:val="auto"/>
                <w:sz w:val="21"/>
                <w:highlight w:val="none"/>
              </w:rPr>
            </w:pPr>
            <w:r>
              <w:rPr>
                <w:color w:val="auto"/>
                <w:sz w:val="21"/>
                <w:highlight w:val="none"/>
              </w:rPr>
              <w:t xml:space="preserve"> </w:t>
            </w:r>
          </w:p>
        </w:tc>
        <w:tc>
          <w:tcPr>
            <w:tcW w:w="1362" w:type="dxa"/>
          </w:tcPr>
          <w:p>
            <w:pPr>
              <w:pStyle w:val="54"/>
              <w:spacing w:before="142"/>
              <w:ind w:left="6"/>
              <w:rPr>
                <w:color w:val="auto"/>
                <w:sz w:val="21"/>
                <w:highlight w:val="none"/>
              </w:rPr>
            </w:pPr>
            <w:r>
              <w:rPr>
                <w:color w:val="auto"/>
                <w:sz w:val="21"/>
                <w:highlight w:val="none"/>
              </w:rPr>
              <w:t xml:space="preserve"> </w:t>
            </w:r>
          </w:p>
        </w:tc>
        <w:tc>
          <w:tcPr>
            <w:tcW w:w="1112" w:type="dxa"/>
          </w:tcPr>
          <w:p>
            <w:pPr>
              <w:pStyle w:val="54"/>
              <w:spacing w:before="142"/>
              <w:ind w:left="8"/>
              <w:rPr>
                <w:color w:val="auto"/>
                <w:sz w:val="21"/>
                <w:highlight w:val="none"/>
              </w:rPr>
            </w:pPr>
            <w:r>
              <w:rPr>
                <w:color w:val="auto"/>
                <w:sz w:val="21"/>
                <w:highlight w:val="none"/>
              </w:rPr>
              <w:t xml:space="preserve"> </w:t>
            </w:r>
          </w:p>
        </w:tc>
        <w:tc>
          <w:tcPr>
            <w:tcW w:w="1110" w:type="dxa"/>
          </w:tcPr>
          <w:p>
            <w:pPr>
              <w:pStyle w:val="54"/>
              <w:spacing w:before="142"/>
              <w:ind w:left="7"/>
              <w:rPr>
                <w:color w:val="auto"/>
                <w:sz w:val="21"/>
                <w:highlight w:val="none"/>
              </w:rPr>
            </w:pPr>
            <w:r>
              <w:rPr>
                <w:color w:val="auto"/>
                <w:sz w:val="21"/>
                <w:highlight w:val="none"/>
              </w:rPr>
              <w:t xml:space="preserve"> </w:t>
            </w:r>
          </w:p>
        </w:tc>
        <w:tc>
          <w:tcPr>
            <w:tcW w:w="1117" w:type="dxa"/>
          </w:tcPr>
          <w:p>
            <w:pPr>
              <w:pStyle w:val="54"/>
              <w:spacing w:before="142"/>
              <w:ind w:left="6"/>
              <w:rPr>
                <w:color w:val="auto"/>
                <w:sz w:val="21"/>
                <w:highlight w:val="none"/>
              </w:rPr>
            </w:pPr>
            <w:r>
              <w:rPr>
                <w:color w:val="auto"/>
                <w:sz w:val="21"/>
                <w:highlight w:val="none"/>
              </w:rPr>
              <w:t xml:space="preserve"> </w:t>
            </w:r>
          </w:p>
        </w:tc>
        <w:tc>
          <w:tcPr>
            <w:tcW w:w="1113" w:type="dxa"/>
          </w:tcPr>
          <w:p>
            <w:pPr>
              <w:pStyle w:val="54"/>
              <w:spacing w:before="142"/>
              <w:ind w:left="5"/>
              <w:rPr>
                <w:color w:val="auto"/>
                <w:sz w:val="21"/>
                <w:highlight w:val="none"/>
              </w:rPr>
            </w:pPr>
            <w:r>
              <w:rPr>
                <w:color w:val="auto"/>
                <w:sz w:val="21"/>
                <w:highlight w:val="none"/>
              </w:rPr>
              <w:t xml:space="preserve"> </w:t>
            </w:r>
          </w:p>
        </w:tc>
        <w:tc>
          <w:tcPr>
            <w:tcW w:w="1115" w:type="dxa"/>
          </w:tcPr>
          <w:p>
            <w:pPr>
              <w:pStyle w:val="54"/>
              <w:spacing w:before="142"/>
              <w:ind w:left="2"/>
              <w:rPr>
                <w:color w:val="auto"/>
                <w:sz w:val="21"/>
                <w:highlight w:val="none"/>
              </w:rPr>
            </w:pPr>
            <w:r>
              <w:rPr>
                <w:color w:val="auto"/>
                <w:sz w:val="21"/>
                <w:highlight w:val="none"/>
              </w:rPr>
              <w:t xml:space="preserve"> </w:t>
            </w:r>
          </w:p>
        </w:tc>
        <w:tc>
          <w:tcPr>
            <w:tcW w:w="1120" w:type="dxa"/>
          </w:tcPr>
          <w:p>
            <w:pPr>
              <w:pStyle w:val="54"/>
              <w:spacing w:before="142"/>
              <w:ind w:left="3"/>
              <w:rPr>
                <w:color w:val="auto"/>
                <w:sz w:val="21"/>
                <w:highlight w:val="none"/>
              </w:rPr>
            </w:pPr>
            <w:r>
              <w:rPr>
                <w:color w:val="auto"/>
                <w:sz w:val="21"/>
                <w:highlight w:val="non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1" w:hRule="atLeast"/>
        </w:trPr>
        <w:tc>
          <w:tcPr>
            <w:tcW w:w="869" w:type="dxa"/>
          </w:tcPr>
          <w:p>
            <w:pPr>
              <w:pStyle w:val="54"/>
              <w:spacing w:before="142"/>
              <w:ind w:left="9"/>
              <w:rPr>
                <w:color w:val="auto"/>
                <w:sz w:val="21"/>
                <w:highlight w:val="none"/>
              </w:rPr>
            </w:pPr>
            <w:r>
              <w:rPr>
                <w:color w:val="auto"/>
                <w:sz w:val="21"/>
                <w:highlight w:val="none"/>
              </w:rPr>
              <w:t xml:space="preserve"> </w:t>
            </w:r>
          </w:p>
        </w:tc>
        <w:tc>
          <w:tcPr>
            <w:tcW w:w="1362" w:type="dxa"/>
          </w:tcPr>
          <w:p>
            <w:pPr>
              <w:pStyle w:val="54"/>
              <w:spacing w:before="142"/>
              <w:ind w:left="6"/>
              <w:rPr>
                <w:color w:val="auto"/>
                <w:sz w:val="21"/>
                <w:highlight w:val="none"/>
              </w:rPr>
            </w:pPr>
            <w:r>
              <w:rPr>
                <w:color w:val="auto"/>
                <w:sz w:val="21"/>
                <w:highlight w:val="none"/>
              </w:rPr>
              <w:t xml:space="preserve"> </w:t>
            </w:r>
          </w:p>
        </w:tc>
        <w:tc>
          <w:tcPr>
            <w:tcW w:w="1112" w:type="dxa"/>
          </w:tcPr>
          <w:p>
            <w:pPr>
              <w:pStyle w:val="54"/>
              <w:spacing w:before="142"/>
              <w:ind w:left="8"/>
              <w:rPr>
                <w:color w:val="auto"/>
                <w:sz w:val="21"/>
                <w:highlight w:val="none"/>
              </w:rPr>
            </w:pPr>
            <w:r>
              <w:rPr>
                <w:color w:val="auto"/>
                <w:sz w:val="21"/>
                <w:highlight w:val="none"/>
              </w:rPr>
              <w:t xml:space="preserve"> </w:t>
            </w:r>
          </w:p>
        </w:tc>
        <w:tc>
          <w:tcPr>
            <w:tcW w:w="1110" w:type="dxa"/>
          </w:tcPr>
          <w:p>
            <w:pPr>
              <w:pStyle w:val="54"/>
              <w:spacing w:before="142"/>
              <w:ind w:left="7"/>
              <w:rPr>
                <w:color w:val="auto"/>
                <w:sz w:val="21"/>
                <w:highlight w:val="none"/>
              </w:rPr>
            </w:pPr>
            <w:r>
              <w:rPr>
                <w:color w:val="auto"/>
                <w:sz w:val="21"/>
                <w:highlight w:val="none"/>
              </w:rPr>
              <w:t xml:space="preserve"> </w:t>
            </w:r>
          </w:p>
        </w:tc>
        <w:tc>
          <w:tcPr>
            <w:tcW w:w="1117" w:type="dxa"/>
          </w:tcPr>
          <w:p>
            <w:pPr>
              <w:pStyle w:val="54"/>
              <w:spacing w:before="142"/>
              <w:ind w:left="6"/>
              <w:rPr>
                <w:color w:val="auto"/>
                <w:sz w:val="21"/>
                <w:highlight w:val="none"/>
              </w:rPr>
            </w:pPr>
            <w:r>
              <w:rPr>
                <w:color w:val="auto"/>
                <w:sz w:val="21"/>
                <w:highlight w:val="none"/>
              </w:rPr>
              <w:t xml:space="preserve"> </w:t>
            </w:r>
          </w:p>
        </w:tc>
        <w:tc>
          <w:tcPr>
            <w:tcW w:w="1113" w:type="dxa"/>
          </w:tcPr>
          <w:p>
            <w:pPr>
              <w:pStyle w:val="54"/>
              <w:spacing w:before="142"/>
              <w:ind w:left="5"/>
              <w:rPr>
                <w:color w:val="auto"/>
                <w:sz w:val="21"/>
                <w:highlight w:val="none"/>
              </w:rPr>
            </w:pPr>
            <w:r>
              <w:rPr>
                <w:color w:val="auto"/>
                <w:sz w:val="21"/>
                <w:highlight w:val="none"/>
              </w:rPr>
              <w:t xml:space="preserve"> </w:t>
            </w:r>
          </w:p>
        </w:tc>
        <w:tc>
          <w:tcPr>
            <w:tcW w:w="1115" w:type="dxa"/>
          </w:tcPr>
          <w:p>
            <w:pPr>
              <w:pStyle w:val="54"/>
              <w:spacing w:before="142"/>
              <w:ind w:left="2"/>
              <w:rPr>
                <w:color w:val="auto"/>
                <w:sz w:val="21"/>
                <w:highlight w:val="none"/>
              </w:rPr>
            </w:pPr>
            <w:r>
              <w:rPr>
                <w:color w:val="auto"/>
                <w:sz w:val="21"/>
                <w:highlight w:val="none"/>
              </w:rPr>
              <w:t xml:space="preserve"> </w:t>
            </w:r>
          </w:p>
        </w:tc>
        <w:tc>
          <w:tcPr>
            <w:tcW w:w="1120" w:type="dxa"/>
          </w:tcPr>
          <w:p>
            <w:pPr>
              <w:pStyle w:val="54"/>
              <w:spacing w:before="142"/>
              <w:ind w:left="3"/>
              <w:rPr>
                <w:color w:val="auto"/>
                <w:sz w:val="21"/>
                <w:highlight w:val="none"/>
              </w:rPr>
            </w:pPr>
            <w:r>
              <w:rPr>
                <w:color w:val="auto"/>
                <w:sz w:val="21"/>
                <w:highlight w:val="non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1" w:hRule="atLeast"/>
        </w:trPr>
        <w:tc>
          <w:tcPr>
            <w:tcW w:w="869" w:type="dxa"/>
          </w:tcPr>
          <w:p>
            <w:pPr>
              <w:pStyle w:val="54"/>
              <w:spacing w:before="142"/>
              <w:ind w:left="9"/>
              <w:rPr>
                <w:color w:val="auto"/>
                <w:sz w:val="21"/>
                <w:highlight w:val="none"/>
              </w:rPr>
            </w:pPr>
            <w:r>
              <w:rPr>
                <w:color w:val="auto"/>
                <w:sz w:val="21"/>
                <w:highlight w:val="none"/>
              </w:rPr>
              <w:t xml:space="preserve"> </w:t>
            </w:r>
          </w:p>
        </w:tc>
        <w:tc>
          <w:tcPr>
            <w:tcW w:w="1362" w:type="dxa"/>
          </w:tcPr>
          <w:p>
            <w:pPr>
              <w:pStyle w:val="54"/>
              <w:spacing w:before="142"/>
              <w:ind w:left="6"/>
              <w:rPr>
                <w:color w:val="auto"/>
                <w:sz w:val="21"/>
                <w:highlight w:val="none"/>
              </w:rPr>
            </w:pPr>
            <w:r>
              <w:rPr>
                <w:color w:val="auto"/>
                <w:sz w:val="21"/>
                <w:highlight w:val="none"/>
              </w:rPr>
              <w:t xml:space="preserve"> </w:t>
            </w:r>
          </w:p>
        </w:tc>
        <w:tc>
          <w:tcPr>
            <w:tcW w:w="1112" w:type="dxa"/>
          </w:tcPr>
          <w:p>
            <w:pPr>
              <w:pStyle w:val="54"/>
              <w:spacing w:before="142"/>
              <w:ind w:left="8"/>
              <w:rPr>
                <w:color w:val="auto"/>
                <w:sz w:val="21"/>
                <w:highlight w:val="none"/>
              </w:rPr>
            </w:pPr>
            <w:r>
              <w:rPr>
                <w:color w:val="auto"/>
                <w:sz w:val="21"/>
                <w:highlight w:val="none"/>
              </w:rPr>
              <w:t xml:space="preserve"> </w:t>
            </w:r>
          </w:p>
        </w:tc>
        <w:tc>
          <w:tcPr>
            <w:tcW w:w="1110" w:type="dxa"/>
          </w:tcPr>
          <w:p>
            <w:pPr>
              <w:pStyle w:val="54"/>
              <w:spacing w:before="142"/>
              <w:ind w:left="7"/>
              <w:rPr>
                <w:color w:val="auto"/>
                <w:sz w:val="21"/>
                <w:highlight w:val="none"/>
              </w:rPr>
            </w:pPr>
            <w:r>
              <w:rPr>
                <w:color w:val="auto"/>
                <w:sz w:val="21"/>
                <w:highlight w:val="none"/>
              </w:rPr>
              <w:t xml:space="preserve"> </w:t>
            </w:r>
          </w:p>
        </w:tc>
        <w:tc>
          <w:tcPr>
            <w:tcW w:w="1117" w:type="dxa"/>
          </w:tcPr>
          <w:p>
            <w:pPr>
              <w:pStyle w:val="54"/>
              <w:spacing w:before="142"/>
              <w:ind w:left="6"/>
              <w:rPr>
                <w:color w:val="auto"/>
                <w:sz w:val="21"/>
                <w:highlight w:val="none"/>
              </w:rPr>
            </w:pPr>
            <w:r>
              <w:rPr>
                <w:color w:val="auto"/>
                <w:sz w:val="21"/>
                <w:highlight w:val="none"/>
              </w:rPr>
              <w:t xml:space="preserve"> </w:t>
            </w:r>
          </w:p>
        </w:tc>
        <w:tc>
          <w:tcPr>
            <w:tcW w:w="1113" w:type="dxa"/>
          </w:tcPr>
          <w:p>
            <w:pPr>
              <w:pStyle w:val="54"/>
              <w:spacing w:before="142"/>
              <w:ind w:left="5"/>
              <w:rPr>
                <w:color w:val="auto"/>
                <w:sz w:val="21"/>
                <w:highlight w:val="none"/>
              </w:rPr>
            </w:pPr>
            <w:r>
              <w:rPr>
                <w:color w:val="auto"/>
                <w:sz w:val="21"/>
                <w:highlight w:val="none"/>
              </w:rPr>
              <w:t xml:space="preserve"> </w:t>
            </w:r>
          </w:p>
        </w:tc>
        <w:tc>
          <w:tcPr>
            <w:tcW w:w="1115" w:type="dxa"/>
          </w:tcPr>
          <w:p>
            <w:pPr>
              <w:pStyle w:val="54"/>
              <w:spacing w:before="142"/>
              <w:ind w:left="2"/>
              <w:rPr>
                <w:color w:val="auto"/>
                <w:sz w:val="21"/>
                <w:highlight w:val="none"/>
              </w:rPr>
            </w:pPr>
            <w:r>
              <w:rPr>
                <w:color w:val="auto"/>
                <w:sz w:val="21"/>
                <w:highlight w:val="none"/>
              </w:rPr>
              <w:t xml:space="preserve"> </w:t>
            </w:r>
          </w:p>
        </w:tc>
        <w:tc>
          <w:tcPr>
            <w:tcW w:w="1120" w:type="dxa"/>
          </w:tcPr>
          <w:p>
            <w:pPr>
              <w:pStyle w:val="54"/>
              <w:spacing w:before="142"/>
              <w:ind w:left="3"/>
              <w:rPr>
                <w:color w:val="auto"/>
                <w:sz w:val="21"/>
                <w:highlight w:val="none"/>
              </w:rPr>
            </w:pPr>
            <w:r>
              <w:rPr>
                <w:color w:val="auto"/>
                <w:sz w:val="21"/>
                <w:highlight w:val="non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1" w:hRule="atLeast"/>
        </w:trPr>
        <w:tc>
          <w:tcPr>
            <w:tcW w:w="869" w:type="dxa"/>
          </w:tcPr>
          <w:p>
            <w:pPr>
              <w:pStyle w:val="54"/>
              <w:spacing w:before="142"/>
              <w:ind w:left="9"/>
              <w:rPr>
                <w:color w:val="auto"/>
                <w:sz w:val="21"/>
                <w:highlight w:val="none"/>
              </w:rPr>
            </w:pPr>
            <w:r>
              <w:rPr>
                <w:color w:val="auto"/>
                <w:sz w:val="21"/>
                <w:highlight w:val="none"/>
              </w:rPr>
              <w:t xml:space="preserve"> </w:t>
            </w:r>
          </w:p>
        </w:tc>
        <w:tc>
          <w:tcPr>
            <w:tcW w:w="1362" w:type="dxa"/>
          </w:tcPr>
          <w:p>
            <w:pPr>
              <w:pStyle w:val="54"/>
              <w:spacing w:before="142"/>
              <w:ind w:left="6"/>
              <w:rPr>
                <w:color w:val="auto"/>
                <w:sz w:val="21"/>
                <w:highlight w:val="none"/>
              </w:rPr>
            </w:pPr>
            <w:r>
              <w:rPr>
                <w:color w:val="auto"/>
                <w:sz w:val="21"/>
                <w:highlight w:val="none"/>
              </w:rPr>
              <w:t xml:space="preserve"> </w:t>
            </w:r>
          </w:p>
        </w:tc>
        <w:tc>
          <w:tcPr>
            <w:tcW w:w="1112" w:type="dxa"/>
          </w:tcPr>
          <w:p>
            <w:pPr>
              <w:pStyle w:val="54"/>
              <w:spacing w:before="142"/>
              <w:ind w:left="8"/>
              <w:rPr>
                <w:color w:val="auto"/>
                <w:sz w:val="21"/>
                <w:highlight w:val="none"/>
              </w:rPr>
            </w:pPr>
            <w:r>
              <w:rPr>
                <w:color w:val="auto"/>
                <w:sz w:val="21"/>
                <w:highlight w:val="none"/>
              </w:rPr>
              <w:t xml:space="preserve"> </w:t>
            </w:r>
          </w:p>
        </w:tc>
        <w:tc>
          <w:tcPr>
            <w:tcW w:w="1110" w:type="dxa"/>
          </w:tcPr>
          <w:p>
            <w:pPr>
              <w:pStyle w:val="54"/>
              <w:spacing w:before="142"/>
              <w:ind w:left="7"/>
              <w:rPr>
                <w:color w:val="auto"/>
                <w:sz w:val="21"/>
                <w:highlight w:val="none"/>
              </w:rPr>
            </w:pPr>
            <w:r>
              <w:rPr>
                <w:color w:val="auto"/>
                <w:sz w:val="21"/>
                <w:highlight w:val="none"/>
              </w:rPr>
              <w:t xml:space="preserve"> </w:t>
            </w:r>
          </w:p>
        </w:tc>
        <w:tc>
          <w:tcPr>
            <w:tcW w:w="1117" w:type="dxa"/>
          </w:tcPr>
          <w:p>
            <w:pPr>
              <w:pStyle w:val="54"/>
              <w:spacing w:before="142"/>
              <w:ind w:left="6"/>
              <w:rPr>
                <w:color w:val="auto"/>
                <w:sz w:val="21"/>
                <w:highlight w:val="none"/>
              </w:rPr>
            </w:pPr>
            <w:r>
              <w:rPr>
                <w:color w:val="auto"/>
                <w:sz w:val="21"/>
                <w:highlight w:val="none"/>
              </w:rPr>
              <w:t xml:space="preserve"> </w:t>
            </w:r>
          </w:p>
        </w:tc>
        <w:tc>
          <w:tcPr>
            <w:tcW w:w="1113" w:type="dxa"/>
          </w:tcPr>
          <w:p>
            <w:pPr>
              <w:pStyle w:val="54"/>
              <w:spacing w:before="142"/>
              <w:ind w:left="5"/>
              <w:rPr>
                <w:color w:val="auto"/>
                <w:sz w:val="21"/>
                <w:highlight w:val="none"/>
              </w:rPr>
            </w:pPr>
            <w:r>
              <w:rPr>
                <w:color w:val="auto"/>
                <w:sz w:val="21"/>
                <w:highlight w:val="none"/>
              </w:rPr>
              <w:t xml:space="preserve"> </w:t>
            </w:r>
          </w:p>
        </w:tc>
        <w:tc>
          <w:tcPr>
            <w:tcW w:w="1115" w:type="dxa"/>
          </w:tcPr>
          <w:p>
            <w:pPr>
              <w:pStyle w:val="54"/>
              <w:spacing w:before="142"/>
              <w:ind w:left="2"/>
              <w:rPr>
                <w:color w:val="auto"/>
                <w:sz w:val="21"/>
                <w:highlight w:val="none"/>
              </w:rPr>
            </w:pPr>
            <w:r>
              <w:rPr>
                <w:color w:val="auto"/>
                <w:sz w:val="21"/>
                <w:highlight w:val="none"/>
              </w:rPr>
              <w:t xml:space="preserve"> </w:t>
            </w:r>
          </w:p>
        </w:tc>
        <w:tc>
          <w:tcPr>
            <w:tcW w:w="1120" w:type="dxa"/>
          </w:tcPr>
          <w:p>
            <w:pPr>
              <w:pStyle w:val="54"/>
              <w:spacing w:before="142"/>
              <w:ind w:left="3"/>
              <w:rPr>
                <w:color w:val="auto"/>
                <w:sz w:val="21"/>
                <w:highlight w:val="none"/>
              </w:rPr>
            </w:pPr>
            <w:r>
              <w:rPr>
                <w:color w:val="auto"/>
                <w:sz w:val="21"/>
                <w:highlight w:val="non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6" w:hRule="atLeast"/>
        </w:trPr>
        <w:tc>
          <w:tcPr>
            <w:tcW w:w="869" w:type="dxa"/>
          </w:tcPr>
          <w:p>
            <w:pPr>
              <w:pStyle w:val="54"/>
              <w:spacing w:before="142"/>
              <w:ind w:left="9"/>
              <w:rPr>
                <w:color w:val="auto"/>
                <w:sz w:val="21"/>
                <w:highlight w:val="none"/>
              </w:rPr>
            </w:pPr>
            <w:r>
              <w:rPr>
                <w:color w:val="auto"/>
                <w:sz w:val="21"/>
                <w:highlight w:val="none"/>
              </w:rPr>
              <w:t xml:space="preserve"> </w:t>
            </w:r>
          </w:p>
        </w:tc>
        <w:tc>
          <w:tcPr>
            <w:tcW w:w="1362" w:type="dxa"/>
          </w:tcPr>
          <w:p>
            <w:pPr>
              <w:pStyle w:val="54"/>
              <w:spacing w:before="142"/>
              <w:ind w:left="6"/>
              <w:rPr>
                <w:color w:val="auto"/>
                <w:sz w:val="21"/>
                <w:highlight w:val="none"/>
              </w:rPr>
            </w:pPr>
            <w:r>
              <w:rPr>
                <w:color w:val="auto"/>
                <w:sz w:val="21"/>
                <w:highlight w:val="none"/>
              </w:rPr>
              <w:t xml:space="preserve"> </w:t>
            </w:r>
          </w:p>
        </w:tc>
        <w:tc>
          <w:tcPr>
            <w:tcW w:w="1112" w:type="dxa"/>
          </w:tcPr>
          <w:p>
            <w:pPr>
              <w:pStyle w:val="54"/>
              <w:spacing w:before="142"/>
              <w:ind w:left="8"/>
              <w:rPr>
                <w:color w:val="auto"/>
                <w:sz w:val="21"/>
                <w:highlight w:val="none"/>
              </w:rPr>
            </w:pPr>
            <w:r>
              <w:rPr>
                <w:color w:val="auto"/>
                <w:sz w:val="21"/>
                <w:highlight w:val="none"/>
              </w:rPr>
              <w:t xml:space="preserve"> </w:t>
            </w:r>
          </w:p>
        </w:tc>
        <w:tc>
          <w:tcPr>
            <w:tcW w:w="1110" w:type="dxa"/>
          </w:tcPr>
          <w:p>
            <w:pPr>
              <w:pStyle w:val="54"/>
              <w:spacing w:before="142"/>
              <w:ind w:left="7"/>
              <w:rPr>
                <w:color w:val="auto"/>
                <w:sz w:val="21"/>
                <w:highlight w:val="none"/>
              </w:rPr>
            </w:pPr>
            <w:r>
              <w:rPr>
                <w:color w:val="auto"/>
                <w:sz w:val="21"/>
                <w:highlight w:val="none"/>
              </w:rPr>
              <w:t xml:space="preserve"> </w:t>
            </w:r>
          </w:p>
        </w:tc>
        <w:tc>
          <w:tcPr>
            <w:tcW w:w="1117" w:type="dxa"/>
          </w:tcPr>
          <w:p>
            <w:pPr>
              <w:pStyle w:val="54"/>
              <w:spacing w:before="142"/>
              <w:ind w:left="6"/>
              <w:rPr>
                <w:color w:val="auto"/>
                <w:sz w:val="21"/>
                <w:highlight w:val="none"/>
              </w:rPr>
            </w:pPr>
            <w:r>
              <w:rPr>
                <w:color w:val="auto"/>
                <w:sz w:val="21"/>
                <w:highlight w:val="none"/>
              </w:rPr>
              <w:t xml:space="preserve"> </w:t>
            </w:r>
          </w:p>
        </w:tc>
        <w:tc>
          <w:tcPr>
            <w:tcW w:w="1113" w:type="dxa"/>
          </w:tcPr>
          <w:p>
            <w:pPr>
              <w:pStyle w:val="54"/>
              <w:spacing w:before="142"/>
              <w:ind w:left="5"/>
              <w:rPr>
                <w:color w:val="auto"/>
                <w:sz w:val="21"/>
                <w:highlight w:val="none"/>
              </w:rPr>
            </w:pPr>
            <w:r>
              <w:rPr>
                <w:color w:val="auto"/>
                <w:sz w:val="21"/>
                <w:highlight w:val="none"/>
              </w:rPr>
              <w:t xml:space="preserve"> </w:t>
            </w:r>
          </w:p>
        </w:tc>
        <w:tc>
          <w:tcPr>
            <w:tcW w:w="1115" w:type="dxa"/>
          </w:tcPr>
          <w:p>
            <w:pPr>
              <w:pStyle w:val="54"/>
              <w:spacing w:before="142"/>
              <w:ind w:left="2"/>
              <w:rPr>
                <w:color w:val="auto"/>
                <w:sz w:val="21"/>
                <w:highlight w:val="none"/>
              </w:rPr>
            </w:pPr>
            <w:r>
              <w:rPr>
                <w:color w:val="auto"/>
                <w:sz w:val="21"/>
                <w:highlight w:val="none"/>
              </w:rPr>
              <w:t xml:space="preserve"> </w:t>
            </w:r>
          </w:p>
        </w:tc>
        <w:tc>
          <w:tcPr>
            <w:tcW w:w="1120" w:type="dxa"/>
          </w:tcPr>
          <w:p>
            <w:pPr>
              <w:pStyle w:val="54"/>
              <w:spacing w:before="142"/>
              <w:ind w:left="3"/>
              <w:rPr>
                <w:color w:val="auto"/>
                <w:sz w:val="21"/>
                <w:highlight w:val="none"/>
              </w:rPr>
            </w:pPr>
            <w:r>
              <w:rPr>
                <w:color w:val="auto"/>
                <w:sz w:val="21"/>
                <w:highlight w:val="non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9" w:hRule="atLeast"/>
        </w:trPr>
        <w:tc>
          <w:tcPr>
            <w:tcW w:w="869" w:type="dxa"/>
          </w:tcPr>
          <w:p>
            <w:pPr>
              <w:pStyle w:val="54"/>
              <w:spacing w:before="143"/>
              <w:ind w:left="9"/>
              <w:rPr>
                <w:color w:val="auto"/>
                <w:sz w:val="21"/>
                <w:highlight w:val="none"/>
              </w:rPr>
            </w:pPr>
            <w:r>
              <w:rPr>
                <w:color w:val="auto"/>
                <w:sz w:val="21"/>
                <w:highlight w:val="none"/>
              </w:rPr>
              <w:t xml:space="preserve"> </w:t>
            </w:r>
          </w:p>
        </w:tc>
        <w:tc>
          <w:tcPr>
            <w:tcW w:w="1362" w:type="dxa"/>
          </w:tcPr>
          <w:p>
            <w:pPr>
              <w:pStyle w:val="54"/>
              <w:spacing w:before="143"/>
              <w:ind w:left="6"/>
              <w:rPr>
                <w:color w:val="auto"/>
                <w:sz w:val="21"/>
                <w:highlight w:val="none"/>
              </w:rPr>
            </w:pPr>
            <w:r>
              <w:rPr>
                <w:color w:val="auto"/>
                <w:sz w:val="21"/>
                <w:highlight w:val="none"/>
              </w:rPr>
              <w:t xml:space="preserve"> </w:t>
            </w:r>
          </w:p>
        </w:tc>
        <w:tc>
          <w:tcPr>
            <w:tcW w:w="1112" w:type="dxa"/>
          </w:tcPr>
          <w:p>
            <w:pPr>
              <w:pStyle w:val="54"/>
              <w:spacing w:before="143"/>
              <w:ind w:left="8"/>
              <w:rPr>
                <w:color w:val="auto"/>
                <w:sz w:val="21"/>
                <w:highlight w:val="none"/>
              </w:rPr>
            </w:pPr>
            <w:r>
              <w:rPr>
                <w:color w:val="auto"/>
                <w:sz w:val="21"/>
                <w:highlight w:val="none"/>
              </w:rPr>
              <w:t xml:space="preserve"> </w:t>
            </w:r>
          </w:p>
        </w:tc>
        <w:tc>
          <w:tcPr>
            <w:tcW w:w="1110" w:type="dxa"/>
          </w:tcPr>
          <w:p>
            <w:pPr>
              <w:pStyle w:val="54"/>
              <w:spacing w:before="143"/>
              <w:ind w:left="7"/>
              <w:rPr>
                <w:color w:val="auto"/>
                <w:sz w:val="21"/>
                <w:highlight w:val="none"/>
              </w:rPr>
            </w:pPr>
            <w:r>
              <w:rPr>
                <w:color w:val="auto"/>
                <w:sz w:val="21"/>
                <w:highlight w:val="none"/>
              </w:rPr>
              <w:t xml:space="preserve"> </w:t>
            </w:r>
          </w:p>
        </w:tc>
        <w:tc>
          <w:tcPr>
            <w:tcW w:w="1117" w:type="dxa"/>
          </w:tcPr>
          <w:p>
            <w:pPr>
              <w:pStyle w:val="54"/>
              <w:spacing w:before="143"/>
              <w:ind w:left="6"/>
              <w:rPr>
                <w:color w:val="auto"/>
                <w:sz w:val="21"/>
                <w:highlight w:val="none"/>
              </w:rPr>
            </w:pPr>
            <w:r>
              <w:rPr>
                <w:color w:val="auto"/>
                <w:sz w:val="21"/>
                <w:highlight w:val="none"/>
              </w:rPr>
              <w:t xml:space="preserve"> </w:t>
            </w:r>
          </w:p>
        </w:tc>
        <w:tc>
          <w:tcPr>
            <w:tcW w:w="1113" w:type="dxa"/>
          </w:tcPr>
          <w:p>
            <w:pPr>
              <w:pStyle w:val="54"/>
              <w:spacing w:before="143"/>
              <w:ind w:left="5"/>
              <w:rPr>
                <w:color w:val="auto"/>
                <w:sz w:val="21"/>
                <w:highlight w:val="none"/>
              </w:rPr>
            </w:pPr>
            <w:r>
              <w:rPr>
                <w:color w:val="auto"/>
                <w:sz w:val="21"/>
                <w:highlight w:val="none"/>
              </w:rPr>
              <w:t xml:space="preserve"> </w:t>
            </w:r>
          </w:p>
        </w:tc>
        <w:tc>
          <w:tcPr>
            <w:tcW w:w="1115" w:type="dxa"/>
          </w:tcPr>
          <w:p>
            <w:pPr>
              <w:pStyle w:val="54"/>
              <w:spacing w:before="143"/>
              <w:ind w:left="2"/>
              <w:rPr>
                <w:color w:val="auto"/>
                <w:sz w:val="21"/>
                <w:highlight w:val="none"/>
              </w:rPr>
            </w:pPr>
            <w:r>
              <w:rPr>
                <w:color w:val="auto"/>
                <w:sz w:val="21"/>
                <w:highlight w:val="none"/>
              </w:rPr>
              <w:t xml:space="preserve"> </w:t>
            </w:r>
          </w:p>
        </w:tc>
        <w:tc>
          <w:tcPr>
            <w:tcW w:w="1120" w:type="dxa"/>
          </w:tcPr>
          <w:p>
            <w:pPr>
              <w:pStyle w:val="54"/>
              <w:spacing w:before="143"/>
              <w:ind w:left="3"/>
              <w:rPr>
                <w:color w:val="auto"/>
                <w:sz w:val="21"/>
                <w:highlight w:val="none"/>
              </w:rPr>
            </w:pPr>
            <w:r>
              <w:rPr>
                <w:color w:val="auto"/>
                <w:sz w:val="21"/>
                <w:highlight w:val="non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1" w:hRule="atLeast"/>
        </w:trPr>
        <w:tc>
          <w:tcPr>
            <w:tcW w:w="869" w:type="dxa"/>
          </w:tcPr>
          <w:p>
            <w:pPr>
              <w:pStyle w:val="54"/>
              <w:spacing w:before="145"/>
              <w:ind w:left="9"/>
              <w:rPr>
                <w:color w:val="auto"/>
                <w:sz w:val="21"/>
                <w:highlight w:val="none"/>
              </w:rPr>
            </w:pPr>
            <w:r>
              <w:rPr>
                <w:color w:val="auto"/>
                <w:sz w:val="21"/>
                <w:highlight w:val="none"/>
              </w:rPr>
              <w:t xml:space="preserve"> </w:t>
            </w:r>
          </w:p>
        </w:tc>
        <w:tc>
          <w:tcPr>
            <w:tcW w:w="1362" w:type="dxa"/>
          </w:tcPr>
          <w:p>
            <w:pPr>
              <w:pStyle w:val="54"/>
              <w:spacing w:before="145"/>
              <w:ind w:left="6"/>
              <w:rPr>
                <w:color w:val="auto"/>
                <w:sz w:val="21"/>
                <w:highlight w:val="none"/>
              </w:rPr>
            </w:pPr>
            <w:r>
              <w:rPr>
                <w:color w:val="auto"/>
                <w:sz w:val="21"/>
                <w:highlight w:val="none"/>
              </w:rPr>
              <w:t xml:space="preserve"> </w:t>
            </w:r>
          </w:p>
        </w:tc>
        <w:tc>
          <w:tcPr>
            <w:tcW w:w="1112" w:type="dxa"/>
          </w:tcPr>
          <w:p>
            <w:pPr>
              <w:pStyle w:val="54"/>
              <w:spacing w:before="145"/>
              <w:ind w:left="8"/>
              <w:rPr>
                <w:color w:val="auto"/>
                <w:sz w:val="21"/>
                <w:highlight w:val="none"/>
              </w:rPr>
            </w:pPr>
            <w:r>
              <w:rPr>
                <w:color w:val="auto"/>
                <w:sz w:val="21"/>
                <w:highlight w:val="none"/>
              </w:rPr>
              <w:t xml:space="preserve"> </w:t>
            </w:r>
          </w:p>
        </w:tc>
        <w:tc>
          <w:tcPr>
            <w:tcW w:w="1110" w:type="dxa"/>
          </w:tcPr>
          <w:p>
            <w:pPr>
              <w:pStyle w:val="54"/>
              <w:spacing w:before="145"/>
              <w:ind w:left="7"/>
              <w:rPr>
                <w:color w:val="auto"/>
                <w:sz w:val="21"/>
                <w:highlight w:val="none"/>
              </w:rPr>
            </w:pPr>
            <w:r>
              <w:rPr>
                <w:color w:val="auto"/>
                <w:sz w:val="21"/>
                <w:highlight w:val="none"/>
              </w:rPr>
              <w:t xml:space="preserve"> </w:t>
            </w:r>
          </w:p>
        </w:tc>
        <w:tc>
          <w:tcPr>
            <w:tcW w:w="1117" w:type="dxa"/>
          </w:tcPr>
          <w:p>
            <w:pPr>
              <w:pStyle w:val="54"/>
              <w:spacing w:before="145"/>
              <w:ind w:left="6"/>
              <w:rPr>
                <w:color w:val="auto"/>
                <w:sz w:val="21"/>
                <w:highlight w:val="none"/>
              </w:rPr>
            </w:pPr>
            <w:r>
              <w:rPr>
                <w:color w:val="auto"/>
                <w:sz w:val="21"/>
                <w:highlight w:val="none"/>
              </w:rPr>
              <w:t xml:space="preserve"> </w:t>
            </w:r>
          </w:p>
        </w:tc>
        <w:tc>
          <w:tcPr>
            <w:tcW w:w="1113" w:type="dxa"/>
          </w:tcPr>
          <w:p>
            <w:pPr>
              <w:pStyle w:val="54"/>
              <w:spacing w:before="145"/>
              <w:ind w:left="5"/>
              <w:rPr>
                <w:color w:val="auto"/>
                <w:sz w:val="21"/>
                <w:highlight w:val="none"/>
              </w:rPr>
            </w:pPr>
            <w:r>
              <w:rPr>
                <w:color w:val="auto"/>
                <w:sz w:val="21"/>
                <w:highlight w:val="none"/>
              </w:rPr>
              <w:t xml:space="preserve"> </w:t>
            </w:r>
          </w:p>
        </w:tc>
        <w:tc>
          <w:tcPr>
            <w:tcW w:w="1115" w:type="dxa"/>
          </w:tcPr>
          <w:p>
            <w:pPr>
              <w:pStyle w:val="54"/>
              <w:spacing w:before="145"/>
              <w:ind w:left="2"/>
              <w:rPr>
                <w:color w:val="auto"/>
                <w:sz w:val="21"/>
                <w:highlight w:val="none"/>
              </w:rPr>
            </w:pPr>
            <w:r>
              <w:rPr>
                <w:color w:val="auto"/>
                <w:sz w:val="21"/>
                <w:highlight w:val="none"/>
              </w:rPr>
              <w:t xml:space="preserve"> </w:t>
            </w:r>
          </w:p>
        </w:tc>
        <w:tc>
          <w:tcPr>
            <w:tcW w:w="1120" w:type="dxa"/>
          </w:tcPr>
          <w:p>
            <w:pPr>
              <w:pStyle w:val="54"/>
              <w:spacing w:before="145"/>
              <w:ind w:left="3"/>
              <w:rPr>
                <w:color w:val="auto"/>
                <w:sz w:val="21"/>
                <w:highlight w:val="none"/>
              </w:rPr>
            </w:pPr>
            <w:r>
              <w:rPr>
                <w:color w:val="auto"/>
                <w:sz w:val="21"/>
                <w:highlight w:val="non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1" w:hRule="atLeast"/>
        </w:trPr>
        <w:tc>
          <w:tcPr>
            <w:tcW w:w="869" w:type="dxa"/>
          </w:tcPr>
          <w:p>
            <w:pPr>
              <w:pStyle w:val="54"/>
              <w:spacing w:before="145"/>
              <w:ind w:left="9"/>
              <w:rPr>
                <w:color w:val="auto"/>
                <w:sz w:val="21"/>
                <w:highlight w:val="none"/>
              </w:rPr>
            </w:pPr>
            <w:r>
              <w:rPr>
                <w:color w:val="auto"/>
                <w:sz w:val="21"/>
                <w:highlight w:val="none"/>
              </w:rPr>
              <w:t xml:space="preserve"> </w:t>
            </w:r>
          </w:p>
        </w:tc>
        <w:tc>
          <w:tcPr>
            <w:tcW w:w="1362" w:type="dxa"/>
          </w:tcPr>
          <w:p>
            <w:pPr>
              <w:pStyle w:val="54"/>
              <w:spacing w:before="145"/>
              <w:ind w:left="6"/>
              <w:rPr>
                <w:color w:val="auto"/>
                <w:sz w:val="21"/>
                <w:highlight w:val="none"/>
              </w:rPr>
            </w:pPr>
            <w:r>
              <w:rPr>
                <w:color w:val="auto"/>
                <w:sz w:val="21"/>
                <w:highlight w:val="none"/>
              </w:rPr>
              <w:t xml:space="preserve"> </w:t>
            </w:r>
          </w:p>
        </w:tc>
        <w:tc>
          <w:tcPr>
            <w:tcW w:w="1112" w:type="dxa"/>
          </w:tcPr>
          <w:p>
            <w:pPr>
              <w:pStyle w:val="54"/>
              <w:spacing w:before="145"/>
              <w:ind w:left="8"/>
              <w:rPr>
                <w:color w:val="auto"/>
                <w:sz w:val="21"/>
                <w:highlight w:val="none"/>
              </w:rPr>
            </w:pPr>
            <w:r>
              <w:rPr>
                <w:color w:val="auto"/>
                <w:sz w:val="21"/>
                <w:highlight w:val="none"/>
              </w:rPr>
              <w:t xml:space="preserve"> </w:t>
            </w:r>
          </w:p>
        </w:tc>
        <w:tc>
          <w:tcPr>
            <w:tcW w:w="1110" w:type="dxa"/>
          </w:tcPr>
          <w:p>
            <w:pPr>
              <w:pStyle w:val="54"/>
              <w:spacing w:before="145"/>
              <w:ind w:left="7"/>
              <w:rPr>
                <w:color w:val="auto"/>
                <w:sz w:val="21"/>
                <w:highlight w:val="none"/>
              </w:rPr>
            </w:pPr>
            <w:r>
              <w:rPr>
                <w:color w:val="auto"/>
                <w:sz w:val="21"/>
                <w:highlight w:val="none"/>
              </w:rPr>
              <w:t xml:space="preserve"> </w:t>
            </w:r>
          </w:p>
        </w:tc>
        <w:tc>
          <w:tcPr>
            <w:tcW w:w="1117" w:type="dxa"/>
          </w:tcPr>
          <w:p>
            <w:pPr>
              <w:pStyle w:val="54"/>
              <w:spacing w:before="145"/>
              <w:ind w:left="6"/>
              <w:rPr>
                <w:color w:val="auto"/>
                <w:sz w:val="21"/>
                <w:highlight w:val="none"/>
              </w:rPr>
            </w:pPr>
            <w:r>
              <w:rPr>
                <w:color w:val="auto"/>
                <w:sz w:val="21"/>
                <w:highlight w:val="none"/>
              </w:rPr>
              <w:t xml:space="preserve"> </w:t>
            </w:r>
          </w:p>
        </w:tc>
        <w:tc>
          <w:tcPr>
            <w:tcW w:w="1113" w:type="dxa"/>
          </w:tcPr>
          <w:p>
            <w:pPr>
              <w:pStyle w:val="54"/>
              <w:spacing w:before="145"/>
              <w:ind w:left="5"/>
              <w:rPr>
                <w:color w:val="auto"/>
                <w:sz w:val="21"/>
                <w:highlight w:val="none"/>
              </w:rPr>
            </w:pPr>
            <w:r>
              <w:rPr>
                <w:color w:val="auto"/>
                <w:sz w:val="21"/>
                <w:highlight w:val="none"/>
              </w:rPr>
              <w:t xml:space="preserve"> </w:t>
            </w:r>
          </w:p>
        </w:tc>
        <w:tc>
          <w:tcPr>
            <w:tcW w:w="1115" w:type="dxa"/>
          </w:tcPr>
          <w:p>
            <w:pPr>
              <w:pStyle w:val="54"/>
              <w:spacing w:before="145"/>
              <w:ind w:left="2"/>
              <w:rPr>
                <w:color w:val="auto"/>
                <w:sz w:val="21"/>
                <w:highlight w:val="none"/>
              </w:rPr>
            </w:pPr>
            <w:r>
              <w:rPr>
                <w:color w:val="auto"/>
                <w:sz w:val="21"/>
                <w:highlight w:val="none"/>
              </w:rPr>
              <w:t xml:space="preserve"> </w:t>
            </w:r>
          </w:p>
        </w:tc>
        <w:tc>
          <w:tcPr>
            <w:tcW w:w="1120" w:type="dxa"/>
          </w:tcPr>
          <w:p>
            <w:pPr>
              <w:pStyle w:val="54"/>
              <w:spacing w:before="145"/>
              <w:ind w:left="3"/>
              <w:rPr>
                <w:color w:val="auto"/>
                <w:sz w:val="21"/>
                <w:highlight w:val="none"/>
              </w:rPr>
            </w:pPr>
            <w:r>
              <w:rPr>
                <w:color w:val="auto"/>
                <w:sz w:val="21"/>
                <w:highlight w:val="none"/>
              </w:rPr>
              <w:t xml:space="preserve"> </w:t>
            </w:r>
          </w:p>
        </w:tc>
      </w:tr>
    </w:tbl>
    <w:p>
      <w:pPr>
        <w:rPr>
          <w:color w:val="auto"/>
          <w:sz w:val="21"/>
          <w:highlight w:val="none"/>
        </w:rPr>
        <w:sectPr>
          <w:pgSz w:w="11900" w:h="16850"/>
          <w:pgMar w:top="1400" w:right="760" w:bottom="1320" w:left="760" w:header="1158" w:footer="1136" w:gutter="0"/>
          <w:cols w:space="720" w:num="1"/>
        </w:sectPr>
      </w:pPr>
    </w:p>
    <w:p>
      <w:pPr>
        <w:spacing w:before="1"/>
        <w:ind w:left="6"/>
        <w:jc w:val="center"/>
        <w:rPr>
          <w:b w:val="0"/>
          <w:bCs/>
          <w:color w:val="auto"/>
          <w:sz w:val="32"/>
          <w:szCs w:val="32"/>
          <w:highlight w:val="none"/>
        </w:rPr>
      </w:pPr>
      <w:r>
        <w:rPr>
          <w:b w:val="0"/>
          <w:bCs/>
          <w:color w:val="auto"/>
          <w:sz w:val="32"/>
          <w:szCs w:val="32"/>
          <w:highlight w:val="none"/>
        </w:rPr>
        <w:t>项目管理机构</w:t>
      </w:r>
    </w:p>
    <w:p>
      <w:pPr>
        <w:pStyle w:val="2"/>
        <w:spacing w:before="3"/>
        <w:rPr>
          <w:b/>
          <w:color w:val="auto"/>
          <w:highlight w:val="none"/>
        </w:rPr>
      </w:pPr>
      <w:r>
        <w:rPr>
          <w:color w:val="auto"/>
          <w:highlight w:val="none"/>
        </w:rPr>
        <w:drawing>
          <wp:anchor distT="0" distB="0" distL="0" distR="0" simplePos="0" relativeHeight="251659264" behindDoc="0" locked="0" layoutInCell="1" allowOverlap="1">
            <wp:simplePos x="0" y="0"/>
            <wp:positionH relativeFrom="page">
              <wp:posOffset>938530</wp:posOffset>
            </wp:positionH>
            <wp:positionV relativeFrom="paragraph">
              <wp:posOffset>197485</wp:posOffset>
            </wp:positionV>
            <wp:extent cx="5461000" cy="7386955"/>
            <wp:effectExtent l="0" t="0" r="0" b="0"/>
            <wp:wrapTopAndBottom/>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png"/>
                    <pic:cNvPicPr>
                      <a:picLocks noChangeAspect="1"/>
                    </pic:cNvPicPr>
                  </pic:nvPicPr>
                  <pic:blipFill>
                    <a:blip r:embed="rId23" cstate="print"/>
                    <a:stretch>
                      <a:fillRect/>
                    </a:stretch>
                  </pic:blipFill>
                  <pic:spPr>
                    <a:xfrm>
                      <a:off x="0" y="0"/>
                      <a:ext cx="5460774" cy="7386923"/>
                    </a:xfrm>
                    <a:prstGeom prst="rect">
                      <a:avLst/>
                    </a:prstGeom>
                  </pic:spPr>
                </pic:pic>
              </a:graphicData>
            </a:graphic>
          </wp:anchor>
        </w:drawing>
      </w:r>
    </w:p>
    <w:p>
      <w:pPr>
        <w:rPr>
          <w:color w:val="auto"/>
          <w:sz w:val="2"/>
          <w:szCs w:val="2"/>
          <w:highlight w:val="none"/>
        </w:rPr>
        <w:sectPr>
          <w:headerReference r:id="rId19" w:type="default"/>
          <w:footerReference r:id="rId20" w:type="default"/>
          <w:pgSz w:w="11910" w:h="16850"/>
          <w:pgMar w:top="1280" w:right="860" w:bottom="1040" w:left="1280" w:header="877" w:footer="853" w:gutter="0"/>
          <w:cols w:space="720" w:num="1"/>
        </w:sectPr>
      </w:pPr>
    </w:p>
    <w:p>
      <w:pPr>
        <w:spacing w:before="31"/>
        <w:ind w:right="2035" w:firstLine="3200" w:firstLineChars="1000"/>
        <w:jc w:val="both"/>
        <w:rPr>
          <w:color w:val="auto"/>
          <w:sz w:val="32"/>
          <w:highlight w:val="none"/>
        </w:rPr>
      </w:pPr>
      <w:r>
        <w:rPr>
          <w:color w:val="auto"/>
          <w:sz w:val="32"/>
          <w:highlight w:val="none"/>
        </w:rPr>
        <w:t>供应商企业组织机构框图</w:t>
      </w:r>
    </w:p>
    <w:p>
      <w:pPr>
        <w:pStyle w:val="2"/>
        <w:rPr>
          <w:color w:val="auto"/>
          <w:sz w:val="20"/>
          <w:highlight w:val="none"/>
        </w:rPr>
      </w:pPr>
    </w:p>
    <w:p>
      <w:pPr>
        <w:pStyle w:val="2"/>
        <w:rPr>
          <w:color w:val="auto"/>
          <w:sz w:val="20"/>
          <w:highlight w:val="none"/>
        </w:rPr>
      </w:pPr>
    </w:p>
    <w:p>
      <w:pPr>
        <w:pStyle w:val="2"/>
        <w:rPr>
          <w:color w:val="auto"/>
          <w:highlight w:val="none"/>
        </w:rPr>
      </w:pPr>
    </w:p>
    <w:tbl>
      <w:tblPr>
        <w:tblStyle w:val="52"/>
        <w:tblW w:w="0" w:type="auto"/>
        <w:tblInd w:w="39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63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18" w:hRule="atLeast"/>
        </w:trPr>
        <w:tc>
          <w:tcPr>
            <w:tcW w:w="8639" w:type="dxa"/>
          </w:tcPr>
          <w:p>
            <w:pPr>
              <w:pStyle w:val="54"/>
              <w:spacing w:before="47"/>
              <w:rPr>
                <w:color w:val="auto"/>
                <w:sz w:val="24"/>
                <w:highlight w:val="none"/>
              </w:rPr>
            </w:pPr>
          </w:p>
          <w:p>
            <w:pPr>
              <w:pStyle w:val="54"/>
              <w:rPr>
                <w:color w:val="auto"/>
                <w:sz w:val="24"/>
                <w:highlight w:val="none"/>
              </w:rPr>
            </w:pPr>
          </w:p>
          <w:p>
            <w:pPr>
              <w:pStyle w:val="54"/>
              <w:spacing w:before="176"/>
              <w:ind w:left="515"/>
              <w:rPr>
                <w:color w:val="auto"/>
                <w:sz w:val="21"/>
                <w:highlight w:val="none"/>
              </w:rPr>
            </w:pPr>
            <w:r>
              <w:rPr>
                <w:color w:val="auto"/>
                <w:sz w:val="21"/>
                <w:highlight w:val="none"/>
              </w:rPr>
              <w:t xml:space="preserve">以框图方式表示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49" w:hRule="atLeast"/>
        </w:trPr>
        <w:tc>
          <w:tcPr>
            <w:tcW w:w="8639" w:type="dxa"/>
          </w:tcPr>
          <w:p>
            <w:pPr>
              <w:pStyle w:val="54"/>
              <w:spacing w:before="48"/>
              <w:rPr>
                <w:color w:val="auto"/>
                <w:sz w:val="24"/>
                <w:highlight w:val="none"/>
              </w:rPr>
            </w:pPr>
          </w:p>
          <w:p>
            <w:pPr>
              <w:pStyle w:val="54"/>
              <w:rPr>
                <w:color w:val="auto"/>
                <w:sz w:val="24"/>
                <w:highlight w:val="none"/>
              </w:rPr>
            </w:pPr>
          </w:p>
          <w:p>
            <w:pPr>
              <w:pStyle w:val="54"/>
              <w:spacing w:before="11"/>
              <w:rPr>
                <w:color w:val="auto"/>
                <w:sz w:val="31"/>
                <w:highlight w:val="none"/>
              </w:rPr>
            </w:pPr>
          </w:p>
          <w:p>
            <w:pPr>
              <w:pStyle w:val="54"/>
              <w:ind w:left="1163"/>
              <w:rPr>
                <w:color w:val="auto"/>
                <w:sz w:val="21"/>
                <w:highlight w:val="none"/>
              </w:rPr>
            </w:pPr>
            <w:r>
              <w:rPr>
                <w:color w:val="auto"/>
                <w:sz w:val="21"/>
                <w:highlight w:val="none"/>
              </w:rPr>
              <w:t xml:space="preserve">说明 </w:t>
            </w:r>
          </w:p>
        </w:tc>
      </w:tr>
    </w:tbl>
    <w:p>
      <w:pPr>
        <w:rPr>
          <w:color w:val="auto"/>
          <w:sz w:val="21"/>
          <w:highlight w:val="none"/>
        </w:rPr>
        <w:sectPr>
          <w:pgSz w:w="11910" w:h="16850"/>
          <w:pgMar w:top="1280" w:right="860" w:bottom="1040" w:left="1280" w:header="877" w:footer="853" w:gutter="0"/>
          <w:cols w:space="720" w:num="1"/>
        </w:sectPr>
      </w:pPr>
    </w:p>
    <w:p>
      <w:pPr>
        <w:pStyle w:val="2"/>
        <w:jc w:val="center"/>
        <w:rPr>
          <w:b/>
          <w:bCs/>
          <w:color w:val="auto"/>
          <w:sz w:val="28"/>
          <w:szCs w:val="28"/>
          <w:highlight w:val="none"/>
        </w:rPr>
      </w:pPr>
      <w:r>
        <w:rPr>
          <w:b/>
          <w:bCs/>
          <w:color w:val="auto"/>
          <w:sz w:val="28"/>
          <w:szCs w:val="28"/>
          <w:highlight w:val="none"/>
        </w:rPr>
        <w:t>拟委任的项目经理资历表</w:t>
      </w:r>
    </w:p>
    <w:p>
      <w:pPr>
        <w:spacing w:before="6" w:after="4"/>
        <w:ind w:left="541"/>
        <w:jc w:val="center"/>
        <w:rPr>
          <w:b/>
          <w:color w:val="auto"/>
          <w:sz w:val="28"/>
          <w:highlight w:val="none"/>
        </w:rPr>
      </w:pPr>
      <w:r>
        <w:rPr>
          <w:b/>
          <w:color w:val="auto"/>
          <w:w w:val="99"/>
          <w:sz w:val="28"/>
          <w:highlight w:val="none"/>
        </w:rPr>
        <w:t xml:space="preserve"> </w:t>
      </w:r>
    </w:p>
    <w:tbl>
      <w:tblPr>
        <w:tblStyle w:val="52"/>
        <w:tblW w:w="0" w:type="auto"/>
        <w:tblInd w:w="24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277"/>
        <w:gridCol w:w="1405"/>
        <w:gridCol w:w="1131"/>
        <w:gridCol w:w="1383"/>
        <w:gridCol w:w="101"/>
        <w:gridCol w:w="1890"/>
        <w:gridCol w:w="145"/>
        <w:gridCol w:w="157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3" w:hRule="atLeast"/>
        </w:trPr>
        <w:tc>
          <w:tcPr>
            <w:tcW w:w="1277" w:type="dxa"/>
            <w:vAlign w:val="center"/>
          </w:tcPr>
          <w:p>
            <w:pPr>
              <w:pStyle w:val="54"/>
              <w:jc w:val="center"/>
              <w:rPr>
                <w:color w:val="auto"/>
                <w:sz w:val="21"/>
                <w:highlight w:val="none"/>
              </w:rPr>
            </w:pPr>
            <w:r>
              <w:rPr>
                <w:color w:val="auto"/>
                <w:sz w:val="21"/>
                <w:highlight w:val="none"/>
              </w:rPr>
              <w:t>姓名</w:t>
            </w:r>
          </w:p>
        </w:tc>
        <w:tc>
          <w:tcPr>
            <w:tcW w:w="1405" w:type="dxa"/>
            <w:vAlign w:val="center"/>
          </w:tcPr>
          <w:p>
            <w:pPr>
              <w:pStyle w:val="54"/>
              <w:spacing w:before="109"/>
              <w:ind w:left="9"/>
              <w:jc w:val="center"/>
              <w:rPr>
                <w:color w:val="auto"/>
                <w:sz w:val="21"/>
                <w:highlight w:val="none"/>
              </w:rPr>
            </w:pPr>
          </w:p>
        </w:tc>
        <w:tc>
          <w:tcPr>
            <w:tcW w:w="1131" w:type="dxa"/>
            <w:vAlign w:val="center"/>
          </w:tcPr>
          <w:p>
            <w:pPr>
              <w:pStyle w:val="54"/>
              <w:jc w:val="center"/>
              <w:rPr>
                <w:color w:val="auto"/>
                <w:sz w:val="21"/>
                <w:highlight w:val="none"/>
              </w:rPr>
            </w:pPr>
            <w:r>
              <w:rPr>
                <w:color w:val="auto"/>
                <w:sz w:val="21"/>
                <w:highlight w:val="none"/>
              </w:rPr>
              <w:t>年龄</w:t>
            </w:r>
          </w:p>
        </w:tc>
        <w:tc>
          <w:tcPr>
            <w:tcW w:w="1383" w:type="dxa"/>
            <w:vAlign w:val="center"/>
          </w:tcPr>
          <w:p>
            <w:pPr>
              <w:pStyle w:val="54"/>
              <w:spacing w:before="109"/>
              <w:ind w:left="8"/>
              <w:jc w:val="center"/>
              <w:rPr>
                <w:color w:val="auto"/>
                <w:sz w:val="21"/>
                <w:highlight w:val="none"/>
              </w:rPr>
            </w:pPr>
          </w:p>
        </w:tc>
        <w:tc>
          <w:tcPr>
            <w:tcW w:w="2136" w:type="dxa"/>
            <w:gridSpan w:val="3"/>
            <w:vAlign w:val="center"/>
          </w:tcPr>
          <w:p>
            <w:pPr>
              <w:pStyle w:val="54"/>
              <w:ind w:left="732"/>
              <w:jc w:val="center"/>
              <w:rPr>
                <w:color w:val="auto"/>
                <w:sz w:val="21"/>
                <w:highlight w:val="none"/>
              </w:rPr>
            </w:pPr>
            <w:r>
              <w:rPr>
                <w:color w:val="auto"/>
                <w:sz w:val="21"/>
                <w:highlight w:val="none"/>
              </w:rPr>
              <w:t>专业</w:t>
            </w:r>
          </w:p>
        </w:tc>
        <w:tc>
          <w:tcPr>
            <w:tcW w:w="1575" w:type="dxa"/>
            <w:vAlign w:val="center"/>
          </w:tcPr>
          <w:p>
            <w:pPr>
              <w:pStyle w:val="54"/>
              <w:spacing w:before="109"/>
              <w:ind w:left="7"/>
              <w:jc w:val="center"/>
              <w:rPr>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0" w:hRule="atLeast"/>
        </w:trPr>
        <w:tc>
          <w:tcPr>
            <w:tcW w:w="1277" w:type="dxa"/>
            <w:vAlign w:val="center"/>
          </w:tcPr>
          <w:p>
            <w:pPr>
              <w:pStyle w:val="54"/>
              <w:ind w:left="230"/>
              <w:rPr>
                <w:color w:val="auto"/>
                <w:sz w:val="21"/>
                <w:highlight w:val="none"/>
              </w:rPr>
            </w:pPr>
            <w:r>
              <w:rPr>
                <w:color w:val="auto"/>
                <w:sz w:val="21"/>
                <w:highlight w:val="none"/>
              </w:rPr>
              <w:t xml:space="preserve">技术职称 </w:t>
            </w:r>
          </w:p>
        </w:tc>
        <w:tc>
          <w:tcPr>
            <w:tcW w:w="1405" w:type="dxa"/>
            <w:vAlign w:val="center"/>
          </w:tcPr>
          <w:p>
            <w:pPr>
              <w:pStyle w:val="54"/>
              <w:spacing w:before="111"/>
              <w:ind w:left="9"/>
              <w:rPr>
                <w:color w:val="auto"/>
                <w:sz w:val="21"/>
                <w:highlight w:val="none"/>
              </w:rPr>
            </w:pPr>
            <w:r>
              <w:rPr>
                <w:color w:val="auto"/>
                <w:sz w:val="21"/>
                <w:highlight w:val="none"/>
              </w:rPr>
              <w:t xml:space="preserve"> </w:t>
            </w:r>
          </w:p>
        </w:tc>
        <w:tc>
          <w:tcPr>
            <w:tcW w:w="1131" w:type="dxa"/>
            <w:vAlign w:val="center"/>
          </w:tcPr>
          <w:p>
            <w:pPr>
              <w:pStyle w:val="54"/>
              <w:ind w:left="207" w:firstLine="210" w:firstLineChars="100"/>
              <w:rPr>
                <w:color w:val="auto"/>
                <w:sz w:val="21"/>
                <w:highlight w:val="none"/>
              </w:rPr>
            </w:pPr>
            <w:r>
              <w:rPr>
                <w:color w:val="auto"/>
                <w:sz w:val="21"/>
                <w:highlight w:val="none"/>
              </w:rPr>
              <w:t xml:space="preserve">学历 </w:t>
            </w:r>
          </w:p>
        </w:tc>
        <w:tc>
          <w:tcPr>
            <w:tcW w:w="1383" w:type="dxa"/>
            <w:vAlign w:val="center"/>
          </w:tcPr>
          <w:p>
            <w:pPr>
              <w:pStyle w:val="54"/>
              <w:spacing w:before="111"/>
              <w:ind w:left="8"/>
              <w:rPr>
                <w:color w:val="auto"/>
                <w:sz w:val="21"/>
                <w:highlight w:val="none"/>
              </w:rPr>
            </w:pPr>
            <w:r>
              <w:rPr>
                <w:color w:val="auto"/>
                <w:sz w:val="21"/>
                <w:highlight w:val="none"/>
              </w:rPr>
              <w:t xml:space="preserve"> </w:t>
            </w:r>
          </w:p>
        </w:tc>
        <w:tc>
          <w:tcPr>
            <w:tcW w:w="2136" w:type="dxa"/>
            <w:gridSpan w:val="3"/>
            <w:vAlign w:val="center"/>
          </w:tcPr>
          <w:p>
            <w:pPr>
              <w:pStyle w:val="54"/>
              <w:spacing w:line="400" w:lineRule="atLeast"/>
              <w:ind w:left="835" w:right="90" w:hanging="735"/>
              <w:rPr>
                <w:color w:val="auto"/>
                <w:sz w:val="21"/>
                <w:highlight w:val="none"/>
              </w:rPr>
            </w:pPr>
            <w:r>
              <w:rPr>
                <w:color w:val="auto"/>
                <w:sz w:val="21"/>
                <w:highlight w:val="none"/>
              </w:rPr>
              <w:t xml:space="preserve">拟在本标段工程任职 </w:t>
            </w:r>
          </w:p>
        </w:tc>
        <w:tc>
          <w:tcPr>
            <w:tcW w:w="1575" w:type="dxa"/>
            <w:vAlign w:val="center"/>
          </w:tcPr>
          <w:p>
            <w:pPr>
              <w:pStyle w:val="54"/>
              <w:spacing w:before="111"/>
              <w:ind w:left="7"/>
              <w:rPr>
                <w:color w:val="auto"/>
                <w:sz w:val="21"/>
                <w:highlight w:val="none"/>
              </w:rPr>
            </w:pPr>
            <w:r>
              <w:rPr>
                <w:color w:val="auto"/>
                <w:sz w:val="21"/>
                <w:highlight w:val="non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0" w:hRule="atLeast"/>
        </w:trPr>
        <w:tc>
          <w:tcPr>
            <w:tcW w:w="1277" w:type="dxa"/>
            <w:vAlign w:val="center"/>
          </w:tcPr>
          <w:p>
            <w:pPr>
              <w:pStyle w:val="54"/>
              <w:ind w:left="230"/>
              <w:rPr>
                <w:color w:val="auto"/>
                <w:sz w:val="21"/>
                <w:highlight w:val="none"/>
              </w:rPr>
            </w:pPr>
            <w:r>
              <w:rPr>
                <w:color w:val="auto"/>
                <w:sz w:val="21"/>
                <w:highlight w:val="none"/>
              </w:rPr>
              <w:t xml:space="preserve">工作年限 </w:t>
            </w:r>
          </w:p>
        </w:tc>
        <w:tc>
          <w:tcPr>
            <w:tcW w:w="3919" w:type="dxa"/>
            <w:gridSpan w:val="3"/>
            <w:vAlign w:val="center"/>
          </w:tcPr>
          <w:p>
            <w:pPr>
              <w:pStyle w:val="54"/>
              <w:spacing w:before="109"/>
              <w:ind w:left="9"/>
              <w:rPr>
                <w:color w:val="auto"/>
                <w:sz w:val="21"/>
                <w:highlight w:val="none"/>
              </w:rPr>
            </w:pPr>
            <w:r>
              <w:rPr>
                <w:color w:val="auto"/>
                <w:sz w:val="21"/>
                <w:highlight w:val="none"/>
              </w:rPr>
              <w:t xml:space="preserve"> </w:t>
            </w:r>
          </w:p>
        </w:tc>
        <w:tc>
          <w:tcPr>
            <w:tcW w:w="2136" w:type="dxa"/>
            <w:gridSpan w:val="3"/>
            <w:vAlign w:val="center"/>
          </w:tcPr>
          <w:p>
            <w:pPr>
              <w:pStyle w:val="54"/>
              <w:ind w:left="10"/>
              <w:rPr>
                <w:color w:val="auto"/>
                <w:sz w:val="21"/>
                <w:highlight w:val="none"/>
              </w:rPr>
            </w:pPr>
            <w:r>
              <w:rPr>
                <w:color w:val="auto"/>
                <w:sz w:val="21"/>
                <w:highlight w:val="none"/>
              </w:rPr>
              <w:t xml:space="preserve">类似施工经验年限 </w:t>
            </w:r>
          </w:p>
        </w:tc>
        <w:tc>
          <w:tcPr>
            <w:tcW w:w="1575" w:type="dxa"/>
            <w:vAlign w:val="center"/>
          </w:tcPr>
          <w:p>
            <w:pPr>
              <w:pStyle w:val="54"/>
              <w:spacing w:before="109"/>
              <w:ind w:left="7"/>
              <w:rPr>
                <w:color w:val="auto"/>
                <w:sz w:val="21"/>
                <w:highlight w:val="none"/>
              </w:rPr>
            </w:pPr>
            <w:r>
              <w:rPr>
                <w:color w:val="auto"/>
                <w:sz w:val="21"/>
                <w:highlight w:val="non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4" w:hRule="atLeast"/>
        </w:trPr>
        <w:tc>
          <w:tcPr>
            <w:tcW w:w="1277" w:type="dxa"/>
            <w:vAlign w:val="center"/>
          </w:tcPr>
          <w:p>
            <w:pPr>
              <w:pStyle w:val="54"/>
              <w:spacing w:before="129"/>
              <w:ind w:left="230"/>
              <w:rPr>
                <w:color w:val="auto"/>
                <w:sz w:val="21"/>
                <w:highlight w:val="none"/>
              </w:rPr>
            </w:pPr>
            <w:r>
              <w:rPr>
                <w:color w:val="auto"/>
                <w:sz w:val="21"/>
                <w:highlight w:val="none"/>
              </w:rPr>
              <w:t xml:space="preserve">毕业学校 </w:t>
            </w:r>
          </w:p>
        </w:tc>
        <w:tc>
          <w:tcPr>
            <w:tcW w:w="7630" w:type="dxa"/>
            <w:gridSpan w:val="7"/>
          </w:tcPr>
          <w:p>
            <w:pPr>
              <w:pStyle w:val="54"/>
              <w:spacing w:before="129"/>
              <w:ind w:left="4318"/>
              <w:rPr>
                <w:color w:val="auto"/>
                <w:sz w:val="21"/>
                <w:highlight w:val="none"/>
              </w:rPr>
            </w:pPr>
            <w:r>
              <w:rPr>
                <w:color w:val="auto"/>
                <w:sz w:val="21"/>
                <w:highlight w:val="none"/>
              </w:rPr>
              <w:t xml:space="preserve">年月毕业于学校专业，学制年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4" w:hRule="atLeast"/>
        </w:trPr>
        <w:tc>
          <w:tcPr>
            <w:tcW w:w="8907" w:type="dxa"/>
            <w:gridSpan w:val="8"/>
            <w:vAlign w:val="center"/>
          </w:tcPr>
          <w:p>
            <w:pPr>
              <w:pStyle w:val="54"/>
              <w:spacing w:before="129"/>
              <w:ind w:left="4318"/>
              <w:rPr>
                <w:rFonts w:hint="eastAsia" w:eastAsia="宋体"/>
                <w:color w:val="auto"/>
                <w:sz w:val="21"/>
                <w:highlight w:val="none"/>
                <w:lang w:eastAsia="zh-CN"/>
              </w:rPr>
            </w:pPr>
            <w:r>
              <w:rPr>
                <w:rFonts w:hint="eastAsia"/>
                <w:color w:val="auto"/>
                <w:sz w:val="21"/>
                <w:highlight w:val="none"/>
                <w:lang w:eastAsia="zh-CN"/>
              </w:rPr>
              <w:t>经历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4" w:hRule="atLeast"/>
        </w:trPr>
        <w:tc>
          <w:tcPr>
            <w:tcW w:w="1277" w:type="dxa"/>
            <w:vAlign w:val="center"/>
          </w:tcPr>
          <w:p>
            <w:pPr>
              <w:pStyle w:val="54"/>
              <w:spacing w:before="129"/>
              <w:ind w:left="230"/>
              <w:jc w:val="center"/>
              <w:rPr>
                <w:rFonts w:hint="eastAsia" w:eastAsia="宋体"/>
                <w:color w:val="auto"/>
                <w:sz w:val="21"/>
                <w:szCs w:val="21"/>
                <w:highlight w:val="none"/>
                <w:lang w:eastAsia="zh-CN"/>
              </w:rPr>
            </w:pPr>
            <w:r>
              <w:rPr>
                <w:rFonts w:hint="eastAsia"/>
                <w:color w:val="auto"/>
                <w:sz w:val="21"/>
                <w:szCs w:val="21"/>
                <w:highlight w:val="none"/>
                <w:lang w:eastAsia="zh-CN"/>
              </w:rPr>
              <w:t>时间</w:t>
            </w:r>
          </w:p>
        </w:tc>
        <w:tc>
          <w:tcPr>
            <w:tcW w:w="4020" w:type="dxa"/>
            <w:gridSpan w:val="4"/>
            <w:tcBorders>
              <w:right w:val="single" w:color="auto" w:sz="4" w:space="0"/>
            </w:tcBorders>
          </w:tcPr>
          <w:p>
            <w:pPr>
              <w:pStyle w:val="54"/>
              <w:spacing w:before="129"/>
              <w:jc w:val="center"/>
              <w:rPr>
                <w:rFonts w:hint="eastAsia" w:eastAsia="宋体"/>
                <w:color w:val="auto"/>
                <w:sz w:val="21"/>
                <w:szCs w:val="21"/>
                <w:highlight w:val="none"/>
                <w:lang w:eastAsia="zh-CN"/>
              </w:rPr>
            </w:pPr>
            <w:r>
              <w:rPr>
                <w:rFonts w:hint="eastAsia"/>
                <w:color w:val="auto"/>
                <w:sz w:val="21"/>
                <w:szCs w:val="21"/>
                <w:highlight w:val="none"/>
                <w:lang w:eastAsia="zh-CN"/>
              </w:rPr>
              <w:t>参加过的类似工程项目名称</w:t>
            </w:r>
          </w:p>
        </w:tc>
        <w:tc>
          <w:tcPr>
            <w:tcW w:w="1890" w:type="dxa"/>
            <w:tcBorders>
              <w:left w:val="single" w:color="auto" w:sz="4" w:space="0"/>
              <w:right w:val="single" w:color="auto" w:sz="4" w:space="0"/>
            </w:tcBorders>
          </w:tcPr>
          <w:p>
            <w:pPr>
              <w:pStyle w:val="54"/>
              <w:spacing w:before="129"/>
              <w:jc w:val="center"/>
              <w:rPr>
                <w:rFonts w:hint="eastAsia" w:eastAsia="宋体"/>
                <w:color w:val="auto"/>
                <w:sz w:val="21"/>
                <w:szCs w:val="21"/>
                <w:highlight w:val="none"/>
                <w:lang w:eastAsia="zh-CN"/>
              </w:rPr>
            </w:pPr>
            <w:r>
              <w:rPr>
                <w:rFonts w:hint="eastAsia"/>
                <w:color w:val="auto"/>
                <w:sz w:val="21"/>
                <w:szCs w:val="21"/>
                <w:highlight w:val="none"/>
                <w:lang w:eastAsia="zh-CN"/>
              </w:rPr>
              <w:t>担任职务</w:t>
            </w:r>
          </w:p>
        </w:tc>
        <w:tc>
          <w:tcPr>
            <w:tcW w:w="1720" w:type="dxa"/>
            <w:gridSpan w:val="2"/>
            <w:tcBorders>
              <w:left w:val="single" w:color="auto" w:sz="4" w:space="0"/>
            </w:tcBorders>
          </w:tcPr>
          <w:p>
            <w:pPr>
              <w:pStyle w:val="54"/>
              <w:spacing w:before="129"/>
              <w:jc w:val="center"/>
              <w:rPr>
                <w:rFonts w:hint="eastAsia" w:eastAsia="宋体"/>
                <w:color w:val="auto"/>
                <w:sz w:val="21"/>
                <w:szCs w:val="21"/>
                <w:highlight w:val="none"/>
                <w:lang w:eastAsia="zh-CN"/>
              </w:rPr>
            </w:pPr>
            <w:r>
              <w:rPr>
                <w:rFonts w:hint="eastAsia"/>
                <w:color w:val="auto"/>
                <w:sz w:val="21"/>
                <w:szCs w:val="21"/>
                <w:highlight w:val="none"/>
                <w:lang w:eastAsia="zh-CN"/>
              </w:rPr>
              <w:t>发包人及联系电话</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4" w:hRule="atLeast"/>
        </w:trPr>
        <w:tc>
          <w:tcPr>
            <w:tcW w:w="1277" w:type="dxa"/>
            <w:vAlign w:val="center"/>
          </w:tcPr>
          <w:p>
            <w:pPr>
              <w:pStyle w:val="54"/>
              <w:spacing w:before="129"/>
              <w:ind w:left="230"/>
              <w:jc w:val="center"/>
              <w:rPr>
                <w:rFonts w:hint="eastAsia"/>
                <w:color w:val="auto"/>
                <w:sz w:val="21"/>
                <w:szCs w:val="21"/>
                <w:highlight w:val="none"/>
                <w:lang w:eastAsia="zh-CN"/>
              </w:rPr>
            </w:pPr>
          </w:p>
        </w:tc>
        <w:tc>
          <w:tcPr>
            <w:tcW w:w="4020" w:type="dxa"/>
            <w:gridSpan w:val="4"/>
            <w:tcBorders>
              <w:right w:val="single" w:color="auto" w:sz="4" w:space="0"/>
            </w:tcBorders>
          </w:tcPr>
          <w:p>
            <w:pPr>
              <w:pStyle w:val="54"/>
              <w:spacing w:before="129"/>
              <w:jc w:val="center"/>
              <w:rPr>
                <w:rFonts w:hint="eastAsia"/>
                <w:color w:val="auto"/>
                <w:sz w:val="21"/>
                <w:szCs w:val="21"/>
                <w:highlight w:val="none"/>
                <w:lang w:eastAsia="zh-CN"/>
              </w:rPr>
            </w:pPr>
          </w:p>
        </w:tc>
        <w:tc>
          <w:tcPr>
            <w:tcW w:w="1890" w:type="dxa"/>
            <w:tcBorders>
              <w:left w:val="single" w:color="auto" w:sz="4" w:space="0"/>
              <w:right w:val="single" w:color="auto" w:sz="4" w:space="0"/>
            </w:tcBorders>
          </w:tcPr>
          <w:p>
            <w:pPr>
              <w:pStyle w:val="54"/>
              <w:spacing w:before="129"/>
              <w:jc w:val="center"/>
              <w:rPr>
                <w:rFonts w:hint="eastAsia"/>
                <w:color w:val="auto"/>
                <w:sz w:val="21"/>
                <w:szCs w:val="21"/>
                <w:highlight w:val="none"/>
                <w:lang w:eastAsia="zh-CN"/>
              </w:rPr>
            </w:pPr>
          </w:p>
        </w:tc>
        <w:tc>
          <w:tcPr>
            <w:tcW w:w="1720" w:type="dxa"/>
            <w:gridSpan w:val="2"/>
            <w:tcBorders>
              <w:left w:val="single" w:color="auto" w:sz="4" w:space="0"/>
            </w:tcBorders>
          </w:tcPr>
          <w:p>
            <w:pPr>
              <w:pStyle w:val="54"/>
              <w:spacing w:before="129"/>
              <w:jc w:val="center"/>
              <w:rPr>
                <w:rFonts w:hint="eastAsia"/>
                <w:color w:val="auto"/>
                <w:sz w:val="21"/>
                <w:szCs w:val="21"/>
                <w:highlight w:val="none"/>
                <w:lang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4" w:hRule="atLeast"/>
        </w:trPr>
        <w:tc>
          <w:tcPr>
            <w:tcW w:w="1277" w:type="dxa"/>
            <w:vAlign w:val="center"/>
          </w:tcPr>
          <w:p>
            <w:pPr>
              <w:pStyle w:val="54"/>
              <w:spacing w:before="129"/>
              <w:ind w:left="230"/>
              <w:jc w:val="center"/>
              <w:rPr>
                <w:rFonts w:hint="eastAsia"/>
                <w:color w:val="auto"/>
                <w:sz w:val="21"/>
                <w:szCs w:val="21"/>
                <w:highlight w:val="none"/>
                <w:lang w:eastAsia="zh-CN"/>
              </w:rPr>
            </w:pPr>
          </w:p>
        </w:tc>
        <w:tc>
          <w:tcPr>
            <w:tcW w:w="4020" w:type="dxa"/>
            <w:gridSpan w:val="4"/>
            <w:tcBorders>
              <w:right w:val="single" w:color="auto" w:sz="4" w:space="0"/>
            </w:tcBorders>
          </w:tcPr>
          <w:p>
            <w:pPr>
              <w:pStyle w:val="54"/>
              <w:spacing w:before="129"/>
              <w:jc w:val="center"/>
              <w:rPr>
                <w:rFonts w:hint="eastAsia"/>
                <w:color w:val="auto"/>
                <w:sz w:val="21"/>
                <w:szCs w:val="21"/>
                <w:highlight w:val="none"/>
                <w:lang w:eastAsia="zh-CN"/>
              </w:rPr>
            </w:pPr>
          </w:p>
        </w:tc>
        <w:tc>
          <w:tcPr>
            <w:tcW w:w="1890" w:type="dxa"/>
            <w:tcBorders>
              <w:left w:val="single" w:color="auto" w:sz="4" w:space="0"/>
              <w:right w:val="single" w:color="auto" w:sz="4" w:space="0"/>
            </w:tcBorders>
          </w:tcPr>
          <w:p>
            <w:pPr>
              <w:pStyle w:val="54"/>
              <w:spacing w:before="129"/>
              <w:jc w:val="center"/>
              <w:rPr>
                <w:rFonts w:hint="eastAsia"/>
                <w:color w:val="auto"/>
                <w:sz w:val="21"/>
                <w:szCs w:val="21"/>
                <w:highlight w:val="none"/>
                <w:lang w:eastAsia="zh-CN"/>
              </w:rPr>
            </w:pPr>
          </w:p>
        </w:tc>
        <w:tc>
          <w:tcPr>
            <w:tcW w:w="1720" w:type="dxa"/>
            <w:gridSpan w:val="2"/>
            <w:tcBorders>
              <w:left w:val="single" w:color="auto" w:sz="4" w:space="0"/>
            </w:tcBorders>
          </w:tcPr>
          <w:p>
            <w:pPr>
              <w:pStyle w:val="54"/>
              <w:spacing w:before="129"/>
              <w:jc w:val="center"/>
              <w:rPr>
                <w:rFonts w:hint="eastAsia"/>
                <w:color w:val="auto"/>
                <w:sz w:val="21"/>
                <w:szCs w:val="21"/>
                <w:highlight w:val="none"/>
                <w:lang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4" w:hRule="atLeast"/>
        </w:trPr>
        <w:tc>
          <w:tcPr>
            <w:tcW w:w="1277" w:type="dxa"/>
            <w:vAlign w:val="center"/>
          </w:tcPr>
          <w:p>
            <w:pPr>
              <w:pStyle w:val="54"/>
              <w:spacing w:before="129"/>
              <w:ind w:left="230"/>
              <w:jc w:val="center"/>
              <w:rPr>
                <w:rFonts w:hint="eastAsia"/>
                <w:color w:val="auto"/>
                <w:sz w:val="21"/>
                <w:szCs w:val="21"/>
                <w:highlight w:val="none"/>
                <w:lang w:eastAsia="zh-CN"/>
              </w:rPr>
            </w:pPr>
          </w:p>
        </w:tc>
        <w:tc>
          <w:tcPr>
            <w:tcW w:w="4020" w:type="dxa"/>
            <w:gridSpan w:val="4"/>
            <w:tcBorders>
              <w:right w:val="single" w:color="auto" w:sz="4" w:space="0"/>
            </w:tcBorders>
          </w:tcPr>
          <w:p>
            <w:pPr>
              <w:pStyle w:val="54"/>
              <w:spacing w:before="129"/>
              <w:jc w:val="center"/>
              <w:rPr>
                <w:rFonts w:hint="eastAsia"/>
                <w:color w:val="auto"/>
                <w:sz w:val="21"/>
                <w:szCs w:val="21"/>
                <w:highlight w:val="none"/>
                <w:lang w:eastAsia="zh-CN"/>
              </w:rPr>
            </w:pPr>
          </w:p>
        </w:tc>
        <w:tc>
          <w:tcPr>
            <w:tcW w:w="1890" w:type="dxa"/>
            <w:tcBorders>
              <w:left w:val="single" w:color="auto" w:sz="4" w:space="0"/>
              <w:right w:val="single" w:color="auto" w:sz="4" w:space="0"/>
            </w:tcBorders>
          </w:tcPr>
          <w:p>
            <w:pPr>
              <w:pStyle w:val="54"/>
              <w:spacing w:before="129"/>
              <w:jc w:val="center"/>
              <w:rPr>
                <w:rFonts w:hint="eastAsia"/>
                <w:color w:val="auto"/>
                <w:sz w:val="21"/>
                <w:szCs w:val="21"/>
                <w:highlight w:val="none"/>
                <w:lang w:eastAsia="zh-CN"/>
              </w:rPr>
            </w:pPr>
          </w:p>
        </w:tc>
        <w:tc>
          <w:tcPr>
            <w:tcW w:w="1720" w:type="dxa"/>
            <w:gridSpan w:val="2"/>
            <w:tcBorders>
              <w:left w:val="single" w:color="auto" w:sz="4" w:space="0"/>
            </w:tcBorders>
          </w:tcPr>
          <w:p>
            <w:pPr>
              <w:pStyle w:val="54"/>
              <w:spacing w:before="129"/>
              <w:jc w:val="center"/>
              <w:rPr>
                <w:rFonts w:hint="eastAsia"/>
                <w:color w:val="auto"/>
                <w:sz w:val="21"/>
                <w:szCs w:val="21"/>
                <w:highlight w:val="none"/>
                <w:lang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4" w:hRule="atLeast"/>
        </w:trPr>
        <w:tc>
          <w:tcPr>
            <w:tcW w:w="1277" w:type="dxa"/>
            <w:vAlign w:val="center"/>
          </w:tcPr>
          <w:p>
            <w:pPr>
              <w:pStyle w:val="54"/>
              <w:spacing w:before="129"/>
              <w:ind w:left="230"/>
              <w:jc w:val="center"/>
              <w:rPr>
                <w:rFonts w:hint="eastAsia"/>
                <w:color w:val="auto"/>
                <w:sz w:val="21"/>
                <w:szCs w:val="21"/>
                <w:highlight w:val="none"/>
                <w:lang w:eastAsia="zh-CN"/>
              </w:rPr>
            </w:pPr>
          </w:p>
        </w:tc>
        <w:tc>
          <w:tcPr>
            <w:tcW w:w="4020" w:type="dxa"/>
            <w:gridSpan w:val="4"/>
            <w:tcBorders>
              <w:right w:val="single" w:color="auto" w:sz="4" w:space="0"/>
            </w:tcBorders>
          </w:tcPr>
          <w:p>
            <w:pPr>
              <w:pStyle w:val="54"/>
              <w:spacing w:before="129"/>
              <w:jc w:val="center"/>
              <w:rPr>
                <w:rFonts w:hint="eastAsia"/>
                <w:color w:val="auto"/>
                <w:sz w:val="21"/>
                <w:szCs w:val="21"/>
                <w:highlight w:val="none"/>
                <w:lang w:eastAsia="zh-CN"/>
              </w:rPr>
            </w:pPr>
          </w:p>
        </w:tc>
        <w:tc>
          <w:tcPr>
            <w:tcW w:w="1890" w:type="dxa"/>
            <w:tcBorders>
              <w:left w:val="single" w:color="auto" w:sz="4" w:space="0"/>
              <w:right w:val="single" w:color="auto" w:sz="4" w:space="0"/>
            </w:tcBorders>
          </w:tcPr>
          <w:p>
            <w:pPr>
              <w:pStyle w:val="54"/>
              <w:spacing w:before="129"/>
              <w:jc w:val="center"/>
              <w:rPr>
                <w:rFonts w:hint="eastAsia"/>
                <w:color w:val="auto"/>
                <w:sz w:val="21"/>
                <w:szCs w:val="21"/>
                <w:highlight w:val="none"/>
                <w:lang w:eastAsia="zh-CN"/>
              </w:rPr>
            </w:pPr>
          </w:p>
        </w:tc>
        <w:tc>
          <w:tcPr>
            <w:tcW w:w="1720" w:type="dxa"/>
            <w:gridSpan w:val="2"/>
            <w:tcBorders>
              <w:left w:val="single" w:color="auto" w:sz="4" w:space="0"/>
            </w:tcBorders>
          </w:tcPr>
          <w:p>
            <w:pPr>
              <w:pStyle w:val="54"/>
              <w:spacing w:before="129"/>
              <w:jc w:val="center"/>
              <w:rPr>
                <w:rFonts w:hint="eastAsia"/>
                <w:color w:val="auto"/>
                <w:sz w:val="21"/>
                <w:szCs w:val="21"/>
                <w:highlight w:val="none"/>
                <w:lang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4" w:hRule="atLeast"/>
        </w:trPr>
        <w:tc>
          <w:tcPr>
            <w:tcW w:w="1277" w:type="dxa"/>
            <w:vAlign w:val="center"/>
          </w:tcPr>
          <w:p>
            <w:pPr>
              <w:pStyle w:val="54"/>
              <w:spacing w:before="129"/>
              <w:ind w:left="230"/>
              <w:jc w:val="center"/>
              <w:rPr>
                <w:rFonts w:hint="eastAsia"/>
                <w:color w:val="auto"/>
                <w:sz w:val="21"/>
                <w:szCs w:val="21"/>
                <w:highlight w:val="none"/>
                <w:lang w:eastAsia="zh-CN"/>
              </w:rPr>
            </w:pPr>
          </w:p>
        </w:tc>
        <w:tc>
          <w:tcPr>
            <w:tcW w:w="4020" w:type="dxa"/>
            <w:gridSpan w:val="4"/>
            <w:tcBorders>
              <w:right w:val="single" w:color="auto" w:sz="4" w:space="0"/>
            </w:tcBorders>
          </w:tcPr>
          <w:p>
            <w:pPr>
              <w:pStyle w:val="54"/>
              <w:spacing w:before="129"/>
              <w:jc w:val="center"/>
              <w:rPr>
                <w:rFonts w:hint="eastAsia"/>
                <w:color w:val="auto"/>
                <w:sz w:val="21"/>
                <w:szCs w:val="21"/>
                <w:highlight w:val="none"/>
                <w:lang w:eastAsia="zh-CN"/>
              </w:rPr>
            </w:pPr>
          </w:p>
        </w:tc>
        <w:tc>
          <w:tcPr>
            <w:tcW w:w="1890" w:type="dxa"/>
            <w:tcBorders>
              <w:left w:val="single" w:color="auto" w:sz="4" w:space="0"/>
              <w:right w:val="single" w:color="auto" w:sz="4" w:space="0"/>
            </w:tcBorders>
          </w:tcPr>
          <w:p>
            <w:pPr>
              <w:pStyle w:val="54"/>
              <w:spacing w:before="129"/>
              <w:jc w:val="center"/>
              <w:rPr>
                <w:rFonts w:hint="eastAsia"/>
                <w:color w:val="auto"/>
                <w:sz w:val="21"/>
                <w:szCs w:val="21"/>
                <w:highlight w:val="none"/>
                <w:lang w:eastAsia="zh-CN"/>
              </w:rPr>
            </w:pPr>
          </w:p>
        </w:tc>
        <w:tc>
          <w:tcPr>
            <w:tcW w:w="1720" w:type="dxa"/>
            <w:gridSpan w:val="2"/>
            <w:tcBorders>
              <w:left w:val="single" w:color="auto" w:sz="4" w:space="0"/>
            </w:tcBorders>
          </w:tcPr>
          <w:p>
            <w:pPr>
              <w:pStyle w:val="54"/>
              <w:spacing w:before="129"/>
              <w:jc w:val="center"/>
              <w:rPr>
                <w:rFonts w:hint="eastAsia"/>
                <w:color w:val="auto"/>
                <w:sz w:val="21"/>
                <w:szCs w:val="21"/>
                <w:highlight w:val="none"/>
                <w:lang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4" w:hRule="atLeast"/>
        </w:trPr>
        <w:tc>
          <w:tcPr>
            <w:tcW w:w="1277" w:type="dxa"/>
            <w:vAlign w:val="center"/>
          </w:tcPr>
          <w:p>
            <w:pPr>
              <w:pStyle w:val="54"/>
              <w:spacing w:before="129"/>
              <w:ind w:left="230"/>
              <w:jc w:val="center"/>
              <w:rPr>
                <w:rFonts w:hint="eastAsia"/>
                <w:color w:val="auto"/>
                <w:sz w:val="21"/>
                <w:szCs w:val="21"/>
                <w:highlight w:val="none"/>
                <w:lang w:eastAsia="zh-CN"/>
              </w:rPr>
            </w:pPr>
          </w:p>
        </w:tc>
        <w:tc>
          <w:tcPr>
            <w:tcW w:w="4020" w:type="dxa"/>
            <w:gridSpan w:val="4"/>
            <w:tcBorders>
              <w:right w:val="single" w:color="auto" w:sz="4" w:space="0"/>
            </w:tcBorders>
          </w:tcPr>
          <w:p>
            <w:pPr>
              <w:pStyle w:val="54"/>
              <w:spacing w:before="129"/>
              <w:jc w:val="center"/>
              <w:rPr>
                <w:rFonts w:hint="eastAsia"/>
                <w:color w:val="auto"/>
                <w:sz w:val="21"/>
                <w:szCs w:val="21"/>
                <w:highlight w:val="none"/>
                <w:lang w:eastAsia="zh-CN"/>
              </w:rPr>
            </w:pPr>
          </w:p>
        </w:tc>
        <w:tc>
          <w:tcPr>
            <w:tcW w:w="1890" w:type="dxa"/>
            <w:tcBorders>
              <w:left w:val="single" w:color="auto" w:sz="4" w:space="0"/>
              <w:right w:val="single" w:color="auto" w:sz="4" w:space="0"/>
            </w:tcBorders>
          </w:tcPr>
          <w:p>
            <w:pPr>
              <w:pStyle w:val="54"/>
              <w:spacing w:before="129"/>
              <w:jc w:val="center"/>
              <w:rPr>
                <w:rFonts w:hint="eastAsia"/>
                <w:color w:val="auto"/>
                <w:sz w:val="21"/>
                <w:szCs w:val="21"/>
                <w:highlight w:val="none"/>
                <w:lang w:eastAsia="zh-CN"/>
              </w:rPr>
            </w:pPr>
          </w:p>
        </w:tc>
        <w:tc>
          <w:tcPr>
            <w:tcW w:w="1720" w:type="dxa"/>
            <w:gridSpan w:val="2"/>
            <w:tcBorders>
              <w:left w:val="single" w:color="auto" w:sz="4" w:space="0"/>
            </w:tcBorders>
          </w:tcPr>
          <w:p>
            <w:pPr>
              <w:pStyle w:val="54"/>
              <w:spacing w:before="129"/>
              <w:jc w:val="center"/>
              <w:rPr>
                <w:rFonts w:hint="eastAsia"/>
                <w:color w:val="auto"/>
                <w:sz w:val="21"/>
                <w:szCs w:val="21"/>
                <w:highlight w:val="none"/>
                <w:lang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1" w:hRule="atLeast"/>
        </w:trPr>
        <w:tc>
          <w:tcPr>
            <w:tcW w:w="2682" w:type="dxa"/>
            <w:gridSpan w:val="2"/>
            <w:vAlign w:val="center"/>
          </w:tcPr>
          <w:p>
            <w:pPr>
              <w:pStyle w:val="54"/>
              <w:ind w:left="710"/>
              <w:rPr>
                <w:rFonts w:hint="eastAsia" w:eastAsia="宋体"/>
                <w:color w:val="auto"/>
                <w:sz w:val="21"/>
                <w:highlight w:val="none"/>
                <w:lang w:eastAsia="zh-CN"/>
              </w:rPr>
            </w:pPr>
            <w:r>
              <w:rPr>
                <w:rFonts w:hint="eastAsia"/>
                <w:color w:val="auto"/>
                <w:sz w:val="21"/>
                <w:highlight w:val="none"/>
                <w:lang w:eastAsia="zh-CN"/>
              </w:rPr>
              <w:t>获奖情况</w:t>
            </w:r>
          </w:p>
        </w:tc>
        <w:tc>
          <w:tcPr>
            <w:tcW w:w="6225" w:type="dxa"/>
            <w:gridSpan w:val="6"/>
            <w:vAlign w:val="center"/>
          </w:tcPr>
          <w:p>
            <w:pPr>
              <w:pStyle w:val="54"/>
              <w:spacing w:line="408" w:lineRule="auto"/>
              <w:ind w:left="8" w:right="-44"/>
              <w:rPr>
                <w:color w:val="auto"/>
                <w:spacing w:val="-3"/>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91" w:hRule="atLeast"/>
        </w:trPr>
        <w:tc>
          <w:tcPr>
            <w:tcW w:w="2682" w:type="dxa"/>
            <w:gridSpan w:val="2"/>
            <w:vAlign w:val="center"/>
          </w:tcPr>
          <w:p>
            <w:pPr>
              <w:pStyle w:val="54"/>
              <w:ind w:left="710"/>
              <w:rPr>
                <w:color w:val="auto"/>
                <w:sz w:val="21"/>
                <w:highlight w:val="none"/>
              </w:rPr>
            </w:pPr>
            <w:r>
              <w:rPr>
                <w:color w:val="auto"/>
                <w:sz w:val="21"/>
                <w:highlight w:val="none"/>
              </w:rPr>
              <w:t xml:space="preserve">说明在岗情况 </w:t>
            </w:r>
          </w:p>
        </w:tc>
        <w:tc>
          <w:tcPr>
            <w:tcW w:w="6225" w:type="dxa"/>
            <w:gridSpan w:val="6"/>
            <w:vAlign w:val="center"/>
          </w:tcPr>
          <w:p>
            <w:pPr>
              <w:pStyle w:val="54"/>
              <w:ind w:left="8"/>
              <w:rPr>
                <w:color w:val="auto"/>
                <w:sz w:val="21"/>
                <w:highlight w:val="none"/>
              </w:rPr>
            </w:pPr>
            <w:r>
              <w:rPr>
                <w:color w:val="auto"/>
                <w:sz w:val="21"/>
                <w:highlight w:val="none"/>
              </w:rPr>
              <w:t xml:space="preserve">□目前未在其他项目上任职。 </w:t>
            </w:r>
          </w:p>
          <w:p>
            <w:pPr>
              <w:pStyle w:val="54"/>
              <w:spacing w:before="12"/>
              <w:rPr>
                <w:b/>
                <w:color w:val="auto"/>
                <w:sz w:val="14"/>
                <w:highlight w:val="none"/>
              </w:rPr>
            </w:pPr>
          </w:p>
          <w:p>
            <w:pPr>
              <w:pStyle w:val="54"/>
              <w:spacing w:line="408" w:lineRule="auto"/>
              <w:ind w:left="8" w:right="-44"/>
              <w:rPr>
                <w:color w:val="auto"/>
                <w:sz w:val="21"/>
                <w:highlight w:val="none"/>
              </w:rPr>
            </w:pPr>
            <w:r>
              <w:rPr>
                <w:color w:val="auto"/>
                <w:spacing w:val="-3"/>
                <w:sz w:val="21"/>
                <w:highlight w:val="none"/>
              </w:rPr>
              <w:t>□目前虽在其他项目上任职，但本项目中标后能够从该项目撤离， 目前任职项目：</w:t>
            </w:r>
            <w:r>
              <w:rPr>
                <w:color w:val="auto"/>
                <w:spacing w:val="20"/>
                <w:sz w:val="21"/>
                <w:highlight w:val="none"/>
                <w:u w:val="single"/>
              </w:rPr>
              <w:t xml:space="preserve">       </w:t>
            </w:r>
            <w:r>
              <w:rPr>
                <w:color w:val="auto"/>
                <w:spacing w:val="-3"/>
                <w:sz w:val="21"/>
                <w:highlight w:val="none"/>
              </w:rPr>
              <w:t>，担任职位：</w:t>
            </w:r>
            <w:r>
              <w:rPr>
                <w:color w:val="auto"/>
                <w:spacing w:val="28"/>
                <w:sz w:val="21"/>
                <w:highlight w:val="none"/>
                <w:u w:val="single"/>
              </w:rPr>
              <w:t xml:space="preserve">       </w:t>
            </w:r>
            <w:r>
              <w:rPr>
                <w:color w:val="auto"/>
                <w:spacing w:val="-3"/>
                <w:sz w:val="21"/>
                <w:highlight w:val="none"/>
              </w:rPr>
              <w:t>。</w:t>
            </w:r>
            <w:r>
              <w:rPr>
                <w:color w:val="auto"/>
                <w:sz w:val="21"/>
                <w:highlight w:val="non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08" w:hRule="atLeast"/>
        </w:trPr>
        <w:tc>
          <w:tcPr>
            <w:tcW w:w="2682" w:type="dxa"/>
            <w:gridSpan w:val="2"/>
            <w:vAlign w:val="center"/>
          </w:tcPr>
          <w:p>
            <w:pPr>
              <w:pStyle w:val="54"/>
              <w:ind w:left="1162" w:right="1049"/>
              <w:jc w:val="center"/>
              <w:rPr>
                <w:color w:val="auto"/>
                <w:sz w:val="21"/>
                <w:highlight w:val="none"/>
              </w:rPr>
            </w:pPr>
            <w:r>
              <w:rPr>
                <w:color w:val="auto"/>
                <w:sz w:val="21"/>
                <w:highlight w:val="none"/>
              </w:rPr>
              <w:t xml:space="preserve">备注 </w:t>
            </w:r>
          </w:p>
        </w:tc>
        <w:tc>
          <w:tcPr>
            <w:tcW w:w="6225" w:type="dxa"/>
            <w:gridSpan w:val="6"/>
            <w:vAlign w:val="center"/>
          </w:tcPr>
          <w:p>
            <w:pPr>
              <w:pStyle w:val="54"/>
              <w:spacing w:before="109"/>
              <w:ind w:left="8"/>
              <w:rPr>
                <w:color w:val="auto"/>
                <w:sz w:val="21"/>
                <w:highlight w:val="none"/>
              </w:rPr>
            </w:pPr>
            <w:r>
              <w:rPr>
                <w:color w:val="auto"/>
                <w:sz w:val="21"/>
                <w:highlight w:val="none"/>
              </w:rPr>
              <w:t xml:space="preserve"> </w:t>
            </w:r>
          </w:p>
        </w:tc>
      </w:tr>
    </w:tbl>
    <w:p>
      <w:pPr>
        <w:spacing w:before="129"/>
        <w:ind w:left="251"/>
        <w:rPr>
          <w:color w:val="auto"/>
          <w:highlight w:val="none"/>
        </w:rPr>
      </w:pPr>
      <w:r>
        <w:rPr>
          <w:color w:val="auto"/>
          <w:w w:val="99"/>
          <w:sz w:val="19"/>
          <w:highlight w:val="none"/>
        </w:rPr>
        <w:t xml:space="preserve"> </w:t>
      </w:r>
    </w:p>
    <w:p>
      <w:pPr>
        <w:pStyle w:val="2"/>
        <w:spacing w:before="129"/>
        <w:ind w:left="251"/>
        <w:rPr>
          <w:color w:val="auto"/>
          <w:sz w:val="24"/>
          <w:szCs w:val="24"/>
          <w:highlight w:val="none"/>
        </w:rPr>
      </w:pPr>
      <w:r>
        <w:rPr>
          <w:color w:val="auto"/>
          <w:sz w:val="24"/>
          <w:szCs w:val="24"/>
          <w:highlight w:val="none"/>
        </w:rPr>
        <w:t xml:space="preserve"> </w:t>
      </w:r>
      <w:r>
        <w:rPr>
          <w:rFonts w:hint="eastAsia"/>
          <w:color w:val="auto"/>
          <w:sz w:val="24"/>
          <w:szCs w:val="24"/>
          <w:highlight w:val="none"/>
        </w:rPr>
        <w:t>【备注:附以上人员资格证件等相关证明材料扫描件，以及供应商认为需要增加的其他证明材料扫描件，以上扫描件均须加盖供供应商电子签章。】</w:t>
      </w:r>
    </w:p>
    <w:p>
      <w:pPr>
        <w:pStyle w:val="2"/>
        <w:jc w:val="center"/>
        <w:rPr>
          <w:b/>
          <w:bCs/>
          <w:color w:val="auto"/>
          <w:sz w:val="28"/>
          <w:szCs w:val="28"/>
          <w:highlight w:val="none"/>
        </w:rPr>
      </w:pPr>
      <w:r>
        <w:rPr>
          <w:b/>
          <w:bCs/>
          <w:color w:val="auto"/>
          <w:sz w:val="28"/>
          <w:szCs w:val="28"/>
          <w:highlight w:val="none"/>
        </w:rPr>
        <w:t>拟委任的其他管理和技术人员汇总表</w:t>
      </w:r>
    </w:p>
    <w:p>
      <w:pPr>
        <w:spacing w:before="6" w:after="30"/>
        <w:ind w:left="541"/>
        <w:jc w:val="center"/>
        <w:rPr>
          <w:b/>
          <w:color w:val="auto"/>
          <w:sz w:val="28"/>
          <w:highlight w:val="none"/>
        </w:rPr>
      </w:pPr>
      <w:r>
        <w:rPr>
          <w:b/>
          <w:color w:val="auto"/>
          <w:w w:val="99"/>
          <w:sz w:val="28"/>
          <w:highlight w:val="none"/>
        </w:rPr>
        <w:t xml:space="preserve"> </w:t>
      </w:r>
    </w:p>
    <w:tbl>
      <w:tblPr>
        <w:tblStyle w:val="52"/>
        <w:tblW w:w="0" w:type="auto"/>
        <w:tblInd w:w="24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936"/>
        <w:gridCol w:w="926"/>
        <w:gridCol w:w="2686"/>
        <w:gridCol w:w="1099"/>
        <w:gridCol w:w="1308"/>
        <w:gridCol w:w="195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63" w:hRule="atLeast"/>
        </w:trPr>
        <w:tc>
          <w:tcPr>
            <w:tcW w:w="936" w:type="dxa"/>
            <w:vAlign w:val="center"/>
          </w:tcPr>
          <w:p>
            <w:pPr>
              <w:pStyle w:val="54"/>
              <w:spacing w:before="1"/>
              <w:ind w:left="290"/>
              <w:rPr>
                <w:color w:val="auto"/>
                <w:sz w:val="21"/>
                <w:highlight w:val="none"/>
              </w:rPr>
            </w:pPr>
            <w:r>
              <w:rPr>
                <w:color w:val="auto"/>
                <w:sz w:val="21"/>
                <w:highlight w:val="none"/>
              </w:rPr>
              <w:t xml:space="preserve">姓名 </w:t>
            </w:r>
          </w:p>
        </w:tc>
        <w:tc>
          <w:tcPr>
            <w:tcW w:w="926" w:type="dxa"/>
            <w:vAlign w:val="center"/>
          </w:tcPr>
          <w:p>
            <w:pPr>
              <w:pStyle w:val="54"/>
              <w:spacing w:before="1"/>
              <w:ind w:left="268"/>
              <w:rPr>
                <w:color w:val="auto"/>
                <w:sz w:val="21"/>
                <w:highlight w:val="none"/>
              </w:rPr>
            </w:pPr>
            <w:r>
              <w:rPr>
                <w:color w:val="auto"/>
                <w:sz w:val="21"/>
                <w:highlight w:val="none"/>
              </w:rPr>
              <w:t xml:space="preserve">年龄 </w:t>
            </w:r>
          </w:p>
        </w:tc>
        <w:tc>
          <w:tcPr>
            <w:tcW w:w="2686" w:type="dxa"/>
            <w:vAlign w:val="center"/>
          </w:tcPr>
          <w:p>
            <w:pPr>
              <w:pStyle w:val="54"/>
              <w:spacing w:before="1"/>
              <w:ind w:left="396"/>
              <w:rPr>
                <w:color w:val="auto"/>
                <w:sz w:val="21"/>
                <w:highlight w:val="none"/>
              </w:rPr>
            </w:pPr>
            <w:r>
              <w:rPr>
                <w:color w:val="auto"/>
                <w:sz w:val="21"/>
                <w:highlight w:val="none"/>
              </w:rPr>
              <w:t xml:space="preserve">拟在本标段工程任职 </w:t>
            </w:r>
          </w:p>
        </w:tc>
        <w:tc>
          <w:tcPr>
            <w:tcW w:w="1099" w:type="dxa"/>
            <w:vAlign w:val="center"/>
          </w:tcPr>
          <w:p>
            <w:pPr>
              <w:pStyle w:val="54"/>
              <w:spacing w:before="1"/>
              <w:ind w:left="10"/>
              <w:rPr>
                <w:color w:val="auto"/>
                <w:sz w:val="21"/>
                <w:highlight w:val="none"/>
              </w:rPr>
            </w:pPr>
            <w:r>
              <w:rPr>
                <w:color w:val="auto"/>
                <w:sz w:val="21"/>
                <w:highlight w:val="none"/>
              </w:rPr>
              <w:t xml:space="preserve">技术职称 </w:t>
            </w:r>
          </w:p>
        </w:tc>
        <w:tc>
          <w:tcPr>
            <w:tcW w:w="1308" w:type="dxa"/>
            <w:vAlign w:val="center"/>
          </w:tcPr>
          <w:p>
            <w:pPr>
              <w:pStyle w:val="54"/>
              <w:spacing w:before="1"/>
              <w:ind w:left="250"/>
              <w:rPr>
                <w:color w:val="auto"/>
                <w:sz w:val="21"/>
                <w:highlight w:val="none"/>
              </w:rPr>
            </w:pPr>
            <w:r>
              <w:rPr>
                <w:color w:val="auto"/>
                <w:sz w:val="21"/>
                <w:highlight w:val="none"/>
              </w:rPr>
              <w:t xml:space="preserve">工作年限 </w:t>
            </w:r>
          </w:p>
        </w:tc>
        <w:tc>
          <w:tcPr>
            <w:tcW w:w="1953" w:type="dxa"/>
            <w:vAlign w:val="center"/>
          </w:tcPr>
          <w:p>
            <w:pPr>
              <w:pStyle w:val="54"/>
              <w:spacing w:before="1"/>
              <w:ind w:left="150"/>
              <w:rPr>
                <w:color w:val="auto"/>
                <w:sz w:val="21"/>
                <w:highlight w:val="none"/>
              </w:rPr>
            </w:pPr>
            <w:r>
              <w:rPr>
                <w:color w:val="auto"/>
                <w:sz w:val="21"/>
                <w:highlight w:val="none"/>
              </w:rPr>
              <w:t xml:space="preserve">类似施工经验年限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7" w:hRule="atLeast"/>
        </w:trPr>
        <w:tc>
          <w:tcPr>
            <w:tcW w:w="936" w:type="dxa"/>
          </w:tcPr>
          <w:p>
            <w:pPr>
              <w:pStyle w:val="54"/>
              <w:spacing w:before="142"/>
              <w:ind w:left="9"/>
              <w:rPr>
                <w:color w:val="auto"/>
                <w:sz w:val="21"/>
                <w:highlight w:val="none"/>
              </w:rPr>
            </w:pPr>
            <w:r>
              <w:rPr>
                <w:color w:val="auto"/>
                <w:sz w:val="21"/>
                <w:highlight w:val="none"/>
              </w:rPr>
              <w:t xml:space="preserve"> </w:t>
            </w:r>
          </w:p>
        </w:tc>
        <w:tc>
          <w:tcPr>
            <w:tcW w:w="926" w:type="dxa"/>
          </w:tcPr>
          <w:p>
            <w:pPr>
              <w:pStyle w:val="54"/>
              <w:spacing w:before="142"/>
              <w:ind w:left="9"/>
              <w:rPr>
                <w:color w:val="auto"/>
                <w:sz w:val="21"/>
                <w:highlight w:val="none"/>
              </w:rPr>
            </w:pPr>
            <w:r>
              <w:rPr>
                <w:color w:val="auto"/>
                <w:sz w:val="21"/>
                <w:highlight w:val="none"/>
              </w:rPr>
              <w:t xml:space="preserve"> </w:t>
            </w:r>
          </w:p>
        </w:tc>
        <w:tc>
          <w:tcPr>
            <w:tcW w:w="2686" w:type="dxa"/>
          </w:tcPr>
          <w:p>
            <w:pPr>
              <w:pStyle w:val="54"/>
              <w:spacing w:before="142"/>
              <w:ind w:left="9"/>
              <w:rPr>
                <w:color w:val="auto"/>
                <w:sz w:val="21"/>
                <w:highlight w:val="none"/>
              </w:rPr>
            </w:pPr>
            <w:r>
              <w:rPr>
                <w:color w:val="auto"/>
                <w:sz w:val="21"/>
                <w:highlight w:val="none"/>
              </w:rPr>
              <w:t xml:space="preserve"> </w:t>
            </w:r>
          </w:p>
        </w:tc>
        <w:tc>
          <w:tcPr>
            <w:tcW w:w="1099" w:type="dxa"/>
          </w:tcPr>
          <w:p>
            <w:pPr>
              <w:pStyle w:val="54"/>
              <w:spacing w:before="142"/>
              <w:ind w:left="10"/>
              <w:rPr>
                <w:color w:val="auto"/>
                <w:sz w:val="21"/>
                <w:highlight w:val="none"/>
              </w:rPr>
            </w:pPr>
            <w:r>
              <w:rPr>
                <w:color w:val="auto"/>
                <w:sz w:val="21"/>
                <w:highlight w:val="none"/>
              </w:rPr>
              <w:t xml:space="preserve"> </w:t>
            </w:r>
          </w:p>
        </w:tc>
        <w:tc>
          <w:tcPr>
            <w:tcW w:w="1308" w:type="dxa"/>
          </w:tcPr>
          <w:p>
            <w:pPr>
              <w:pStyle w:val="54"/>
              <w:spacing w:before="142"/>
              <w:ind w:left="10"/>
              <w:rPr>
                <w:color w:val="auto"/>
                <w:sz w:val="21"/>
                <w:highlight w:val="none"/>
              </w:rPr>
            </w:pPr>
            <w:r>
              <w:rPr>
                <w:color w:val="auto"/>
                <w:sz w:val="21"/>
                <w:highlight w:val="none"/>
              </w:rPr>
              <w:t xml:space="preserve"> </w:t>
            </w:r>
          </w:p>
        </w:tc>
        <w:tc>
          <w:tcPr>
            <w:tcW w:w="1953" w:type="dxa"/>
          </w:tcPr>
          <w:p>
            <w:pPr>
              <w:pStyle w:val="54"/>
              <w:spacing w:before="142"/>
              <w:ind w:left="11"/>
              <w:rPr>
                <w:color w:val="auto"/>
                <w:sz w:val="21"/>
                <w:highlight w:val="none"/>
              </w:rPr>
            </w:pPr>
            <w:r>
              <w:rPr>
                <w:color w:val="auto"/>
                <w:sz w:val="21"/>
                <w:highlight w:val="non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7" w:hRule="atLeast"/>
        </w:trPr>
        <w:tc>
          <w:tcPr>
            <w:tcW w:w="936" w:type="dxa"/>
          </w:tcPr>
          <w:p>
            <w:pPr>
              <w:pStyle w:val="54"/>
              <w:spacing w:before="143"/>
              <w:ind w:left="9"/>
              <w:rPr>
                <w:color w:val="auto"/>
                <w:sz w:val="21"/>
                <w:highlight w:val="none"/>
              </w:rPr>
            </w:pPr>
            <w:r>
              <w:rPr>
                <w:color w:val="auto"/>
                <w:sz w:val="21"/>
                <w:highlight w:val="none"/>
              </w:rPr>
              <w:t xml:space="preserve"> </w:t>
            </w:r>
          </w:p>
        </w:tc>
        <w:tc>
          <w:tcPr>
            <w:tcW w:w="926" w:type="dxa"/>
          </w:tcPr>
          <w:p>
            <w:pPr>
              <w:pStyle w:val="54"/>
              <w:spacing w:before="143"/>
              <w:ind w:left="9"/>
              <w:rPr>
                <w:color w:val="auto"/>
                <w:sz w:val="21"/>
                <w:highlight w:val="none"/>
              </w:rPr>
            </w:pPr>
            <w:r>
              <w:rPr>
                <w:color w:val="auto"/>
                <w:sz w:val="21"/>
                <w:highlight w:val="none"/>
              </w:rPr>
              <w:t xml:space="preserve"> </w:t>
            </w:r>
          </w:p>
        </w:tc>
        <w:tc>
          <w:tcPr>
            <w:tcW w:w="2686" w:type="dxa"/>
          </w:tcPr>
          <w:p>
            <w:pPr>
              <w:pStyle w:val="54"/>
              <w:spacing w:before="143"/>
              <w:ind w:left="9"/>
              <w:rPr>
                <w:color w:val="auto"/>
                <w:sz w:val="21"/>
                <w:highlight w:val="none"/>
              </w:rPr>
            </w:pPr>
            <w:r>
              <w:rPr>
                <w:color w:val="auto"/>
                <w:sz w:val="21"/>
                <w:highlight w:val="none"/>
              </w:rPr>
              <w:t xml:space="preserve"> </w:t>
            </w:r>
          </w:p>
        </w:tc>
        <w:tc>
          <w:tcPr>
            <w:tcW w:w="1099" w:type="dxa"/>
          </w:tcPr>
          <w:p>
            <w:pPr>
              <w:pStyle w:val="54"/>
              <w:spacing w:before="143"/>
              <w:ind w:left="10"/>
              <w:rPr>
                <w:color w:val="auto"/>
                <w:sz w:val="21"/>
                <w:highlight w:val="none"/>
              </w:rPr>
            </w:pPr>
            <w:r>
              <w:rPr>
                <w:color w:val="auto"/>
                <w:sz w:val="21"/>
                <w:highlight w:val="none"/>
              </w:rPr>
              <w:t xml:space="preserve"> </w:t>
            </w:r>
          </w:p>
        </w:tc>
        <w:tc>
          <w:tcPr>
            <w:tcW w:w="1308" w:type="dxa"/>
          </w:tcPr>
          <w:p>
            <w:pPr>
              <w:pStyle w:val="54"/>
              <w:spacing w:before="143"/>
              <w:ind w:left="10"/>
              <w:rPr>
                <w:color w:val="auto"/>
                <w:sz w:val="21"/>
                <w:highlight w:val="none"/>
              </w:rPr>
            </w:pPr>
            <w:r>
              <w:rPr>
                <w:color w:val="auto"/>
                <w:sz w:val="21"/>
                <w:highlight w:val="none"/>
              </w:rPr>
              <w:t xml:space="preserve"> </w:t>
            </w:r>
          </w:p>
        </w:tc>
        <w:tc>
          <w:tcPr>
            <w:tcW w:w="1953" w:type="dxa"/>
          </w:tcPr>
          <w:p>
            <w:pPr>
              <w:pStyle w:val="54"/>
              <w:spacing w:before="143"/>
              <w:ind w:left="11"/>
              <w:rPr>
                <w:color w:val="auto"/>
                <w:sz w:val="21"/>
                <w:highlight w:val="none"/>
              </w:rPr>
            </w:pPr>
            <w:r>
              <w:rPr>
                <w:color w:val="auto"/>
                <w:sz w:val="21"/>
                <w:highlight w:val="non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2" w:hRule="atLeast"/>
        </w:trPr>
        <w:tc>
          <w:tcPr>
            <w:tcW w:w="936" w:type="dxa"/>
          </w:tcPr>
          <w:p>
            <w:pPr>
              <w:pStyle w:val="54"/>
              <w:spacing w:before="142"/>
              <w:ind w:left="9"/>
              <w:rPr>
                <w:color w:val="auto"/>
                <w:sz w:val="21"/>
                <w:highlight w:val="none"/>
              </w:rPr>
            </w:pPr>
            <w:r>
              <w:rPr>
                <w:color w:val="auto"/>
                <w:sz w:val="21"/>
                <w:highlight w:val="none"/>
              </w:rPr>
              <w:t xml:space="preserve"> </w:t>
            </w:r>
          </w:p>
        </w:tc>
        <w:tc>
          <w:tcPr>
            <w:tcW w:w="926" w:type="dxa"/>
          </w:tcPr>
          <w:p>
            <w:pPr>
              <w:pStyle w:val="54"/>
              <w:spacing w:before="142"/>
              <w:ind w:left="9"/>
              <w:rPr>
                <w:color w:val="auto"/>
                <w:sz w:val="21"/>
                <w:highlight w:val="none"/>
              </w:rPr>
            </w:pPr>
            <w:r>
              <w:rPr>
                <w:color w:val="auto"/>
                <w:sz w:val="21"/>
                <w:highlight w:val="none"/>
              </w:rPr>
              <w:t xml:space="preserve"> </w:t>
            </w:r>
          </w:p>
        </w:tc>
        <w:tc>
          <w:tcPr>
            <w:tcW w:w="2686" w:type="dxa"/>
          </w:tcPr>
          <w:p>
            <w:pPr>
              <w:pStyle w:val="54"/>
              <w:spacing w:before="142"/>
              <w:ind w:left="9"/>
              <w:rPr>
                <w:color w:val="auto"/>
                <w:sz w:val="21"/>
                <w:highlight w:val="none"/>
              </w:rPr>
            </w:pPr>
            <w:r>
              <w:rPr>
                <w:color w:val="auto"/>
                <w:sz w:val="21"/>
                <w:highlight w:val="none"/>
              </w:rPr>
              <w:t xml:space="preserve"> </w:t>
            </w:r>
          </w:p>
        </w:tc>
        <w:tc>
          <w:tcPr>
            <w:tcW w:w="1099" w:type="dxa"/>
          </w:tcPr>
          <w:p>
            <w:pPr>
              <w:pStyle w:val="54"/>
              <w:spacing w:before="142"/>
              <w:ind w:left="10"/>
              <w:rPr>
                <w:color w:val="auto"/>
                <w:sz w:val="21"/>
                <w:highlight w:val="none"/>
              </w:rPr>
            </w:pPr>
            <w:r>
              <w:rPr>
                <w:color w:val="auto"/>
                <w:sz w:val="21"/>
                <w:highlight w:val="none"/>
              </w:rPr>
              <w:t xml:space="preserve"> </w:t>
            </w:r>
          </w:p>
        </w:tc>
        <w:tc>
          <w:tcPr>
            <w:tcW w:w="1308" w:type="dxa"/>
          </w:tcPr>
          <w:p>
            <w:pPr>
              <w:pStyle w:val="54"/>
              <w:spacing w:before="142"/>
              <w:ind w:left="10"/>
              <w:rPr>
                <w:color w:val="auto"/>
                <w:sz w:val="21"/>
                <w:highlight w:val="none"/>
              </w:rPr>
            </w:pPr>
            <w:r>
              <w:rPr>
                <w:color w:val="auto"/>
                <w:sz w:val="21"/>
                <w:highlight w:val="none"/>
              </w:rPr>
              <w:t xml:space="preserve"> </w:t>
            </w:r>
          </w:p>
        </w:tc>
        <w:tc>
          <w:tcPr>
            <w:tcW w:w="1953" w:type="dxa"/>
          </w:tcPr>
          <w:p>
            <w:pPr>
              <w:pStyle w:val="54"/>
              <w:spacing w:before="142"/>
              <w:ind w:left="11"/>
              <w:rPr>
                <w:color w:val="auto"/>
                <w:sz w:val="21"/>
                <w:highlight w:val="none"/>
              </w:rPr>
            </w:pPr>
            <w:r>
              <w:rPr>
                <w:color w:val="auto"/>
                <w:sz w:val="21"/>
                <w:highlight w:val="non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2" w:hRule="atLeast"/>
        </w:trPr>
        <w:tc>
          <w:tcPr>
            <w:tcW w:w="936" w:type="dxa"/>
          </w:tcPr>
          <w:p>
            <w:pPr>
              <w:pStyle w:val="54"/>
              <w:spacing w:before="142"/>
              <w:ind w:left="9"/>
              <w:rPr>
                <w:color w:val="auto"/>
                <w:sz w:val="21"/>
                <w:highlight w:val="none"/>
              </w:rPr>
            </w:pPr>
            <w:r>
              <w:rPr>
                <w:color w:val="auto"/>
                <w:sz w:val="21"/>
                <w:highlight w:val="none"/>
              </w:rPr>
              <w:t xml:space="preserve"> </w:t>
            </w:r>
          </w:p>
        </w:tc>
        <w:tc>
          <w:tcPr>
            <w:tcW w:w="926" w:type="dxa"/>
          </w:tcPr>
          <w:p>
            <w:pPr>
              <w:pStyle w:val="54"/>
              <w:spacing w:before="142"/>
              <w:ind w:left="9"/>
              <w:rPr>
                <w:color w:val="auto"/>
                <w:sz w:val="21"/>
                <w:highlight w:val="none"/>
              </w:rPr>
            </w:pPr>
            <w:r>
              <w:rPr>
                <w:color w:val="auto"/>
                <w:sz w:val="21"/>
                <w:highlight w:val="none"/>
              </w:rPr>
              <w:t xml:space="preserve"> </w:t>
            </w:r>
          </w:p>
        </w:tc>
        <w:tc>
          <w:tcPr>
            <w:tcW w:w="2686" w:type="dxa"/>
          </w:tcPr>
          <w:p>
            <w:pPr>
              <w:pStyle w:val="54"/>
              <w:spacing w:before="142"/>
              <w:ind w:left="9"/>
              <w:rPr>
                <w:color w:val="auto"/>
                <w:sz w:val="21"/>
                <w:highlight w:val="none"/>
              </w:rPr>
            </w:pPr>
            <w:r>
              <w:rPr>
                <w:color w:val="auto"/>
                <w:sz w:val="21"/>
                <w:highlight w:val="none"/>
              </w:rPr>
              <w:t xml:space="preserve"> </w:t>
            </w:r>
          </w:p>
        </w:tc>
        <w:tc>
          <w:tcPr>
            <w:tcW w:w="1099" w:type="dxa"/>
          </w:tcPr>
          <w:p>
            <w:pPr>
              <w:pStyle w:val="54"/>
              <w:spacing w:before="142"/>
              <w:ind w:left="10"/>
              <w:rPr>
                <w:color w:val="auto"/>
                <w:sz w:val="21"/>
                <w:highlight w:val="none"/>
              </w:rPr>
            </w:pPr>
            <w:r>
              <w:rPr>
                <w:color w:val="auto"/>
                <w:sz w:val="21"/>
                <w:highlight w:val="none"/>
              </w:rPr>
              <w:t xml:space="preserve"> </w:t>
            </w:r>
          </w:p>
        </w:tc>
        <w:tc>
          <w:tcPr>
            <w:tcW w:w="1308" w:type="dxa"/>
          </w:tcPr>
          <w:p>
            <w:pPr>
              <w:pStyle w:val="54"/>
              <w:spacing w:before="142"/>
              <w:ind w:left="10"/>
              <w:rPr>
                <w:color w:val="auto"/>
                <w:sz w:val="21"/>
                <w:highlight w:val="none"/>
              </w:rPr>
            </w:pPr>
            <w:r>
              <w:rPr>
                <w:color w:val="auto"/>
                <w:sz w:val="21"/>
                <w:highlight w:val="none"/>
              </w:rPr>
              <w:t xml:space="preserve"> </w:t>
            </w:r>
          </w:p>
        </w:tc>
        <w:tc>
          <w:tcPr>
            <w:tcW w:w="1953" w:type="dxa"/>
          </w:tcPr>
          <w:p>
            <w:pPr>
              <w:pStyle w:val="54"/>
              <w:spacing w:before="142"/>
              <w:ind w:left="11"/>
              <w:rPr>
                <w:color w:val="auto"/>
                <w:sz w:val="21"/>
                <w:highlight w:val="none"/>
              </w:rPr>
            </w:pPr>
            <w:r>
              <w:rPr>
                <w:color w:val="auto"/>
                <w:sz w:val="21"/>
                <w:highlight w:val="non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2" w:hRule="atLeast"/>
        </w:trPr>
        <w:tc>
          <w:tcPr>
            <w:tcW w:w="936" w:type="dxa"/>
          </w:tcPr>
          <w:p>
            <w:pPr>
              <w:pStyle w:val="54"/>
              <w:spacing w:before="142"/>
              <w:ind w:left="9"/>
              <w:rPr>
                <w:color w:val="auto"/>
                <w:sz w:val="21"/>
                <w:highlight w:val="none"/>
              </w:rPr>
            </w:pPr>
            <w:r>
              <w:rPr>
                <w:color w:val="auto"/>
                <w:sz w:val="21"/>
                <w:highlight w:val="none"/>
              </w:rPr>
              <w:t xml:space="preserve"> </w:t>
            </w:r>
          </w:p>
        </w:tc>
        <w:tc>
          <w:tcPr>
            <w:tcW w:w="926" w:type="dxa"/>
          </w:tcPr>
          <w:p>
            <w:pPr>
              <w:pStyle w:val="54"/>
              <w:spacing w:before="142"/>
              <w:ind w:left="9"/>
              <w:rPr>
                <w:color w:val="auto"/>
                <w:sz w:val="21"/>
                <w:highlight w:val="none"/>
              </w:rPr>
            </w:pPr>
            <w:r>
              <w:rPr>
                <w:color w:val="auto"/>
                <w:sz w:val="21"/>
                <w:highlight w:val="none"/>
              </w:rPr>
              <w:t xml:space="preserve"> </w:t>
            </w:r>
          </w:p>
        </w:tc>
        <w:tc>
          <w:tcPr>
            <w:tcW w:w="2686" w:type="dxa"/>
          </w:tcPr>
          <w:p>
            <w:pPr>
              <w:pStyle w:val="54"/>
              <w:spacing w:before="142"/>
              <w:ind w:left="9"/>
              <w:rPr>
                <w:color w:val="auto"/>
                <w:sz w:val="21"/>
                <w:highlight w:val="none"/>
              </w:rPr>
            </w:pPr>
            <w:r>
              <w:rPr>
                <w:color w:val="auto"/>
                <w:sz w:val="21"/>
                <w:highlight w:val="none"/>
              </w:rPr>
              <w:t xml:space="preserve"> </w:t>
            </w:r>
          </w:p>
        </w:tc>
        <w:tc>
          <w:tcPr>
            <w:tcW w:w="1099" w:type="dxa"/>
          </w:tcPr>
          <w:p>
            <w:pPr>
              <w:pStyle w:val="54"/>
              <w:spacing w:before="142"/>
              <w:ind w:left="10"/>
              <w:rPr>
                <w:color w:val="auto"/>
                <w:sz w:val="21"/>
                <w:highlight w:val="none"/>
              </w:rPr>
            </w:pPr>
            <w:r>
              <w:rPr>
                <w:color w:val="auto"/>
                <w:sz w:val="21"/>
                <w:highlight w:val="none"/>
              </w:rPr>
              <w:t xml:space="preserve"> </w:t>
            </w:r>
          </w:p>
        </w:tc>
        <w:tc>
          <w:tcPr>
            <w:tcW w:w="1308" w:type="dxa"/>
          </w:tcPr>
          <w:p>
            <w:pPr>
              <w:pStyle w:val="54"/>
              <w:spacing w:before="142"/>
              <w:ind w:left="10"/>
              <w:rPr>
                <w:color w:val="auto"/>
                <w:sz w:val="21"/>
                <w:highlight w:val="none"/>
              </w:rPr>
            </w:pPr>
            <w:r>
              <w:rPr>
                <w:color w:val="auto"/>
                <w:sz w:val="21"/>
                <w:highlight w:val="none"/>
              </w:rPr>
              <w:t xml:space="preserve"> </w:t>
            </w:r>
          </w:p>
        </w:tc>
        <w:tc>
          <w:tcPr>
            <w:tcW w:w="1953" w:type="dxa"/>
          </w:tcPr>
          <w:p>
            <w:pPr>
              <w:pStyle w:val="54"/>
              <w:spacing w:before="142"/>
              <w:ind w:left="11"/>
              <w:rPr>
                <w:color w:val="auto"/>
                <w:sz w:val="21"/>
                <w:highlight w:val="none"/>
              </w:rPr>
            </w:pPr>
            <w:r>
              <w:rPr>
                <w:color w:val="auto"/>
                <w:sz w:val="21"/>
                <w:highlight w:val="non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7" w:hRule="atLeast"/>
        </w:trPr>
        <w:tc>
          <w:tcPr>
            <w:tcW w:w="936" w:type="dxa"/>
          </w:tcPr>
          <w:p>
            <w:pPr>
              <w:pStyle w:val="54"/>
              <w:spacing w:before="142"/>
              <w:ind w:left="9"/>
              <w:rPr>
                <w:color w:val="auto"/>
                <w:sz w:val="21"/>
                <w:highlight w:val="none"/>
              </w:rPr>
            </w:pPr>
            <w:r>
              <w:rPr>
                <w:color w:val="auto"/>
                <w:sz w:val="21"/>
                <w:highlight w:val="none"/>
              </w:rPr>
              <w:t xml:space="preserve"> </w:t>
            </w:r>
          </w:p>
        </w:tc>
        <w:tc>
          <w:tcPr>
            <w:tcW w:w="926" w:type="dxa"/>
          </w:tcPr>
          <w:p>
            <w:pPr>
              <w:pStyle w:val="54"/>
              <w:spacing w:before="142"/>
              <w:ind w:left="9"/>
              <w:rPr>
                <w:color w:val="auto"/>
                <w:sz w:val="21"/>
                <w:highlight w:val="none"/>
              </w:rPr>
            </w:pPr>
            <w:r>
              <w:rPr>
                <w:color w:val="auto"/>
                <w:sz w:val="21"/>
                <w:highlight w:val="none"/>
              </w:rPr>
              <w:t xml:space="preserve"> </w:t>
            </w:r>
          </w:p>
        </w:tc>
        <w:tc>
          <w:tcPr>
            <w:tcW w:w="2686" w:type="dxa"/>
          </w:tcPr>
          <w:p>
            <w:pPr>
              <w:pStyle w:val="54"/>
              <w:spacing w:before="142"/>
              <w:ind w:left="9"/>
              <w:rPr>
                <w:color w:val="auto"/>
                <w:sz w:val="21"/>
                <w:highlight w:val="none"/>
              </w:rPr>
            </w:pPr>
            <w:r>
              <w:rPr>
                <w:color w:val="auto"/>
                <w:sz w:val="21"/>
                <w:highlight w:val="none"/>
              </w:rPr>
              <w:t xml:space="preserve"> </w:t>
            </w:r>
          </w:p>
        </w:tc>
        <w:tc>
          <w:tcPr>
            <w:tcW w:w="1099" w:type="dxa"/>
          </w:tcPr>
          <w:p>
            <w:pPr>
              <w:pStyle w:val="54"/>
              <w:spacing w:before="142"/>
              <w:ind w:left="10"/>
              <w:rPr>
                <w:color w:val="auto"/>
                <w:sz w:val="21"/>
                <w:highlight w:val="none"/>
              </w:rPr>
            </w:pPr>
            <w:r>
              <w:rPr>
                <w:color w:val="auto"/>
                <w:sz w:val="21"/>
                <w:highlight w:val="none"/>
              </w:rPr>
              <w:t xml:space="preserve"> </w:t>
            </w:r>
          </w:p>
        </w:tc>
        <w:tc>
          <w:tcPr>
            <w:tcW w:w="1308" w:type="dxa"/>
          </w:tcPr>
          <w:p>
            <w:pPr>
              <w:pStyle w:val="54"/>
              <w:spacing w:before="142"/>
              <w:ind w:left="10"/>
              <w:rPr>
                <w:color w:val="auto"/>
                <w:sz w:val="21"/>
                <w:highlight w:val="none"/>
              </w:rPr>
            </w:pPr>
            <w:r>
              <w:rPr>
                <w:color w:val="auto"/>
                <w:sz w:val="21"/>
                <w:highlight w:val="none"/>
              </w:rPr>
              <w:t xml:space="preserve"> </w:t>
            </w:r>
          </w:p>
        </w:tc>
        <w:tc>
          <w:tcPr>
            <w:tcW w:w="1953" w:type="dxa"/>
          </w:tcPr>
          <w:p>
            <w:pPr>
              <w:pStyle w:val="54"/>
              <w:spacing w:before="142"/>
              <w:ind w:left="11"/>
              <w:rPr>
                <w:color w:val="auto"/>
                <w:sz w:val="21"/>
                <w:highlight w:val="none"/>
              </w:rPr>
            </w:pPr>
            <w:r>
              <w:rPr>
                <w:color w:val="auto"/>
                <w:sz w:val="21"/>
                <w:highlight w:val="non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6" w:hRule="atLeast"/>
        </w:trPr>
        <w:tc>
          <w:tcPr>
            <w:tcW w:w="936" w:type="dxa"/>
          </w:tcPr>
          <w:p>
            <w:pPr>
              <w:pStyle w:val="54"/>
              <w:spacing w:before="142"/>
              <w:ind w:left="9"/>
              <w:rPr>
                <w:color w:val="auto"/>
                <w:sz w:val="21"/>
                <w:highlight w:val="none"/>
              </w:rPr>
            </w:pPr>
            <w:r>
              <w:rPr>
                <w:color w:val="auto"/>
                <w:sz w:val="21"/>
                <w:highlight w:val="none"/>
              </w:rPr>
              <w:t xml:space="preserve"> </w:t>
            </w:r>
          </w:p>
        </w:tc>
        <w:tc>
          <w:tcPr>
            <w:tcW w:w="926" w:type="dxa"/>
          </w:tcPr>
          <w:p>
            <w:pPr>
              <w:pStyle w:val="54"/>
              <w:spacing w:before="142"/>
              <w:ind w:left="9"/>
              <w:rPr>
                <w:color w:val="auto"/>
                <w:sz w:val="21"/>
                <w:highlight w:val="none"/>
              </w:rPr>
            </w:pPr>
            <w:r>
              <w:rPr>
                <w:color w:val="auto"/>
                <w:sz w:val="21"/>
                <w:highlight w:val="none"/>
              </w:rPr>
              <w:t xml:space="preserve"> </w:t>
            </w:r>
          </w:p>
        </w:tc>
        <w:tc>
          <w:tcPr>
            <w:tcW w:w="2686" w:type="dxa"/>
          </w:tcPr>
          <w:p>
            <w:pPr>
              <w:pStyle w:val="54"/>
              <w:spacing w:before="142"/>
              <w:ind w:left="9"/>
              <w:rPr>
                <w:color w:val="auto"/>
                <w:sz w:val="21"/>
                <w:highlight w:val="none"/>
              </w:rPr>
            </w:pPr>
            <w:r>
              <w:rPr>
                <w:color w:val="auto"/>
                <w:sz w:val="21"/>
                <w:highlight w:val="none"/>
              </w:rPr>
              <w:t xml:space="preserve"> </w:t>
            </w:r>
          </w:p>
        </w:tc>
        <w:tc>
          <w:tcPr>
            <w:tcW w:w="1099" w:type="dxa"/>
          </w:tcPr>
          <w:p>
            <w:pPr>
              <w:pStyle w:val="54"/>
              <w:spacing w:before="142"/>
              <w:ind w:left="10"/>
              <w:rPr>
                <w:color w:val="auto"/>
                <w:sz w:val="21"/>
                <w:highlight w:val="none"/>
              </w:rPr>
            </w:pPr>
            <w:r>
              <w:rPr>
                <w:color w:val="auto"/>
                <w:sz w:val="21"/>
                <w:highlight w:val="none"/>
              </w:rPr>
              <w:t xml:space="preserve"> </w:t>
            </w:r>
          </w:p>
        </w:tc>
        <w:tc>
          <w:tcPr>
            <w:tcW w:w="1308" w:type="dxa"/>
          </w:tcPr>
          <w:p>
            <w:pPr>
              <w:pStyle w:val="54"/>
              <w:spacing w:before="142"/>
              <w:ind w:left="10"/>
              <w:rPr>
                <w:color w:val="auto"/>
                <w:sz w:val="21"/>
                <w:highlight w:val="none"/>
              </w:rPr>
            </w:pPr>
            <w:r>
              <w:rPr>
                <w:color w:val="auto"/>
                <w:sz w:val="21"/>
                <w:highlight w:val="none"/>
              </w:rPr>
              <w:t xml:space="preserve"> </w:t>
            </w:r>
          </w:p>
        </w:tc>
        <w:tc>
          <w:tcPr>
            <w:tcW w:w="1953" w:type="dxa"/>
          </w:tcPr>
          <w:p>
            <w:pPr>
              <w:pStyle w:val="54"/>
              <w:spacing w:before="142"/>
              <w:ind w:left="11"/>
              <w:rPr>
                <w:color w:val="auto"/>
                <w:sz w:val="21"/>
                <w:highlight w:val="none"/>
              </w:rPr>
            </w:pPr>
            <w:r>
              <w:rPr>
                <w:color w:val="auto"/>
                <w:sz w:val="21"/>
                <w:highlight w:val="non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7" w:hRule="atLeast"/>
        </w:trPr>
        <w:tc>
          <w:tcPr>
            <w:tcW w:w="936" w:type="dxa"/>
          </w:tcPr>
          <w:p>
            <w:pPr>
              <w:pStyle w:val="54"/>
              <w:spacing w:before="142"/>
              <w:ind w:left="9"/>
              <w:rPr>
                <w:color w:val="auto"/>
                <w:sz w:val="21"/>
                <w:highlight w:val="none"/>
              </w:rPr>
            </w:pPr>
            <w:r>
              <w:rPr>
                <w:color w:val="auto"/>
                <w:sz w:val="21"/>
                <w:highlight w:val="none"/>
              </w:rPr>
              <w:t xml:space="preserve"> </w:t>
            </w:r>
          </w:p>
        </w:tc>
        <w:tc>
          <w:tcPr>
            <w:tcW w:w="926" w:type="dxa"/>
          </w:tcPr>
          <w:p>
            <w:pPr>
              <w:pStyle w:val="54"/>
              <w:spacing w:before="142"/>
              <w:ind w:left="9"/>
              <w:rPr>
                <w:color w:val="auto"/>
                <w:sz w:val="21"/>
                <w:highlight w:val="none"/>
              </w:rPr>
            </w:pPr>
            <w:r>
              <w:rPr>
                <w:color w:val="auto"/>
                <w:sz w:val="21"/>
                <w:highlight w:val="none"/>
              </w:rPr>
              <w:t xml:space="preserve"> </w:t>
            </w:r>
          </w:p>
        </w:tc>
        <w:tc>
          <w:tcPr>
            <w:tcW w:w="2686" w:type="dxa"/>
          </w:tcPr>
          <w:p>
            <w:pPr>
              <w:pStyle w:val="54"/>
              <w:spacing w:before="142"/>
              <w:ind w:left="9"/>
              <w:rPr>
                <w:color w:val="auto"/>
                <w:sz w:val="21"/>
                <w:highlight w:val="none"/>
              </w:rPr>
            </w:pPr>
            <w:r>
              <w:rPr>
                <w:color w:val="auto"/>
                <w:sz w:val="21"/>
                <w:highlight w:val="none"/>
              </w:rPr>
              <w:t xml:space="preserve"> </w:t>
            </w:r>
          </w:p>
        </w:tc>
        <w:tc>
          <w:tcPr>
            <w:tcW w:w="1099" w:type="dxa"/>
          </w:tcPr>
          <w:p>
            <w:pPr>
              <w:pStyle w:val="54"/>
              <w:spacing w:before="142"/>
              <w:ind w:left="10"/>
              <w:rPr>
                <w:color w:val="auto"/>
                <w:sz w:val="21"/>
                <w:highlight w:val="none"/>
              </w:rPr>
            </w:pPr>
            <w:r>
              <w:rPr>
                <w:color w:val="auto"/>
                <w:sz w:val="21"/>
                <w:highlight w:val="none"/>
              </w:rPr>
              <w:t xml:space="preserve"> </w:t>
            </w:r>
          </w:p>
        </w:tc>
        <w:tc>
          <w:tcPr>
            <w:tcW w:w="1308" w:type="dxa"/>
          </w:tcPr>
          <w:p>
            <w:pPr>
              <w:pStyle w:val="54"/>
              <w:spacing w:before="142"/>
              <w:ind w:left="10"/>
              <w:rPr>
                <w:color w:val="auto"/>
                <w:sz w:val="21"/>
                <w:highlight w:val="none"/>
              </w:rPr>
            </w:pPr>
            <w:r>
              <w:rPr>
                <w:color w:val="auto"/>
                <w:sz w:val="21"/>
                <w:highlight w:val="none"/>
              </w:rPr>
              <w:t xml:space="preserve"> </w:t>
            </w:r>
          </w:p>
        </w:tc>
        <w:tc>
          <w:tcPr>
            <w:tcW w:w="1953" w:type="dxa"/>
          </w:tcPr>
          <w:p>
            <w:pPr>
              <w:pStyle w:val="54"/>
              <w:spacing w:before="142"/>
              <w:ind w:left="11"/>
              <w:rPr>
                <w:color w:val="auto"/>
                <w:sz w:val="21"/>
                <w:highlight w:val="none"/>
              </w:rPr>
            </w:pPr>
            <w:r>
              <w:rPr>
                <w:color w:val="auto"/>
                <w:sz w:val="21"/>
                <w:highlight w:val="non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0" w:hRule="atLeast"/>
        </w:trPr>
        <w:tc>
          <w:tcPr>
            <w:tcW w:w="936" w:type="dxa"/>
          </w:tcPr>
          <w:p>
            <w:pPr>
              <w:pStyle w:val="54"/>
              <w:spacing w:before="145"/>
              <w:ind w:left="9"/>
              <w:rPr>
                <w:color w:val="auto"/>
                <w:sz w:val="21"/>
                <w:highlight w:val="none"/>
              </w:rPr>
            </w:pPr>
            <w:r>
              <w:rPr>
                <w:color w:val="auto"/>
                <w:sz w:val="21"/>
                <w:highlight w:val="none"/>
              </w:rPr>
              <w:t xml:space="preserve"> </w:t>
            </w:r>
          </w:p>
        </w:tc>
        <w:tc>
          <w:tcPr>
            <w:tcW w:w="926" w:type="dxa"/>
          </w:tcPr>
          <w:p>
            <w:pPr>
              <w:pStyle w:val="54"/>
              <w:spacing w:before="145"/>
              <w:ind w:left="9"/>
              <w:rPr>
                <w:color w:val="auto"/>
                <w:sz w:val="21"/>
                <w:highlight w:val="none"/>
              </w:rPr>
            </w:pPr>
            <w:r>
              <w:rPr>
                <w:color w:val="auto"/>
                <w:sz w:val="21"/>
                <w:highlight w:val="none"/>
              </w:rPr>
              <w:t xml:space="preserve"> </w:t>
            </w:r>
          </w:p>
        </w:tc>
        <w:tc>
          <w:tcPr>
            <w:tcW w:w="2686" w:type="dxa"/>
          </w:tcPr>
          <w:p>
            <w:pPr>
              <w:pStyle w:val="54"/>
              <w:spacing w:before="145"/>
              <w:ind w:left="9"/>
              <w:rPr>
                <w:color w:val="auto"/>
                <w:sz w:val="21"/>
                <w:highlight w:val="none"/>
              </w:rPr>
            </w:pPr>
            <w:r>
              <w:rPr>
                <w:color w:val="auto"/>
                <w:sz w:val="21"/>
                <w:highlight w:val="none"/>
              </w:rPr>
              <w:t xml:space="preserve"> </w:t>
            </w:r>
          </w:p>
        </w:tc>
        <w:tc>
          <w:tcPr>
            <w:tcW w:w="1099" w:type="dxa"/>
          </w:tcPr>
          <w:p>
            <w:pPr>
              <w:pStyle w:val="54"/>
              <w:spacing w:before="145"/>
              <w:ind w:left="10"/>
              <w:rPr>
                <w:color w:val="auto"/>
                <w:sz w:val="21"/>
                <w:highlight w:val="none"/>
              </w:rPr>
            </w:pPr>
            <w:r>
              <w:rPr>
                <w:color w:val="auto"/>
                <w:sz w:val="21"/>
                <w:highlight w:val="none"/>
              </w:rPr>
              <w:t xml:space="preserve"> </w:t>
            </w:r>
          </w:p>
        </w:tc>
        <w:tc>
          <w:tcPr>
            <w:tcW w:w="1308" w:type="dxa"/>
          </w:tcPr>
          <w:p>
            <w:pPr>
              <w:pStyle w:val="54"/>
              <w:spacing w:before="145"/>
              <w:ind w:left="10"/>
              <w:rPr>
                <w:color w:val="auto"/>
                <w:sz w:val="21"/>
                <w:highlight w:val="none"/>
              </w:rPr>
            </w:pPr>
            <w:r>
              <w:rPr>
                <w:color w:val="auto"/>
                <w:sz w:val="21"/>
                <w:highlight w:val="none"/>
              </w:rPr>
              <w:t xml:space="preserve"> </w:t>
            </w:r>
          </w:p>
        </w:tc>
        <w:tc>
          <w:tcPr>
            <w:tcW w:w="1953" w:type="dxa"/>
          </w:tcPr>
          <w:p>
            <w:pPr>
              <w:pStyle w:val="54"/>
              <w:spacing w:before="145"/>
              <w:ind w:left="11"/>
              <w:rPr>
                <w:color w:val="auto"/>
                <w:sz w:val="21"/>
                <w:highlight w:val="none"/>
              </w:rPr>
            </w:pPr>
            <w:r>
              <w:rPr>
                <w:color w:val="auto"/>
                <w:sz w:val="21"/>
                <w:highlight w:val="non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3" w:hRule="atLeast"/>
        </w:trPr>
        <w:tc>
          <w:tcPr>
            <w:tcW w:w="936" w:type="dxa"/>
          </w:tcPr>
          <w:p>
            <w:pPr>
              <w:pStyle w:val="54"/>
              <w:spacing w:before="142"/>
              <w:ind w:left="9"/>
              <w:rPr>
                <w:color w:val="auto"/>
                <w:sz w:val="21"/>
                <w:highlight w:val="none"/>
              </w:rPr>
            </w:pPr>
            <w:r>
              <w:rPr>
                <w:color w:val="auto"/>
                <w:sz w:val="21"/>
                <w:highlight w:val="none"/>
              </w:rPr>
              <w:t xml:space="preserve"> </w:t>
            </w:r>
          </w:p>
        </w:tc>
        <w:tc>
          <w:tcPr>
            <w:tcW w:w="926" w:type="dxa"/>
          </w:tcPr>
          <w:p>
            <w:pPr>
              <w:pStyle w:val="54"/>
              <w:spacing w:before="142"/>
              <w:ind w:left="9"/>
              <w:rPr>
                <w:color w:val="auto"/>
                <w:sz w:val="21"/>
                <w:highlight w:val="none"/>
              </w:rPr>
            </w:pPr>
            <w:r>
              <w:rPr>
                <w:color w:val="auto"/>
                <w:sz w:val="21"/>
                <w:highlight w:val="none"/>
              </w:rPr>
              <w:t xml:space="preserve"> </w:t>
            </w:r>
          </w:p>
        </w:tc>
        <w:tc>
          <w:tcPr>
            <w:tcW w:w="2686" w:type="dxa"/>
          </w:tcPr>
          <w:p>
            <w:pPr>
              <w:pStyle w:val="54"/>
              <w:spacing w:before="142"/>
              <w:ind w:left="9"/>
              <w:rPr>
                <w:color w:val="auto"/>
                <w:sz w:val="21"/>
                <w:highlight w:val="none"/>
              </w:rPr>
            </w:pPr>
            <w:r>
              <w:rPr>
                <w:color w:val="auto"/>
                <w:sz w:val="21"/>
                <w:highlight w:val="none"/>
              </w:rPr>
              <w:t xml:space="preserve"> </w:t>
            </w:r>
          </w:p>
        </w:tc>
        <w:tc>
          <w:tcPr>
            <w:tcW w:w="1099" w:type="dxa"/>
          </w:tcPr>
          <w:p>
            <w:pPr>
              <w:pStyle w:val="54"/>
              <w:spacing w:before="142"/>
              <w:ind w:left="10"/>
              <w:rPr>
                <w:color w:val="auto"/>
                <w:sz w:val="21"/>
                <w:highlight w:val="none"/>
              </w:rPr>
            </w:pPr>
            <w:r>
              <w:rPr>
                <w:color w:val="auto"/>
                <w:sz w:val="21"/>
                <w:highlight w:val="none"/>
              </w:rPr>
              <w:t xml:space="preserve"> </w:t>
            </w:r>
          </w:p>
        </w:tc>
        <w:tc>
          <w:tcPr>
            <w:tcW w:w="1308" w:type="dxa"/>
          </w:tcPr>
          <w:p>
            <w:pPr>
              <w:pStyle w:val="54"/>
              <w:spacing w:before="142"/>
              <w:ind w:left="10"/>
              <w:rPr>
                <w:color w:val="auto"/>
                <w:sz w:val="21"/>
                <w:highlight w:val="none"/>
              </w:rPr>
            </w:pPr>
            <w:r>
              <w:rPr>
                <w:color w:val="auto"/>
                <w:sz w:val="21"/>
                <w:highlight w:val="none"/>
              </w:rPr>
              <w:t xml:space="preserve"> </w:t>
            </w:r>
          </w:p>
        </w:tc>
        <w:tc>
          <w:tcPr>
            <w:tcW w:w="1953" w:type="dxa"/>
          </w:tcPr>
          <w:p>
            <w:pPr>
              <w:pStyle w:val="54"/>
              <w:spacing w:before="142"/>
              <w:ind w:left="11"/>
              <w:rPr>
                <w:color w:val="auto"/>
                <w:sz w:val="21"/>
                <w:highlight w:val="none"/>
              </w:rPr>
            </w:pPr>
            <w:r>
              <w:rPr>
                <w:color w:val="auto"/>
                <w:sz w:val="21"/>
                <w:highlight w:val="non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7" w:hRule="atLeast"/>
        </w:trPr>
        <w:tc>
          <w:tcPr>
            <w:tcW w:w="936" w:type="dxa"/>
          </w:tcPr>
          <w:p>
            <w:pPr>
              <w:pStyle w:val="54"/>
              <w:spacing w:before="142"/>
              <w:ind w:left="9"/>
              <w:rPr>
                <w:color w:val="auto"/>
                <w:sz w:val="21"/>
                <w:highlight w:val="none"/>
              </w:rPr>
            </w:pPr>
            <w:r>
              <w:rPr>
                <w:color w:val="auto"/>
                <w:sz w:val="21"/>
                <w:highlight w:val="none"/>
              </w:rPr>
              <w:t xml:space="preserve"> </w:t>
            </w:r>
          </w:p>
        </w:tc>
        <w:tc>
          <w:tcPr>
            <w:tcW w:w="926" w:type="dxa"/>
          </w:tcPr>
          <w:p>
            <w:pPr>
              <w:pStyle w:val="54"/>
              <w:spacing w:before="142"/>
              <w:ind w:left="9"/>
              <w:rPr>
                <w:color w:val="auto"/>
                <w:sz w:val="21"/>
                <w:highlight w:val="none"/>
              </w:rPr>
            </w:pPr>
            <w:r>
              <w:rPr>
                <w:color w:val="auto"/>
                <w:sz w:val="21"/>
                <w:highlight w:val="none"/>
              </w:rPr>
              <w:t xml:space="preserve"> </w:t>
            </w:r>
          </w:p>
        </w:tc>
        <w:tc>
          <w:tcPr>
            <w:tcW w:w="2686" w:type="dxa"/>
          </w:tcPr>
          <w:p>
            <w:pPr>
              <w:pStyle w:val="54"/>
              <w:spacing w:before="142"/>
              <w:ind w:left="9"/>
              <w:rPr>
                <w:color w:val="auto"/>
                <w:sz w:val="21"/>
                <w:highlight w:val="none"/>
              </w:rPr>
            </w:pPr>
            <w:r>
              <w:rPr>
                <w:color w:val="auto"/>
                <w:sz w:val="21"/>
                <w:highlight w:val="none"/>
              </w:rPr>
              <w:t xml:space="preserve"> </w:t>
            </w:r>
          </w:p>
        </w:tc>
        <w:tc>
          <w:tcPr>
            <w:tcW w:w="1099" w:type="dxa"/>
          </w:tcPr>
          <w:p>
            <w:pPr>
              <w:pStyle w:val="54"/>
              <w:spacing w:before="142"/>
              <w:ind w:left="10"/>
              <w:rPr>
                <w:color w:val="auto"/>
                <w:sz w:val="21"/>
                <w:highlight w:val="none"/>
              </w:rPr>
            </w:pPr>
            <w:r>
              <w:rPr>
                <w:color w:val="auto"/>
                <w:sz w:val="21"/>
                <w:highlight w:val="none"/>
              </w:rPr>
              <w:t xml:space="preserve"> </w:t>
            </w:r>
          </w:p>
        </w:tc>
        <w:tc>
          <w:tcPr>
            <w:tcW w:w="1308" w:type="dxa"/>
          </w:tcPr>
          <w:p>
            <w:pPr>
              <w:pStyle w:val="54"/>
              <w:spacing w:before="142"/>
              <w:ind w:left="10"/>
              <w:rPr>
                <w:color w:val="auto"/>
                <w:sz w:val="21"/>
                <w:highlight w:val="none"/>
              </w:rPr>
            </w:pPr>
            <w:r>
              <w:rPr>
                <w:color w:val="auto"/>
                <w:sz w:val="21"/>
                <w:highlight w:val="none"/>
              </w:rPr>
              <w:t xml:space="preserve"> </w:t>
            </w:r>
          </w:p>
        </w:tc>
        <w:tc>
          <w:tcPr>
            <w:tcW w:w="1953" w:type="dxa"/>
          </w:tcPr>
          <w:p>
            <w:pPr>
              <w:pStyle w:val="54"/>
              <w:spacing w:before="142"/>
              <w:ind w:left="11"/>
              <w:rPr>
                <w:color w:val="auto"/>
                <w:sz w:val="21"/>
                <w:highlight w:val="none"/>
              </w:rPr>
            </w:pPr>
            <w:r>
              <w:rPr>
                <w:color w:val="auto"/>
                <w:sz w:val="21"/>
                <w:highlight w:val="non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7" w:hRule="atLeast"/>
        </w:trPr>
        <w:tc>
          <w:tcPr>
            <w:tcW w:w="936" w:type="dxa"/>
          </w:tcPr>
          <w:p>
            <w:pPr>
              <w:pStyle w:val="54"/>
              <w:spacing w:before="142"/>
              <w:ind w:left="9"/>
              <w:rPr>
                <w:color w:val="auto"/>
                <w:sz w:val="21"/>
                <w:highlight w:val="none"/>
              </w:rPr>
            </w:pPr>
            <w:r>
              <w:rPr>
                <w:color w:val="auto"/>
                <w:sz w:val="21"/>
                <w:highlight w:val="none"/>
              </w:rPr>
              <w:t xml:space="preserve"> </w:t>
            </w:r>
          </w:p>
        </w:tc>
        <w:tc>
          <w:tcPr>
            <w:tcW w:w="926" w:type="dxa"/>
          </w:tcPr>
          <w:p>
            <w:pPr>
              <w:pStyle w:val="54"/>
              <w:spacing w:before="142"/>
              <w:ind w:left="9"/>
              <w:rPr>
                <w:color w:val="auto"/>
                <w:sz w:val="21"/>
                <w:highlight w:val="none"/>
              </w:rPr>
            </w:pPr>
            <w:r>
              <w:rPr>
                <w:color w:val="auto"/>
                <w:sz w:val="21"/>
                <w:highlight w:val="none"/>
              </w:rPr>
              <w:t xml:space="preserve"> </w:t>
            </w:r>
          </w:p>
        </w:tc>
        <w:tc>
          <w:tcPr>
            <w:tcW w:w="2686" w:type="dxa"/>
          </w:tcPr>
          <w:p>
            <w:pPr>
              <w:pStyle w:val="54"/>
              <w:spacing w:before="142"/>
              <w:ind w:left="9"/>
              <w:rPr>
                <w:color w:val="auto"/>
                <w:sz w:val="21"/>
                <w:highlight w:val="none"/>
              </w:rPr>
            </w:pPr>
            <w:r>
              <w:rPr>
                <w:color w:val="auto"/>
                <w:sz w:val="21"/>
                <w:highlight w:val="none"/>
              </w:rPr>
              <w:t xml:space="preserve"> </w:t>
            </w:r>
          </w:p>
        </w:tc>
        <w:tc>
          <w:tcPr>
            <w:tcW w:w="1099" w:type="dxa"/>
          </w:tcPr>
          <w:p>
            <w:pPr>
              <w:pStyle w:val="54"/>
              <w:spacing w:before="142"/>
              <w:ind w:left="10"/>
              <w:rPr>
                <w:color w:val="auto"/>
                <w:sz w:val="21"/>
                <w:highlight w:val="none"/>
              </w:rPr>
            </w:pPr>
            <w:r>
              <w:rPr>
                <w:color w:val="auto"/>
                <w:sz w:val="21"/>
                <w:highlight w:val="none"/>
              </w:rPr>
              <w:t xml:space="preserve"> </w:t>
            </w:r>
          </w:p>
        </w:tc>
        <w:tc>
          <w:tcPr>
            <w:tcW w:w="1308" w:type="dxa"/>
          </w:tcPr>
          <w:p>
            <w:pPr>
              <w:pStyle w:val="54"/>
              <w:spacing w:before="142"/>
              <w:ind w:left="10"/>
              <w:rPr>
                <w:color w:val="auto"/>
                <w:sz w:val="21"/>
                <w:highlight w:val="none"/>
              </w:rPr>
            </w:pPr>
            <w:r>
              <w:rPr>
                <w:color w:val="auto"/>
                <w:sz w:val="21"/>
                <w:highlight w:val="none"/>
              </w:rPr>
              <w:t xml:space="preserve"> </w:t>
            </w:r>
          </w:p>
        </w:tc>
        <w:tc>
          <w:tcPr>
            <w:tcW w:w="1953" w:type="dxa"/>
          </w:tcPr>
          <w:p>
            <w:pPr>
              <w:pStyle w:val="54"/>
              <w:spacing w:before="142"/>
              <w:ind w:left="11"/>
              <w:rPr>
                <w:color w:val="auto"/>
                <w:sz w:val="21"/>
                <w:highlight w:val="none"/>
              </w:rPr>
            </w:pPr>
            <w:r>
              <w:rPr>
                <w:color w:val="auto"/>
                <w:sz w:val="21"/>
                <w:highlight w:val="none"/>
              </w:rPr>
              <w:t xml:space="preserve"> </w:t>
            </w:r>
          </w:p>
        </w:tc>
      </w:tr>
    </w:tbl>
    <w:p>
      <w:pPr>
        <w:pStyle w:val="2"/>
        <w:spacing w:before="109" w:line="357" w:lineRule="auto"/>
        <w:ind w:left="251" w:right="264"/>
        <w:rPr>
          <w:color w:val="auto"/>
          <w:highlight w:val="none"/>
        </w:rPr>
      </w:pPr>
      <w:r>
        <w:rPr>
          <w:color w:val="auto"/>
          <w:highlight w:val="none"/>
        </w:rPr>
        <w:t xml:space="preserve">【备注：附上人员资格证件扫描件，以及供应商认为需要增加的其他证明材料扫描件，以上扫描件均须加盖供供应商电子签章。】 </w:t>
      </w:r>
    </w:p>
    <w:p>
      <w:pPr>
        <w:spacing w:line="357" w:lineRule="auto"/>
        <w:rPr>
          <w:color w:val="auto"/>
          <w:highlight w:val="none"/>
        </w:rPr>
        <w:sectPr>
          <w:pgSz w:w="11910" w:h="16850"/>
          <w:pgMar w:top="1280" w:right="860" w:bottom="1040" w:left="1280" w:header="877" w:footer="853" w:gutter="0"/>
          <w:cols w:space="720" w:num="1"/>
        </w:sectPr>
      </w:pPr>
    </w:p>
    <w:p>
      <w:pPr>
        <w:pStyle w:val="2"/>
        <w:jc w:val="center"/>
        <w:rPr>
          <w:b/>
          <w:bCs/>
          <w:color w:val="auto"/>
          <w:sz w:val="28"/>
          <w:szCs w:val="28"/>
          <w:highlight w:val="none"/>
        </w:rPr>
      </w:pPr>
      <w:r>
        <w:rPr>
          <w:b/>
          <w:bCs/>
          <w:color w:val="auto"/>
          <w:sz w:val="28"/>
          <w:szCs w:val="28"/>
          <w:highlight w:val="none"/>
        </w:rPr>
        <w:t>拟委任的其他管理和技术人员资历表</w:t>
      </w:r>
    </w:p>
    <w:p>
      <w:pPr>
        <w:pStyle w:val="2"/>
        <w:spacing w:before="5"/>
        <w:rPr>
          <w:b/>
          <w:color w:val="auto"/>
          <w:sz w:val="27"/>
          <w:highlight w:val="none"/>
        </w:rPr>
      </w:pPr>
    </w:p>
    <w:tbl>
      <w:tblPr>
        <w:tblStyle w:val="52"/>
        <w:tblW w:w="0" w:type="auto"/>
        <w:tblInd w:w="24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277"/>
        <w:gridCol w:w="55"/>
        <w:gridCol w:w="1472"/>
        <w:gridCol w:w="1181"/>
        <w:gridCol w:w="1312"/>
        <w:gridCol w:w="136"/>
        <w:gridCol w:w="1754"/>
        <w:gridCol w:w="368"/>
        <w:gridCol w:w="160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7" w:hRule="atLeast"/>
        </w:trPr>
        <w:tc>
          <w:tcPr>
            <w:tcW w:w="1332" w:type="dxa"/>
            <w:gridSpan w:val="2"/>
            <w:vAlign w:val="center"/>
          </w:tcPr>
          <w:p>
            <w:pPr>
              <w:pStyle w:val="54"/>
              <w:ind w:left="230"/>
              <w:jc w:val="center"/>
              <w:rPr>
                <w:color w:val="auto"/>
                <w:sz w:val="21"/>
                <w:highlight w:val="none"/>
              </w:rPr>
            </w:pPr>
            <w:r>
              <w:rPr>
                <w:color w:val="auto"/>
                <w:sz w:val="21"/>
                <w:highlight w:val="none"/>
              </w:rPr>
              <w:t>姓名</w:t>
            </w:r>
          </w:p>
        </w:tc>
        <w:tc>
          <w:tcPr>
            <w:tcW w:w="1472" w:type="dxa"/>
            <w:vAlign w:val="center"/>
          </w:tcPr>
          <w:p>
            <w:pPr>
              <w:pStyle w:val="54"/>
              <w:spacing w:before="109"/>
              <w:ind w:left="9"/>
              <w:jc w:val="center"/>
              <w:rPr>
                <w:color w:val="auto"/>
                <w:sz w:val="21"/>
                <w:highlight w:val="none"/>
              </w:rPr>
            </w:pPr>
          </w:p>
        </w:tc>
        <w:tc>
          <w:tcPr>
            <w:tcW w:w="1181" w:type="dxa"/>
            <w:vAlign w:val="center"/>
          </w:tcPr>
          <w:p>
            <w:pPr>
              <w:pStyle w:val="54"/>
              <w:ind w:left="208"/>
              <w:jc w:val="center"/>
              <w:rPr>
                <w:color w:val="auto"/>
                <w:sz w:val="21"/>
                <w:highlight w:val="none"/>
              </w:rPr>
            </w:pPr>
            <w:r>
              <w:rPr>
                <w:color w:val="auto"/>
                <w:sz w:val="21"/>
                <w:highlight w:val="none"/>
              </w:rPr>
              <w:t>年龄</w:t>
            </w:r>
          </w:p>
        </w:tc>
        <w:tc>
          <w:tcPr>
            <w:tcW w:w="1448" w:type="dxa"/>
            <w:gridSpan w:val="2"/>
            <w:vAlign w:val="center"/>
          </w:tcPr>
          <w:p>
            <w:pPr>
              <w:pStyle w:val="54"/>
              <w:spacing w:before="109"/>
              <w:ind w:left="8"/>
              <w:jc w:val="center"/>
              <w:rPr>
                <w:color w:val="auto"/>
                <w:sz w:val="21"/>
                <w:highlight w:val="none"/>
              </w:rPr>
            </w:pPr>
          </w:p>
        </w:tc>
        <w:tc>
          <w:tcPr>
            <w:tcW w:w="2122" w:type="dxa"/>
            <w:gridSpan w:val="2"/>
            <w:vAlign w:val="center"/>
          </w:tcPr>
          <w:p>
            <w:pPr>
              <w:pStyle w:val="54"/>
              <w:ind w:left="806" w:right="694"/>
              <w:jc w:val="center"/>
              <w:rPr>
                <w:color w:val="auto"/>
                <w:sz w:val="21"/>
                <w:highlight w:val="none"/>
              </w:rPr>
            </w:pPr>
            <w:r>
              <w:rPr>
                <w:color w:val="auto"/>
                <w:sz w:val="21"/>
                <w:highlight w:val="none"/>
              </w:rPr>
              <w:t>专业</w:t>
            </w:r>
          </w:p>
        </w:tc>
        <w:tc>
          <w:tcPr>
            <w:tcW w:w="1603" w:type="dxa"/>
            <w:vAlign w:val="center"/>
          </w:tcPr>
          <w:p>
            <w:pPr>
              <w:pStyle w:val="54"/>
              <w:spacing w:before="109"/>
              <w:ind w:left="8"/>
              <w:jc w:val="center"/>
              <w:rPr>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7" w:hRule="atLeast"/>
        </w:trPr>
        <w:tc>
          <w:tcPr>
            <w:tcW w:w="1332" w:type="dxa"/>
            <w:gridSpan w:val="2"/>
            <w:vAlign w:val="center"/>
          </w:tcPr>
          <w:p>
            <w:pPr>
              <w:pStyle w:val="54"/>
              <w:spacing w:before="1"/>
              <w:ind w:left="230"/>
              <w:jc w:val="center"/>
              <w:rPr>
                <w:color w:val="auto"/>
                <w:sz w:val="21"/>
                <w:highlight w:val="none"/>
              </w:rPr>
            </w:pPr>
            <w:r>
              <w:rPr>
                <w:color w:val="auto"/>
                <w:sz w:val="21"/>
                <w:highlight w:val="none"/>
              </w:rPr>
              <w:t>技术职称</w:t>
            </w:r>
          </w:p>
        </w:tc>
        <w:tc>
          <w:tcPr>
            <w:tcW w:w="1472" w:type="dxa"/>
            <w:vAlign w:val="center"/>
          </w:tcPr>
          <w:p>
            <w:pPr>
              <w:pStyle w:val="54"/>
              <w:spacing w:before="109"/>
              <w:ind w:left="9"/>
              <w:jc w:val="center"/>
              <w:rPr>
                <w:color w:val="auto"/>
                <w:sz w:val="21"/>
                <w:highlight w:val="none"/>
              </w:rPr>
            </w:pPr>
          </w:p>
        </w:tc>
        <w:tc>
          <w:tcPr>
            <w:tcW w:w="1181" w:type="dxa"/>
            <w:vAlign w:val="center"/>
          </w:tcPr>
          <w:p>
            <w:pPr>
              <w:pStyle w:val="54"/>
              <w:spacing w:before="1"/>
              <w:ind w:left="208"/>
              <w:jc w:val="center"/>
              <w:rPr>
                <w:color w:val="auto"/>
                <w:sz w:val="21"/>
                <w:highlight w:val="none"/>
              </w:rPr>
            </w:pPr>
            <w:r>
              <w:rPr>
                <w:color w:val="auto"/>
                <w:sz w:val="21"/>
                <w:highlight w:val="none"/>
              </w:rPr>
              <w:t>学历</w:t>
            </w:r>
          </w:p>
        </w:tc>
        <w:tc>
          <w:tcPr>
            <w:tcW w:w="1448" w:type="dxa"/>
            <w:gridSpan w:val="2"/>
            <w:vAlign w:val="center"/>
          </w:tcPr>
          <w:p>
            <w:pPr>
              <w:pStyle w:val="54"/>
              <w:spacing w:before="109"/>
              <w:ind w:left="8"/>
              <w:jc w:val="center"/>
              <w:rPr>
                <w:color w:val="auto"/>
                <w:sz w:val="21"/>
                <w:highlight w:val="none"/>
              </w:rPr>
            </w:pPr>
          </w:p>
        </w:tc>
        <w:tc>
          <w:tcPr>
            <w:tcW w:w="2122" w:type="dxa"/>
            <w:gridSpan w:val="2"/>
            <w:vAlign w:val="center"/>
          </w:tcPr>
          <w:p>
            <w:pPr>
              <w:pStyle w:val="54"/>
              <w:ind w:left="37"/>
              <w:jc w:val="center"/>
              <w:rPr>
                <w:color w:val="auto"/>
                <w:sz w:val="21"/>
                <w:highlight w:val="none"/>
              </w:rPr>
            </w:pPr>
            <w:r>
              <w:rPr>
                <w:color w:val="auto"/>
                <w:sz w:val="21"/>
                <w:highlight w:val="none"/>
              </w:rPr>
              <w:t>拟在本标段工程任职</w:t>
            </w:r>
          </w:p>
        </w:tc>
        <w:tc>
          <w:tcPr>
            <w:tcW w:w="1603" w:type="dxa"/>
          </w:tcPr>
          <w:p>
            <w:pPr>
              <w:pStyle w:val="54"/>
              <w:spacing w:before="109"/>
              <w:ind w:left="8"/>
              <w:jc w:val="center"/>
              <w:rPr>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8" w:hRule="atLeast"/>
        </w:trPr>
        <w:tc>
          <w:tcPr>
            <w:tcW w:w="1332" w:type="dxa"/>
            <w:gridSpan w:val="2"/>
            <w:vAlign w:val="center"/>
          </w:tcPr>
          <w:p>
            <w:pPr>
              <w:pStyle w:val="54"/>
              <w:ind w:left="230"/>
              <w:jc w:val="center"/>
              <w:rPr>
                <w:color w:val="auto"/>
                <w:sz w:val="21"/>
                <w:highlight w:val="none"/>
              </w:rPr>
            </w:pPr>
            <w:r>
              <w:rPr>
                <w:color w:val="auto"/>
                <w:sz w:val="21"/>
                <w:highlight w:val="none"/>
              </w:rPr>
              <w:t>工作年限</w:t>
            </w:r>
          </w:p>
        </w:tc>
        <w:tc>
          <w:tcPr>
            <w:tcW w:w="4101" w:type="dxa"/>
            <w:gridSpan w:val="4"/>
            <w:vAlign w:val="center"/>
          </w:tcPr>
          <w:p>
            <w:pPr>
              <w:pStyle w:val="54"/>
              <w:spacing w:before="109"/>
              <w:ind w:left="9"/>
              <w:jc w:val="center"/>
              <w:rPr>
                <w:color w:val="auto"/>
                <w:sz w:val="21"/>
                <w:highlight w:val="none"/>
              </w:rPr>
            </w:pPr>
          </w:p>
        </w:tc>
        <w:tc>
          <w:tcPr>
            <w:tcW w:w="2122" w:type="dxa"/>
            <w:gridSpan w:val="2"/>
            <w:vAlign w:val="center"/>
          </w:tcPr>
          <w:p>
            <w:pPr>
              <w:pStyle w:val="54"/>
              <w:ind w:left="8"/>
              <w:jc w:val="center"/>
              <w:rPr>
                <w:color w:val="auto"/>
                <w:sz w:val="21"/>
                <w:highlight w:val="none"/>
              </w:rPr>
            </w:pPr>
            <w:r>
              <w:rPr>
                <w:color w:val="auto"/>
                <w:sz w:val="21"/>
                <w:highlight w:val="none"/>
              </w:rPr>
              <w:t>类似施工经验年限</w:t>
            </w:r>
          </w:p>
        </w:tc>
        <w:tc>
          <w:tcPr>
            <w:tcW w:w="1603" w:type="dxa"/>
          </w:tcPr>
          <w:p>
            <w:pPr>
              <w:pStyle w:val="54"/>
              <w:spacing w:before="109"/>
              <w:ind w:left="8"/>
              <w:jc w:val="center"/>
              <w:rPr>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3" w:hRule="atLeast"/>
        </w:trPr>
        <w:tc>
          <w:tcPr>
            <w:tcW w:w="1332" w:type="dxa"/>
            <w:gridSpan w:val="2"/>
            <w:vAlign w:val="center"/>
          </w:tcPr>
          <w:p>
            <w:pPr>
              <w:pStyle w:val="54"/>
              <w:ind w:left="230"/>
              <w:rPr>
                <w:color w:val="auto"/>
                <w:sz w:val="21"/>
                <w:highlight w:val="none"/>
              </w:rPr>
            </w:pPr>
            <w:r>
              <w:rPr>
                <w:color w:val="auto"/>
                <w:sz w:val="21"/>
                <w:highlight w:val="none"/>
              </w:rPr>
              <w:t xml:space="preserve">毕业学校 </w:t>
            </w:r>
          </w:p>
        </w:tc>
        <w:tc>
          <w:tcPr>
            <w:tcW w:w="7826" w:type="dxa"/>
            <w:gridSpan w:val="7"/>
          </w:tcPr>
          <w:p>
            <w:pPr>
              <w:pStyle w:val="54"/>
              <w:spacing w:before="8"/>
              <w:rPr>
                <w:b/>
                <w:color w:val="auto"/>
                <w:sz w:val="19"/>
                <w:highlight w:val="none"/>
              </w:rPr>
            </w:pPr>
          </w:p>
          <w:p>
            <w:pPr>
              <w:pStyle w:val="54"/>
              <w:ind w:left="4243" w:right="-15"/>
              <w:rPr>
                <w:color w:val="auto"/>
                <w:sz w:val="21"/>
                <w:highlight w:val="none"/>
              </w:rPr>
            </w:pPr>
            <w:r>
              <w:rPr>
                <w:color w:val="auto"/>
                <w:spacing w:val="-2"/>
                <w:sz w:val="21"/>
                <w:highlight w:val="none"/>
              </w:rPr>
              <w:t>年 月 毕业于学校专业，学制 年</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4" w:hRule="atLeast"/>
        </w:trPr>
        <w:tc>
          <w:tcPr>
            <w:tcW w:w="9158" w:type="dxa"/>
            <w:gridSpan w:val="9"/>
            <w:vAlign w:val="center"/>
          </w:tcPr>
          <w:p>
            <w:pPr>
              <w:pStyle w:val="54"/>
              <w:spacing w:before="129"/>
              <w:ind w:left="4318"/>
              <w:rPr>
                <w:rFonts w:hint="eastAsia" w:eastAsia="宋体"/>
                <w:color w:val="auto"/>
                <w:sz w:val="21"/>
                <w:highlight w:val="none"/>
                <w:lang w:eastAsia="zh-CN"/>
              </w:rPr>
            </w:pPr>
            <w:r>
              <w:rPr>
                <w:rFonts w:hint="eastAsia"/>
                <w:color w:val="auto"/>
                <w:sz w:val="21"/>
                <w:highlight w:val="none"/>
                <w:lang w:eastAsia="zh-CN"/>
              </w:rPr>
              <w:t>经历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4" w:hRule="atLeast"/>
        </w:trPr>
        <w:tc>
          <w:tcPr>
            <w:tcW w:w="1277" w:type="dxa"/>
            <w:vAlign w:val="center"/>
          </w:tcPr>
          <w:p>
            <w:pPr>
              <w:pStyle w:val="54"/>
              <w:spacing w:before="129"/>
              <w:ind w:left="230"/>
              <w:jc w:val="center"/>
              <w:rPr>
                <w:rFonts w:hint="eastAsia" w:eastAsia="宋体"/>
                <w:color w:val="auto"/>
                <w:sz w:val="21"/>
                <w:szCs w:val="21"/>
                <w:highlight w:val="none"/>
                <w:lang w:eastAsia="zh-CN"/>
              </w:rPr>
            </w:pPr>
            <w:r>
              <w:rPr>
                <w:rFonts w:hint="eastAsia"/>
                <w:color w:val="auto"/>
                <w:sz w:val="21"/>
                <w:szCs w:val="21"/>
                <w:highlight w:val="none"/>
                <w:lang w:eastAsia="zh-CN"/>
              </w:rPr>
              <w:t>时间</w:t>
            </w:r>
          </w:p>
        </w:tc>
        <w:tc>
          <w:tcPr>
            <w:tcW w:w="4020" w:type="dxa"/>
            <w:gridSpan w:val="4"/>
            <w:tcBorders>
              <w:right w:val="single" w:color="auto" w:sz="4" w:space="0"/>
            </w:tcBorders>
          </w:tcPr>
          <w:p>
            <w:pPr>
              <w:pStyle w:val="54"/>
              <w:spacing w:before="129"/>
              <w:jc w:val="center"/>
              <w:rPr>
                <w:rFonts w:hint="eastAsia" w:eastAsia="宋体"/>
                <w:color w:val="auto"/>
                <w:sz w:val="21"/>
                <w:szCs w:val="21"/>
                <w:highlight w:val="none"/>
                <w:lang w:eastAsia="zh-CN"/>
              </w:rPr>
            </w:pPr>
            <w:r>
              <w:rPr>
                <w:rFonts w:hint="eastAsia"/>
                <w:color w:val="auto"/>
                <w:sz w:val="21"/>
                <w:szCs w:val="21"/>
                <w:highlight w:val="none"/>
                <w:lang w:eastAsia="zh-CN"/>
              </w:rPr>
              <w:t>参加过的类似工程项目名称</w:t>
            </w:r>
          </w:p>
        </w:tc>
        <w:tc>
          <w:tcPr>
            <w:tcW w:w="1890" w:type="dxa"/>
            <w:gridSpan w:val="2"/>
            <w:tcBorders>
              <w:left w:val="single" w:color="auto" w:sz="4" w:space="0"/>
              <w:right w:val="single" w:color="auto" w:sz="4" w:space="0"/>
            </w:tcBorders>
          </w:tcPr>
          <w:p>
            <w:pPr>
              <w:pStyle w:val="54"/>
              <w:spacing w:before="129"/>
              <w:jc w:val="center"/>
              <w:rPr>
                <w:rFonts w:hint="eastAsia" w:eastAsia="宋体"/>
                <w:color w:val="auto"/>
                <w:sz w:val="21"/>
                <w:szCs w:val="21"/>
                <w:highlight w:val="none"/>
                <w:lang w:eastAsia="zh-CN"/>
              </w:rPr>
            </w:pPr>
            <w:r>
              <w:rPr>
                <w:rFonts w:hint="eastAsia"/>
                <w:color w:val="auto"/>
                <w:sz w:val="21"/>
                <w:szCs w:val="21"/>
                <w:highlight w:val="none"/>
                <w:lang w:eastAsia="zh-CN"/>
              </w:rPr>
              <w:t>担任职务</w:t>
            </w:r>
          </w:p>
        </w:tc>
        <w:tc>
          <w:tcPr>
            <w:tcW w:w="1971" w:type="dxa"/>
            <w:gridSpan w:val="2"/>
            <w:tcBorders>
              <w:left w:val="single" w:color="auto" w:sz="4" w:space="0"/>
            </w:tcBorders>
          </w:tcPr>
          <w:p>
            <w:pPr>
              <w:pStyle w:val="54"/>
              <w:spacing w:before="129"/>
              <w:jc w:val="center"/>
              <w:rPr>
                <w:rFonts w:hint="eastAsia" w:eastAsia="宋体"/>
                <w:color w:val="auto"/>
                <w:sz w:val="21"/>
                <w:szCs w:val="21"/>
                <w:highlight w:val="none"/>
                <w:lang w:eastAsia="zh-CN"/>
              </w:rPr>
            </w:pPr>
            <w:r>
              <w:rPr>
                <w:rFonts w:hint="eastAsia"/>
                <w:color w:val="auto"/>
                <w:sz w:val="21"/>
                <w:szCs w:val="21"/>
                <w:highlight w:val="none"/>
                <w:lang w:eastAsia="zh-CN"/>
              </w:rPr>
              <w:t>发包人及联系电话</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4" w:hRule="atLeast"/>
        </w:trPr>
        <w:tc>
          <w:tcPr>
            <w:tcW w:w="1277" w:type="dxa"/>
            <w:vAlign w:val="center"/>
          </w:tcPr>
          <w:p>
            <w:pPr>
              <w:pStyle w:val="54"/>
              <w:spacing w:before="129"/>
              <w:ind w:left="230"/>
              <w:jc w:val="center"/>
              <w:rPr>
                <w:rFonts w:hint="eastAsia"/>
                <w:color w:val="auto"/>
                <w:sz w:val="21"/>
                <w:szCs w:val="21"/>
                <w:highlight w:val="none"/>
                <w:lang w:eastAsia="zh-CN"/>
              </w:rPr>
            </w:pPr>
          </w:p>
        </w:tc>
        <w:tc>
          <w:tcPr>
            <w:tcW w:w="4020" w:type="dxa"/>
            <w:gridSpan w:val="4"/>
            <w:tcBorders>
              <w:right w:val="single" w:color="auto" w:sz="4" w:space="0"/>
            </w:tcBorders>
          </w:tcPr>
          <w:p>
            <w:pPr>
              <w:pStyle w:val="54"/>
              <w:spacing w:before="129"/>
              <w:jc w:val="center"/>
              <w:rPr>
                <w:rFonts w:hint="eastAsia"/>
                <w:color w:val="auto"/>
                <w:sz w:val="21"/>
                <w:szCs w:val="21"/>
                <w:highlight w:val="none"/>
                <w:lang w:eastAsia="zh-CN"/>
              </w:rPr>
            </w:pPr>
          </w:p>
        </w:tc>
        <w:tc>
          <w:tcPr>
            <w:tcW w:w="1890" w:type="dxa"/>
            <w:gridSpan w:val="2"/>
            <w:tcBorders>
              <w:left w:val="single" w:color="auto" w:sz="4" w:space="0"/>
              <w:right w:val="single" w:color="auto" w:sz="4" w:space="0"/>
            </w:tcBorders>
          </w:tcPr>
          <w:p>
            <w:pPr>
              <w:pStyle w:val="54"/>
              <w:spacing w:before="129"/>
              <w:jc w:val="center"/>
              <w:rPr>
                <w:rFonts w:hint="eastAsia"/>
                <w:color w:val="auto"/>
                <w:sz w:val="21"/>
                <w:szCs w:val="21"/>
                <w:highlight w:val="none"/>
                <w:lang w:eastAsia="zh-CN"/>
              </w:rPr>
            </w:pPr>
          </w:p>
        </w:tc>
        <w:tc>
          <w:tcPr>
            <w:tcW w:w="1971" w:type="dxa"/>
            <w:gridSpan w:val="2"/>
            <w:tcBorders>
              <w:left w:val="single" w:color="auto" w:sz="4" w:space="0"/>
            </w:tcBorders>
          </w:tcPr>
          <w:p>
            <w:pPr>
              <w:pStyle w:val="54"/>
              <w:spacing w:before="129"/>
              <w:jc w:val="center"/>
              <w:rPr>
                <w:rFonts w:hint="eastAsia"/>
                <w:color w:val="auto"/>
                <w:sz w:val="21"/>
                <w:szCs w:val="21"/>
                <w:highlight w:val="none"/>
                <w:lang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4" w:hRule="atLeast"/>
        </w:trPr>
        <w:tc>
          <w:tcPr>
            <w:tcW w:w="1277" w:type="dxa"/>
            <w:vAlign w:val="center"/>
          </w:tcPr>
          <w:p>
            <w:pPr>
              <w:pStyle w:val="54"/>
              <w:spacing w:before="129"/>
              <w:ind w:left="230"/>
              <w:jc w:val="center"/>
              <w:rPr>
                <w:rFonts w:hint="eastAsia"/>
                <w:color w:val="auto"/>
                <w:sz w:val="21"/>
                <w:szCs w:val="21"/>
                <w:highlight w:val="none"/>
                <w:lang w:eastAsia="zh-CN"/>
              </w:rPr>
            </w:pPr>
          </w:p>
        </w:tc>
        <w:tc>
          <w:tcPr>
            <w:tcW w:w="4020" w:type="dxa"/>
            <w:gridSpan w:val="4"/>
            <w:tcBorders>
              <w:right w:val="single" w:color="auto" w:sz="4" w:space="0"/>
            </w:tcBorders>
          </w:tcPr>
          <w:p>
            <w:pPr>
              <w:pStyle w:val="54"/>
              <w:spacing w:before="129"/>
              <w:jc w:val="center"/>
              <w:rPr>
                <w:rFonts w:hint="eastAsia"/>
                <w:color w:val="auto"/>
                <w:sz w:val="21"/>
                <w:szCs w:val="21"/>
                <w:highlight w:val="none"/>
                <w:lang w:eastAsia="zh-CN"/>
              </w:rPr>
            </w:pPr>
          </w:p>
        </w:tc>
        <w:tc>
          <w:tcPr>
            <w:tcW w:w="1890" w:type="dxa"/>
            <w:gridSpan w:val="2"/>
            <w:tcBorders>
              <w:left w:val="single" w:color="auto" w:sz="4" w:space="0"/>
              <w:right w:val="single" w:color="auto" w:sz="4" w:space="0"/>
            </w:tcBorders>
          </w:tcPr>
          <w:p>
            <w:pPr>
              <w:pStyle w:val="54"/>
              <w:spacing w:before="129"/>
              <w:jc w:val="center"/>
              <w:rPr>
                <w:rFonts w:hint="eastAsia"/>
                <w:color w:val="auto"/>
                <w:sz w:val="21"/>
                <w:szCs w:val="21"/>
                <w:highlight w:val="none"/>
                <w:lang w:eastAsia="zh-CN"/>
              </w:rPr>
            </w:pPr>
          </w:p>
        </w:tc>
        <w:tc>
          <w:tcPr>
            <w:tcW w:w="1971" w:type="dxa"/>
            <w:gridSpan w:val="2"/>
            <w:tcBorders>
              <w:left w:val="single" w:color="auto" w:sz="4" w:space="0"/>
            </w:tcBorders>
          </w:tcPr>
          <w:p>
            <w:pPr>
              <w:pStyle w:val="54"/>
              <w:spacing w:before="129"/>
              <w:jc w:val="center"/>
              <w:rPr>
                <w:rFonts w:hint="eastAsia"/>
                <w:color w:val="auto"/>
                <w:sz w:val="21"/>
                <w:szCs w:val="21"/>
                <w:highlight w:val="none"/>
                <w:lang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4" w:hRule="atLeast"/>
        </w:trPr>
        <w:tc>
          <w:tcPr>
            <w:tcW w:w="1277" w:type="dxa"/>
            <w:vAlign w:val="center"/>
          </w:tcPr>
          <w:p>
            <w:pPr>
              <w:pStyle w:val="54"/>
              <w:spacing w:before="129"/>
              <w:ind w:left="230"/>
              <w:jc w:val="center"/>
              <w:rPr>
                <w:rFonts w:hint="eastAsia"/>
                <w:color w:val="auto"/>
                <w:sz w:val="21"/>
                <w:szCs w:val="21"/>
                <w:highlight w:val="none"/>
                <w:lang w:eastAsia="zh-CN"/>
              </w:rPr>
            </w:pPr>
          </w:p>
        </w:tc>
        <w:tc>
          <w:tcPr>
            <w:tcW w:w="4020" w:type="dxa"/>
            <w:gridSpan w:val="4"/>
            <w:tcBorders>
              <w:right w:val="single" w:color="auto" w:sz="4" w:space="0"/>
            </w:tcBorders>
          </w:tcPr>
          <w:p>
            <w:pPr>
              <w:pStyle w:val="54"/>
              <w:spacing w:before="129"/>
              <w:jc w:val="center"/>
              <w:rPr>
                <w:rFonts w:hint="eastAsia"/>
                <w:color w:val="auto"/>
                <w:sz w:val="21"/>
                <w:szCs w:val="21"/>
                <w:highlight w:val="none"/>
                <w:lang w:eastAsia="zh-CN"/>
              </w:rPr>
            </w:pPr>
          </w:p>
        </w:tc>
        <w:tc>
          <w:tcPr>
            <w:tcW w:w="1890" w:type="dxa"/>
            <w:gridSpan w:val="2"/>
            <w:tcBorders>
              <w:left w:val="single" w:color="auto" w:sz="4" w:space="0"/>
              <w:right w:val="single" w:color="auto" w:sz="4" w:space="0"/>
            </w:tcBorders>
          </w:tcPr>
          <w:p>
            <w:pPr>
              <w:pStyle w:val="54"/>
              <w:spacing w:before="129"/>
              <w:jc w:val="center"/>
              <w:rPr>
                <w:rFonts w:hint="eastAsia"/>
                <w:color w:val="auto"/>
                <w:sz w:val="21"/>
                <w:szCs w:val="21"/>
                <w:highlight w:val="none"/>
                <w:lang w:eastAsia="zh-CN"/>
              </w:rPr>
            </w:pPr>
          </w:p>
        </w:tc>
        <w:tc>
          <w:tcPr>
            <w:tcW w:w="1971" w:type="dxa"/>
            <w:gridSpan w:val="2"/>
            <w:tcBorders>
              <w:left w:val="single" w:color="auto" w:sz="4" w:space="0"/>
            </w:tcBorders>
          </w:tcPr>
          <w:p>
            <w:pPr>
              <w:pStyle w:val="54"/>
              <w:spacing w:before="129"/>
              <w:jc w:val="center"/>
              <w:rPr>
                <w:rFonts w:hint="eastAsia"/>
                <w:color w:val="auto"/>
                <w:sz w:val="21"/>
                <w:szCs w:val="21"/>
                <w:highlight w:val="none"/>
                <w:lang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4" w:hRule="atLeast"/>
        </w:trPr>
        <w:tc>
          <w:tcPr>
            <w:tcW w:w="1277" w:type="dxa"/>
            <w:vAlign w:val="center"/>
          </w:tcPr>
          <w:p>
            <w:pPr>
              <w:pStyle w:val="54"/>
              <w:spacing w:before="129"/>
              <w:ind w:left="230"/>
              <w:jc w:val="center"/>
              <w:rPr>
                <w:rFonts w:hint="eastAsia"/>
                <w:color w:val="auto"/>
                <w:sz w:val="21"/>
                <w:szCs w:val="21"/>
                <w:highlight w:val="none"/>
                <w:lang w:eastAsia="zh-CN"/>
              </w:rPr>
            </w:pPr>
          </w:p>
        </w:tc>
        <w:tc>
          <w:tcPr>
            <w:tcW w:w="4020" w:type="dxa"/>
            <w:gridSpan w:val="4"/>
            <w:tcBorders>
              <w:right w:val="single" w:color="auto" w:sz="4" w:space="0"/>
            </w:tcBorders>
          </w:tcPr>
          <w:p>
            <w:pPr>
              <w:pStyle w:val="54"/>
              <w:spacing w:before="129"/>
              <w:jc w:val="center"/>
              <w:rPr>
                <w:rFonts w:hint="eastAsia"/>
                <w:color w:val="auto"/>
                <w:sz w:val="21"/>
                <w:szCs w:val="21"/>
                <w:highlight w:val="none"/>
                <w:lang w:eastAsia="zh-CN"/>
              </w:rPr>
            </w:pPr>
          </w:p>
        </w:tc>
        <w:tc>
          <w:tcPr>
            <w:tcW w:w="1890" w:type="dxa"/>
            <w:gridSpan w:val="2"/>
            <w:tcBorders>
              <w:left w:val="single" w:color="auto" w:sz="4" w:space="0"/>
              <w:right w:val="single" w:color="auto" w:sz="4" w:space="0"/>
            </w:tcBorders>
          </w:tcPr>
          <w:p>
            <w:pPr>
              <w:pStyle w:val="54"/>
              <w:spacing w:before="129"/>
              <w:jc w:val="center"/>
              <w:rPr>
                <w:rFonts w:hint="eastAsia"/>
                <w:color w:val="auto"/>
                <w:sz w:val="21"/>
                <w:szCs w:val="21"/>
                <w:highlight w:val="none"/>
                <w:lang w:eastAsia="zh-CN"/>
              </w:rPr>
            </w:pPr>
          </w:p>
        </w:tc>
        <w:tc>
          <w:tcPr>
            <w:tcW w:w="1971" w:type="dxa"/>
            <w:gridSpan w:val="2"/>
            <w:tcBorders>
              <w:left w:val="single" w:color="auto" w:sz="4" w:space="0"/>
            </w:tcBorders>
          </w:tcPr>
          <w:p>
            <w:pPr>
              <w:pStyle w:val="54"/>
              <w:spacing w:before="129"/>
              <w:jc w:val="center"/>
              <w:rPr>
                <w:rFonts w:hint="eastAsia"/>
                <w:color w:val="auto"/>
                <w:sz w:val="21"/>
                <w:szCs w:val="21"/>
                <w:highlight w:val="none"/>
                <w:lang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584" w:hRule="atLeast"/>
        </w:trPr>
        <w:tc>
          <w:tcPr>
            <w:tcW w:w="1277" w:type="dxa"/>
            <w:vAlign w:val="center"/>
          </w:tcPr>
          <w:p>
            <w:pPr>
              <w:pStyle w:val="54"/>
              <w:spacing w:before="129"/>
              <w:ind w:left="230"/>
              <w:jc w:val="center"/>
              <w:rPr>
                <w:rFonts w:hint="eastAsia"/>
                <w:color w:val="auto"/>
                <w:sz w:val="21"/>
                <w:szCs w:val="21"/>
                <w:highlight w:val="none"/>
                <w:lang w:eastAsia="zh-CN"/>
              </w:rPr>
            </w:pPr>
          </w:p>
        </w:tc>
        <w:tc>
          <w:tcPr>
            <w:tcW w:w="4020" w:type="dxa"/>
            <w:gridSpan w:val="4"/>
            <w:tcBorders>
              <w:right w:val="single" w:color="auto" w:sz="4" w:space="0"/>
            </w:tcBorders>
          </w:tcPr>
          <w:p>
            <w:pPr>
              <w:pStyle w:val="54"/>
              <w:spacing w:before="129"/>
              <w:jc w:val="center"/>
              <w:rPr>
                <w:rFonts w:hint="eastAsia"/>
                <w:color w:val="auto"/>
                <w:sz w:val="21"/>
                <w:szCs w:val="21"/>
                <w:highlight w:val="none"/>
                <w:lang w:eastAsia="zh-CN"/>
              </w:rPr>
            </w:pPr>
          </w:p>
        </w:tc>
        <w:tc>
          <w:tcPr>
            <w:tcW w:w="1890" w:type="dxa"/>
            <w:gridSpan w:val="2"/>
            <w:tcBorders>
              <w:left w:val="single" w:color="auto" w:sz="4" w:space="0"/>
              <w:right w:val="single" w:color="auto" w:sz="4" w:space="0"/>
            </w:tcBorders>
          </w:tcPr>
          <w:p>
            <w:pPr>
              <w:pStyle w:val="54"/>
              <w:spacing w:before="129"/>
              <w:jc w:val="center"/>
              <w:rPr>
                <w:rFonts w:hint="eastAsia"/>
                <w:color w:val="auto"/>
                <w:sz w:val="21"/>
                <w:szCs w:val="21"/>
                <w:highlight w:val="none"/>
                <w:lang w:eastAsia="zh-CN"/>
              </w:rPr>
            </w:pPr>
          </w:p>
        </w:tc>
        <w:tc>
          <w:tcPr>
            <w:tcW w:w="1971" w:type="dxa"/>
            <w:gridSpan w:val="2"/>
            <w:tcBorders>
              <w:left w:val="single" w:color="auto" w:sz="4" w:space="0"/>
            </w:tcBorders>
          </w:tcPr>
          <w:p>
            <w:pPr>
              <w:pStyle w:val="54"/>
              <w:spacing w:before="129"/>
              <w:jc w:val="center"/>
              <w:rPr>
                <w:rFonts w:hint="eastAsia"/>
                <w:color w:val="auto"/>
                <w:sz w:val="21"/>
                <w:szCs w:val="21"/>
                <w:highlight w:val="none"/>
                <w:lang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4" w:hRule="atLeast"/>
        </w:trPr>
        <w:tc>
          <w:tcPr>
            <w:tcW w:w="1277" w:type="dxa"/>
            <w:vAlign w:val="center"/>
          </w:tcPr>
          <w:p>
            <w:pPr>
              <w:pStyle w:val="54"/>
              <w:spacing w:before="129"/>
              <w:ind w:left="230"/>
              <w:jc w:val="center"/>
              <w:rPr>
                <w:rFonts w:hint="eastAsia"/>
                <w:color w:val="auto"/>
                <w:sz w:val="21"/>
                <w:szCs w:val="21"/>
                <w:highlight w:val="none"/>
                <w:lang w:eastAsia="zh-CN"/>
              </w:rPr>
            </w:pPr>
          </w:p>
        </w:tc>
        <w:tc>
          <w:tcPr>
            <w:tcW w:w="4020" w:type="dxa"/>
            <w:gridSpan w:val="4"/>
            <w:tcBorders>
              <w:right w:val="single" w:color="auto" w:sz="4" w:space="0"/>
            </w:tcBorders>
          </w:tcPr>
          <w:p>
            <w:pPr>
              <w:pStyle w:val="54"/>
              <w:spacing w:before="129"/>
              <w:jc w:val="center"/>
              <w:rPr>
                <w:rFonts w:hint="eastAsia"/>
                <w:color w:val="auto"/>
                <w:sz w:val="21"/>
                <w:szCs w:val="21"/>
                <w:highlight w:val="none"/>
                <w:lang w:eastAsia="zh-CN"/>
              </w:rPr>
            </w:pPr>
          </w:p>
        </w:tc>
        <w:tc>
          <w:tcPr>
            <w:tcW w:w="1890" w:type="dxa"/>
            <w:gridSpan w:val="2"/>
            <w:tcBorders>
              <w:left w:val="single" w:color="auto" w:sz="4" w:space="0"/>
              <w:right w:val="single" w:color="auto" w:sz="4" w:space="0"/>
            </w:tcBorders>
          </w:tcPr>
          <w:p>
            <w:pPr>
              <w:pStyle w:val="54"/>
              <w:spacing w:before="129"/>
              <w:jc w:val="center"/>
              <w:rPr>
                <w:rFonts w:hint="eastAsia"/>
                <w:color w:val="auto"/>
                <w:sz w:val="21"/>
                <w:szCs w:val="21"/>
                <w:highlight w:val="none"/>
                <w:lang w:eastAsia="zh-CN"/>
              </w:rPr>
            </w:pPr>
          </w:p>
        </w:tc>
        <w:tc>
          <w:tcPr>
            <w:tcW w:w="1971" w:type="dxa"/>
            <w:gridSpan w:val="2"/>
            <w:tcBorders>
              <w:left w:val="single" w:color="auto" w:sz="4" w:space="0"/>
            </w:tcBorders>
          </w:tcPr>
          <w:p>
            <w:pPr>
              <w:pStyle w:val="54"/>
              <w:spacing w:before="129"/>
              <w:jc w:val="center"/>
              <w:rPr>
                <w:rFonts w:hint="eastAsia"/>
                <w:color w:val="auto"/>
                <w:sz w:val="21"/>
                <w:szCs w:val="21"/>
                <w:highlight w:val="none"/>
                <w:lang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600" w:hRule="atLeast"/>
        </w:trPr>
        <w:tc>
          <w:tcPr>
            <w:tcW w:w="2804" w:type="dxa"/>
            <w:gridSpan w:val="3"/>
            <w:vAlign w:val="center"/>
          </w:tcPr>
          <w:p>
            <w:pPr>
              <w:pStyle w:val="54"/>
              <w:ind w:left="770"/>
              <w:rPr>
                <w:rFonts w:hint="eastAsia" w:eastAsia="宋体"/>
                <w:color w:val="auto"/>
                <w:sz w:val="21"/>
                <w:highlight w:val="none"/>
                <w:lang w:eastAsia="zh-CN"/>
              </w:rPr>
            </w:pPr>
            <w:r>
              <w:rPr>
                <w:rFonts w:hint="eastAsia"/>
                <w:color w:val="auto"/>
                <w:sz w:val="21"/>
                <w:highlight w:val="none"/>
                <w:lang w:eastAsia="zh-CN"/>
              </w:rPr>
              <w:t>获奖情况</w:t>
            </w:r>
          </w:p>
        </w:tc>
        <w:tc>
          <w:tcPr>
            <w:tcW w:w="6354" w:type="dxa"/>
            <w:gridSpan w:val="6"/>
            <w:vAlign w:val="center"/>
          </w:tcPr>
          <w:p>
            <w:pPr>
              <w:pStyle w:val="54"/>
              <w:spacing w:before="132" w:line="357" w:lineRule="auto"/>
              <w:ind w:left="9" w:right="27"/>
              <w:rPr>
                <w:color w:val="auto"/>
                <w:spacing w:val="-3"/>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05" w:hRule="atLeast"/>
        </w:trPr>
        <w:tc>
          <w:tcPr>
            <w:tcW w:w="2804" w:type="dxa"/>
            <w:gridSpan w:val="3"/>
            <w:vAlign w:val="center"/>
          </w:tcPr>
          <w:p>
            <w:pPr>
              <w:pStyle w:val="54"/>
              <w:ind w:left="770"/>
              <w:rPr>
                <w:color w:val="auto"/>
                <w:sz w:val="21"/>
                <w:highlight w:val="none"/>
              </w:rPr>
            </w:pPr>
            <w:r>
              <w:rPr>
                <w:color w:val="auto"/>
                <w:sz w:val="21"/>
                <w:highlight w:val="none"/>
              </w:rPr>
              <w:t xml:space="preserve">说明在岗情况 </w:t>
            </w:r>
          </w:p>
        </w:tc>
        <w:tc>
          <w:tcPr>
            <w:tcW w:w="6354" w:type="dxa"/>
            <w:gridSpan w:val="6"/>
            <w:vAlign w:val="center"/>
          </w:tcPr>
          <w:p>
            <w:pPr>
              <w:pStyle w:val="54"/>
              <w:ind w:left="9"/>
              <w:rPr>
                <w:color w:val="auto"/>
                <w:sz w:val="21"/>
                <w:highlight w:val="none"/>
              </w:rPr>
            </w:pPr>
            <w:r>
              <w:rPr>
                <w:color w:val="auto"/>
                <w:sz w:val="21"/>
                <w:highlight w:val="none"/>
              </w:rPr>
              <w:t xml:space="preserve">□目前未在其他项目上任职。 </w:t>
            </w:r>
          </w:p>
          <w:p>
            <w:pPr>
              <w:pStyle w:val="54"/>
              <w:spacing w:before="132" w:line="357" w:lineRule="auto"/>
              <w:ind w:left="9" w:right="27"/>
              <w:rPr>
                <w:color w:val="auto"/>
                <w:sz w:val="21"/>
                <w:highlight w:val="none"/>
              </w:rPr>
            </w:pPr>
            <w:r>
              <w:rPr>
                <w:color w:val="auto"/>
                <w:spacing w:val="-3"/>
                <w:sz w:val="21"/>
                <w:highlight w:val="none"/>
              </w:rPr>
              <w:t>□目前虽在其他项目上任职，但本项目中标后能够从该项目撤离，目前任职项目：</w:t>
            </w:r>
            <w:r>
              <w:rPr>
                <w:color w:val="auto"/>
                <w:spacing w:val="103"/>
                <w:sz w:val="21"/>
                <w:highlight w:val="none"/>
                <w:u w:val="single"/>
              </w:rPr>
              <w:t xml:space="preserve"> </w:t>
            </w:r>
            <w:r>
              <w:rPr>
                <w:color w:val="auto"/>
                <w:spacing w:val="-2"/>
                <w:sz w:val="21"/>
                <w:highlight w:val="none"/>
              </w:rPr>
              <w:t>，担任职位：</w:t>
            </w:r>
            <w:r>
              <w:rPr>
                <w:color w:val="auto"/>
                <w:spacing w:val="-2"/>
                <w:sz w:val="21"/>
                <w:highlight w:val="none"/>
                <w:u w:val="single"/>
              </w:rPr>
              <w:t xml:space="preserve"> </w:t>
            </w:r>
            <w:r>
              <w:rPr>
                <w:color w:val="auto"/>
                <w:spacing w:val="-3"/>
                <w:sz w:val="21"/>
                <w:highlight w:val="none"/>
              </w:rPr>
              <w:t>。</w:t>
            </w:r>
            <w:r>
              <w:rPr>
                <w:color w:val="auto"/>
                <w:sz w:val="21"/>
                <w:highlight w:val="non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003" w:hRule="atLeast"/>
        </w:trPr>
        <w:tc>
          <w:tcPr>
            <w:tcW w:w="2804" w:type="dxa"/>
            <w:gridSpan w:val="3"/>
            <w:vAlign w:val="center"/>
          </w:tcPr>
          <w:p>
            <w:pPr>
              <w:pStyle w:val="54"/>
              <w:spacing w:before="140"/>
              <w:ind w:left="1222" w:right="1111"/>
              <w:jc w:val="center"/>
              <w:rPr>
                <w:color w:val="auto"/>
                <w:sz w:val="21"/>
                <w:highlight w:val="none"/>
              </w:rPr>
            </w:pPr>
            <w:r>
              <w:rPr>
                <w:color w:val="auto"/>
                <w:sz w:val="21"/>
                <w:highlight w:val="none"/>
              </w:rPr>
              <w:t xml:space="preserve">备注 </w:t>
            </w:r>
          </w:p>
        </w:tc>
        <w:tc>
          <w:tcPr>
            <w:tcW w:w="6354" w:type="dxa"/>
            <w:gridSpan w:val="6"/>
            <w:vAlign w:val="center"/>
          </w:tcPr>
          <w:p>
            <w:pPr>
              <w:pStyle w:val="54"/>
              <w:spacing w:before="109"/>
              <w:ind w:left="9"/>
              <w:rPr>
                <w:color w:val="auto"/>
                <w:sz w:val="21"/>
                <w:highlight w:val="none"/>
              </w:rPr>
            </w:pPr>
            <w:r>
              <w:rPr>
                <w:color w:val="auto"/>
                <w:sz w:val="21"/>
                <w:highlight w:val="none"/>
              </w:rPr>
              <w:t xml:space="preserve"> </w:t>
            </w:r>
          </w:p>
        </w:tc>
      </w:tr>
    </w:tbl>
    <w:p>
      <w:pPr>
        <w:pStyle w:val="2"/>
        <w:spacing w:before="4"/>
        <w:rPr>
          <w:b/>
          <w:color w:val="auto"/>
          <w:sz w:val="33"/>
          <w:highlight w:val="none"/>
        </w:rPr>
      </w:pPr>
    </w:p>
    <w:p>
      <w:pPr>
        <w:pStyle w:val="2"/>
        <w:spacing w:line="400" w:lineRule="atLeast"/>
        <w:ind w:left="251" w:right="264"/>
        <w:rPr>
          <w:b/>
          <w:color w:val="auto"/>
          <w:sz w:val="24"/>
          <w:highlight w:val="none"/>
        </w:rPr>
      </w:pPr>
      <w:r>
        <w:rPr>
          <w:color w:val="auto"/>
          <w:highlight w:val="none"/>
        </w:rPr>
        <w:t>【备注：附以上人员资格证件扫描件，以及供应商认为需要增加的其他证明材料扫描件，以上扫描件均须加盖供供应商电子签章。】</w:t>
      </w:r>
      <w:r>
        <w:rPr>
          <w:b/>
          <w:color w:val="auto"/>
          <w:w w:val="99"/>
          <w:sz w:val="24"/>
          <w:highlight w:val="none"/>
        </w:rPr>
        <w:t xml:space="preserve"> </w:t>
      </w:r>
    </w:p>
    <w:p>
      <w:pPr>
        <w:pStyle w:val="2"/>
        <w:spacing w:before="22"/>
        <w:ind w:left="251"/>
        <w:rPr>
          <w:color w:val="auto"/>
          <w:highlight w:val="none"/>
        </w:rPr>
      </w:pPr>
      <w:r>
        <w:rPr>
          <w:color w:val="auto"/>
          <w:highlight w:val="none"/>
        </w:rPr>
        <w:t xml:space="preserve"> </w:t>
      </w:r>
    </w:p>
    <w:p>
      <w:pPr>
        <w:pStyle w:val="2"/>
        <w:jc w:val="center"/>
        <w:rPr>
          <w:b/>
          <w:bCs/>
          <w:color w:val="auto"/>
          <w:sz w:val="32"/>
          <w:szCs w:val="32"/>
          <w:highlight w:val="none"/>
        </w:rPr>
      </w:pPr>
      <w:r>
        <w:rPr>
          <w:b/>
          <w:bCs/>
          <w:color w:val="auto"/>
          <w:sz w:val="32"/>
          <w:szCs w:val="32"/>
          <w:highlight w:val="none"/>
        </w:rPr>
        <w:t>四、企业信誉实力文件格式</w:t>
      </w:r>
    </w:p>
    <w:p>
      <w:pPr>
        <w:pStyle w:val="53"/>
        <w:numPr>
          <w:ilvl w:val="0"/>
          <w:numId w:val="15"/>
        </w:numPr>
        <w:tabs>
          <w:tab w:val="left" w:pos="682"/>
        </w:tabs>
        <w:spacing w:before="94"/>
        <w:ind w:hanging="431"/>
        <w:jc w:val="left"/>
        <w:rPr>
          <w:b/>
          <w:color w:val="auto"/>
          <w:sz w:val="32"/>
          <w:highlight w:val="none"/>
        </w:rPr>
      </w:pPr>
      <w:r>
        <w:rPr>
          <w:b/>
          <w:color w:val="auto"/>
          <w:sz w:val="32"/>
          <w:highlight w:val="none"/>
        </w:rPr>
        <w:t>企业信誉实力文件封面格式</w:t>
      </w:r>
      <w:r>
        <w:rPr>
          <w:b/>
          <w:color w:val="auto"/>
          <w:w w:val="98"/>
          <w:sz w:val="32"/>
          <w:highlight w:val="none"/>
        </w:rPr>
        <w:t xml:space="preserve"> </w:t>
      </w:r>
    </w:p>
    <w:p>
      <w:pPr>
        <w:pStyle w:val="2"/>
        <w:rPr>
          <w:b/>
          <w:color w:val="auto"/>
          <w:sz w:val="20"/>
          <w:highlight w:val="none"/>
        </w:rPr>
      </w:pPr>
    </w:p>
    <w:p>
      <w:pPr>
        <w:pStyle w:val="2"/>
        <w:rPr>
          <w:b/>
          <w:color w:val="auto"/>
          <w:sz w:val="20"/>
          <w:highlight w:val="none"/>
        </w:rPr>
      </w:pPr>
    </w:p>
    <w:p>
      <w:pPr>
        <w:pStyle w:val="2"/>
        <w:rPr>
          <w:b/>
          <w:color w:val="auto"/>
          <w:sz w:val="20"/>
          <w:highlight w:val="none"/>
        </w:rPr>
      </w:pPr>
    </w:p>
    <w:p>
      <w:pPr>
        <w:pStyle w:val="2"/>
        <w:rPr>
          <w:b/>
          <w:color w:val="auto"/>
          <w:sz w:val="20"/>
          <w:highlight w:val="none"/>
        </w:rPr>
      </w:pPr>
    </w:p>
    <w:p>
      <w:pPr>
        <w:pStyle w:val="2"/>
        <w:rPr>
          <w:b/>
          <w:color w:val="auto"/>
          <w:sz w:val="20"/>
          <w:highlight w:val="none"/>
        </w:rPr>
      </w:pPr>
    </w:p>
    <w:p>
      <w:pPr>
        <w:pStyle w:val="2"/>
        <w:rPr>
          <w:b/>
          <w:color w:val="auto"/>
          <w:sz w:val="20"/>
          <w:highlight w:val="none"/>
        </w:rPr>
      </w:pPr>
    </w:p>
    <w:p>
      <w:pPr>
        <w:pStyle w:val="2"/>
        <w:jc w:val="center"/>
        <w:rPr>
          <w:b/>
          <w:bCs/>
          <w:color w:val="auto"/>
          <w:sz w:val="44"/>
          <w:szCs w:val="44"/>
          <w:highlight w:val="none"/>
        </w:rPr>
      </w:pPr>
      <w:r>
        <w:rPr>
          <w:b/>
          <w:bCs/>
          <w:color w:val="auto"/>
          <w:sz w:val="44"/>
          <w:szCs w:val="44"/>
          <w:highlight w:val="none"/>
        </w:rPr>
        <w:t>企 业 信 誉 实 力 文 件</w:t>
      </w:r>
    </w:p>
    <w:p>
      <w:pPr>
        <w:pStyle w:val="2"/>
        <w:rPr>
          <w:color w:val="auto"/>
          <w:sz w:val="52"/>
          <w:highlight w:val="none"/>
        </w:rPr>
      </w:pPr>
    </w:p>
    <w:p>
      <w:pPr>
        <w:pStyle w:val="2"/>
        <w:rPr>
          <w:color w:val="auto"/>
          <w:sz w:val="52"/>
          <w:highlight w:val="none"/>
        </w:rPr>
      </w:pPr>
    </w:p>
    <w:p>
      <w:pPr>
        <w:pStyle w:val="2"/>
        <w:rPr>
          <w:color w:val="auto"/>
          <w:sz w:val="52"/>
          <w:highlight w:val="none"/>
        </w:rPr>
      </w:pPr>
    </w:p>
    <w:p>
      <w:pPr>
        <w:spacing w:before="360"/>
        <w:ind w:left="892"/>
        <w:rPr>
          <w:color w:val="auto"/>
          <w:sz w:val="32"/>
          <w:highlight w:val="none"/>
        </w:rPr>
      </w:pPr>
      <w:r>
        <w:rPr>
          <w:color w:val="auto"/>
          <w:w w:val="95"/>
          <w:sz w:val="32"/>
          <w:highlight w:val="none"/>
        </w:rPr>
        <w:t xml:space="preserve">项目名称： </w:t>
      </w:r>
    </w:p>
    <w:p>
      <w:pPr>
        <w:spacing w:before="126"/>
        <w:ind w:left="971"/>
        <w:rPr>
          <w:color w:val="auto"/>
          <w:sz w:val="32"/>
          <w:highlight w:val="none"/>
        </w:rPr>
      </w:pPr>
      <w:r>
        <w:rPr>
          <w:color w:val="auto"/>
          <w:w w:val="99"/>
          <w:sz w:val="32"/>
          <w:highlight w:val="none"/>
        </w:rPr>
        <w:t xml:space="preserve"> </w:t>
      </w:r>
    </w:p>
    <w:p>
      <w:pPr>
        <w:spacing w:before="125"/>
        <w:ind w:left="892"/>
        <w:rPr>
          <w:color w:val="auto"/>
          <w:sz w:val="32"/>
          <w:highlight w:val="none"/>
        </w:rPr>
      </w:pPr>
      <w:r>
        <w:rPr>
          <w:color w:val="auto"/>
          <w:w w:val="95"/>
          <w:sz w:val="32"/>
          <w:highlight w:val="none"/>
        </w:rPr>
        <w:t xml:space="preserve">项目编号： </w:t>
      </w:r>
    </w:p>
    <w:p>
      <w:pPr>
        <w:spacing w:before="125"/>
        <w:ind w:left="971"/>
        <w:rPr>
          <w:color w:val="auto"/>
          <w:sz w:val="32"/>
          <w:highlight w:val="none"/>
        </w:rPr>
      </w:pPr>
      <w:r>
        <w:rPr>
          <w:color w:val="auto"/>
          <w:spacing w:val="1"/>
          <w:w w:val="99"/>
          <w:sz w:val="32"/>
          <w:highlight w:val="none"/>
        </w:rPr>
        <w:t xml:space="preserve"> </w:t>
      </w:r>
      <w:r>
        <w:rPr>
          <w:color w:val="auto"/>
          <w:w w:val="99"/>
          <w:sz w:val="32"/>
          <w:highlight w:val="none"/>
        </w:rPr>
        <w:t xml:space="preserve"> </w:t>
      </w:r>
    </w:p>
    <w:p>
      <w:pPr>
        <w:spacing w:before="56"/>
        <w:ind w:left="892"/>
        <w:rPr>
          <w:color w:val="auto"/>
          <w:sz w:val="32"/>
          <w:highlight w:val="none"/>
        </w:rPr>
      </w:pPr>
      <w:r>
        <w:rPr>
          <w:color w:val="auto"/>
          <w:sz w:val="32"/>
          <w:highlight w:val="none"/>
        </w:rPr>
        <w:t xml:space="preserve">供应商名称： </w:t>
      </w:r>
    </w:p>
    <w:p>
      <w:pPr>
        <w:spacing w:before="56"/>
        <w:ind w:left="971"/>
        <w:rPr>
          <w:color w:val="auto"/>
          <w:sz w:val="32"/>
          <w:highlight w:val="none"/>
        </w:rPr>
      </w:pPr>
      <w:r>
        <w:rPr>
          <w:color w:val="auto"/>
          <w:w w:val="99"/>
          <w:sz w:val="32"/>
          <w:highlight w:val="none"/>
        </w:rPr>
        <w:t xml:space="preserve"> </w:t>
      </w:r>
    </w:p>
    <w:p>
      <w:pPr>
        <w:spacing w:before="53"/>
        <w:ind w:left="971"/>
        <w:rPr>
          <w:color w:val="auto"/>
          <w:sz w:val="32"/>
          <w:highlight w:val="none"/>
        </w:rPr>
      </w:pPr>
      <w:r>
        <w:rPr>
          <w:color w:val="auto"/>
          <w:w w:val="99"/>
          <w:sz w:val="32"/>
          <w:highlight w:val="none"/>
        </w:rPr>
        <w:t xml:space="preserve"> </w:t>
      </w:r>
    </w:p>
    <w:p>
      <w:pPr>
        <w:pStyle w:val="2"/>
        <w:rPr>
          <w:color w:val="auto"/>
          <w:sz w:val="20"/>
          <w:highlight w:val="none"/>
        </w:rPr>
      </w:pPr>
    </w:p>
    <w:p>
      <w:pPr>
        <w:pStyle w:val="2"/>
        <w:spacing w:before="11"/>
        <w:rPr>
          <w:color w:val="auto"/>
          <w:highlight w:val="none"/>
        </w:rPr>
      </w:pPr>
    </w:p>
    <w:p>
      <w:pPr>
        <w:spacing w:before="55"/>
        <w:ind w:left="2264" w:right="2124"/>
        <w:jc w:val="center"/>
        <w:rPr>
          <w:color w:val="auto"/>
          <w:sz w:val="32"/>
          <w:highlight w:val="none"/>
        </w:rPr>
      </w:pPr>
      <w:r>
        <w:rPr>
          <w:color w:val="auto"/>
          <w:sz w:val="32"/>
          <w:highlight w:val="none"/>
        </w:rPr>
        <w:t xml:space="preserve">年 月 日 </w:t>
      </w:r>
    </w:p>
    <w:p>
      <w:pPr>
        <w:jc w:val="center"/>
        <w:rPr>
          <w:color w:val="auto"/>
          <w:sz w:val="32"/>
          <w:highlight w:val="none"/>
        </w:rPr>
        <w:sectPr>
          <w:pgSz w:w="11910" w:h="16850"/>
          <w:pgMar w:top="1280" w:right="860" w:bottom="1040" w:left="1280" w:header="877" w:footer="853" w:gutter="0"/>
          <w:cols w:space="720" w:num="1"/>
        </w:sectPr>
      </w:pPr>
    </w:p>
    <w:p>
      <w:pPr>
        <w:pStyle w:val="53"/>
        <w:numPr>
          <w:ilvl w:val="0"/>
          <w:numId w:val="15"/>
        </w:numPr>
        <w:tabs>
          <w:tab w:val="left" w:pos="823"/>
        </w:tabs>
        <w:spacing w:before="208"/>
        <w:ind w:left="822"/>
        <w:jc w:val="left"/>
        <w:rPr>
          <w:b/>
          <w:color w:val="auto"/>
          <w:sz w:val="24"/>
          <w:highlight w:val="none"/>
        </w:rPr>
      </w:pPr>
      <w:r>
        <w:rPr>
          <w:b/>
          <w:color w:val="auto"/>
          <w:sz w:val="32"/>
          <w:highlight w:val="none"/>
        </w:rPr>
        <w:t>企业信誉实力文件目录</w:t>
      </w:r>
      <w:r>
        <w:rPr>
          <w:b/>
          <w:color w:val="auto"/>
          <w:w w:val="99"/>
          <w:sz w:val="24"/>
          <w:highlight w:val="none"/>
        </w:rPr>
        <w:t xml:space="preserve"> </w:t>
      </w:r>
    </w:p>
    <w:p>
      <w:pPr>
        <w:pStyle w:val="2"/>
        <w:spacing w:before="6"/>
        <w:rPr>
          <w:b/>
          <w:color w:val="auto"/>
          <w:sz w:val="28"/>
          <w:highlight w:val="none"/>
        </w:rPr>
      </w:pPr>
    </w:p>
    <w:p>
      <w:pPr>
        <w:ind w:left="810"/>
        <w:rPr>
          <w:color w:val="auto"/>
          <w:sz w:val="28"/>
          <w:highlight w:val="none"/>
        </w:rPr>
      </w:pPr>
      <w:r>
        <w:rPr>
          <w:color w:val="auto"/>
          <w:spacing w:val="-6"/>
          <w:sz w:val="28"/>
          <w:highlight w:val="none"/>
        </w:rPr>
        <w:t>根据磋商文件规定及供应商提供的材料自行编写目录</w:t>
      </w:r>
      <w:r>
        <w:rPr>
          <w:color w:val="auto"/>
          <w:spacing w:val="-3"/>
          <w:sz w:val="28"/>
          <w:highlight w:val="none"/>
        </w:rPr>
        <w:t>（部分格式后附</w:t>
      </w:r>
      <w:r>
        <w:rPr>
          <w:color w:val="auto"/>
          <w:spacing w:val="-70"/>
          <w:sz w:val="28"/>
          <w:highlight w:val="none"/>
        </w:rPr>
        <w:t>）</w:t>
      </w:r>
      <w:r>
        <w:rPr>
          <w:color w:val="auto"/>
          <w:spacing w:val="-137"/>
          <w:sz w:val="28"/>
          <w:highlight w:val="none"/>
        </w:rPr>
        <w:t>。</w:t>
      </w:r>
      <w:r>
        <w:rPr>
          <w:color w:val="auto"/>
          <w:sz w:val="28"/>
          <w:highlight w:val="none"/>
        </w:rPr>
        <w:t xml:space="preserve"> </w:t>
      </w:r>
    </w:p>
    <w:p>
      <w:pPr>
        <w:rPr>
          <w:color w:val="auto"/>
          <w:sz w:val="28"/>
          <w:highlight w:val="none"/>
        </w:rPr>
        <w:sectPr>
          <w:pgSz w:w="11910" w:h="16850"/>
          <w:pgMar w:top="1280" w:right="860" w:bottom="1040" w:left="1280" w:header="877" w:footer="853" w:gutter="0"/>
          <w:cols w:space="720" w:num="1"/>
        </w:sectPr>
      </w:pPr>
    </w:p>
    <w:p>
      <w:pPr>
        <w:spacing w:before="62"/>
        <w:ind w:left="2104" w:right="2124"/>
        <w:jc w:val="center"/>
        <w:rPr>
          <w:b/>
          <w:color w:val="auto"/>
          <w:sz w:val="28"/>
          <w:highlight w:val="none"/>
        </w:rPr>
      </w:pPr>
      <w:r>
        <w:rPr>
          <w:b/>
          <w:color w:val="auto"/>
          <w:sz w:val="28"/>
          <w:highlight w:val="none"/>
        </w:rPr>
        <w:t>类似工程一览表</w:t>
      </w:r>
    </w:p>
    <w:p>
      <w:pPr>
        <w:pStyle w:val="2"/>
        <w:spacing w:before="3" w:after="1"/>
        <w:rPr>
          <w:b/>
          <w:color w:val="auto"/>
          <w:sz w:val="25"/>
          <w:highlight w:val="none"/>
        </w:rPr>
      </w:pPr>
    </w:p>
    <w:tbl>
      <w:tblPr>
        <w:tblStyle w:val="52"/>
        <w:tblW w:w="0" w:type="auto"/>
        <w:tblInd w:w="19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52"/>
        <w:gridCol w:w="1702"/>
        <w:gridCol w:w="1416"/>
        <w:gridCol w:w="852"/>
        <w:gridCol w:w="991"/>
        <w:gridCol w:w="1133"/>
        <w:gridCol w:w="1278"/>
        <w:gridCol w:w="113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866" w:hRule="atLeast"/>
        </w:trPr>
        <w:tc>
          <w:tcPr>
            <w:tcW w:w="852" w:type="dxa"/>
          </w:tcPr>
          <w:p>
            <w:pPr>
              <w:pStyle w:val="54"/>
              <w:spacing w:before="3"/>
              <w:rPr>
                <w:b/>
                <w:color w:val="auto"/>
                <w:sz w:val="23"/>
                <w:highlight w:val="none"/>
              </w:rPr>
            </w:pPr>
          </w:p>
          <w:p>
            <w:pPr>
              <w:pStyle w:val="54"/>
              <w:spacing w:before="1"/>
              <w:ind w:left="215"/>
              <w:rPr>
                <w:color w:val="auto"/>
                <w:sz w:val="21"/>
                <w:highlight w:val="none"/>
              </w:rPr>
            </w:pPr>
            <w:r>
              <w:rPr>
                <w:color w:val="auto"/>
                <w:sz w:val="21"/>
                <w:highlight w:val="none"/>
              </w:rPr>
              <w:t>序号</w:t>
            </w:r>
          </w:p>
        </w:tc>
        <w:tc>
          <w:tcPr>
            <w:tcW w:w="1702" w:type="dxa"/>
          </w:tcPr>
          <w:p>
            <w:pPr>
              <w:pStyle w:val="54"/>
              <w:spacing w:before="3"/>
              <w:rPr>
                <w:b/>
                <w:color w:val="auto"/>
                <w:sz w:val="23"/>
                <w:highlight w:val="none"/>
              </w:rPr>
            </w:pPr>
          </w:p>
          <w:p>
            <w:pPr>
              <w:pStyle w:val="54"/>
              <w:spacing w:before="1"/>
              <w:ind w:left="323"/>
              <w:rPr>
                <w:color w:val="auto"/>
                <w:sz w:val="21"/>
                <w:highlight w:val="none"/>
              </w:rPr>
            </w:pPr>
            <w:r>
              <w:rPr>
                <w:color w:val="auto"/>
                <w:sz w:val="21"/>
                <w:highlight w:val="none"/>
              </w:rPr>
              <w:t>发包人名称</w:t>
            </w:r>
          </w:p>
        </w:tc>
        <w:tc>
          <w:tcPr>
            <w:tcW w:w="1416" w:type="dxa"/>
          </w:tcPr>
          <w:p>
            <w:pPr>
              <w:pStyle w:val="54"/>
              <w:spacing w:before="162" w:line="244" w:lineRule="auto"/>
              <w:ind w:left="179" w:right="170" w:firstLine="105"/>
              <w:rPr>
                <w:color w:val="auto"/>
                <w:sz w:val="21"/>
                <w:highlight w:val="none"/>
              </w:rPr>
            </w:pPr>
            <w:r>
              <w:rPr>
                <w:color w:val="auto"/>
                <w:sz w:val="21"/>
                <w:highlight w:val="none"/>
              </w:rPr>
              <w:t>工程名称及建设地点</w:t>
            </w:r>
          </w:p>
        </w:tc>
        <w:tc>
          <w:tcPr>
            <w:tcW w:w="852" w:type="dxa"/>
          </w:tcPr>
          <w:p>
            <w:pPr>
              <w:pStyle w:val="54"/>
              <w:spacing w:before="162" w:line="244" w:lineRule="auto"/>
              <w:ind w:left="215" w:right="201"/>
              <w:rPr>
                <w:color w:val="auto"/>
                <w:sz w:val="21"/>
                <w:highlight w:val="none"/>
              </w:rPr>
            </w:pPr>
            <w:r>
              <w:rPr>
                <w:color w:val="auto"/>
                <w:sz w:val="21"/>
                <w:highlight w:val="none"/>
              </w:rPr>
              <w:t>结构类型</w:t>
            </w:r>
          </w:p>
        </w:tc>
        <w:tc>
          <w:tcPr>
            <w:tcW w:w="991" w:type="dxa"/>
          </w:tcPr>
          <w:p>
            <w:pPr>
              <w:pStyle w:val="54"/>
              <w:spacing w:before="162" w:line="244" w:lineRule="auto"/>
              <w:ind w:left="283" w:right="273"/>
              <w:rPr>
                <w:color w:val="auto"/>
                <w:sz w:val="21"/>
                <w:highlight w:val="none"/>
              </w:rPr>
            </w:pPr>
            <w:r>
              <w:rPr>
                <w:color w:val="auto"/>
                <w:sz w:val="21"/>
                <w:highlight w:val="none"/>
              </w:rPr>
              <w:t>建设规模</w:t>
            </w:r>
          </w:p>
        </w:tc>
        <w:tc>
          <w:tcPr>
            <w:tcW w:w="1133" w:type="dxa"/>
          </w:tcPr>
          <w:p>
            <w:pPr>
              <w:pStyle w:val="54"/>
              <w:spacing w:before="162"/>
              <w:ind w:left="146"/>
              <w:rPr>
                <w:color w:val="auto"/>
                <w:sz w:val="21"/>
                <w:highlight w:val="none"/>
              </w:rPr>
            </w:pPr>
            <w:r>
              <w:rPr>
                <w:color w:val="auto"/>
                <w:spacing w:val="-1"/>
                <w:sz w:val="21"/>
                <w:highlight w:val="none"/>
              </w:rPr>
              <w:t>合同金额</w:t>
            </w:r>
          </w:p>
          <w:p>
            <w:pPr>
              <w:pStyle w:val="54"/>
              <w:spacing w:before="4"/>
              <w:ind w:left="146"/>
              <w:rPr>
                <w:color w:val="auto"/>
                <w:sz w:val="21"/>
                <w:highlight w:val="none"/>
              </w:rPr>
            </w:pPr>
            <w:r>
              <w:rPr>
                <w:color w:val="auto"/>
                <w:sz w:val="21"/>
                <w:highlight w:val="none"/>
              </w:rPr>
              <w:t>（</w:t>
            </w:r>
            <w:r>
              <w:rPr>
                <w:color w:val="auto"/>
                <w:spacing w:val="-2"/>
                <w:sz w:val="21"/>
                <w:highlight w:val="none"/>
              </w:rPr>
              <w:t>万元</w:t>
            </w:r>
            <w:r>
              <w:rPr>
                <w:color w:val="auto"/>
                <w:sz w:val="21"/>
                <w:highlight w:val="none"/>
              </w:rPr>
              <w:t>）</w:t>
            </w:r>
          </w:p>
        </w:tc>
        <w:tc>
          <w:tcPr>
            <w:tcW w:w="1278" w:type="dxa"/>
          </w:tcPr>
          <w:p>
            <w:pPr>
              <w:pStyle w:val="54"/>
              <w:spacing w:before="3"/>
              <w:rPr>
                <w:b/>
                <w:color w:val="auto"/>
                <w:sz w:val="23"/>
                <w:highlight w:val="none"/>
              </w:rPr>
            </w:pPr>
          </w:p>
          <w:p>
            <w:pPr>
              <w:pStyle w:val="54"/>
              <w:spacing w:before="1"/>
              <w:ind w:left="219"/>
              <w:rPr>
                <w:color w:val="auto"/>
                <w:sz w:val="21"/>
                <w:highlight w:val="none"/>
              </w:rPr>
            </w:pPr>
            <w:r>
              <w:rPr>
                <w:color w:val="auto"/>
                <w:sz w:val="21"/>
                <w:highlight w:val="none"/>
              </w:rPr>
              <w:t>开工日期</w:t>
            </w:r>
          </w:p>
        </w:tc>
        <w:tc>
          <w:tcPr>
            <w:tcW w:w="1136" w:type="dxa"/>
          </w:tcPr>
          <w:p>
            <w:pPr>
              <w:pStyle w:val="54"/>
              <w:spacing w:before="162" w:line="244" w:lineRule="auto"/>
              <w:ind w:left="354" w:right="135" w:hanging="209"/>
              <w:rPr>
                <w:color w:val="auto"/>
                <w:sz w:val="21"/>
                <w:highlight w:val="none"/>
              </w:rPr>
            </w:pPr>
            <w:r>
              <w:rPr>
                <w:color w:val="auto"/>
                <w:sz w:val="21"/>
                <w:highlight w:val="none"/>
              </w:rPr>
              <w:t>计划竣工日期</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1" w:hRule="atLeast"/>
        </w:trPr>
        <w:tc>
          <w:tcPr>
            <w:tcW w:w="852" w:type="dxa"/>
          </w:tcPr>
          <w:p>
            <w:pPr>
              <w:pStyle w:val="54"/>
              <w:rPr>
                <w:rFonts w:ascii="Times New Roman"/>
                <w:color w:val="auto"/>
                <w:sz w:val="20"/>
                <w:highlight w:val="none"/>
              </w:rPr>
            </w:pPr>
          </w:p>
        </w:tc>
        <w:tc>
          <w:tcPr>
            <w:tcW w:w="1702" w:type="dxa"/>
          </w:tcPr>
          <w:p>
            <w:pPr>
              <w:pStyle w:val="54"/>
              <w:rPr>
                <w:rFonts w:ascii="Times New Roman"/>
                <w:color w:val="auto"/>
                <w:sz w:val="20"/>
                <w:highlight w:val="none"/>
              </w:rPr>
            </w:pPr>
          </w:p>
        </w:tc>
        <w:tc>
          <w:tcPr>
            <w:tcW w:w="1416" w:type="dxa"/>
          </w:tcPr>
          <w:p>
            <w:pPr>
              <w:pStyle w:val="54"/>
              <w:rPr>
                <w:rFonts w:ascii="Times New Roman"/>
                <w:color w:val="auto"/>
                <w:sz w:val="20"/>
                <w:highlight w:val="none"/>
              </w:rPr>
            </w:pPr>
          </w:p>
        </w:tc>
        <w:tc>
          <w:tcPr>
            <w:tcW w:w="852" w:type="dxa"/>
          </w:tcPr>
          <w:p>
            <w:pPr>
              <w:pStyle w:val="54"/>
              <w:rPr>
                <w:rFonts w:ascii="Times New Roman"/>
                <w:color w:val="auto"/>
                <w:sz w:val="20"/>
                <w:highlight w:val="none"/>
              </w:rPr>
            </w:pPr>
          </w:p>
        </w:tc>
        <w:tc>
          <w:tcPr>
            <w:tcW w:w="991" w:type="dxa"/>
          </w:tcPr>
          <w:p>
            <w:pPr>
              <w:pStyle w:val="54"/>
              <w:rPr>
                <w:rFonts w:ascii="Times New Roman"/>
                <w:color w:val="auto"/>
                <w:sz w:val="20"/>
                <w:highlight w:val="none"/>
              </w:rPr>
            </w:pPr>
          </w:p>
        </w:tc>
        <w:tc>
          <w:tcPr>
            <w:tcW w:w="1133" w:type="dxa"/>
          </w:tcPr>
          <w:p>
            <w:pPr>
              <w:pStyle w:val="54"/>
              <w:rPr>
                <w:rFonts w:ascii="Times New Roman"/>
                <w:color w:val="auto"/>
                <w:sz w:val="20"/>
                <w:highlight w:val="none"/>
              </w:rPr>
            </w:pPr>
          </w:p>
        </w:tc>
        <w:tc>
          <w:tcPr>
            <w:tcW w:w="1278" w:type="dxa"/>
          </w:tcPr>
          <w:p>
            <w:pPr>
              <w:pStyle w:val="54"/>
              <w:rPr>
                <w:rFonts w:ascii="Times New Roman"/>
                <w:color w:val="auto"/>
                <w:sz w:val="20"/>
                <w:highlight w:val="none"/>
              </w:rPr>
            </w:pPr>
          </w:p>
        </w:tc>
        <w:tc>
          <w:tcPr>
            <w:tcW w:w="1136" w:type="dxa"/>
          </w:tcPr>
          <w:p>
            <w:pPr>
              <w:pStyle w:val="54"/>
              <w:rPr>
                <w:rFonts w:ascii="Times New Roman"/>
                <w:color w:val="auto"/>
                <w:sz w:val="20"/>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1" w:hRule="atLeast"/>
        </w:trPr>
        <w:tc>
          <w:tcPr>
            <w:tcW w:w="852" w:type="dxa"/>
          </w:tcPr>
          <w:p>
            <w:pPr>
              <w:pStyle w:val="54"/>
              <w:rPr>
                <w:rFonts w:ascii="Times New Roman"/>
                <w:color w:val="auto"/>
                <w:sz w:val="20"/>
                <w:highlight w:val="none"/>
              </w:rPr>
            </w:pPr>
          </w:p>
        </w:tc>
        <w:tc>
          <w:tcPr>
            <w:tcW w:w="1702" w:type="dxa"/>
          </w:tcPr>
          <w:p>
            <w:pPr>
              <w:pStyle w:val="54"/>
              <w:rPr>
                <w:rFonts w:ascii="Times New Roman"/>
                <w:color w:val="auto"/>
                <w:sz w:val="20"/>
                <w:highlight w:val="none"/>
              </w:rPr>
            </w:pPr>
          </w:p>
        </w:tc>
        <w:tc>
          <w:tcPr>
            <w:tcW w:w="1416" w:type="dxa"/>
          </w:tcPr>
          <w:p>
            <w:pPr>
              <w:pStyle w:val="54"/>
              <w:rPr>
                <w:rFonts w:ascii="Times New Roman"/>
                <w:color w:val="auto"/>
                <w:sz w:val="20"/>
                <w:highlight w:val="none"/>
              </w:rPr>
            </w:pPr>
          </w:p>
        </w:tc>
        <w:tc>
          <w:tcPr>
            <w:tcW w:w="852" w:type="dxa"/>
          </w:tcPr>
          <w:p>
            <w:pPr>
              <w:pStyle w:val="54"/>
              <w:rPr>
                <w:rFonts w:ascii="Times New Roman"/>
                <w:color w:val="auto"/>
                <w:sz w:val="20"/>
                <w:highlight w:val="none"/>
              </w:rPr>
            </w:pPr>
          </w:p>
        </w:tc>
        <w:tc>
          <w:tcPr>
            <w:tcW w:w="991" w:type="dxa"/>
          </w:tcPr>
          <w:p>
            <w:pPr>
              <w:pStyle w:val="54"/>
              <w:rPr>
                <w:rFonts w:ascii="Times New Roman"/>
                <w:color w:val="auto"/>
                <w:sz w:val="20"/>
                <w:highlight w:val="none"/>
              </w:rPr>
            </w:pPr>
          </w:p>
        </w:tc>
        <w:tc>
          <w:tcPr>
            <w:tcW w:w="1133" w:type="dxa"/>
          </w:tcPr>
          <w:p>
            <w:pPr>
              <w:pStyle w:val="54"/>
              <w:rPr>
                <w:rFonts w:ascii="Times New Roman"/>
                <w:color w:val="auto"/>
                <w:sz w:val="20"/>
                <w:highlight w:val="none"/>
              </w:rPr>
            </w:pPr>
          </w:p>
        </w:tc>
        <w:tc>
          <w:tcPr>
            <w:tcW w:w="1278" w:type="dxa"/>
          </w:tcPr>
          <w:p>
            <w:pPr>
              <w:pStyle w:val="54"/>
              <w:rPr>
                <w:rFonts w:ascii="Times New Roman"/>
                <w:color w:val="auto"/>
                <w:sz w:val="20"/>
                <w:highlight w:val="none"/>
              </w:rPr>
            </w:pPr>
          </w:p>
        </w:tc>
        <w:tc>
          <w:tcPr>
            <w:tcW w:w="1136" w:type="dxa"/>
          </w:tcPr>
          <w:p>
            <w:pPr>
              <w:pStyle w:val="54"/>
              <w:rPr>
                <w:rFonts w:ascii="Times New Roman"/>
                <w:color w:val="auto"/>
                <w:sz w:val="20"/>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4" w:hRule="atLeast"/>
        </w:trPr>
        <w:tc>
          <w:tcPr>
            <w:tcW w:w="852" w:type="dxa"/>
          </w:tcPr>
          <w:p>
            <w:pPr>
              <w:pStyle w:val="54"/>
              <w:rPr>
                <w:rFonts w:ascii="Times New Roman"/>
                <w:color w:val="auto"/>
                <w:sz w:val="20"/>
                <w:highlight w:val="none"/>
              </w:rPr>
            </w:pPr>
          </w:p>
        </w:tc>
        <w:tc>
          <w:tcPr>
            <w:tcW w:w="1702" w:type="dxa"/>
          </w:tcPr>
          <w:p>
            <w:pPr>
              <w:pStyle w:val="54"/>
              <w:rPr>
                <w:rFonts w:ascii="Times New Roman"/>
                <w:color w:val="auto"/>
                <w:sz w:val="20"/>
                <w:highlight w:val="none"/>
              </w:rPr>
            </w:pPr>
          </w:p>
        </w:tc>
        <w:tc>
          <w:tcPr>
            <w:tcW w:w="1416" w:type="dxa"/>
          </w:tcPr>
          <w:p>
            <w:pPr>
              <w:pStyle w:val="54"/>
              <w:rPr>
                <w:rFonts w:ascii="Times New Roman"/>
                <w:color w:val="auto"/>
                <w:sz w:val="20"/>
                <w:highlight w:val="none"/>
              </w:rPr>
            </w:pPr>
          </w:p>
        </w:tc>
        <w:tc>
          <w:tcPr>
            <w:tcW w:w="852" w:type="dxa"/>
          </w:tcPr>
          <w:p>
            <w:pPr>
              <w:pStyle w:val="54"/>
              <w:rPr>
                <w:rFonts w:ascii="Times New Roman"/>
                <w:color w:val="auto"/>
                <w:sz w:val="20"/>
                <w:highlight w:val="none"/>
              </w:rPr>
            </w:pPr>
          </w:p>
        </w:tc>
        <w:tc>
          <w:tcPr>
            <w:tcW w:w="991" w:type="dxa"/>
          </w:tcPr>
          <w:p>
            <w:pPr>
              <w:pStyle w:val="54"/>
              <w:rPr>
                <w:rFonts w:ascii="Times New Roman"/>
                <w:color w:val="auto"/>
                <w:sz w:val="20"/>
                <w:highlight w:val="none"/>
              </w:rPr>
            </w:pPr>
          </w:p>
        </w:tc>
        <w:tc>
          <w:tcPr>
            <w:tcW w:w="1133" w:type="dxa"/>
          </w:tcPr>
          <w:p>
            <w:pPr>
              <w:pStyle w:val="54"/>
              <w:rPr>
                <w:rFonts w:ascii="Times New Roman"/>
                <w:color w:val="auto"/>
                <w:sz w:val="20"/>
                <w:highlight w:val="none"/>
              </w:rPr>
            </w:pPr>
          </w:p>
        </w:tc>
        <w:tc>
          <w:tcPr>
            <w:tcW w:w="1278" w:type="dxa"/>
          </w:tcPr>
          <w:p>
            <w:pPr>
              <w:pStyle w:val="54"/>
              <w:rPr>
                <w:rFonts w:ascii="Times New Roman"/>
                <w:color w:val="auto"/>
                <w:sz w:val="20"/>
                <w:highlight w:val="none"/>
              </w:rPr>
            </w:pPr>
          </w:p>
        </w:tc>
        <w:tc>
          <w:tcPr>
            <w:tcW w:w="1136" w:type="dxa"/>
          </w:tcPr>
          <w:p>
            <w:pPr>
              <w:pStyle w:val="54"/>
              <w:rPr>
                <w:rFonts w:ascii="Times New Roman"/>
                <w:color w:val="auto"/>
                <w:sz w:val="20"/>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3" w:hRule="atLeast"/>
        </w:trPr>
        <w:tc>
          <w:tcPr>
            <w:tcW w:w="852" w:type="dxa"/>
          </w:tcPr>
          <w:p>
            <w:pPr>
              <w:pStyle w:val="54"/>
              <w:rPr>
                <w:rFonts w:ascii="Times New Roman"/>
                <w:color w:val="auto"/>
                <w:sz w:val="20"/>
                <w:highlight w:val="none"/>
              </w:rPr>
            </w:pPr>
          </w:p>
        </w:tc>
        <w:tc>
          <w:tcPr>
            <w:tcW w:w="1702" w:type="dxa"/>
          </w:tcPr>
          <w:p>
            <w:pPr>
              <w:pStyle w:val="54"/>
              <w:rPr>
                <w:rFonts w:ascii="Times New Roman"/>
                <w:color w:val="auto"/>
                <w:sz w:val="20"/>
                <w:highlight w:val="none"/>
              </w:rPr>
            </w:pPr>
          </w:p>
        </w:tc>
        <w:tc>
          <w:tcPr>
            <w:tcW w:w="1416" w:type="dxa"/>
          </w:tcPr>
          <w:p>
            <w:pPr>
              <w:pStyle w:val="54"/>
              <w:rPr>
                <w:rFonts w:ascii="Times New Roman"/>
                <w:color w:val="auto"/>
                <w:sz w:val="20"/>
                <w:highlight w:val="none"/>
              </w:rPr>
            </w:pPr>
          </w:p>
        </w:tc>
        <w:tc>
          <w:tcPr>
            <w:tcW w:w="852" w:type="dxa"/>
          </w:tcPr>
          <w:p>
            <w:pPr>
              <w:pStyle w:val="54"/>
              <w:rPr>
                <w:rFonts w:ascii="Times New Roman"/>
                <w:color w:val="auto"/>
                <w:sz w:val="20"/>
                <w:highlight w:val="none"/>
              </w:rPr>
            </w:pPr>
          </w:p>
        </w:tc>
        <w:tc>
          <w:tcPr>
            <w:tcW w:w="991" w:type="dxa"/>
          </w:tcPr>
          <w:p>
            <w:pPr>
              <w:pStyle w:val="54"/>
              <w:rPr>
                <w:rFonts w:ascii="Times New Roman"/>
                <w:color w:val="auto"/>
                <w:sz w:val="20"/>
                <w:highlight w:val="none"/>
              </w:rPr>
            </w:pPr>
          </w:p>
        </w:tc>
        <w:tc>
          <w:tcPr>
            <w:tcW w:w="1133" w:type="dxa"/>
          </w:tcPr>
          <w:p>
            <w:pPr>
              <w:pStyle w:val="54"/>
              <w:rPr>
                <w:rFonts w:ascii="Times New Roman"/>
                <w:color w:val="auto"/>
                <w:sz w:val="20"/>
                <w:highlight w:val="none"/>
              </w:rPr>
            </w:pPr>
          </w:p>
        </w:tc>
        <w:tc>
          <w:tcPr>
            <w:tcW w:w="1278" w:type="dxa"/>
          </w:tcPr>
          <w:p>
            <w:pPr>
              <w:pStyle w:val="54"/>
              <w:rPr>
                <w:rFonts w:ascii="Times New Roman"/>
                <w:color w:val="auto"/>
                <w:sz w:val="20"/>
                <w:highlight w:val="none"/>
              </w:rPr>
            </w:pPr>
          </w:p>
        </w:tc>
        <w:tc>
          <w:tcPr>
            <w:tcW w:w="1136" w:type="dxa"/>
          </w:tcPr>
          <w:p>
            <w:pPr>
              <w:pStyle w:val="54"/>
              <w:rPr>
                <w:rFonts w:ascii="Times New Roman"/>
                <w:color w:val="auto"/>
                <w:sz w:val="20"/>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614" w:hRule="atLeast"/>
        </w:trPr>
        <w:tc>
          <w:tcPr>
            <w:tcW w:w="852" w:type="dxa"/>
          </w:tcPr>
          <w:p>
            <w:pPr>
              <w:pStyle w:val="54"/>
              <w:rPr>
                <w:rFonts w:ascii="Times New Roman"/>
                <w:color w:val="auto"/>
                <w:sz w:val="20"/>
                <w:highlight w:val="none"/>
              </w:rPr>
            </w:pPr>
          </w:p>
        </w:tc>
        <w:tc>
          <w:tcPr>
            <w:tcW w:w="1702" w:type="dxa"/>
          </w:tcPr>
          <w:p>
            <w:pPr>
              <w:pStyle w:val="54"/>
              <w:rPr>
                <w:rFonts w:ascii="Times New Roman"/>
                <w:color w:val="auto"/>
                <w:sz w:val="20"/>
                <w:highlight w:val="none"/>
              </w:rPr>
            </w:pPr>
          </w:p>
        </w:tc>
        <w:tc>
          <w:tcPr>
            <w:tcW w:w="1416" w:type="dxa"/>
          </w:tcPr>
          <w:p>
            <w:pPr>
              <w:pStyle w:val="54"/>
              <w:rPr>
                <w:rFonts w:ascii="Times New Roman"/>
                <w:color w:val="auto"/>
                <w:sz w:val="20"/>
                <w:highlight w:val="none"/>
              </w:rPr>
            </w:pPr>
          </w:p>
        </w:tc>
        <w:tc>
          <w:tcPr>
            <w:tcW w:w="852" w:type="dxa"/>
          </w:tcPr>
          <w:p>
            <w:pPr>
              <w:pStyle w:val="54"/>
              <w:rPr>
                <w:rFonts w:ascii="Times New Roman"/>
                <w:color w:val="auto"/>
                <w:sz w:val="20"/>
                <w:highlight w:val="none"/>
              </w:rPr>
            </w:pPr>
          </w:p>
        </w:tc>
        <w:tc>
          <w:tcPr>
            <w:tcW w:w="991" w:type="dxa"/>
          </w:tcPr>
          <w:p>
            <w:pPr>
              <w:pStyle w:val="54"/>
              <w:rPr>
                <w:rFonts w:ascii="Times New Roman"/>
                <w:color w:val="auto"/>
                <w:sz w:val="20"/>
                <w:highlight w:val="none"/>
              </w:rPr>
            </w:pPr>
          </w:p>
        </w:tc>
        <w:tc>
          <w:tcPr>
            <w:tcW w:w="1133" w:type="dxa"/>
          </w:tcPr>
          <w:p>
            <w:pPr>
              <w:pStyle w:val="54"/>
              <w:rPr>
                <w:rFonts w:ascii="Times New Roman"/>
                <w:color w:val="auto"/>
                <w:sz w:val="20"/>
                <w:highlight w:val="none"/>
              </w:rPr>
            </w:pPr>
          </w:p>
        </w:tc>
        <w:tc>
          <w:tcPr>
            <w:tcW w:w="1278" w:type="dxa"/>
          </w:tcPr>
          <w:p>
            <w:pPr>
              <w:pStyle w:val="54"/>
              <w:rPr>
                <w:rFonts w:ascii="Times New Roman"/>
                <w:color w:val="auto"/>
                <w:sz w:val="20"/>
                <w:highlight w:val="none"/>
              </w:rPr>
            </w:pPr>
          </w:p>
        </w:tc>
        <w:tc>
          <w:tcPr>
            <w:tcW w:w="1136" w:type="dxa"/>
          </w:tcPr>
          <w:p>
            <w:pPr>
              <w:pStyle w:val="54"/>
              <w:rPr>
                <w:rFonts w:ascii="Times New Roman"/>
                <w:color w:val="auto"/>
                <w:sz w:val="20"/>
                <w:highlight w:val="none"/>
              </w:rPr>
            </w:pPr>
          </w:p>
        </w:tc>
      </w:tr>
    </w:tbl>
    <w:p>
      <w:pPr>
        <w:pStyle w:val="2"/>
        <w:spacing w:before="1"/>
        <w:ind w:right="3584"/>
        <w:jc w:val="left"/>
        <w:rPr>
          <w:color w:val="auto"/>
          <w:highlight w:val="none"/>
        </w:rPr>
      </w:pPr>
    </w:p>
    <w:p>
      <w:pPr>
        <w:pStyle w:val="2"/>
        <w:spacing w:before="1"/>
        <w:ind w:right="3584"/>
        <w:jc w:val="left"/>
        <w:rPr>
          <w:color w:val="auto"/>
          <w:highlight w:val="none"/>
        </w:rPr>
      </w:pPr>
    </w:p>
    <w:p>
      <w:pPr>
        <w:pStyle w:val="2"/>
        <w:spacing w:before="1"/>
        <w:ind w:right="3584"/>
        <w:jc w:val="left"/>
        <w:rPr>
          <w:color w:val="auto"/>
          <w:highlight w:val="none"/>
        </w:rPr>
      </w:pPr>
    </w:p>
    <w:p>
      <w:pPr>
        <w:keepNext w:val="0"/>
        <w:keepLines w:val="0"/>
        <w:pageBreakBefore w:val="0"/>
        <w:widowControl w:val="0"/>
        <w:kinsoku/>
        <w:wordWrap/>
        <w:overflowPunct/>
        <w:topLinePunct w:val="0"/>
        <w:autoSpaceDE w:val="0"/>
        <w:autoSpaceDN w:val="0"/>
        <w:bidi w:val="0"/>
        <w:adjustRightInd/>
        <w:snapToGrid/>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备注：供应商应附上</w:t>
      </w:r>
      <w:r>
        <w:rPr>
          <w:rFonts w:hint="eastAsia" w:ascii="宋体" w:hAnsi="宋体" w:eastAsia="宋体" w:cs="宋体"/>
          <w:bCs/>
          <w:color w:val="auto"/>
          <w:kern w:val="2"/>
          <w:sz w:val="24"/>
          <w:szCs w:val="24"/>
          <w:highlight w:val="none"/>
        </w:rPr>
        <w:t>中标通知书或合同或竣工验收报告</w:t>
      </w:r>
      <w:r>
        <w:rPr>
          <w:rFonts w:hint="eastAsia" w:ascii="宋体" w:hAnsi="宋体" w:eastAsia="宋体" w:cs="宋体"/>
          <w:bCs/>
          <w:color w:val="auto"/>
          <w:kern w:val="2"/>
          <w:sz w:val="24"/>
          <w:szCs w:val="24"/>
          <w:highlight w:val="none"/>
          <w:lang w:eastAsia="zh-CN"/>
        </w:rPr>
        <w:t>有关页面的扫描件。以上扫描件均须加盖供应商电子签章。</w:t>
      </w:r>
    </w:p>
    <w:p>
      <w:pPr>
        <w:rPr>
          <w:b/>
          <w:color w:val="auto"/>
          <w:sz w:val="30"/>
          <w:highlight w:val="none"/>
        </w:rPr>
      </w:pPr>
      <w:r>
        <w:rPr>
          <w:b/>
          <w:color w:val="auto"/>
          <w:sz w:val="30"/>
          <w:highlight w:val="none"/>
        </w:rPr>
        <w:br w:type="page"/>
      </w:r>
    </w:p>
    <w:p>
      <w:pPr>
        <w:spacing w:before="58"/>
        <w:ind w:left="2106" w:right="2124"/>
        <w:jc w:val="center"/>
        <w:rPr>
          <w:b/>
          <w:color w:val="auto"/>
          <w:sz w:val="30"/>
          <w:highlight w:val="none"/>
        </w:rPr>
      </w:pPr>
      <w:r>
        <w:rPr>
          <w:b/>
          <w:color w:val="auto"/>
          <w:sz w:val="30"/>
          <w:highlight w:val="none"/>
        </w:rPr>
        <w:t>企业信誉实力一览表</w:t>
      </w:r>
    </w:p>
    <w:p>
      <w:pPr>
        <w:pStyle w:val="2"/>
        <w:spacing w:before="4"/>
        <w:rPr>
          <w:b/>
          <w:color w:val="auto"/>
          <w:sz w:val="27"/>
          <w:highlight w:val="none"/>
        </w:rPr>
      </w:pPr>
    </w:p>
    <w:tbl>
      <w:tblPr>
        <w:tblStyle w:val="52"/>
        <w:tblW w:w="0" w:type="auto"/>
        <w:tblInd w:w="643"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90"/>
        <w:gridCol w:w="2967"/>
        <w:gridCol w:w="2096"/>
        <w:gridCol w:w="261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790" w:type="dxa"/>
          </w:tcPr>
          <w:p>
            <w:pPr>
              <w:pStyle w:val="54"/>
              <w:spacing w:before="164"/>
              <w:ind w:left="217" w:right="103"/>
              <w:jc w:val="center"/>
              <w:rPr>
                <w:color w:val="auto"/>
                <w:sz w:val="21"/>
                <w:highlight w:val="none"/>
              </w:rPr>
            </w:pPr>
            <w:r>
              <w:rPr>
                <w:color w:val="auto"/>
                <w:sz w:val="21"/>
                <w:highlight w:val="none"/>
              </w:rPr>
              <w:t xml:space="preserve">序号 </w:t>
            </w:r>
          </w:p>
        </w:tc>
        <w:tc>
          <w:tcPr>
            <w:tcW w:w="2967" w:type="dxa"/>
          </w:tcPr>
          <w:p>
            <w:pPr>
              <w:pStyle w:val="54"/>
              <w:spacing w:before="164"/>
              <w:ind w:left="1063"/>
              <w:rPr>
                <w:color w:val="auto"/>
                <w:sz w:val="21"/>
                <w:highlight w:val="none"/>
              </w:rPr>
            </w:pPr>
            <w:r>
              <w:rPr>
                <w:color w:val="auto"/>
                <w:sz w:val="21"/>
                <w:highlight w:val="none"/>
              </w:rPr>
              <w:t xml:space="preserve">项目名称 </w:t>
            </w:r>
          </w:p>
        </w:tc>
        <w:tc>
          <w:tcPr>
            <w:tcW w:w="2096" w:type="dxa"/>
          </w:tcPr>
          <w:p>
            <w:pPr>
              <w:pStyle w:val="54"/>
              <w:spacing w:before="164"/>
              <w:ind w:left="626"/>
              <w:rPr>
                <w:color w:val="auto"/>
                <w:sz w:val="21"/>
                <w:highlight w:val="none"/>
              </w:rPr>
            </w:pPr>
            <w:r>
              <w:rPr>
                <w:color w:val="auto"/>
                <w:sz w:val="21"/>
                <w:highlight w:val="none"/>
              </w:rPr>
              <w:t xml:space="preserve">奖项名称 </w:t>
            </w:r>
          </w:p>
        </w:tc>
        <w:tc>
          <w:tcPr>
            <w:tcW w:w="2619" w:type="dxa"/>
          </w:tcPr>
          <w:p>
            <w:pPr>
              <w:pStyle w:val="54"/>
              <w:spacing w:before="164"/>
              <w:ind w:left="887"/>
              <w:rPr>
                <w:color w:val="auto"/>
                <w:sz w:val="21"/>
                <w:highlight w:val="none"/>
              </w:rPr>
            </w:pPr>
            <w:r>
              <w:rPr>
                <w:color w:val="auto"/>
                <w:sz w:val="21"/>
                <w:highlight w:val="none"/>
              </w:rPr>
              <w:t xml:space="preserve">奖项级别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3" w:hRule="atLeast"/>
        </w:trPr>
        <w:tc>
          <w:tcPr>
            <w:tcW w:w="790" w:type="dxa"/>
          </w:tcPr>
          <w:p>
            <w:pPr>
              <w:pStyle w:val="54"/>
              <w:spacing w:before="176"/>
              <w:ind w:left="215" w:right="103"/>
              <w:jc w:val="center"/>
              <w:rPr>
                <w:color w:val="auto"/>
                <w:sz w:val="21"/>
                <w:highlight w:val="none"/>
              </w:rPr>
            </w:pPr>
            <w:r>
              <w:rPr>
                <w:color w:val="auto"/>
                <w:sz w:val="21"/>
                <w:highlight w:val="none"/>
              </w:rPr>
              <w:t xml:space="preserve">1 </w:t>
            </w:r>
          </w:p>
        </w:tc>
        <w:tc>
          <w:tcPr>
            <w:tcW w:w="2967" w:type="dxa"/>
          </w:tcPr>
          <w:p>
            <w:pPr>
              <w:pStyle w:val="54"/>
              <w:spacing w:before="176"/>
              <w:ind w:left="107"/>
              <w:rPr>
                <w:color w:val="auto"/>
                <w:sz w:val="21"/>
                <w:highlight w:val="none"/>
              </w:rPr>
            </w:pPr>
            <w:r>
              <w:rPr>
                <w:color w:val="auto"/>
                <w:sz w:val="21"/>
                <w:highlight w:val="none"/>
              </w:rPr>
              <w:t xml:space="preserve"> </w:t>
            </w:r>
          </w:p>
        </w:tc>
        <w:tc>
          <w:tcPr>
            <w:tcW w:w="2096" w:type="dxa"/>
          </w:tcPr>
          <w:p>
            <w:pPr>
              <w:pStyle w:val="54"/>
              <w:spacing w:before="176"/>
              <w:ind w:left="107"/>
              <w:rPr>
                <w:color w:val="auto"/>
                <w:sz w:val="21"/>
                <w:highlight w:val="none"/>
              </w:rPr>
            </w:pPr>
            <w:r>
              <w:rPr>
                <w:color w:val="auto"/>
                <w:sz w:val="21"/>
                <w:highlight w:val="none"/>
              </w:rPr>
              <w:t xml:space="preserve"> </w:t>
            </w:r>
          </w:p>
        </w:tc>
        <w:tc>
          <w:tcPr>
            <w:tcW w:w="2619" w:type="dxa"/>
          </w:tcPr>
          <w:p>
            <w:pPr>
              <w:pStyle w:val="54"/>
              <w:spacing w:before="176"/>
              <w:ind w:left="106"/>
              <w:rPr>
                <w:color w:val="auto"/>
                <w:sz w:val="21"/>
                <w:highlight w:val="none"/>
              </w:rPr>
            </w:pPr>
            <w:r>
              <w:rPr>
                <w:color w:val="auto"/>
                <w:sz w:val="21"/>
                <w:highlight w:val="non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1" w:hRule="atLeast"/>
        </w:trPr>
        <w:tc>
          <w:tcPr>
            <w:tcW w:w="790" w:type="dxa"/>
          </w:tcPr>
          <w:p>
            <w:pPr>
              <w:pStyle w:val="54"/>
              <w:spacing w:before="176"/>
              <w:ind w:left="215" w:right="103"/>
              <w:jc w:val="center"/>
              <w:rPr>
                <w:color w:val="auto"/>
                <w:sz w:val="21"/>
                <w:highlight w:val="none"/>
              </w:rPr>
            </w:pPr>
            <w:r>
              <w:rPr>
                <w:color w:val="auto"/>
                <w:sz w:val="21"/>
                <w:highlight w:val="none"/>
              </w:rPr>
              <w:t xml:space="preserve">2 </w:t>
            </w:r>
          </w:p>
        </w:tc>
        <w:tc>
          <w:tcPr>
            <w:tcW w:w="2967" w:type="dxa"/>
          </w:tcPr>
          <w:p>
            <w:pPr>
              <w:pStyle w:val="54"/>
              <w:spacing w:before="176"/>
              <w:ind w:left="107"/>
              <w:rPr>
                <w:color w:val="auto"/>
                <w:sz w:val="21"/>
                <w:highlight w:val="none"/>
              </w:rPr>
            </w:pPr>
            <w:r>
              <w:rPr>
                <w:color w:val="auto"/>
                <w:sz w:val="21"/>
                <w:highlight w:val="none"/>
              </w:rPr>
              <w:t xml:space="preserve"> </w:t>
            </w:r>
          </w:p>
        </w:tc>
        <w:tc>
          <w:tcPr>
            <w:tcW w:w="2096" w:type="dxa"/>
          </w:tcPr>
          <w:p>
            <w:pPr>
              <w:pStyle w:val="54"/>
              <w:spacing w:before="176"/>
              <w:ind w:left="107"/>
              <w:rPr>
                <w:color w:val="auto"/>
                <w:sz w:val="21"/>
                <w:highlight w:val="none"/>
              </w:rPr>
            </w:pPr>
            <w:r>
              <w:rPr>
                <w:color w:val="auto"/>
                <w:sz w:val="21"/>
                <w:highlight w:val="none"/>
              </w:rPr>
              <w:t xml:space="preserve"> </w:t>
            </w:r>
          </w:p>
        </w:tc>
        <w:tc>
          <w:tcPr>
            <w:tcW w:w="2619" w:type="dxa"/>
          </w:tcPr>
          <w:p>
            <w:pPr>
              <w:pStyle w:val="54"/>
              <w:spacing w:before="176"/>
              <w:ind w:left="106"/>
              <w:rPr>
                <w:color w:val="auto"/>
                <w:sz w:val="21"/>
                <w:highlight w:val="none"/>
              </w:rPr>
            </w:pPr>
            <w:r>
              <w:rPr>
                <w:color w:val="auto"/>
                <w:sz w:val="21"/>
                <w:highlight w:val="non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4" w:hRule="atLeast"/>
        </w:trPr>
        <w:tc>
          <w:tcPr>
            <w:tcW w:w="790" w:type="dxa"/>
          </w:tcPr>
          <w:p>
            <w:pPr>
              <w:pStyle w:val="54"/>
              <w:spacing w:before="178"/>
              <w:ind w:left="215" w:right="103"/>
              <w:jc w:val="center"/>
              <w:rPr>
                <w:color w:val="auto"/>
                <w:sz w:val="21"/>
                <w:highlight w:val="none"/>
              </w:rPr>
            </w:pPr>
            <w:r>
              <w:rPr>
                <w:color w:val="auto"/>
                <w:sz w:val="21"/>
                <w:highlight w:val="none"/>
              </w:rPr>
              <w:t xml:space="preserve">3 </w:t>
            </w:r>
          </w:p>
        </w:tc>
        <w:tc>
          <w:tcPr>
            <w:tcW w:w="2967" w:type="dxa"/>
          </w:tcPr>
          <w:p>
            <w:pPr>
              <w:pStyle w:val="54"/>
              <w:spacing w:before="178"/>
              <w:ind w:left="107"/>
              <w:rPr>
                <w:color w:val="auto"/>
                <w:sz w:val="21"/>
                <w:highlight w:val="none"/>
              </w:rPr>
            </w:pPr>
            <w:r>
              <w:rPr>
                <w:color w:val="auto"/>
                <w:sz w:val="21"/>
                <w:highlight w:val="none"/>
              </w:rPr>
              <w:t xml:space="preserve"> </w:t>
            </w:r>
          </w:p>
        </w:tc>
        <w:tc>
          <w:tcPr>
            <w:tcW w:w="2096" w:type="dxa"/>
          </w:tcPr>
          <w:p>
            <w:pPr>
              <w:pStyle w:val="54"/>
              <w:spacing w:before="178"/>
              <w:ind w:left="107"/>
              <w:rPr>
                <w:color w:val="auto"/>
                <w:sz w:val="21"/>
                <w:highlight w:val="none"/>
              </w:rPr>
            </w:pPr>
            <w:r>
              <w:rPr>
                <w:color w:val="auto"/>
                <w:sz w:val="21"/>
                <w:highlight w:val="none"/>
              </w:rPr>
              <w:t xml:space="preserve"> </w:t>
            </w:r>
          </w:p>
        </w:tc>
        <w:tc>
          <w:tcPr>
            <w:tcW w:w="2619" w:type="dxa"/>
          </w:tcPr>
          <w:p>
            <w:pPr>
              <w:pStyle w:val="54"/>
              <w:spacing w:before="178"/>
              <w:ind w:left="106"/>
              <w:rPr>
                <w:color w:val="auto"/>
                <w:sz w:val="21"/>
                <w:highlight w:val="none"/>
              </w:rPr>
            </w:pPr>
            <w:r>
              <w:rPr>
                <w:color w:val="auto"/>
                <w:sz w:val="21"/>
                <w:highlight w:val="non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3" w:hRule="atLeast"/>
        </w:trPr>
        <w:tc>
          <w:tcPr>
            <w:tcW w:w="790" w:type="dxa"/>
          </w:tcPr>
          <w:p>
            <w:pPr>
              <w:pStyle w:val="54"/>
              <w:spacing w:before="176"/>
              <w:ind w:left="215" w:right="103"/>
              <w:jc w:val="center"/>
              <w:rPr>
                <w:color w:val="auto"/>
                <w:sz w:val="21"/>
                <w:highlight w:val="none"/>
              </w:rPr>
            </w:pPr>
            <w:r>
              <w:rPr>
                <w:color w:val="auto"/>
                <w:sz w:val="21"/>
                <w:highlight w:val="none"/>
              </w:rPr>
              <w:t xml:space="preserve">4 </w:t>
            </w:r>
          </w:p>
        </w:tc>
        <w:tc>
          <w:tcPr>
            <w:tcW w:w="2967" w:type="dxa"/>
          </w:tcPr>
          <w:p>
            <w:pPr>
              <w:pStyle w:val="54"/>
              <w:spacing w:before="176"/>
              <w:ind w:left="107"/>
              <w:rPr>
                <w:color w:val="auto"/>
                <w:sz w:val="21"/>
                <w:highlight w:val="none"/>
              </w:rPr>
            </w:pPr>
            <w:r>
              <w:rPr>
                <w:color w:val="auto"/>
                <w:sz w:val="21"/>
                <w:highlight w:val="none"/>
              </w:rPr>
              <w:t xml:space="preserve"> </w:t>
            </w:r>
          </w:p>
        </w:tc>
        <w:tc>
          <w:tcPr>
            <w:tcW w:w="2096" w:type="dxa"/>
          </w:tcPr>
          <w:p>
            <w:pPr>
              <w:pStyle w:val="54"/>
              <w:spacing w:before="176"/>
              <w:ind w:left="107"/>
              <w:rPr>
                <w:color w:val="auto"/>
                <w:sz w:val="21"/>
                <w:highlight w:val="none"/>
              </w:rPr>
            </w:pPr>
            <w:r>
              <w:rPr>
                <w:color w:val="auto"/>
                <w:sz w:val="21"/>
                <w:highlight w:val="none"/>
              </w:rPr>
              <w:t xml:space="preserve"> </w:t>
            </w:r>
          </w:p>
        </w:tc>
        <w:tc>
          <w:tcPr>
            <w:tcW w:w="2619" w:type="dxa"/>
          </w:tcPr>
          <w:p>
            <w:pPr>
              <w:pStyle w:val="54"/>
              <w:spacing w:before="176"/>
              <w:ind w:left="106"/>
              <w:rPr>
                <w:color w:val="auto"/>
                <w:sz w:val="21"/>
                <w:highlight w:val="none"/>
              </w:rPr>
            </w:pPr>
            <w:r>
              <w:rPr>
                <w:color w:val="auto"/>
                <w:sz w:val="21"/>
                <w:highlight w:val="non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3" w:hRule="atLeast"/>
        </w:trPr>
        <w:tc>
          <w:tcPr>
            <w:tcW w:w="790" w:type="dxa"/>
          </w:tcPr>
          <w:p>
            <w:pPr>
              <w:pStyle w:val="54"/>
              <w:spacing w:before="176"/>
              <w:ind w:left="215" w:right="103"/>
              <w:jc w:val="center"/>
              <w:rPr>
                <w:color w:val="auto"/>
                <w:sz w:val="21"/>
                <w:highlight w:val="none"/>
              </w:rPr>
            </w:pPr>
            <w:r>
              <w:rPr>
                <w:color w:val="auto"/>
                <w:w w:val="200"/>
                <w:sz w:val="21"/>
                <w:highlight w:val="none"/>
              </w:rPr>
              <w:t>„</w:t>
            </w:r>
            <w:r>
              <w:rPr>
                <w:color w:val="auto"/>
                <w:sz w:val="21"/>
                <w:highlight w:val="none"/>
              </w:rPr>
              <w:t xml:space="preserve"> </w:t>
            </w:r>
          </w:p>
        </w:tc>
        <w:tc>
          <w:tcPr>
            <w:tcW w:w="2967" w:type="dxa"/>
          </w:tcPr>
          <w:p>
            <w:pPr>
              <w:pStyle w:val="54"/>
              <w:spacing w:before="176"/>
              <w:ind w:left="107"/>
              <w:rPr>
                <w:color w:val="auto"/>
                <w:sz w:val="21"/>
                <w:highlight w:val="none"/>
              </w:rPr>
            </w:pPr>
            <w:r>
              <w:rPr>
                <w:color w:val="auto"/>
                <w:sz w:val="21"/>
                <w:highlight w:val="none"/>
              </w:rPr>
              <w:t xml:space="preserve"> </w:t>
            </w:r>
          </w:p>
        </w:tc>
        <w:tc>
          <w:tcPr>
            <w:tcW w:w="2096" w:type="dxa"/>
          </w:tcPr>
          <w:p>
            <w:pPr>
              <w:pStyle w:val="54"/>
              <w:spacing w:before="176"/>
              <w:ind w:left="107"/>
              <w:rPr>
                <w:color w:val="auto"/>
                <w:sz w:val="21"/>
                <w:highlight w:val="none"/>
              </w:rPr>
            </w:pPr>
            <w:r>
              <w:rPr>
                <w:color w:val="auto"/>
                <w:sz w:val="21"/>
                <w:highlight w:val="none"/>
              </w:rPr>
              <w:t xml:space="preserve"> </w:t>
            </w:r>
          </w:p>
        </w:tc>
        <w:tc>
          <w:tcPr>
            <w:tcW w:w="2619" w:type="dxa"/>
          </w:tcPr>
          <w:p>
            <w:pPr>
              <w:pStyle w:val="54"/>
              <w:spacing w:before="176"/>
              <w:ind w:left="106"/>
              <w:rPr>
                <w:color w:val="auto"/>
                <w:sz w:val="21"/>
                <w:highlight w:val="none"/>
              </w:rPr>
            </w:pPr>
            <w:r>
              <w:rPr>
                <w:color w:val="auto"/>
                <w:sz w:val="21"/>
                <w:highlight w:val="none"/>
              </w:rPr>
              <w:t xml:space="preserve"> </w:t>
            </w:r>
          </w:p>
        </w:tc>
      </w:tr>
    </w:tbl>
    <w:p>
      <w:pPr>
        <w:pStyle w:val="2"/>
        <w:spacing w:before="4"/>
        <w:rPr>
          <w:b/>
          <w:color w:val="auto"/>
          <w:sz w:val="28"/>
          <w:highlight w:val="none"/>
        </w:rPr>
      </w:pPr>
    </w:p>
    <w:p>
      <w:pPr>
        <w:pStyle w:val="2"/>
        <w:spacing w:before="1" w:line="364" w:lineRule="auto"/>
        <w:ind w:left="251" w:right="264" w:firstLine="420"/>
        <w:rPr>
          <w:color w:val="auto"/>
          <w:highlight w:val="none"/>
        </w:rPr>
      </w:pPr>
      <w:r>
        <w:rPr>
          <w:color w:val="auto"/>
          <w:highlight w:val="none"/>
        </w:rPr>
        <w:t>【备注：附以上相关奖状、证书等有效证明材料扫描件，以及供应商认为需要增加的其他证明材料扫描件，以上扫描件均须加盖</w:t>
      </w:r>
      <w:r>
        <w:rPr>
          <w:b/>
          <w:color w:val="auto"/>
          <w:highlight w:val="none"/>
        </w:rPr>
        <w:t>供应商电子签章</w:t>
      </w:r>
      <w:r>
        <w:rPr>
          <w:color w:val="auto"/>
          <w:highlight w:val="none"/>
        </w:rPr>
        <w:t>。】</w:t>
      </w:r>
    </w:p>
    <w:p>
      <w:pPr>
        <w:pStyle w:val="2"/>
        <w:spacing w:before="91"/>
        <w:ind w:left="671"/>
        <w:rPr>
          <w:color w:val="auto"/>
          <w:highlight w:val="none"/>
        </w:rPr>
      </w:pPr>
      <w:r>
        <w:rPr>
          <w:color w:val="auto"/>
          <w:highlight w:val="none"/>
        </w:rPr>
        <w:t xml:space="preserve"> </w:t>
      </w:r>
    </w:p>
    <w:p>
      <w:pPr>
        <w:pStyle w:val="2"/>
        <w:spacing w:before="110"/>
        <w:ind w:left="671"/>
        <w:rPr>
          <w:color w:val="auto"/>
          <w:highlight w:val="none"/>
        </w:rPr>
      </w:pPr>
      <w:r>
        <w:rPr>
          <w:color w:val="auto"/>
          <w:highlight w:val="none"/>
        </w:rPr>
        <w:t xml:space="preserve"> </w:t>
      </w:r>
    </w:p>
    <w:p>
      <w:pPr>
        <w:pStyle w:val="2"/>
        <w:spacing w:before="113"/>
        <w:ind w:left="671"/>
        <w:rPr>
          <w:color w:val="auto"/>
          <w:highlight w:val="none"/>
        </w:rPr>
      </w:pPr>
      <w:r>
        <w:rPr>
          <w:color w:val="auto"/>
          <w:highlight w:val="none"/>
        </w:rPr>
        <w:t xml:space="preserve"> </w:t>
      </w:r>
    </w:p>
    <w:p>
      <w:pPr>
        <w:pStyle w:val="2"/>
        <w:spacing w:before="110"/>
        <w:ind w:left="671"/>
        <w:rPr>
          <w:color w:val="auto"/>
          <w:highlight w:val="none"/>
        </w:rPr>
      </w:pPr>
      <w:r>
        <w:rPr>
          <w:color w:val="auto"/>
          <w:highlight w:val="none"/>
        </w:rPr>
        <w:t xml:space="preserve"> </w:t>
      </w:r>
    </w:p>
    <w:p>
      <w:pPr>
        <w:pStyle w:val="2"/>
        <w:spacing w:before="111"/>
        <w:ind w:left="671"/>
        <w:rPr>
          <w:color w:val="auto"/>
          <w:highlight w:val="none"/>
        </w:rPr>
      </w:pPr>
      <w:r>
        <w:rPr>
          <w:color w:val="auto"/>
          <w:highlight w:val="none"/>
        </w:rPr>
        <w:t xml:space="preserve"> </w:t>
      </w:r>
    </w:p>
    <w:p>
      <w:pPr>
        <w:pStyle w:val="2"/>
        <w:spacing w:before="112"/>
        <w:ind w:left="671"/>
        <w:rPr>
          <w:color w:val="auto"/>
          <w:highlight w:val="none"/>
        </w:rPr>
      </w:pPr>
      <w:r>
        <w:rPr>
          <w:color w:val="auto"/>
          <w:highlight w:val="none"/>
        </w:rPr>
        <w:t xml:space="preserve"> </w:t>
      </w:r>
    </w:p>
    <w:p>
      <w:pPr>
        <w:pStyle w:val="2"/>
        <w:spacing w:before="110"/>
        <w:ind w:left="671"/>
        <w:rPr>
          <w:color w:val="auto"/>
          <w:highlight w:val="none"/>
        </w:rPr>
      </w:pPr>
      <w:r>
        <w:rPr>
          <w:color w:val="auto"/>
          <w:highlight w:val="none"/>
        </w:rPr>
        <w:t xml:space="preserve"> </w:t>
      </w:r>
    </w:p>
    <w:p>
      <w:pPr>
        <w:pStyle w:val="2"/>
        <w:spacing w:before="110"/>
        <w:ind w:left="671"/>
        <w:rPr>
          <w:color w:val="auto"/>
          <w:highlight w:val="none"/>
        </w:rPr>
      </w:pPr>
      <w:r>
        <w:rPr>
          <w:color w:val="auto"/>
          <w:highlight w:val="none"/>
        </w:rPr>
        <w:t xml:space="preserve"> </w:t>
      </w:r>
    </w:p>
    <w:p>
      <w:pPr>
        <w:pStyle w:val="2"/>
        <w:spacing w:before="113"/>
        <w:ind w:left="671"/>
        <w:rPr>
          <w:color w:val="auto"/>
          <w:highlight w:val="none"/>
        </w:rPr>
      </w:pPr>
      <w:r>
        <w:rPr>
          <w:color w:val="auto"/>
          <w:highlight w:val="none"/>
        </w:rPr>
        <w:t xml:space="preserve"> </w:t>
      </w:r>
    </w:p>
    <w:p>
      <w:pPr>
        <w:pStyle w:val="2"/>
        <w:spacing w:before="110"/>
        <w:ind w:left="671"/>
        <w:rPr>
          <w:color w:val="auto"/>
          <w:highlight w:val="none"/>
        </w:rPr>
      </w:pPr>
      <w:r>
        <w:rPr>
          <w:color w:val="auto"/>
          <w:highlight w:val="none"/>
        </w:rPr>
        <w:t xml:space="preserve"> </w:t>
      </w:r>
    </w:p>
    <w:p>
      <w:pPr>
        <w:pStyle w:val="2"/>
        <w:spacing w:before="111"/>
        <w:ind w:left="671"/>
        <w:rPr>
          <w:color w:val="auto"/>
          <w:highlight w:val="none"/>
        </w:rPr>
      </w:pPr>
      <w:r>
        <w:rPr>
          <w:color w:val="auto"/>
          <w:highlight w:val="none"/>
        </w:rPr>
        <w:t xml:space="preserve"> </w:t>
      </w:r>
    </w:p>
    <w:p>
      <w:pPr>
        <w:pStyle w:val="2"/>
        <w:spacing w:before="112"/>
        <w:ind w:left="671"/>
        <w:rPr>
          <w:color w:val="auto"/>
          <w:highlight w:val="none"/>
        </w:rPr>
      </w:pPr>
      <w:r>
        <w:rPr>
          <w:color w:val="auto"/>
          <w:highlight w:val="none"/>
        </w:rPr>
        <w:t xml:space="preserve"> </w:t>
      </w:r>
    </w:p>
    <w:p>
      <w:pPr>
        <w:pStyle w:val="2"/>
        <w:spacing w:before="110"/>
        <w:ind w:left="671"/>
        <w:rPr>
          <w:color w:val="auto"/>
          <w:highlight w:val="none"/>
        </w:rPr>
      </w:pPr>
      <w:r>
        <w:rPr>
          <w:color w:val="auto"/>
          <w:highlight w:val="none"/>
        </w:rPr>
        <w:t xml:space="preserve"> </w:t>
      </w:r>
    </w:p>
    <w:p>
      <w:pPr>
        <w:pStyle w:val="2"/>
        <w:spacing w:before="111"/>
        <w:ind w:left="671"/>
        <w:rPr>
          <w:color w:val="auto"/>
          <w:highlight w:val="none"/>
        </w:rPr>
      </w:pPr>
      <w:r>
        <w:rPr>
          <w:color w:val="auto"/>
          <w:highlight w:val="none"/>
        </w:rPr>
        <w:t xml:space="preserve"> </w:t>
      </w:r>
    </w:p>
    <w:p>
      <w:pPr>
        <w:pStyle w:val="2"/>
        <w:spacing w:before="112"/>
        <w:ind w:left="671"/>
        <w:rPr>
          <w:color w:val="auto"/>
          <w:highlight w:val="none"/>
        </w:rPr>
      </w:pPr>
      <w:r>
        <w:rPr>
          <w:color w:val="auto"/>
          <w:highlight w:val="none"/>
        </w:rPr>
        <w:t xml:space="preserve"> </w:t>
      </w:r>
    </w:p>
    <w:p>
      <w:pPr>
        <w:pStyle w:val="2"/>
        <w:spacing w:before="110"/>
        <w:ind w:left="671"/>
        <w:rPr>
          <w:color w:val="auto"/>
          <w:highlight w:val="none"/>
        </w:rPr>
      </w:pPr>
      <w:r>
        <w:rPr>
          <w:color w:val="auto"/>
          <w:highlight w:val="none"/>
        </w:rPr>
        <w:t xml:space="preserve"> </w:t>
      </w:r>
    </w:p>
    <w:p>
      <w:pPr>
        <w:pStyle w:val="2"/>
        <w:spacing w:before="110"/>
        <w:ind w:left="671"/>
        <w:rPr>
          <w:color w:val="auto"/>
          <w:highlight w:val="none"/>
        </w:rPr>
      </w:pPr>
      <w:r>
        <w:rPr>
          <w:color w:val="auto"/>
          <w:highlight w:val="none"/>
        </w:rPr>
        <w:t xml:space="preserve"> </w:t>
      </w:r>
    </w:p>
    <w:p>
      <w:pPr>
        <w:pStyle w:val="2"/>
        <w:spacing w:before="113"/>
        <w:ind w:left="671"/>
        <w:rPr>
          <w:color w:val="auto"/>
          <w:highlight w:val="none"/>
        </w:rPr>
      </w:pPr>
      <w:r>
        <w:rPr>
          <w:color w:val="auto"/>
          <w:highlight w:val="none"/>
        </w:rPr>
        <w:t xml:space="preserve"> </w:t>
      </w:r>
    </w:p>
    <w:p>
      <w:pPr>
        <w:pStyle w:val="2"/>
        <w:spacing w:before="110"/>
        <w:ind w:left="671"/>
        <w:rPr>
          <w:color w:val="auto"/>
          <w:highlight w:val="none"/>
        </w:rPr>
      </w:pPr>
      <w:r>
        <w:rPr>
          <w:color w:val="auto"/>
          <w:highlight w:val="none"/>
        </w:rPr>
        <w:t xml:space="preserve"> </w:t>
      </w:r>
    </w:p>
    <w:p>
      <w:pPr>
        <w:pStyle w:val="2"/>
        <w:spacing w:before="111"/>
        <w:ind w:left="671"/>
        <w:rPr>
          <w:color w:val="auto"/>
          <w:highlight w:val="none"/>
        </w:rPr>
      </w:pPr>
      <w:r>
        <w:rPr>
          <w:color w:val="auto"/>
          <w:highlight w:val="none"/>
        </w:rPr>
        <w:t xml:space="preserve"> </w:t>
      </w:r>
    </w:p>
    <w:p>
      <w:pPr>
        <w:pStyle w:val="2"/>
        <w:spacing w:before="112"/>
        <w:ind w:left="671"/>
        <w:rPr>
          <w:color w:val="auto"/>
          <w:highlight w:val="none"/>
        </w:rPr>
      </w:pPr>
      <w:r>
        <w:rPr>
          <w:color w:val="auto"/>
          <w:highlight w:val="none"/>
        </w:rPr>
        <w:t xml:space="preserve"> </w:t>
      </w:r>
    </w:p>
    <w:p>
      <w:pPr>
        <w:rPr>
          <w:color w:val="auto"/>
          <w:highlight w:val="none"/>
        </w:rPr>
        <w:sectPr>
          <w:pgSz w:w="11910" w:h="16850"/>
          <w:pgMar w:top="1280" w:right="860" w:bottom="1040" w:left="1280" w:header="877" w:footer="853" w:gutter="0"/>
          <w:cols w:space="720" w:num="1"/>
        </w:sectPr>
      </w:pPr>
    </w:p>
    <w:p>
      <w:pPr>
        <w:pStyle w:val="2"/>
        <w:spacing w:before="156"/>
        <w:rPr>
          <w:b/>
          <w:bCs/>
          <w:color w:val="auto"/>
          <w:sz w:val="24"/>
          <w:szCs w:val="24"/>
          <w:highlight w:val="none"/>
        </w:rPr>
      </w:pPr>
      <w:r>
        <w:rPr>
          <w:b/>
          <w:bCs/>
          <w:color w:val="auto"/>
          <w:sz w:val="24"/>
          <w:szCs w:val="24"/>
          <w:highlight w:val="none"/>
        </w:rPr>
        <w:t>其他文书、文件格式</w:t>
      </w:r>
      <w:r>
        <w:rPr>
          <w:b/>
          <w:bCs/>
          <w:color w:val="auto"/>
          <w:w w:val="99"/>
          <w:sz w:val="24"/>
          <w:szCs w:val="24"/>
          <w:highlight w:val="none"/>
        </w:rPr>
        <w:t xml:space="preserve"> </w:t>
      </w:r>
    </w:p>
    <w:p>
      <w:pPr>
        <w:pStyle w:val="2"/>
        <w:spacing w:before="82"/>
        <w:ind w:left="251"/>
        <w:rPr>
          <w:color w:val="auto"/>
          <w:highlight w:val="none"/>
        </w:rPr>
      </w:pPr>
      <w:r>
        <w:rPr>
          <w:color w:val="auto"/>
          <w:highlight w:val="none"/>
        </w:rPr>
        <w:t xml:space="preserve"> </w:t>
      </w:r>
    </w:p>
    <w:p>
      <w:pPr>
        <w:pStyle w:val="2"/>
        <w:jc w:val="center"/>
        <w:rPr>
          <w:color w:val="auto"/>
          <w:sz w:val="44"/>
          <w:szCs w:val="44"/>
          <w:highlight w:val="none"/>
        </w:rPr>
      </w:pPr>
      <w:r>
        <w:rPr>
          <w:color w:val="auto"/>
          <w:sz w:val="44"/>
          <w:szCs w:val="44"/>
          <w:highlight w:val="none"/>
        </w:rPr>
        <w:t>中小企业声明函（工程）</w:t>
      </w:r>
    </w:p>
    <w:p>
      <w:pPr>
        <w:rPr>
          <w:color w:val="auto"/>
          <w:highlight w:val="none"/>
        </w:rPr>
      </w:pPr>
      <w:r>
        <w:rPr>
          <w:color w:val="auto"/>
          <w:w w:val="99"/>
          <w:highlight w:val="none"/>
        </w:rPr>
        <w:t xml:space="preserve"> </w:t>
      </w:r>
    </w:p>
    <w:p>
      <w:pPr>
        <w:spacing w:before="172" w:line="374" w:lineRule="auto"/>
        <w:ind w:left="251" w:right="410" w:firstLine="469"/>
        <w:rPr>
          <w:color w:val="auto"/>
          <w:sz w:val="24"/>
          <w:highlight w:val="none"/>
        </w:rPr>
      </w:pPr>
      <w:r>
        <w:rPr>
          <w:color w:val="auto"/>
          <w:spacing w:val="-1"/>
          <w:sz w:val="24"/>
          <w:highlight w:val="none"/>
        </w:rPr>
        <w:t>本公司</w:t>
      </w:r>
      <w:r>
        <w:rPr>
          <w:color w:val="auto"/>
          <w:sz w:val="24"/>
          <w:highlight w:val="none"/>
        </w:rPr>
        <w:t>（联合体</w:t>
      </w:r>
      <w:r>
        <w:rPr>
          <w:color w:val="auto"/>
          <w:spacing w:val="-3"/>
          <w:sz w:val="24"/>
          <w:highlight w:val="none"/>
        </w:rPr>
        <w:t>）</w:t>
      </w:r>
      <w:r>
        <w:rPr>
          <w:color w:val="auto"/>
          <w:spacing w:val="-2"/>
          <w:sz w:val="24"/>
          <w:highlight w:val="none"/>
        </w:rPr>
        <w:t>郑重声明，根据《政府采购促进中小企业发展管理办法》</w:t>
      </w:r>
      <w:r>
        <w:rPr>
          <w:color w:val="auto"/>
          <w:sz w:val="24"/>
          <w:highlight w:val="none"/>
        </w:rPr>
        <w:t>（</w:t>
      </w:r>
      <w:r>
        <w:rPr>
          <w:color w:val="auto"/>
          <w:spacing w:val="-12"/>
          <w:sz w:val="24"/>
          <w:highlight w:val="none"/>
        </w:rPr>
        <w:t>财</w:t>
      </w:r>
      <w:r>
        <w:rPr>
          <w:color w:val="auto"/>
          <w:sz w:val="24"/>
          <w:highlight w:val="none"/>
        </w:rPr>
        <w:t>库﹝2020﹞46</w:t>
      </w:r>
      <w:r>
        <w:rPr>
          <w:color w:val="auto"/>
          <w:spacing w:val="-30"/>
          <w:sz w:val="24"/>
          <w:highlight w:val="none"/>
        </w:rPr>
        <w:t xml:space="preserve"> 号</w:t>
      </w:r>
      <w:r>
        <w:rPr>
          <w:color w:val="auto"/>
          <w:spacing w:val="-12"/>
          <w:sz w:val="24"/>
          <w:highlight w:val="none"/>
        </w:rPr>
        <w:t>）</w:t>
      </w:r>
      <w:r>
        <w:rPr>
          <w:color w:val="auto"/>
          <w:spacing w:val="-2"/>
          <w:sz w:val="24"/>
          <w:highlight w:val="none"/>
        </w:rPr>
        <w:t>的规定，本公司</w:t>
      </w:r>
      <w:r>
        <w:rPr>
          <w:color w:val="auto"/>
          <w:sz w:val="24"/>
          <w:highlight w:val="none"/>
        </w:rPr>
        <w:t>（联合体</w:t>
      </w:r>
      <w:r>
        <w:rPr>
          <w:color w:val="auto"/>
          <w:spacing w:val="-10"/>
          <w:sz w:val="24"/>
          <w:highlight w:val="none"/>
        </w:rPr>
        <w:t>）</w:t>
      </w:r>
      <w:r>
        <w:rPr>
          <w:color w:val="auto"/>
          <w:spacing w:val="-6"/>
          <w:sz w:val="24"/>
          <w:highlight w:val="none"/>
        </w:rPr>
        <w:t>参加</w:t>
      </w:r>
      <w:r>
        <w:rPr>
          <w:color w:val="auto"/>
          <w:sz w:val="24"/>
          <w:highlight w:val="none"/>
          <w:u w:val="single"/>
        </w:rPr>
        <w:t>（单位名称</w:t>
      </w:r>
      <w:r>
        <w:rPr>
          <w:color w:val="auto"/>
          <w:spacing w:val="-12"/>
          <w:sz w:val="24"/>
          <w:highlight w:val="none"/>
          <w:u w:val="single"/>
        </w:rPr>
        <w:t>）</w:t>
      </w:r>
      <w:r>
        <w:rPr>
          <w:color w:val="auto"/>
          <w:spacing w:val="-12"/>
          <w:sz w:val="24"/>
          <w:highlight w:val="none"/>
        </w:rPr>
        <w:t>的</w:t>
      </w:r>
      <w:r>
        <w:rPr>
          <w:color w:val="auto"/>
          <w:sz w:val="24"/>
          <w:highlight w:val="none"/>
          <w:u w:val="single"/>
        </w:rPr>
        <w:t>（项目名称</w:t>
      </w:r>
      <w:r>
        <w:rPr>
          <w:color w:val="auto"/>
          <w:spacing w:val="-12"/>
          <w:sz w:val="24"/>
          <w:highlight w:val="none"/>
          <w:u w:val="single"/>
        </w:rPr>
        <w:t>）</w:t>
      </w:r>
      <w:r>
        <w:rPr>
          <w:color w:val="auto"/>
          <w:spacing w:val="-5"/>
          <w:sz w:val="24"/>
          <w:highlight w:val="none"/>
        </w:rPr>
        <w:t>采购活</w:t>
      </w:r>
    </w:p>
    <w:p>
      <w:pPr>
        <w:spacing w:before="2" w:line="374" w:lineRule="auto"/>
        <w:ind w:left="251" w:right="365"/>
        <w:rPr>
          <w:color w:val="auto"/>
          <w:sz w:val="24"/>
          <w:highlight w:val="none"/>
        </w:rPr>
      </w:pPr>
      <w:r>
        <w:rPr>
          <w:color w:val="auto"/>
          <w:sz w:val="24"/>
          <w:highlight w:val="none"/>
        </w:rPr>
        <w:t xml:space="preserve">动，服务全部由符合政策要求的中小企业承接。相关企业（含联合体中的中小企业、签订分包意向协议的中小企业）的具体情况如下： </w:t>
      </w:r>
    </w:p>
    <w:p>
      <w:pPr>
        <w:spacing w:line="374" w:lineRule="auto"/>
        <w:ind w:left="251" w:right="292" w:firstLine="469"/>
        <w:jc w:val="both"/>
        <w:rPr>
          <w:color w:val="auto"/>
          <w:sz w:val="24"/>
          <w:highlight w:val="none"/>
        </w:rPr>
      </w:pPr>
      <w:r>
        <w:rPr>
          <w:color w:val="auto"/>
          <w:highlight w:val="none"/>
        </w:rPr>
        <mc:AlternateContent>
          <mc:Choice Requires="wps">
            <w:drawing>
              <wp:anchor distT="0" distB="0" distL="114300" distR="114300" simplePos="0" relativeHeight="251663360" behindDoc="1" locked="0" layoutInCell="1" allowOverlap="1">
                <wp:simplePos x="0" y="0"/>
                <wp:positionH relativeFrom="page">
                  <wp:posOffset>2884170</wp:posOffset>
                </wp:positionH>
                <wp:positionV relativeFrom="paragraph">
                  <wp:posOffset>173990</wp:posOffset>
                </wp:positionV>
                <wp:extent cx="2065020" cy="7620"/>
                <wp:effectExtent l="0" t="0" r="0" b="0"/>
                <wp:wrapNone/>
                <wp:docPr id="6" name="矩形 6"/>
                <wp:cNvGraphicFramePr/>
                <a:graphic xmlns:a="http://schemas.openxmlformats.org/drawingml/2006/main">
                  <a:graphicData uri="http://schemas.microsoft.com/office/word/2010/wordprocessingShape">
                    <wps:wsp>
                      <wps:cNvSpPr/>
                      <wps:spPr>
                        <a:xfrm>
                          <a:off x="0" y="0"/>
                          <a:ext cx="2065020" cy="7620"/>
                        </a:xfrm>
                        <a:prstGeom prst="rect">
                          <a:avLst/>
                        </a:prstGeom>
                        <a:solidFill>
                          <a:srgbClr val="000000"/>
                        </a:solidFill>
                        <a:ln>
                          <a:noFill/>
                        </a:ln>
                      </wps:spPr>
                      <wps:bodyPr upright="1"/>
                    </wps:wsp>
                  </a:graphicData>
                </a:graphic>
              </wp:anchor>
            </w:drawing>
          </mc:Choice>
          <mc:Fallback>
            <w:pict>
              <v:rect id="_x0000_s1026" o:spid="_x0000_s1026" o:spt="1" style="position:absolute;left:0pt;margin-left:227.1pt;margin-top:13.7pt;height:0.6pt;width:162.6pt;mso-position-horizontal-relative:page;z-index:-251653120;mso-width-relative:page;mso-height-relative:page;" fillcolor="#000000" filled="t" stroked="f" coordsize="21600,21600" o:gfxdata="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">
                <v:fill on="t" focussize="0,0"/>
                <v:stroke on="f"/>
                <v:imagedata o:title=""/>
                <o:lock v:ext="edit" aspectratio="f"/>
              </v:rect>
            </w:pict>
          </mc:Fallback>
        </mc:AlternateContent>
      </w:r>
      <w:r>
        <w:rPr>
          <w:color w:val="auto"/>
          <w:highlight w:val="none"/>
        </w:rPr>
        <mc:AlternateContent>
          <mc:Choice Requires="wps">
            <w:drawing>
              <wp:anchor distT="0" distB="0" distL="114300" distR="114300" simplePos="0" relativeHeight="251664384" behindDoc="1" locked="0" layoutInCell="1" allowOverlap="1">
                <wp:simplePos x="0" y="0"/>
                <wp:positionH relativeFrom="page">
                  <wp:posOffset>5829300</wp:posOffset>
                </wp:positionH>
                <wp:positionV relativeFrom="paragraph">
                  <wp:posOffset>173990</wp:posOffset>
                </wp:positionV>
                <wp:extent cx="845820" cy="7620"/>
                <wp:effectExtent l="0" t="0" r="0" b="0"/>
                <wp:wrapNone/>
                <wp:docPr id="7" name="矩形 5"/>
                <wp:cNvGraphicFramePr/>
                <a:graphic xmlns:a="http://schemas.openxmlformats.org/drawingml/2006/main">
                  <a:graphicData uri="http://schemas.microsoft.com/office/word/2010/wordprocessingShape">
                    <wps:wsp>
                      <wps:cNvSpPr/>
                      <wps:spPr>
                        <a:xfrm>
                          <a:off x="0" y="0"/>
                          <a:ext cx="845820" cy="7620"/>
                        </a:xfrm>
                        <a:prstGeom prst="rect">
                          <a:avLst/>
                        </a:prstGeom>
                        <a:solidFill>
                          <a:srgbClr val="000000"/>
                        </a:solidFill>
                        <a:ln>
                          <a:noFill/>
                        </a:ln>
                      </wps:spPr>
                      <wps:bodyPr upright="1"/>
                    </wps:wsp>
                  </a:graphicData>
                </a:graphic>
              </wp:anchor>
            </w:drawing>
          </mc:Choice>
          <mc:Fallback>
            <w:pict>
              <v:rect id="矩形 5" o:spid="_x0000_s1026" o:spt="1" style="position:absolute;left:0pt;margin-left:459pt;margin-top:13.7pt;height:0.6pt;width:66.6pt;mso-position-horizontal-relative:page;z-index:-251652096;mso-width-relative:page;mso-height-relative:page;" fillcolor="#000000" filled="t" stroked="f" coordsize="21600,21600" o:gfxdata="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">
                <v:fill on="t" focussize="0,0"/>
                <v:stroke on="f"/>
                <v:imagedata o:title=""/>
                <o:lock v:ext="edit" aspectratio="f"/>
              </v:rect>
            </w:pict>
          </mc:Fallback>
        </mc:AlternateContent>
      </w:r>
      <w:r>
        <w:rPr>
          <w:color w:val="auto"/>
          <w:spacing w:val="-19"/>
          <w:sz w:val="24"/>
          <w:highlight w:val="none"/>
        </w:rPr>
        <w:t>1.（</w:t>
      </w:r>
      <w:r>
        <w:rPr>
          <w:color w:val="auto"/>
          <w:sz w:val="24"/>
          <w:highlight w:val="none"/>
          <w:u w:val="single"/>
        </w:rPr>
        <w:t>标的名称</w:t>
      </w:r>
      <w:r>
        <w:rPr>
          <w:color w:val="auto"/>
          <w:spacing w:val="-56"/>
          <w:sz w:val="24"/>
          <w:highlight w:val="none"/>
          <w:u w:val="single"/>
        </w:rPr>
        <w:t>）</w:t>
      </w:r>
      <w:r>
        <w:rPr>
          <w:color w:val="auto"/>
          <w:spacing w:val="-37"/>
          <w:sz w:val="24"/>
          <w:highlight w:val="none"/>
        </w:rPr>
        <w:t>，属于</w:t>
      </w:r>
      <w:r>
        <w:rPr>
          <w:color w:val="auto"/>
          <w:sz w:val="24"/>
          <w:highlight w:val="none"/>
        </w:rPr>
        <w:t>（采购文件中明确的所属行业</w:t>
      </w:r>
      <w:r>
        <w:rPr>
          <w:color w:val="auto"/>
          <w:spacing w:val="-56"/>
          <w:sz w:val="24"/>
          <w:highlight w:val="none"/>
        </w:rPr>
        <w:t>）</w:t>
      </w:r>
      <w:r>
        <w:rPr>
          <w:color w:val="auto"/>
          <w:spacing w:val="-20"/>
          <w:sz w:val="24"/>
          <w:highlight w:val="none"/>
        </w:rPr>
        <w:t>；承接企业为</w:t>
      </w:r>
      <w:r>
        <w:rPr>
          <w:color w:val="auto"/>
          <w:sz w:val="24"/>
          <w:highlight w:val="none"/>
        </w:rPr>
        <w:t>（企业名称</w:t>
      </w:r>
      <w:r>
        <w:rPr>
          <w:color w:val="auto"/>
          <w:spacing w:val="-34"/>
          <w:sz w:val="24"/>
          <w:highlight w:val="none"/>
        </w:rPr>
        <w:t xml:space="preserve">）， </w:t>
      </w:r>
      <w:r>
        <w:rPr>
          <w:color w:val="auto"/>
          <w:sz w:val="24"/>
          <w:highlight w:val="none"/>
        </w:rPr>
        <w:t>从业人员</w:t>
      </w:r>
      <w:r>
        <w:rPr>
          <w:color w:val="auto"/>
          <w:spacing w:val="29"/>
          <w:sz w:val="24"/>
          <w:highlight w:val="none"/>
          <w:u w:val="single"/>
        </w:rPr>
        <w:t xml:space="preserve">    </w:t>
      </w:r>
      <w:r>
        <w:rPr>
          <w:color w:val="auto"/>
          <w:spacing w:val="-6"/>
          <w:sz w:val="24"/>
          <w:highlight w:val="none"/>
        </w:rPr>
        <w:t>人，营业收入为</w:t>
      </w:r>
      <w:r>
        <w:rPr>
          <w:color w:val="auto"/>
          <w:sz w:val="24"/>
          <w:highlight w:val="none"/>
          <w:u w:val="single"/>
        </w:rPr>
        <w:t xml:space="preserve">      </w:t>
      </w:r>
      <w:r>
        <w:rPr>
          <w:color w:val="auto"/>
          <w:spacing w:val="-6"/>
          <w:sz w:val="24"/>
          <w:highlight w:val="none"/>
        </w:rPr>
        <w:t>万元，资产总额为</w:t>
      </w:r>
      <w:r>
        <w:rPr>
          <w:color w:val="auto"/>
          <w:sz w:val="24"/>
          <w:highlight w:val="none"/>
          <w:u w:val="single"/>
        </w:rPr>
        <w:t xml:space="preserve">      </w:t>
      </w:r>
      <w:r>
        <w:rPr>
          <w:color w:val="auto"/>
          <w:spacing w:val="-15"/>
          <w:sz w:val="24"/>
          <w:highlight w:val="none"/>
        </w:rPr>
        <w:t>万元，属于</w:t>
      </w:r>
      <w:r>
        <w:rPr>
          <w:color w:val="auto"/>
          <w:sz w:val="24"/>
          <w:highlight w:val="none"/>
          <w:u w:val="single"/>
        </w:rPr>
        <w:t>（</w:t>
      </w:r>
      <w:r>
        <w:rPr>
          <w:color w:val="auto"/>
          <w:spacing w:val="-3"/>
          <w:sz w:val="24"/>
          <w:highlight w:val="none"/>
          <w:u w:val="single"/>
        </w:rPr>
        <w:t>中型企业、</w:t>
      </w:r>
      <w:r>
        <w:rPr>
          <w:color w:val="auto"/>
          <w:sz w:val="24"/>
          <w:highlight w:val="none"/>
          <w:u w:val="single"/>
        </w:rPr>
        <w:t>小型企业、微型企业）</w:t>
      </w:r>
      <w:r>
        <w:rPr>
          <w:color w:val="auto"/>
          <w:sz w:val="24"/>
          <w:highlight w:val="none"/>
        </w:rPr>
        <w:t xml:space="preserve">； </w:t>
      </w:r>
    </w:p>
    <w:p>
      <w:pPr>
        <w:spacing w:before="1" w:line="374" w:lineRule="auto"/>
        <w:ind w:left="251" w:right="232" w:firstLine="469"/>
        <w:rPr>
          <w:color w:val="auto"/>
          <w:sz w:val="24"/>
          <w:highlight w:val="none"/>
        </w:rPr>
      </w:pPr>
      <w:r>
        <w:rPr>
          <w:color w:val="auto"/>
          <w:highlight w:val="none"/>
        </w:rPr>
        <mc:AlternateContent>
          <mc:Choice Requires="wps">
            <w:drawing>
              <wp:anchor distT="0" distB="0" distL="114300" distR="114300" simplePos="0" relativeHeight="251665408" behindDoc="1" locked="0" layoutInCell="1" allowOverlap="1">
                <wp:simplePos x="0" y="0"/>
                <wp:positionH relativeFrom="page">
                  <wp:posOffset>2897505</wp:posOffset>
                </wp:positionH>
                <wp:positionV relativeFrom="paragraph">
                  <wp:posOffset>174625</wp:posOffset>
                </wp:positionV>
                <wp:extent cx="2074545" cy="7620"/>
                <wp:effectExtent l="0" t="0" r="0" b="0"/>
                <wp:wrapNone/>
                <wp:docPr id="8" name="矩形 4"/>
                <wp:cNvGraphicFramePr/>
                <a:graphic xmlns:a="http://schemas.openxmlformats.org/drawingml/2006/main">
                  <a:graphicData uri="http://schemas.microsoft.com/office/word/2010/wordprocessingShape">
                    <wps:wsp>
                      <wps:cNvSpPr/>
                      <wps:spPr>
                        <a:xfrm>
                          <a:off x="0" y="0"/>
                          <a:ext cx="2074545" cy="7620"/>
                        </a:xfrm>
                        <a:prstGeom prst="rect">
                          <a:avLst/>
                        </a:prstGeom>
                        <a:solidFill>
                          <a:srgbClr val="000000"/>
                        </a:solidFill>
                        <a:ln>
                          <a:noFill/>
                        </a:ln>
                      </wps:spPr>
                      <wps:bodyPr upright="1"/>
                    </wps:wsp>
                  </a:graphicData>
                </a:graphic>
              </wp:anchor>
            </w:drawing>
          </mc:Choice>
          <mc:Fallback>
            <w:pict>
              <v:rect id="矩形 4" o:spid="_x0000_s1026" o:spt="1" style="position:absolute;left:0pt;margin-left:228.15pt;margin-top:13.75pt;height:0.6pt;width:163.35pt;mso-position-horizontal-relative:page;z-index:-251651072;mso-width-relative:page;mso-height-relative:page;" fillcolor="#000000" filled="t" stroked="f" coordsize="21600,21600" o:gfxdata="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">
                <v:fill on="t" focussize="0,0"/>
                <v:stroke on="f"/>
                <v:imagedata o:title=""/>
                <o:lock v:ext="edit" aspectratio="f"/>
              </v:rect>
            </w:pict>
          </mc:Fallback>
        </mc:AlternateContent>
      </w:r>
      <w:r>
        <w:rPr>
          <w:color w:val="auto"/>
          <w:highlight w:val="none"/>
        </w:rPr>
        <mc:AlternateContent>
          <mc:Choice Requires="wps">
            <w:drawing>
              <wp:anchor distT="0" distB="0" distL="114300" distR="114300" simplePos="0" relativeHeight="251666432" behindDoc="1" locked="0" layoutInCell="1" allowOverlap="1">
                <wp:simplePos x="0" y="0"/>
                <wp:positionH relativeFrom="page">
                  <wp:posOffset>5856605</wp:posOffset>
                </wp:positionH>
                <wp:positionV relativeFrom="paragraph">
                  <wp:posOffset>174625</wp:posOffset>
                </wp:positionV>
                <wp:extent cx="854710" cy="7620"/>
                <wp:effectExtent l="0" t="0" r="0" b="0"/>
                <wp:wrapNone/>
                <wp:docPr id="9" name="矩形 3"/>
                <wp:cNvGraphicFramePr/>
                <a:graphic xmlns:a="http://schemas.openxmlformats.org/drawingml/2006/main">
                  <a:graphicData uri="http://schemas.microsoft.com/office/word/2010/wordprocessingShape">
                    <wps:wsp>
                      <wps:cNvSpPr/>
                      <wps:spPr>
                        <a:xfrm>
                          <a:off x="0" y="0"/>
                          <a:ext cx="854710" cy="7620"/>
                        </a:xfrm>
                        <a:prstGeom prst="rect">
                          <a:avLst/>
                        </a:prstGeom>
                        <a:solidFill>
                          <a:srgbClr val="000000"/>
                        </a:solidFill>
                        <a:ln>
                          <a:noFill/>
                        </a:ln>
                      </wps:spPr>
                      <wps:bodyPr upright="1"/>
                    </wps:wsp>
                  </a:graphicData>
                </a:graphic>
              </wp:anchor>
            </w:drawing>
          </mc:Choice>
          <mc:Fallback>
            <w:pict>
              <v:rect id="矩形 3" o:spid="_x0000_s1026" o:spt="1" style="position:absolute;left:0pt;margin-left:461.15pt;margin-top:13.75pt;height:0.6pt;width:67.3pt;mso-position-horizontal-relative:page;z-index:-251650048;mso-width-relative:page;mso-height-relative:page;" fillcolor="#000000" filled="t" stroked="f" coordsize="21600,21600" o:gfxdata="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">
                <v:fill on="t" focussize="0,0"/>
                <v:stroke on="f"/>
                <v:imagedata o:title=""/>
                <o:lock v:ext="edit" aspectratio="f"/>
              </v:rect>
            </w:pict>
          </mc:Fallback>
        </mc:AlternateContent>
      </w:r>
      <w:r>
        <w:rPr>
          <w:color w:val="auto"/>
          <w:spacing w:val="-16"/>
          <w:sz w:val="24"/>
          <w:highlight w:val="none"/>
        </w:rPr>
        <w:t>2.（</w:t>
      </w:r>
      <w:r>
        <w:rPr>
          <w:color w:val="auto"/>
          <w:sz w:val="24"/>
          <w:highlight w:val="none"/>
          <w:u w:val="single"/>
        </w:rPr>
        <w:t>标的名称</w:t>
      </w:r>
      <w:r>
        <w:rPr>
          <w:color w:val="auto"/>
          <w:spacing w:val="-48"/>
          <w:sz w:val="24"/>
          <w:highlight w:val="none"/>
          <w:u w:val="single"/>
        </w:rPr>
        <w:t>）</w:t>
      </w:r>
      <w:r>
        <w:rPr>
          <w:color w:val="auto"/>
          <w:spacing w:val="-32"/>
          <w:sz w:val="24"/>
          <w:highlight w:val="none"/>
        </w:rPr>
        <w:t>，属于</w:t>
      </w:r>
      <w:r>
        <w:rPr>
          <w:color w:val="auto"/>
          <w:sz w:val="24"/>
          <w:highlight w:val="none"/>
        </w:rPr>
        <w:t>（采购文件中明确的所属行业</w:t>
      </w:r>
      <w:r>
        <w:rPr>
          <w:color w:val="auto"/>
          <w:spacing w:val="-48"/>
          <w:sz w:val="24"/>
          <w:highlight w:val="none"/>
        </w:rPr>
        <w:t>）；</w:t>
      </w:r>
      <w:r>
        <w:rPr>
          <w:color w:val="auto"/>
          <w:spacing w:val="-10"/>
          <w:sz w:val="24"/>
          <w:highlight w:val="none"/>
        </w:rPr>
        <w:t>承接企业为</w:t>
      </w:r>
      <w:r>
        <w:rPr>
          <w:color w:val="auto"/>
          <w:sz w:val="24"/>
          <w:highlight w:val="none"/>
        </w:rPr>
        <w:t>（企业名称</w:t>
      </w:r>
      <w:r>
        <w:rPr>
          <w:color w:val="auto"/>
          <w:spacing w:val="-30"/>
          <w:sz w:val="24"/>
          <w:highlight w:val="none"/>
        </w:rPr>
        <w:t xml:space="preserve">）， </w:t>
      </w:r>
      <w:r>
        <w:rPr>
          <w:color w:val="auto"/>
          <w:sz w:val="24"/>
          <w:highlight w:val="none"/>
        </w:rPr>
        <w:t>从业人员</w:t>
      </w:r>
      <w:r>
        <w:rPr>
          <w:color w:val="auto"/>
          <w:sz w:val="24"/>
          <w:highlight w:val="none"/>
          <w:u w:val="single"/>
        </w:rPr>
        <w:t xml:space="preserve"> </w:t>
      </w:r>
      <w:r>
        <w:rPr>
          <w:color w:val="auto"/>
          <w:spacing w:val="-5"/>
          <w:sz w:val="24"/>
          <w:highlight w:val="none"/>
        </w:rPr>
        <w:t>人，营业收入为</w:t>
      </w:r>
      <w:r>
        <w:rPr>
          <w:color w:val="auto"/>
          <w:spacing w:val="-5"/>
          <w:sz w:val="24"/>
          <w:highlight w:val="none"/>
          <w:u w:val="single"/>
        </w:rPr>
        <w:t xml:space="preserve"> </w:t>
      </w:r>
      <w:r>
        <w:rPr>
          <w:color w:val="auto"/>
          <w:spacing w:val="-5"/>
          <w:sz w:val="24"/>
          <w:highlight w:val="none"/>
        </w:rPr>
        <w:t>万元，资产总额为</w:t>
      </w:r>
      <w:r>
        <w:rPr>
          <w:color w:val="auto"/>
          <w:spacing w:val="-5"/>
          <w:sz w:val="24"/>
          <w:highlight w:val="none"/>
          <w:u w:val="single"/>
        </w:rPr>
        <w:t xml:space="preserve"> </w:t>
      </w:r>
      <w:r>
        <w:rPr>
          <w:color w:val="auto"/>
          <w:spacing w:val="-9"/>
          <w:sz w:val="24"/>
          <w:highlight w:val="none"/>
        </w:rPr>
        <w:t>万元，属于</w:t>
      </w:r>
      <w:r>
        <w:rPr>
          <w:color w:val="auto"/>
          <w:sz w:val="24"/>
          <w:highlight w:val="none"/>
          <w:u w:val="single"/>
        </w:rPr>
        <w:t>（</w:t>
      </w:r>
      <w:r>
        <w:rPr>
          <w:color w:val="auto"/>
          <w:spacing w:val="-3"/>
          <w:sz w:val="24"/>
          <w:highlight w:val="none"/>
          <w:u w:val="single"/>
        </w:rPr>
        <w:t>中型企业、</w:t>
      </w:r>
      <w:r>
        <w:rPr>
          <w:color w:val="auto"/>
          <w:sz w:val="24"/>
          <w:highlight w:val="none"/>
          <w:u w:val="single"/>
        </w:rPr>
        <w:t>小型企业、微型企业）</w:t>
      </w:r>
      <w:r>
        <w:rPr>
          <w:color w:val="auto"/>
          <w:sz w:val="24"/>
          <w:highlight w:val="none"/>
        </w:rPr>
        <w:t xml:space="preserve">； </w:t>
      </w:r>
    </w:p>
    <w:p>
      <w:pPr>
        <w:spacing w:before="173"/>
        <w:ind w:left="957"/>
        <w:rPr>
          <w:color w:val="auto"/>
          <w:sz w:val="24"/>
          <w:highlight w:val="none"/>
        </w:rPr>
      </w:pPr>
      <w:r>
        <w:rPr>
          <w:color w:val="auto"/>
          <w:w w:val="200"/>
          <w:sz w:val="24"/>
          <w:highlight w:val="none"/>
        </w:rPr>
        <w:t>„„</w:t>
      </w:r>
      <w:r>
        <w:rPr>
          <w:color w:val="auto"/>
          <w:sz w:val="24"/>
          <w:highlight w:val="none"/>
        </w:rPr>
        <w:t xml:space="preserve">  </w:t>
      </w:r>
    </w:p>
    <w:p>
      <w:pPr>
        <w:spacing w:before="172" w:line="374" w:lineRule="auto"/>
        <w:ind w:left="251" w:right="402" w:firstLine="705"/>
        <w:rPr>
          <w:color w:val="auto"/>
          <w:sz w:val="24"/>
          <w:highlight w:val="none"/>
        </w:rPr>
      </w:pPr>
      <w:r>
        <w:rPr>
          <w:color w:val="auto"/>
          <w:sz w:val="24"/>
          <w:highlight w:val="none"/>
        </w:rPr>
        <w:t xml:space="preserve">以上企业，不属于大企业的分支机构，不存在控股股东为大企业的情形，也不存在与大企业的负责人为同一人的情形。 </w:t>
      </w:r>
    </w:p>
    <w:p>
      <w:pPr>
        <w:spacing w:before="1"/>
        <w:ind w:left="957"/>
        <w:rPr>
          <w:color w:val="auto"/>
          <w:sz w:val="24"/>
          <w:highlight w:val="none"/>
        </w:rPr>
      </w:pPr>
      <w:r>
        <w:rPr>
          <w:color w:val="auto"/>
          <w:sz w:val="24"/>
          <w:highlight w:val="none"/>
        </w:rPr>
        <w:t xml:space="preserve">本企业对上述声明内容的真实性负责。如有虚假，将依法承担相应责任。 </w:t>
      </w:r>
    </w:p>
    <w:p>
      <w:pPr>
        <w:spacing w:before="172"/>
        <w:ind w:left="957"/>
        <w:rPr>
          <w:color w:val="auto"/>
          <w:sz w:val="24"/>
          <w:highlight w:val="none"/>
        </w:rPr>
      </w:pPr>
      <w:r>
        <w:rPr>
          <w:color w:val="auto"/>
          <w:sz w:val="24"/>
          <w:highlight w:val="none"/>
        </w:rPr>
        <w:t xml:space="preserve"> </w:t>
      </w:r>
    </w:p>
    <w:p>
      <w:pPr>
        <w:pStyle w:val="2"/>
        <w:spacing w:before="4"/>
        <w:rPr>
          <w:color w:val="auto"/>
          <w:sz w:val="8"/>
          <w:highlight w:val="none"/>
        </w:rPr>
      </w:pPr>
    </w:p>
    <w:p>
      <w:pPr>
        <w:spacing w:before="66" w:line="374" w:lineRule="auto"/>
        <w:ind w:left="5878" w:right="1725"/>
        <w:rPr>
          <w:color w:val="auto"/>
          <w:sz w:val="24"/>
          <w:highlight w:val="none"/>
        </w:rPr>
      </w:pPr>
      <w:r>
        <w:rPr>
          <w:color w:val="auto"/>
          <w:sz w:val="24"/>
          <w:highlight w:val="none"/>
        </w:rPr>
        <w:t xml:space="preserve">企业名称（章）： 日 期： </w:t>
      </w:r>
    </w:p>
    <w:p>
      <w:pPr>
        <w:pStyle w:val="2"/>
        <w:rPr>
          <w:color w:val="auto"/>
          <w:sz w:val="20"/>
          <w:highlight w:val="none"/>
        </w:rPr>
      </w:pPr>
    </w:p>
    <w:p>
      <w:pPr>
        <w:pStyle w:val="2"/>
        <w:spacing w:before="7"/>
        <w:rPr>
          <w:color w:val="auto"/>
          <w:sz w:val="17"/>
          <w:highlight w:val="none"/>
        </w:rPr>
      </w:pPr>
    </w:p>
    <w:p>
      <w:pPr>
        <w:spacing w:line="374" w:lineRule="auto"/>
        <w:ind w:left="251" w:right="266"/>
        <w:jc w:val="both"/>
        <w:rPr>
          <w:color w:val="auto"/>
          <w:sz w:val="24"/>
          <w:highlight w:val="none"/>
        </w:rPr>
      </w:pPr>
      <w:r>
        <w:rPr>
          <w:color w:val="auto"/>
          <w:sz w:val="24"/>
          <w:highlight w:val="none"/>
        </w:rPr>
        <w:t>注：享受《政府采购促进中小企业发展管理办法》（财库〔2020〕46</w:t>
      </w:r>
      <w:r>
        <w:rPr>
          <w:color w:val="auto"/>
          <w:spacing w:val="-30"/>
          <w:sz w:val="24"/>
          <w:highlight w:val="none"/>
        </w:rPr>
        <w:t xml:space="preserve"> 号</w:t>
      </w:r>
      <w:r>
        <w:rPr>
          <w:color w:val="auto"/>
          <w:sz w:val="24"/>
          <w:highlight w:val="none"/>
        </w:rPr>
        <w:t>）规定的中小企</w:t>
      </w:r>
      <w:r>
        <w:rPr>
          <w:color w:val="auto"/>
          <w:spacing w:val="-11"/>
          <w:sz w:val="24"/>
          <w:highlight w:val="none"/>
        </w:rPr>
        <w:t>业扶持政策的，采购人、采购代理机构应当随成交结果公开成交供应商的《中小企业声明</w:t>
      </w:r>
      <w:r>
        <w:rPr>
          <w:color w:val="auto"/>
          <w:spacing w:val="-13"/>
          <w:sz w:val="24"/>
          <w:highlight w:val="none"/>
        </w:rPr>
        <w:t>函》。从业人员、营业收入、资产总额填报上一年度数据，无上一年度数据的新成立企业</w:t>
      </w:r>
      <w:r>
        <w:rPr>
          <w:color w:val="auto"/>
          <w:sz w:val="24"/>
          <w:highlight w:val="none"/>
        </w:rPr>
        <w:t xml:space="preserve">可不填报。 </w:t>
      </w:r>
    </w:p>
    <w:p>
      <w:pPr>
        <w:spacing w:line="374" w:lineRule="auto"/>
        <w:jc w:val="both"/>
        <w:rPr>
          <w:color w:val="auto"/>
          <w:sz w:val="24"/>
          <w:highlight w:val="none"/>
        </w:rPr>
        <w:sectPr>
          <w:pgSz w:w="11910" w:h="16850"/>
          <w:pgMar w:top="1280" w:right="860" w:bottom="1040" w:left="1280" w:header="877" w:footer="853" w:gutter="0"/>
          <w:cols w:space="720" w:num="1"/>
        </w:sectPr>
      </w:pPr>
    </w:p>
    <w:p>
      <w:pPr>
        <w:spacing w:before="66"/>
        <w:ind w:left="98"/>
        <w:jc w:val="center"/>
        <w:rPr>
          <w:color w:val="auto"/>
          <w:sz w:val="44"/>
          <w:szCs w:val="44"/>
          <w:highlight w:val="none"/>
        </w:rPr>
      </w:pPr>
      <w:r>
        <w:rPr>
          <w:color w:val="auto"/>
          <w:sz w:val="24"/>
          <w:highlight w:val="none"/>
        </w:rPr>
        <w:t xml:space="preserve"> </w:t>
      </w:r>
      <w:r>
        <w:rPr>
          <w:color w:val="auto"/>
          <w:sz w:val="44"/>
          <w:szCs w:val="44"/>
          <w:highlight w:val="none"/>
        </w:rPr>
        <w:t>残疾人福利性单位声明函</w:t>
      </w:r>
    </w:p>
    <w:p>
      <w:pPr>
        <w:pStyle w:val="2"/>
        <w:spacing w:before="5"/>
        <w:rPr>
          <w:color w:val="auto"/>
          <w:sz w:val="58"/>
          <w:highlight w:val="none"/>
        </w:rPr>
      </w:pPr>
    </w:p>
    <w:p>
      <w:pPr>
        <w:spacing w:line="374" w:lineRule="auto"/>
        <w:ind w:left="251" w:right="269" w:firstLine="469"/>
        <w:jc w:val="both"/>
        <w:rPr>
          <w:color w:val="auto"/>
          <w:sz w:val="24"/>
          <w:highlight w:val="none"/>
        </w:rPr>
      </w:pPr>
      <w:r>
        <w:rPr>
          <w:color w:val="auto"/>
          <w:spacing w:val="-13"/>
          <w:sz w:val="24"/>
          <w:highlight w:val="none"/>
        </w:rPr>
        <w:t>本单位郑重声明，根据《财政部 民政部 中国残疾人联合会关于促进残疾人就业政府</w:t>
      </w:r>
      <w:r>
        <w:rPr>
          <w:color w:val="auto"/>
          <w:spacing w:val="-3"/>
          <w:sz w:val="24"/>
          <w:highlight w:val="none"/>
        </w:rPr>
        <w:t>采购政策的通知》</w:t>
      </w:r>
      <w:r>
        <w:rPr>
          <w:color w:val="auto"/>
          <w:sz w:val="24"/>
          <w:highlight w:val="none"/>
        </w:rPr>
        <w:t>（</w:t>
      </w:r>
      <w:r>
        <w:rPr>
          <w:color w:val="auto"/>
          <w:spacing w:val="-4"/>
          <w:sz w:val="24"/>
          <w:highlight w:val="none"/>
        </w:rPr>
        <w:t>财库〔</w:t>
      </w:r>
      <w:r>
        <w:rPr>
          <w:color w:val="auto"/>
          <w:sz w:val="24"/>
          <w:highlight w:val="none"/>
        </w:rPr>
        <w:t>2017</w:t>
      </w:r>
      <w:r>
        <w:rPr>
          <w:color w:val="auto"/>
          <w:spacing w:val="-10"/>
          <w:sz w:val="24"/>
          <w:highlight w:val="none"/>
        </w:rPr>
        <w:t>〕</w:t>
      </w:r>
      <w:r>
        <w:rPr>
          <w:color w:val="auto"/>
          <w:sz w:val="24"/>
          <w:highlight w:val="none"/>
        </w:rPr>
        <w:t>141</w:t>
      </w:r>
      <w:r>
        <w:rPr>
          <w:color w:val="auto"/>
          <w:spacing w:val="-30"/>
          <w:sz w:val="24"/>
          <w:highlight w:val="none"/>
        </w:rPr>
        <w:t xml:space="preserve"> 号</w:t>
      </w:r>
      <w:r>
        <w:rPr>
          <w:color w:val="auto"/>
          <w:spacing w:val="-10"/>
          <w:sz w:val="24"/>
          <w:highlight w:val="none"/>
        </w:rPr>
        <w:t>）</w:t>
      </w:r>
      <w:r>
        <w:rPr>
          <w:color w:val="auto"/>
          <w:spacing w:val="-4"/>
          <w:sz w:val="24"/>
          <w:highlight w:val="none"/>
        </w:rPr>
        <w:t>的规定，本单位为符合条件的残疾人福利性单</w:t>
      </w:r>
      <w:r>
        <w:rPr>
          <w:color w:val="auto"/>
          <w:sz w:val="24"/>
          <w:highlight w:val="none"/>
        </w:rPr>
        <w:t>位，且本单位参加</w:t>
      </w:r>
      <w:r>
        <w:rPr>
          <w:color w:val="auto"/>
          <w:spacing w:val="19"/>
          <w:sz w:val="24"/>
          <w:highlight w:val="none"/>
          <w:u w:val="single"/>
        </w:rPr>
        <w:t xml:space="preserve">      </w:t>
      </w:r>
      <w:r>
        <w:rPr>
          <w:color w:val="auto"/>
          <w:sz w:val="24"/>
          <w:highlight w:val="none"/>
        </w:rPr>
        <w:t>单位的</w:t>
      </w:r>
      <w:r>
        <w:rPr>
          <w:color w:val="auto"/>
          <w:sz w:val="24"/>
          <w:highlight w:val="none"/>
          <w:u w:val="single"/>
        </w:rPr>
        <w:t xml:space="preserve">       </w:t>
      </w:r>
      <w:r>
        <w:rPr>
          <w:color w:val="auto"/>
          <w:sz w:val="24"/>
          <w:highlight w:val="none"/>
        </w:rPr>
        <w:t>项目采购活动提供本单位制造的货物（</w:t>
      </w:r>
      <w:r>
        <w:rPr>
          <w:color w:val="auto"/>
          <w:spacing w:val="-5"/>
          <w:sz w:val="24"/>
          <w:highlight w:val="none"/>
        </w:rPr>
        <w:t>由本单</w:t>
      </w:r>
      <w:r>
        <w:rPr>
          <w:color w:val="auto"/>
          <w:sz w:val="24"/>
          <w:highlight w:val="none"/>
        </w:rPr>
        <w:t>位承担工程/提供服务），或者提供其他残疾人福利性单位制造的货物（</w:t>
      </w:r>
      <w:r>
        <w:rPr>
          <w:color w:val="auto"/>
          <w:spacing w:val="-2"/>
          <w:sz w:val="24"/>
          <w:highlight w:val="none"/>
        </w:rPr>
        <w:t>不包括使用非残</w:t>
      </w:r>
      <w:r>
        <w:rPr>
          <w:color w:val="auto"/>
          <w:sz w:val="24"/>
          <w:highlight w:val="none"/>
        </w:rPr>
        <w:t xml:space="preserve">疾人福利性单位注册商标的货物）。 </w:t>
      </w:r>
    </w:p>
    <w:p>
      <w:pPr>
        <w:spacing w:before="2"/>
        <w:ind w:left="731"/>
        <w:rPr>
          <w:color w:val="auto"/>
          <w:sz w:val="24"/>
          <w:highlight w:val="none"/>
        </w:rPr>
      </w:pPr>
      <w:r>
        <w:rPr>
          <w:color w:val="auto"/>
          <w:sz w:val="24"/>
          <w:highlight w:val="none"/>
        </w:rPr>
        <w:t xml:space="preserve">本单位对上述声明的真实性负责。如有虚假，将依法承担相应责任。 </w:t>
      </w:r>
    </w:p>
    <w:p>
      <w:pPr>
        <w:pStyle w:val="2"/>
        <w:rPr>
          <w:color w:val="auto"/>
          <w:sz w:val="20"/>
          <w:highlight w:val="none"/>
        </w:rPr>
      </w:pPr>
    </w:p>
    <w:p>
      <w:pPr>
        <w:pStyle w:val="2"/>
        <w:rPr>
          <w:color w:val="auto"/>
          <w:sz w:val="20"/>
          <w:highlight w:val="none"/>
        </w:rPr>
      </w:pPr>
    </w:p>
    <w:p>
      <w:pPr>
        <w:pStyle w:val="2"/>
        <w:rPr>
          <w:color w:val="auto"/>
          <w:sz w:val="20"/>
          <w:highlight w:val="none"/>
        </w:rPr>
      </w:pPr>
    </w:p>
    <w:p>
      <w:pPr>
        <w:pStyle w:val="2"/>
        <w:rPr>
          <w:color w:val="auto"/>
          <w:sz w:val="20"/>
          <w:highlight w:val="none"/>
        </w:rPr>
      </w:pPr>
    </w:p>
    <w:p>
      <w:pPr>
        <w:pStyle w:val="2"/>
        <w:rPr>
          <w:color w:val="auto"/>
          <w:sz w:val="20"/>
          <w:highlight w:val="none"/>
        </w:rPr>
      </w:pPr>
    </w:p>
    <w:p>
      <w:pPr>
        <w:pStyle w:val="2"/>
        <w:spacing w:before="8"/>
        <w:rPr>
          <w:color w:val="auto"/>
          <w:sz w:val="20"/>
          <w:highlight w:val="none"/>
        </w:rPr>
      </w:pPr>
    </w:p>
    <w:p>
      <w:pPr>
        <w:spacing w:before="67"/>
        <w:ind w:right="1951"/>
        <w:jc w:val="right"/>
        <w:rPr>
          <w:color w:val="auto"/>
          <w:sz w:val="24"/>
          <w:highlight w:val="none"/>
        </w:rPr>
      </w:pPr>
      <w:r>
        <w:rPr>
          <w:color w:val="auto"/>
          <w:sz w:val="24"/>
          <w:highlight w:val="none"/>
        </w:rPr>
        <w:t xml:space="preserve">单位名称（盖章）： </w:t>
      </w:r>
    </w:p>
    <w:p>
      <w:pPr>
        <w:spacing w:before="173"/>
        <w:ind w:right="2191"/>
        <w:jc w:val="right"/>
        <w:rPr>
          <w:color w:val="auto"/>
          <w:sz w:val="24"/>
          <w:highlight w:val="none"/>
        </w:rPr>
      </w:pPr>
      <w:r>
        <w:rPr>
          <w:color w:val="auto"/>
          <w:sz w:val="24"/>
          <w:highlight w:val="none"/>
        </w:rPr>
        <w:t xml:space="preserve">日 期 ： </w:t>
      </w:r>
    </w:p>
    <w:p>
      <w:pPr>
        <w:pStyle w:val="2"/>
        <w:rPr>
          <w:color w:val="auto"/>
          <w:sz w:val="20"/>
          <w:highlight w:val="none"/>
        </w:rPr>
      </w:pPr>
    </w:p>
    <w:p>
      <w:pPr>
        <w:pStyle w:val="2"/>
        <w:rPr>
          <w:color w:val="auto"/>
          <w:sz w:val="20"/>
          <w:highlight w:val="none"/>
        </w:rPr>
      </w:pPr>
    </w:p>
    <w:p>
      <w:pPr>
        <w:pStyle w:val="2"/>
        <w:rPr>
          <w:color w:val="auto"/>
          <w:sz w:val="20"/>
          <w:highlight w:val="none"/>
        </w:rPr>
      </w:pPr>
    </w:p>
    <w:p>
      <w:pPr>
        <w:pStyle w:val="2"/>
        <w:rPr>
          <w:color w:val="auto"/>
          <w:sz w:val="20"/>
          <w:highlight w:val="none"/>
        </w:rPr>
      </w:pPr>
    </w:p>
    <w:p>
      <w:pPr>
        <w:pStyle w:val="2"/>
        <w:rPr>
          <w:color w:val="auto"/>
          <w:sz w:val="20"/>
          <w:highlight w:val="none"/>
        </w:rPr>
      </w:pPr>
    </w:p>
    <w:p>
      <w:pPr>
        <w:pStyle w:val="2"/>
        <w:spacing w:before="8"/>
        <w:rPr>
          <w:color w:val="auto"/>
          <w:sz w:val="20"/>
          <w:highlight w:val="none"/>
        </w:rPr>
      </w:pPr>
    </w:p>
    <w:p>
      <w:pPr>
        <w:spacing w:before="67" w:line="374" w:lineRule="auto"/>
        <w:ind w:left="251" w:right="270"/>
        <w:jc w:val="both"/>
        <w:rPr>
          <w:color w:val="auto"/>
          <w:sz w:val="24"/>
          <w:highlight w:val="none"/>
        </w:rPr>
      </w:pPr>
      <w:r>
        <w:rPr>
          <w:color w:val="auto"/>
          <w:spacing w:val="-11"/>
          <w:sz w:val="24"/>
          <w:highlight w:val="none"/>
        </w:rPr>
        <w:t>注：请根据自己的真实情况出具《残疾人福利性单位声明函》。依法享受中小企业优惠政策的，采购人或者采购代理机构在公告中标结果时，同时公告其《残疾人福利性单位声明</w:t>
      </w:r>
      <w:r>
        <w:rPr>
          <w:color w:val="auto"/>
          <w:sz w:val="24"/>
          <w:highlight w:val="none"/>
        </w:rPr>
        <w:t>函》，接受社会监督。</w:t>
      </w:r>
    </w:p>
    <w:p>
      <w:pPr>
        <w:spacing w:line="374" w:lineRule="auto"/>
        <w:jc w:val="both"/>
        <w:rPr>
          <w:color w:val="auto"/>
          <w:sz w:val="24"/>
          <w:highlight w:val="none"/>
        </w:rPr>
        <w:sectPr>
          <w:pgSz w:w="11910" w:h="16850"/>
          <w:pgMar w:top="1280" w:right="860" w:bottom="1040" w:left="1280" w:header="877" w:footer="853" w:gutter="0"/>
          <w:cols w:space="720" w:num="1"/>
        </w:sectPr>
      </w:pPr>
    </w:p>
    <w:p>
      <w:pPr>
        <w:spacing w:before="66"/>
        <w:ind w:left="98"/>
        <w:jc w:val="center"/>
        <w:rPr>
          <w:b/>
          <w:color w:val="auto"/>
          <w:sz w:val="32"/>
          <w:highlight w:val="none"/>
        </w:rPr>
      </w:pPr>
      <w:r>
        <w:rPr>
          <w:color w:val="auto"/>
          <w:sz w:val="44"/>
          <w:szCs w:val="44"/>
          <w:highlight w:val="none"/>
        </w:rPr>
        <w:t>质疑函（格式）</w:t>
      </w:r>
      <w:r>
        <w:rPr>
          <w:b/>
          <w:color w:val="auto"/>
          <w:w w:val="98"/>
          <w:sz w:val="32"/>
          <w:highlight w:val="none"/>
        </w:rPr>
        <w:t xml:space="preserve"> </w:t>
      </w:r>
    </w:p>
    <w:p>
      <w:pPr>
        <w:pStyle w:val="2"/>
        <w:ind w:firstLine="723" w:firstLineChars="300"/>
        <w:rPr>
          <w:b/>
          <w:bCs/>
          <w:color w:val="auto"/>
          <w:sz w:val="24"/>
          <w:szCs w:val="24"/>
          <w:highlight w:val="none"/>
        </w:rPr>
      </w:pPr>
      <w:r>
        <w:rPr>
          <w:b/>
          <w:bCs/>
          <w:color w:val="auto"/>
          <w:sz w:val="24"/>
          <w:szCs w:val="24"/>
          <w:highlight w:val="none"/>
        </w:rPr>
        <w:t>一、质疑供应商基本信息：</w:t>
      </w:r>
      <w:r>
        <w:rPr>
          <w:b/>
          <w:bCs/>
          <w:color w:val="auto"/>
          <w:w w:val="99"/>
          <w:sz w:val="24"/>
          <w:szCs w:val="24"/>
          <w:highlight w:val="none"/>
        </w:rPr>
        <w:t xml:space="preserve"> </w:t>
      </w:r>
    </w:p>
    <w:p>
      <w:pPr>
        <w:spacing w:before="158" w:line="364" w:lineRule="auto"/>
        <w:ind w:left="731" w:right="2071"/>
        <w:rPr>
          <w:color w:val="auto"/>
          <w:sz w:val="24"/>
          <w:highlight w:val="none"/>
        </w:rPr>
      </w:pPr>
      <w:r>
        <w:rPr>
          <w:color w:val="auto"/>
          <w:sz w:val="24"/>
          <w:highlight w:val="none"/>
        </w:rPr>
        <w:t>质疑供应商：</w:t>
      </w:r>
      <w:r>
        <w:rPr>
          <w:color w:val="auto"/>
          <w:sz w:val="24"/>
          <w:highlight w:val="none"/>
          <w:u w:val="single"/>
        </w:rPr>
        <w:t xml:space="preserve">                                            </w:t>
      </w:r>
      <w:r>
        <w:rPr>
          <w:color w:val="auto"/>
          <w:sz w:val="24"/>
          <w:highlight w:val="none"/>
        </w:rPr>
        <w:t xml:space="preserve"> 地 址 ：</w:t>
      </w:r>
      <w:r>
        <w:rPr>
          <w:color w:val="auto"/>
          <w:sz w:val="24"/>
          <w:highlight w:val="none"/>
          <w:u w:val="single"/>
        </w:rPr>
        <w:t xml:space="preserve">                                        </w:t>
      </w:r>
      <w:r>
        <w:rPr>
          <w:color w:val="auto"/>
          <w:sz w:val="24"/>
          <w:highlight w:val="none"/>
        </w:rPr>
        <w:t>邮 编 ： 联 系 人 ：</w:t>
      </w:r>
      <w:r>
        <w:rPr>
          <w:color w:val="auto"/>
          <w:sz w:val="24"/>
          <w:highlight w:val="none"/>
          <w:u w:val="single"/>
        </w:rPr>
        <w:t xml:space="preserve">                               </w:t>
      </w:r>
      <w:r>
        <w:rPr>
          <w:color w:val="auto"/>
          <w:sz w:val="24"/>
          <w:highlight w:val="none"/>
        </w:rPr>
        <w:t>联 系 电 话 ： 授权代表：</w:t>
      </w:r>
      <w:r>
        <w:rPr>
          <w:color w:val="auto"/>
          <w:sz w:val="24"/>
          <w:highlight w:val="none"/>
          <w:u w:val="single"/>
        </w:rPr>
        <w:t xml:space="preserve">                      </w:t>
      </w:r>
      <w:r>
        <w:rPr>
          <w:color w:val="auto"/>
          <w:sz w:val="24"/>
          <w:highlight w:val="none"/>
        </w:rPr>
        <w:t xml:space="preserve"> </w:t>
      </w:r>
    </w:p>
    <w:p>
      <w:pPr>
        <w:spacing w:line="306" w:lineRule="exact"/>
        <w:ind w:left="731"/>
        <w:rPr>
          <w:color w:val="auto"/>
          <w:sz w:val="24"/>
          <w:highlight w:val="none"/>
        </w:rPr>
      </w:pPr>
      <w:r>
        <w:rPr>
          <w:color w:val="auto"/>
          <w:sz w:val="24"/>
          <w:highlight w:val="none"/>
        </w:rPr>
        <w:t>联系电话：</w:t>
      </w:r>
      <w:r>
        <w:rPr>
          <w:color w:val="auto"/>
          <w:sz w:val="24"/>
          <w:highlight w:val="none"/>
          <w:u w:val="single"/>
        </w:rPr>
        <w:t xml:space="preserve">                      </w:t>
      </w:r>
      <w:r>
        <w:rPr>
          <w:color w:val="auto"/>
          <w:sz w:val="24"/>
          <w:highlight w:val="none"/>
        </w:rPr>
        <w:t xml:space="preserve"> </w:t>
      </w:r>
    </w:p>
    <w:p>
      <w:pPr>
        <w:spacing w:before="161" w:line="362" w:lineRule="auto"/>
        <w:ind w:left="734" w:right="2671" w:hanging="3"/>
        <w:rPr>
          <w:b/>
          <w:color w:val="auto"/>
          <w:sz w:val="24"/>
          <w:highlight w:val="none"/>
        </w:rPr>
      </w:pPr>
      <w:r>
        <w:rPr>
          <w:color w:val="auto"/>
          <w:sz w:val="24"/>
          <w:highlight w:val="none"/>
        </w:rPr>
        <w:t>地 址 ：</w:t>
      </w:r>
      <w:r>
        <w:rPr>
          <w:color w:val="auto"/>
          <w:sz w:val="24"/>
          <w:highlight w:val="none"/>
          <w:u w:val="single"/>
        </w:rPr>
        <w:t xml:space="preserve">                                   </w:t>
      </w:r>
      <w:r>
        <w:rPr>
          <w:color w:val="auto"/>
          <w:sz w:val="24"/>
          <w:highlight w:val="none"/>
        </w:rPr>
        <w:t xml:space="preserve">邮 编 ： </w:t>
      </w:r>
      <w:r>
        <w:rPr>
          <w:b/>
          <w:bCs/>
          <w:color w:val="auto"/>
          <w:sz w:val="24"/>
          <w:szCs w:val="24"/>
          <w:highlight w:val="none"/>
        </w:rPr>
        <w:t>二、质疑项目基本情况：</w:t>
      </w:r>
      <w:r>
        <w:rPr>
          <w:b/>
          <w:color w:val="auto"/>
          <w:w w:val="99"/>
          <w:sz w:val="24"/>
          <w:highlight w:val="none"/>
        </w:rPr>
        <w:t xml:space="preserve"> </w:t>
      </w:r>
    </w:p>
    <w:p>
      <w:pPr>
        <w:spacing w:before="5" w:line="364" w:lineRule="auto"/>
        <w:ind w:left="748" w:right="2535"/>
        <w:jc w:val="both"/>
        <w:rPr>
          <w:color w:val="auto"/>
          <w:sz w:val="24"/>
          <w:highlight w:val="none"/>
        </w:rPr>
      </w:pPr>
      <w:r>
        <w:rPr>
          <w:color w:val="auto"/>
          <w:sz w:val="24"/>
          <w:highlight w:val="none"/>
        </w:rPr>
        <w:t>质疑项目的名称：</w:t>
      </w:r>
      <w:r>
        <w:rPr>
          <w:color w:val="auto"/>
          <w:sz w:val="24"/>
          <w:highlight w:val="none"/>
          <w:u w:val="single"/>
        </w:rPr>
        <w:t xml:space="preserve">                                    </w:t>
      </w:r>
      <w:r>
        <w:rPr>
          <w:color w:val="auto"/>
          <w:sz w:val="24"/>
          <w:highlight w:val="none"/>
        </w:rPr>
        <w:t xml:space="preserve"> </w:t>
      </w:r>
    </w:p>
    <w:p>
      <w:pPr>
        <w:spacing w:before="5" w:line="364" w:lineRule="auto"/>
        <w:ind w:left="748" w:right="2535"/>
        <w:jc w:val="both"/>
        <w:rPr>
          <w:color w:val="auto"/>
          <w:sz w:val="24"/>
          <w:highlight w:val="none"/>
        </w:rPr>
      </w:pPr>
      <w:r>
        <w:rPr>
          <w:color w:val="auto"/>
          <w:sz w:val="24"/>
          <w:highlight w:val="none"/>
        </w:rPr>
        <w:t>质疑项目的编号：</w:t>
      </w:r>
      <w:r>
        <w:rPr>
          <w:color w:val="auto"/>
          <w:sz w:val="24"/>
          <w:highlight w:val="none"/>
          <w:u w:val="single"/>
        </w:rPr>
        <w:t xml:space="preserve">                                    </w:t>
      </w:r>
      <w:r>
        <w:rPr>
          <w:color w:val="auto"/>
          <w:sz w:val="24"/>
          <w:highlight w:val="none"/>
        </w:rPr>
        <w:t xml:space="preserve"> </w:t>
      </w:r>
    </w:p>
    <w:p>
      <w:pPr>
        <w:spacing w:before="5" w:line="364" w:lineRule="auto"/>
        <w:ind w:left="748" w:right="2535"/>
        <w:jc w:val="both"/>
        <w:rPr>
          <w:color w:val="auto"/>
          <w:sz w:val="24"/>
          <w:highlight w:val="none"/>
        </w:rPr>
      </w:pPr>
      <w:r>
        <w:rPr>
          <w:color w:val="auto"/>
          <w:sz w:val="24"/>
          <w:highlight w:val="none"/>
        </w:rPr>
        <w:t>采购人名称：</w:t>
      </w:r>
      <w:r>
        <w:rPr>
          <w:color w:val="auto"/>
          <w:sz w:val="24"/>
          <w:highlight w:val="none"/>
          <w:u w:val="single"/>
        </w:rPr>
        <w:t xml:space="preserve">                                        </w:t>
      </w:r>
      <w:r>
        <w:rPr>
          <w:color w:val="auto"/>
          <w:sz w:val="24"/>
          <w:highlight w:val="none"/>
        </w:rPr>
        <w:t xml:space="preserve"> </w:t>
      </w:r>
    </w:p>
    <w:p>
      <w:pPr>
        <w:spacing w:before="5" w:line="364" w:lineRule="auto"/>
        <w:ind w:left="748" w:right="2535"/>
        <w:jc w:val="both"/>
        <w:rPr>
          <w:color w:val="auto"/>
          <w:sz w:val="24"/>
          <w:highlight w:val="none"/>
        </w:rPr>
      </w:pPr>
      <w:r>
        <w:rPr>
          <w:color w:val="auto"/>
          <w:sz w:val="24"/>
          <w:highlight w:val="none"/>
        </w:rPr>
        <w:t xml:space="preserve">质疑事项： </w:t>
      </w:r>
    </w:p>
    <w:p>
      <w:pPr>
        <w:spacing w:line="306" w:lineRule="exact"/>
        <w:ind w:left="628"/>
        <w:rPr>
          <w:color w:val="auto"/>
          <w:sz w:val="24"/>
          <w:highlight w:val="none"/>
        </w:rPr>
      </w:pPr>
      <w:r>
        <w:rPr>
          <w:color w:val="auto"/>
          <w:sz w:val="24"/>
          <w:highlight w:val="none"/>
        </w:rPr>
        <w:t>□采购文件 采购文件获取日期：</w:t>
      </w:r>
      <w:r>
        <w:rPr>
          <w:color w:val="auto"/>
          <w:sz w:val="24"/>
          <w:highlight w:val="none"/>
          <w:u w:val="single"/>
        </w:rPr>
        <w:t xml:space="preserve">                                </w:t>
      </w:r>
      <w:r>
        <w:rPr>
          <w:color w:val="auto"/>
          <w:sz w:val="24"/>
          <w:highlight w:val="none"/>
        </w:rPr>
        <w:t xml:space="preserve"> </w:t>
      </w:r>
    </w:p>
    <w:p>
      <w:pPr>
        <w:spacing w:before="158"/>
        <w:ind w:left="628"/>
        <w:rPr>
          <w:color w:val="auto"/>
          <w:sz w:val="24"/>
          <w:highlight w:val="none"/>
        </w:rPr>
      </w:pPr>
      <w:r>
        <w:rPr>
          <w:color w:val="auto"/>
          <w:spacing w:val="-1"/>
          <w:sz w:val="24"/>
          <w:highlight w:val="none"/>
        </w:rPr>
        <w:t xml:space="preserve">□采购过程    </w:t>
      </w:r>
    </w:p>
    <w:p>
      <w:pPr>
        <w:spacing w:before="160"/>
        <w:ind w:left="628"/>
        <w:rPr>
          <w:color w:val="auto"/>
          <w:sz w:val="24"/>
          <w:highlight w:val="none"/>
        </w:rPr>
      </w:pPr>
      <w:r>
        <w:rPr>
          <w:color w:val="auto"/>
          <w:spacing w:val="-1"/>
          <w:sz w:val="24"/>
          <w:highlight w:val="none"/>
        </w:rPr>
        <w:t xml:space="preserve">□成交结果    </w:t>
      </w:r>
    </w:p>
    <w:p>
      <w:pPr>
        <w:spacing w:before="161" w:line="362" w:lineRule="auto"/>
        <w:ind w:left="734" w:right="2671" w:hanging="3"/>
        <w:rPr>
          <w:color w:val="auto"/>
          <w:highlight w:val="none"/>
        </w:rPr>
      </w:pPr>
      <w:r>
        <w:rPr>
          <w:b/>
          <w:bCs/>
          <w:color w:val="auto"/>
          <w:sz w:val="24"/>
          <w:szCs w:val="24"/>
          <w:highlight w:val="none"/>
        </w:rPr>
        <w:t>三、质疑事项具体内容</w:t>
      </w:r>
      <w:r>
        <w:rPr>
          <w:color w:val="auto"/>
          <w:w w:val="99"/>
          <w:highlight w:val="none"/>
        </w:rPr>
        <w:t xml:space="preserve"> </w:t>
      </w:r>
    </w:p>
    <w:p>
      <w:pPr>
        <w:spacing w:before="158" w:line="364" w:lineRule="auto"/>
        <w:ind w:left="748" w:right="734"/>
        <w:rPr>
          <w:color w:val="auto"/>
          <w:sz w:val="24"/>
          <w:highlight w:val="none"/>
          <w:u w:val="single"/>
        </w:rPr>
      </w:pPr>
      <w:r>
        <w:rPr>
          <w:color w:val="auto"/>
          <w:sz w:val="24"/>
          <w:highlight w:val="none"/>
        </w:rPr>
        <w:t>质疑事项1：</w:t>
      </w:r>
      <w:r>
        <w:rPr>
          <w:color w:val="auto"/>
          <w:sz w:val="24"/>
          <w:highlight w:val="none"/>
          <w:u w:val="single"/>
        </w:rPr>
        <w:t xml:space="preserve">                                                   </w:t>
      </w:r>
    </w:p>
    <w:p>
      <w:pPr>
        <w:spacing w:before="158" w:line="364" w:lineRule="auto"/>
        <w:ind w:left="748" w:right="734"/>
        <w:rPr>
          <w:color w:val="auto"/>
          <w:sz w:val="24"/>
          <w:highlight w:val="none"/>
        </w:rPr>
      </w:pPr>
      <w:r>
        <w:rPr>
          <w:color w:val="auto"/>
          <w:sz w:val="24"/>
          <w:highlight w:val="none"/>
        </w:rPr>
        <w:t>事实依据：</w:t>
      </w:r>
      <w:r>
        <w:rPr>
          <w:color w:val="auto"/>
          <w:sz w:val="24"/>
          <w:highlight w:val="none"/>
          <w:u w:val="single"/>
        </w:rPr>
        <w:t xml:space="preserve">                                                         </w:t>
      </w:r>
      <w:r>
        <w:rPr>
          <w:color w:val="auto"/>
          <w:sz w:val="24"/>
          <w:highlight w:val="none"/>
        </w:rPr>
        <w:t xml:space="preserve"> 法律依据：</w:t>
      </w:r>
      <w:r>
        <w:rPr>
          <w:color w:val="auto"/>
          <w:sz w:val="24"/>
          <w:highlight w:val="none"/>
          <w:u w:val="single"/>
        </w:rPr>
        <w:t xml:space="preserve">                                                         </w:t>
      </w:r>
      <w:r>
        <w:rPr>
          <w:color w:val="auto"/>
          <w:sz w:val="24"/>
          <w:highlight w:val="none"/>
        </w:rPr>
        <w:t xml:space="preserve"> </w:t>
      </w:r>
      <w:r>
        <w:rPr>
          <w:color w:val="auto"/>
          <w:spacing w:val="-12"/>
          <w:sz w:val="24"/>
          <w:highlight w:val="none"/>
        </w:rPr>
        <w:t xml:space="preserve">质疑事项 </w:t>
      </w:r>
      <w:r>
        <w:rPr>
          <w:color w:val="auto"/>
          <w:sz w:val="24"/>
          <w:highlight w:val="none"/>
        </w:rPr>
        <w:t xml:space="preserve">2 </w:t>
      </w:r>
    </w:p>
    <w:p>
      <w:pPr>
        <w:spacing w:line="306" w:lineRule="exact"/>
        <w:ind w:left="748"/>
        <w:rPr>
          <w:color w:val="auto"/>
          <w:sz w:val="24"/>
          <w:highlight w:val="none"/>
        </w:rPr>
      </w:pPr>
      <w:r>
        <w:rPr>
          <w:rFonts w:hint="eastAsia"/>
          <w:color w:val="auto"/>
          <w:sz w:val="24"/>
          <w:highlight w:val="none"/>
        </w:rPr>
        <w:t>……</w:t>
      </w:r>
    </w:p>
    <w:p>
      <w:pPr>
        <w:spacing w:before="160"/>
        <w:ind w:left="748"/>
        <w:rPr>
          <w:color w:val="auto"/>
          <w:sz w:val="24"/>
          <w:highlight w:val="none"/>
        </w:rPr>
      </w:pPr>
      <w:r>
        <w:rPr>
          <w:color w:val="auto"/>
          <w:sz w:val="24"/>
          <w:highlight w:val="none"/>
        </w:rPr>
        <w:t xml:space="preserve">四、与质疑事项相关的质疑请求： </w:t>
      </w:r>
    </w:p>
    <w:p>
      <w:pPr>
        <w:spacing w:before="158"/>
        <w:ind w:left="748"/>
        <w:rPr>
          <w:color w:val="auto"/>
          <w:sz w:val="24"/>
          <w:highlight w:val="none"/>
        </w:rPr>
      </w:pPr>
      <w:r>
        <w:rPr>
          <w:color w:val="auto"/>
          <w:sz w:val="24"/>
          <w:highlight w:val="none"/>
        </w:rPr>
        <w:t>请求：</w:t>
      </w:r>
      <w:r>
        <w:rPr>
          <w:color w:val="auto"/>
          <w:sz w:val="24"/>
          <w:highlight w:val="none"/>
          <w:u w:val="single"/>
        </w:rPr>
        <w:t xml:space="preserve">                                                           </w:t>
      </w:r>
      <w:r>
        <w:rPr>
          <w:color w:val="auto"/>
          <w:spacing w:val="1"/>
          <w:sz w:val="24"/>
          <w:highlight w:val="none"/>
          <w:u w:val="single"/>
        </w:rPr>
        <w:t xml:space="preserve"> </w:t>
      </w:r>
      <w:r>
        <w:rPr>
          <w:color w:val="auto"/>
          <w:sz w:val="24"/>
          <w:highlight w:val="none"/>
        </w:rPr>
        <w:t xml:space="preserve"> </w:t>
      </w:r>
    </w:p>
    <w:p>
      <w:pPr>
        <w:spacing w:before="161"/>
        <w:ind w:left="748"/>
        <w:rPr>
          <w:color w:val="auto"/>
          <w:sz w:val="24"/>
          <w:highlight w:val="none"/>
        </w:rPr>
      </w:pPr>
      <w:r>
        <w:rPr>
          <w:color w:val="auto"/>
          <w:sz w:val="24"/>
          <w:highlight w:val="none"/>
        </w:rPr>
        <w:t xml:space="preserve"> </w:t>
      </w:r>
    </w:p>
    <w:p>
      <w:pPr>
        <w:spacing w:before="158" w:line="364" w:lineRule="auto"/>
        <w:ind w:left="731" w:right="1814" w:firstLine="16"/>
        <w:rPr>
          <w:b/>
          <w:color w:val="auto"/>
          <w:sz w:val="24"/>
          <w:highlight w:val="none"/>
        </w:rPr>
      </w:pPr>
      <w:r>
        <w:rPr>
          <w:color w:val="auto"/>
          <w:sz w:val="24"/>
          <w:highlight w:val="none"/>
        </w:rPr>
        <w:t>签 字 （ 签 章 ）：                               公 章 ： 日期：</w:t>
      </w:r>
      <w:r>
        <w:rPr>
          <w:b/>
          <w:color w:val="auto"/>
          <w:w w:val="99"/>
          <w:sz w:val="24"/>
          <w:highlight w:val="none"/>
        </w:rPr>
        <w:t xml:space="preserve"> </w:t>
      </w:r>
    </w:p>
    <w:p>
      <w:pPr>
        <w:pStyle w:val="2"/>
        <w:rPr>
          <w:b/>
          <w:bCs/>
          <w:color w:val="auto"/>
          <w:sz w:val="24"/>
          <w:szCs w:val="24"/>
          <w:highlight w:val="none"/>
        </w:rPr>
      </w:pPr>
    </w:p>
    <w:p>
      <w:pPr>
        <w:pStyle w:val="2"/>
        <w:rPr>
          <w:b/>
          <w:bCs/>
          <w:color w:val="auto"/>
          <w:sz w:val="24"/>
          <w:szCs w:val="24"/>
          <w:highlight w:val="none"/>
        </w:rPr>
      </w:pPr>
    </w:p>
    <w:p>
      <w:pPr>
        <w:pStyle w:val="2"/>
        <w:rPr>
          <w:b/>
          <w:bCs/>
          <w:color w:val="auto"/>
          <w:sz w:val="24"/>
          <w:szCs w:val="24"/>
          <w:highlight w:val="none"/>
        </w:rPr>
      </w:pPr>
    </w:p>
    <w:p>
      <w:pPr>
        <w:pStyle w:val="2"/>
        <w:rPr>
          <w:b/>
          <w:bCs/>
          <w:color w:val="auto"/>
          <w:sz w:val="24"/>
          <w:szCs w:val="24"/>
          <w:highlight w:val="none"/>
        </w:rPr>
      </w:pPr>
    </w:p>
    <w:p>
      <w:pPr>
        <w:pStyle w:val="2"/>
        <w:rPr>
          <w:b/>
          <w:bCs/>
          <w:color w:val="auto"/>
          <w:sz w:val="24"/>
          <w:szCs w:val="24"/>
          <w:highlight w:val="none"/>
        </w:rPr>
      </w:pPr>
      <w:r>
        <w:rPr>
          <w:b/>
          <w:bCs/>
          <w:color w:val="auto"/>
          <w:sz w:val="24"/>
          <w:szCs w:val="24"/>
          <w:highlight w:val="none"/>
        </w:rPr>
        <w:t>说明：</w:t>
      </w:r>
      <w:r>
        <w:rPr>
          <w:b/>
          <w:bCs/>
          <w:color w:val="auto"/>
          <w:w w:val="99"/>
          <w:sz w:val="24"/>
          <w:szCs w:val="24"/>
          <w:highlight w:val="none"/>
        </w:rPr>
        <w:t xml:space="preserve"> </w:t>
      </w:r>
      <w:r>
        <w:rPr>
          <w:b/>
          <w:bCs/>
          <w:color w:val="auto"/>
          <w:sz w:val="24"/>
          <w:szCs w:val="24"/>
          <w:highlight w:val="none"/>
        </w:rPr>
        <w:t xml:space="preserve">供应商提出质疑时，应提交质疑函和必要的证明材料。 </w:t>
      </w:r>
    </w:p>
    <w:p>
      <w:pPr>
        <w:pStyle w:val="2"/>
        <w:ind w:firstLine="241"/>
        <w:rPr>
          <w:b/>
          <w:bCs/>
          <w:color w:val="auto"/>
          <w:sz w:val="24"/>
          <w:szCs w:val="24"/>
          <w:highlight w:val="none"/>
        </w:rPr>
      </w:pPr>
      <w:r>
        <w:rPr>
          <w:rFonts w:hint="eastAsia"/>
          <w:b/>
          <w:bCs/>
          <w:color w:val="auto"/>
          <w:sz w:val="24"/>
          <w:szCs w:val="24"/>
          <w:highlight w:val="none"/>
        </w:rPr>
        <w:t>1、</w:t>
      </w:r>
      <w:r>
        <w:rPr>
          <w:b/>
          <w:bCs/>
          <w:color w:val="auto"/>
          <w:sz w:val="24"/>
          <w:szCs w:val="24"/>
          <w:highlight w:val="none"/>
        </w:rPr>
        <w:t xml:space="preserve">质疑供应商若委托代理人进行质疑的，质疑函应按要求列明“授权代表”的有关  内容，并在附件中提交由质疑供应商签署的授权委托书。授权委托书应载明代理人的姓名或者名称、代理事项、具体权限、期限和相关事项。 </w:t>
      </w:r>
    </w:p>
    <w:p>
      <w:pPr>
        <w:pStyle w:val="2"/>
        <w:ind w:firstLine="241" w:firstLineChars="100"/>
        <w:rPr>
          <w:b/>
          <w:bCs/>
          <w:color w:val="auto"/>
          <w:sz w:val="24"/>
          <w:szCs w:val="24"/>
          <w:highlight w:val="none"/>
        </w:rPr>
      </w:pPr>
      <w:r>
        <w:rPr>
          <w:rFonts w:hint="eastAsia"/>
          <w:b/>
          <w:bCs/>
          <w:color w:val="auto"/>
          <w:sz w:val="24"/>
          <w:szCs w:val="24"/>
          <w:highlight w:val="none"/>
        </w:rPr>
        <w:t>2、</w:t>
      </w:r>
      <w:r>
        <w:rPr>
          <w:b/>
          <w:bCs/>
          <w:color w:val="auto"/>
          <w:sz w:val="24"/>
          <w:szCs w:val="24"/>
          <w:highlight w:val="none"/>
        </w:rPr>
        <w:t xml:space="preserve">质疑函的质疑事项应具体、明确，并有必要的事实依据和法律依据。 </w:t>
      </w:r>
    </w:p>
    <w:p>
      <w:pPr>
        <w:pStyle w:val="2"/>
        <w:ind w:firstLine="241"/>
        <w:rPr>
          <w:b/>
          <w:bCs/>
          <w:color w:val="auto"/>
          <w:sz w:val="24"/>
          <w:szCs w:val="24"/>
          <w:highlight w:val="none"/>
        </w:rPr>
      </w:pPr>
      <w:r>
        <w:rPr>
          <w:b/>
          <w:bCs/>
          <w:color w:val="auto"/>
          <w:sz w:val="24"/>
          <w:szCs w:val="24"/>
          <w:highlight w:val="none"/>
        </w:rPr>
        <w:t>3</w:t>
      </w:r>
      <w:r>
        <w:rPr>
          <w:rFonts w:hint="eastAsia"/>
          <w:b/>
          <w:bCs/>
          <w:color w:val="auto"/>
          <w:sz w:val="24"/>
          <w:szCs w:val="24"/>
          <w:highlight w:val="none"/>
        </w:rPr>
        <w:t>、</w:t>
      </w:r>
      <w:r>
        <w:rPr>
          <w:b/>
          <w:bCs/>
          <w:color w:val="auto"/>
          <w:sz w:val="24"/>
          <w:szCs w:val="24"/>
          <w:highlight w:val="none"/>
        </w:rPr>
        <w:t xml:space="preserve">质疑函的质疑请求应与质疑事项相关。 </w:t>
      </w:r>
    </w:p>
    <w:p>
      <w:pPr>
        <w:pStyle w:val="2"/>
        <w:ind w:firstLine="241"/>
        <w:rPr>
          <w:b/>
          <w:color w:val="auto"/>
          <w:sz w:val="20"/>
          <w:highlight w:val="none"/>
        </w:rPr>
      </w:pPr>
      <w:r>
        <w:rPr>
          <w:b/>
          <w:bCs/>
          <w:color w:val="auto"/>
          <w:sz w:val="24"/>
          <w:szCs w:val="24"/>
          <w:highlight w:val="none"/>
        </w:rPr>
        <w:t>4</w:t>
      </w:r>
      <w:r>
        <w:rPr>
          <w:rFonts w:hint="eastAsia"/>
          <w:b/>
          <w:bCs/>
          <w:color w:val="auto"/>
          <w:sz w:val="24"/>
          <w:szCs w:val="24"/>
          <w:highlight w:val="none"/>
        </w:rPr>
        <w:t>、</w:t>
      </w:r>
      <w:r>
        <w:rPr>
          <w:b/>
          <w:bCs/>
          <w:color w:val="auto"/>
          <w:sz w:val="24"/>
          <w:szCs w:val="24"/>
          <w:highlight w:val="none"/>
        </w:rPr>
        <w:t>质疑供应商为法人或者其他组织的，质疑函应由法定代表人、主要负责人，或者  其授权代表签字或者盖章，并加盖公章。</w:t>
      </w:r>
      <w:r>
        <w:rPr>
          <w:b/>
          <w:color w:val="auto"/>
          <w:spacing w:val="3"/>
          <w:w w:val="98"/>
          <w:sz w:val="20"/>
          <w:highlight w:val="none"/>
        </w:rPr>
        <w:t xml:space="preserve"> </w:t>
      </w:r>
    </w:p>
    <w:p>
      <w:pPr>
        <w:spacing w:line="307" w:lineRule="exact"/>
        <w:ind w:left="251"/>
        <w:rPr>
          <w:b/>
          <w:color w:val="auto"/>
          <w:sz w:val="24"/>
          <w:highlight w:val="none"/>
        </w:rPr>
      </w:pPr>
      <w:r>
        <w:rPr>
          <w:b/>
          <w:color w:val="auto"/>
          <w:w w:val="99"/>
          <w:sz w:val="24"/>
          <w:highlight w:val="none"/>
        </w:rPr>
        <w:t xml:space="preserve"> </w:t>
      </w:r>
    </w:p>
    <w:p>
      <w:pPr>
        <w:spacing w:line="307" w:lineRule="exact"/>
        <w:rPr>
          <w:color w:val="auto"/>
          <w:sz w:val="24"/>
          <w:highlight w:val="none"/>
        </w:rPr>
        <w:sectPr>
          <w:pgSz w:w="11910" w:h="16850"/>
          <w:pgMar w:top="1280" w:right="860" w:bottom="1040" w:left="1280" w:header="877" w:footer="853" w:gutter="0"/>
          <w:cols w:space="720" w:num="1"/>
        </w:sectPr>
      </w:pPr>
    </w:p>
    <w:p>
      <w:pPr>
        <w:pStyle w:val="2"/>
        <w:spacing w:before="5"/>
        <w:rPr>
          <w:b/>
          <w:color w:val="auto"/>
          <w:sz w:val="14"/>
          <w:highlight w:val="none"/>
        </w:rPr>
      </w:pPr>
    </w:p>
    <w:p>
      <w:pPr>
        <w:pStyle w:val="3"/>
        <w:ind w:left="3198" w:right="3217"/>
        <w:rPr>
          <w:color w:val="auto"/>
          <w:highlight w:val="none"/>
        </w:rPr>
      </w:pPr>
      <w:bookmarkStart w:id="20" w:name="_bookmark7"/>
      <w:bookmarkEnd w:id="20"/>
      <w:bookmarkStart w:id="21" w:name="_Toc1121"/>
      <w:r>
        <w:rPr>
          <w:color w:val="auto"/>
          <w:highlight w:val="none"/>
        </w:rPr>
        <w:t>第八章 合同文本</w:t>
      </w:r>
      <w:bookmarkEnd w:id="21"/>
    </w:p>
    <w:p>
      <w:pPr>
        <w:pStyle w:val="2"/>
        <w:rPr>
          <w:b/>
          <w:color w:val="auto"/>
          <w:sz w:val="20"/>
          <w:highlight w:val="none"/>
        </w:rPr>
      </w:pPr>
    </w:p>
    <w:p>
      <w:pPr>
        <w:pStyle w:val="2"/>
        <w:rPr>
          <w:b/>
          <w:color w:val="auto"/>
          <w:sz w:val="20"/>
          <w:highlight w:val="none"/>
        </w:rPr>
      </w:pPr>
    </w:p>
    <w:p>
      <w:pPr>
        <w:pStyle w:val="2"/>
        <w:rPr>
          <w:b/>
          <w:color w:val="auto"/>
          <w:sz w:val="20"/>
          <w:highlight w:val="none"/>
        </w:rPr>
      </w:pPr>
    </w:p>
    <w:p>
      <w:pPr>
        <w:pStyle w:val="2"/>
        <w:spacing w:before="8"/>
        <w:rPr>
          <w:b/>
          <w:color w:val="auto"/>
          <w:sz w:val="23"/>
          <w:highlight w:val="none"/>
        </w:rPr>
      </w:pPr>
    </w:p>
    <w:p>
      <w:pPr>
        <w:pStyle w:val="2"/>
        <w:spacing w:before="71"/>
        <w:ind w:left="671"/>
        <w:jc w:val="center"/>
        <w:rPr>
          <w:color w:val="auto"/>
          <w:sz w:val="72"/>
          <w:szCs w:val="72"/>
          <w:highlight w:val="none"/>
        </w:rPr>
      </w:pPr>
    </w:p>
    <w:p>
      <w:pPr>
        <w:pStyle w:val="2"/>
        <w:spacing w:before="71"/>
        <w:ind w:left="671"/>
        <w:jc w:val="center"/>
        <w:rPr>
          <w:color w:val="auto"/>
          <w:sz w:val="72"/>
          <w:szCs w:val="72"/>
          <w:highlight w:val="none"/>
        </w:rPr>
      </w:pPr>
      <w:r>
        <w:rPr>
          <w:rFonts w:hint="eastAsia"/>
          <w:color w:val="auto"/>
          <w:sz w:val="72"/>
          <w:szCs w:val="72"/>
          <w:highlight w:val="none"/>
        </w:rPr>
        <w:t>建设工程施工合同</w:t>
      </w:r>
    </w:p>
    <w:p>
      <w:pPr>
        <w:pStyle w:val="2"/>
        <w:spacing w:before="71"/>
        <w:ind w:left="671"/>
        <w:jc w:val="center"/>
        <w:rPr>
          <w:color w:val="auto"/>
          <w:sz w:val="32"/>
          <w:szCs w:val="32"/>
          <w:highlight w:val="none"/>
        </w:rPr>
      </w:pPr>
      <w:r>
        <w:rPr>
          <w:rFonts w:hint="eastAsia"/>
          <w:color w:val="auto"/>
          <w:sz w:val="32"/>
          <w:szCs w:val="32"/>
          <w:highlight w:val="none"/>
        </w:rPr>
        <w:t>（示范文本）</w:t>
      </w:r>
    </w:p>
    <w:p>
      <w:pPr>
        <w:pStyle w:val="2"/>
        <w:spacing w:before="139"/>
        <w:ind w:left="671"/>
        <w:rPr>
          <w:color w:val="auto"/>
          <w:highlight w:val="none"/>
        </w:rPr>
      </w:pPr>
      <w:r>
        <w:rPr>
          <w:color w:val="auto"/>
          <w:highlight w:val="none"/>
        </w:rPr>
        <w:t xml:space="preserve"> </w:t>
      </w:r>
    </w:p>
    <w:p>
      <w:pPr>
        <w:pStyle w:val="2"/>
        <w:spacing w:before="139"/>
        <w:ind w:left="671"/>
        <w:rPr>
          <w:color w:val="auto"/>
          <w:highlight w:val="none"/>
        </w:rPr>
      </w:pPr>
      <w:r>
        <w:rPr>
          <w:color w:val="auto"/>
          <w:highlight w:val="none"/>
        </w:rPr>
        <w:t xml:space="preserve"> </w:t>
      </w:r>
    </w:p>
    <w:p>
      <w:pPr>
        <w:pStyle w:val="2"/>
        <w:spacing w:before="139"/>
        <w:ind w:left="671"/>
        <w:jc w:val="center"/>
        <w:rPr>
          <w:b/>
          <w:bCs/>
          <w:color w:val="auto"/>
          <w:sz w:val="24"/>
          <w:szCs w:val="24"/>
          <w:highlight w:val="none"/>
        </w:rPr>
      </w:pPr>
      <w:r>
        <w:rPr>
          <w:rFonts w:hint="eastAsia"/>
          <w:b/>
          <w:bCs/>
          <w:color w:val="auto"/>
          <w:sz w:val="24"/>
          <w:szCs w:val="24"/>
          <w:highlight w:val="none"/>
        </w:rPr>
        <w:t xml:space="preserve">本合同为中小企业预留合同 </w:t>
      </w:r>
      <w:r>
        <w:rPr>
          <w:b/>
          <w:bCs/>
          <w:color w:val="auto"/>
          <w:sz w:val="24"/>
          <w:szCs w:val="24"/>
          <w:highlight w:val="none"/>
        </w:rPr>
        <w:t xml:space="preserve">      </w:t>
      </w:r>
      <w:r>
        <w:rPr>
          <w:rFonts w:hint="eastAsia"/>
          <w:color w:val="auto"/>
          <w:sz w:val="24"/>
          <w:highlight w:val="none"/>
        </w:rPr>
        <w:t>☑</w:t>
      </w:r>
      <w:r>
        <w:rPr>
          <w:rFonts w:hint="eastAsia"/>
          <w:b/>
          <w:bCs/>
          <w:color w:val="auto"/>
          <w:sz w:val="24"/>
          <w:szCs w:val="24"/>
          <w:highlight w:val="none"/>
        </w:rPr>
        <w:t xml:space="preserve">是 </w:t>
      </w:r>
      <w:r>
        <w:rPr>
          <w:b/>
          <w:bCs/>
          <w:color w:val="auto"/>
          <w:sz w:val="24"/>
          <w:szCs w:val="24"/>
          <w:highlight w:val="none"/>
        </w:rPr>
        <w:t xml:space="preserve">     </w:t>
      </w:r>
      <w:r>
        <w:rPr>
          <w:rFonts w:hint="eastAsia"/>
          <w:b/>
          <w:bCs/>
          <w:color w:val="auto"/>
          <w:sz w:val="24"/>
          <w:szCs w:val="24"/>
          <w:highlight w:val="none"/>
        </w:rPr>
        <w:t>否</w:t>
      </w:r>
    </w:p>
    <w:p>
      <w:pPr>
        <w:pStyle w:val="2"/>
        <w:spacing w:before="141"/>
        <w:ind w:left="671"/>
        <w:rPr>
          <w:color w:val="auto"/>
          <w:highlight w:val="none"/>
        </w:rPr>
      </w:pPr>
      <w:r>
        <w:rPr>
          <w:color w:val="auto"/>
          <w:highlight w:val="none"/>
        </w:rPr>
        <w:t xml:space="preserve"> </w:t>
      </w:r>
    </w:p>
    <w:p>
      <w:pPr>
        <w:pStyle w:val="2"/>
        <w:spacing w:before="139"/>
        <w:ind w:left="671"/>
        <w:rPr>
          <w:color w:val="auto"/>
          <w:highlight w:val="none"/>
        </w:rPr>
      </w:pPr>
      <w:r>
        <w:rPr>
          <w:color w:val="auto"/>
          <w:highlight w:val="none"/>
        </w:rPr>
        <w:t xml:space="preserve"> </w:t>
      </w:r>
    </w:p>
    <w:p>
      <w:pPr>
        <w:pStyle w:val="2"/>
        <w:spacing w:before="139"/>
        <w:ind w:left="671"/>
        <w:rPr>
          <w:color w:val="auto"/>
          <w:highlight w:val="none"/>
        </w:rPr>
      </w:pPr>
      <w:r>
        <w:rPr>
          <w:color w:val="auto"/>
          <w:highlight w:val="none"/>
        </w:rPr>
        <w:t xml:space="preserve"> </w:t>
      </w:r>
    </w:p>
    <w:p>
      <w:pPr>
        <w:pStyle w:val="2"/>
        <w:spacing w:before="139"/>
        <w:ind w:left="671"/>
        <w:rPr>
          <w:color w:val="auto"/>
          <w:highlight w:val="none"/>
        </w:rPr>
      </w:pPr>
    </w:p>
    <w:p>
      <w:pPr>
        <w:pStyle w:val="2"/>
        <w:spacing w:before="139"/>
        <w:ind w:left="671"/>
        <w:rPr>
          <w:color w:val="auto"/>
          <w:highlight w:val="none"/>
        </w:rPr>
      </w:pPr>
    </w:p>
    <w:p>
      <w:pPr>
        <w:pStyle w:val="2"/>
        <w:spacing w:before="139"/>
        <w:ind w:left="671"/>
        <w:rPr>
          <w:color w:val="auto"/>
          <w:highlight w:val="none"/>
        </w:rPr>
      </w:pPr>
    </w:p>
    <w:p>
      <w:pPr>
        <w:pStyle w:val="2"/>
        <w:spacing w:before="139"/>
        <w:ind w:left="671"/>
        <w:rPr>
          <w:color w:val="auto"/>
          <w:sz w:val="24"/>
          <w:szCs w:val="24"/>
          <w:highlight w:val="none"/>
          <w:u w:val="single"/>
        </w:rPr>
      </w:pPr>
      <w:r>
        <w:rPr>
          <w:color w:val="auto"/>
          <w:sz w:val="24"/>
          <w:szCs w:val="24"/>
          <w:highlight w:val="none"/>
        </w:rPr>
        <w:t xml:space="preserve">      </w:t>
      </w:r>
      <w:r>
        <w:rPr>
          <w:rFonts w:hint="eastAsia"/>
          <w:color w:val="auto"/>
          <w:sz w:val="24"/>
          <w:szCs w:val="24"/>
          <w:highlight w:val="none"/>
        </w:rPr>
        <w:t>发包人（全称）：</w:t>
      </w:r>
      <w:r>
        <w:rPr>
          <w:rFonts w:hint="eastAsia"/>
          <w:color w:val="auto"/>
          <w:sz w:val="24"/>
          <w:szCs w:val="24"/>
          <w:highlight w:val="none"/>
          <w:u w:val="single"/>
        </w:rPr>
        <w:t xml:space="preserve"> </w:t>
      </w:r>
      <w:r>
        <w:rPr>
          <w:color w:val="auto"/>
          <w:sz w:val="24"/>
          <w:szCs w:val="24"/>
          <w:highlight w:val="none"/>
          <w:u w:val="single"/>
        </w:rPr>
        <w:t xml:space="preserve">                                     </w:t>
      </w:r>
    </w:p>
    <w:p>
      <w:pPr>
        <w:pStyle w:val="2"/>
        <w:spacing w:before="139"/>
        <w:ind w:left="671" w:firstLine="720" w:firstLineChars="300"/>
        <w:rPr>
          <w:color w:val="auto"/>
          <w:sz w:val="24"/>
          <w:szCs w:val="24"/>
          <w:highlight w:val="none"/>
        </w:rPr>
      </w:pPr>
    </w:p>
    <w:p>
      <w:pPr>
        <w:pStyle w:val="2"/>
        <w:spacing w:before="139"/>
        <w:ind w:left="671" w:firstLine="720" w:firstLineChars="300"/>
        <w:rPr>
          <w:color w:val="auto"/>
          <w:sz w:val="24"/>
          <w:szCs w:val="24"/>
          <w:highlight w:val="none"/>
          <w:u w:val="single"/>
        </w:rPr>
      </w:pPr>
      <w:r>
        <w:rPr>
          <w:rFonts w:hint="eastAsia"/>
          <w:color w:val="auto"/>
          <w:sz w:val="24"/>
          <w:szCs w:val="24"/>
          <w:highlight w:val="none"/>
        </w:rPr>
        <w:t>承包人（全称）：</w:t>
      </w:r>
      <w:r>
        <w:rPr>
          <w:rFonts w:hint="eastAsia"/>
          <w:color w:val="auto"/>
          <w:sz w:val="24"/>
          <w:szCs w:val="24"/>
          <w:highlight w:val="none"/>
          <w:u w:val="single"/>
        </w:rPr>
        <w:t xml:space="preserve"> </w:t>
      </w:r>
      <w:r>
        <w:rPr>
          <w:color w:val="auto"/>
          <w:sz w:val="24"/>
          <w:szCs w:val="24"/>
          <w:highlight w:val="none"/>
          <w:u w:val="single"/>
        </w:rPr>
        <w:t xml:space="preserve">                                     </w:t>
      </w:r>
    </w:p>
    <w:p>
      <w:pPr>
        <w:pStyle w:val="2"/>
        <w:spacing w:before="141"/>
        <w:ind w:left="671"/>
        <w:rPr>
          <w:color w:val="auto"/>
          <w:highlight w:val="none"/>
        </w:rPr>
      </w:pPr>
      <w:r>
        <w:rPr>
          <w:color w:val="auto"/>
          <w:highlight w:val="none"/>
        </w:rPr>
        <w:t xml:space="preserve"> </w:t>
      </w:r>
    </w:p>
    <w:p>
      <w:pPr>
        <w:pStyle w:val="2"/>
        <w:spacing w:before="139"/>
        <w:ind w:left="671"/>
        <w:rPr>
          <w:color w:val="auto"/>
          <w:highlight w:val="none"/>
        </w:rPr>
      </w:pPr>
      <w:r>
        <w:rPr>
          <w:color w:val="auto"/>
          <w:highlight w:val="none"/>
        </w:rPr>
        <w:t xml:space="preserve"> </w:t>
      </w:r>
    </w:p>
    <w:p>
      <w:pPr>
        <w:pStyle w:val="2"/>
        <w:spacing w:before="139"/>
        <w:ind w:left="671"/>
        <w:rPr>
          <w:color w:val="auto"/>
          <w:highlight w:val="none"/>
        </w:rPr>
      </w:pPr>
      <w:r>
        <w:rPr>
          <w:color w:val="auto"/>
          <w:highlight w:val="none"/>
        </w:rPr>
        <w:t xml:space="preserve"> </w:t>
      </w:r>
    </w:p>
    <w:p>
      <w:pPr>
        <w:pStyle w:val="2"/>
        <w:spacing w:before="139"/>
        <w:ind w:left="671"/>
        <w:rPr>
          <w:color w:val="auto"/>
          <w:highlight w:val="none"/>
        </w:rPr>
      </w:pPr>
      <w:r>
        <w:rPr>
          <w:color w:val="auto"/>
          <w:highlight w:val="none"/>
        </w:rPr>
        <w:t xml:space="preserve"> </w:t>
      </w:r>
    </w:p>
    <w:p>
      <w:pPr>
        <w:pStyle w:val="2"/>
        <w:spacing w:before="139"/>
        <w:ind w:left="671"/>
        <w:rPr>
          <w:color w:val="auto"/>
          <w:highlight w:val="none"/>
        </w:rPr>
      </w:pPr>
      <w:r>
        <w:rPr>
          <w:color w:val="auto"/>
          <w:highlight w:val="none"/>
        </w:rPr>
        <w:t xml:space="preserve"> </w:t>
      </w:r>
    </w:p>
    <w:p>
      <w:pPr>
        <w:rPr>
          <w:color w:val="auto"/>
          <w:highlight w:val="none"/>
        </w:rPr>
        <w:sectPr>
          <w:pgSz w:w="11910" w:h="16850"/>
          <w:pgMar w:top="1280" w:right="860" w:bottom="1040" w:left="1280" w:header="877" w:footer="853" w:gutter="0"/>
          <w:cols w:space="720" w:num="1"/>
        </w:sectPr>
      </w:pPr>
    </w:p>
    <w:p>
      <w:pPr>
        <w:pStyle w:val="2"/>
        <w:jc w:val="center"/>
        <w:rPr>
          <w:b/>
          <w:bCs/>
          <w:color w:val="auto"/>
          <w:sz w:val="30"/>
          <w:szCs w:val="30"/>
          <w:highlight w:val="none"/>
        </w:rPr>
      </w:pPr>
      <w:r>
        <w:rPr>
          <w:rFonts w:hint="eastAsia"/>
          <w:b/>
          <w:bCs/>
          <w:color w:val="auto"/>
          <w:sz w:val="30"/>
          <w:szCs w:val="30"/>
          <w:highlight w:val="none"/>
        </w:rPr>
        <w:t>第一节 通用合同条款</w:t>
      </w:r>
    </w:p>
    <w:p>
      <w:pPr>
        <w:pStyle w:val="2"/>
        <w:spacing w:before="11"/>
        <w:rPr>
          <w:b/>
          <w:color w:val="auto"/>
          <w:sz w:val="32"/>
          <w:highlight w:val="none"/>
        </w:rPr>
      </w:pPr>
    </w:p>
    <w:p>
      <w:pPr>
        <w:pStyle w:val="2"/>
        <w:ind w:left="676"/>
        <w:rPr>
          <w:color w:val="auto"/>
          <w:highlight w:val="none"/>
        </w:rPr>
      </w:pPr>
      <w:r>
        <w:rPr>
          <w:color w:val="auto"/>
          <w:highlight w:val="none"/>
        </w:rPr>
        <w:t xml:space="preserve">“通用合同条款”采用《标准施工招标文件》（2018 年版）的“通用合同条款”。 </w:t>
      </w:r>
    </w:p>
    <w:p>
      <w:pPr>
        <w:pStyle w:val="2"/>
        <w:rPr>
          <w:color w:val="auto"/>
          <w:sz w:val="20"/>
          <w:highlight w:val="none"/>
        </w:rPr>
      </w:pPr>
    </w:p>
    <w:p>
      <w:pPr>
        <w:pStyle w:val="2"/>
        <w:rPr>
          <w:color w:val="auto"/>
          <w:sz w:val="20"/>
          <w:highlight w:val="none"/>
        </w:rPr>
      </w:pPr>
    </w:p>
    <w:p>
      <w:pPr>
        <w:pStyle w:val="2"/>
        <w:rPr>
          <w:color w:val="auto"/>
          <w:sz w:val="20"/>
          <w:highlight w:val="none"/>
        </w:rPr>
      </w:pPr>
    </w:p>
    <w:p>
      <w:pPr>
        <w:pStyle w:val="2"/>
        <w:jc w:val="center"/>
        <w:rPr>
          <w:b/>
          <w:bCs/>
          <w:color w:val="auto"/>
          <w:sz w:val="30"/>
          <w:szCs w:val="30"/>
          <w:highlight w:val="none"/>
        </w:rPr>
      </w:pPr>
      <w:r>
        <w:rPr>
          <w:rFonts w:hint="eastAsia"/>
          <w:b/>
          <w:bCs/>
          <w:color w:val="auto"/>
          <w:sz w:val="30"/>
          <w:szCs w:val="30"/>
          <w:highlight w:val="none"/>
        </w:rPr>
        <w:t>第二节 专用合同条款</w:t>
      </w:r>
    </w:p>
    <w:p>
      <w:pPr>
        <w:pStyle w:val="2"/>
        <w:rPr>
          <w:b/>
          <w:color w:val="auto"/>
          <w:sz w:val="20"/>
          <w:highlight w:val="none"/>
        </w:rPr>
      </w:pPr>
    </w:p>
    <w:p>
      <w:pPr>
        <w:pStyle w:val="2"/>
        <w:spacing w:before="2"/>
        <w:rPr>
          <w:b/>
          <w:color w:val="auto"/>
          <w:sz w:val="15"/>
          <w:highlight w:val="none"/>
        </w:rPr>
      </w:pPr>
    </w:p>
    <w:p>
      <w:pPr>
        <w:pStyle w:val="2"/>
        <w:spacing w:before="71"/>
        <w:ind w:left="676"/>
        <w:rPr>
          <w:color w:val="auto"/>
          <w:highlight w:val="none"/>
        </w:rPr>
      </w:pPr>
      <w:r>
        <w:rPr>
          <w:color w:val="auto"/>
          <w:highlight w:val="none"/>
        </w:rPr>
        <w:t xml:space="preserve">合同专用条款说明 </w:t>
      </w:r>
    </w:p>
    <w:p>
      <w:pPr>
        <w:pStyle w:val="2"/>
        <w:spacing w:before="7"/>
        <w:rPr>
          <w:color w:val="auto"/>
          <w:sz w:val="16"/>
          <w:highlight w:val="none"/>
        </w:rPr>
      </w:pPr>
    </w:p>
    <w:p>
      <w:pPr>
        <w:pStyle w:val="2"/>
        <w:spacing w:line="427" w:lineRule="auto"/>
        <w:ind w:left="251" w:right="264" w:firstLine="424"/>
        <w:jc w:val="both"/>
        <w:rPr>
          <w:color w:val="auto"/>
          <w:highlight w:val="none"/>
        </w:rPr>
      </w:pPr>
      <w:r>
        <w:rPr>
          <w:color w:val="auto"/>
          <w:highlight w:val="none"/>
        </w:rPr>
        <w:t xml:space="preserve">1、合同专用条款包括“A、公路行业标准专用合同条款”及“B、项目专用合同条款”两部分， 是在通用条款中明确指出要在合同专用条款或数据表中予以具体规定的数据、信息或与工程所在地具体情况有关规定，或项目采购人认为需要进一步具体化的条款，或根据本地区特点或惯例需增列或删除的条款，是必备的配套条款。 </w:t>
      </w:r>
    </w:p>
    <w:p>
      <w:pPr>
        <w:pStyle w:val="2"/>
        <w:spacing w:before="4" w:line="427" w:lineRule="auto"/>
        <w:ind w:left="251" w:right="274" w:firstLine="424"/>
        <w:rPr>
          <w:color w:val="auto"/>
          <w:highlight w:val="none"/>
        </w:rPr>
      </w:pPr>
      <w:r>
        <w:rPr>
          <w:color w:val="auto"/>
          <w:highlight w:val="none"/>
        </w:rPr>
        <w:t xml:space="preserve">2、合同专用条款是对合同通用条款的补充、删改或具体化。应对照合同通用条款同一编号的条款一起阅读和理解。 </w:t>
      </w:r>
    </w:p>
    <w:p>
      <w:pPr>
        <w:pStyle w:val="2"/>
        <w:spacing w:before="3"/>
        <w:ind w:left="676"/>
        <w:rPr>
          <w:color w:val="auto"/>
          <w:highlight w:val="none"/>
        </w:rPr>
      </w:pPr>
      <w:r>
        <w:rPr>
          <w:color w:val="auto"/>
          <w:highlight w:val="none"/>
        </w:rPr>
        <w:t xml:space="preserve">3、如果合同专用条款与合同通用条款之间有不符之处，以合同专用条款为准。 </w:t>
      </w:r>
    </w:p>
    <w:p>
      <w:pPr>
        <w:rPr>
          <w:color w:val="auto"/>
          <w:highlight w:val="none"/>
        </w:rPr>
        <w:sectPr>
          <w:pgSz w:w="11910" w:h="16850"/>
          <w:pgMar w:top="1280" w:right="860" w:bottom="1040" w:left="1280" w:header="877" w:footer="853" w:gutter="0"/>
          <w:cols w:space="720" w:num="1"/>
        </w:sectPr>
      </w:pPr>
    </w:p>
    <w:p>
      <w:pPr>
        <w:pStyle w:val="2"/>
        <w:jc w:val="center"/>
        <w:rPr>
          <w:b/>
          <w:bCs/>
          <w:color w:val="auto"/>
          <w:sz w:val="30"/>
          <w:szCs w:val="30"/>
          <w:highlight w:val="none"/>
        </w:rPr>
      </w:pPr>
      <w:r>
        <w:rPr>
          <w:rFonts w:hint="eastAsia"/>
          <w:b/>
          <w:bCs/>
          <w:color w:val="auto"/>
          <w:sz w:val="30"/>
          <w:szCs w:val="30"/>
          <w:highlight w:val="none"/>
        </w:rPr>
        <w:t>第二节 专用合同条款</w:t>
      </w:r>
    </w:p>
    <w:p>
      <w:pPr>
        <w:pStyle w:val="2"/>
        <w:spacing w:before="5"/>
        <w:rPr>
          <w:b/>
          <w:color w:val="auto"/>
          <w:sz w:val="30"/>
          <w:highlight w:val="none"/>
        </w:rPr>
      </w:pPr>
    </w:p>
    <w:p>
      <w:pPr>
        <w:bidi w:val="0"/>
        <w:jc w:val="center"/>
        <w:rPr>
          <w:b/>
          <w:color w:val="auto"/>
          <w:highlight w:val="none"/>
        </w:rPr>
      </w:pPr>
      <w:bookmarkStart w:id="22" w:name="_Toc46929585"/>
      <w:r>
        <w:rPr>
          <w:rFonts w:hint="eastAsia"/>
          <w:color w:val="auto"/>
          <w:sz w:val="44"/>
          <w:szCs w:val="44"/>
          <w:highlight w:val="none"/>
        </w:rPr>
        <w:t>第二节  专用合同条款</w:t>
      </w:r>
      <w:bookmarkEnd w:id="22"/>
    </w:p>
    <w:p>
      <w:pPr>
        <w:numPr>
          <w:ilvl w:val="1"/>
          <w:numId w:val="16"/>
        </w:numPr>
        <w:bidi w:val="0"/>
        <w:rPr>
          <w:color w:val="auto"/>
          <w:sz w:val="36"/>
          <w:szCs w:val="36"/>
          <w:highlight w:val="none"/>
        </w:rPr>
      </w:pPr>
      <w:bookmarkStart w:id="23" w:name="_Toc46929586"/>
      <w:r>
        <w:rPr>
          <w:rFonts w:hint="eastAsia"/>
          <w:color w:val="auto"/>
          <w:sz w:val="36"/>
          <w:szCs w:val="36"/>
          <w:highlight w:val="none"/>
        </w:rPr>
        <w:t>公路工程专用合同条款</w:t>
      </w:r>
      <w:bookmarkEnd w:id="23"/>
    </w:p>
    <w:p>
      <w:pPr>
        <w:spacing w:line="380" w:lineRule="exact"/>
        <w:rPr>
          <w:color w:val="auto"/>
          <w:szCs w:val="21"/>
          <w:highlight w:val="none"/>
        </w:rPr>
      </w:pPr>
      <w:r>
        <w:rPr>
          <w:color w:val="auto"/>
          <w:szCs w:val="21"/>
          <w:highlight w:val="none"/>
        </w:rPr>
        <w:t xml:space="preserve">1.  一般约定     </w:t>
      </w:r>
    </w:p>
    <w:p>
      <w:pPr>
        <w:spacing w:line="380" w:lineRule="exact"/>
        <w:rPr>
          <w:color w:val="auto"/>
          <w:szCs w:val="21"/>
          <w:highlight w:val="none"/>
        </w:rPr>
      </w:pPr>
      <w:r>
        <w:rPr>
          <w:color w:val="auto"/>
          <w:szCs w:val="21"/>
          <w:highlight w:val="none"/>
        </w:rPr>
        <w:t xml:space="preserve">1.1  词语定义      </w:t>
      </w:r>
    </w:p>
    <w:p>
      <w:pPr>
        <w:spacing w:line="380" w:lineRule="exact"/>
        <w:ind w:firstLine="440" w:firstLineChars="200"/>
        <w:rPr>
          <w:color w:val="auto"/>
          <w:szCs w:val="21"/>
          <w:highlight w:val="none"/>
        </w:rPr>
      </w:pPr>
      <w:r>
        <w:rPr>
          <w:color w:val="auto"/>
          <w:szCs w:val="21"/>
          <w:highlight w:val="none"/>
        </w:rPr>
        <w:t xml:space="preserve">1.1.1  合同        </w:t>
      </w:r>
    </w:p>
    <w:p>
      <w:pPr>
        <w:spacing w:line="380" w:lineRule="exact"/>
        <w:ind w:firstLine="660" w:firstLineChars="300"/>
        <w:rPr>
          <w:color w:val="auto"/>
          <w:szCs w:val="21"/>
          <w:highlight w:val="none"/>
        </w:rPr>
      </w:pPr>
      <w:r>
        <w:rPr>
          <w:color w:val="auto"/>
          <w:szCs w:val="21"/>
          <w:highlight w:val="none"/>
        </w:rPr>
        <w:t xml:space="preserve">第1.1.1.6 目细化为：        </w:t>
      </w:r>
    </w:p>
    <w:p>
      <w:pPr>
        <w:spacing w:line="380" w:lineRule="exact"/>
        <w:ind w:firstLine="660" w:firstLineChars="300"/>
        <w:rPr>
          <w:color w:val="auto"/>
          <w:szCs w:val="21"/>
          <w:highlight w:val="none"/>
        </w:rPr>
      </w:pPr>
      <w:r>
        <w:rPr>
          <w:color w:val="auto"/>
          <w:szCs w:val="21"/>
          <w:highlight w:val="none"/>
        </w:rPr>
        <w:t xml:space="preserve">技术规范：指本合同所约定的技术标准和要求，是合同文件的组成部分。通用合同条款中“技术标准和要求”一词具有相同含义。        </w:t>
      </w:r>
    </w:p>
    <w:p>
      <w:pPr>
        <w:spacing w:line="380" w:lineRule="exact"/>
        <w:ind w:firstLine="660" w:firstLineChars="300"/>
        <w:rPr>
          <w:color w:val="auto"/>
          <w:szCs w:val="21"/>
          <w:highlight w:val="none"/>
        </w:rPr>
      </w:pPr>
      <w:r>
        <w:rPr>
          <w:color w:val="auto"/>
          <w:szCs w:val="21"/>
          <w:highlight w:val="none"/>
        </w:rPr>
        <w:t xml:space="preserve">第1.1.1.8 目细化为：        </w:t>
      </w:r>
    </w:p>
    <w:p>
      <w:pPr>
        <w:spacing w:line="380" w:lineRule="exact"/>
        <w:ind w:firstLine="660" w:firstLineChars="300"/>
        <w:rPr>
          <w:color w:val="auto"/>
          <w:szCs w:val="21"/>
          <w:highlight w:val="none"/>
        </w:rPr>
      </w:pPr>
      <w:r>
        <w:rPr>
          <w:color w:val="auto"/>
          <w:szCs w:val="21"/>
          <w:highlight w:val="none"/>
        </w:rPr>
        <w:t>已标价工程量清单：指构成合同文件组成部分的已标明价格、经算术性错误修正及其他错误修正 （如有）且承包人已确认的最终的工程量清单，包括工程量清单说明、投标报价说明、计日工说明、其他说明及工程量清单各项表格（工程量清单表5.1～表5.5 ）。</w:t>
      </w:r>
    </w:p>
    <w:p>
      <w:pPr>
        <w:spacing w:line="380" w:lineRule="exact"/>
        <w:ind w:firstLine="660" w:firstLineChars="300"/>
        <w:rPr>
          <w:color w:val="auto"/>
          <w:szCs w:val="21"/>
          <w:highlight w:val="none"/>
        </w:rPr>
      </w:pPr>
      <w:r>
        <w:rPr>
          <w:color w:val="auto"/>
          <w:szCs w:val="21"/>
          <w:highlight w:val="none"/>
        </w:rPr>
        <w:t xml:space="preserve">本项补充第1.1.1.10 目：  </w:t>
      </w:r>
    </w:p>
    <w:p>
      <w:pPr>
        <w:spacing w:line="380" w:lineRule="exact"/>
        <w:ind w:firstLine="660" w:firstLineChars="300"/>
        <w:rPr>
          <w:color w:val="auto"/>
          <w:szCs w:val="21"/>
          <w:highlight w:val="none"/>
        </w:rPr>
      </w:pPr>
      <w:r>
        <w:rPr>
          <w:color w:val="auto"/>
          <w:szCs w:val="21"/>
          <w:highlight w:val="none"/>
        </w:rPr>
        <w:t>1.1.1.10  补遗书：指发出招标文件之后由招标人向已取得招标文件的投标人发出的、编号的对招标文件所作的澄清、修改书。</w:t>
      </w:r>
    </w:p>
    <w:p>
      <w:pPr>
        <w:spacing w:line="380" w:lineRule="exact"/>
        <w:ind w:firstLine="420"/>
        <w:rPr>
          <w:color w:val="auto"/>
          <w:szCs w:val="21"/>
          <w:highlight w:val="none"/>
        </w:rPr>
      </w:pPr>
      <w:r>
        <w:rPr>
          <w:color w:val="auto"/>
          <w:szCs w:val="21"/>
          <w:highlight w:val="none"/>
        </w:rPr>
        <w:t xml:space="preserve">1.1.2  合同当事人和人员   </w:t>
      </w:r>
    </w:p>
    <w:p>
      <w:pPr>
        <w:spacing w:line="380" w:lineRule="exact"/>
        <w:ind w:firstLine="420"/>
        <w:rPr>
          <w:color w:val="auto"/>
          <w:szCs w:val="21"/>
          <w:highlight w:val="none"/>
        </w:rPr>
      </w:pPr>
      <w:r>
        <w:rPr>
          <w:color w:val="auto"/>
          <w:szCs w:val="21"/>
          <w:highlight w:val="none"/>
        </w:rPr>
        <w:t xml:space="preserve"> </w:t>
      </w:r>
      <w:r>
        <w:rPr>
          <w:rFonts w:hint="eastAsia"/>
          <w:color w:val="auto"/>
          <w:szCs w:val="21"/>
          <w:highlight w:val="none"/>
        </w:rPr>
        <w:t xml:space="preserve">  </w:t>
      </w:r>
      <w:r>
        <w:rPr>
          <w:color w:val="auto"/>
          <w:szCs w:val="21"/>
          <w:highlight w:val="none"/>
        </w:rPr>
        <w:t xml:space="preserve">本项补充第1.1.2.8 目：  </w:t>
      </w:r>
    </w:p>
    <w:p>
      <w:pPr>
        <w:spacing w:line="380" w:lineRule="exact"/>
        <w:ind w:firstLine="420"/>
        <w:rPr>
          <w:color w:val="auto"/>
          <w:szCs w:val="21"/>
          <w:highlight w:val="none"/>
        </w:rPr>
      </w:pPr>
      <w:r>
        <w:rPr>
          <w:color w:val="auto"/>
          <w:szCs w:val="21"/>
          <w:highlight w:val="none"/>
        </w:rPr>
        <w:t xml:space="preserve">   1.1.2.8  承包人项目总工：指由承包人书面委派常驻现场负责管理本合同工程的总工程师或技术总负责人。</w:t>
      </w:r>
    </w:p>
    <w:p>
      <w:pPr>
        <w:spacing w:line="380" w:lineRule="exact"/>
        <w:rPr>
          <w:color w:val="auto"/>
          <w:szCs w:val="21"/>
          <w:highlight w:val="none"/>
        </w:rPr>
      </w:pPr>
      <w:r>
        <w:rPr>
          <w:rFonts w:hint="eastAsia"/>
          <w:color w:val="auto"/>
          <w:szCs w:val="21"/>
          <w:highlight w:val="none"/>
        </w:rPr>
        <w:t xml:space="preserve">   </w:t>
      </w:r>
      <w:r>
        <w:rPr>
          <w:color w:val="auto"/>
          <w:szCs w:val="21"/>
          <w:highlight w:val="none"/>
        </w:rPr>
        <w:t xml:space="preserve"> 1.1.3  工程和设备    </w:t>
      </w:r>
    </w:p>
    <w:p>
      <w:pPr>
        <w:spacing w:line="380" w:lineRule="exact"/>
        <w:ind w:firstLine="420"/>
        <w:rPr>
          <w:color w:val="auto"/>
          <w:szCs w:val="21"/>
          <w:highlight w:val="none"/>
        </w:rPr>
      </w:pPr>
      <w:r>
        <w:rPr>
          <w:rFonts w:hint="eastAsia"/>
          <w:color w:val="auto"/>
          <w:szCs w:val="21"/>
          <w:highlight w:val="none"/>
        </w:rPr>
        <w:t xml:space="preserve">   </w:t>
      </w:r>
      <w:r>
        <w:rPr>
          <w:color w:val="auto"/>
          <w:szCs w:val="21"/>
          <w:highlight w:val="none"/>
        </w:rPr>
        <w:t xml:space="preserve">第1.1.3.4 目细化为： </w:t>
      </w:r>
    </w:p>
    <w:p>
      <w:pPr>
        <w:spacing w:line="380" w:lineRule="exact"/>
        <w:ind w:firstLine="420"/>
        <w:rPr>
          <w:color w:val="auto"/>
          <w:szCs w:val="21"/>
          <w:highlight w:val="none"/>
        </w:rPr>
      </w:pPr>
      <w:r>
        <w:rPr>
          <w:color w:val="auto"/>
          <w:szCs w:val="21"/>
          <w:highlight w:val="none"/>
        </w:rPr>
        <w:t xml:space="preserve">  </w:t>
      </w:r>
      <w:r>
        <w:rPr>
          <w:rFonts w:hint="eastAsia"/>
          <w:color w:val="auto"/>
          <w:szCs w:val="21"/>
          <w:highlight w:val="none"/>
        </w:rPr>
        <w:t xml:space="preserve"> </w:t>
      </w:r>
      <w:r>
        <w:rPr>
          <w:color w:val="auto"/>
          <w:szCs w:val="21"/>
          <w:highlight w:val="none"/>
        </w:rPr>
        <w:t xml:space="preserve">单位工程：指在建设项目中，根据签订的合同，具有独立施工条件的工程。  </w:t>
      </w:r>
    </w:p>
    <w:p>
      <w:pPr>
        <w:spacing w:line="380" w:lineRule="exact"/>
        <w:ind w:firstLine="420"/>
        <w:rPr>
          <w:color w:val="auto"/>
          <w:szCs w:val="21"/>
          <w:highlight w:val="none"/>
        </w:rPr>
      </w:pPr>
      <w:r>
        <w:rPr>
          <w:color w:val="auto"/>
          <w:szCs w:val="21"/>
          <w:highlight w:val="none"/>
        </w:rPr>
        <w:t xml:space="preserve">   第1.1.3.10 目细化为：     </w:t>
      </w:r>
    </w:p>
    <w:p>
      <w:pPr>
        <w:spacing w:line="380" w:lineRule="exact"/>
        <w:ind w:firstLine="420"/>
        <w:rPr>
          <w:color w:val="auto"/>
          <w:szCs w:val="21"/>
          <w:highlight w:val="none"/>
        </w:rPr>
      </w:pPr>
      <w:r>
        <w:rPr>
          <w:color w:val="auto"/>
          <w:szCs w:val="21"/>
          <w:highlight w:val="none"/>
        </w:rPr>
        <w:t xml:space="preserve">  </w:t>
      </w:r>
      <w:r>
        <w:rPr>
          <w:rFonts w:hint="eastAsia"/>
          <w:color w:val="auto"/>
          <w:szCs w:val="21"/>
          <w:highlight w:val="none"/>
        </w:rPr>
        <w:t xml:space="preserve"> </w:t>
      </w:r>
      <w:r>
        <w:rPr>
          <w:color w:val="auto"/>
          <w:szCs w:val="21"/>
          <w:highlight w:val="none"/>
        </w:rPr>
        <w:t xml:space="preserve">永久占地：指为实施本合同工程而需要的一切永久占用的土地，包括公路两侧路权范围内的用地。  </w:t>
      </w:r>
    </w:p>
    <w:p>
      <w:pPr>
        <w:spacing w:line="380" w:lineRule="exact"/>
        <w:ind w:firstLine="420"/>
        <w:rPr>
          <w:color w:val="auto"/>
          <w:szCs w:val="21"/>
          <w:highlight w:val="none"/>
        </w:rPr>
      </w:pPr>
      <w:r>
        <w:rPr>
          <w:color w:val="auto"/>
          <w:szCs w:val="21"/>
          <w:highlight w:val="none"/>
        </w:rPr>
        <w:t xml:space="preserve">   第1.1.3.11 目细化为：    </w:t>
      </w:r>
    </w:p>
    <w:p>
      <w:pPr>
        <w:spacing w:line="380" w:lineRule="exact"/>
        <w:ind w:firstLine="420"/>
        <w:rPr>
          <w:color w:val="auto"/>
          <w:szCs w:val="21"/>
          <w:highlight w:val="none"/>
        </w:rPr>
      </w:pPr>
      <w:r>
        <w:rPr>
          <w:color w:val="auto"/>
          <w:szCs w:val="21"/>
          <w:highlight w:val="none"/>
        </w:rPr>
        <w:t xml:space="preserve">  </w:t>
      </w:r>
      <w:r>
        <w:rPr>
          <w:rFonts w:hint="eastAsia"/>
          <w:color w:val="auto"/>
          <w:szCs w:val="21"/>
          <w:highlight w:val="none"/>
        </w:rPr>
        <w:t xml:space="preserve"> </w:t>
      </w:r>
      <w:r>
        <w:rPr>
          <w:color w:val="auto"/>
          <w:szCs w:val="21"/>
          <w:highlight w:val="none"/>
        </w:rPr>
        <w:t>临时占地：指为实施本合同工程而需要的一切临时占用的土地，包括施工所用的临时支线、便道、便桥和现场的临时出入通道，以及生产 （办公）、生活等临时 设施用地等。</w:t>
      </w:r>
    </w:p>
    <w:p>
      <w:pPr>
        <w:spacing w:line="380" w:lineRule="exact"/>
        <w:ind w:firstLine="420"/>
        <w:rPr>
          <w:color w:val="auto"/>
          <w:szCs w:val="21"/>
          <w:highlight w:val="none"/>
        </w:rPr>
      </w:pPr>
      <w:r>
        <w:rPr>
          <w:color w:val="auto"/>
          <w:szCs w:val="21"/>
          <w:highlight w:val="none"/>
        </w:rPr>
        <w:t xml:space="preserve">   本项补充第1.1.3.12 目、第1.1.3.13 目：  </w:t>
      </w:r>
    </w:p>
    <w:p>
      <w:pPr>
        <w:spacing w:line="380" w:lineRule="exact"/>
        <w:ind w:firstLine="420"/>
        <w:rPr>
          <w:color w:val="auto"/>
          <w:szCs w:val="21"/>
          <w:highlight w:val="none"/>
        </w:rPr>
      </w:pPr>
      <w:r>
        <w:rPr>
          <w:color w:val="auto"/>
          <w:szCs w:val="21"/>
          <w:highlight w:val="none"/>
        </w:rPr>
        <w:t xml:space="preserve">   1.1.3.12  分部工程：指在单位工程中，按结构部位、路段长度及施工特点或施工任务划分的若干个工程。</w:t>
      </w:r>
    </w:p>
    <w:p>
      <w:pPr>
        <w:spacing w:line="380" w:lineRule="exact"/>
        <w:ind w:firstLine="420"/>
        <w:rPr>
          <w:color w:val="auto"/>
          <w:szCs w:val="21"/>
          <w:highlight w:val="none"/>
        </w:rPr>
      </w:pPr>
      <w:r>
        <w:rPr>
          <w:color w:val="auto"/>
          <w:szCs w:val="21"/>
          <w:highlight w:val="none"/>
        </w:rPr>
        <w:t xml:space="preserve">   1.1.3.13  分项工程：指在分部工程中，按不同的施工方法、材料、工序及路 段长度等划分的若干个工程。 </w:t>
      </w:r>
    </w:p>
    <w:p>
      <w:pPr>
        <w:spacing w:line="380" w:lineRule="exact"/>
        <w:rPr>
          <w:color w:val="auto"/>
          <w:szCs w:val="21"/>
          <w:highlight w:val="none"/>
        </w:rPr>
      </w:pPr>
      <w:r>
        <w:rPr>
          <w:rFonts w:hint="eastAsia"/>
          <w:color w:val="auto"/>
          <w:szCs w:val="21"/>
          <w:highlight w:val="none"/>
        </w:rPr>
        <w:t xml:space="preserve">    </w:t>
      </w:r>
      <w:r>
        <w:rPr>
          <w:color w:val="auto"/>
          <w:szCs w:val="21"/>
          <w:highlight w:val="none"/>
        </w:rPr>
        <w:t xml:space="preserve"> 1.1.6  其他      </w:t>
      </w:r>
    </w:p>
    <w:p>
      <w:pPr>
        <w:spacing w:line="380" w:lineRule="exact"/>
        <w:rPr>
          <w:color w:val="auto"/>
          <w:szCs w:val="21"/>
          <w:highlight w:val="none"/>
        </w:rPr>
      </w:pPr>
      <w:r>
        <w:rPr>
          <w:rFonts w:hint="eastAsia"/>
          <w:color w:val="auto"/>
          <w:szCs w:val="21"/>
          <w:highlight w:val="none"/>
        </w:rPr>
        <w:t xml:space="preserve">     </w:t>
      </w:r>
      <w:r>
        <w:rPr>
          <w:color w:val="auto"/>
          <w:szCs w:val="21"/>
          <w:highlight w:val="none"/>
        </w:rPr>
        <w:t xml:space="preserve"> 本项补充第1.1.6.2 目～第1.1.6.9  目：    </w:t>
      </w:r>
    </w:p>
    <w:p>
      <w:pPr>
        <w:spacing w:line="380" w:lineRule="exact"/>
        <w:rPr>
          <w:color w:val="auto"/>
          <w:szCs w:val="21"/>
          <w:highlight w:val="none"/>
        </w:rPr>
      </w:pPr>
      <w:r>
        <w:rPr>
          <w:color w:val="auto"/>
          <w:szCs w:val="21"/>
          <w:highlight w:val="none"/>
        </w:rPr>
        <w:t xml:space="preserve">  </w:t>
      </w:r>
      <w:r>
        <w:rPr>
          <w:rFonts w:hint="eastAsia"/>
          <w:color w:val="auto"/>
          <w:szCs w:val="21"/>
          <w:highlight w:val="none"/>
        </w:rPr>
        <w:t xml:space="preserve">   </w:t>
      </w:r>
      <w:r>
        <w:rPr>
          <w:color w:val="auto"/>
          <w:szCs w:val="21"/>
          <w:highlight w:val="none"/>
        </w:rPr>
        <w:t xml:space="preserve"> 1.1.6.2  竣工验收：指《公路工程竣（交）工验收办法》中的竣工验收。通用合同条款中“ 国家验收”一词具有相同含义。    </w:t>
      </w:r>
    </w:p>
    <w:p>
      <w:pPr>
        <w:spacing w:line="380" w:lineRule="exact"/>
        <w:rPr>
          <w:color w:val="auto"/>
          <w:szCs w:val="21"/>
          <w:highlight w:val="none"/>
        </w:rPr>
      </w:pPr>
      <w:r>
        <w:rPr>
          <w:color w:val="auto"/>
          <w:szCs w:val="21"/>
          <w:highlight w:val="none"/>
        </w:rPr>
        <w:t xml:space="preserve">   </w:t>
      </w:r>
      <w:r>
        <w:rPr>
          <w:rFonts w:hint="eastAsia"/>
          <w:color w:val="auto"/>
          <w:szCs w:val="21"/>
          <w:highlight w:val="none"/>
        </w:rPr>
        <w:t xml:space="preserve">   </w:t>
      </w:r>
      <w:r>
        <w:rPr>
          <w:color w:val="auto"/>
          <w:szCs w:val="21"/>
          <w:highlight w:val="none"/>
        </w:rPr>
        <w:t xml:space="preserve">1.1.6.3 交工：指《公路工程竣（交）工验收办法》中的交工。通用合同条款中“竣工”一词具有相同含义。    </w:t>
      </w:r>
    </w:p>
    <w:p>
      <w:pPr>
        <w:spacing w:line="380" w:lineRule="exact"/>
        <w:rPr>
          <w:color w:val="auto"/>
          <w:szCs w:val="21"/>
          <w:highlight w:val="none"/>
        </w:rPr>
      </w:pPr>
      <w:r>
        <w:rPr>
          <w:rFonts w:hint="eastAsia"/>
          <w:color w:val="auto"/>
          <w:szCs w:val="21"/>
          <w:highlight w:val="none"/>
        </w:rPr>
        <w:t xml:space="preserve">   </w:t>
      </w:r>
      <w:r>
        <w:rPr>
          <w:color w:val="auto"/>
          <w:szCs w:val="21"/>
          <w:highlight w:val="none"/>
        </w:rPr>
        <w:t xml:space="preserve">   1.1.6.4  交工验收：指《公路工程竣（交）工验收办法》中的交工验收。通用合同条款中“竣工验收”一词具有相同含义。    </w:t>
      </w:r>
    </w:p>
    <w:p>
      <w:pPr>
        <w:spacing w:line="380" w:lineRule="exact"/>
        <w:rPr>
          <w:color w:val="auto"/>
          <w:szCs w:val="21"/>
          <w:highlight w:val="none"/>
        </w:rPr>
      </w:pPr>
      <w:r>
        <w:rPr>
          <w:rFonts w:hint="eastAsia"/>
          <w:color w:val="auto"/>
          <w:szCs w:val="21"/>
          <w:highlight w:val="none"/>
        </w:rPr>
        <w:t xml:space="preserve">   </w:t>
      </w:r>
      <w:r>
        <w:rPr>
          <w:color w:val="auto"/>
          <w:szCs w:val="21"/>
          <w:highlight w:val="none"/>
        </w:rPr>
        <w:t xml:space="preserve">   1.1.6.5  交工验收证书：指《公路工程竣（交）工验收办法》中的交工验收证 书。通用合同条款中“工程接收证书”一词具有相同含义。 </w:t>
      </w:r>
    </w:p>
    <w:p>
      <w:pPr>
        <w:spacing w:line="380" w:lineRule="exact"/>
        <w:rPr>
          <w:color w:val="auto"/>
          <w:szCs w:val="21"/>
          <w:highlight w:val="none"/>
        </w:rPr>
      </w:pPr>
      <w:r>
        <w:rPr>
          <w:color w:val="auto"/>
          <w:szCs w:val="21"/>
          <w:highlight w:val="none"/>
        </w:rPr>
        <w:t xml:space="preserve">      1.1.6.6  转包：指承包人违反法律和不履行合同规定的责任和义务，将中标工程全部委托或以专业分包的名义将中标工程肢解后全部委托给其他施工企业施工的行为。</w:t>
      </w:r>
    </w:p>
    <w:p>
      <w:pPr>
        <w:spacing w:line="380" w:lineRule="exact"/>
        <w:rPr>
          <w:color w:val="auto"/>
          <w:szCs w:val="21"/>
          <w:highlight w:val="none"/>
        </w:rPr>
      </w:pPr>
      <w:r>
        <w:rPr>
          <w:color w:val="auto"/>
          <w:szCs w:val="21"/>
          <w:highlight w:val="none"/>
        </w:rPr>
        <w:t xml:space="preserve">      1.1.6.7  专业分包：指承包人与具有相应资格的施工企业签订专业分包合同，由分包人承担承包人委托的分部工程、分项工程或适合专业化队伍施工的其他工程，整体结算，并能独立控制工程质量、施工进度、材料采购、生产安全的施工行为。</w:t>
      </w:r>
    </w:p>
    <w:p>
      <w:pPr>
        <w:spacing w:line="380" w:lineRule="exact"/>
        <w:rPr>
          <w:color w:val="auto"/>
          <w:szCs w:val="21"/>
          <w:highlight w:val="none"/>
        </w:rPr>
      </w:pPr>
      <w:r>
        <w:rPr>
          <w:color w:val="auto"/>
          <w:szCs w:val="21"/>
          <w:highlight w:val="none"/>
        </w:rPr>
        <w:t xml:space="preserve">      1.1.6.8  劳务分包：指承包人与具有施工劳务资质的劳务企业签订劳务分包合同，由劳务企业提供劳务人员及机具，由承包人统一组织施工、统一控制工程质量、施工进度、材料采购、生产安全的施工行为。 </w:t>
      </w:r>
    </w:p>
    <w:p>
      <w:pPr>
        <w:spacing w:line="380" w:lineRule="exact"/>
        <w:rPr>
          <w:color w:val="auto"/>
          <w:szCs w:val="21"/>
          <w:highlight w:val="none"/>
        </w:rPr>
      </w:pPr>
      <w:r>
        <w:rPr>
          <w:color w:val="auto"/>
          <w:szCs w:val="21"/>
          <w:highlight w:val="none"/>
        </w:rPr>
        <w:t xml:space="preserve">      1.1.6.9  雇用民工：指承包人与具有相应劳动能力的自然人签订劳动合同，由承包人统一组织管理，从事分项工程施工或配套工程施工的行为。  </w:t>
      </w:r>
    </w:p>
    <w:p>
      <w:pPr>
        <w:spacing w:line="380" w:lineRule="exact"/>
        <w:rPr>
          <w:color w:val="auto"/>
          <w:szCs w:val="21"/>
          <w:highlight w:val="none"/>
        </w:rPr>
      </w:pPr>
      <w:r>
        <w:rPr>
          <w:color w:val="auto"/>
          <w:szCs w:val="21"/>
          <w:highlight w:val="none"/>
        </w:rPr>
        <w:t xml:space="preserve">1.4  合同文件的优先顺序  </w:t>
      </w:r>
    </w:p>
    <w:p>
      <w:pPr>
        <w:spacing w:line="380" w:lineRule="exact"/>
        <w:rPr>
          <w:color w:val="auto"/>
          <w:szCs w:val="21"/>
          <w:highlight w:val="none"/>
        </w:rPr>
      </w:pPr>
      <w:r>
        <w:rPr>
          <w:color w:val="auto"/>
          <w:szCs w:val="21"/>
          <w:highlight w:val="none"/>
        </w:rPr>
        <w:t xml:space="preserve">  </w:t>
      </w:r>
      <w:r>
        <w:rPr>
          <w:rFonts w:hint="eastAsia"/>
          <w:color w:val="auto"/>
          <w:szCs w:val="21"/>
          <w:highlight w:val="none"/>
        </w:rPr>
        <w:t xml:space="preserve">   </w:t>
      </w:r>
      <w:r>
        <w:rPr>
          <w:color w:val="auto"/>
          <w:szCs w:val="21"/>
          <w:highlight w:val="none"/>
        </w:rPr>
        <w:t xml:space="preserve">本款约定为： </w:t>
      </w:r>
    </w:p>
    <w:p>
      <w:pPr>
        <w:spacing w:line="380" w:lineRule="exact"/>
        <w:rPr>
          <w:color w:val="auto"/>
          <w:szCs w:val="21"/>
          <w:highlight w:val="none"/>
        </w:rPr>
      </w:pPr>
      <w:r>
        <w:rPr>
          <w:color w:val="auto"/>
          <w:szCs w:val="21"/>
          <w:highlight w:val="none"/>
        </w:rPr>
        <w:t xml:space="preserve">   </w:t>
      </w:r>
      <w:r>
        <w:rPr>
          <w:rFonts w:hint="eastAsia"/>
          <w:color w:val="auto"/>
          <w:szCs w:val="21"/>
          <w:highlight w:val="none"/>
        </w:rPr>
        <w:t xml:space="preserve">  </w:t>
      </w:r>
      <w:r>
        <w:rPr>
          <w:color w:val="auto"/>
          <w:szCs w:val="21"/>
          <w:highlight w:val="none"/>
        </w:rPr>
        <w:t xml:space="preserve">组成合同的各项文件应互相解释，互为说明。除项目专用合同条款另有约定外，解释合同文件的优先顺序如下： </w:t>
      </w:r>
    </w:p>
    <w:p>
      <w:pPr>
        <w:spacing w:line="380" w:lineRule="exact"/>
        <w:ind w:left="446" w:leftChars="69" w:hanging="294" w:hangingChars="134"/>
        <w:rPr>
          <w:color w:val="auto"/>
          <w:szCs w:val="21"/>
          <w:highlight w:val="none"/>
        </w:rPr>
      </w:pPr>
      <w:r>
        <w:rPr>
          <w:rFonts w:hint="eastAsia"/>
          <w:color w:val="auto"/>
          <w:szCs w:val="21"/>
          <w:highlight w:val="none"/>
        </w:rPr>
        <w:t xml:space="preserve">   </w:t>
      </w:r>
      <w:r>
        <w:rPr>
          <w:color w:val="auto"/>
          <w:szCs w:val="21"/>
          <w:highlight w:val="none"/>
        </w:rPr>
        <w:t xml:space="preserve">（1）合同协议书及各种合同附件（含评标期间和合同谈判过程中的澄清文件和补充资料）；      </w:t>
      </w:r>
      <w:r>
        <w:rPr>
          <w:rFonts w:hint="eastAsia"/>
          <w:color w:val="auto"/>
          <w:szCs w:val="21"/>
          <w:highlight w:val="none"/>
        </w:rPr>
        <w:t xml:space="preserve">                </w:t>
      </w:r>
      <w:r>
        <w:rPr>
          <w:color w:val="auto"/>
          <w:szCs w:val="21"/>
          <w:highlight w:val="none"/>
        </w:rPr>
        <w:t>（2）中标通知书；</w:t>
      </w:r>
    </w:p>
    <w:p>
      <w:pPr>
        <w:spacing w:line="380" w:lineRule="exact"/>
        <w:rPr>
          <w:color w:val="auto"/>
          <w:szCs w:val="21"/>
          <w:highlight w:val="none"/>
        </w:rPr>
      </w:pPr>
      <w:r>
        <w:rPr>
          <w:color w:val="auto"/>
          <w:szCs w:val="21"/>
          <w:highlight w:val="none"/>
        </w:rPr>
        <w:t xml:space="preserve">    （3）投标函及投标函附录； </w:t>
      </w:r>
    </w:p>
    <w:p>
      <w:pPr>
        <w:spacing w:line="380" w:lineRule="exact"/>
        <w:rPr>
          <w:color w:val="auto"/>
          <w:szCs w:val="21"/>
          <w:highlight w:val="none"/>
        </w:rPr>
      </w:pPr>
      <w:r>
        <w:rPr>
          <w:color w:val="auto"/>
          <w:szCs w:val="21"/>
          <w:highlight w:val="none"/>
        </w:rPr>
        <w:t xml:space="preserve">    （4）项目专用合同条款；</w:t>
      </w:r>
    </w:p>
    <w:p>
      <w:pPr>
        <w:spacing w:line="380" w:lineRule="exact"/>
        <w:rPr>
          <w:color w:val="auto"/>
          <w:szCs w:val="21"/>
          <w:highlight w:val="none"/>
        </w:rPr>
      </w:pPr>
      <w:r>
        <w:rPr>
          <w:rFonts w:hint="eastAsia"/>
          <w:color w:val="auto"/>
          <w:szCs w:val="21"/>
          <w:highlight w:val="none"/>
        </w:rPr>
        <w:t xml:space="preserve">    </w:t>
      </w:r>
      <w:r>
        <w:rPr>
          <w:color w:val="auto"/>
          <w:szCs w:val="21"/>
          <w:highlight w:val="none"/>
        </w:rPr>
        <w:t xml:space="preserve">（5）公路工程专用合同条款；   </w:t>
      </w:r>
    </w:p>
    <w:p>
      <w:pPr>
        <w:spacing w:line="380" w:lineRule="exact"/>
        <w:rPr>
          <w:color w:val="auto"/>
          <w:szCs w:val="21"/>
          <w:highlight w:val="none"/>
        </w:rPr>
      </w:pPr>
      <w:r>
        <w:rPr>
          <w:color w:val="auto"/>
          <w:szCs w:val="21"/>
          <w:highlight w:val="none"/>
        </w:rPr>
        <w:t xml:space="preserve">   </w:t>
      </w:r>
      <w:r>
        <w:rPr>
          <w:rFonts w:hint="eastAsia"/>
          <w:color w:val="auto"/>
          <w:szCs w:val="21"/>
          <w:highlight w:val="none"/>
        </w:rPr>
        <w:t xml:space="preserve"> </w:t>
      </w:r>
      <w:r>
        <w:rPr>
          <w:color w:val="auto"/>
          <w:szCs w:val="21"/>
          <w:highlight w:val="none"/>
        </w:rPr>
        <w:t xml:space="preserve">（6）通用合同条款；      </w:t>
      </w:r>
    </w:p>
    <w:p>
      <w:pPr>
        <w:spacing w:line="380" w:lineRule="exact"/>
        <w:rPr>
          <w:color w:val="auto"/>
          <w:szCs w:val="21"/>
          <w:highlight w:val="none"/>
        </w:rPr>
      </w:pPr>
      <w:r>
        <w:rPr>
          <w:rFonts w:hint="eastAsia"/>
          <w:color w:val="auto"/>
          <w:szCs w:val="21"/>
          <w:highlight w:val="none"/>
        </w:rPr>
        <w:t xml:space="preserve">    </w:t>
      </w:r>
      <w:r>
        <w:rPr>
          <w:color w:val="auto"/>
          <w:szCs w:val="21"/>
          <w:highlight w:val="none"/>
        </w:rPr>
        <w:t xml:space="preserve">（7）工程量清单计量规则；  </w:t>
      </w:r>
    </w:p>
    <w:p>
      <w:pPr>
        <w:spacing w:line="380" w:lineRule="exact"/>
        <w:ind w:firstLine="420"/>
        <w:rPr>
          <w:color w:val="auto"/>
          <w:szCs w:val="21"/>
          <w:highlight w:val="none"/>
        </w:rPr>
      </w:pPr>
      <w:r>
        <w:rPr>
          <w:color w:val="auto"/>
          <w:szCs w:val="21"/>
          <w:highlight w:val="none"/>
        </w:rPr>
        <w:t xml:space="preserve">（8）技术规范；    </w:t>
      </w:r>
    </w:p>
    <w:p>
      <w:pPr>
        <w:spacing w:line="380" w:lineRule="exact"/>
        <w:ind w:firstLine="420"/>
        <w:rPr>
          <w:color w:val="auto"/>
          <w:szCs w:val="21"/>
          <w:highlight w:val="none"/>
        </w:rPr>
      </w:pPr>
      <w:r>
        <w:rPr>
          <w:color w:val="auto"/>
          <w:szCs w:val="21"/>
          <w:highlight w:val="none"/>
        </w:rPr>
        <w:t xml:space="preserve">（9）图纸；     </w:t>
      </w:r>
    </w:p>
    <w:p>
      <w:pPr>
        <w:spacing w:line="380" w:lineRule="exact"/>
        <w:ind w:firstLine="420"/>
        <w:rPr>
          <w:color w:val="auto"/>
          <w:szCs w:val="21"/>
          <w:highlight w:val="none"/>
        </w:rPr>
      </w:pPr>
      <w:r>
        <w:rPr>
          <w:color w:val="auto"/>
          <w:szCs w:val="21"/>
          <w:highlight w:val="none"/>
        </w:rPr>
        <w:t xml:space="preserve">（10）已标价工程量清单；    </w:t>
      </w:r>
    </w:p>
    <w:p>
      <w:pPr>
        <w:spacing w:line="380" w:lineRule="exact"/>
        <w:ind w:firstLine="420"/>
        <w:rPr>
          <w:color w:val="auto"/>
          <w:szCs w:val="21"/>
          <w:highlight w:val="none"/>
        </w:rPr>
      </w:pPr>
      <w:r>
        <w:rPr>
          <w:color w:val="auto"/>
          <w:szCs w:val="21"/>
          <w:highlight w:val="none"/>
        </w:rPr>
        <w:t xml:space="preserve">（11）承包人有关人员、设备投入的承诺及投标文件中的施工组织设计；    </w:t>
      </w:r>
    </w:p>
    <w:p>
      <w:pPr>
        <w:spacing w:line="380" w:lineRule="exact"/>
        <w:ind w:firstLine="420"/>
        <w:rPr>
          <w:color w:val="auto"/>
          <w:szCs w:val="21"/>
          <w:highlight w:val="none"/>
        </w:rPr>
      </w:pPr>
      <w:r>
        <w:rPr>
          <w:color w:val="auto"/>
          <w:szCs w:val="21"/>
          <w:highlight w:val="none"/>
        </w:rPr>
        <w:t xml:space="preserve">（12）其他合同文件。 </w:t>
      </w:r>
    </w:p>
    <w:p>
      <w:pPr>
        <w:spacing w:line="380" w:lineRule="exact"/>
        <w:rPr>
          <w:color w:val="auto"/>
          <w:szCs w:val="21"/>
          <w:highlight w:val="none"/>
        </w:rPr>
      </w:pPr>
      <w:r>
        <w:rPr>
          <w:color w:val="auto"/>
          <w:szCs w:val="21"/>
          <w:highlight w:val="none"/>
        </w:rPr>
        <w:t xml:space="preserve"> 1.5  合同协议书    </w:t>
      </w:r>
    </w:p>
    <w:p>
      <w:pPr>
        <w:spacing w:line="380" w:lineRule="exact"/>
        <w:rPr>
          <w:color w:val="auto"/>
          <w:szCs w:val="21"/>
          <w:highlight w:val="none"/>
        </w:rPr>
      </w:pPr>
      <w:r>
        <w:rPr>
          <w:rFonts w:hint="eastAsia"/>
          <w:color w:val="auto"/>
          <w:szCs w:val="21"/>
          <w:highlight w:val="none"/>
        </w:rPr>
        <w:t xml:space="preserve">    </w:t>
      </w:r>
      <w:r>
        <w:rPr>
          <w:color w:val="auto"/>
          <w:szCs w:val="21"/>
          <w:highlight w:val="none"/>
        </w:rPr>
        <w:t xml:space="preserve"> 本款补充：  </w:t>
      </w:r>
    </w:p>
    <w:p>
      <w:pPr>
        <w:spacing w:line="380" w:lineRule="exact"/>
        <w:rPr>
          <w:color w:val="auto"/>
          <w:szCs w:val="21"/>
          <w:highlight w:val="none"/>
        </w:rPr>
      </w:pPr>
      <w:r>
        <w:rPr>
          <w:color w:val="auto"/>
          <w:szCs w:val="21"/>
          <w:highlight w:val="none"/>
        </w:rPr>
        <w:t xml:space="preserve">  </w:t>
      </w:r>
      <w:r>
        <w:rPr>
          <w:rFonts w:hint="eastAsia"/>
          <w:color w:val="auto"/>
          <w:szCs w:val="21"/>
          <w:highlight w:val="none"/>
        </w:rPr>
        <w:t xml:space="preserve">  </w:t>
      </w:r>
      <w:r>
        <w:rPr>
          <w:color w:val="auto"/>
          <w:szCs w:val="21"/>
          <w:highlight w:val="none"/>
        </w:rPr>
        <w:t xml:space="preserve"> 制备本合同文件的费用由发包人承担。在合同协议书签订并生效之前，投标函和中标通知书将对双方具有约束力。</w:t>
      </w:r>
    </w:p>
    <w:p>
      <w:pPr>
        <w:spacing w:line="380" w:lineRule="exact"/>
        <w:rPr>
          <w:color w:val="auto"/>
          <w:szCs w:val="21"/>
          <w:highlight w:val="none"/>
        </w:rPr>
      </w:pPr>
      <w:r>
        <w:rPr>
          <w:color w:val="auto"/>
          <w:szCs w:val="21"/>
          <w:highlight w:val="none"/>
        </w:rPr>
        <w:t xml:space="preserve"> 1.6  图纸和承包人文件  </w:t>
      </w:r>
    </w:p>
    <w:p>
      <w:pPr>
        <w:spacing w:line="380" w:lineRule="exact"/>
        <w:rPr>
          <w:color w:val="auto"/>
          <w:szCs w:val="21"/>
          <w:highlight w:val="none"/>
        </w:rPr>
      </w:pPr>
      <w:r>
        <w:rPr>
          <w:rFonts w:hint="eastAsia"/>
          <w:color w:val="auto"/>
          <w:szCs w:val="21"/>
          <w:highlight w:val="none"/>
        </w:rPr>
        <w:t xml:space="preserve">  </w:t>
      </w:r>
      <w:r>
        <w:rPr>
          <w:color w:val="auto"/>
          <w:szCs w:val="21"/>
          <w:highlight w:val="none"/>
        </w:rPr>
        <w:t xml:space="preserve">   1.6.1  图纸的提供  </w:t>
      </w:r>
    </w:p>
    <w:p>
      <w:pPr>
        <w:spacing w:line="380" w:lineRule="exact"/>
        <w:rPr>
          <w:color w:val="auto"/>
          <w:szCs w:val="21"/>
          <w:highlight w:val="none"/>
        </w:rPr>
      </w:pPr>
      <w:r>
        <w:rPr>
          <w:rFonts w:hint="eastAsia"/>
          <w:color w:val="auto"/>
          <w:szCs w:val="21"/>
          <w:highlight w:val="none"/>
        </w:rPr>
        <w:t xml:space="preserve">  </w:t>
      </w:r>
      <w:r>
        <w:rPr>
          <w:color w:val="auto"/>
          <w:szCs w:val="21"/>
          <w:highlight w:val="none"/>
        </w:rPr>
        <w:t xml:space="preserve">   本项细化为：  </w:t>
      </w:r>
    </w:p>
    <w:p>
      <w:pPr>
        <w:spacing w:line="380" w:lineRule="exact"/>
        <w:rPr>
          <w:color w:val="auto"/>
          <w:szCs w:val="21"/>
          <w:highlight w:val="none"/>
        </w:rPr>
      </w:pPr>
      <w:r>
        <w:rPr>
          <w:rFonts w:hint="eastAsia"/>
          <w:color w:val="auto"/>
          <w:szCs w:val="21"/>
          <w:highlight w:val="none"/>
        </w:rPr>
        <w:t xml:space="preserve">  </w:t>
      </w:r>
      <w:r>
        <w:rPr>
          <w:color w:val="auto"/>
          <w:szCs w:val="21"/>
          <w:highlight w:val="none"/>
        </w:rPr>
        <w:t xml:space="preserve">   监理人应在发出中标通知书之后42 天内，向承包人免费提供由发包人或其委托的设计单位设计的施工图纸、技术规范和其他技术资料2 份，并向承包人进行技术交底。承包人需要更多份数时，应自费复制。由于发包人未按时提供图纸造成工期延误的，按第11.3 款的约定办理。 </w:t>
      </w:r>
    </w:p>
    <w:p>
      <w:pPr>
        <w:spacing w:line="380" w:lineRule="exact"/>
        <w:rPr>
          <w:color w:val="auto"/>
          <w:szCs w:val="21"/>
          <w:highlight w:val="none"/>
        </w:rPr>
      </w:pPr>
      <w:r>
        <w:rPr>
          <w:color w:val="auto"/>
          <w:szCs w:val="21"/>
          <w:highlight w:val="none"/>
        </w:rPr>
        <w:t xml:space="preserve">    </w:t>
      </w:r>
      <w:r>
        <w:rPr>
          <w:rFonts w:hint="eastAsia"/>
          <w:color w:val="auto"/>
          <w:szCs w:val="21"/>
          <w:highlight w:val="none"/>
        </w:rPr>
        <w:t xml:space="preserve"> </w:t>
      </w:r>
      <w:r>
        <w:rPr>
          <w:color w:val="auto"/>
          <w:szCs w:val="21"/>
          <w:highlight w:val="none"/>
        </w:rPr>
        <w:t xml:space="preserve">1.6.2  承包人提供的文件    </w:t>
      </w:r>
    </w:p>
    <w:p>
      <w:pPr>
        <w:spacing w:line="380" w:lineRule="exact"/>
        <w:rPr>
          <w:color w:val="auto"/>
          <w:szCs w:val="21"/>
          <w:highlight w:val="none"/>
        </w:rPr>
      </w:pPr>
      <w:r>
        <w:rPr>
          <w:rFonts w:hint="eastAsia"/>
          <w:color w:val="auto"/>
          <w:szCs w:val="21"/>
          <w:highlight w:val="none"/>
        </w:rPr>
        <w:t xml:space="preserve">    </w:t>
      </w:r>
      <w:r>
        <w:rPr>
          <w:color w:val="auto"/>
          <w:szCs w:val="21"/>
          <w:highlight w:val="none"/>
        </w:rPr>
        <w:t xml:space="preserve"> 本项细化为：   </w:t>
      </w:r>
    </w:p>
    <w:p>
      <w:pPr>
        <w:spacing w:line="380" w:lineRule="exact"/>
        <w:ind w:leftChars="-1" w:hanging="2"/>
        <w:rPr>
          <w:color w:val="auto"/>
          <w:szCs w:val="21"/>
          <w:highlight w:val="none"/>
        </w:rPr>
      </w:pPr>
      <w:r>
        <w:rPr>
          <w:rFonts w:hint="eastAsia"/>
          <w:color w:val="auto"/>
          <w:szCs w:val="21"/>
          <w:highlight w:val="none"/>
        </w:rPr>
        <w:t xml:space="preserve">   </w:t>
      </w:r>
      <w:r>
        <w:rPr>
          <w:color w:val="auto"/>
          <w:szCs w:val="21"/>
          <w:highlight w:val="none"/>
        </w:rPr>
        <w:t xml:space="preserve">  有下列情形之一的，承包人应免费向监理人提交相关部分工程的施工图纸3 份，并附必要的计算书、技术资料，或施工工艺图、设备安装图及安装设备的使用和维护手册各2 份供监理人批准。      </w:t>
      </w:r>
      <w:r>
        <w:rPr>
          <w:rFonts w:hint="eastAsia"/>
          <w:color w:val="auto"/>
          <w:szCs w:val="21"/>
          <w:highlight w:val="none"/>
        </w:rPr>
        <w:t xml:space="preserve">            </w:t>
      </w:r>
    </w:p>
    <w:p>
      <w:pPr>
        <w:spacing w:line="380" w:lineRule="exact"/>
        <w:ind w:left="2"/>
        <w:rPr>
          <w:color w:val="auto"/>
          <w:szCs w:val="21"/>
          <w:highlight w:val="none"/>
        </w:rPr>
      </w:pPr>
      <w:r>
        <w:rPr>
          <w:rFonts w:hint="eastAsia"/>
          <w:color w:val="auto"/>
          <w:szCs w:val="21"/>
          <w:highlight w:val="none"/>
        </w:rPr>
        <w:t xml:space="preserve">     </w:t>
      </w:r>
      <w:r>
        <w:rPr>
          <w:color w:val="auto"/>
          <w:szCs w:val="21"/>
          <w:highlight w:val="none"/>
        </w:rPr>
        <w:t xml:space="preserve">（1）为使第1.6.1 项所述的施工图纸适合于经施工测量后的纵、横断面；    </w:t>
      </w:r>
    </w:p>
    <w:p>
      <w:pPr>
        <w:spacing w:line="380" w:lineRule="exact"/>
        <w:rPr>
          <w:color w:val="auto"/>
          <w:szCs w:val="21"/>
          <w:highlight w:val="none"/>
        </w:rPr>
      </w:pPr>
      <w:r>
        <w:rPr>
          <w:color w:val="auto"/>
          <w:szCs w:val="21"/>
          <w:highlight w:val="none"/>
        </w:rPr>
        <w:t xml:space="preserve">  </w:t>
      </w:r>
      <w:r>
        <w:rPr>
          <w:rFonts w:hint="eastAsia"/>
          <w:color w:val="auto"/>
          <w:szCs w:val="21"/>
          <w:highlight w:val="none"/>
        </w:rPr>
        <w:t xml:space="preserve">   </w:t>
      </w:r>
      <w:r>
        <w:rPr>
          <w:color w:val="auto"/>
          <w:szCs w:val="21"/>
          <w:highlight w:val="none"/>
        </w:rPr>
        <w:t xml:space="preserve">（2）为使第1.6.1 项所述的施工图纸适合于现场具体地形；  </w:t>
      </w:r>
    </w:p>
    <w:p>
      <w:pPr>
        <w:spacing w:line="380" w:lineRule="exact"/>
        <w:rPr>
          <w:color w:val="auto"/>
          <w:szCs w:val="21"/>
          <w:highlight w:val="none"/>
        </w:rPr>
      </w:pPr>
      <w:r>
        <w:rPr>
          <w:color w:val="auto"/>
          <w:szCs w:val="21"/>
          <w:highlight w:val="none"/>
        </w:rPr>
        <w:t xml:space="preserve">    </w:t>
      </w:r>
      <w:r>
        <w:rPr>
          <w:rFonts w:hint="eastAsia"/>
          <w:color w:val="auto"/>
          <w:szCs w:val="21"/>
          <w:highlight w:val="none"/>
        </w:rPr>
        <w:t xml:space="preserve"> </w:t>
      </w:r>
      <w:r>
        <w:rPr>
          <w:color w:val="auto"/>
          <w:szCs w:val="21"/>
          <w:highlight w:val="none"/>
        </w:rPr>
        <w:t xml:space="preserve">（3）为使第1.6.1 项所述的施工图纸适合于因尺寸与位置变化而引起局部变更；      </w:t>
      </w:r>
    </w:p>
    <w:p>
      <w:pPr>
        <w:spacing w:line="380" w:lineRule="exact"/>
        <w:rPr>
          <w:color w:val="auto"/>
          <w:szCs w:val="21"/>
          <w:highlight w:val="none"/>
        </w:rPr>
      </w:pPr>
      <w:r>
        <w:rPr>
          <w:rFonts w:hint="eastAsia"/>
          <w:color w:val="auto"/>
          <w:szCs w:val="21"/>
          <w:highlight w:val="none"/>
        </w:rPr>
        <w:t xml:space="preserve">     </w:t>
      </w:r>
      <w:r>
        <w:rPr>
          <w:color w:val="auto"/>
          <w:szCs w:val="21"/>
          <w:highlight w:val="none"/>
        </w:rPr>
        <w:t>（4）由于合同要求与施工需要。</w:t>
      </w:r>
    </w:p>
    <w:p>
      <w:pPr>
        <w:spacing w:line="380" w:lineRule="exact"/>
        <w:rPr>
          <w:color w:val="auto"/>
          <w:szCs w:val="21"/>
          <w:highlight w:val="none"/>
        </w:rPr>
      </w:pPr>
      <w:r>
        <w:rPr>
          <w:color w:val="auto"/>
          <w:szCs w:val="21"/>
          <w:highlight w:val="none"/>
        </w:rPr>
        <w:t xml:space="preserve">    </w:t>
      </w:r>
      <w:r>
        <w:rPr>
          <w:rFonts w:hint="eastAsia"/>
          <w:color w:val="auto"/>
          <w:szCs w:val="21"/>
          <w:highlight w:val="none"/>
        </w:rPr>
        <w:t xml:space="preserve"> </w:t>
      </w:r>
      <w:r>
        <w:rPr>
          <w:color w:val="auto"/>
          <w:szCs w:val="21"/>
          <w:highlight w:val="none"/>
        </w:rPr>
        <w:t>此类图纸应按监理人规定的格式和图幅绘制。监理人在收到由承包人绘制的上述工程、工艺图纸、计算书和有关技术资料后14 天内应予批准或提出修改要求，承包 人应按监理人提出的要求作出修改，重新向监理人提交，监理人应在7 天内批准或 提出进一步的修改意见。</w:t>
      </w:r>
    </w:p>
    <w:p>
      <w:pPr>
        <w:tabs>
          <w:tab w:val="left" w:pos="3193"/>
        </w:tabs>
        <w:spacing w:line="380" w:lineRule="exact"/>
        <w:ind w:firstLine="440" w:firstLineChars="200"/>
        <w:rPr>
          <w:color w:val="auto"/>
          <w:szCs w:val="21"/>
          <w:highlight w:val="none"/>
        </w:rPr>
      </w:pPr>
      <w:r>
        <w:rPr>
          <w:rFonts w:hint="eastAsia"/>
          <w:color w:val="auto"/>
          <w:szCs w:val="21"/>
          <w:highlight w:val="none"/>
        </w:rPr>
        <w:t xml:space="preserve"> </w:t>
      </w:r>
      <w:r>
        <w:rPr>
          <w:color w:val="auto"/>
          <w:szCs w:val="21"/>
          <w:highlight w:val="none"/>
        </w:rPr>
        <w:t xml:space="preserve">1.6.4  图纸的错误  </w:t>
      </w:r>
    </w:p>
    <w:p>
      <w:pPr>
        <w:tabs>
          <w:tab w:val="left" w:pos="3193"/>
        </w:tabs>
        <w:spacing w:line="380" w:lineRule="exact"/>
        <w:ind w:firstLine="440" w:firstLineChars="200"/>
        <w:rPr>
          <w:color w:val="auto"/>
          <w:szCs w:val="21"/>
          <w:highlight w:val="none"/>
        </w:rPr>
      </w:pPr>
      <w:r>
        <w:rPr>
          <w:color w:val="auto"/>
          <w:szCs w:val="21"/>
          <w:highlight w:val="none"/>
        </w:rPr>
        <w:t xml:space="preserve"> 本项细化为：</w:t>
      </w:r>
    </w:p>
    <w:p>
      <w:pPr>
        <w:tabs>
          <w:tab w:val="left" w:pos="3193"/>
        </w:tabs>
        <w:spacing w:line="380" w:lineRule="exact"/>
        <w:ind w:firstLine="440" w:firstLineChars="200"/>
        <w:rPr>
          <w:color w:val="auto"/>
          <w:szCs w:val="21"/>
          <w:highlight w:val="none"/>
        </w:rPr>
      </w:pPr>
      <w:r>
        <w:rPr>
          <w:color w:val="auto"/>
          <w:szCs w:val="21"/>
          <w:highlight w:val="none"/>
        </w:rPr>
        <w:t xml:space="preserve"> 当承包人在查阅合同文件或在本合同工程实施过程中，发现有关的工程设计、技术规范、图纸或其他资料中的任何差错、遗漏或缺陷后，应及时通知监理人。监理人接到该通知后，应立即就此作出决定，并通知承包人和发包人。 </w:t>
      </w:r>
    </w:p>
    <w:p>
      <w:pPr>
        <w:tabs>
          <w:tab w:val="left" w:pos="3193"/>
        </w:tabs>
        <w:spacing w:line="380" w:lineRule="exact"/>
        <w:rPr>
          <w:color w:val="auto"/>
          <w:szCs w:val="21"/>
          <w:highlight w:val="none"/>
        </w:rPr>
      </w:pPr>
      <w:r>
        <w:rPr>
          <w:color w:val="auto"/>
          <w:szCs w:val="21"/>
          <w:highlight w:val="none"/>
        </w:rPr>
        <w:t xml:space="preserve"> 1.9  严禁贿赂  </w:t>
      </w:r>
    </w:p>
    <w:p>
      <w:pPr>
        <w:tabs>
          <w:tab w:val="left" w:pos="3193"/>
        </w:tabs>
        <w:spacing w:line="380" w:lineRule="exact"/>
        <w:ind w:firstLine="440" w:firstLineChars="200"/>
        <w:rPr>
          <w:color w:val="auto"/>
          <w:szCs w:val="21"/>
          <w:highlight w:val="none"/>
        </w:rPr>
      </w:pPr>
      <w:r>
        <w:rPr>
          <w:rFonts w:hint="eastAsia"/>
          <w:color w:val="auto"/>
          <w:szCs w:val="21"/>
          <w:highlight w:val="none"/>
        </w:rPr>
        <w:t xml:space="preserve"> </w:t>
      </w:r>
      <w:r>
        <w:rPr>
          <w:color w:val="auto"/>
          <w:szCs w:val="21"/>
          <w:highlight w:val="none"/>
        </w:rPr>
        <w:t xml:space="preserve"> 本款补充： </w:t>
      </w:r>
    </w:p>
    <w:p>
      <w:pPr>
        <w:tabs>
          <w:tab w:val="left" w:pos="3193"/>
        </w:tabs>
        <w:spacing w:line="380" w:lineRule="exact"/>
        <w:ind w:firstLine="440" w:firstLineChars="200"/>
        <w:rPr>
          <w:color w:val="auto"/>
          <w:szCs w:val="21"/>
          <w:highlight w:val="none"/>
        </w:rPr>
      </w:pPr>
      <w:r>
        <w:rPr>
          <w:color w:val="auto"/>
          <w:szCs w:val="21"/>
          <w:highlight w:val="none"/>
        </w:rPr>
        <w:t xml:space="preserve"> </w:t>
      </w:r>
      <w:r>
        <w:rPr>
          <w:rFonts w:hint="eastAsia"/>
          <w:color w:val="auto"/>
          <w:szCs w:val="21"/>
          <w:highlight w:val="none"/>
        </w:rPr>
        <w:t xml:space="preserve"> </w:t>
      </w:r>
      <w:r>
        <w:rPr>
          <w:color w:val="auto"/>
          <w:szCs w:val="21"/>
          <w:highlight w:val="none"/>
        </w:rPr>
        <w:t>在合同执行过程中，发包人和承包人应严格履行《廉政合同》约定的双方在廉政建设方面的权利和义务以及应承担的违约责任。承包人如果用行贿、送礼或其他不正当手段企图影响或已经影响了发包人或监理人的行为和 （或）欲获得或已获得超 出合同规定以外的额外费用，则发包人应按有关法纪严肃处理当事人，且承包人应 对其上述行为造成的工程损害、发包人的经济损失等承担一切责任，并予赔偿。情 节严重者，发包人有权终止承包人在本合同项下的承包。</w:t>
      </w:r>
    </w:p>
    <w:p>
      <w:pPr>
        <w:tabs>
          <w:tab w:val="left" w:pos="3193"/>
        </w:tabs>
        <w:spacing w:line="380" w:lineRule="exact"/>
        <w:rPr>
          <w:color w:val="auto"/>
          <w:szCs w:val="21"/>
          <w:highlight w:val="none"/>
        </w:rPr>
      </w:pPr>
      <w:r>
        <w:rPr>
          <w:color w:val="auto"/>
          <w:szCs w:val="21"/>
          <w:highlight w:val="none"/>
        </w:rPr>
        <w:t xml:space="preserve"> 2.  发包人义务 </w:t>
      </w:r>
    </w:p>
    <w:p>
      <w:pPr>
        <w:tabs>
          <w:tab w:val="left" w:pos="3193"/>
        </w:tabs>
        <w:spacing w:line="380" w:lineRule="exact"/>
        <w:rPr>
          <w:color w:val="auto"/>
          <w:szCs w:val="21"/>
          <w:highlight w:val="none"/>
        </w:rPr>
      </w:pPr>
      <w:r>
        <w:rPr>
          <w:color w:val="auto"/>
          <w:szCs w:val="21"/>
          <w:highlight w:val="none"/>
        </w:rPr>
        <w:t xml:space="preserve"> 2.3  提供施工场地  </w:t>
      </w:r>
    </w:p>
    <w:p>
      <w:pPr>
        <w:tabs>
          <w:tab w:val="left" w:pos="3193"/>
        </w:tabs>
        <w:spacing w:line="380" w:lineRule="exact"/>
        <w:rPr>
          <w:color w:val="auto"/>
          <w:szCs w:val="21"/>
          <w:highlight w:val="none"/>
        </w:rPr>
      </w:pPr>
      <w:r>
        <w:rPr>
          <w:rFonts w:hint="eastAsia"/>
          <w:color w:val="auto"/>
          <w:szCs w:val="21"/>
          <w:highlight w:val="none"/>
        </w:rPr>
        <w:t xml:space="preserve">   </w:t>
      </w:r>
      <w:r>
        <w:rPr>
          <w:color w:val="auto"/>
          <w:szCs w:val="21"/>
          <w:highlight w:val="none"/>
        </w:rPr>
        <w:t xml:space="preserve">  本款补充： </w:t>
      </w:r>
    </w:p>
    <w:p>
      <w:pPr>
        <w:tabs>
          <w:tab w:val="left" w:pos="3193"/>
        </w:tabs>
        <w:spacing w:line="380" w:lineRule="exact"/>
        <w:rPr>
          <w:color w:val="auto"/>
          <w:szCs w:val="21"/>
          <w:highlight w:val="none"/>
        </w:rPr>
      </w:pPr>
      <w:r>
        <w:rPr>
          <w:color w:val="auto"/>
          <w:szCs w:val="21"/>
          <w:highlight w:val="none"/>
        </w:rPr>
        <w:t xml:space="preserve">   </w:t>
      </w:r>
      <w:r>
        <w:rPr>
          <w:rFonts w:hint="eastAsia"/>
          <w:color w:val="auto"/>
          <w:szCs w:val="21"/>
          <w:highlight w:val="none"/>
        </w:rPr>
        <w:t xml:space="preserve">  </w:t>
      </w:r>
      <w:r>
        <w:rPr>
          <w:color w:val="auto"/>
          <w:szCs w:val="21"/>
          <w:highlight w:val="none"/>
        </w:rPr>
        <w:t xml:space="preserve">发包人负责办理永久占地的征用及与之有关的拆迁赔偿手续并承担相关费用。承包人在按第10 条规定提交施工进度计划的同时，应向监理人提交一份按施工先后次序所需的永久占地计划。监理人应在收到此计划后的14天内审核并转报发包人核备。发包人应在监理人发出本工程或分部工程开工通知之前，对承包人开工所需的永久占地办妥征用手续和相关拆迁赔偿手续，通知承包人使用，以使承包人能够及时开工；此后按承包人提交并经监理人同意的合同进度计划的安排，分期（也可以一次）将施工所需的其余永久占地办妥征用以及拆迁赔偿手续，通知承包人使用，以使承包人能够连续不间断地施工。由于承包人施工考虑不周或措施不当等原因而 造成的超计划占地或拆迁等所发生的征用和赔偿费用，应由承包人承担。  </w:t>
      </w:r>
    </w:p>
    <w:p>
      <w:pPr>
        <w:tabs>
          <w:tab w:val="left" w:pos="3193"/>
        </w:tabs>
        <w:spacing w:line="380" w:lineRule="exact"/>
        <w:rPr>
          <w:color w:val="auto"/>
          <w:szCs w:val="21"/>
          <w:highlight w:val="none"/>
        </w:rPr>
      </w:pPr>
      <w:r>
        <w:rPr>
          <w:rFonts w:hint="eastAsia"/>
          <w:color w:val="auto"/>
          <w:szCs w:val="21"/>
          <w:highlight w:val="none"/>
        </w:rPr>
        <w:t xml:space="preserve">  </w:t>
      </w:r>
      <w:r>
        <w:rPr>
          <w:color w:val="auto"/>
          <w:szCs w:val="21"/>
          <w:highlight w:val="none"/>
        </w:rPr>
        <w:t xml:space="preserve">  由于发包人未能按照本项规定办妥永久占地征用手续，影响承包人及时使用永久占地造成的费用增加和（或）工期延误应由发包人承担。由于承包人未能按照本项规定提交占地计划，影响发包人办理永久占地征用手续造成的费用增加和（或）工 期延误由承包人承担。</w:t>
      </w:r>
    </w:p>
    <w:p>
      <w:pPr>
        <w:tabs>
          <w:tab w:val="left" w:pos="3193"/>
        </w:tabs>
        <w:spacing w:line="380" w:lineRule="exact"/>
        <w:rPr>
          <w:color w:val="auto"/>
          <w:szCs w:val="21"/>
          <w:highlight w:val="none"/>
        </w:rPr>
      </w:pPr>
      <w:r>
        <w:rPr>
          <w:color w:val="auto"/>
          <w:szCs w:val="21"/>
          <w:highlight w:val="none"/>
        </w:rPr>
        <w:t xml:space="preserve">3.  监理人 </w:t>
      </w:r>
    </w:p>
    <w:p>
      <w:pPr>
        <w:tabs>
          <w:tab w:val="left" w:pos="3193"/>
        </w:tabs>
        <w:spacing w:line="380" w:lineRule="exact"/>
        <w:rPr>
          <w:color w:val="auto"/>
          <w:szCs w:val="21"/>
          <w:highlight w:val="none"/>
        </w:rPr>
      </w:pPr>
      <w:r>
        <w:rPr>
          <w:color w:val="auto"/>
          <w:szCs w:val="21"/>
          <w:highlight w:val="none"/>
        </w:rPr>
        <w:t xml:space="preserve">3.1  监理人的职责和权力      </w:t>
      </w:r>
    </w:p>
    <w:p>
      <w:pPr>
        <w:tabs>
          <w:tab w:val="left" w:pos="3193"/>
        </w:tabs>
        <w:spacing w:line="380" w:lineRule="exact"/>
        <w:rPr>
          <w:color w:val="auto"/>
          <w:szCs w:val="21"/>
          <w:highlight w:val="none"/>
        </w:rPr>
      </w:pPr>
      <w:r>
        <w:rPr>
          <w:rFonts w:hint="eastAsia"/>
          <w:color w:val="auto"/>
          <w:szCs w:val="21"/>
          <w:highlight w:val="none"/>
        </w:rPr>
        <w:t xml:space="preserve">   </w:t>
      </w:r>
      <w:r>
        <w:rPr>
          <w:color w:val="auto"/>
          <w:szCs w:val="21"/>
          <w:highlight w:val="none"/>
        </w:rPr>
        <w:t xml:space="preserve">  第3.1.1 项补充： </w:t>
      </w:r>
    </w:p>
    <w:p>
      <w:pPr>
        <w:tabs>
          <w:tab w:val="left" w:pos="3193"/>
        </w:tabs>
        <w:spacing w:line="380" w:lineRule="exact"/>
        <w:rPr>
          <w:color w:val="auto"/>
          <w:szCs w:val="21"/>
          <w:highlight w:val="none"/>
        </w:rPr>
      </w:pPr>
      <w:r>
        <w:rPr>
          <w:color w:val="auto"/>
          <w:szCs w:val="21"/>
          <w:highlight w:val="none"/>
        </w:rPr>
        <w:t xml:space="preserve">     监理人在行使下列权力前需要经发包人事先批准： </w:t>
      </w:r>
    </w:p>
    <w:p>
      <w:pPr>
        <w:tabs>
          <w:tab w:val="left" w:pos="3193"/>
        </w:tabs>
        <w:spacing w:line="380" w:lineRule="exact"/>
        <w:rPr>
          <w:color w:val="auto"/>
          <w:szCs w:val="21"/>
          <w:highlight w:val="none"/>
        </w:rPr>
      </w:pPr>
      <w:r>
        <w:rPr>
          <w:color w:val="auto"/>
          <w:szCs w:val="21"/>
          <w:highlight w:val="none"/>
        </w:rPr>
        <w:t xml:space="preserve">     （1）根据第4.3 款，同意分包本工程的某些非关键性工作或者适合专业化队伍施工的专项工程；</w:t>
      </w:r>
    </w:p>
    <w:p>
      <w:pPr>
        <w:tabs>
          <w:tab w:val="left" w:pos="3193"/>
        </w:tabs>
        <w:spacing w:line="380" w:lineRule="exact"/>
        <w:rPr>
          <w:color w:val="auto"/>
          <w:szCs w:val="21"/>
          <w:highlight w:val="none"/>
        </w:rPr>
      </w:pPr>
      <w:r>
        <w:rPr>
          <w:color w:val="auto"/>
          <w:szCs w:val="21"/>
          <w:highlight w:val="none"/>
        </w:rPr>
        <w:t xml:space="preserve">     （2）确定第4.11 款下产生的费用增加额； </w:t>
      </w:r>
    </w:p>
    <w:p>
      <w:pPr>
        <w:tabs>
          <w:tab w:val="left" w:pos="3193"/>
        </w:tabs>
        <w:spacing w:line="380" w:lineRule="exact"/>
        <w:ind w:left="594" w:hanging="594" w:hangingChars="270"/>
        <w:rPr>
          <w:color w:val="auto"/>
          <w:szCs w:val="21"/>
          <w:highlight w:val="none"/>
        </w:rPr>
      </w:pPr>
      <w:r>
        <w:rPr>
          <w:color w:val="auto"/>
          <w:szCs w:val="21"/>
          <w:highlight w:val="none"/>
        </w:rPr>
        <w:t xml:space="preserve">     （3）根据第11.1 款、第12.3 款、第12.4 款发布开工通知、暂停施工指示或复工通知； </w:t>
      </w:r>
    </w:p>
    <w:p>
      <w:pPr>
        <w:tabs>
          <w:tab w:val="left" w:pos="3193"/>
        </w:tabs>
        <w:spacing w:line="380" w:lineRule="exact"/>
        <w:ind w:left="594" w:hanging="594" w:hangingChars="270"/>
        <w:rPr>
          <w:color w:val="auto"/>
          <w:szCs w:val="21"/>
          <w:highlight w:val="none"/>
        </w:rPr>
      </w:pPr>
      <w:r>
        <w:rPr>
          <w:color w:val="auto"/>
          <w:szCs w:val="21"/>
          <w:highlight w:val="none"/>
        </w:rPr>
        <w:t xml:space="preserve">   </w:t>
      </w:r>
      <w:r>
        <w:rPr>
          <w:rFonts w:hint="eastAsia"/>
          <w:color w:val="auto"/>
          <w:szCs w:val="21"/>
          <w:highlight w:val="none"/>
        </w:rPr>
        <w:t xml:space="preserve">  </w:t>
      </w:r>
      <w:r>
        <w:rPr>
          <w:color w:val="auto"/>
          <w:szCs w:val="21"/>
          <w:highlight w:val="none"/>
        </w:rPr>
        <w:t xml:space="preserve">（4）决定第11.3 款、第11.4 款下的工期延长；  </w:t>
      </w:r>
    </w:p>
    <w:p>
      <w:pPr>
        <w:tabs>
          <w:tab w:val="left" w:pos="3193"/>
        </w:tabs>
        <w:spacing w:line="380" w:lineRule="exact"/>
        <w:ind w:firstLine="420"/>
        <w:rPr>
          <w:color w:val="auto"/>
          <w:szCs w:val="21"/>
          <w:highlight w:val="none"/>
        </w:rPr>
      </w:pPr>
      <w:r>
        <w:rPr>
          <w:rFonts w:hint="eastAsia"/>
          <w:color w:val="auto"/>
          <w:szCs w:val="21"/>
          <w:highlight w:val="none"/>
        </w:rPr>
        <w:t xml:space="preserve"> </w:t>
      </w:r>
      <w:r>
        <w:rPr>
          <w:color w:val="auto"/>
          <w:szCs w:val="21"/>
          <w:highlight w:val="none"/>
        </w:rPr>
        <w:t xml:space="preserve">（5）审查批准技术方案或设计的变更；    </w:t>
      </w:r>
    </w:p>
    <w:p>
      <w:pPr>
        <w:tabs>
          <w:tab w:val="left" w:pos="3193"/>
        </w:tabs>
        <w:spacing w:line="380" w:lineRule="exact"/>
        <w:ind w:firstLine="420"/>
        <w:rPr>
          <w:color w:val="auto"/>
          <w:szCs w:val="21"/>
          <w:highlight w:val="none"/>
        </w:rPr>
      </w:pPr>
      <w:r>
        <w:rPr>
          <w:color w:val="auto"/>
          <w:szCs w:val="21"/>
          <w:highlight w:val="none"/>
        </w:rPr>
        <w:t xml:space="preserve"> （6）根据第 15.3  款发出的变更指示，其单项工程变更或累计变更涉及的金额超过了项目专用合同条款数据表中规定的金额；      </w:t>
      </w:r>
    </w:p>
    <w:p>
      <w:pPr>
        <w:tabs>
          <w:tab w:val="left" w:pos="3193"/>
        </w:tabs>
        <w:spacing w:line="380" w:lineRule="exact"/>
        <w:ind w:firstLine="420"/>
        <w:rPr>
          <w:color w:val="auto"/>
          <w:szCs w:val="21"/>
          <w:highlight w:val="none"/>
        </w:rPr>
      </w:pPr>
      <w:r>
        <w:rPr>
          <w:color w:val="auto"/>
          <w:szCs w:val="21"/>
          <w:highlight w:val="none"/>
        </w:rPr>
        <w:t xml:space="preserve"> （7）确定第15.4 款下变更工作的单价；  </w:t>
      </w:r>
    </w:p>
    <w:p>
      <w:pPr>
        <w:tabs>
          <w:tab w:val="left" w:pos="3193"/>
        </w:tabs>
        <w:spacing w:line="380" w:lineRule="exact"/>
        <w:ind w:firstLine="420"/>
        <w:rPr>
          <w:color w:val="auto"/>
          <w:szCs w:val="21"/>
          <w:highlight w:val="none"/>
        </w:rPr>
      </w:pPr>
      <w:r>
        <w:rPr>
          <w:color w:val="auto"/>
          <w:szCs w:val="21"/>
          <w:highlight w:val="none"/>
        </w:rPr>
        <w:t xml:space="preserve"> （8）按照第15.6 款决定有关暂列金额的使用；    </w:t>
      </w:r>
    </w:p>
    <w:p>
      <w:pPr>
        <w:tabs>
          <w:tab w:val="left" w:pos="3193"/>
        </w:tabs>
        <w:spacing w:line="380" w:lineRule="exact"/>
        <w:ind w:firstLine="420"/>
        <w:rPr>
          <w:color w:val="auto"/>
          <w:szCs w:val="21"/>
          <w:highlight w:val="none"/>
        </w:rPr>
      </w:pPr>
      <w:r>
        <w:rPr>
          <w:color w:val="auto"/>
          <w:szCs w:val="21"/>
          <w:highlight w:val="none"/>
        </w:rPr>
        <w:t xml:space="preserve"> （9）确定第15.8 款下的暂估价金额；   </w:t>
      </w:r>
    </w:p>
    <w:p>
      <w:pPr>
        <w:tabs>
          <w:tab w:val="left" w:pos="3193"/>
        </w:tabs>
        <w:spacing w:line="380" w:lineRule="exact"/>
        <w:ind w:firstLine="420"/>
        <w:rPr>
          <w:color w:val="auto"/>
          <w:szCs w:val="21"/>
          <w:highlight w:val="none"/>
        </w:rPr>
      </w:pPr>
      <w:r>
        <w:rPr>
          <w:rFonts w:hint="eastAsia"/>
          <w:color w:val="auto"/>
          <w:szCs w:val="21"/>
          <w:highlight w:val="none"/>
        </w:rPr>
        <w:t xml:space="preserve"> </w:t>
      </w:r>
      <w:r>
        <w:rPr>
          <w:color w:val="auto"/>
          <w:szCs w:val="21"/>
          <w:highlight w:val="none"/>
        </w:rPr>
        <w:t xml:space="preserve">（10）确定第23.1 款下的索赔额。 </w:t>
      </w:r>
    </w:p>
    <w:p>
      <w:pPr>
        <w:tabs>
          <w:tab w:val="left" w:pos="3193"/>
        </w:tabs>
        <w:spacing w:line="380" w:lineRule="exact"/>
        <w:ind w:firstLine="420"/>
        <w:rPr>
          <w:color w:val="auto"/>
          <w:szCs w:val="21"/>
          <w:highlight w:val="none"/>
        </w:rPr>
      </w:pPr>
      <w:r>
        <w:rPr>
          <w:rFonts w:hint="eastAsia"/>
          <w:color w:val="auto"/>
          <w:szCs w:val="21"/>
          <w:highlight w:val="none"/>
        </w:rPr>
        <w:t xml:space="preserve"> </w:t>
      </w:r>
      <w:r>
        <w:rPr>
          <w:color w:val="auto"/>
          <w:szCs w:val="21"/>
          <w:highlight w:val="none"/>
        </w:rPr>
        <w:t xml:space="preserve">如果发生紧急情况，监理人认为将造成人员伤亡，或危及本工程或邻近的财产需立即采取行动，监理人有权在未征得发包人的批准的情况下发布处理紧急情况所必需的指令，承包人应予执行，由此造成的费用增加由监理人按第3.5 款商定或确定。 </w:t>
      </w:r>
    </w:p>
    <w:p>
      <w:pPr>
        <w:tabs>
          <w:tab w:val="left" w:pos="3193"/>
        </w:tabs>
        <w:spacing w:line="380" w:lineRule="exact"/>
        <w:rPr>
          <w:color w:val="auto"/>
          <w:szCs w:val="21"/>
          <w:highlight w:val="none"/>
        </w:rPr>
      </w:pPr>
      <w:r>
        <w:rPr>
          <w:color w:val="auto"/>
          <w:szCs w:val="21"/>
          <w:highlight w:val="none"/>
        </w:rPr>
        <w:t xml:space="preserve">3.5  商定或确定  </w:t>
      </w:r>
    </w:p>
    <w:p>
      <w:pPr>
        <w:tabs>
          <w:tab w:val="left" w:pos="3193"/>
        </w:tabs>
        <w:spacing w:line="380" w:lineRule="exact"/>
        <w:ind w:firstLine="420"/>
        <w:rPr>
          <w:color w:val="auto"/>
          <w:szCs w:val="21"/>
          <w:highlight w:val="none"/>
        </w:rPr>
      </w:pPr>
      <w:r>
        <w:rPr>
          <w:rFonts w:hint="eastAsia"/>
          <w:color w:val="auto"/>
          <w:szCs w:val="21"/>
          <w:highlight w:val="none"/>
        </w:rPr>
        <w:t xml:space="preserve"> </w:t>
      </w:r>
      <w:r>
        <w:rPr>
          <w:color w:val="auto"/>
          <w:szCs w:val="21"/>
          <w:highlight w:val="none"/>
        </w:rPr>
        <w:t xml:space="preserve">第3.5.1 项补充：  </w:t>
      </w:r>
    </w:p>
    <w:p>
      <w:pPr>
        <w:tabs>
          <w:tab w:val="left" w:pos="3193"/>
        </w:tabs>
        <w:spacing w:line="380" w:lineRule="exact"/>
        <w:ind w:firstLine="420"/>
        <w:rPr>
          <w:color w:val="auto"/>
          <w:szCs w:val="21"/>
          <w:highlight w:val="none"/>
        </w:rPr>
      </w:pPr>
      <w:r>
        <w:rPr>
          <w:color w:val="auto"/>
          <w:szCs w:val="21"/>
          <w:highlight w:val="none"/>
        </w:rPr>
        <w:t xml:space="preserve"> 如果这项商定或确定导致费用增加和（或）工期延长，或者涉及确定变更工程的价格，则总监理工程师在发出通知前，应征得发包人的同意。 </w:t>
      </w:r>
    </w:p>
    <w:p>
      <w:pPr>
        <w:tabs>
          <w:tab w:val="left" w:pos="3193"/>
        </w:tabs>
        <w:spacing w:line="380" w:lineRule="exact"/>
        <w:rPr>
          <w:color w:val="auto"/>
          <w:szCs w:val="21"/>
          <w:highlight w:val="none"/>
        </w:rPr>
      </w:pPr>
      <w:r>
        <w:rPr>
          <w:color w:val="auto"/>
          <w:szCs w:val="21"/>
          <w:highlight w:val="none"/>
        </w:rPr>
        <w:t>4.  承包人</w:t>
      </w:r>
    </w:p>
    <w:p>
      <w:pPr>
        <w:tabs>
          <w:tab w:val="left" w:pos="3193"/>
        </w:tabs>
        <w:spacing w:line="380" w:lineRule="exact"/>
        <w:rPr>
          <w:color w:val="auto"/>
          <w:szCs w:val="21"/>
          <w:highlight w:val="none"/>
        </w:rPr>
      </w:pPr>
      <w:r>
        <w:rPr>
          <w:color w:val="auto"/>
          <w:szCs w:val="21"/>
          <w:highlight w:val="none"/>
        </w:rPr>
        <w:t xml:space="preserve">4.1  承包人的一般义务 </w:t>
      </w:r>
    </w:p>
    <w:p>
      <w:pPr>
        <w:tabs>
          <w:tab w:val="left" w:pos="3193"/>
        </w:tabs>
        <w:spacing w:line="380" w:lineRule="exact"/>
        <w:rPr>
          <w:color w:val="auto"/>
          <w:szCs w:val="21"/>
          <w:highlight w:val="none"/>
        </w:rPr>
      </w:pPr>
      <w:r>
        <w:rPr>
          <w:color w:val="auto"/>
          <w:szCs w:val="21"/>
          <w:highlight w:val="none"/>
        </w:rPr>
        <w:t xml:space="preserve">   </w:t>
      </w:r>
      <w:r>
        <w:rPr>
          <w:rFonts w:hint="eastAsia"/>
          <w:color w:val="auto"/>
          <w:szCs w:val="21"/>
          <w:highlight w:val="none"/>
        </w:rPr>
        <w:t xml:space="preserve"> </w:t>
      </w:r>
      <w:r>
        <w:rPr>
          <w:color w:val="auto"/>
          <w:szCs w:val="21"/>
          <w:highlight w:val="none"/>
        </w:rPr>
        <w:t xml:space="preserve"> 4.1.9  工程的维护和照管   </w:t>
      </w:r>
    </w:p>
    <w:p>
      <w:pPr>
        <w:tabs>
          <w:tab w:val="left" w:pos="3193"/>
        </w:tabs>
        <w:spacing w:line="380" w:lineRule="exact"/>
        <w:rPr>
          <w:color w:val="auto"/>
          <w:szCs w:val="21"/>
          <w:highlight w:val="none"/>
        </w:rPr>
      </w:pPr>
      <w:r>
        <w:rPr>
          <w:color w:val="auto"/>
          <w:szCs w:val="21"/>
          <w:highlight w:val="none"/>
        </w:rPr>
        <w:t xml:space="preserve">    </w:t>
      </w:r>
      <w:r>
        <w:rPr>
          <w:rFonts w:hint="eastAsia"/>
          <w:color w:val="auto"/>
          <w:szCs w:val="21"/>
          <w:highlight w:val="none"/>
        </w:rPr>
        <w:t xml:space="preserve"> </w:t>
      </w:r>
      <w:r>
        <w:rPr>
          <w:color w:val="auto"/>
          <w:szCs w:val="21"/>
          <w:highlight w:val="none"/>
        </w:rPr>
        <w:t>本项细化为：</w:t>
      </w:r>
    </w:p>
    <w:p>
      <w:pPr>
        <w:tabs>
          <w:tab w:val="left" w:pos="3193"/>
        </w:tabs>
        <w:spacing w:line="380" w:lineRule="exact"/>
        <w:rPr>
          <w:color w:val="auto"/>
          <w:szCs w:val="21"/>
          <w:highlight w:val="none"/>
        </w:rPr>
      </w:pPr>
      <w:r>
        <w:rPr>
          <w:rFonts w:hint="eastAsia"/>
          <w:color w:val="auto"/>
          <w:szCs w:val="21"/>
          <w:highlight w:val="none"/>
        </w:rPr>
        <w:t xml:space="preserve">  </w:t>
      </w:r>
      <w:r>
        <w:rPr>
          <w:color w:val="auto"/>
          <w:szCs w:val="21"/>
          <w:highlight w:val="none"/>
        </w:rPr>
        <w:t xml:space="preserve">  （1）交工验收证书颁发前，承包人应负责照管和维护工程及将用于或安装在本工程中的材料、设备。交工验收证书颁发时尚有部分未交工工程的，承包人还应负责该未交工工程、材料、设备的照管和维护工作，直至交工后移交给发包人为止。</w:t>
      </w:r>
    </w:p>
    <w:p>
      <w:pPr>
        <w:tabs>
          <w:tab w:val="left" w:pos="3193"/>
        </w:tabs>
        <w:spacing w:line="380" w:lineRule="exact"/>
        <w:ind w:firstLine="435"/>
        <w:rPr>
          <w:color w:val="auto"/>
          <w:szCs w:val="21"/>
          <w:highlight w:val="none"/>
        </w:rPr>
      </w:pPr>
      <w:r>
        <w:rPr>
          <w:color w:val="auto"/>
          <w:szCs w:val="21"/>
          <w:highlight w:val="none"/>
        </w:rPr>
        <w:t xml:space="preserve">（2）在承包人负责照管与维护期间，如果本工程或材料、设备等发生损失或损害，除不可抗力原因之外，承包人均应自费弥补，并达到合同要求。承包人还应对按第19 条规定而实施作业过程中由承包人造成的对工程的任何损失或损害负责。 </w:t>
      </w:r>
    </w:p>
    <w:p>
      <w:pPr>
        <w:tabs>
          <w:tab w:val="left" w:pos="3193"/>
        </w:tabs>
        <w:spacing w:line="380" w:lineRule="exact"/>
        <w:ind w:firstLine="435"/>
        <w:rPr>
          <w:color w:val="auto"/>
          <w:szCs w:val="21"/>
          <w:highlight w:val="none"/>
        </w:rPr>
      </w:pPr>
      <w:r>
        <w:rPr>
          <w:color w:val="auto"/>
          <w:szCs w:val="21"/>
          <w:highlight w:val="none"/>
        </w:rPr>
        <w:t xml:space="preserve"> 4.1.10  其他义务 </w:t>
      </w:r>
    </w:p>
    <w:p>
      <w:pPr>
        <w:tabs>
          <w:tab w:val="left" w:pos="3193"/>
        </w:tabs>
        <w:spacing w:line="380" w:lineRule="exact"/>
        <w:ind w:firstLine="435"/>
        <w:rPr>
          <w:color w:val="auto"/>
          <w:szCs w:val="21"/>
          <w:highlight w:val="none"/>
        </w:rPr>
      </w:pPr>
      <w:r>
        <w:rPr>
          <w:color w:val="auto"/>
          <w:szCs w:val="21"/>
          <w:highlight w:val="none"/>
        </w:rPr>
        <w:t xml:space="preserve"> 本项细化为：   </w:t>
      </w:r>
    </w:p>
    <w:p>
      <w:pPr>
        <w:tabs>
          <w:tab w:val="left" w:pos="3193"/>
        </w:tabs>
        <w:spacing w:line="380" w:lineRule="exact"/>
        <w:ind w:firstLine="435"/>
        <w:rPr>
          <w:color w:val="auto"/>
          <w:szCs w:val="21"/>
          <w:highlight w:val="none"/>
        </w:rPr>
      </w:pPr>
      <w:r>
        <w:rPr>
          <w:color w:val="auto"/>
          <w:szCs w:val="21"/>
          <w:highlight w:val="none"/>
        </w:rPr>
        <w:t>（1）临时占地由承包人向当地政府土地管理部门申请，并办理租用手续，承包人按有关规定直接支付其费用，发包人对此将予以协调。</w:t>
      </w:r>
    </w:p>
    <w:p>
      <w:pPr>
        <w:tabs>
          <w:tab w:val="left" w:pos="3193"/>
        </w:tabs>
        <w:spacing w:line="380" w:lineRule="exact"/>
        <w:ind w:firstLine="435"/>
        <w:rPr>
          <w:color w:val="auto"/>
          <w:szCs w:val="21"/>
          <w:highlight w:val="none"/>
        </w:rPr>
      </w:pPr>
      <w:r>
        <w:rPr>
          <w:color w:val="auto"/>
          <w:szCs w:val="21"/>
          <w:highlight w:val="none"/>
        </w:rPr>
        <w:t xml:space="preserve"> 临时占地范围包括承包人驻地的办公室、食堂、宿舍、道路和机械设备停放场、材料堆放场地、弃土场、预制场、拌和场、仓库、进场临时道路、临时便道、便桥 等。承包人应在“临时占地计划表”范围内按实际需要与先后次序，提出具体计划 报监理人同意，并报发包人。临时占地的面积和使用期应满足工程需要，费用包括 临时占地数量、时间及因此而发生的协调、租用、复耕、地面附着物（电力、电信、 房屋、坟墓除外）的拆迁补偿等相关费用。除项目专用合同条款另有约定外，临时 占地的租地费用实行总额包干，列入工程量清单第100 章中由承包人按总额报价。</w:t>
      </w:r>
    </w:p>
    <w:p>
      <w:pPr>
        <w:tabs>
          <w:tab w:val="left" w:pos="3193"/>
        </w:tabs>
        <w:spacing w:line="380" w:lineRule="exact"/>
        <w:rPr>
          <w:color w:val="auto"/>
          <w:szCs w:val="21"/>
          <w:highlight w:val="none"/>
        </w:rPr>
      </w:pPr>
      <w:r>
        <w:rPr>
          <w:rFonts w:hint="eastAsia"/>
          <w:color w:val="auto"/>
          <w:szCs w:val="21"/>
          <w:highlight w:val="none"/>
        </w:rPr>
        <w:t xml:space="preserve">   </w:t>
      </w:r>
      <w:r>
        <w:rPr>
          <w:color w:val="auto"/>
          <w:szCs w:val="21"/>
          <w:highlight w:val="none"/>
        </w:rPr>
        <w:t xml:space="preserve">  临时占地退还前，承包人应自费恢复到临时占地使用前的状况。如因承包人撤离后未按要求对临时占地进行恢复或虽进行了恢复但未达到使用标准的，将由发包人委托第三方对其恢复，所发生的费用将从应付给承包人的任何款项内扣除。</w:t>
      </w:r>
    </w:p>
    <w:p>
      <w:pPr>
        <w:tabs>
          <w:tab w:val="left" w:pos="3193"/>
        </w:tabs>
        <w:spacing w:line="380" w:lineRule="exact"/>
        <w:ind w:firstLine="435"/>
        <w:rPr>
          <w:color w:val="auto"/>
          <w:szCs w:val="21"/>
          <w:highlight w:val="none"/>
        </w:rPr>
      </w:pPr>
      <w:r>
        <w:rPr>
          <w:color w:val="auto"/>
          <w:szCs w:val="21"/>
          <w:highlight w:val="none"/>
        </w:rPr>
        <w:t xml:space="preserve">（2）除项目专用合同条款另有约定外，承包人应承担并支付为获得本合同工程所需的石料、砂、砾石、黏土或其他当地材料等所发生的料场使用费及其他开支或 补偿费。发包人应尽可能协助承包人办理料场租用手续及解决使用过程中的有关问题。     </w:t>
      </w:r>
    </w:p>
    <w:p>
      <w:pPr>
        <w:tabs>
          <w:tab w:val="left" w:pos="3193"/>
        </w:tabs>
        <w:spacing w:line="380" w:lineRule="exact"/>
        <w:ind w:firstLine="440" w:firstLineChars="200"/>
        <w:rPr>
          <w:color w:val="auto"/>
          <w:szCs w:val="21"/>
          <w:highlight w:val="none"/>
        </w:rPr>
      </w:pPr>
      <w:r>
        <w:rPr>
          <w:color w:val="auto"/>
          <w:szCs w:val="21"/>
          <w:highlight w:val="none"/>
        </w:rPr>
        <w:t xml:space="preserve">（3）承包人应严格遵守国家有关解决拖欠工程款和民工工资的法律、法规，及时支付工程中的材料、设备货款及民工工资等费用。承包人不得以任何借口拖欠材料、设备货款及民工工资等费用，如果出现此种现象，发包人有权代为支付其拖欠的材料、设备货款及民工工资，并从应付给承包人的工程款中扣除相应款项。对恶意拖欠和拒不按计划支付的，作为不良记录纳入公路建设市场信用信息管理系统。   </w:t>
      </w:r>
    </w:p>
    <w:p>
      <w:pPr>
        <w:tabs>
          <w:tab w:val="left" w:pos="3193"/>
        </w:tabs>
        <w:spacing w:line="380" w:lineRule="exact"/>
        <w:ind w:firstLine="440" w:firstLineChars="200"/>
        <w:rPr>
          <w:color w:val="auto"/>
          <w:szCs w:val="21"/>
          <w:highlight w:val="none"/>
        </w:rPr>
      </w:pPr>
      <w:r>
        <w:rPr>
          <w:color w:val="auto"/>
          <w:szCs w:val="21"/>
          <w:highlight w:val="none"/>
        </w:rPr>
        <w:t xml:space="preserve"> 承包人的项目经理部是民工工资支付行为的主体，承包人的项目经理是民工工资支付的责任人。项目经理部要建立全体民工花名册和工资支付表，确保将工资直接 发放给民工本人，或委托银行发放民工工资，严禁发放给“包工头”或其他不具备用 工主体资格的组织和个人。</w:t>
      </w:r>
    </w:p>
    <w:p>
      <w:pPr>
        <w:tabs>
          <w:tab w:val="left" w:pos="3193"/>
        </w:tabs>
        <w:spacing w:line="380" w:lineRule="exact"/>
        <w:ind w:firstLine="440" w:firstLineChars="200"/>
        <w:rPr>
          <w:color w:val="auto"/>
          <w:szCs w:val="21"/>
          <w:highlight w:val="none"/>
        </w:rPr>
      </w:pPr>
      <w:r>
        <w:rPr>
          <w:color w:val="auto"/>
          <w:szCs w:val="21"/>
          <w:highlight w:val="none"/>
        </w:rPr>
        <w:t xml:space="preserve"> 工资支付表应如实记录支付单位、支付时间、支付对象、支付数额、支付对象的身份证号和签字等信息。民工花名册和工资支付表应报监理人备查。</w:t>
      </w:r>
    </w:p>
    <w:p>
      <w:pPr>
        <w:tabs>
          <w:tab w:val="left" w:pos="3193"/>
        </w:tabs>
        <w:spacing w:line="380" w:lineRule="exact"/>
        <w:ind w:firstLine="440" w:firstLineChars="200"/>
        <w:rPr>
          <w:color w:val="auto"/>
          <w:szCs w:val="21"/>
          <w:highlight w:val="none"/>
        </w:rPr>
      </w:pPr>
      <w:r>
        <w:rPr>
          <w:color w:val="auto"/>
          <w:szCs w:val="21"/>
          <w:highlight w:val="none"/>
        </w:rPr>
        <w:t>（4）承包人应分解工程价款中的人工费用，在工程项目所在地银行开设民工工资（劳务费）专用账户，专项用于支付民工工资。发包人应按照本合同约定的比例 或承包人提供的人工费用数额，将应付工程款中的人工费单独拨付到承包人开设的 民工工资（劳务费）专用账户。民工工资（劳务费）专用账户应向人力资源社会保 障部门和交通运输主管部门备案，并委托开户银行负责日常监管，确保专款专用。 开户银行发现账户资金不足、被挪用等情况，应及时向人力资源社会保障部门和交 通运输主管部门报告。</w:t>
      </w:r>
    </w:p>
    <w:p>
      <w:pPr>
        <w:tabs>
          <w:tab w:val="left" w:pos="3193"/>
        </w:tabs>
        <w:spacing w:line="380" w:lineRule="exact"/>
        <w:ind w:firstLine="440" w:firstLineChars="200"/>
        <w:rPr>
          <w:color w:val="auto"/>
          <w:szCs w:val="21"/>
          <w:highlight w:val="none"/>
        </w:rPr>
      </w:pPr>
      <w:r>
        <w:rPr>
          <w:color w:val="auto"/>
          <w:szCs w:val="21"/>
          <w:highlight w:val="none"/>
        </w:rPr>
        <w:t xml:space="preserve">（5）承包人应严格执行招标文件技术规范对施工标准化提出的具体要求，结合 本单位施工能力和技术优势，积极采取有利于标准化施工的组织方式和工艺流程， 加强工地建设、工艺控制、人员管理和内业资料管理，强化对施工一线操作人员的培训，改善职工生产生活条件，与此相关的费用承包人应列入工程量清单第 100 章中。 </w:t>
      </w:r>
    </w:p>
    <w:p>
      <w:pPr>
        <w:tabs>
          <w:tab w:val="left" w:pos="3193"/>
        </w:tabs>
        <w:spacing w:line="380" w:lineRule="exact"/>
        <w:ind w:firstLine="420"/>
        <w:rPr>
          <w:color w:val="auto"/>
          <w:szCs w:val="21"/>
          <w:highlight w:val="none"/>
        </w:rPr>
      </w:pPr>
      <w:r>
        <w:rPr>
          <w:color w:val="auto"/>
          <w:szCs w:val="21"/>
          <w:highlight w:val="none"/>
        </w:rPr>
        <w:t>（6）承包人应履行项目专用合同条款约定的其他义务。</w:t>
      </w:r>
    </w:p>
    <w:p>
      <w:pPr>
        <w:tabs>
          <w:tab w:val="left" w:pos="3193"/>
        </w:tabs>
        <w:spacing w:line="380" w:lineRule="exact"/>
        <w:rPr>
          <w:color w:val="auto"/>
          <w:szCs w:val="21"/>
          <w:highlight w:val="none"/>
        </w:rPr>
      </w:pPr>
      <w:r>
        <w:rPr>
          <w:color w:val="auto"/>
          <w:szCs w:val="21"/>
          <w:highlight w:val="none"/>
        </w:rPr>
        <w:t>4.</w:t>
      </w:r>
      <w:r>
        <w:rPr>
          <w:rFonts w:hint="eastAsia"/>
          <w:color w:val="auto"/>
          <w:szCs w:val="21"/>
          <w:highlight w:val="none"/>
        </w:rPr>
        <w:t>2</w:t>
      </w:r>
      <w:r>
        <w:rPr>
          <w:color w:val="auto"/>
          <w:szCs w:val="21"/>
          <w:highlight w:val="none"/>
        </w:rPr>
        <w:t xml:space="preserve">  分包 </w:t>
      </w:r>
    </w:p>
    <w:p>
      <w:pPr>
        <w:tabs>
          <w:tab w:val="left" w:pos="3193"/>
        </w:tabs>
        <w:spacing w:line="380" w:lineRule="exact"/>
        <w:ind w:firstLine="420"/>
        <w:rPr>
          <w:color w:val="auto"/>
          <w:szCs w:val="21"/>
          <w:highlight w:val="none"/>
        </w:rPr>
      </w:pPr>
      <w:r>
        <w:rPr>
          <w:rFonts w:hint="eastAsia"/>
          <w:color w:val="auto"/>
          <w:szCs w:val="21"/>
          <w:highlight w:val="none"/>
        </w:rPr>
        <w:t xml:space="preserve"> </w:t>
      </w:r>
      <w:r>
        <w:rPr>
          <w:color w:val="auto"/>
          <w:szCs w:val="21"/>
          <w:highlight w:val="none"/>
        </w:rPr>
        <w:t>第4.3.2 项～第4.3.4 项细化为：</w:t>
      </w:r>
    </w:p>
    <w:p>
      <w:pPr>
        <w:tabs>
          <w:tab w:val="left" w:pos="3193"/>
        </w:tabs>
        <w:spacing w:line="380" w:lineRule="exact"/>
        <w:ind w:firstLine="420"/>
        <w:rPr>
          <w:color w:val="auto"/>
          <w:szCs w:val="21"/>
          <w:highlight w:val="none"/>
        </w:rPr>
      </w:pPr>
      <w:r>
        <w:rPr>
          <w:rFonts w:hint="eastAsia"/>
          <w:color w:val="auto"/>
          <w:szCs w:val="21"/>
          <w:highlight w:val="none"/>
        </w:rPr>
        <w:t xml:space="preserve"> </w:t>
      </w:r>
      <w:r>
        <w:rPr>
          <w:color w:val="auto"/>
          <w:szCs w:val="21"/>
          <w:highlight w:val="none"/>
        </w:rPr>
        <w:t>4.3.2  承包人不得将工程关键性工作分包给第三人。经发包人同意，承包人可将工程的其他部分或工作分包给第三人。分包包括专业分包和劳务分包。</w:t>
      </w:r>
    </w:p>
    <w:p>
      <w:pPr>
        <w:tabs>
          <w:tab w:val="left" w:pos="3193"/>
        </w:tabs>
        <w:spacing w:line="380" w:lineRule="exact"/>
        <w:ind w:firstLine="420"/>
        <w:rPr>
          <w:color w:val="auto"/>
          <w:szCs w:val="21"/>
          <w:highlight w:val="none"/>
        </w:rPr>
      </w:pPr>
      <w:r>
        <w:rPr>
          <w:color w:val="auto"/>
          <w:szCs w:val="21"/>
          <w:highlight w:val="none"/>
        </w:rPr>
        <w:t xml:space="preserve">  </w:t>
      </w:r>
      <w:r>
        <w:rPr>
          <w:rFonts w:hint="eastAsia"/>
          <w:color w:val="auto"/>
          <w:szCs w:val="21"/>
          <w:highlight w:val="none"/>
        </w:rPr>
        <w:t xml:space="preserve"> </w:t>
      </w:r>
      <w:r>
        <w:rPr>
          <w:color w:val="auto"/>
          <w:szCs w:val="21"/>
          <w:highlight w:val="none"/>
        </w:rPr>
        <w:t>4.3.3  专业分包</w:t>
      </w:r>
    </w:p>
    <w:p>
      <w:pPr>
        <w:tabs>
          <w:tab w:val="left" w:pos="3193"/>
        </w:tabs>
        <w:spacing w:line="380" w:lineRule="exact"/>
        <w:ind w:firstLine="420"/>
        <w:rPr>
          <w:color w:val="auto"/>
          <w:szCs w:val="21"/>
          <w:highlight w:val="none"/>
        </w:rPr>
      </w:pPr>
      <w:r>
        <w:rPr>
          <w:color w:val="auto"/>
          <w:szCs w:val="21"/>
          <w:highlight w:val="none"/>
        </w:rPr>
        <w:t xml:space="preserve">   在工程施工过程中，承包人进行专业分包必须遵守以下规定：</w:t>
      </w:r>
    </w:p>
    <w:p>
      <w:pPr>
        <w:tabs>
          <w:tab w:val="left" w:pos="3193"/>
        </w:tabs>
        <w:spacing w:line="380" w:lineRule="exact"/>
        <w:ind w:firstLine="420"/>
        <w:rPr>
          <w:color w:val="auto"/>
          <w:szCs w:val="21"/>
          <w:highlight w:val="none"/>
        </w:rPr>
      </w:pPr>
      <w:r>
        <w:rPr>
          <w:color w:val="auto"/>
          <w:szCs w:val="21"/>
          <w:highlight w:val="none"/>
        </w:rPr>
        <w:t xml:space="preserve">  （1）允许专业分包的工程范围仅限于非关键性工程或者适合专业化队伍施工的 专项工程。未列入投标文件的专项工程，承包人不得分包。但因工程变更增加了有特殊性技术要求、特殊工艺或者涉及专利保护等的专项工程，且按规定无须再进行 招标的，由承包人提出书面申请，经发包人书面同意，可以分包。</w:t>
      </w:r>
    </w:p>
    <w:p>
      <w:pPr>
        <w:tabs>
          <w:tab w:val="left" w:pos="3193"/>
        </w:tabs>
        <w:spacing w:line="380" w:lineRule="exact"/>
        <w:ind w:firstLine="420"/>
        <w:rPr>
          <w:color w:val="auto"/>
          <w:szCs w:val="21"/>
          <w:highlight w:val="none"/>
        </w:rPr>
      </w:pPr>
      <w:r>
        <w:rPr>
          <w:color w:val="auto"/>
          <w:szCs w:val="21"/>
          <w:highlight w:val="none"/>
        </w:rPr>
        <w:t xml:space="preserve">  （2）专业分包人的资格能力（含安全生产能力）应与其分包工程的标准和规模 相适应，且应当具备如下条件：</w:t>
      </w:r>
    </w:p>
    <w:p>
      <w:pPr>
        <w:tabs>
          <w:tab w:val="left" w:pos="3193"/>
        </w:tabs>
        <w:spacing w:line="380" w:lineRule="exact"/>
        <w:ind w:firstLine="420"/>
        <w:rPr>
          <w:color w:val="auto"/>
          <w:szCs w:val="21"/>
          <w:highlight w:val="none"/>
        </w:rPr>
      </w:pPr>
      <w:r>
        <w:rPr>
          <w:color w:val="auto"/>
          <w:szCs w:val="21"/>
          <w:highlight w:val="none"/>
        </w:rPr>
        <w:t xml:space="preserve">  a.  具有经工商登记的法人资格；</w:t>
      </w:r>
    </w:p>
    <w:p>
      <w:pPr>
        <w:tabs>
          <w:tab w:val="left" w:pos="3193"/>
        </w:tabs>
        <w:spacing w:line="380" w:lineRule="exact"/>
        <w:ind w:firstLine="420"/>
        <w:rPr>
          <w:color w:val="auto"/>
          <w:szCs w:val="21"/>
          <w:highlight w:val="none"/>
        </w:rPr>
      </w:pPr>
      <w:r>
        <w:rPr>
          <w:color w:val="auto"/>
          <w:szCs w:val="21"/>
          <w:highlight w:val="none"/>
        </w:rPr>
        <w:t xml:space="preserve">  b.  具有从事类似工程经验的管理与技术人员；</w:t>
      </w:r>
    </w:p>
    <w:p>
      <w:pPr>
        <w:tabs>
          <w:tab w:val="left" w:pos="3193"/>
        </w:tabs>
        <w:spacing w:line="380" w:lineRule="exact"/>
        <w:ind w:firstLine="420"/>
        <w:rPr>
          <w:color w:val="auto"/>
          <w:szCs w:val="21"/>
          <w:highlight w:val="none"/>
        </w:rPr>
      </w:pPr>
      <w:r>
        <w:rPr>
          <w:color w:val="auto"/>
          <w:szCs w:val="21"/>
          <w:highlight w:val="none"/>
        </w:rPr>
        <w:t xml:space="preserve">  c.  具有（自有或租赁）分包工程所需的施工设备。</w:t>
      </w:r>
    </w:p>
    <w:p>
      <w:pPr>
        <w:tabs>
          <w:tab w:val="left" w:pos="3193"/>
        </w:tabs>
        <w:spacing w:line="380" w:lineRule="exact"/>
        <w:ind w:firstLine="420"/>
        <w:rPr>
          <w:color w:val="auto"/>
          <w:szCs w:val="21"/>
          <w:highlight w:val="none"/>
        </w:rPr>
      </w:pPr>
      <w:r>
        <w:rPr>
          <w:color w:val="auto"/>
          <w:szCs w:val="21"/>
          <w:highlight w:val="none"/>
        </w:rPr>
        <w:t xml:space="preserve">  承包人应向监理人提交专业分包人的资格能力证明材料，经监理人审查并报发包人批准后，可以将相应专业工程分包给该专业分包人。</w:t>
      </w:r>
    </w:p>
    <w:p>
      <w:pPr>
        <w:tabs>
          <w:tab w:val="left" w:pos="851"/>
          <w:tab w:val="left" w:pos="3193"/>
        </w:tabs>
        <w:spacing w:line="380" w:lineRule="exact"/>
        <w:ind w:firstLine="420"/>
        <w:rPr>
          <w:color w:val="auto"/>
          <w:szCs w:val="21"/>
          <w:highlight w:val="none"/>
        </w:rPr>
      </w:pPr>
      <w:r>
        <w:rPr>
          <w:color w:val="auto"/>
          <w:szCs w:val="21"/>
          <w:highlight w:val="none"/>
        </w:rPr>
        <w:t xml:space="preserve"> （3）专业分包工程不得再次分包。</w:t>
      </w:r>
    </w:p>
    <w:p>
      <w:pPr>
        <w:tabs>
          <w:tab w:val="left" w:pos="851"/>
          <w:tab w:val="left" w:pos="3193"/>
        </w:tabs>
        <w:spacing w:line="380" w:lineRule="exact"/>
        <w:ind w:firstLine="420"/>
        <w:rPr>
          <w:color w:val="auto"/>
          <w:szCs w:val="21"/>
          <w:highlight w:val="none"/>
        </w:rPr>
      </w:pPr>
      <w:r>
        <w:rPr>
          <w:color w:val="auto"/>
          <w:szCs w:val="21"/>
          <w:highlight w:val="none"/>
        </w:rPr>
        <w:t xml:space="preserve"> （4）承包人和专业分包人应当按照交通运输主管部门制定的统一格式依法签订专业分包合同，并履行合同约定的义务。专业分包合同必须遵循承包合同的各项原 则，满足承包合同中的质量、安全、进度、环保以及其他技术、经济等要求。专业分包合同必须明确约定工程款支付条款、结算方式以及保证按期支付的相应措施，确保工程款的支付。承包人应在工程实施前，将经监理人审查同意后的分包合同报 发包人备案。</w:t>
      </w:r>
    </w:p>
    <w:p>
      <w:pPr>
        <w:tabs>
          <w:tab w:val="left" w:pos="851"/>
          <w:tab w:val="left" w:pos="3193"/>
        </w:tabs>
        <w:spacing w:line="380" w:lineRule="exact"/>
        <w:ind w:firstLine="420"/>
        <w:rPr>
          <w:color w:val="auto"/>
          <w:szCs w:val="21"/>
          <w:highlight w:val="none"/>
        </w:rPr>
      </w:pPr>
      <w:r>
        <w:rPr>
          <w:rFonts w:hint="eastAsia"/>
          <w:color w:val="auto"/>
          <w:szCs w:val="21"/>
          <w:highlight w:val="none"/>
        </w:rPr>
        <w:t xml:space="preserve"> </w:t>
      </w:r>
      <w:r>
        <w:rPr>
          <w:color w:val="auto"/>
          <w:szCs w:val="21"/>
          <w:highlight w:val="none"/>
        </w:rPr>
        <w:t>（5）专业分包人应当设立项目管理机构，对所分包工程的施工活动实施管理。项目管理机构应当具有与分包工程的规模、技术复杂程度相适应的技术、经济管理人员，其中项目负责人和技术、财务、计量、质量、安全等主要管理人员必须是专业分包人本单位人员。</w:t>
      </w:r>
    </w:p>
    <w:p>
      <w:pPr>
        <w:tabs>
          <w:tab w:val="left" w:pos="851"/>
          <w:tab w:val="left" w:pos="3193"/>
        </w:tabs>
        <w:spacing w:line="380" w:lineRule="exact"/>
        <w:ind w:firstLine="420"/>
        <w:rPr>
          <w:color w:val="auto"/>
          <w:szCs w:val="21"/>
          <w:highlight w:val="none"/>
        </w:rPr>
      </w:pPr>
      <w:r>
        <w:rPr>
          <w:color w:val="auto"/>
          <w:szCs w:val="21"/>
          <w:highlight w:val="none"/>
        </w:rPr>
        <w:t xml:space="preserve"> （6）承包人应当建立健全相关分包管理制度和台账，对专业分包工程的质量、安全、进度和专业分包人的行为等实施全过程管理，按照合同约定对专业分包工程的实施向发包人负责，并承担赔偿责任。专业分包合同不免除承包合同中规定的承包人的责任或者义务。</w:t>
      </w:r>
    </w:p>
    <w:p>
      <w:pPr>
        <w:tabs>
          <w:tab w:val="left" w:pos="851"/>
          <w:tab w:val="left" w:pos="3193"/>
        </w:tabs>
        <w:spacing w:line="380" w:lineRule="exact"/>
        <w:ind w:firstLine="420"/>
        <w:rPr>
          <w:color w:val="auto"/>
          <w:szCs w:val="21"/>
          <w:highlight w:val="none"/>
        </w:rPr>
      </w:pPr>
      <w:r>
        <w:rPr>
          <w:color w:val="auto"/>
          <w:szCs w:val="21"/>
          <w:highlight w:val="none"/>
        </w:rPr>
        <w:t xml:space="preserve"> （7）专业分包人应当依据专业分包合同的约定，组织分包工程的施工，并对分包工程的质量、安全和进度等实施有效控制。专业分包人对其分包的工程向承包人负责，并就所分包的工程向发包人承担连带责任。</w:t>
      </w:r>
    </w:p>
    <w:p>
      <w:pPr>
        <w:tabs>
          <w:tab w:val="left" w:pos="3193"/>
        </w:tabs>
        <w:spacing w:line="380" w:lineRule="exact"/>
        <w:ind w:firstLine="420"/>
        <w:rPr>
          <w:color w:val="auto"/>
          <w:szCs w:val="21"/>
          <w:highlight w:val="none"/>
        </w:rPr>
      </w:pPr>
      <w:r>
        <w:rPr>
          <w:color w:val="auto"/>
          <w:szCs w:val="21"/>
          <w:highlight w:val="none"/>
        </w:rPr>
        <w:t xml:space="preserve"> （8）承包人对施工现场安全负总责，并对专业分包人的安全生产进行培训和管理。专业分包人应将其专业分包工程的施工组织设计和施工安全方案报承包人备案。专业分包人对分包施工现场安全负责，发现事故隐患，应及时处理。</w:t>
      </w:r>
    </w:p>
    <w:p>
      <w:pPr>
        <w:tabs>
          <w:tab w:val="left" w:pos="3193"/>
        </w:tabs>
        <w:spacing w:line="380" w:lineRule="exact"/>
        <w:ind w:firstLine="420"/>
        <w:rPr>
          <w:color w:val="auto"/>
          <w:szCs w:val="21"/>
          <w:highlight w:val="none"/>
        </w:rPr>
      </w:pPr>
      <w:r>
        <w:rPr>
          <w:rFonts w:hint="eastAsia"/>
          <w:color w:val="auto"/>
          <w:szCs w:val="21"/>
          <w:highlight w:val="none"/>
        </w:rPr>
        <w:t xml:space="preserve"> </w:t>
      </w:r>
      <w:r>
        <w:rPr>
          <w:color w:val="auto"/>
          <w:szCs w:val="21"/>
          <w:highlight w:val="none"/>
        </w:rPr>
        <w:t>违反上述规定之一者属违规分包。</w:t>
      </w:r>
    </w:p>
    <w:p>
      <w:pPr>
        <w:tabs>
          <w:tab w:val="left" w:pos="3193"/>
        </w:tabs>
        <w:spacing w:line="380" w:lineRule="exact"/>
        <w:ind w:firstLine="420"/>
        <w:rPr>
          <w:color w:val="auto"/>
          <w:szCs w:val="21"/>
          <w:highlight w:val="none"/>
        </w:rPr>
      </w:pPr>
      <w:r>
        <w:rPr>
          <w:color w:val="auto"/>
          <w:szCs w:val="21"/>
          <w:highlight w:val="none"/>
        </w:rPr>
        <w:t xml:space="preserve"> 4.3.4  劳务分包</w:t>
      </w:r>
    </w:p>
    <w:p>
      <w:pPr>
        <w:tabs>
          <w:tab w:val="left" w:pos="3193"/>
        </w:tabs>
        <w:spacing w:line="380" w:lineRule="exact"/>
        <w:ind w:firstLine="420"/>
        <w:rPr>
          <w:color w:val="auto"/>
          <w:szCs w:val="21"/>
          <w:highlight w:val="none"/>
        </w:rPr>
      </w:pPr>
      <w:r>
        <w:rPr>
          <w:rFonts w:hint="eastAsia"/>
          <w:color w:val="auto"/>
          <w:szCs w:val="21"/>
          <w:highlight w:val="none"/>
        </w:rPr>
        <w:t xml:space="preserve"> </w:t>
      </w:r>
      <w:r>
        <w:rPr>
          <w:color w:val="auto"/>
          <w:szCs w:val="21"/>
          <w:highlight w:val="none"/>
        </w:rPr>
        <w:t>在工程施工过程中，承包人进行劳务分包必须遵守以下规定：</w:t>
      </w:r>
    </w:p>
    <w:p>
      <w:pPr>
        <w:tabs>
          <w:tab w:val="left" w:pos="3193"/>
        </w:tabs>
        <w:spacing w:line="380" w:lineRule="exact"/>
        <w:ind w:firstLine="420"/>
        <w:rPr>
          <w:color w:val="auto"/>
          <w:szCs w:val="21"/>
          <w:highlight w:val="none"/>
        </w:rPr>
      </w:pPr>
      <w:r>
        <w:rPr>
          <w:rFonts w:hint="eastAsia"/>
          <w:color w:val="auto"/>
          <w:szCs w:val="21"/>
          <w:highlight w:val="none"/>
        </w:rPr>
        <w:t xml:space="preserve"> </w:t>
      </w:r>
      <w:r>
        <w:rPr>
          <w:color w:val="auto"/>
          <w:szCs w:val="21"/>
          <w:highlight w:val="none"/>
        </w:rPr>
        <w:t>（1）劳务分包人应具有施工劳务资质。</w:t>
      </w:r>
    </w:p>
    <w:p>
      <w:pPr>
        <w:tabs>
          <w:tab w:val="left" w:pos="3193"/>
        </w:tabs>
        <w:spacing w:line="380" w:lineRule="exact"/>
        <w:ind w:firstLine="420"/>
        <w:rPr>
          <w:color w:val="auto"/>
          <w:szCs w:val="21"/>
          <w:highlight w:val="none"/>
        </w:rPr>
      </w:pPr>
      <w:r>
        <w:rPr>
          <w:rFonts w:hint="eastAsia"/>
          <w:color w:val="auto"/>
          <w:szCs w:val="21"/>
          <w:highlight w:val="none"/>
        </w:rPr>
        <w:t xml:space="preserve"> </w:t>
      </w:r>
      <w:r>
        <w:rPr>
          <w:color w:val="auto"/>
          <w:szCs w:val="21"/>
          <w:highlight w:val="none"/>
        </w:rPr>
        <w:t>（2）劳务分包应当依法签订劳务分包合同，劳务分包合同必须由承包人的法定代表人或其委托代理人与劳务分包人直接签订，不得由他人代签。承包人的项目经理部、项目经理、施工班组等不具备用工主体资格，不能与劳务分包人签订劳务分包合同。承包人应向发包人和监理人提交劳务分包合同副本并报项目所在地劳动保障部门备案。</w:t>
      </w:r>
    </w:p>
    <w:p>
      <w:pPr>
        <w:tabs>
          <w:tab w:val="left" w:pos="851"/>
          <w:tab w:val="left" w:pos="3193"/>
        </w:tabs>
        <w:spacing w:line="380" w:lineRule="exact"/>
        <w:ind w:firstLine="420"/>
        <w:rPr>
          <w:color w:val="auto"/>
          <w:szCs w:val="21"/>
          <w:highlight w:val="none"/>
        </w:rPr>
      </w:pPr>
      <w:r>
        <w:rPr>
          <w:color w:val="auto"/>
          <w:szCs w:val="21"/>
          <w:highlight w:val="none"/>
        </w:rPr>
        <w:t>（3）承包人雇用的劳务作业应加入到承包人的施工班组统一管理。有关施工质量、施工安全、施工进度、环境保护、技术方案、试验检测、材料保管与供应、机械设备等都必须由承包人管理与调配，不得以包代管。</w:t>
      </w:r>
    </w:p>
    <w:p>
      <w:pPr>
        <w:tabs>
          <w:tab w:val="left" w:pos="851"/>
          <w:tab w:val="left" w:pos="3193"/>
        </w:tabs>
        <w:spacing w:line="380" w:lineRule="exact"/>
        <w:ind w:firstLine="420"/>
        <w:rPr>
          <w:color w:val="auto"/>
          <w:szCs w:val="21"/>
          <w:highlight w:val="none"/>
        </w:rPr>
      </w:pPr>
      <w:r>
        <w:rPr>
          <w:color w:val="auto"/>
          <w:szCs w:val="21"/>
          <w:highlight w:val="none"/>
        </w:rPr>
        <w:t>（4）承包人应当对劳务分包人员进行安全培训和管理，劳务分包人不得将其分包的劳务作业再次分包。</w:t>
      </w:r>
    </w:p>
    <w:p>
      <w:pPr>
        <w:tabs>
          <w:tab w:val="left" w:pos="851"/>
          <w:tab w:val="left" w:pos="3193"/>
        </w:tabs>
        <w:spacing w:line="380" w:lineRule="exact"/>
        <w:ind w:firstLine="420"/>
        <w:rPr>
          <w:color w:val="auto"/>
          <w:szCs w:val="21"/>
          <w:highlight w:val="none"/>
        </w:rPr>
      </w:pPr>
      <w:r>
        <w:rPr>
          <w:color w:val="auto"/>
          <w:szCs w:val="21"/>
          <w:highlight w:val="none"/>
        </w:rPr>
        <w:t xml:space="preserve"> 违反上述规定之一者属违规分包。</w:t>
      </w:r>
    </w:p>
    <w:p>
      <w:pPr>
        <w:tabs>
          <w:tab w:val="left" w:pos="851"/>
          <w:tab w:val="left" w:pos="3193"/>
        </w:tabs>
        <w:spacing w:line="380" w:lineRule="exact"/>
        <w:ind w:firstLine="420"/>
        <w:rPr>
          <w:color w:val="auto"/>
          <w:szCs w:val="21"/>
          <w:highlight w:val="none"/>
        </w:rPr>
      </w:pPr>
      <w:r>
        <w:rPr>
          <w:color w:val="auto"/>
          <w:szCs w:val="21"/>
          <w:highlight w:val="none"/>
        </w:rPr>
        <w:t xml:space="preserve"> 本款补充第4.3.6 项、第4.3.7 项：</w:t>
      </w:r>
    </w:p>
    <w:p>
      <w:pPr>
        <w:tabs>
          <w:tab w:val="left" w:pos="851"/>
          <w:tab w:val="left" w:pos="3193"/>
        </w:tabs>
        <w:spacing w:line="380" w:lineRule="exact"/>
        <w:ind w:firstLine="420"/>
        <w:rPr>
          <w:color w:val="auto"/>
          <w:szCs w:val="21"/>
          <w:highlight w:val="none"/>
        </w:rPr>
      </w:pPr>
      <w:r>
        <w:rPr>
          <w:color w:val="auto"/>
          <w:szCs w:val="21"/>
          <w:highlight w:val="none"/>
        </w:rPr>
        <w:t xml:space="preserve"> 4.3.6  发包人对承包人与分包人之间的法律与经济纠纷不承担任何责任和义务。</w:t>
      </w:r>
    </w:p>
    <w:p>
      <w:pPr>
        <w:tabs>
          <w:tab w:val="left" w:pos="851"/>
          <w:tab w:val="left" w:pos="3193"/>
        </w:tabs>
        <w:spacing w:line="380" w:lineRule="exact"/>
        <w:ind w:firstLine="420"/>
        <w:rPr>
          <w:color w:val="auto"/>
          <w:szCs w:val="21"/>
          <w:highlight w:val="none"/>
        </w:rPr>
      </w:pPr>
      <w:r>
        <w:rPr>
          <w:color w:val="auto"/>
          <w:szCs w:val="21"/>
          <w:highlight w:val="none"/>
        </w:rPr>
        <w:t xml:space="preserve"> 4.3.7  本项目的各项分包工作均应遵守《公路工程施工分包管理办法》的有关规定。</w:t>
      </w:r>
    </w:p>
    <w:p>
      <w:pPr>
        <w:tabs>
          <w:tab w:val="left" w:pos="851"/>
          <w:tab w:val="left" w:pos="3193"/>
        </w:tabs>
        <w:spacing w:line="380" w:lineRule="exact"/>
        <w:rPr>
          <w:color w:val="auto"/>
          <w:szCs w:val="21"/>
          <w:highlight w:val="none"/>
        </w:rPr>
      </w:pPr>
      <w:r>
        <w:rPr>
          <w:color w:val="auto"/>
          <w:szCs w:val="21"/>
          <w:highlight w:val="none"/>
        </w:rPr>
        <w:t>4.</w:t>
      </w:r>
      <w:r>
        <w:rPr>
          <w:rFonts w:hint="eastAsia"/>
          <w:color w:val="auto"/>
          <w:szCs w:val="21"/>
          <w:highlight w:val="none"/>
        </w:rPr>
        <w:t>3</w:t>
      </w:r>
      <w:r>
        <w:rPr>
          <w:color w:val="auto"/>
          <w:szCs w:val="21"/>
          <w:highlight w:val="none"/>
        </w:rPr>
        <w:t xml:space="preserve">  联合体  </w:t>
      </w:r>
    </w:p>
    <w:p>
      <w:pPr>
        <w:tabs>
          <w:tab w:val="left" w:pos="851"/>
          <w:tab w:val="left" w:pos="3193"/>
        </w:tabs>
        <w:spacing w:line="380" w:lineRule="exact"/>
        <w:ind w:firstLine="420"/>
        <w:rPr>
          <w:color w:val="auto"/>
          <w:szCs w:val="21"/>
          <w:highlight w:val="none"/>
        </w:rPr>
      </w:pPr>
      <w:r>
        <w:rPr>
          <w:color w:val="auto"/>
          <w:szCs w:val="21"/>
          <w:highlight w:val="none"/>
        </w:rPr>
        <w:t>本款补充第4.4.4 项：</w:t>
      </w:r>
    </w:p>
    <w:p>
      <w:pPr>
        <w:tabs>
          <w:tab w:val="left" w:pos="851"/>
          <w:tab w:val="left" w:pos="3193"/>
        </w:tabs>
        <w:spacing w:line="380" w:lineRule="exact"/>
        <w:ind w:firstLine="420"/>
        <w:rPr>
          <w:color w:val="auto"/>
          <w:szCs w:val="21"/>
          <w:highlight w:val="none"/>
        </w:rPr>
      </w:pPr>
      <w:r>
        <w:rPr>
          <w:color w:val="auto"/>
          <w:szCs w:val="21"/>
          <w:highlight w:val="none"/>
        </w:rPr>
        <w:t>4.4.4 未经发包人事先同意，联合体的组成与结构不得变动。</w:t>
      </w:r>
    </w:p>
    <w:p>
      <w:pPr>
        <w:tabs>
          <w:tab w:val="left" w:pos="851"/>
          <w:tab w:val="left" w:pos="3193"/>
        </w:tabs>
        <w:spacing w:line="380" w:lineRule="exact"/>
        <w:rPr>
          <w:color w:val="auto"/>
          <w:szCs w:val="21"/>
          <w:highlight w:val="none"/>
        </w:rPr>
      </w:pPr>
      <w:r>
        <w:rPr>
          <w:color w:val="auto"/>
          <w:szCs w:val="21"/>
          <w:highlight w:val="none"/>
        </w:rPr>
        <w:t>4.</w:t>
      </w:r>
      <w:r>
        <w:rPr>
          <w:rFonts w:hint="eastAsia"/>
          <w:color w:val="auto"/>
          <w:szCs w:val="21"/>
          <w:highlight w:val="none"/>
        </w:rPr>
        <w:t>5</w:t>
      </w:r>
      <w:r>
        <w:rPr>
          <w:color w:val="auto"/>
          <w:szCs w:val="21"/>
          <w:highlight w:val="none"/>
        </w:rPr>
        <w:t xml:space="preserve">  承包人人员的管理 </w:t>
      </w:r>
    </w:p>
    <w:p>
      <w:pPr>
        <w:tabs>
          <w:tab w:val="left" w:pos="851"/>
          <w:tab w:val="left" w:pos="3193"/>
        </w:tabs>
        <w:spacing w:line="380" w:lineRule="exact"/>
        <w:rPr>
          <w:color w:val="auto"/>
          <w:szCs w:val="21"/>
          <w:highlight w:val="none"/>
        </w:rPr>
      </w:pPr>
      <w:r>
        <w:rPr>
          <w:color w:val="auto"/>
          <w:szCs w:val="21"/>
          <w:highlight w:val="none"/>
        </w:rPr>
        <w:t xml:space="preserve">    </w:t>
      </w:r>
      <w:r>
        <w:rPr>
          <w:rFonts w:hint="eastAsia"/>
          <w:color w:val="auto"/>
          <w:szCs w:val="21"/>
          <w:highlight w:val="none"/>
        </w:rPr>
        <w:t xml:space="preserve"> </w:t>
      </w:r>
      <w:r>
        <w:rPr>
          <w:color w:val="auto"/>
          <w:szCs w:val="21"/>
          <w:highlight w:val="none"/>
        </w:rPr>
        <w:t>第4.</w:t>
      </w:r>
      <w:r>
        <w:rPr>
          <w:rFonts w:hint="eastAsia"/>
          <w:color w:val="auto"/>
          <w:szCs w:val="21"/>
          <w:highlight w:val="none"/>
        </w:rPr>
        <w:t>5</w:t>
      </w:r>
      <w:r>
        <w:rPr>
          <w:color w:val="auto"/>
          <w:szCs w:val="21"/>
          <w:highlight w:val="none"/>
        </w:rPr>
        <w:t xml:space="preserve">.3 项细化为： </w:t>
      </w:r>
    </w:p>
    <w:p>
      <w:pPr>
        <w:tabs>
          <w:tab w:val="left" w:pos="851"/>
          <w:tab w:val="left" w:pos="3193"/>
        </w:tabs>
        <w:spacing w:line="380" w:lineRule="exact"/>
        <w:rPr>
          <w:color w:val="auto"/>
          <w:szCs w:val="21"/>
          <w:highlight w:val="none"/>
        </w:rPr>
      </w:pPr>
      <w:r>
        <w:rPr>
          <w:color w:val="auto"/>
          <w:szCs w:val="21"/>
          <w:highlight w:val="none"/>
        </w:rPr>
        <w:t xml:space="preserve">    </w:t>
      </w:r>
      <w:r>
        <w:rPr>
          <w:rFonts w:hint="eastAsia"/>
          <w:color w:val="auto"/>
          <w:szCs w:val="21"/>
          <w:highlight w:val="none"/>
        </w:rPr>
        <w:t xml:space="preserve"> </w:t>
      </w:r>
      <w:r>
        <w:rPr>
          <w:color w:val="auto"/>
          <w:szCs w:val="21"/>
          <w:highlight w:val="none"/>
        </w:rPr>
        <w:t>承包人安排在施工场地的主要管理人员和技术骨干应与承包人承诺的名单一致，并保持相对稳定。未经监理人批准，上述人员不应无故不到位或被替换；若确实无法到位或需替换，需经监理人审核并报发包人批准后，用同等资质和经历的人员替换。</w:t>
      </w:r>
    </w:p>
    <w:p>
      <w:pPr>
        <w:tabs>
          <w:tab w:val="left" w:pos="851"/>
          <w:tab w:val="left" w:pos="3193"/>
        </w:tabs>
        <w:spacing w:line="380" w:lineRule="exact"/>
        <w:rPr>
          <w:color w:val="auto"/>
          <w:szCs w:val="21"/>
          <w:highlight w:val="none"/>
        </w:rPr>
      </w:pPr>
      <w:r>
        <w:rPr>
          <w:color w:val="auto"/>
          <w:szCs w:val="21"/>
          <w:highlight w:val="none"/>
        </w:rPr>
        <w:t xml:space="preserve">     本款补充第4.</w:t>
      </w:r>
      <w:r>
        <w:rPr>
          <w:rFonts w:hint="eastAsia"/>
          <w:color w:val="auto"/>
          <w:szCs w:val="21"/>
          <w:highlight w:val="none"/>
        </w:rPr>
        <w:t>5</w:t>
      </w:r>
      <w:r>
        <w:rPr>
          <w:color w:val="auto"/>
          <w:szCs w:val="21"/>
          <w:highlight w:val="none"/>
        </w:rPr>
        <w:t>.5 项：</w:t>
      </w:r>
    </w:p>
    <w:p>
      <w:pPr>
        <w:tabs>
          <w:tab w:val="left" w:pos="851"/>
          <w:tab w:val="left" w:pos="3193"/>
        </w:tabs>
        <w:spacing w:line="380" w:lineRule="exact"/>
        <w:rPr>
          <w:color w:val="auto"/>
          <w:szCs w:val="21"/>
          <w:highlight w:val="none"/>
        </w:rPr>
      </w:pPr>
      <w:r>
        <w:rPr>
          <w:color w:val="auto"/>
          <w:szCs w:val="21"/>
          <w:highlight w:val="none"/>
        </w:rPr>
        <w:t xml:space="preserve">     4.</w:t>
      </w:r>
      <w:r>
        <w:rPr>
          <w:rFonts w:hint="eastAsia"/>
          <w:color w:val="auto"/>
          <w:szCs w:val="21"/>
          <w:highlight w:val="none"/>
        </w:rPr>
        <w:t>5</w:t>
      </w:r>
      <w:r>
        <w:rPr>
          <w:color w:val="auto"/>
          <w:szCs w:val="21"/>
          <w:highlight w:val="none"/>
        </w:rPr>
        <w:t>.5 尽管承包人已按承诺派遣了上述各类人员，但若这些人员仍不能满足合同进度计划和 （或）质量要求时，监理人有权要求承包人继续增派或雇用这类人员， 并书面通知承包人和抄送发包人。承包人在接到上述通知后应立即执行监理人的上 述指示，不得无故拖延，由此增加的费用和 （或）工期延误由承包人承担。</w:t>
      </w:r>
    </w:p>
    <w:p>
      <w:pPr>
        <w:tabs>
          <w:tab w:val="left" w:pos="851"/>
          <w:tab w:val="left" w:pos="3193"/>
        </w:tabs>
        <w:spacing w:line="380" w:lineRule="exact"/>
        <w:rPr>
          <w:color w:val="auto"/>
          <w:szCs w:val="21"/>
          <w:highlight w:val="none"/>
        </w:rPr>
      </w:pPr>
      <w:r>
        <w:rPr>
          <w:color w:val="auto"/>
          <w:szCs w:val="21"/>
          <w:highlight w:val="none"/>
        </w:rPr>
        <w:t>4.</w:t>
      </w:r>
      <w:r>
        <w:rPr>
          <w:rFonts w:hint="eastAsia"/>
          <w:color w:val="auto"/>
          <w:szCs w:val="21"/>
          <w:highlight w:val="none"/>
        </w:rPr>
        <w:t>6</w:t>
      </w:r>
      <w:r>
        <w:rPr>
          <w:color w:val="auto"/>
          <w:szCs w:val="21"/>
          <w:highlight w:val="none"/>
        </w:rPr>
        <w:t xml:space="preserve"> 撤换承包人项目经理和其他人员</w:t>
      </w:r>
    </w:p>
    <w:p>
      <w:pPr>
        <w:tabs>
          <w:tab w:val="left" w:pos="851"/>
          <w:tab w:val="left" w:pos="3193"/>
        </w:tabs>
        <w:spacing w:line="380" w:lineRule="exact"/>
        <w:rPr>
          <w:color w:val="auto"/>
          <w:szCs w:val="21"/>
          <w:highlight w:val="none"/>
        </w:rPr>
      </w:pPr>
      <w:r>
        <w:rPr>
          <w:color w:val="auto"/>
          <w:szCs w:val="21"/>
          <w:highlight w:val="none"/>
        </w:rPr>
        <w:t xml:space="preserve">     本款细化为：</w:t>
      </w:r>
    </w:p>
    <w:p>
      <w:pPr>
        <w:tabs>
          <w:tab w:val="left" w:pos="851"/>
          <w:tab w:val="left" w:pos="3193"/>
        </w:tabs>
        <w:spacing w:line="380" w:lineRule="exact"/>
        <w:rPr>
          <w:color w:val="auto"/>
          <w:szCs w:val="21"/>
          <w:highlight w:val="none"/>
        </w:rPr>
      </w:pPr>
      <w:r>
        <w:rPr>
          <w:color w:val="auto"/>
          <w:szCs w:val="21"/>
          <w:highlight w:val="none"/>
        </w:rPr>
        <w:t xml:space="preserve">     承包人应对其项目经理和其他人员进行有效管理。监理人要求撤换不能胜任本职工作、行为不端或玩忽职守的承包人项目经理和其他人员的，承包人应予以撤换，同时委派经发包人与监理人同意的新的项目经理和其他人员。</w:t>
      </w:r>
    </w:p>
    <w:p>
      <w:pPr>
        <w:tabs>
          <w:tab w:val="left" w:pos="851"/>
          <w:tab w:val="left" w:pos="3193"/>
        </w:tabs>
        <w:spacing w:line="380" w:lineRule="exact"/>
        <w:rPr>
          <w:color w:val="auto"/>
          <w:szCs w:val="21"/>
          <w:highlight w:val="none"/>
        </w:rPr>
      </w:pPr>
      <w:r>
        <w:rPr>
          <w:color w:val="auto"/>
          <w:szCs w:val="21"/>
          <w:highlight w:val="none"/>
        </w:rPr>
        <w:t>4.</w:t>
      </w:r>
      <w:r>
        <w:rPr>
          <w:rFonts w:hint="eastAsia"/>
          <w:color w:val="auto"/>
          <w:szCs w:val="21"/>
          <w:highlight w:val="none"/>
        </w:rPr>
        <w:t>9</w:t>
      </w:r>
      <w:r>
        <w:rPr>
          <w:color w:val="auto"/>
          <w:szCs w:val="21"/>
          <w:highlight w:val="none"/>
        </w:rPr>
        <w:t xml:space="preserve">  工程价款应专款专用  </w:t>
      </w:r>
    </w:p>
    <w:p>
      <w:pPr>
        <w:tabs>
          <w:tab w:val="left" w:pos="851"/>
          <w:tab w:val="left" w:pos="3193"/>
        </w:tabs>
        <w:spacing w:line="380" w:lineRule="exact"/>
        <w:ind w:firstLine="420"/>
        <w:rPr>
          <w:color w:val="auto"/>
          <w:szCs w:val="21"/>
          <w:highlight w:val="none"/>
        </w:rPr>
      </w:pPr>
      <w:r>
        <w:rPr>
          <w:color w:val="auto"/>
          <w:szCs w:val="21"/>
          <w:highlight w:val="none"/>
        </w:rPr>
        <w:t>本款细化为：</w:t>
      </w:r>
    </w:p>
    <w:p>
      <w:pPr>
        <w:tabs>
          <w:tab w:val="left" w:pos="851"/>
          <w:tab w:val="left" w:pos="3193"/>
        </w:tabs>
        <w:spacing w:line="380" w:lineRule="exact"/>
        <w:ind w:firstLine="420"/>
        <w:rPr>
          <w:color w:val="auto"/>
          <w:szCs w:val="21"/>
          <w:highlight w:val="none"/>
        </w:rPr>
      </w:pPr>
      <w:r>
        <w:rPr>
          <w:color w:val="auto"/>
          <w:szCs w:val="21"/>
          <w:highlight w:val="none"/>
        </w:rPr>
        <w:t>发包人按合同约定支付给承包人的各项价款应专用于合同工程。承包人必须在 发包人指定的银行开户，并与发包人、银行共同签订《工程资金监管协议》，接受发 包人和银行对资金的监管。承包人应向发包人授权进行本合同工程开户银行工程资金的查询。发包人支付的工程进度款应为本工程的专款专用资金，不得转移或用于 其他工程。发包人的期中支付款将转入该银行所设的专门账户，发包人及其派出机构有权不定期对承包人工程资金使用情况进行检查，发现问题及时责令承包人限期改正，否则，将终止月支付，直至承包人改正为止。</w:t>
      </w:r>
    </w:p>
    <w:p>
      <w:pPr>
        <w:tabs>
          <w:tab w:val="left" w:pos="851"/>
          <w:tab w:val="left" w:pos="3193"/>
        </w:tabs>
        <w:spacing w:line="380" w:lineRule="exact"/>
        <w:rPr>
          <w:color w:val="auto"/>
          <w:szCs w:val="21"/>
          <w:highlight w:val="none"/>
        </w:rPr>
      </w:pPr>
      <w:r>
        <w:rPr>
          <w:color w:val="auto"/>
          <w:szCs w:val="21"/>
          <w:highlight w:val="none"/>
        </w:rPr>
        <w:t>4.10  承包人现场查勘</w:t>
      </w:r>
    </w:p>
    <w:p>
      <w:pPr>
        <w:tabs>
          <w:tab w:val="left" w:pos="851"/>
          <w:tab w:val="left" w:pos="3193"/>
        </w:tabs>
        <w:spacing w:line="380" w:lineRule="exact"/>
        <w:rPr>
          <w:color w:val="auto"/>
          <w:szCs w:val="21"/>
          <w:highlight w:val="none"/>
        </w:rPr>
      </w:pPr>
      <w:r>
        <w:rPr>
          <w:color w:val="auto"/>
          <w:szCs w:val="21"/>
          <w:highlight w:val="none"/>
        </w:rPr>
        <w:t xml:space="preserve">     第4.10.1 项细化为：</w:t>
      </w:r>
      <w:r>
        <w:rPr>
          <w:rFonts w:hint="eastAsia"/>
          <w:color w:val="auto"/>
          <w:szCs w:val="21"/>
          <w:highlight w:val="none"/>
          <w:vertAlign w:val="superscript"/>
        </w:rPr>
        <w:t>①</w:t>
      </w:r>
    </w:p>
    <w:p>
      <w:pPr>
        <w:tabs>
          <w:tab w:val="left" w:pos="851"/>
          <w:tab w:val="left" w:pos="3193"/>
        </w:tabs>
        <w:spacing w:line="380" w:lineRule="exact"/>
        <w:rPr>
          <w:color w:val="auto"/>
          <w:szCs w:val="21"/>
          <w:highlight w:val="none"/>
        </w:rPr>
      </w:pPr>
      <w:r>
        <w:rPr>
          <w:color w:val="auto"/>
          <w:szCs w:val="21"/>
          <w:highlight w:val="none"/>
        </w:rPr>
        <w:t xml:space="preserve">     发包人提供的本合同工程的水文、地质、气象和料场分布、取土场、弃土场位 置等资料均属于参考资料，并不构成合同文件的组成部分，承包人应对自己就上述 资料的解释、推论和应用负责，发包人不对承包人据此作出的判断和决策承担任何责任。</w:t>
      </w:r>
    </w:p>
    <w:p>
      <w:pPr>
        <w:tabs>
          <w:tab w:val="left" w:pos="851"/>
          <w:tab w:val="left" w:pos="3193"/>
        </w:tabs>
        <w:spacing w:line="380" w:lineRule="exact"/>
        <w:rPr>
          <w:color w:val="auto"/>
          <w:szCs w:val="21"/>
          <w:highlight w:val="none"/>
        </w:rPr>
      </w:pPr>
      <w:r>
        <w:rPr>
          <w:color w:val="auto"/>
          <w:szCs w:val="21"/>
          <w:highlight w:val="none"/>
        </w:rPr>
        <w:t>4.11</w:t>
      </w:r>
      <w:r>
        <w:rPr>
          <w:rFonts w:hint="eastAsia"/>
          <w:color w:val="auto"/>
          <w:szCs w:val="21"/>
          <w:highlight w:val="none"/>
        </w:rPr>
        <w:t xml:space="preserve"> </w:t>
      </w:r>
      <w:r>
        <w:rPr>
          <w:color w:val="auto"/>
          <w:szCs w:val="21"/>
          <w:highlight w:val="none"/>
        </w:rPr>
        <w:t xml:space="preserve"> 不利物质条件 </w:t>
      </w:r>
    </w:p>
    <w:p>
      <w:pPr>
        <w:tabs>
          <w:tab w:val="left" w:pos="851"/>
          <w:tab w:val="left" w:pos="3193"/>
        </w:tabs>
        <w:spacing w:line="380" w:lineRule="exact"/>
        <w:rPr>
          <w:color w:val="auto"/>
          <w:szCs w:val="21"/>
          <w:highlight w:val="none"/>
        </w:rPr>
      </w:pPr>
      <w:r>
        <w:rPr>
          <w:color w:val="auto"/>
          <w:szCs w:val="21"/>
          <w:highlight w:val="none"/>
        </w:rPr>
        <w:t xml:space="preserve">   </w:t>
      </w:r>
      <w:r>
        <w:rPr>
          <w:rFonts w:hint="eastAsia"/>
          <w:color w:val="auto"/>
          <w:szCs w:val="21"/>
          <w:highlight w:val="none"/>
        </w:rPr>
        <w:t xml:space="preserve"> </w:t>
      </w:r>
      <w:r>
        <w:rPr>
          <w:color w:val="auto"/>
          <w:szCs w:val="21"/>
          <w:highlight w:val="none"/>
        </w:rPr>
        <w:t>第4.11.2 项细化为：</w:t>
      </w:r>
    </w:p>
    <w:p>
      <w:pPr>
        <w:tabs>
          <w:tab w:val="left" w:pos="851"/>
          <w:tab w:val="left" w:pos="3193"/>
        </w:tabs>
        <w:spacing w:line="380" w:lineRule="exact"/>
        <w:rPr>
          <w:color w:val="auto"/>
          <w:szCs w:val="21"/>
          <w:highlight w:val="none"/>
        </w:rPr>
      </w:pPr>
      <w:r>
        <w:rPr>
          <w:color w:val="auto"/>
          <w:szCs w:val="21"/>
          <w:highlight w:val="none"/>
        </w:rPr>
        <w:t xml:space="preserve">    4.11.2  承包人遇到不可预见的不利物质条件时，应采取适应不利物质条件的合 理措施继续施工，并及时通知监理人。监理人应当及时发出指示，指示构成变更的，按第15 条约定办理。监理人没有发出指示的，承包人因采取合理措施而增加的费用 和 （或）工期延误，由发包人承担。</w:t>
      </w:r>
    </w:p>
    <w:p>
      <w:pPr>
        <w:tabs>
          <w:tab w:val="left" w:pos="851"/>
          <w:tab w:val="left" w:pos="3193"/>
        </w:tabs>
        <w:spacing w:line="380" w:lineRule="exact"/>
        <w:rPr>
          <w:color w:val="auto"/>
          <w:szCs w:val="21"/>
          <w:highlight w:val="none"/>
        </w:rPr>
      </w:pPr>
      <w:r>
        <w:rPr>
          <w:color w:val="auto"/>
          <w:szCs w:val="21"/>
          <w:highlight w:val="none"/>
        </w:rPr>
        <w:t xml:space="preserve">    本款补充第4.11.3 项：</w:t>
      </w:r>
    </w:p>
    <w:p>
      <w:pPr>
        <w:tabs>
          <w:tab w:val="left" w:pos="851"/>
          <w:tab w:val="left" w:pos="3193"/>
        </w:tabs>
        <w:spacing w:line="380" w:lineRule="exact"/>
        <w:rPr>
          <w:color w:val="auto"/>
          <w:szCs w:val="21"/>
          <w:highlight w:val="none"/>
        </w:rPr>
      </w:pPr>
      <w:r>
        <w:rPr>
          <w:color w:val="auto"/>
          <w:szCs w:val="21"/>
          <w:highlight w:val="none"/>
        </w:rPr>
        <w:t xml:space="preserve">    4.11.3  可预见的不利物质条件</w:t>
      </w:r>
    </w:p>
    <w:p>
      <w:pPr>
        <w:tabs>
          <w:tab w:val="left" w:pos="851"/>
          <w:tab w:val="left" w:pos="3193"/>
        </w:tabs>
        <w:spacing w:line="380" w:lineRule="exact"/>
        <w:rPr>
          <w:color w:val="auto"/>
          <w:szCs w:val="21"/>
          <w:highlight w:val="none"/>
        </w:rPr>
      </w:pPr>
      <w:r>
        <w:rPr>
          <w:color w:val="auto"/>
          <w:szCs w:val="21"/>
          <w:highlight w:val="none"/>
        </w:rPr>
        <w:t xml:space="preserve">   （1）对于项目专用合同条款中已经明确指出的不利物质条件无论承包人是否有其经历和经验均视为承包人在接受合同时已预见其影响，并已在签约合同价中计入因其影响而可能发生的一切费用。</w:t>
      </w:r>
    </w:p>
    <w:p>
      <w:pPr>
        <w:tabs>
          <w:tab w:val="left" w:pos="851"/>
          <w:tab w:val="left" w:pos="3193"/>
        </w:tabs>
        <w:spacing w:line="380" w:lineRule="exact"/>
        <w:rPr>
          <w:color w:val="auto"/>
          <w:szCs w:val="21"/>
          <w:highlight w:val="none"/>
        </w:rPr>
      </w:pPr>
      <w:r>
        <w:rPr>
          <w:color w:val="auto"/>
          <w:szCs w:val="21"/>
          <w:highlight w:val="none"/>
        </w:rPr>
        <w:t xml:space="preserve"> </w:t>
      </w:r>
      <w:r>
        <w:rPr>
          <w:rFonts w:hint="eastAsia"/>
          <w:color w:val="auto"/>
          <w:szCs w:val="21"/>
          <w:highlight w:val="none"/>
        </w:rPr>
        <w:t xml:space="preserve">  </w:t>
      </w:r>
      <w:r>
        <w:rPr>
          <w:color w:val="auto"/>
          <w:szCs w:val="21"/>
          <w:highlight w:val="none"/>
        </w:rPr>
        <w:t>（2）对于项目专用合同条款未明确指出，但是在不利物质条件发生之前，监理人已经指示承包人有可能发生，但承包人未能及时采取有效措施，而导致的损失和后果均由承包人承担。</w:t>
      </w:r>
    </w:p>
    <w:p>
      <w:pPr>
        <w:tabs>
          <w:tab w:val="left" w:pos="851"/>
          <w:tab w:val="left" w:pos="3193"/>
        </w:tabs>
        <w:spacing w:line="380" w:lineRule="exact"/>
        <w:rPr>
          <w:color w:val="auto"/>
          <w:szCs w:val="21"/>
          <w:highlight w:val="none"/>
        </w:rPr>
      </w:pPr>
      <w:r>
        <w:rPr>
          <w:color w:val="auto"/>
          <w:szCs w:val="21"/>
          <w:highlight w:val="none"/>
        </w:rPr>
        <w:t>补充第4.12 款、第4.13 款：</w:t>
      </w:r>
    </w:p>
    <w:p>
      <w:pPr>
        <w:tabs>
          <w:tab w:val="left" w:pos="851"/>
          <w:tab w:val="left" w:pos="3193"/>
        </w:tabs>
        <w:spacing w:line="380" w:lineRule="exact"/>
        <w:rPr>
          <w:color w:val="auto"/>
          <w:szCs w:val="21"/>
          <w:highlight w:val="none"/>
        </w:rPr>
      </w:pPr>
      <w:r>
        <w:rPr>
          <w:color w:val="auto"/>
          <w:szCs w:val="21"/>
          <w:highlight w:val="none"/>
        </w:rPr>
        <w:t>4.12  投标文件的完备性</w:t>
      </w:r>
    </w:p>
    <w:p>
      <w:pPr>
        <w:tabs>
          <w:tab w:val="left" w:pos="851"/>
          <w:tab w:val="left" w:pos="3193"/>
        </w:tabs>
        <w:spacing w:line="380" w:lineRule="exact"/>
        <w:rPr>
          <w:color w:val="auto"/>
          <w:szCs w:val="21"/>
          <w:highlight w:val="none"/>
        </w:rPr>
      </w:pPr>
      <w:r>
        <w:rPr>
          <w:color w:val="auto"/>
          <w:szCs w:val="21"/>
          <w:highlight w:val="none"/>
        </w:rPr>
        <w:t xml:space="preserve">    合同双方一致认为，承包人在递交投标文件前，对本合同工程的投标文件和已标价工程量清单中开列的单价和总额价已查明是正确的和完备的。投标的单价和总 额价应已包括了合同中规定的承包人的全部义务（包括提供货物、材料、设备、服务的义务，并包括了暂列金额和暂估价范围内的额外工作的义务）以及为实施和完成本合同工程及其缺陷修复所必需的一切工作和条件。</w:t>
      </w:r>
    </w:p>
    <w:p>
      <w:pPr>
        <w:tabs>
          <w:tab w:val="left" w:pos="851"/>
          <w:tab w:val="left" w:pos="3193"/>
        </w:tabs>
        <w:spacing w:line="380" w:lineRule="exact"/>
        <w:rPr>
          <w:color w:val="auto"/>
          <w:szCs w:val="21"/>
          <w:highlight w:val="none"/>
        </w:rPr>
      </w:pPr>
      <w:r>
        <w:rPr>
          <w:color w:val="auto"/>
          <w:szCs w:val="21"/>
          <w:highlight w:val="none"/>
        </w:rPr>
        <w:t>4.13  开展党建工作要求</w:t>
      </w:r>
    </w:p>
    <w:p>
      <w:pPr>
        <w:tabs>
          <w:tab w:val="left" w:pos="851"/>
          <w:tab w:val="left" w:pos="3193"/>
        </w:tabs>
        <w:spacing w:line="380" w:lineRule="exact"/>
        <w:rPr>
          <w:color w:val="auto"/>
          <w:szCs w:val="21"/>
          <w:highlight w:val="none"/>
        </w:rPr>
      </w:pPr>
      <w:r>
        <w:rPr>
          <w:color w:val="auto"/>
          <w:szCs w:val="21"/>
          <w:highlight w:val="none"/>
        </w:rPr>
        <w:t xml:space="preserve">    对于政府投资的国家高速公路项目，或承包人为国有控股或参股企业的，承包人应按规定在项目现场设立基层党组织。不满足上述情形的，承包人应创造条件使 党员能够参加党组织生活并接受相应管理。</w:t>
      </w:r>
    </w:p>
    <w:p>
      <w:pPr>
        <w:tabs>
          <w:tab w:val="left" w:pos="851"/>
          <w:tab w:val="left" w:pos="3193"/>
        </w:tabs>
        <w:spacing w:line="380" w:lineRule="exact"/>
        <w:rPr>
          <w:color w:val="auto"/>
          <w:szCs w:val="21"/>
          <w:highlight w:val="none"/>
        </w:rPr>
      </w:pPr>
      <w:r>
        <w:rPr>
          <w:color w:val="auto"/>
          <w:szCs w:val="21"/>
          <w:highlight w:val="none"/>
        </w:rPr>
        <w:t xml:space="preserve">    承包人在项目现场设立基层党组织的，应明确党组织机构设置、党组织负责人及党务工作人员配备情况，编制党务工作开展预案，并按照预案要求在项目实施过程中同步开展党务工作，充分发挥基层党组织在项目实施中的作用。</w:t>
      </w:r>
    </w:p>
    <w:p>
      <w:pPr>
        <w:tabs>
          <w:tab w:val="left" w:pos="851"/>
          <w:tab w:val="left" w:pos="3193"/>
        </w:tabs>
        <w:spacing w:line="380" w:lineRule="exact"/>
        <w:rPr>
          <w:color w:val="auto"/>
          <w:szCs w:val="21"/>
          <w:highlight w:val="none"/>
        </w:rPr>
      </w:pPr>
      <w:r>
        <w:rPr>
          <w:color w:val="auto"/>
          <w:szCs w:val="21"/>
          <w:highlight w:val="none"/>
        </w:rPr>
        <w:t xml:space="preserve">5.  材料和工程设备 </w:t>
      </w:r>
    </w:p>
    <w:p>
      <w:pPr>
        <w:tabs>
          <w:tab w:val="left" w:pos="851"/>
          <w:tab w:val="left" w:pos="3193"/>
        </w:tabs>
        <w:spacing w:line="380" w:lineRule="exact"/>
        <w:rPr>
          <w:color w:val="auto"/>
          <w:szCs w:val="21"/>
          <w:highlight w:val="none"/>
        </w:rPr>
      </w:pPr>
      <w:r>
        <w:rPr>
          <w:color w:val="auto"/>
          <w:szCs w:val="21"/>
          <w:highlight w:val="none"/>
        </w:rPr>
        <w:t>5.2  发包人提供的材料和工程设备</w:t>
      </w:r>
    </w:p>
    <w:p>
      <w:pPr>
        <w:tabs>
          <w:tab w:val="left" w:pos="851"/>
          <w:tab w:val="left" w:pos="3193"/>
        </w:tabs>
        <w:spacing w:line="380" w:lineRule="exact"/>
        <w:rPr>
          <w:color w:val="auto"/>
          <w:szCs w:val="21"/>
          <w:highlight w:val="none"/>
        </w:rPr>
      </w:pPr>
      <w:r>
        <w:rPr>
          <w:color w:val="auto"/>
          <w:szCs w:val="21"/>
          <w:highlight w:val="none"/>
        </w:rPr>
        <w:t xml:space="preserve">    </w:t>
      </w:r>
      <w:r>
        <w:rPr>
          <w:rFonts w:hint="eastAsia"/>
          <w:color w:val="auto"/>
          <w:szCs w:val="21"/>
          <w:highlight w:val="none"/>
        </w:rPr>
        <w:t xml:space="preserve"> </w:t>
      </w:r>
      <w:r>
        <w:rPr>
          <w:color w:val="auto"/>
          <w:szCs w:val="21"/>
          <w:highlight w:val="none"/>
        </w:rPr>
        <w:t>第5.2.3 项补充：</w:t>
      </w:r>
    </w:p>
    <w:p>
      <w:pPr>
        <w:tabs>
          <w:tab w:val="left" w:pos="851"/>
          <w:tab w:val="left" w:pos="3193"/>
        </w:tabs>
        <w:spacing w:line="380" w:lineRule="exact"/>
        <w:rPr>
          <w:color w:val="auto"/>
          <w:szCs w:val="21"/>
          <w:highlight w:val="none"/>
        </w:rPr>
      </w:pPr>
      <w:r>
        <w:rPr>
          <w:color w:val="auto"/>
          <w:szCs w:val="21"/>
          <w:highlight w:val="none"/>
        </w:rPr>
        <w:t xml:space="preserve">     承包人负责接收并按规定对材料进行抽样检验和对工程设备进行检验测试，若发现材料和工程设备存在缺陷，承包人应及时通知监理人，发包人应及时改正通知 中指出的缺陷。承包人负责接收后的运输和保管，因承包人的原因发生丢失、损坏 或进度拖延，由承包人承担相应责任。</w:t>
      </w:r>
    </w:p>
    <w:p>
      <w:pPr>
        <w:tabs>
          <w:tab w:val="left" w:pos="851"/>
          <w:tab w:val="left" w:pos="3193"/>
        </w:tabs>
        <w:spacing w:line="380" w:lineRule="exact"/>
        <w:rPr>
          <w:color w:val="auto"/>
          <w:szCs w:val="21"/>
          <w:highlight w:val="none"/>
        </w:rPr>
      </w:pPr>
      <w:r>
        <w:rPr>
          <w:color w:val="auto"/>
          <w:szCs w:val="21"/>
          <w:highlight w:val="none"/>
        </w:rPr>
        <w:t>6.  施工设备和临时设施</w:t>
      </w:r>
    </w:p>
    <w:p>
      <w:pPr>
        <w:tabs>
          <w:tab w:val="left" w:pos="851"/>
          <w:tab w:val="left" w:pos="3193"/>
        </w:tabs>
        <w:spacing w:line="380" w:lineRule="exact"/>
        <w:rPr>
          <w:color w:val="auto"/>
          <w:szCs w:val="21"/>
          <w:highlight w:val="none"/>
        </w:rPr>
      </w:pPr>
      <w:r>
        <w:rPr>
          <w:color w:val="auto"/>
          <w:szCs w:val="21"/>
          <w:highlight w:val="none"/>
        </w:rPr>
        <w:t>6.1  承包人提供的施工设备和临时设施</w:t>
      </w:r>
    </w:p>
    <w:p>
      <w:pPr>
        <w:tabs>
          <w:tab w:val="left" w:pos="851"/>
          <w:tab w:val="left" w:pos="3193"/>
        </w:tabs>
        <w:spacing w:line="380" w:lineRule="exact"/>
        <w:rPr>
          <w:color w:val="auto"/>
          <w:szCs w:val="21"/>
          <w:highlight w:val="none"/>
        </w:rPr>
      </w:pPr>
      <w:r>
        <w:rPr>
          <w:color w:val="auto"/>
          <w:szCs w:val="21"/>
          <w:highlight w:val="none"/>
        </w:rPr>
        <w:t xml:space="preserve">     第6.1.2 项约定为：</w:t>
      </w:r>
    </w:p>
    <w:p>
      <w:pPr>
        <w:tabs>
          <w:tab w:val="left" w:pos="851"/>
          <w:tab w:val="left" w:pos="3193"/>
        </w:tabs>
        <w:spacing w:line="380" w:lineRule="exact"/>
        <w:rPr>
          <w:color w:val="auto"/>
          <w:szCs w:val="21"/>
          <w:highlight w:val="none"/>
        </w:rPr>
      </w:pPr>
      <w:r>
        <w:rPr>
          <w:color w:val="auto"/>
          <w:szCs w:val="21"/>
          <w:highlight w:val="none"/>
        </w:rPr>
        <w:t xml:space="preserve">     承包人应自行承担修建临时设施的费用，需要临时占地的，应由承包人按第 4.1.10 项 （1）目的规定办理。</w:t>
      </w:r>
    </w:p>
    <w:p>
      <w:pPr>
        <w:tabs>
          <w:tab w:val="left" w:pos="851"/>
          <w:tab w:val="left" w:pos="3193"/>
        </w:tabs>
        <w:spacing w:line="380" w:lineRule="exact"/>
        <w:rPr>
          <w:color w:val="auto"/>
          <w:szCs w:val="21"/>
          <w:highlight w:val="none"/>
        </w:rPr>
      </w:pPr>
      <w:r>
        <w:rPr>
          <w:color w:val="auto"/>
          <w:szCs w:val="21"/>
          <w:highlight w:val="none"/>
        </w:rPr>
        <w:t>6.3  要求承包人增加或更换施工设备</w:t>
      </w:r>
    </w:p>
    <w:p>
      <w:pPr>
        <w:tabs>
          <w:tab w:val="left" w:pos="851"/>
          <w:tab w:val="left" w:pos="3193"/>
        </w:tabs>
        <w:spacing w:line="380" w:lineRule="exact"/>
        <w:ind w:firstLine="420"/>
        <w:rPr>
          <w:color w:val="auto"/>
          <w:szCs w:val="21"/>
          <w:highlight w:val="none"/>
        </w:rPr>
      </w:pPr>
      <w:r>
        <w:rPr>
          <w:color w:val="auto"/>
          <w:szCs w:val="21"/>
          <w:highlight w:val="none"/>
        </w:rPr>
        <w:t>本款细化为：</w:t>
      </w:r>
    </w:p>
    <w:p>
      <w:pPr>
        <w:tabs>
          <w:tab w:val="left" w:pos="851"/>
          <w:tab w:val="left" w:pos="3193"/>
        </w:tabs>
        <w:spacing w:line="380" w:lineRule="exact"/>
        <w:ind w:firstLine="420"/>
        <w:rPr>
          <w:color w:val="auto"/>
          <w:szCs w:val="21"/>
          <w:highlight w:val="none"/>
        </w:rPr>
      </w:pPr>
      <w:r>
        <w:rPr>
          <w:color w:val="auto"/>
          <w:szCs w:val="21"/>
          <w:highlight w:val="none"/>
        </w:rPr>
        <w:t>承包人承诺的施工设备必须按时到达现场，不得拖延、缺短或任意更换。尽管承包人已按承诺提供了上述设备，但若承包人使用的施工设备不能满足合同进度计划和（或）质量要求时，监理人有权要求承包人增加或更换施工设备，承包人应及时增加或更换，由此增加的费用和（或）工期延误由承包人承担。</w:t>
      </w:r>
    </w:p>
    <w:p>
      <w:pPr>
        <w:tabs>
          <w:tab w:val="left" w:pos="851"/>
          <w:tab w:val="left" w:pos="3193"/>
        </w:tabs>
        <w:spacing w:line="380" w:lineRule="exact"/>
        <w:rPr>
          <w:color w:val="auto"/>
          <w:szCs w:val="21"/>
          <w:highlight w:val="none"/>
        </w:rPr>
      </w:pPr>
      <w:r>
        <w:rPr>
          <w:color w:val="auto"/>
          <w:szCs w:val="21"/>
          <w:highlight w:val="none"/>
        </w:rPr>
        <w:t>7.  交通运输</w:t>
      </w:r>
    </w:p>
    <w:p>
      <w:pPr>
        <w:tabs>
          <w:tab w:val="left" w:pos="851"/>
          <w:tab w:val="left" w:pos="3193"/>
        </w:tabs>
        <w:spacing w:line="380" w:lineRule="exact"/>
        <w:rPr>
          <w:color w:val="auto"/>
          <w:szCs w:val="21"/>
          <w:highlight w:val="none"/>
        </w:rPr>
      </w:pPr>
      <w:r>
        <w:rPr>
          <w:color w:val="auto"/>
          <w:szCs w:val="21"/>
          <w:highlight w:val="none"/>
        </w:rPr>
        <w:t>7.1  道路通行权和场外设施</w:t>
      </w:r>
    </w:p>
    <w:p>
      <w:pPr>
        <w:tabs>
          <w:tab w:val="left" w:pos="851"/>
          <w:tab w:val="left" w:pos="3193"/>
        </w:tabs>
        <w:spacing w:line="380" w:lineRule="exact"/>
        <w:rPr>
          <w:color w:val="auto"/>
          <w:szCs w:val="21"/>
          <w:highlight w:val="none"/>
        </w:rPr>
      </w:pPr>
      <w:r>
        <w:rPr>
          <w:color w:val="auto"/>
          <w:szCs w:val="21"/>
          <w:highlight w:val="none"/>
        </w:rPr>
        <w:t xml:space="preserve">     本款约定为：</w:t>
      </w:r>
    </w:p>
    <w:p>
      <w:pPr>
        <w:tabs>
          <w:tab w:val="left" w:pos="851"/>
          <w:tab w:val="left" w:pos="3193"/>
        </w:tabs>
        <w:spacing w:line="380" w:lineRule="exact"/>
        <w:rPr>
          <w:color w:val="auto"/>
          <w:szCs w:val="21"/>
          <w:highlight w:val="none"/>
        </w:rPr>
      </w:pPr>
      <w:r>
        <w:rPr>
          <w:color w:val="auto"/>
          <w:szCs w:val="21"/>
          <w:highlight w:val="none"/>
        </w:rPr>
        <w:t xml:space="preserve">     承包人应根据合同工程的施工需要，负责办理取得出入施工场地的专用和临时道路的通行权，以及取得为工程建设所需修建场外设施的权利，并承担有关费用。需要发包人协调时，发包人应协助承包人办理相关手续。</w:t>
      </w:r>
    </w:p>
    <w:p>
      <w:pPr>
        <w:tabs>
          <w:tab w:val="left" w:pos="851"/>
          <w:tab w:val="left" w:pos="3193"/>
        </w:tabs>
        <w:spacing w:line="380" w:lineRule="exact"/>
        <w:rPr>
          <w:color w:val="auto"/>
          <w:szCs w:val="21"/>
          <w:highlight w:val="none"/>
        </w:rPr>
      </w:pPr>
      <w:r>
        <w:rPr>
          <w:color w:val="auto"/>
          <w:szCs w:val="21"/>
          <w:highlight w:val="none"/>
        </w:rPr>
        <w:t>8.  测量放线</w:t>
      </w:r>
    </w:p>
    <w:p>
      <w:pPr>
        <w:tabs>
          <w:tab w:val="left" w:pos="851"/>
          <w:tab w:val="left" w:pos="3193"/>
        </w:tabs>
        <w:spacing w:line="380" w:lineRule="exact"/>
        <w:rPr>
          <w:color w:val="auto"/>
          <w:szCs w:val="21"/>
          <w:highlight w:val="none"/>
        </w:rPr>
      </w:pPr>
      <w:r>
        <w:rPr>
          <w:color w:val="auto"/>
          <w:szCs w:val="21"/>
          <w:highlight w:val="none"/>
        </w:rPr>
        <w:t>8.4  监理人使用施工控制网</w:t>
      </w:r>
    </w:p>
    <w:p>
      <w:pPr>
        <w:tabs>
          <w:tab w:val="left" w:pos="851"/>
          <w:tab w:val="left" w:pos="3193"/>
        </w:tabs>
        <w:spacing w:line="380" w:lineRule="exact"/>
        <w:ind w:firstLine="420"/>
        <w:rPr>
          <w:color w:val="auto"/>
          <w:szCs w:val="21"/>
          <w:highlight w:val="none"/>
        </w:rPr>
      </w:pPr>
      <w:r>
        <w:rPr>
          <w:rFonts w:hint="eastAsia"/>
          <w:color w:val="auto"/>
          <w:szCs w:val="21"/>
          <w:highlight w:val="none"/>
        </w:rPr>
        <w:t xml:space="preserve"> </w:t>
      </w:r>
      <w:r>
        <w:rPr>
          <w:color w:val="auto"/>
          <w:szCs w:val="21"/>
          <w:highlight w:val="none"/>
        </w:rPr>
        <w:t>本款补充：</w:t>
      </w:r>
    </w:p>
    <w:p>
      <w:pPr>
        <w:tabs>
          <w:tab w:val="left" w:pos="851"/>
          <w:tab w:val="left" w:pos="3193"/>
        </w:tabs>
        <w:spacing w:line="380" w:lineRule="exact"/>
        <w:ind w:firstLine="420"/>
        <w:rPr>
          <w:color w:val="auto"/>
          <w:szCs w:val="21"/>
          <w:highlight w:val="none"/>
        </w:rPr>
      </w:pPr>
      <w:r>
        <w:rPr>
          <w:color w:val="auto"/>
          <w:szCs w:val="21"/>
          <w:highlight w:val="none"/>
        </w:rPr>
        <w:t xml:space="preserve"> 经监理人批准，其他相关承包人也可免费使用施工控制网。</w:t>
      </w:r>
    </w:p>
    <w:p>
      <w:pPr>
        <w:tabs>
          <w:tab w:val="left" w:pos="851"/>
          <w:tab w:val="left" w:pos="3193"/>
        </w:tabs>
        <w:spacing w:line="380" w:lineRule="exact"/>
        <w:rPr>
          <w:color w:val="auto"/>
          <w:szCs w:val="21"/>
          <w:highlight w:val="none"/>
        </w:rPr>
      </w:pPr>
      <w:r>
        <w:rPr>
          <w:color w:val="auto"/>
          <w:szCs w:val="21"/>
          <w:highlight w:val="none"/>
        </w:rPr>
        <w:t>9.</w:t>
      </w:r>
      <w:r>
        <w:rPr>
          <w:rFonts w:hint="eastAsia"/>
          <w:color w:val="auto"/>
          <w:szCs w:val="21"/>
          <w:highlight w:val="none"/>
        </w:rPr>
        <w:t xml:space="preserve"> </w:t>
      </w:r>
      <w:r>
        <w:rPr>
          <w:color w:val="auto"/>
          <w:szCs w:val="21"/>
          <w:highlight w:val="none"/>
        </w:rPr>
        <w:t xml:space="preserve"> 施工安全、治安保卫和环境保护</w:t>
      </w:r>
    </w:p>
    <w:p>
      <w:pPr>
        <w:tabs>
          <w:tab w:val="left" w:pos="851"/>
          <w:tab w:val="left" w:pos="3193"/>
        </w:tabs>
        <w:spacing w:line="380" w:lineRule="exact"/>
        <w:rPr>
          <w:color w:val="auto"/>
          <w:szCs w:val="21"/>
          <w:highlight w:val="none"/>
        </w:rPr>
      </w:pPr>
      <w:r>
        <w:rPr>
          <w:color w:val="auto"/>
          <w:szCs w:val="21"/>
          <w:highlight w:val="none"/>
        </w:rPr>
        <w:t>9.2 承包人的施工安全责任</w:t>
      </w:r>
    </w:p>
    <w:p>
      <w:pPr>
        <w:tabs>
          <w:tab w:val="left" w:pos="851"/>
          <w:tab w:val="left" w:pos="3193"/>
        </w:tabs>
        <w:spacing w:line="380" w:lineRule="exact"/>
        <w:ind w:firstLine="420"/>
        <w:rPr>
          <w:color w:val="auto"/>
          <w:szCs w:val="21"/>
          <w:highlight w:val="none"/>
        </w:rPr>
      </w:pPr>
      <w:r>
        <w:rPr>
          <w:color w:val="auto"/>
          <w:szCs w:val="21"/>
          <w:highlight w:val="none"/>
        </w:rPr>
        <w:t xml:space="preserve">第9.2.1 项细化为： </w:t>
      </w:r>
    </w:p>
    <w:p>
      <w:pPr>
        <w:tabs>
          <w:tab w:val="left" w:pos="851"/>
          <w:tab w:val="left" w:pos="3193"/>
        </w:tabs>
        <w:spacing w:line="380" w:lineRule="exact"/>
        <w:ind w:firstLine="420"/>
        <w:rPr>
          <w:color w:val="auto"/>
          <w:szCs w:val="21"/>
          <w:highlight w:val="none"/>
        </w:rPr>
      </w:pPr>
      <w:r>
        <w:rPr>
          <w:color w:val="auto"/>
          <w:szCs w:val="21"/>
          <w:highlight w:val="none"/>
        </w:rPr>
        <w:t>承包人应按合同约定履行安全职责，严格执行国家、地方政府有关施工安全管理方面的法律、法规及规章制度，同时严格执行发包人制订的本项目安全生产管理 方面的规章制度、安全检查程序及施工安全管理要求，以及监理人有关安全工作的指示。</w:t>
      </w:r>
    </w:p>
    <w:p>
      <w:pPr>
        <w:tabs>
          <w:tab w:val="left" w:pos="851"/>
          <w:tab w:val="left" w:pos="3193"/>
        </w:tabs>
        <w:spacing w:line="380" w:lineRule="exact"/>
        <w:ind w:firstLine="420"/>
        <w:rPr>
          <w:color w:val="auto"/>
          <w:szCs w:val="21"/>
          <w:highlight w:val="none"/>
        </w:rPr>
      </w:pPr>
      <w:r>
        <w:rPr>
          <w:color w:val="auto"/>
          <w:szCs w:val="21"/>
          <w:highlight w:val="none"/>
        </w:rPr>
        <w:t>承包人应根据本工程的实际安全施工要求，编制施工安全技术措施，并在签订合同协议书后28 天内，报监理人和发包人批准。该施工安全技术措施包括（但不限于）施工安全保障体系，安全生产责任制，安全生产管理规章制度，安全防护施工方案，施工现场临时用电方案，施工安全评估，安全预控及保证措施方案，紧急应变措施，安全标识、警示和围护方案等。对影响安全的重要工序和下列危险性较大的工程应编制专项施工方案，并附安全验算结果，经承包人项目总工签字并报监理人和发包人批准后实施，由专职安全生产管理人员进行现场监督。</w:t>
      </w:r>
    </w:p>
    <w:p>
      <w:pPr>
        <w:tabs>
          <w:tab w:val="left" w:pos="851"/>
          <w:tab w:val="left" w:pos="3193"/>
        </w:tabs>
        <w:spacing w:line="380" w:lineRule="exact"/>
        <w:ind w:firstLine="420"/>
        <w:rPr>
          <w:color w:val="auto"/>
          <w:szCs w:val="21"/>
          <w:highlight w:val="none"/>
        </w:rPr>
      </w:pPr>
      <w:r>
        <w:rPr>
          <w:color w:val="auto"/>
          <w:szCs w:val="21"/>
          <w:highlight w:val="none"/>
        </w:rPr>
        <w:t xml:space="preserve"> 本项目需要编制专项施工方案的工程包括但不限于以下内容：</w:t>
      </w:r>
    </w:p>
    <w:p>
      <w:pPr>
        <w:tabs>
          <w:tab w:val="left" w:pos="851"/>
          <w:tab w:val="left" w:pos="3193"/>
        </w:tabs>
        <w:spacing w:line="380" w:lineRule="exact"/>
        <w:ind w:firstLine="420"/>
        <w:rPr>
          <w:color w:val="auto"/>
          <w:szCs w:val="21"/>
          <w:highlight w:val="none"/>
        </w:rPr>
      </w:pPr>
      <w:r>
        <w:rPr>
          <w:color w:val="auto"/>
          <w:szCs w:val="21"/>
          <w:highlight w:val="none"/>
        </w:rPr>
        <w:t>（1）不良地质条件下有潜在危险性的土方、石方开挖；</w:t>
      </w:r>
    </w:p>
    <w:p>
      <w:pPr>
        <w:tabs>
          <w:tab w:val="left" w:pos="426"/>
          <w:tab w:val="left" w:pos="3193"/>
        </w:tabs>
        <w:spacing w:line="380" w:lineRule="exact"/>
        <w:ind w:firstLine="147" w:firstLineChars="67"/>
        <w:rPr>
          <w:color w:val="auto"/>
          <w:szCs w:val="21"/>
          <w:highlight w:val="none"/>
        </w:rPr>
      </w:pPr>
      <w:r>
        <w:rPr>
          <w:rFonts w:hint="eastAsia"/>
          <w:color w:val="auto"/>
          <w:szCs w:val="21"/>
          <w:highlight w:val="none"/>
        </w:rPr>
        <w:t xml:space="preserve">  </w:t>
      </w:r>
      <w:r>
        <w:rPr>
          <w:color w:val="auto"/>
          <w:szCs w:val="21"/>
          <w:highlight w:val="none"/>
        </w:rPr>
        <w:t>（2）滑坡和高边坡处理；</w:t>
      </w:r>
    </w:p>
    <w:p>
      <w:pPr>
        <w:tabs>
          <w:tab w:val="left" w:pos="426"/>
          <w:tab w:val="left" w:pos="3193"/>
        </w:tabs>
        <w:spacing w:line="380" w:lineRule="exact"/>
        <w:ind w:firstLine="147" w:firstLineChars="67"/>
        <w:rPr>
          <w:color w:val="auto"/>
          <w:szCs w:val="21"/>
          <w:highlight w:val="none"/>
        </w:rPr>
      </w:pPr>
      <w:r>
        <w:rPr>
          <w:rFonts w:hint="eastAsia"/>
          <w:color w:val="auto"/>
          <w:szCs w:val="21"/>
          <w:highlight w:val="none"/>
        </w:rPr>
        <w:t xml:space="preserve">  </w:t>
      </w:r>
      <w:r>
        <w:rPr>
          <w:color w:val="auto"/>
          <w:szCs w:val="21"/>
          <w:highlight w:val="none"/>
        </w:rPr>
        <w:t>（3）桩基础、挡墙基础、深水基础及围堰工程；</w:t>
      </w:r>
    </w:p>
    <w:p>
      <w:pPr>
        <w:tabs>
          <w:tab w:val="left" w:pos="426"/>
          <w:tab w:val="left" w:pos="3193"/>
        </w:tabs>
        <w:spacing w:line="380" w:lineRule="exact"/>
        <w:ind w:firstLine="147" w:firstLineChars="67"/>
        <w:rPr>
          <w:color w:val="auto"/>
          <w:szCs w:val="21"/>
          <w:highlight w:val="none"/>
        </w:rPr>
      </w:pPr>
      <w:r>
        <w:rPr>
          <w:color w:val="auto"/>
          <w:szCs w:val="21"/>
          <w:highlight w:val="none"/>
        </w:rPr>
        <w:t xml:space="preserve"> </w:t>
      </w:r>
      <w:r>
        <w:rPr>
          <w:rFonts w:hint="eastAsia"/>
          <w:color w:val="auto"/>
          <w:szCs w:val="21"/>
          <w:highlight w:val="none"/>
        </w:rPr>
        <w:t xml:space="preserve"> </w:t>
      </w:r>
      <w:r>
        <w:rPr>
          <w:color w:val="auto"/>
          <w:szCs w:val="21"/>
          <w:highlight w:val="none"/>
        </w:rPr>
        <w:t>（4）桥梁工程中的梁、拱、柱等构件施工等；</w:t>
      </w:r>
    </w:p>
    <w:p>
      <w:pPr>
        <w:tabs>
          <w:tab w:val="left" w:pos="426"/>
          <w:tab w:val="left" w:pos="3193"/>
        </w:tabs>
        <w:spacing w:line="380" w:lineRule="exact"/>
        <w:ind w:firstLine="147" w:firstLineChars="67"/>
        <w:rPr>
          <w:color w:val="auto"/>
          <w:szCs w:val="21"/>
          <w:highlight w:val="none"/>
        </w:rPr>
      </w:pPr>
      <w:r>
        <w:rPr>
          <w:rFonts w:hint="eastAsia"/>
          <w:color w:val="auto"/>
          <w:szCs w:val="21"/>
          <w:highlight w:val="none"/>
        </w:rPr>
        <w:t xml:space="preserve"> </w:t>
      </w:r>
      <w:r>
        <w:rPr>
          <w:color w:val="auto"/>
          <w:szCs w:val="21"/>
          <w:highlight w:val="none"/>
        </w:rPr>
        <w:t xml:space="preserve"> （5）隧道工程中的不良地质隧道、高瓦斯隧道等；</w:t>
      </w:r>
    </w:p>
    <w:p>
      <w:pPr>
        <w:tabs>
          <w:tab w:val="left" w:pos="426"/>
          <w:tab w:val="left" w:pos="3193"/>
        </w:tabs>
        <w:spacing w:line="380" w:lineRule="exact"/>
        <w:ind w:firstLine="147" w:firstLineChars="67"/>
        <w:rPr>
          <w:color w:val="auto"/>
          <w:szCs w:val="21"/>
          <w:highlight w:val="none"/>
        </w:rPr>
      </w:pPr>
      <w:r>
        <w:rPr>
          <w:rFonts w:hint="eastAsia"/>
          <w:color w:val="auto"/>
          <w:szCs w:val="21"/>
          <w:highlight w:val="none"/>
        </w:rPr>
        <w:t xml:space="preserve">  </w:t>
      </w:r>
      <w:r>
        <w:rPr>
          <w:color w:val="auto"/>
          <w:szCs w:val="21"/>
          <w:highlight w:val="none"/>
        </w:rPr>
        <w:t>（6）水上工程中的打桩船作业、施工船作业、外海孤岛作业、边通航边施工作业等；</w:t>
      </w:r>
    </w:p>
    <w:p>
      <w:pPr>
        <w:tabs>
          <w:tab w:val="left" w:pos="426"/>
          <w:tab w:val="left" w:pos="3193"/>
        </w:tabs>
        <w:spacing w:line="380" w:lineRule="exact"/>
        <w:ind w:firstLine="147" w:firstLineChars="67"/>
        <w:rPr>
          <w:color w:val="auto"/>
          <w:szCs w:val="21"/>
          <w:highlight w:val="none"/>
        </w:rPr>
      </w:pPr>
      <w:r>
        <w:rPr>
          <w:color w:val="auto"/>
          <w:szCs w:val="21"/>
          <w:highlight w:val="none"/>
        </w:rPr>
        <w:t xml:space="preserve">  （7）水下工程中的水下焊接、混凝土浇筑、爆破工程等；</w:t>
      </w:r>
    </w:p>
    <w:p>
      <w:pPr>
        <w:tabs>
          <w:tab w:val="left" w:pos="426"/>
          <w:tab w:val="left" w:pos="3193"/>
        </w:tabs>
        <w:spacing w:line="380" w:lineRule="exact"/>
        <w:ind w:firstLine="147" w:firstLineChars="67"/>
        <w:rPr>
          <w:color w:val="auto"/>
          <w:szCs w:val="21"/>
          <w:highlight w:val="none"/>
        </w:rPr>
      </w:pPr>
      <w:r>
        <w:rPr>
          <w:color w:val="auto"/>
          <w:szCs w:val="21"/>
          <w:highlight w:val="none"/>
        </w:rPr>
        <w:t xml:space="preserve">  （8）爆破工程；</w:t>
      </w:r>
    </w:p>
    <w:p>
      <w:pPr>
        <w:tabs>
          <w:tab w:val="left" w:pos="426"/>
          <w:tab w:val="left" w:pos="3193"/>
        </w:tabs>
        <w:spacing w:line="380" w:lineRule="exact"/>
        <w:ind w:firstLine="147" w:firstLineChars="67"/>
        <w:rPr>
          <w:color w:val="auto"/>
          <w:szCs w:val="21"/>
          <w:highlight w:val="none"/>
        </w:rPr>
      </w:pPr>
      <w:r>
        <w:rPr>
          <w:color w:val="auto"/>
          <w:szCs w:val="21"/>
          <w:highlight w:val="none"/>
        </w:rPr>
        <w:t xml:space="preserve"> </w:t>
      </w:r>
      <w:r>
        <w:rPr>
          <w:rFonts w:hint="eastAsia"/>
          <w:color w:val="auto"/>
          <w:szCs w:val="21"/>
          <w:highlight w:val="none"/>
        </w:rPr>
        <w:t xml:space="preserve"> </w:t>
      </w:r>
      <w:r>
        <w:rPr>
          <w:color w:val="auto"/>
          <w:szCs w:val="21"/>
          <w:highlight w:val="none"/>
        </w:rPr>
        <w:t xml:space="preserve">（9）大型临时工程中的大型支架、模板、便桥的架设与拆除；桥梁、码头的加固与拆除；  </w:t>
      </w:r>
    </w:p>
    <w:p>
      <w:pPr>
        <w:tabs>
          <w:tab w:val="left" w:pos="426"/>
          <w:tab w:val="left" w:pos="3193"/>
        </w:tabs>
        <w:spacing w:line="380" w:lineRule="exact"/>
        <w:ind w:firstLine="147" w:firstLineChars="67"/>
        <w:rPr>
          <w:color w:val="auto"/>
          <w:szCs w:val="21"/>
          <w:highlight w:val="none"/>
        </w:rPr>
      </w:pPr>
      <w:r>
        <w:rPr>
          <w:color w:val="auto"/>
          <w:szCs w:val="21"/>
          <w:highlight w:val="none"/>
        </w:rPr>
        <w:t xml:space="preserve"> </w:t>
      </w:r>
      <w:r>
        <w:rPr>
          <w:rFonts w:hint="eastAsia"/>
          <w:color w:val="auto"/>
          <w:szCs w:val="21"/>
          <w:highlight w:val="none"/>
        </w:rPr>
        <w:t xml:space="preserve"> </w:t>
      </w:r>
      <w:r>
        <w:rPr>
          <w:color w:val="auto"/>
          <w:szCs w:val="21"/>
          <w:highlight w:val="none"/>
        </w:rPr>
        <w:t xml:space="preserve">（10）其他危险性较大的工程。 </w:t>
      </w:r>
    </w:p>
    <w:p>
      <w:pPr>
        <w:tabs>
          <w:tab w:val="left" w:pos="851"/>
          <w:tab w:val="left" w:pos="3193"/>
        </w:tabs>
        <w:spacing w:line="380" w:lineRule="exact"/>
        <w:rPr>
          <w:color w:val="auto"/>
          <w:szCs w:val="21"/>
          <w:highlight w:val="none"/>
        </w:rPr>
      </w:pPr>
      <w:r>
        <w:rPr>
          <w:color w:val="auto"/>
          <w:szCs w:val="21"/>
          <w:highlight w:val="none"/>
        </w:rPr>
        <w:t xml:space="preserve">  </w:t>
      </w:r>
      <w:r>
        <w:rPr>
          <w:rFonts w:hint="eastAsia"/>
          <w:color w:val="auto"/>
          <w:szCs w:val="21"/>
          <w:highlight w:val="none"/>
        </w:rPr>
        <w:t xml:space="preserve">  </w:t>
      </w:r>
      <w:r>
        <w:rPr>
          <w:color w:val="auto"/>
          <w:szCs w:val="21"/>
          <w:highlight w:val="none"/>
        </w:rPr>
        <w:t>监理人和发包人在检查中发现有安全问题或有违反安全管理规章制度的情况时，可视为承包人违约，应按第22.1 款的规定办理。</w:t>
      </w:r>
    </w:p>
    <w:p>
      <w:pPr>
        <w:tabs>
          <w:tab w:val="left" w:pos="851"/>
          <w:tab w:val="left" w:pos="3193"/>
        </w:tabs>
        <w:spacing w:line="380" w:lineRule="exact"/>
        <w:rPr>
          <w:color w:val="auto"/>
          <w:szCs w:val="21"/>
          <w:highlight w:val="none"/>
        </w:rPr>
      </w:pPr>
      <w:r>
        <w:rPr>
          <w:color w:val="auto"/>
          <w:szCs w:val="21"/>
          <w:highlight w:val="none"/>
        </w:rPr>
        <w:t xml:space="preserve">    第9.2.5 项细化为：</w:t>
      </w:r>
    </w:p>
    <w:p>
      <w:pPr>
        <w:tabs>
          <w:tab w:val="left" w:pos="851"/>
          <w:tab w:val="left" w:pos="3193"/>
        </w:tabs>
        <w:spacing w:line="380" w:lineRule="exact"/>
        <w:rPr>
          <w:color w:val="auto"/>
          <w:szCs w:val="21"/>
          <w:highlight w:val="none"/>
        </w:rPr>
      </w:pPr>
      <w:r>
        <w:rPr>
          <w:color w:val="auto"/>
          <w:szCs w:val="21"/>
          <w:highlight w:val="none"/>
        </w:rPr>
        <w:t xml:space="preserve">    除项目专用合同条款另有约定外，安全生产费用应为投标价（不含安全生产费及建筑工程一切险及第三者责任险的保险费）的1.5%（若发包人公布了最高投标限价时，按最高投标限价的 1.5%计）。安全生产费用应用于施工安全防护用具及设施的采购和更新、安全施工措施的落实、安全生产条件的改善，不得挪作他用。如承包人在此基础上增加安全生产费用以满足项目施工需要，则承包人应在本项目工程量清单其他相关子目的单价或总额价中予以考虑，发包人不再另行支付。因采取合同未约定的特殊防护措施增加的费用，由监理人按第3.5 款商定或确定。</w:t>
      </w:r>
    </w:p>
    <w:p>
      <w:pPr>
        <w:tabs>
          <w:tab w:val="left" w:pos="3193"/>
        </w:tabs>
        <w:spacing w:line="380" w:lineRule="exact"/>
        <w:ind w:firstLine="440" w:firstLineChars="200"/>
        <w:rPr>
          <w:color w:val="auto"/>
          <w:szCs w:val="21"/>
          <w:highlight w:val="none"/>
        </w:rPr>
      </w:pPr>
      <w:r>
        <w:rPr>
          <w:color w:val="auto"/>
          <w:szCs w:val="21"/>
          <w:highlight w:val="none"/>
        </w:rPr>
        <w:t>本款补充第9.2.8 项~第9.2.11 项：</w:t>
      </w:r>
    </w:p>
    <w:p>
      <w:pPr>
        <w:tabs>
          <w:tab w:val="left" w:pos="3193"/>
        </w:tabs>
        <w:spacing w:line="380" w:lineRule="exact"/>
        <w:ind w:firstLine="440" w:firstLineChars="200"/>
        <w:rPr>
          <w:color w:val="auto"/>
          <w:szCs w:val="21"/>
          <w:highlight w:val="none"/>
        </w:rPr>
      </w:pPr>
      <w:r>
        <w:rPr>
          <w:color w:val="auto"/>
          <w:szCs w:val="21"/>
          <w:highlight w:val="none"/>
        </w:rPr>
        <w:t>9.2.8  承包人应充分关注和保障所有在现场工作的人员的安全，采取以下有效措施，使现场和本合同工程的实施保持有条不紊，以免使上述人员的安全受到威胁。</w:t>
      </w:r>
    </w:p>
    <w:p>
      <w:pPr>
        <w:tabs>
          <w:tab w:val="left" w:pos="3193"/>
        </w:tabs>
        <w:spacing w:line="380" w:lineRule="exact"/>
        <w:ind w:firstLine="440" w:firstLineChars="200"/>
        <w:rPr>
          <w:color w:val="auto"/>
          <w:szCs w:val="21"/>
          <w:highlight w:val="none"/>
        </w:rPr>
      </w:pPr>
      <w:r>
        <w:rPr>
          <w:color w:val="auto"/>
          <w:szCs w:val="21"/>
          <w:highlight w:val="none"/>
        </w:rPr>
        <w:t>（1）按《公路水运工程安全生产监督管理办法》规定的最低数量和资质条件配 备专职安全生产管理人员；</w:t>
      </w:r>
    </w:p>
    <w:p>
      <w:pPr>
        <w:tabs>
          <w:tab w:val="left" w:pos="3193"/>
        </w:tabs>
        <w:spacing w:line="380" w:lineRule="exact"/>
        <w:ind w:firstLine="440" w:firstLineChars="200"/>
        <w:rPr>
          <w:color w:val="auto"/>
          <w:szCs w:val="21"/>
          <w:highlight w:val="none"/>
        </w:rPr>
      </w:pPr>
      <w:r>
        <w:rPr>
          <w:color w:val="auto"/>
          <w:szCs w:val="21"/>
          <w:highlight w:val="none"/>
        </w:rPr>
        <w:t>（2）承包人的垂直运输机械作业人员、施工船舶作业人员、爆破作业人员、安装拆卸工、起重信号工、电工、焊工等国家规定的特种作业人员，必须按照国家规定经过专门的安全作业培训，并取得特种作业操作资格证书后，方可上岗作业；</w:t>
      </w:r>
    </w:p>
    <w:p>
      <w:pPr>
        <w:tabs>
          <w:tab w:val="left" w:pos="3193"/>
        </w:tabs>
        <w:spacing w:line="380" w:lineRule="exact"/>
        <w:ind w:firstLine="440" w:firstLineChars="200"/>
        <w:rPr>
          <w:color w:val="auto"/>
          <w:szCs w:val="21"/>
          <w:highlight w:val="none"/>
        </w:rPr>
      </w:pPr>
      <w:r>
        <w:rPr>
          <w:color w:val="auto"/>
          <w:szCs w:val="21"/>
          <w:highlight w:val="none"/>
        </w:rPr>
        <w:t>（3）所有施工机具设备和高空作业设备均应定期检查，并有安全员的签字记录；</w:t>
      </w:r>
    </w:p>
    <w:p>
      <w:pPr>
        <w:tabs>
          <w:tab w:val="left" w:pos="3193"/>
        </w:tabs>
        <w:spacing w:line="380" w:lineRule="exact"/>
        <w:ind w:firstLine="440" w:firstLineChars="200"/>
        <w:rPr>
          <w:color w:val="auto"/>
          <w:szCs w:val="21"/>
          <w:highlight w:val="none"/>
        </w:rPr>
      </w:pPr>
      <w:r>
        <w:rPr>
          <w:color w:val="auto"/>
          <w:szCs w:val="21"/>
          <w:highlight w:val="none"/>
        </w:rPr>
        <w:t>（4）根据本合同各单位工程的施工特点，严格执行《公路水运工程安全生产监督管理办法》《公路工程施工安全技术规范》等有关规定。</w:t>
      </w:r>
    </w:p>
    <w:p>
      <w:pPr>
        <w:tabs>
          <w:tab w:val="left" w:pos="3193"/>
        </w:tabs>
        <w:spacing w:line="380" w:lineRule="exact"/>
        <w:ind w:firstLine="440" w:firstLineChars="200"/>
        <w:rPr>
          <w:color w:val="auto"/>
          <w:szCs w:val="21"/>
          <w:highlight w:val="none"/>
        </w:rPr>
      </w:pPr>
      <w:r>
        <w:rPr>
          <w:color w:val="auto"/>
          <w:szCs w:val="21"/>
          <w:highlight w:val="none"/>
        </w:rPr>
        <w:t>9.2.9  为了保护本合同工程免遭损坏，或为了现场附近和过往群众的安全与方便，在确有必要的时候和地方，或当监理人或有关主管部门要求时，承包人应自费提供照明、警卫、护栅、警告标志等安全防护设施。</w:t>
      </w:r>
    </w:p>
    <w:p>
      <w:pPr>
        <w:tabs>
          <w:tab w:val="left" w:pos="3193"/>
        </w:tabs>
        <w:spacing w:line="380" w:lineRule="exact"/>
        <w:ind w:firstLine="440" w:firstLineChars="200"/>
        <w:rPr>
          <w:color w:val="auto"/>
          <w:szCs w:val="21"/>
          <w:highlight w:val="none"/>
        </w:rPr>
      </w:pPr>
      <w:r>
        <w:rPr>
          <w:color w:val="auto"/>
          <w:szCs w:val="21"/>
          <w:highlight w:val="none"/>
        </w:rPr>
        <w:t>9.2.10  在通航水域施工时，承包人应与当地主管部门取得联系，设置必要的导 航标志，及时发布航行通告，确保施工水域安全。</w:t>
      </w:r>
    </w:p>
    <w:p>
      <w:pPr>
        <w:tabs>
          <w:tab w:val="left" w:pos="3193"/>
        </w:tabs>
        <w:spacing w:line="380" w:lineRule="exact"/>
        <w:ind w:firstLine="440" w:firstLineChars="200"/>
        <w:rPr>
          <w:color w:val="auto"/>
          <w:szCs w:val="21"/>
          <w:highlight w:val="none"/>
        </w:rPr>
      </w:pPr>
      <w:r>
        <w:rPr>
          <w:color w:val="auto"/>
          <w:szCs w:val="21"/>
          <w:highlight w:val="none"/>
        </w:rPr>
        <w:t>9.2.11  在整个施工过程中对承包人采取的施工安全措施，发包人和监理人有权监督，并向承包人提出整改要求。如果由于承包人未能对其负责的上述事项采取各种必要的措施而导致或发生与此有关的人身伤亡、罚款、索赔、损失补偿、诉讼费用及其他一切责任应由承包人负责。</w:t>
      </w:r>
    </w:p>
    <w:p>
      <w:pPr>
        <w:tabs>
          <w:tab w:val="left" w:pos="3193"/>
        </w:tabs>
        <w:spacing w:line="380" w:lineRule="exact"/>
        <w:rPr>
          <w:color w:val="auto"/>
          <w:szCs w:val="21"/>
          <w:highlight w:val="none"/>
        </w:rPr>
      </w:pPr>
      <w:r>
        <w:rPr>
          <w:color w:val="auto"/>
          <w:szCs w:val="21"/>
          <w:highlight w:val="none"/>
        </w:rPr>
        <w:t xml:space="preserve">9.4  环境保护     </w:t>
      </w:r>
    </w:p>
    <w:p>
      <w:pPr>
        <w:tabs>
          <w:tab w:val="left" w:pos="3193"/>
        </w:tabs>
        <w:spacing w:line="380" w:lineRule="exact"/>
        <w:ind w:firstLine="420"/>
        <w:rPr>
          <w:color w:val="auto"/>
          <w:szCs w:val="21"/>
          <w:highlight w:val="none"/>
        </w:rPr>
      </w:pPr>
      <w:r>
        <w:rPr>
          <w:color w:val="auto"/>
          <w:szCs w:val="21"/>
          <w:highlight w:val="none"/>
        </w:rPr>
        <w:t>本款补充第9.4.7 项~第9.4.11 项：</w:t>
      </w:r>
    </w:p>
    <w:p>
      <w:pPr>
        <w:tabs>
          <w:tab w:val="left" w:pos="3193"/>
        </w:tabs>
        <w:spacing w:line="380" w:lineRule="exact"/>
        <w:ind w:firstLine="420"/>
        <w:rPr>
          <w:color w:val="auto"/>
          <w:szCs w:val="21"/>
          <w:highlight w:val="none"/>
        </w:rPr>
      </w:pPr>
      <w:r>
        <w:rPr>
          <w:color w:val="auto"/>
          <w:szCs w:val="21"/>
          <w:highlight w:val="none"/>
        </w:rPr>
        <w:t>9.4.7  承包人应切实执行技术规范中有关环境保护方面的条款和规定。</w:t>
      </w:r>
    </w:p>
    <w:p>
      <w:pPr>
        <w:tabs>
          <w:tab w:val="left" w:pos="3193"/>
        </w:tabs>
        <w:spacing w:line="380" w:lineRule="exact"/>
        <w:ind w:firstLine="420"/>
        <w:rPr>
          <w:color w:val="auto"/>
          <w:szCs w:val="21"/>
          <w:highlight w:val="none"/>
        </w:rPr>
      </w:pPr>
      <w:r>
        <w:rPr>
          <w:color w:val="auto"/>
          <w:szCs w:val="21"/>
          <w:highlight w:val="none"/>
        </w:rPr>
        <w:t>（1）对于来自施工机械和运输车辆的施工噪声，为保护施工人员的健康，应遵守《中华人民共和国环境噪声污染防治法》并依据《工业企业噪声卫生标准》合理安排工作人员轮流操作筑路机械，减少接触高噪声的时间，或间歇安排高噪声的工作。对距噪声源较近的施工人员，除采取使用防护耳塞或头盔等有效措施外，还应当缩短其劳动时间。同时，要注意对机械的经常性保养，尽量使其噪声降低到最低 水平。为保护施工现场附近居民的夜间休息，对居民区150m 以内的施工现场，施工时间应加以控制。</w:t>
      </w:r>
    </w:p>
    <w:p>
      <w:pPr>
        <w:tabs>
          <w:tab w:val="left" w:pos="3193"/>
        </w:tabs>
        <w:spacing w:line="380" w:lineRule="exact"/>
        <w:ind w:firstLine="420"/>
        <w:rPr>
          <w:color w:val="auto"/>
          <w:szCs w:val="21"/>
          <w:highlight w:val="none"/>
        </w:rPr>
      </w:pPr>
      <w:r>
        <w:rPr>
          <w:color w:val="auto"/>
          <w:szCs w:val="21"/>
          <w:highlight w:val="none"/>
        </w:rPr>
        <w:t>（2）对于公路施工中粉尘污染的主要污染源――灰土拌和、施工车辆和筑路机械运行及运输产生的扬尘，应采取有效措施减轻其对施工现场的大气污染，保护人民健康，如：</w:t>
      </w:r>
    </w:p>
    <w:p>
      <w:pPr>
        <w:tabs>
          <w:tab w:val="left" w:pos="3193"/>
        </w:tabs>
        <w:spacing w:line="380" w:lineRule="exact"/>
        <w:ind w:firstLine="420"/>
        <w:rPr>
          <w:color w:val="auto"/>
          <w:szCs w:val="21"/>
          <w:highlight w:val="none"/>
        </w:rPr>
      </w:pPr>
      <w:r>
        <w:rPr>
          <w:rFonts w:hint="eastAsia"/>
          <w:color w:val="auto"/>
          <w:szCs w:val="21"/>
          <w:highlight w:val="none"/>
        </w:rPr>
        <w:t xml:space="preserve"> </w:t>
      </w:r>
      <w:r>
        <w:rPr>
          <w:color w:val="auto"/>
          <w:szCs w:val="21"/>
          <w:highlight w:val="none"/>
        </w:rPr>
        <w:t>a. 拌和设备应有较好的密封，或有防尘设备。</w:t>
      </w:r>
    </w:p>
    <w:p>
      <w:pPr>
        <w:tabs>
          <w:tab w:val="left" w:pos="3193"/>
        </w:tabs>
        <w:spacing w:line="380" w:lineRule="exact"/>
        <w:ind w:firstLine="420"/>
        <w:rPr>
          <w:color w:val="auto"/>
          <w:szCs w:val="21"/>
          <w:highlight w:val="none"/>
        </w:rPr>
      </w:pPr>
      <w:r>
        <w:rPr>
          <w:color w:val="auto"/>
          <w:szCs w:val="21"/>
          <w:highlight w:val="none"/>
        </w:rPr>
        <w:t xml:space="preserve"> b. 施工通道、沥青混凝土拌和站及灰土拌和站应经常进行洒水降尘。</w:t>
      </w:r>
    </w:p>
    <w:p>
      <w:pPr>
        <w:tabs>
          <w:tab w:val="left" w:pos="3193"/>
        </w:tabs>
        <w:spacing w:line="380" w:lineRule="exact"/>
        <w:ind w:firstLine="420"/>
        <w:rPr>
          <w:color w:val="auto"/>
          <w:szCs w:val="21"/>
          <w:highlight w:val="none"/>
        </w:rPr>
      </w:pPr>
      <w:r>
        <w:rPr>
          <w:color w:val="auto"/>
          <w:szCs w:val="21"/>
          <w:highlight w:val="none"/>
        </w:rPr>
        <w:t xml:space="preserve"> c. 路面施工应注意保持水分，以免扬尘。</w:t>
      </w:r>
    </w:p>
    <w:p>
      <w:pPr>
        <w:tabs>
          <w:tab w:val="left" w:pos="3193"/>
        </w:tabs>
        <w:spacing w:line="380" w:lineRule="exact"/>
        <w:ind w:firstLine="420"/>
        <w:rPr>
          <w:color w:val="auto"/>
          <w:szCs w:val="21"/>
          <w:highlight w:val="none"/>
        </w:rPr>
      </w:pPr>
      <w:r>
        <w:rPr>
          <w:color w:val="auto"/>
          <w:szCs w:val="21"/>
          <w:highlight w:val="none"/>
        </w:rPr>
        <w:t xml:space="preserve"> d. 隧道出渣和桥梁钻孔灌注桩施工时排出的泥浆要进行妥善处理，严禁向河流 或农田排放。</w:t>
      </w:r>
    </w:p>
    <w:p>
      <w:pPr>
        <w:tabs>
          <w:tab w:val="left" w:pos="3193"/>
        </w:tabs>
        <w:spacing w:line="380" w:lineRule="exact"/>
        <w:ind w:firstLine="420"/>
        <w:rPr>
          <w:color w:val="auto"/>
          <w:szCs w:val="21"/>
          <w:highlight w:val="none"/>
        </w:rPr>
      </w:pPr>
      <w:r>
        <w:rPr>
          <w:color w:val="auto"/>
          <w:szCs w:val="21"/>
          <w:highlight w:val="none"/>
        </w:rPr>
        <w:t>（3）采取可靠措施保证原有交通的正常通行，维持沿线村镇的居民饮水、农田灌溉、生产生活用电及通信等管线的正常使用。</w:t>
      </w:r>
    </w:p>
    <w:p>
      <w:pPr>
        <w:tabs>
          <w:tab w:val="left" w:pos="3193"/>
        </w:tabs>
        <w:spacing w:line="380" w:lineRule="exact"/>
        <w:ind w:firstLine="420"/>
        <w:rPr>
          <w:color w:val="auto"/>
          <w:szCs w:val="21"/>
          <w:highlight w:val="none"/>
        </w:rPr>
      </w:pPr>
      <w:r>
        <w:rPr>
          <w:color w:val="auto"/>
          <w:szCs w:val="21"/>
          <w:highlight w:val="none"/>
        </w:rPr>
        <w:t>9.4.8 在整个施工过程中对承包人采取的环境保护措施，发包人和监理人有权监督，并向承包人提出整改要求。如果由于承包人未能对其负责的上述事项采取各种必要的措施而导致或发生与此有关的人身伤亡、罚款、索赔、损失补偿、诉讼费用及其他一切责任应由承包人负责。</w:t>
      </w:r>
    </w:p>
    <w:p>
      <w:pPr>
        <w:tabs>
          <w:tab w:val="left" w:pos="3193"/>
        </w:tabs>
        <w:spacing w:line="380" w:lineRule="exact"/>
        <w:ind w:firstLine="420"/>
        <w:rPr>
          <w:color w:val="auto"/>
          <w:szCs w:val="21"/>
          <w:highlight w:val="none"/>
        </w:rPr>
      </w:pPr>
      <w:r>
        <w:rPr>
          <w:color w:val="auto"/>
          <w:szCs w:val="21"/>
          <w:highlight w:val="none"/>
        </w:rPr>
        <w:t>9.4.9 在施工期间，承包人应随时保持现场整洁，施工设备和材料、工程设备应整齐妥善存放和储存，废料与垃圾及不再需要的临时设施应及时从现场清除、拆除并运走。</w:t>
      </w:r>
    </w:p>
    <w:p>
      <w:pPr>
        <w:tabs>
          <w:tab w:val="left" w:pos="3193"/>
        </w:tabs>
        <w:spacing w:line="380" w:lineRule="exact"/>
        <w:ind w:firstLine="435"/>
        <w:rPr>
          <w:color w:val="auto"/>
          <w:szCs w:val="21"/>
          <w:highlight w:val="none"/>
        </w:rPr>
      </w:pPr>
      <w:r>
        <w:rPr>
          <w:color w:val="auto"/>
          <w:szCs w:val="21"/>
          <w:highlight w:val="none"/>
        </w:rPr>
        <w:t>9.4.10 在施工期间，承包人应严格遵守《关于在公路建设中实行最严格的耕地保护制度的若干意见》的相关规定，规范用地、科学用地、合理用地和节约用地。承包人应合理利用所占耕地地表的耕作层，用于重新造地；合理设置取土坑和弃土 场，取土坑和弃土场的施工防护要符合要求，防止水土流失。承包人应严格控制临 时占地数量，施工便道、各种料场、预制场要根据工程进度统筹考虑，尽可能设置 在公路用地范围内或利用荒坡、废弃地解决，不得占用农田。施工过程中要采取有 效措施防止污染农田，项目完工后承包人应将临时占地自费恢复到临时占地使用前的状况。</w:t>
      </w:r>
    </w:p>
    <w:p>
      <w:pPr>
        <w:tabs>
          <w:tab w:val="left" w:pos="3193"/>
        </w:tabs>
        <w:spacing w:line="380" w:lineRule="exact"/>
        <w:ind w:firstLine="435"/>
        <w:rPr>
          <w:color w:val="auto"/>
          <w:szCs w:val="21"/>
          <w:highlight w:val="none"/>
        </w:rPr>
      </w:pPr>
      <w:r>
        <w:rPr>
          <w:color w:val="auto"/>
          <w:szCs w:val="21"/>
          <w:highlight w:val="none"/>
        </w:rPr>
        <w:t>9.4.11  承包人应严格按照国家有关法规要求，做好施工过程中的生态保护和水土保持工作。施工中要尽可能减少对原地面的扰动，减少对地面草木的破坏，需要爆破作业的，应按规定进行控爆设计。雨季填筑路基应随挖、随运、随填、随压，要完善施工中的临时排水系统，加强施工便道的管理。取（弃）土场必须先挡后弃， 严禁在指定的取（弃）土场以外的地方乱挖乱弃。</w:t>
      </w:r>
    </w:p>
    <w:p>
      <w:pPr>
        <w:tabs>
          <w:tab w:val="left" w:pos="3193"/>
        </w:tabs>
        <w:spacing w:line="380" w:lineRule="exact"/>
        <w:rPr>
          <w:color w:val="auto"/>
          <w:szCs w:val="21"/>
          <w:highlight w:val="none"/>
        </w:rPr>
      </w:pPr>
      <w:r>
        <w:rPr>
          <w:color w:val="auto"/>
          <w:szCs w:val="21"/>
          <w:highlight w:val="none"/>
        </w:rPr>
        <w:t xml:space="preserve">10.  进度计划  </w:t>
      </w:r>
    </w:p>
    <w:p>
      <w:pPr>
        <w:tabs>
          <w:tab w:val="left" w:pos="3193"/>
        </w:tabs>
        <w:spacing w:line="380" w:lineRule="exact"/>
        <w:rPr>
          <w:color w:val="auto"/>
          <w:szCs w:val="21"/>
          <w:highlight w:val="none"/>
        </w:rPr>
      </w:pPr>
      <w:r>
        <w:rPr>
          <w:color w:val="auto"/>
          <w:szCs w:val="21"/>
          <w:highlight w:val="none"/>
        </w:rPr>
        <w:t xml:space="preserve">10.1 合同进度计划  </w:t>
      </w:r>
    </w:p>
    <w:p>
      <w:pPr>
        <w:tabs>
          <w:tab w:val="left" w:pos="3193"/>
        </w:tabs>
        <w:spacing w:line="380" w:lineRule="exact"/>
        <w:ind w:firstLine="420"/>
        <w:rPr>
          <w:color w:val="auto"/>
          <w:szCs w:val="21"/>
          <w:highlight w:val="none"/>
        </w:rPr>
      </w:pPr>
      <w:r>
        <w:rPr>
          <w:color w:val="auto"/>
          <w:szCs w:val="21"/>
          <w:highlight w:val="none"/>
        </w:rPr>
        <w:t xml:space="preserve">本款补充： </w:t>
      </w:r>
    </w:p>
    <w:p>
      <w:pPr>
        <w:tabs>
          <w:tab w:val="left" w:pos="3193"/>
        </w:tabs>
        <w:spacing w:line="380" w:lineRule="exact"/>
        <w:ind w:firstLine="420"/>
        <w:rPr>
          <w:color w:val="auto"/>
          <w:szCs w:val="21"/>
          <w:highlight w:val="none"/>
        </w:rPr>
      </w:pPr>
      <w:r>
        <w:rPr>
          <w:color w:val="auto"/>
          <w:szCs w:val="21"/>
          <w:highlight w:val="none"/>
        </w:rPr>
        <w:t>承包人编制施工方案说明的内容见项目专用合同条款。</w:t>
      </w:r>
    </w:p>
    <w:p>
      <w:pPr>
        <w:tabs>
          <w:tab w:val="left" w:pos="3193"/>
        </w:tabs>
        <w:spacing w:line="380" w:lineRule="exact"/>
        <w:ind w:firstLine="420"/>
        <w:rPr>
          <w:color w:val="auto"/>
          <w:szCs w:val="21"/>
          <w:highlight w:val="none"/>
        </w:rPr>
      </w:pPr>
      <w:r>
        <w:rPr>
          <w:color w:val="auto"/>
          <w:szCs w:val="21"/>
          <w:highlight w:val="none"/>
        </w:rPr>
        <w:t>承包人向监理人报送施工进度计划和施工方案说明的期限：签订合同协议书后监理人应在14天内对承包人施工进度计划和施工方案说明予以批复或提出修改意见。</w:t>
      </w:r>
    </w:p>
    <w:p>
      <w:pPr>
        <w:tabs>
          <w:tab w:val="left" w:pos="3193"/>
        </w:tabs>
        <w:spacing w:line="380" w:lineRule="exact"/>
        <w:ind w:firstLine="420"/>
        <w:rPr>
          <w:color w:val="auto"/>
          <w:szCs w:val="21"/>
          <w:highlight w:val="none"/>
        </w:rPr>
      </w:pPr>
      <w:r>
        <w:rPr>
          <w:color w:val="auto"/>
          <w:szCs w:val="21"/>
          <w:highlight w:val="none"/>
        </w:rPr>
        <w:t>合同进度计划应按照关键线路网络图和主要工作横道图两种形式分别编绘，并应包括每月预计完成的工作量和形象进度。</w:t>
      </w:r>
    </w:p>
    <w:p>
      <w:pPr>
        <w:tabs>
          <w:tab w:val="left" w:pos="3193"/>
        </w:tabs>
        <w:spacing w:line="380" w:lineRule="exact"/>
        <w:rPr>
          <w:color w:val="auto"/>
          <w:szCs w:val="21"/>
          <w:highlight w:val="none"/>
        </w:rPr>
      </w:pPr>
      <w:r>
        <w:rPr>
          <w:color w:val="auto"/>
          <w:szCs w:val="21"/>
          <w:highlight w:val="none"/>
        </w:rPr>
        <w:t xml:space="preserve">10.2  合同进度计划的修订 </w:t>
      </w:r>
    </w:p>
    <w:p>
      <w:pPr>
        <w:tabs>
          <w:tab w:val="left" w:pos="3193"/>
        </w:tabs>
        <w:spacing w:line="380" w:lineRule="exact"/>
        <w:rPr>
          <w:color w:val="auto"/>
          <w:szCs w:val="21"/>
          <w:highlight w:val="none"/>
        </w:rPr>
      </w:pPr>
      <w:r>
        <w:rPr>
          <w:color w:val="auto"/>
          <w:szCs w:val="21"/>
          <w:highlight w:val="none"/>
        </w:rPr>
        <w:t xml:space="preserve">    </w:t>
      </w:r>
      <w:r>
        <w:rPr>
          <w:rFonts w:hint="eastAsia"/>
          <w:color w:val="auto"/>
          <w:szCs w:val="21"/>
          <w:highlight w:val="none"/>
        </w:rPr>
        <w:t xml:space="preserve"> </w:t>
      </w:r>
      <w:r>
        <w:rPr>
          <w:color w:val="auto"/>
          <w:szCs w:val="21"/>
          <w:highlight w:val="none"/>
        </w:rPr>
        <w:t>本款补充：</w:t>
      </w:r>
    </w:p>
    <w:p>
      <w:pPr>
        <w:tabs>
          <w:tab w:val="left" w:pos="3193"/>
        </w:tabs>
        <w:spacing w:line="380" w:lineRule="exact"/>
        <w:rPr>
          <w:color w:val="auto"/>
          <w:szCs w:val="21"/>
          <w:highlight w:val="none"/>
        </w:rPr>
      </w:pPr>
      <w:r>
        <w:rPr>
          <w:color w:val="auto"/>
          <w:szCs w:val="21"/>
          <w:highlight w:val="none"/>
        </w:rPr>
        <w:t xml:space="preserve">     承包人提交合同进度计划修订申请报告，并附有关措施和相关资料的期限：实际进度发生滞后的当月25日前。</w:t>
      </w:r>
    </w:p>
    <w:p>
      <w:pPr>
        <w:tabs>
          <w:tab w:val="left" w:pos="3193"/>
        </w:tabs>
        <w:spacing w:line="380" w:lineRule="exact"/>
        <w:rPr>
          <w:color w:val="auto"/>
          <w:szCs w:val="21"/>
          <w:highlight w:val="none"/>
        </w:rPr>
      </w:pPr>
      <w:r>
        <w:rPr>
          <w:color w:val="auto"/>
          <w:szCs w:val="21"/>
          <w:highlight w:val="none"/>
        </w:rPr>
        <w:t xml:space="preserve">     监理人批复修订合同进度计划的期限：收到修订合同进度计划后14 天内。</w:t>
      </w:r>
    </w:p>
    <w:p>
      <w:pPr>
        <w:tabs>
          <w:tab w:val="left" w:pos="3193"/>
        </w:tabs>
        <w:spacing w:line="380" w:lineRule="exact"/>
        <w:rPr>
          <w:color w:val="auto"/>
          <w:szCs w:val="21"/>
          <w:highlight w:val="none"/>
        </w:rPr>
      </w:pPr>
      <w:r>
        <w:rPr>
          <w:color w:val="auto"/>
          <w:szCs w:val="21"/>
          <w:highlight w:val="none"/>
        </w:rPr>
        <w:t>本条补充第10.3 款、第10.4 款：</w:t>
      </w:r>
    </w:p>
    <w:p>
      <w:pPr>
        <w:tabs>
          <w:tab w:val="left" w:pos="3193"/>
        </w:tabs>
        <w:spacing w:line="380" w:lineRule="exact"/>
        <w:rPr>
          <w:color w:val="auto"/>
          <w:szCs w:val="21"/>
          <w:highlight w:val="none"/>
        </w:rPr>
      </w:pPr>
      <w:r>
        <w:rPr>
          <w:color w:val="auto"/>
          <w:szCs w:val="21"/>
          <w:highlight w:val="none"/>
        </w:rPr>
        <w:t xml:space="preserve">10.3  年度施工计划  </w:t>
      </w:r>
    </w:p>
    <w:p>
      <w:pPr>
        <w:tabs>
          <w:tab w:val="left" w:pos="3193"/>
        </w:tabs>
        <w:spacing w:line="380" w:lineRule="exact"/>
        <w:rPr>
          <w:color w:val="auto"/>
          <w:szCs w:val="21"/>
          <w:highlight w:val="none"/>
        </w:rPr>
      </w:pPr>
      <w:r>
        <w:rPr>
          <w:color w:val="auto"/>
          <w:szCs w:val="21"/>
          <w:highlight w:val="none"/>
        </w:rPr>
        <w:t xml:space="preserve">   承包人应在每年11 月底前，根据已同意的合同进度计划或其修订的计划，向监理人提交2份格式和内容符合监理人合理规定的下一年度的施工计划，以供审查。该计划应包括本年度估计完成的和下一年度预计完成的分项工程数量和工作量，以及为实施此计划将采取的措施。</w:t>
      </w:r>
    </w:p>
    <w:p>
      <w:pPr>
        <w:tabs>
          <w:tab w:val="left" w:pos="3193"/>
        </w:tabs>
        <w:spacing w:line="380" w:lineRule="exact"/>
        <w:rPr>
          <w:color w:val="auto"/>
          <w:szCs w:val="21"/>
          <w:highlight w:val="none"/>
        </w:rPr>
      </w:pPr>
      <w:r>
        <w:rPr>
          <w:color w:val="auto"/>
          <w:szCs w:val="21"/>
          <w:highlight w:val="none"/>
        </w:rPr>
        <w:t xml:space="preserve">10.4  合同用款计划 </w:t>
      </w:r>
    </w:p>
    <w:p>
      <w:pPr>
        <w:tabs>
          <w:tab w:val="left" w:pos="3193"/>
        </w:tabs>
        <w:spacing w:line="380" w:lineRule="exact"/>
        <w:ind w:firstLine="435"/>
        <w:rPr>
          <w:color w:val="auto"/>
          <w:szCs w:val="21"/>
          <w:highlight w:val="none"/>
        </w:rPr>
      </w:pPr>
      <w:r>
        <w:rPr>
          <w:color w:val="auto"/>
          <w:szCs w:val="21"/>
          <w:highlight w:val="none"/>
        </w:rPr>
        <w:t xml:space="preserve">承包人应在签订本合同协议书后28 天之内，按招标文件中规定的格式，向监理人提交2份按合同规定承包人有权得到支付的详细的季度合同用款计划，以备监理人查阅。如果监理人提出要求，承包人还应按季度提交修订的合同用款计划。 </w:t>
      </w:r>
    </w:p>
    <w:p>
      <w:pPr>
        <w:tabs>
          <w:tab w:val="left" w:pos="3193"/>
        </w:tabs>
        <w:spacing w:line="380" w:lineRule="exact"/>
        <w:rPr>
          <w:color w:val="auto"/>
          <w:szCs w:val="21"/>
          <w:highlight w:val="none"/>
        </w:rPr>
      </w:pPr>
      <w:r>
        <w:rPr>
          <w:color w:val="auto"/>
          <w:szCs w:val="21"/>
          <w:highlight w:val="none"/>
        </w:rPr>
        <w:t>11.  开工和交工</w:t>
      </w:r>
    </w:p>
    <w:p>
      <w:pPr>
        <w:tabs>
          <w:tab w:val="left" w:pos="3193"/>
        </w:tabs>
        <w:spacing w:line="380" w:lineRule="exact"/>
        <w:rPr>
          <w:color w:val="auto"/>
          <w:szCs w:val="21"/>
          <w:highlight w:val="none"/>
        </w:rPr>
      </w:pPr>
      <w:r>
        <w:rPr>
          <w:color w:val="auto"/>
          <w:szCs w:val="21"/>
          <w:highlight w:val="none"/>
        </w:rPr>
        <w:t xml:space="preserve">11.1  开工  </w:t>
      </w:r>
    </w:p>
    <w:p>
      <w:pPr>
        <w:tabs>
          <w:tab w:val="left" w:pos="3193"/>
        </w:tabs>
        <w:spacing w:line="380" w:lineRule="exact"/>
        <w:rPr>
          <w:color w:val="auto"/>
          <w:szCs w:val="21"/>
          <w:highlight w:val="none"/>
        </w:rPr>
      </w:pPr>
      <w:r>
        <w:rPr>
          <w:color w:val="auto"/>
          <w:szCs w:val="21"/>
          <w:highlight w:val="none"/>
        </w:rPr>
        <w:t xml:space="preserve">   </w:t>
      </w:r>
      <w:r>
        <w:rPr>
          <w:rFonts w:hint="eastAsia"/>
          <w:color w:val="auto"/>
          <w:szCs w:val="21"/>
          <w:highlight w:val="none"/>
        </w:rPr>
        <w:t xml:space="preserve">  </w:t>
      </w:r>
      <w:r>
        <w:rPr>
          <w:color w:val="auto"/>
          <w:szCs w:val="21"/>
          <w:highlight w:val="none"/>
        </w:rPr>
        <w:t>第11.1.2 项补充：</w:t>
      </w:r>
    </w:p>
    <w:p>
      <w:pPr>
        <w:tabs>
          <w:tab w:val="left" w:pos="3193"/>
        </w:tabs>
        <w:spacing w:line="380" w:lineRule="exact"/>
        <w:rPr>
          <w:color w:val="auto"/>
          <w:szCs w:val="21"/>
          <w:highlight w:val="none"/>
        </w:rPr>
      </w:pPr>
      <w:r>
        <w:rPr>
          <w:color w:val="auto"/>
          <w:szCs w:val="21"/>
          <w:highlight w:val="none"/>
        </w:rPr>
        <w:t xml:space="preserve">     承包人应在分部工程开工前14 天向监理人提交分部工程开工报审表，若承包人的开工准备、工作计划和质量控制方法是可接受的且已获得批准，则经监理人书面同意，分部工程才能开工。</w:t>
      </w:r>
    </w:p>
    <w:p>
      <w:pPr>
        <w:tabs>
          <w:tab w:val="left" w:pos="3193"/>
        </w:tabs>
        <w:spacing w:line="380" w:lineRule="exact"/>
        <w:rPr>
          <w:color w:val="auto"/>
          <w:szCs w:val="21"/>
          <w:highlight w:val="none"/>
        </w:rPr>
      </w:pPr>
      <w:r>
        <w:rPr>
          <w:color w:val="auto"/>
          <w:szCs w:val="21"/>
          <w:highlight w:val="none"/>
        </w:rPr>
        <w:t xml:space="preserve">11.3  发包人的工期延误 </w:t>
      </w:r>
    </w:p>
    <w:p>
      <w:pPr>
        <w:tabs>
          <w:tab w:val="left" w:pos="3193"/>
        </w:tabs>
        <w:spacing w:line="380" w:lineRule="exact"/>
        <w:ind w:firstLine="440" w:firstLineChars="200"/>
        <w:rPr>
          <w:color w:val="auto"/>
          <w:szCs w:val="21"/>
          <w:highlight w:val="none"/>
        </w:rPr>
      </w:pPr>
      <w:r>
        <w:rPr>
          <w:color w:val="auto"/>
          <w:szCs w:val="21"/>
          <w:highlight w:val="none"/>
        </w:rPr>
        <w:t xml:space="preserve">  本款补充：</w:t>
      </w:r>
    </w:p>
    <w:p>
      <w:pPr>
        <w:tabs>
          <w:tab w:val="left" w:pos="3193"/>
        </w:tabs>
        <w:spacing w:line="380" w:lineRule="exact"/>
        <w:ind w:firstLine="440" w:firstLineChars="200"/>
        <w:rPr>
          <w:color w:val="auto"/>
          <w:szCs w:val="21"/>
          <w:highlight w:val="none"/>
        </w:rPr>
      </w:pPr>
      <w:r>
        <w:rPr>
          <w:color w:val="auto"/>
          <w:szCs w:val="21"/>
          <w:highlight w:val="none"/>
        </w:rPr>
        <w:t xml:space="preserve">  即使由于上述原因造成工期延误，如果受影响的工程并非处在工程施工进度网络计划的关键线路上，则承包人无权要求延长总工期。</w:t>
      </w:r>
    </w:p>
    <w:p>
      <w:pPr>
        <w:tabs>
          <w:tab w:val="left" w:pos="3193"/>
        </w:tabs>
        <w:spacing w:line="380" w:lineRule="exact"/>
        <w:rPr>
          <w:color w:val="auto"/>
          <w:szCs w:val="21"/>
          <w:highlight w:val="none"/>
        </w:rPr>
      </w:pPr>
      <w:r>
        <w:rPr>
          <w:color w:val="auto"/>
          <w:szCs w:val="21"/>
          <w:highlight w:val="none"/>
        </w:rPr>
        <w:t xml:space="preserve">11.4 异常恶劣的气候条件 </w:t>
      </w:r>
    </w:p>
    <w:p>
      <w:pPr>
        <w:tabs>
          <w:tab w:val="left" w:pos="3193"/>
        </w:tabs>
        <w:spacing w:line="380" w:lineRule="exact"/>
        <w:ind w:firstLine="420"/>
        <w:rPr>
          <w:color w:val="auto"/>
          <w:szCs w:val="21"/>
          <w:highlight w:val="none"/>
        </w:rPr>
      </w:pPr>
      <w:r>
        <w:rPr>
          <w:color w:val="auto"/>
          <w:szCs w:val="21"/>
          <w:highlight w:val="none"/>
        </w:rPr>
        <w:t>本款补充：</w:t>
      </w:r>
    </w:p>
    <w:p>
      <w:pPr>
        <w:tabs>
          <w:tab w:val="left" w:pos="3193"/>
        </w:tabs>
        <w:spacing w:line="380" w:lineRule="exact"/>
        <w:ind w:firstLine="435"/>
        <w:rPr>
          <w:color w:val="auto"/>
          <w:szCs w:val="21"/>
          <w:highlight w:val="none"/>
        </w:rPr>
      </w:pPr>
      <w:r>
        <w:rPr>
          <w:color w:val="auto"/>
          <w:szCs w:val="21"/>
          <w:highlight w:val="none"/>
        </w:rPr>
        <w:t>异常气候是指项目所在地30 年以上一遇的罕见气候现象（包括温度、降水、降 雪、风等）。异常恶劣的气候条件在项目专用合同条款中作具体约定。</w:t>
      </w:r>
    </w:p>
    <w:p>
      <w:pPr>
        <w:tabs>
          <w:tab w:val="left" w:pos="3193"/>
        </w:tabs>
        <w:spacing w:line="380" w:lineRule="exact"/>
        <w:rPr>
          <w:color w:val="auto"/>
          <w:szCs w:val="21"/>
          <w:highlight w:val="none"/>
        </w:rPr>
      </w:pPr>
      <w:r>
        <w:rPr>
          <w:color w:val="auto"/>
          <w:szCs w:val="21"/>
          <w:highlight w:val="none"/>
        </w:rPr>
        <w:t xml:space="preserve">11.5  承包人的工期延误  </w:t>
      </w:r>
    </w:p>
    <w:p>
      <w:pPr>
        <w:tabs>
          <w:tab w:val="left" w:pos="3193"/>
        </w:tabs>
        <w:spacing w:line="380" w:lineRule="exact"/>
        <w:rPr>
          <w:color w:val="auto"/>
          <w:szCs w:val="21"/>
          <w:highlight w:val="none"/>
        </w:rPr>
      </w:pPr>
      <w:r>
        <w:rPr>
          <w:color w:val="auto"/>
          <w:szCs w:val="21"/>
          <w:highlight w:val="none"/>
        </w:rPr>
        <w:t xml:space="preserve">   </w:t>
      </w:r>
      <w:r>
        <w:rPr>
          <w:rFonts w:hint="eastAsia"/>
          <w:color w:val="auto"/>
          <w:szCs w:val="21"/>
          <w:highlight w:val="none"/>
        </w:rPr>
        <w:t xml:space="preserve">  </w:t>
      </w:r>
      <w:r>
        <w:rPr>
          <w:color w:val="auto"/>
          <w:szCs w:val="21"/>
          <w:highlight w:val="none"/>
        </w:rPr>
        <w:t>本款细化为：</w:t>
      </w:r>
    </w:p>
    <w:p>
      <w:pPr>
        <w:tabs>
          <w:tab w:val="left" w:pos="3193"/>
        </w:tabs>
        <w:spacing w:line="380" w:lineRule="exact"/>
        <w:rPr>
          <w:color w:val="auto"/>
          <w:szCs w:val="21"/>
          <w:highlight w:val="none"/>
        </w:rPr>
      </w:pPr>
      <w:r>
        <w:rPr>
          <w:color w:val="auto"/>
          <w:szCs w:val="21"/>
          <w:highlight w:val="none"/>
        </w:rPr>
        <w:t xml:space="preserve">    （1）承包人应严格执行监理人批准的合同进度计划，对工作量计划和形象进度 计划分别控制。除第11.3 款规定外，承包人的实际工程进度曲线应在合同进度管理 曲线规定的安全区域之内。若承包人的实际工程进度曲线处在合同进度管理曲线规 定的安全区域的下限之外时，则监理人有权认为本合同工程的进度过慢，并通知承包人应采取必要措施，以便加快工程进度，确保工程能在预定的工期内交工。承包人应采取措施加快进度，并承担加快进度所增加的费用。</w:t>
      </w:r>
    </w:p>
    <w:p>
      <w:pPr>
        <w:tabs>
          <w:tab w:val="left" w:pos="3193"/>
        </w:tabs>
        <w:spacing w:line="380" w:lineRule="exact"/>
        <w:ind w:firstLine="435"/>
        <w:rPr>
          <w:color w:val="auto"/>
          <w:szCs w:val="21"/>
          <w:highlight w:val="none"/>
        </w:rPr>
      </w:pPr>
      <w:r>
        <w:rPr>
          <w:color w:val="auto"/>
          <w:szCs w:val="21"/>
          <w:highlight w:val="none"/>
        </w:rPr>
        <w:t>（2）如果承包人在接到监理人通知后的 14 天内，未能采取加快工程进度的措 施，致使实际工程进度进一步滞后，或承包人虽采取了一些措施，仍无法按预计工 期交工时，监理人应立即通知发包人。发包人在向承包人发出书面警告通知14天后，发包人可按第22.1 款终止对承包人的雇用，也可将本合同工程中的一部分工作交由其他承包人或其他分包人完成。在不解除本合同规定的承包人责任和义务的同时， 承包人应承担因此所增加的一切费用。</w:t>
      </w:r>
    </w:p>
    <w:p>
      <w:pPr>
        <w:tabs>
          <w:tab w:val="left" w:pos="3193"/>
        </w:tabs>
        <w:spacing w:line="380" w:lineRule="exact"/>
        <w:ind w:firstLine="435"/>
        <w:rPr>
          <w:color w:val="auto"/>
          <w:szCs w:val="21"/>
          <w:highlight w:val="none"/>
        </w:rPr>
      </w:pPr>
      <w:r>
        <w:rPr>
          <w:color w:val="auto"/>
          <w:szCs w:val="21"/>
          <w:highlight w:val="none"/>
        </w:rPr>
        <w:t>（3）由于承包人原因造成工期延误，承包人应支付逾期交工违约金。逾期交工违约金的计算方法在项目专用合同条款数据表中约定，时间自预定的交工日期起到交工验收证书中写明的实际交工日期止（扣除已批准的延长工期），按天计算。逾期交工违约金累计金额最高不超过项目专用合同条款数据表中写明的限额。发包人可以从应付或到期应付给承包人的任何款项中或采用其他方法扣除此违约金。</w:t>
      </w:r>
    </w:p>
    <w:p>
      <w:pPr>
        <w:tabs>
          <w:tab w:val="left" w:pos="3193"/>
        </w:tabs>
        <w:spacing w:line="380" w:lineRule="exact"/>
        <w:ind w:firstLine="435"/>
        <w:rPr>
          <w:color w:val="auto"/>
          <w:szCs w:val="21"/>
          <w:highlight w:val="none"/>
        </w:rPr>
      </w:pPr>
      <w:r>
        <w:rPr>
          <w:color w:val="auto"/>
          <w:szCs w:val="21"/>
          <w:highlight w:val="none"/>
        </w:rPr>
        <w:t>（4）承包人支付逾期交工违约金，不免除承包人完成工程及修补缺陷的义务。</w:t>
      </w:r>
    </w:p>
    <w:p>
      <w:pPr>
        <w:tabs>
          <w:tab w:val="left" w:pos="3193"/>
        </w:tabs>
        <w:spacing w:line="380" w:lineRule="exact"/>
        <w:ind w:firstLine="435"/>
        <w:rPr>
          <w:color w:val="auto"/>
          <w:szCs w:val="21"/>
          <w:highlight w:val="none"/>
        </w:rPr>
      </w:pPr>
      <w:r>
        <w:rPr>
          <w:color w:val="auto"/>
          <w:szCs w:val="21"/>
          <w:highlight w:val="none"/>
        </w:rPr>
        <w:t>（5）如果在合同工程完工之前，已对合同工程内按时完工的单位工程签发了交工验收证书，则合同工程的逾期交工违约金，应按已签发交工验收证书的单位工程的价值占合同工程价值的比例予以减少，但本规定不应影响逾期交工违约金的规定限额。</w:t>
      </w:r>
    </w:p>
    <w:p>
      <w:pPr>
        <w:tabs>
          <w:tab w:val="left" w:pos="3193"/>
        </w:tabs>
        <w:spacing w:line="380" w:lineRule="exact"/>
        <w:rPr>
          <w:color w:val="auto"/>
          <w:szCs w:val="21"/>
          <w:highlight w:val="none"/>
        </w:rPr>
      </w:pPr>
      <w:r>
        <w:rPr>
          <w:color w:val="auto"/>
          <w:szCs w:val="21"/>
          <w:highlight w:val="none"/>
        </w:rPr>
        <w:t xml:space="preserve">11.6  工期提前 </w:t>
      </w:r>
    </w:p>
    <w:p>
      <w:pPr>
        <w:tabs>
          <w:tab w:val="left" w:pos="3193"/>
        </w:tabs>
        <w:spacing w:line="380" w:lineRule="exact"/>
        <w:ind w:firstLine="420"/>
        <w:rPr>
          <w:color w:val="auto"/>
          <w:szCs w:val="21"/>
          <w:highlight w:val="none"/>
        </w:rPr>
      </w:pPr>
      <w:r>
        <w:rPr>
          <w:rFonts w:hint="eastAsia"/>
          <w:color w:val="auto"/>
          <w:szCs w:val="21"/>
          <w:highlight w:val="none"/>
        </w:rPr>
        <w:t xml:space="preserve"> </w:t>
      </w:r>
      <w:r>
        <w:rPr>
          <w:color w:val="auto"/>
          <w:szCs w:val="21"/>
          <w:highlight w:val="none"/>
        </w:rPr>
        <w:t>本款补充：</w:t>
      </w:r>
    </w:p>
    <w:p>
      <w:pPr>
        <w:tabs>
          <w:tab w:val="left" w:pos="3193"/>
        </w:tabs>
        <w:spacing w:line="380" w:lineRule="exact"/>
        <w:ind w:firstLine="420"/>
        <w:rPr>
          <w:color w:val="auto"/>
          <w:szCs w:val="21"/>
          <w:highlight w:val="none"/>
        </w:rPr>
      </w:pPr>
      <w:r>
        <w:rPr>
          <w:color w:val="auto"/>
          <w:szCs w:val="21"/>
          <w:highlight w:val="none"/>
        </w:rPr>
        <w:t xml:space="preserve"> 发包人不得随意要求承包人提前交工，承包人也不得随意提出提前交工的建议。 如遇特殊情况，确需将工期提前的，发包人和承包人必须采取有效措施，确保工程质量。</w:t>
      </w:r>
    </w:p>
    <w:p>
      <w:pPr>
        <w:tabs>
          <w:tab w:val="left" w:pos="3193"/>
        </w:tabs>
        <w:spacing w:line="380" w:lineRule="exact"/>
        <w:ind w:firstLine="420"/>
        <w:rPr>
          <w:color w:val="auto"/>
          <w:szCs w:val="21"/>
          <w:highlight w:val="none"/>
        </w:rPr>
      </w:pPr>
      <w:r>
        <w:rPr>
          <w:color w:val="auto"/>
          <w:szCs w:val="21"/>
          <w:highlight w:val="none"/>
        </w:rPr>
        <w:t xml:space="preserve"> 如果承包人提前交工，发包人支付奖金的计算方法在项目专用合同条款数据表中约定，时间自交工验收证书中写明的实际交工日期起至预定的交工日期止，按天计算。但奖金最高限额不超过项目专用合同条款数据表中写明的限额。</w:t>
      </w:r>
    </w:p>
    <w:p>
      <w:pPr>
        <w:tabs>
          <w:tab w:val="left" w:pos="3193"/>
        </w:tabs>
        <w:spacing w:line="380" w:lineRule="exact"/>
        <w:rPr>
          <w:color w:val="auto"/>
          <w:szCs w:val="21"/>
          <w:highlight w:val="none"/>
        </w:rPr>
      </w:pPr>
      <w:r>
        <w:rPr>
          <w:color w:val="auto"/>
          <w:szCs w:val="21"/>
          <w:highlight w:val="none"/>
        </w:rPr>
        <w:t>本条补充第11.7 款：</w:t>
      </w:r>
    </w:p>
    <w:p>
      <w:pPr>
        <w:tabs>
          <w:tab w:val="left" w:pos="3193"/>
        </w:tabs>
        <w:spacing w:line="380" w:lineRule="exact"/>
        <w:rPr>
          <w:color w:val="auto"/>
          <w:szCs w:val="21"/>
          <w:highlight w:val="none"/>
        </w:rPr>
      </w:pPr>
      <w:r>
        <w:rPr>
          <w:color w:val="auto"/>
          <w:szCs w:val="21"/>
          <w:highlight w:val="none"/>
        </w:rPr>
        <w:t>11.7  工作时间的限制</w:t>
      </w:r>
    </w:p>
    <w:p>
      <w:pPr>
        <w:tabs>
          <w:tab w:val="left" w:pos="3193"/>
        </w:tabs>
        <w:spacing w:line="380" w:lineRule="exact"/>
        <w:rPr>
          <w:color w:val="auto"/>
          <w:szCs w:val="21"/>
          <w:highlight w:val="none"/>
        </w:rPr>
      </w:pPr>
      <w:r>
        <w:rPr>
          <w:color w:val="auto"/>
          <w:szCs w:val="21"/>
          <w:highlight w:val="none"/>
        </w:rPr>
        <w:t xml:space="preserve">     承包人在夜间或国家规定的节假日进行永久工程的施工，应向监理人报告，以便监理人履行监理职责和义务。 </w:t>
      </w:r>
    </w:p>
    <w:p>
      <w:pPr>
        <w:tabs>
          <w:tab w:val="left" w:pos="3193"/>
        </w:tabs>
        <w:spacing w:line="380" w:lineRule="exact"/>
        <w:rPr>
          <w:color w:val="auto"/>
          <w:szCs w:val="21"/>
          <w:highlight w:val="none"/>
        </w:rPr>
      </w:pPr>
      <w:r>
        <w:rPr>
          <w:color w:val="auto"/>
          <w:szCs w:val="21"/>
          <w:highlight w:val="none"/>
        </w:rPr>
        <w:t xml:space="preserve">  </w:t>
      </w:r>
      <w:r>
        <w:rPr>
          <w:rFonts w:hint="eastAsia"/>
          <w:color w:val="auto"/>
          <w:szCs w:val="21"/>
          <w:highlight w:val="none"/>
        </w:rPr>
        <w:t xml:space="preserve"> </w:t>
      </w:r>
      <w:r>
        <w:rPr>
          <w:color w:val="auto"/>
          <w:szCs w:val="21"/>
          <w:highlight w:val="none"/>
        </w:rPr>
        <w:t xml:space="preserve">  但是，为了抢救生命或保护财产，或为了工程的安全、质量而不可避免地短暂作业，则不必事先向监理人报告。但承包人应在事后立即向监理人报告。     </w:t>
      </w:r>
    </w:p>
    <w:p>
      <w:pPr>
        <w:tabs>
          <w:tab w:val="left" w:pos="3193"/>
        </w:tabs>
        <w:spacing w:line="380" w:lineRule="exact"/>
        <w:rPr>
          <w:color w:val="auto"/>
          <w:szCs w:val="21"/>
          <w:highlight w:val="none"/>
        </w:rPr>
      </w:pPr>
      <w:r>
        <w:rPr>
          <w:rFonts w:hint="eastAsia"/>
          <w:color w:val="auto"/>
          <w:szCs w:val="21"/>
          <w:highlight w:val="none"/>
        </w:rPr>
        <w:t xml:space="preserve">     </w:t>
      </w:r>
      <w:r>
        <w:rPr>
          <w:color w:val="auto"/>
          <w:szCs w:val="21"/>
          <w:highlight w:val="none"/>
        </w:rPr>
        <w:t>本款规定不适用于习惯上或施工本身要求实行连续生产的作业。</w:t>
      </w:r>
    </w:p>
    <w:p>
      <w:pPr>
        <w:tabs>
          <w:tab w:val="left" w:pos="3193"/>
        </w:tabs>
        <w:spacing w:line="380" w:lineRule="exact"/>
        <w:rPr>
          <w:color w:val="auto"/>
          <w:szCs w:val="21"/>
          <w:highlight w:val="none"/>
        </w:rPr>
      </w:pPr>
      <w:r>
        <w:rPr>
          <w:color w:val="auto"/>
          <w:szCs w:val="21"/>
          <w:highlight w:val="none"/>
        </w:rPr>
        <w:t xml:space="preserve">12.  暂停施工 </w:t>
      </w:r>
    </w:p>
    <w:p>
      <w:pPr>
        <w:tabs>
          <w:tab w:val="left" w:pos="3193"/>
        </w:tabs>
        <w:spacing w:line="380" w:lineRule="exact"/>
        <w:rPr>
          <w:color w:val="auto"/>
          <w:szCs w:val="21"/>
          <w:highlight w:val="none"/>
        </w:rPr>
      </w:pPr>
      <w:r>
        <w:rPr>
          <w:color w:val="auto"/>
          <w:szCs w:val="21"/>
          <w:highlight w:val="none"/>
        </w:rPr>
        <w:t xml:space="preserve">12.1  承包人暂停施工的责任 </w:t>
      </w:r>
    </w:p>
    <w:p>
      <w:pPr>
        <w:tabs>
          <w:tab w:val="left" w:pos="3193"/>
        </w:tabs>
        <w:spacing w:line="380" w:lineRule="exact"/>
        <w:rPr>
          <w:color w:val="auto"/>
          <w:szCs w:val="21"/>
          <w:highlight w:val="none"/>
        </w:rPr>
      </w:pPr>
      <w:r>
        <w:rPr>
          <w:color w:val="auto"/>
          <w:szCs w:val="21"/>
          <w:highlight w:val="none"/>
        </w:rPr>
        <w:t xml:space="preserve">    </w:t>
      </w:r>
      <w:r>
        <w:rPr>
          <w:rFonts w:hint="eastAsia"/>
          <w:color w:val="auto"/>
          <w:szCs w:val="21"/>
          <w:highlight w:val="none"/>
        </w:rPr>
        <w:t xml:space="preserve"> </w:t>
      </w:r>
      <w:r>
        <w:rPr>
          <w:color w:val="auto"/>
          <w:szCs w:val="21"/>
          <w:highlight w:val="none"/>
        </w:rPr>
        <w:t>本款第 （5）项细化为：</w:t>
      </w:r>
    </w:p>
    <w:p>
      <w:pPr>
        <w:tabs>
          <w:tab w:val="left" w:pos="3193"/>
        </w:tabs>
        <w:spacing w:line="380" w:lineRule="exact"/>
        <w:rPr>
          <w:color w:val="auto"/>
          <w:szCs w:val="21"/>
          <w:highlight w:val="none"/>
        </w:rPr>
      </w:pPr>
      <w:r>
        <w:rPr>
          <w:color w:val="auto"/>
          <w:szCs w:val="21"/>
          <w:highlight w:val="none"/>
        </w:rPr>
        <w:t xml:space="preserve">     （5）现场气候条件导致的必要停工（第11.4 款约定的异常恶劣的气候条件除外）；</w:t>
      </w:r>
    </w:p>
    <w:p>
      <w:pPr>
        <w:tabs>
          <w:tab w:val="left" w:pos="3193"/>
        </w:tabs>
        <w:spacing w:line="380" w:lineRule="exact"/>
        <w:rPr>
          <w:color w:val="auto"/>
          <w:szCs w:val="21"/>
          <w:highlight w:val="none"/>
        </w:rPr>
      </w:pPr>
      <w:r>
        <w:rPr>
          <w:color w:val="auto"/>
          <w:szCs w:val="21"/>
          <w:highlight w:val="none"/>
        </w:rPr>
        <w:t xml:space="preserve">    </w:t>
      </w:r>
      <w:r>
        <w:rPr>
          <w:rFonts w:hint="eastAsia"/>
          <w:color w:val="auto"/>
          <w:szCs w:val="21"/>
          <w:highlight w:val="none"/>
        </w:rPr>
        <w:t xml:space="preserve"> </w:t>
      </w:r>
      <w:r>
        <w:rPr>
          <w:color w:val="auto"/>
          <w:szCs w:val="21"/>
          <w:highlight w:val="none"/>
        </w:rPr>
        <w:t>（6）项目专用合同条款可能约定的由承包人承担的其他暂停施工。</w:t>
      </w:r>
    </w:p>
    <w:p>
      <w:pPr>
        <w:tabs>
          <w:tab w:val="left" w:pos="3193"/>
        </w:tabs>
        <w:spacing w:line="380" w:lineRule="exact"/>
        <w:rPr>
          <w:color w:val="auto"/>
          <w:szCs w:val="21"/>
          <w:highlight w:val="none"/>
        </w:rPr>
      </w:pPr>
      <w:r>
        <w:rPr>
          <w:color w:val="auto"/>
          <w:szCs w:val="21"/>
          <w:highlight w:val="none"/>
        </w:rPr>
        <w:t xml:space="preserve">13.  工程质量 </w:t>
      </w:r>
    </w:p>
    <w:p>
      <w:pPr>
        <w:tabs>
          <w:tab w:val="left" w:pos="3193"/>
        </w:tabs>
        <w:spacing w:line="380" w:lineRule="exact"/>
        <w:rPr>
          <w:color w:val="auto"/>
          <w:szCs w:val="21"/>
          <w:highlight w:val="none"/>
        </w:rPr>
      </w:pPr>
      <w:r>
        <w:rPr>
          <w:color w:val="auto"/>
          <w:szCs w:val="21"/>
          <w:highlight w:val="none"/>
        </w:rPr>
        <w:t xml:space="preserve">13.1 工程质量要求 </w:t>
      </w:r>
    </w:p>
    <w:p>
      <w:pPr>
        <w:tabs>
          <w:tab w:val="left" w:pos="3193"/>
        </w:tabs>
        <w:spacing w:line="380" w:lineRule="exact"/>
        <w:rPr>
          <w:color w:val="auto"/>
          <w:szCs w:val="21"/>
          <w:highlight w:val="none"/>
        </w:rPr>
      </w:pPr>
      <w:r>
        <w:rPr>
          <w:color w:val="auto"/>
          <w:szCs w:val="21"/>
          <w:highlight w:val="none"/>
        </w:rPr>
        <w:t xml:space="preserve">    </w:t>
      </w:r>
      <w:r>
        <w:rPr>
          <w:rFonts w:hint="eastAsia"/>
          <w:color w:val="auto"/>
          <w:szCs w:val="21"/>
          <w:highlight w:val="none"/>
        </w:rPr>
        <w:t xml:space="preserve"> </w:t>
      </w:r>
      <w:r>
        <w:rPr>
          <w:color w:val="auto"/>
          <w:szCs w:val="21"/>
          <w:highlight w:val="none"/>
        </w:rPr>
        <w:t>第13.1.1 项约定为：</w:t>
      </w:r>
    </w:p>
    <w:p>
      <w:pPr>
        <w:tabs>
          <w:tab w:val="left" w:pos="3193"/>
        </w:tabs>
        <w:spacing w:line="380" w:lineRule="exact"/>
        <w:rPr>
          <w:color w:val="auto"/>
          <w:szCs w:val="21"/>
          <w:highlight w:val="none"/>
        </w:rPr>
      </w:pPr>
      <w:r>
        <w:rPr>
          <w:color w:val="auto"/>
          <w:szCs w:val="21"/>
          <w:highlight w:val="none"/>
        </w:rPr>
        <w:t xml:space="preserve">     工程质量验收按技术规范及 《公路工程质量检验评定标准》执行。</w:t>
      </w:r>
    </w:p>
    <w:p>
      <w:pPr>
        <w:tabs>
          <w:tab w:val="left" w:pos="3193"/>
        </w:tabs>
        <w:spacing w:line="380" w:lineRule="exact"/>
        <w:ind w:firstLine="440" w:firstLineChars="200"/>
        <w:rPr>
          <w:color w:val="auto"/>
          <w:szCs w:val="21"/>
          <w:highlight w:val="none"/>
        </w:rPr>
      </w:pPr>
      <w:r>
        <w:rPr>
          <w:rFonts w:hint="eastAsia"/>
          <w:color w:val="auto"/>
          <w:szCs w:val="21"/>
          <w:highlight w:val="none"/>
        </w:rPr>
        <w:t xml:space="preserve"> </w:t>
      </w:r>
      <w:r>
        <w:rPr>
          <w:color w:val="auto"/>
          <w:szCs w:val="21"/>
          <w:highlight w:val="none"/>
        </w:rPr>
        <w:t xml:space="preserve">本款补充第13.1.4 项、第13.1.5 项： </w:t>
      </w:r>
    </w:p>
    <w:p>
      <w:pPr>
        <w:tabs>
          <w:tab w:val="left" w:pos="3193"/>
        </w:tabs>
        <w:spacing w:line="380" w:lineRule="exact"/>
        <w:ind w:firstLine="440" w:firstLineChars="200"/>
        <w:rPr>
          <w:color w:val="auto"/>
          <w:szCs w:val="21"/>
          <w:highlight w:val="none"/>
        </w:rPr>
      </w:pPr>
      <w:r>
        <w:rPr>
          <w:color w:val="auto"/>
          <w:szCs w:val="21"/>
          <w:highlight w:val="none"/>
        </w:rPr>
        <w:t xml:space="preserve"> 13.1.4  发包人和承包人应严格遵守《关于严格落实公路工程质量责任制的若干意见》的相关规定，认真执行工程质量责任登记制度并按要求填写工程质量责任登记表。</w:t>
      </w:r>
    </w:p>
    <w:p>
      <w:pPr>
        <w:tabs>
          <w:tab w:val="left" w:pos="3193"/>
        </w:tabs>
        <w:spacing w:line="380" w:lineRule="exact"/>
        <w:ind w:firstLine="440" w:firstLineChars="200"/>
        <w:rPr>
          <w:color w:val="auto"/>
          <w:szCs w:val="21"/>
          <w:highlight w:val="none"/>
        </w:rPr>
      </w:pPr>
      <w:r>
        <w:rPr>
          <w:color w:val="auto"/>
          <w:szCs w:val="21"/>
          <w:highlight w:val="none"/>
        </w:rPr>
        <w:t xml:space="preserve">  13.1.5  本项目严格执行质量责任追究制度。质量事故处理实行“ 四不放过”原则：事故原因调查不清不放过；事故责任者没有受到教育不放过；没有防范措施不放过；相关责任人没受到处理不放过。</w:t>
      </w:r>
    </w:p>
    <w:p>
      <w:pPr>
        <w:tabs>
          <w:tab w:val="left" w:pos="3193"/>
        </w:tabs>
        <w:spacing w:line="380" w:lineRule="exact"/>
        <w:rPr>
          <w:color w:val="auto"/>
          <w:szCs w:val="21"/>
          <w:highlight w:val="none"/>
        </w:rPr>
      </w:pPr>
      <w:r>
        <w:rPr>
          <w:color w:val="auto"/>
          <w:szCs w:val="21"/>
          <w:highlight w:val="none"/>
        </w:rPr>
        <w:t xml:space="preserve">13.2  承包人的质量管理 </w:t>
      </w:r>
    </w:p>
    <w:p>
      <w:pPr>
        <w:tabs>
          <w:tab w:val="left" w:pos="3193"/>
        </w:tabs>
        <w:spacing w:line="380" w:lineRule="exact"/>
        <w:rPr>
          <w:color w:val="auto"/>
          <w:szCs w:val="21"/>
          <w:highlight w:val="none"/>
        </w:rPr>
      </w:pPr>
      <w:r>
        <w:rPr>
          <w:color w:val="auto"/>
          <w:szCs w:val="21"/>
          <w:highlight w:val="none"/>
        </w:rPr>
        <w:t xml:space="preserve">   </w:t>
      </w:r>
      <w:r>
        <w:rPr>
          <w:rFonts w:hint="eastAsia"/>
          <w:color w:val="auto"/>
          <w:szCs w:val="21"/>
          <w:highlight w:val="none"/>
        </w:rPr>
        <w:t xml:space="preserve">  </w:t>
      </w:r>
      <w:r>
        <w:rPr>
          <w:color w:val="auto"/>
          <w:szCs w:val="21"/>
          <w:highlight w:val="none"/>
        </w:rPr>
        <w:t xml:space="preserve"> 第13.2.1 项补充：</w:t>
      </w:r>
    </w:p>
    <w:p>
      <w:pPr>
        <w:tabs>
          <w:tab w:val="left" w:pos="3193"/>
        </w:tabs>
        <w:spacing w:line="380" w:lineRule="exact"/>
        <w:rPr>
          <w:color w:val="auto"/>
          <w:szCs w:val="21"/>
          <w:highlight w:val="none"/>
        </w:rPr>
      </w:pPr>
      <w:r>
        <w:rPr>
          <w:color w:val="auto"/>
          <w:szCs w:val="21"/>
          <w:highlight w:val="none"/>
        </w:rPr>
        <w:t xml:space="preserve">    </w:t>
      </w:r>
      <w:r>
        <w:rPr>
          <w:rFonts w:hint="eastAsia"/>
          <w:color w:val="auto"/>
          <w:szCs w:val="21"/>
          <w:highlight w:val="none"/>
        </w:rPr>
        <w:t xml:space="preserve"> </w:t>
      </w:r>
      <w:r>
        <w:rPr>
          <w:color w:val="auto"/>
          <w:szCs w:val="21"/>
          <w:highlight w:val="none"/>
        </w:rPr>
        <w:t xml:space="preserve"> 承包人提交工程质量保证措施文件的期限：签订合同协议书后28 天之内。</w:t>
      </w:r>
    </w:p>
    <w:p>
      <w:pPr>
        <w:tabs>
          <w:tab w:val="left" w:pos="3193"/>
        </w:tabs>
        <w:spacing w:line="380" w:lineRule="exact"/>
        <w:rPr>
          <w:color w:val="auto"/>
          <w:szCs w:val="21"/>
          <w:highlight w:val="none"/>
        </w:rPr>
      </w:pPr>
      <w:r>
        <w:rPr>
          <w:color w:val="auto"/>
          <w:szCs w:val="21"/>
          <w:highlight w:val="none"/>
        </w:rPr>
        <w:t xml:space="preserve">    </w:t>
      </w:r>
      <w:r>
        <w:rPr>
          <w:rFonts w:hint="eastAsia"/>
          <w:color w:val="auto"/>
          <w:szCs w:val="21"/>
          <w:highlight w:val="none"/>
        </w:rPr>
        <w:t xml:space="preserve"> </w:t>
      </w:r>
      <w:r>
        <w:rPr>
          <w:color w:val="auto"/>
          <w:szCs w:val="21"/>
          <w:highlight w:val="none"/>
        </w:rPr>
        <w:t xml:space="preserve"> 本款补充第13.2.3 项~第13.2.10 项：</w:t>
      </w:r>
    </w:p>
    <w:p>
      <w:pPr>
        <w:tabs>
          <w:tab w:val="left" w:pos="3193"/>
        </w:tabs>
        <w:spacing w:line="380" w:lineRule="exact"/>
        <w:rPr>
          <w:color w:val="auto"/>
          <w:szCs w:val="21"/>
          <w:highlight w:val="none"/>
        </w:rPr>
      </w:pPr>
      <w:r>
        <w:rPr>
          <w:color w:val="auto"/>
          <w:szCs w:val="21"/>
          <w:highlight w:val="none"/>
        </w:rPr>
        <w:t xml:space="preserve">     </w:t>
      </w:r>
      <w:r>
        <w:rPr>
          <w:rFonts w:hint="eastAsia"/>
          <w:color w:val="auto"/>
          <w:szCs w:val="21"/>
          <w:highlight w:val="none"/>
        </w:rPr>
        <w:t xml:space="preserve"> </w:t>
      </w:r>
      <w:r>
        <w:rPr>
          <w:color w:val="auto"/>
          <w:szCs w:val="21"/>
          <w:highlight w:val="none"/>
        </w:rPr>
        <w:t xml:space="preserve">13.2.3  公路工程施行质量责任终身制。承包人应当书面明确相应的项目负责人和质量负责人。承包人的相关人员按照国家法律法规和有关规定在工程合理使用年限内承担相应的质量责任。 </w:t>
      </w:r>
    </w:p>
    <w:p>
      <w:pPr>
        <w:tabs>
          <w:tab w:val="left" w:pos="3193"/>
        </w:tabs>
        <w:spacing w:line="380" w:lineRule="exact"/>
        <w:rPr>
          <w:color w:val="auto"/>
          <w:szCs w:val="21"/>
          <w:highlight w:val="none"/>
        </w:rPr>
      </w:pPr>
      <w:r>
        <w:rPr>
          <w:color w:val="auto"/>
          <w:szCs w:val="21"/>
          <w:highlight w:val="none"/>
        </w:rPr>
        <w:t xml:space="preserve">   </w:t>
      </w:r>
      <w:r>
        <w:rPr>
          <w:rFonts w:hint="eastAsia"/>
          <w:color w:val="auto"/>
          <w:szCs w:val="21"/>
          <w:highlight w:val="none"/>
        </w:rPr>
        <w:t xml:space="preserve">  </w:t>
      </w:r>
      <w:r>
        <w:rPr>
          <w:color w:val="auto"/>
          <w:szCs w:val="21"/>
          <w:highlight w:val="none"/>
        </w:rPr>
        <w:t xml:space="preserve"> 13.2.4  承包人应当建立健全工程质量保证体系，制定质量管理制度，强化工程质量管理措施，完善工程质量目标保障机制；严格遵守国家有关法律、法规和规章，严格执行公路工程强制性技术标准、各类技术规范及规程，全面履行工程合同义务。</w:t>
      </w:r>
    </w:p>
    <w:p>
      <w:pPr>
        <w:tabs>
          <w:tab w:val="left" w:pos="3193"/>
        </w:tabs>
        <w:spacing w:line="380" w:lineRule="exact"/>
        <w:rPr>
          <w:color w:val="auto"/>
          <w:szCs w:val="21"/>
          <w:highlight w:val="none"/>
        </w:rPr>
      </w:pPr>
      <w:r>
        <w:rPr>
          <w:color w:val="auto"/>
          <w:szCs w:val="21"/>
          <w:highlight w:val="none"/>
        </w:rPr>
        <w:t xml:space="preserve">    </w:t>
      </w:r>
      <w:r>
        <w:rPr>
          <w:rFonts w:hint="eastAsia"/>
          <w:color w:val="auto"/>
          <w:szCs w:val="21"/>
          <w:highlight w:val="none"/>
        </w:rPr>
        <w:t xml:space="preserve"> </w:t>
      </w:r>
      <w:r>
        <w:rPr>
          <w:color w:val="auto"/>
          <w:szCs w:val="21"/>
          <w:highlight w:val="none"/>
        </w:rPr>
        <w:t xml:space="preserve"> 13.2.5  承包人对工程施工质量负责，应当按合同约定设立现场质量管理机构、配备工程技术人员和质量管理人员，落实工程施工质量责任制。</w:t>
      </w:r>
    </w:p>
    <w:p>
      <w:pPr>
        <w:tabs>
          <w:tab w:val="left" w:pos="3193"/>
        </w:tabs>
        <w:spacing w:line="380" w:lineRule="exact"/>
        <w:rPr>
          <w:color w:val="auto"/>
          <w:szCs w:val="21"/>
          <w:highlight w:val="none"/>
        </w:rPr>
      </w:pPr>
      <w:r>
        <w:rPr>
          <w:color w:val="auto"/>
          <w:szCs w:val="21"/>
          <w:highlight w:val="none"/>
        </w:rPr>
        <w:t xml:space="preserve">    </w:t>
      </w:r>
      <w:r>
        <w:rPr>
          <w:rFonts w:hint="eastAsia"/>
          <w:color w:val="auto"/>
          <w:szCs w:val="21"/>
          <w:highlight w:val="none"/>
        </w:rPr>
        <w:t xml:space="preserve"> </w:t>
      </w:r>
      <w:r>
        <w:rPr>
          <w:color w:val="auto"/>
          <w:szCs w:val="21"/>
          <w:highlight w:val="none"/>
        </w:rPr>
        <w:t xml:space="preserve"> 13.2.6  承包人应当严格按照工程设计图纸、施工技术标准和合同约定施工，对原材料、混合料、构配件、工程实体、机电设备等进行检验；按规定施行班组自检、工序交接检、专职质检员检验的质量控制程序；对分项工程、分部工程和单位工程进行质量自评。检验或者自评不合格的，不得进入下道工序或者投入使用。</w:t>
      </w:r>
    </w:p>
    <w:p>
      <w:pPr>
        <w:tabs>
          <w:tab w:val="left" w:pos="3193"/>
        </w:tabs>
        <w:spacing w:line="380" w:lineRule="exact"/>
        <w:rPr>
          <w:color w:val="auto"/>
          <w:szCs w:val="21"/>
          <w:highlight w:val="none"/>
        </w:rPr>
      </w:pPr>
      <w:r>
        <w:rPr>
          <w:color w:val="auto"/>
          <w:szCs w:val="21"/>
          <w:highlight w:val="none"/>
        </w:rPr>
        <w:t xml:space="preserve">    </w:t>
      </w:r>
      <w:r>
        <w:rPr>
          <w:rFonts w:hint="eastAsia"/>
          <w:color w:val="auto"/>
          <w:szCs w:val="21"/>
          <w:highlight w:val="none"/>
        </w:rPr>
        <w:t xml:space="preserve"> </w:t>
      </w:r>
      <w:r>
        <w:rPr>
          <w:color w:val="auto"/>
          <w:szCs w:val="21"/>
          <w:highlight w:val="none"/>
        </w:rPr>
        <w:t xml:space="preserve"> 13.2.7  承包人应当加强施工过程质量控制，并形成完整、可追溯的施工质量管理资料，主体工程的隐蔽部位施工还应当保留影像资料。对施工中出现的质量问题 或者验收不合格的工程，应当负责返工处理；对在保修范围和保修期限内发生质量 问题的工程，应当履行保修义务。</w:t>
      </w:r>
    </w:p>
    <w:p>
      <w:pPr>
        <w:tabs>
          <w:tab w:val="left" w:pos="3193"/>
        </w:tabs>
        <w:spacing w:line="380" w:lineRule="exact"/>
        <w:rPr>
          <w:color w:val="auto"/>
          <w:szCs w:val="21"/>
          <w:highlight w:val="none"/>
        </w:rPr>
      </w:pPr>
      <w:r>
        <w:rPr>
          <w:rFonts w:hint="eastAsia"/>
          <w:color w:val="auto"/>
          <w:szCs w:val="21"/>
          <w:highlight w:val="none"/>
        </w:rPr>
        <w:t xml:space="preserve"> </w:t>
      </w:r>
      <w:r>
        <w:rPr>
          <w:color w:val="auto"/>
          <w:szCs w:val="21"/>
          <w:highlight w:val="none"/>
        </w:rPr>
        <w:t xml:space="preserve">     13.2.8  承包人应当按照合同约定设立工地临时试验室，配齐检测和试验仪器、仪表，及时校正确保其精度；严格按照工程技术标准、检测规范和规程，在核定的试验检测参数范围内开展试验检测活动，并确保规范规定的检验、抽检频率。承包人应当对其设立的工地临时试验室所出具的试验检测数据和报告的真实性、客观性、准确性负责。</w:t>
      </w:r>
    </w:p>
    <w:p>
      <w:pPr>
        <w:tabs>
          <w:tab w:val="left" w:pos="3193"/>
        </w:tabs>
        <w:spacing w:line="380" w:lineRule="exact"/>
        <w:rPr>
          <w:color w:val="auto"/>
          <w:szCs w:val="21"/>
          <w:highlight w:val="none"/>
        </w:rPr>
      </w:pPr>
      <w:r>
        <w:rPr>
          <w:color w:val="auto"/>
          <w:szCs w:val="21"/>
          <w:highlight w:val="none"/>
        </w:rPr>
        <w:t xml:space="preserve">    </w:t>
      </w:r>
      <w:r>
        <w:rPr>
          <w:rFonts w:hint="eastAsia"/>
          <w:color w:val="auto"/>
          <w:szCs w:val="21"/>
          <w:highlight w:val="none"/>
        </w:rPr>
        <w:t xml:space="preserve"> </w:t>
      </w:r>
      <w:r>
        <w:rPr>
          <w:color w:val="auto"/>
          <w:szCs w:val="21"/>
          <w:highlight w:val="none"/>
        </w:rPr>
        <w:t xml:space="preserve"> 13.2.9  承包人应当依法规范分包行为，并对承担的工程质量负总责，分包单位对分包合同范围内的工程质量负责。 </w:t>
      </w:r>
    </w:p>
    <w:p>
      <w:pPr>
        <w:tabs>
          <w:tab w:val="left" w:pos="3193"/>
        </w:tabs>
        <w:spacing w:line="380" w:lineRule="exact"/>
        <w:rPr>
          <w:color w:val="auto"/>
          <w:szCs w:val="21"/>
          <w:highlight w:val="none"/>
        </w:rPr>
      </w:pPr>
      <w:r>
        <w:rPr>
          <w:color w:val="auto"/>
          <w:szCs w:val="21"/>
          <w:highlight w:val="none"/>
        </w:rPr>
        <w:t xml:space="preserve">    </w:t>
      </w:r>
      <w:r>
        <w:rPr>
          <w:rFonts w:hint="eastAsia"/>
          <w:color w:val="auto"/>
          <w:szCs w:val="21"/>
          <w:highlight w:val="none"/>
        </w:rPr>
        <w:t xml:space="preserve"> </w:t>
      </w:r>
      <w:r>
        <w:rPr>
          <w:color w:val="auto"/>
          <w:szCs w:val="21"/>
          <w:highlight w:val="none"/>
        </w:rPr>
        <w:t>13.2.10  承包人驻工程现场机构应在现场驻地和重要的分部、分项工程施工现场设置明显的工程质量责任登记表公示牌。</w:t>
      </w:r>
    </w:p>
    <w:p>
      <w:pPr>
        <w:tabs>
          <w:tab w:val="left" w:pos="3193"/>
        </w:tabs>
        <w:spacing w:line="380" w:lineRule="exact"/>
        <w:rPr>
          <w:color w:val="auto"/>
          <w:szCs w:val="21"/>
          <w:highlight w:val="none"/>
        </w:rPr>
      </w:pPr>
      <w:r>
        <w:rPr>
          <w:color w:val="auto"/>
          <w:szCs w:val="21"/>
          <w:highlight w:val="none"/>
        </w:rPr>
        <w:t xml:space="preserve">13.4  监理人的质量检查 </w:t>
      </w:r>
    </w:p>
    <w:p>
      <w:pPr>
        <w:tabs>
          <w:tab w:val="left" w:pos="3193"/>
        </w:tabs>
        <w:spacing w:line="380" w:lineRule="exact"/>
        <w:ind w:firstLine="420"/>
        <w:rPr>
          <w:color w:val="auto"/>
          <w:szCs w:val="21"/>
          <w:highlight w:val="none"/>
        </w:rPr>
      </w:pPr>
      <w:r>
        <w:rPr>
          <w:rFonts w:hint="eastAsia"/>
          <w:color w:val="auto"/>
          <w:szCs w:val="21"/>
          <w:highlight w:val="none"/>
        </w:rPr>
        <w:t xml:space="preserve">  </w:t>
      </w:r>
      <w:r>
        <w:rPr>
          <w:color w:val="auto"/>
          <w:szCs w:val="21"/>
          <w:highlight w:val="none"/>
        </w:rPr>
        <w:t>本款补充：</w:t>
      </w:r>
    </w:p>
    <w:p>
      <w:pPr>
        <w:tabs>
          <w:tab w:val="left" w:pos="3193"/>
        </w:tabs>
        <w:spacing w:line="380" w:lineRule="exact"/>
        <w:ind w:firstLine="420"/>
        <w:rPr>
          <w:color w:val="auto"/>
          <w:szCs w:val="21"/>
          <w:highlight w:val="none"/>
        </w:rPr>
      </w:pPr>
      <w:r>
        <w:rPr>
          <w:color w:val="auto"/>
          <w:szCs w:val="21"/>
          <w:highlight w:val="none"/>
        </w:rPr>
        <w:t xml:space="preserve">  监理人及其委派的检验人员，应能进入工程现场，以及材料或工程设备的制造、加工或制配的车间和场所，包括不属于承包人的车间或场所进行检查，承包人应为此提供便利和协助。</w:t>
      </w:r>
    </w:p>
    <w:p>
      <w:pPr>
        <w:tabs>
          <w:tab w:val="left" w:pos="3193"/>
        </w:tabs>
        <w:spacing w:line="380" w:lineRule="exact"/>
        <w:ind w:firstLine="420"/>
        <w:rPr>
          <w:color w:val="auto"/>
          <w:szCs w:val="21"/>
          <w:highlight w:val="none"/>
        </w:rPr>
      </w:pPr>
      <w:r>
        <w:rPr>
          <w:color w:val="auto"/>
          <w:szCs w:val="21"/>
          <w:highlight w:val="none"/>
        </w:rPr>
        <w:t xml:space="preserve">  监理人可以将材料或工程设备的检查和检验委托给一家独立的有质量检验认证资格的检验单位。该独立检验单位的检验结果应视为监理人完成的。监理人应将这种委托的通知书不少于7 天前交给承包人。 </w:t>
      </w:r>
    </w:p>
    <w:p>
      <w:pPr>
        <w:tabs>
          <w:tab w:val="left" w:pos="3193"/>
        </w:tabs>
        <w:spacing w:line="380" w:lineRule="exact"/>
        <w:rPr>
          <w:color w:val="auto"/>
          <w:szCs w:val="21"/>
          <w:highlight w:val="none"/>
        </w:rPr>
      </w:pPr>
      <w:r>
        <w:rPr>
          <w:color w:val="auto"/>
          <w:szCs w:val="21"/>
          <w:highlight w:val="none"/>
        </w:rPr>
        <w:t>13.5  工程隐蔽部位覆盖前的检查</w:t>
      </w:r>
    </w:p>
    <w:p>
      <w:pPr>
        <w:tabs>
          <w:tab w:val="left" w:pos="3193"/>
        </w:tabs>
        <w:spacing w:line="380" w:lineRule="exact"/>
        <w:rPr>
          <w:color w:val="auto"/>
          <w:szCs w:val="21"/>
          <w:highlight w:val="none"/>
        </w:rPr>
      </w:pPr>
      <w:r>
        <w:rPr>
          <w:color w:val="auto"/>
          <w:szCs w:val="21"/>
          <w:highlight w:val="none"/>
        </w:rPr>
        <w:t xml:space="preserve">     第13.5.1 项补充：</w:t>
      </w:r>
    </w:p>
    <w:p>
      <w:pPr>
        <w:tabs>
          <w:tab w:val="left" w:pos="3193"/>
        </w:tabs>
        <w:spacing w:line="380" w:lineRule="exact"/>
        <w:rPr>
          <w:color w:val="auto"/>
          <w:szCs w:val="21"/>
          <w:highlight w:val="none"/>
        </w:rPr>
      </w:pPr>
      <w:r>
        <w:rPr>
          <w:color w:val="auto"/>
          <w:szCs w:val="21"/>
          <w:highlight w:val="none"/>
        </w:rPr>
        <w:t xml:space="preserve">     当监理人有指令时，承包人应对重要隐蔽工程进行拍摄或照相并应保证监理人有充分的机会对将要覆盖或掩蔽的工程进行检查和量测，特别是在基础以上的任一部分工程修筑之前，对该基础进行检查。 </w:t>
      </w:r>
    </w:p>
    <w:p>
      <w:pPr>
        <w:tabs>
          <w:tab w:val="left" w:pos="3193"/>
        </w:tabs>
        <w:spacing w:line="380" w:lineRule="exact"/>
        <w:rPr>
          <w:color w:val="auto"/>
          <w:szCs w:val="21"/>
          <w:highlight w:val="none"/>
        </w:rPr>
      </w:pPr>
      <w:r>
        <w:rPr>
          <w:color w:val="auto"/>
          <w:szCs w:val="21"/>
          <w:highlight w:val="none"/>
        </w:rPr>
        <w:t xml:space="preserve">13.6  清除不合格工程 </w:t>
      </w:r>
    </w:p>
    <w:p>
      <w:pPr>
        <w:tabs>
          <w:tab w:val="left" w:pos="3193"/>
        </w:tabs>
        <w:spacing w:line="380" w:lineRule="exact"/>
        <w:ind w:firstLine="420"/>
        <w:rPr>
          <w:color w:val="auto"/>
          <w:szCs w:val="21"/>
          <w:highlight w:val="none"/>
        </w:rPr>
      </w:pPr>
      <w:r>
        <w:rPr>
          <w:color w:val="auto"/>
          <w:szCs w:val="21"/>
          <w:highlight w:val="none"/>
        </w:rPr>
        <w:t>第13.6.1 项细化为：</w:t>
      </w:r>
    </w:p>
    <w:p>
      <w:pPr>
        <w:tabs>
          <w:tab w:val="left" w:pos="3193"/>
        </w:tabs>
        <w:spacing w:line="380" w:lineRule="exact"/>
        <w:ind w:firstLine="420"/>
        <w:rPr>
          <w:color w:val="auto"/>
          <w:szCs w:val="21"/>
          <w:highlight w:val="none"/>
        </w:rPr>
      </w:pPr>
      <w:r>
        <w:rPr>
          <w:rFonts w:hint="eastAsia"/>
          <w:color w:val="auto"/>
          <w:szCs w:val="21"/>
          <w:highlight w:val="none"/>
        </w:rPr>
        <w:t xml:space="preserve"> </w:t>
      </w:r>
      <w:r>
        <w:rPr>
          <w:color w:val="auto"/>
          <w:szCs w:val="21"/>
          <w:highlight w:val="none"/>
        </w:rPr>
        <w:t xml:space="preserve">（1）承包人使用不合格材料、工程设备，或采用不适当的施工工艺，或施工不当，造成工程不合格的，监理人可以随时发出指示，要求承包人立即采取措施进行 替换、补救或拆除重建，直至达到合同要求的质量标准，由此增加的费用和（或）工期延误由承包人承担。  </w:t>
      </w:r>
    </w:p>
    <w:p>
      <w:pPr>
        <w:tabs>
          <w:tab w:val="left" w:pos="3193"/>
        </w:tabs>
        <w:spacing w:line="380" w:lineRule="exact"/>
        <w:ind w:firstLine="420"/>
        <w:rPr>
          <w:color w:val="auto"/>
          <w:szCs w:val="21"/>
          <w:highlight w:val="none"/>
        </w:rPr>
      </w:pPr>
      <w:r>
        <w:rPr>
          <w:color w:val="auto"/>
          <w:szCs w:val="21"/>
          <w:highlight w:val="none"/>
        </w:rPr>
        <w:t xml:space="preserve"> （2）如果承包人未在规定时间内执行监理人的指示，发包人有权雇用他人执行，由此增加的费用和 （或）工期延误由承包人承担。</w:t>
      </w:r>
    </w:p>
    <w:p>
      <w:pPr>
        <w:tabs>
          <w:tab w:val="left" w:pos="3193"/>
        </w:tabs>
        <w:spacing w:line="380" w:lineRule="exact"/>
        <w:rPr>
          <w:color w:val="auto"/>
          <w:szCs w:val="21"/>
          <w:highlight w:val="none"/>
        </w:rPr>
      </w:pPr>
      <w:r>
        <w:rPr>
          <w:color w:val="auto"/>
          <w:szCs w:val="21"/>
          <w:highlight w:val="none"/>
        </w:rPr>
        <w:t xml:space="preserve">14.  试验和检验  </w:t>
      </w:r>
    </w:p>
    <w:p>
      <w:pPr>
        <w:tabs>
          <w:tab w:val="left" w:pos="3193"/>
        </w:tabs>
        <w:spacing w:line="380" w:lineRule="exact"/>
        <w:rPr>
          <w:color w:val="auto"/>
          <w:szCs w:val="21"/>
          <w:highlight w:val="none"/>
        </w:rPr>
      </w:pPr>
      <w:r>
        <w:rPr>
          <w:rFonts w:hint="eastAsia"/>
          <w:color w:val="auto"/>
          <w:szCs w:val="21"/>
          <w:highlight w:val="none"/>
        </w:rPr>
        <w:t xml:space="preserve">     </w:t>
      </w:r>
      <w:r>
        <w:rPr>
          <w:color w:val="auto"/>
          <w:szCs w:val="21"/>
          <w:highlight w:val="none"/>
        </w:rPr>
        <w:t>本条补充第14.4 款：</w:t>
      </w:r>
    </w:p>
    <w:p>
      <w:pPr>
        <w:tabs>
          <w:tab w:val="left" w:pos="3193"/>
        </w:tabs>
        <w:spacing w:line="380" w:lineRule="exact"/>
        <w:rPr>
          <w:color w:val="auto"/>
          <w:szCs w:val="21"/>
          <w:highlight w:val="none"/>
        </w:rPr>
      </w:pPr>
      <w:r>
        <w:rPr>
          <w:color w:val="auto"/>
          <w:szCs w:val="21"/>
          <w:highlight w:val="none"/>
        </w:rPr>
        <w:t xml:space="preserve">14.4  试验和检验费用   </w:t>
      </w:r>
    </w:p>
    <w:p>
      <w:pPr>
        <w:tabs>
          <w:tab w:val="left" w:pos="3193"/>
        </w:tabs>
        <w:spacing w:line="380" w:lineRule="exact"/>
        <w:rPr>
          <w:color w:val="auto"/>
          <w:szCs w:val="21"/>
          <w:highlight w:val="none"/>
        </w:rPr>
      </w:pPr>
      <w:r>
        <w:rPr>
          <w:color w:val="auto"/>
          <w:szCs w:val="21"/>
          <w:highlight w:val="none"/>
        </w:rPr>
        <w:t xml:space="preserve">   </w:t>
      </w:r>
      <w:r>
        <w:rPr>
          <w:rFonts w:hint="eastAsia"/>
          <w:color w:val="auto"/>
          <w:szCs w:val="21"/>
          <w:highlight w:val="none"/>
        </w:rPr>
        <w:t xml:space="preserve"> </w:t>
      </w:r>
      <w:r>
        <w:rPr>
          <w:color w:val="auto"/>
          <w:szCs w:val="21"/>
          <w:highlight w:val="none"/>
        </w:rPr>
        <w:t>（1）承包人应负责提供合同和技术规范规定的试验和检验所需的全部样品，承担其费用。</w:t>
      </w:r>
    </w:p>
    <w:p>
      <w:pPr>
        <w:tabs>
          <w:tab w:val="left" w:pos="3193"/>
        </w:tabs>
        <w:spacing w:line="380" w:lineRule="exact"/>
        <w:ind w:firstLine="435"/>
        <w:rPr>
          <w:color w:val="auto"/>
          <w:szCs w:val="21"/>
          <w:highlight w:val="none"/>
        </w:rPr>
      </w:pPr>
      <w:r>
        <w:rPr>
          <w:color w:val="auto"/>
          <w:szCs w:val="21"/>
          <w:highlight w:val="none"/>
        </w:rPr>
        <w:t>（2）在合同中明确规定的试验和检验，包括无须在工程量清单中单独列项和已在工程量清单中单独列项的试验和检验，其试验和检验的费用由承包人承担。</w:t>
      </w:r>
    </w:p>
    <w:p>
      <w:pPr>
        <w:tabs>
          <w:tab w:val="left" w:pos="3193"/>
        </w:tabs>
        <w:spacing w:line="380" w:lineRule="exact"/>
        <w:ind w:firstLine="435"/>
        <w:rPr>
          <w:color w:val="auto"/>
          <w:szCs w:val="21"/>
          <w:highlight w:val="none"/>
        </w:rPr>
      </w:pPr>
      <w:r>
        <w:rPr>
          <w:color w:val="auto"/>
          <w:szCs w:val="21"/>
          <w:highlight w:val="none"/>
        </w:rPr>
        <w:t xml:space="preserve">（3）如果监理人所要求做的试验和检验为合同未规定的或是在该材料或工程设备的制造、加工、制配场地以外的场所进行的，则检验结束后，如表明操作工艺或材料、工程设备未能符合合同规定，其费用应由承包人承担，否则，其费用应由发包人承担。 </w:t>
      </w:r>
    </w:p>
    <w:p>
      <w:pPr>
        <w:tabs>
          <w:tab w:val="left" w:pos="3193"/>
        </w:tabs>
        <w:spacing w:line="380" w:lineRule="exact"/>
        <w:rPr>
          <w:color w:val="auto"/>
          <w:szCs w:val="21"/>
          <w:highlight w:val="none"/>
        </w:rPr>
      </w:pPr>
      <w:r>
        <w:rPr>
          <w:color w:val="auto"/>
          <w:szCs w:val="21"/>
          <w:highlight w:val="none"/>
        </w:rPr>
        <w:t xml:space="preserve">15.  变更  </w:t>
      </w:r>
    </w:p>
    <w:p>
      <w:pPr>
        <w:tabs>
          <w:tab w:val="left" w:pos="3193"/>
        </w:tabs>
        <w:spacing w:line="380" w:lineRule="exact"/>
        <w:rPr>
          <w:color w:val="auto"/>
          <w:szCs w:val="21"/>
          <w:highlight w:val="none"/>
        </w:rPr>
      </w:pPr>
      <w:r>
        <w:rPr>
          <w:color w:val="auto"/>
          <w:szCs w:val="21"/>
          <w:highlight w:val="none"/>
        </w:rPr>
        <w:t>15.1  变更的范围和内容</w:t>
      </w:r>
    </w:p>
    <w:p>
      <w:pPr>
        <w:tabs>
          <w:tab w:val="left" w:pos="3193"/>
        </w:tabs>
        <w:spacing w:line="380" w:lineRule="exact"/>
        <w:ind w:firstLine="440" w:firstLineChars="200"/>
        <w:rPr>
          <w:color w:val="auto"/>
          <w:szCs w:val="21"/>
          <w:highlight w:val="none"/>
        </w:rPr>
      </w:pPr>
      <w:r>
        <w:rPr>
          <w:color w:val="auto"/>
          <w:szCs w:val="21"/>
          <w:highlight w:val="none"/>
        </w:rPr>
        <w:t xml:space="preserve">本款第 （1）项细化为： </w:t>
      </w:r>
    </w:p>
    <w:p>
      <w:pPr>
        <w:tabs>
          <w:tab w:val="left" w:pos="3193"/>
        </w:tabs>
        <w:spacing w:line="380" w:lineRule="exact"/>
        <w:ind w:firstLine="220" w:firstLineChars="100"/>
        <w:rPr>
          <w:color w:val="auto"/>
          <w:szCs w:val="21"/>
          <w:highlight w:val="none"/>
        </w:rPr>
      </w:pPr>
      <w:r>
        <w:rPr>
          <w:color w:val="auto"/>
          <w:szCs w:val="21"/>
          <w:highlight w:val="none"/>
        </w:rPr>
        <w:t xml:space="preserve"> （1）取消合同中任何一项工作，但被取消的工作不能转由发包人或其他人实施，由于承包人违约造成的情况除外；</w:t>
      </w:r>
    </w:p>
    <w:p>
      <w:pPr>
        <w:tabs>
          <w:tab w:val="left" w:pos="3193"/>
        </w:tabs>
        <w:spacing w:line="380" w:lineRule="exact"/>
        <w:rPr>
          <w:color w:val="auto"/>
          <w:szCs w:val="21"/>
          <w:highlight w:val="none"/>
        </w:rPr>
      </w:pPr>
      <w:r>
        <w:rPr>
          <w:color w:val="auto"/>
          <w:szCs w:val="21"/>
          <w:highlight w:val="none"/>
        </w:rPr>
        <w:t xml:space="preserve">15.3  变更程序  </w:t>
      </w:r>
    </w:p>
    <w:p>
      <w:pPr>
        <w:tabs>
          <w:tab w:val="left" w:pos="3193"/>
        </w:tabs>
        <w:spacing w:line="380" w:lineRule="exact"/>
        <w:rPr>
          <w:color w:val="auto"/>
          <w:szCs w:val="21"/>
          <w:highlight w:val="none"/>
        </w:rPr>
      </w:pPr>
      <w:r>
        <w:rPr>
          <w:color w:val="auto"/>
          <w:szCs w:val="21"/>
          <w:highlight w:val="none"/>
        </w:rPr>
        <w:t xml:space="preserve">   本款补充第15.3.4 项： </w:t>
      </w:r>
    </w:p>
    <w:p>
      <w:pPr>
        <w:tabs>
          <w:tab w:val="left" w:pos="3193"/>
        </w:tabs>
        <w:spacing w:line="380" w:lineRule="exact"/>
        <w:rPr>
          <w:color w:val="auto"/>
          <w:szCs w:val="21"/>
          <w:highlight w:val="none"/>
        </w:rPr>
      </w:pPr>
      <w:r>
        <w:rPr>
          <w:color w:val="auto"/>
          <w:szCs w:val="21"/>
          <w:highlight w:val="none"/>
        </w:rPr>
        <w:t xml:space="preserve">   15.3.4  设计变更程序应执行《公路工程设计变更管理办法》的相关规定。</w:t>
      </w:r>
    </w:p>
    <w:p>
      <w:pPr>
        <w:tabs>
          <w:tab w:val="left" w:pos="3193"/>
        </w:tabs>
        <w:spacing w:line="380" w:lineRule="exact"/>
        <w:rPr>
          <w:color w:val="auto"/>
          <w:szCs w:val="21"/>
          <w:highlight w:val="none"/>
        </w:rPr>
      </w:pPr>
      <w:r>
        <w:rPr>
          <w:color w:val="auto"/>
          <w:szCs w:val="21"/>
          <w:highlight w:val="none"/>
        </w:rPr>
        <w:t xml:space="preserve">15.4  变更的估价原则 </w:t>
      </w:r>
    </w:p>
    <w:p>
      <w:pPr>
        <w:tabs>
          <w:tab w:val="left" w:pos="3193"/>
        </w:tabs>
        <w:spacing w:line="380" w:lineRule="exact"/>
        <w:rPr>
          <w:color w:val="auto"/>
          <w:szCs w:val="21"/>
          <w:highlight w:val="none"/>
        </w:rPr>
      </w:pPr>
      <w:r>
        <w:rPr>
          <w:color w:val="auto"/>
          <w:szCs w:val="21"/>
          <w:highlight w:val="none"/>
        </w:rPr>
        <w:t xml:space="preserve">      本款细化为：</w:t>
      </w:r>
    </w:p>
    <w:p>
      <w:pPr>
        <w:tabs>
          <w:tab w:val="left" w:pos="3193"/>
        </w:tabs>
        <w:spacing w:line="380" w:lineRule="exact"/>
        <w:rPr>
          <w:color w:val="auto"/>
          <w:szCs w:val="21"/>
          <w:highlight w:val="none"/>
        </w:rPr>
      </w:pPr>
      <w:r>
        <w:rPr>
          <w:color w:val="auto"/>
          <w:szCs w:val="21"/>
          <w:highlight w:val="none"/>
        </w:rPr>
        <w:t xml:space="preserve">     </w:t>
      </w:r>
      <w:r>
        <w:rPr>
          <w:rFonts w:hint="eastAsia"/>
          <w:color w:val="auto"/>
          <w:szCs w:val="21"/>
          <w:highlight w:val="none"/>
        </w:rPr>
        <w:t xml:space="preserve"> </w:t>
      </w:r>
      <w:r>
        <w:rPr>
          <w:color w:val="auto"/>
          <w:szCs w:val="21"/>
          <w:highlight w:val="none"/>
        </w:rPr>
        <w:t>除项目专用合同条款另有约定外，因变更引起的价格调整按照本款约定处理。</w:t>
      </w:r>
    </w:p>
    <w:p>
      <w:pPr>
        <w:tabs>
          <w:tab w:val="left" w:pos="3193"/>
        </w:tabs>
        <w:spacing w:line="380" w:lineRule="exact"/>
        <w:rPr>
          <w:color w:val="auto"/>
          <w:szCs w:val="21"/>
          <w:highlight w:val="none"/>
        </w:rPr>
      </w:pPr>
      <w:r>
        <w:rPr>
          <w:color w:val="auto"/>
          <w:szCs w:val="21"/>
          <w:highlight w:val="none"/>
        </w:rPr>
        <w:t xml:space="preserve">      15.4.1  如果取消某项工作，则该项工作的总额价不予支付。</w:t>
      </w:r>
    </w:p>
    <w:p>
      <w:pPr>
        <w:tabs>
          <w:tab w:val="left" w:pos="3193"/>
        </w:tabs>
        <w:spacing w:line="380" w:lineRule="exact"/>
        <w:rPr>
          <w:color w:val="auto"/>
          <w:szCs w:val="21"/>
          <w:highlight w:val="none"/>
        </w:rPr>
      </w:pPr>
      <w:r>
        <w:rPr>
          <w:color w:val="auto"/>
          <w:szCs w:val="21"/>
          <w:highlight w:val="none"/>
        </w:rPr>
        <w:t xml:space="preserve">      15.4.2  已标价工程量清单中有适用于变更工作的子目的，采用该子目的单价。</w:t>
      </w:r>
    </w:p>
    <w:p>
      <w:pPr>
        <w:tabs>
          <w:tab w:val="left" w:pos="3193"/>
        </w:tabs>
        <w:spacing w:line="380" w:lineRule="exact"/>
        <w:rPr>
          <w:color w:val="auto"/>
          <w:szCs w:val="21"/>
          <w:highlight w:val="none"/>
        </w:rPr>
      </w:pPr>
      <w:r>
        <w:rPr>
          <w:color w:val="auto"/>
          <w:szCs w:val="21"/>
          <w:highlight w:val="none"/>
        </w:rPr>
        <w:t xml:space="preserve">      15.4.3  已标价工程量清单中无适用于变更工作的子目，但有类似子目的，可在合理范围内参照类似子目的单价，由监理人按第3.5 款商定或确定变更工作的单价。</w:t>
      </w:r>
    </w:p>
    <w:p>
      <w:pPr>
        <w:tabs>
          <w:tab w:val="left" w:pos="3193"/>
        </w:tabs>
        <w:spacing w:line="380" w:lineRule="exact"/>
        <w:rPr>
          <w:color w:val="auto"/>
          <w:szCs w:val="21"/>
          <w:highlight w:val="none"/>
        </w:rPr>
      </w:pPr>
      <w:r>
        <w:rPr>
          <w:color w:val="auto"/>
          <w:szCs w:val="21"/>
          <w:highlight w:val="none"/>
        </w:rPr>
        <w:t xml:space="preserve">      15.4.4  已标价工程量清单中无适用或类似子目的单价，可在综合考虑承包人在投标时所提供的单价分析表的基础上，由监理人按第 3.5 款商定或确定变更工作的单价。</w:t>
      </w:r>
    </w:p>
    <w:p>
      <w:pPr>
        <w:tabs>
          <w:tab w:val="left" w:pos="3193"/>
        </w:tabs>
        <w:spacing w:line="380" w:lineRule="exact"/>
        <w:rPr>
          <w:color w:val="auto"/>
          <w:szCs w:val="21"/>
          <w:highlight w:val="none"/>
        </w:rPr>
      </w:pPr>
      <w:r>
        <w:rPr>
          <w:color w:val="auto"/>
          <w:szCs w:val="21"/>
          <w:highlight w:val="none"/>
        </w:rPr>
        <w:t xml:space="preserve">      15.4.5  如果本工程的变更指示是因承包人过错、承包人违反合同或承包人责任造成的，则这种违约引起的任何额外费用应由承包人承担。</w:t>
      </w:r>
    </w:p>
    <w:p>
      <w:pPr>
        <w:tabs>
          <w:tab w:val="left" w:pos="3193"/>
        </w:tabs>
        <w:spacing w:line="380" w:lineRule="exact"/>
        <w:rPr>
          <w:color w:val="auto"/>
          <w:szCs w:val="21"/>
          <w:highlight w:val="none"/>
        </w:rPr>
      </w:pPr>
      <w:r>
        <w:rPr>
          <w:color w:val="auto"/>
          <w:szCs w:val="21"/>
          <w:highlight w:val="none"/>
        </w:rPr>
        <w:t xml:space="preserve">15.5  承包人的合理化建议   </w:t>
      </w:r>
    </w:p>
    <w:p>
      <w:pPr>
        <w:tabs>
          <w:tab w:val="left" w:pos="3193"/>
        </w:tabs>
        <w:spacing w:line="380" w:lineRule="exact"/>
        <w:rPr>
          <w:color w:val="auto"/>
          <w:szCs w:val="21"/>
          <w:highlight w:val="none"/>
        </w:rPr>
      </w:pPr>
      <w:r>
        <w:rPr>
          <w:color w:val="auto"/>
          <w:szCs w:val="21"/>
          <w:highlight w:val="none"/>
        </w:rPr>
        <w:t xml:space="preserve"> </w:t>
      </w:r>
      <w:r>
        <w:rPr>
          <w:rFonts w:hint="eastAsia"/>
          <w:color w:val="auto"/>
          <w:szCs w:val="21"/>
          <w:highlight w:val="none"/>
        </w:rPr>
        <w:t xml:space="preserve">   </w:t>
      </w:r>
      <w:r>
        <w:rPr>
          <w:color w:val="auto"/>
          <w:szCs w:val="21"/>
          <w:highlight w:val="none"/>
        </w:rPr>
        <w:t xml:space="preserve"> 第15.5.2 项约定为： </w:t>
      </w:r>
    </w:p>
    <w:p>
      <w:pPr>
        <w:tabs>
          <w:tab w:val="left" w:pos="3193"/>
        </w:tabs>
        <w:spacing w:line="380" w:lineRule="exact"/>
        <w:ind w:firstLine="420"/>
        <w:rPr>
          <w:color w:val="auto"/>
          <w:szCs w:val="21"/>
          <w:highlight w:val="none"/>
        </w:rPr>
      </w:pPr>
      <w:r>
        <w:rPr>
          <w:color w:val="auto"/>
          <w:szCs w:val="21"/>
          <w:highlight w:val="none"/>
        </w:rPr>
        <w:t>承包人提出的合理化建议缩短了工期，发包人按第11.6 款的规定给予奖励。</w:t>
      </w:r>
    </w:p>
    <w:p>
      <w:pPr>
        <w:tabs>
          <w:tab w:val="left" w:pos="3193"/>
        </w:tabs>
        <w:spacing w:line="380" w:lineRule="exact"/>
        <w:ind w:firstLine="420"/>
        <w:rPr>
          <w:color w:val="auto"/>
          <w:szCs w:val="21"/>
          <w:highlight w:val="none"/>
        </w:rPr>
      </w:pPr>
      <w:r>
        <w:rPr>
          <w:color w:val="auto"/>
          <w:szCs w:val="21"/>
          <w:highlight w:val="none"/>
        </w:rPr>
        <w:t>承包人提出的合理化建议降低了合同价格或者提高了工程经济效益的，发包人按项目专用合同条款数据表中规定的金额给予奖励。</w:t>
      </w:r>
    </w:p>
    <w:p>
      <w:pPr>
        <w:tabs>
          <w:tab w:val="left" w:pos="3193"/>
        </w:tabs>
        <w:spacing w:line="380" w:lineRule="exact"/>
        <w:rPr>
          <w:color w:val="auto"/>
          <w:szCs w:val="21"/>
          <w:highlight w:val="none"/>
        </w:rPr>
      </w:pPr>
      <w:r>
        <w:rPr>
          <w:color w:val="auto"/>
          <w:szCs w:val="21"/>
          <w:highlight w:val="none"/>
        </w:rPr>
        <w:t xml:space="preserve">15.6 暂列金额   </w:t>
      </w:r>
    </w:p>
    <w:p>
      <w:pPr>
        <w:tabs>
          <w:tab w:val="left" w:pos="3193"/>
        </w:tabs>
        <w:spacing w:line="380" w:lineRule="exact"/>
        <w:rPr>
          <w:color w:val="auto"/>
          <w:szCs w:val="21"/>
          <w:highlight w:val="none"/>
        </w:rPr>
      </w:pPr>
      <w:r>
        <w:rPr>
          <w:color w:val="auto"/>
          <w:szCs w:val="21"/>
          <w:highlight w:val="none"/>
        </w:rPr>
        <w:t xml:space="preserve"> </w:t>
      </w:r>
      <w:r>
        <w:rPr>
          <w:rFonts w:hint="eastAsia"/>
          <w:color w:val="auto"/>
          <w:szCs w:val="21"/>
          <w:highlight w:val="none"/>
        </w:rPr>
        <w:t xml:space="preserve">   </w:t>
      </w:r>
      <w:r>
        <w:rPr>
          <w:color w:val="auto"/>
          <w:szCs w:val="21"/>
          <w:highlight w:val="none"/>
        </w:rPr>
        <w:t xml:space="preserve"> 本款细化为：     </w:t>
      </w:r>
    </w:p>
    <w:p>
      <w:pPr>
        <w:tabs>
          <w:tab w:val="left" w:pos="3193"/>
        </w:tabs>
        <w:spacing w:line="380" w:lineRule="exact"/>
        <w:rPr>
          <w:color w:val="auto"/>
          <w:szCs w:val="21"/>
          <w:highlight w:val="none"/>
        </w:rPr>
      </w:pPr>
      <w:r>
        <w:rPr>
          <w:rFonts w:hint="eastAsia"/>
          <w:color w:val="auto"/>
          <w:szCs w:val="21"/>
          <w:highlight w:val="none"/>
        </w:rPr>
        <w:t xml:space="preserve">     </w:t>
      </w:r>
      <w:r>
        <w:rPr>
          <w:color w:val="auto"/>
          <w:szCs w:val="21"/>
          <w:highlight w:val="none"/>
        </w:rPr>
        <w:t xml:space="preserve">15.6.1  暂列金额应由监理人报发包人批准后指令全部或部分地使用，或者根本不予动用。 </w:t>
      </w:r>
    </w:p>
    <w:p>
      <w:pPr>
        <w:tabs>
          <w:tab w:val="left" w:pos="3193"/>
        </w:tabs>
        <w:spacing w:line="380" w:lineRule="exact"/>
        <w:rPr>
          <w:color w:val="auto"/>
          <w:szCs w:val="21"/>
          <w:highlight w:val="none"/>
        </w:rPr>
      </w:pPr>
      <w:r>
        <w:rPr>
          <w:color w:val="auto"/>
          <w:szCs w:val="21"/>
          <w:highlight w:val="none"/>
        </w:rPr>
        <w:t xml:space="preserve">    </w:t>
      </w:r>
      <w:r>
        <w:rPr>
          <w:rFonts w:hint="eastAsia"/>
          <w:color w:val="auto"/>
          <w:szCs w:val="21"/>
          <w:highlight w:val="none"/>
        </w:rPr>
        <w:t xml:space="preserve"> </w:t>
      </w:r>
      <w:r>
        <w:rPr>
          <w:color w:val="auto"/>
          <w:szCs w:val="21"/>
          <w:highlight w:val="none"/>
        </w:rPr>
        <w:t>15.6.2  对于经发包人批准的每一笔暂列金额，监理人有权向承包人发出实施工程或提供材料、工程设备或服务的指令。这些指令应由承包人完成，监理人应根据第 15.4 款约定的变更估价原则和第15.7 款的规定，对合同价格进行相应调整。</w:t>
      </w:r>
    </w:p>
    <w:p>
      <w:pPr>
        <w:tabs>
          <w:tab w:val="left" w:pos="3193"/>
        </w:tabs>
        <w:spacing w:line="380" w:lineRule="exact"/>
        <w:rPr>
          <w:color w:val="auto"/>
          <w:szCs w:val="21"/>
          <w:highlight w:val="none"/>
        </w:rPr>
      </w:pPr>
      <w:r>
        <w:rPr>
          <w:color w:val="auto"/>
          <w:szCs w:val="21"/>
          <w:highlight w:val="none"/>
        </w:rPr>
        <w:t xml:space="preserve">     15.6.3  当监理人提出要求时，承包人应提供有关暂列金额支出的所有报价单、发票、凭证和账单或收据，除非该工作是根据已标价工程量清单列明的单价或总额价 进行的估价。  </w:t>
      </w:r>
    </w:p>
    <w:p>
      <w:pPr>
        <w:tabs>
          <w:tab w:val="left" w:pos="3193"/>
        </w:tabs>
        <w:spacing w:line="380" w:lineRule="exact"/>
        <w:rPr>
          <w:color w:val="auto"/>
          <w:szCs w:val="21"/>
          <w:highlight w:val="none"/>
        </w:rPr>
      </w:pPr>
      <w:r>
        <w:rPr>
          <w:color w:val="auto"/>
          <w:szCs w:val="21"/>
          <w:highlight w:val="none"/>
        </w:rPr>
        <w:t xml:space="preserve">16.  价格调整  </w:t>
      </w:r>
    </w:p>
    <w:p>
      <w:pPr>
        <w:tabs>
          <w:tab w:val="left" w:pos="3193"/>
        </w:tabs>
        <w:spacing w:line="380" w:lineRule="exact"/>
        <w:rPr>
          <w:color w:val="auto"/>
          <w:szCs w:val="21"/>
          <w:highlight w:val="none"/>
        </w:rPr>
      </w:pPr>
      <w:r>
        <w:rPr>
          <w:color w:val="auto"/>
          <w:szCs w:val="21"/>
          <w:highlight w:val="none"/>
        </w:rPr>
        <w:t xml:space="preserve">16.1  物价波动引起的价格调整   </w:t>
      </w:r>
    </w:p>
    <w:p>
      <w:pPr>
        <w:tabs>
          <w:tab w:val="left" w:pos="3193"/>
        </w:tabs>
        <w:spacing w:line="380" w:lineRule="exact"/>
        <w:rPr>
          <w:color w:val="auto"/>
          <w:szCs w:val="21"/>
          <w:highlight w:val="none"/>
        </w:rPr>
      </w:pPr>
      <w:r>
        <w:rPr>
          <w:color w:val="auto"/>
          <w:szCs w:val="21"/>
          <w:highlight w:val="none"/>
        </w:rPr>
        <w:t xml:space="preserve"> </w:t>
      </w:r>
      <w:r>
        <w:rPr>
          <w:rFonts w:hint="eastAsia"/>
          <w:color w:val="auto"/>
          <w:szCs w:val="21"/>
          <w:highlight w:val="none"/>
        </w:rPr>
        <w:t xml:space="preserve">   </w:t>
      </w:r>
      <w:r>
        <w:rPr>
          <w:color w:val="auto"/>
          <w:szCs w:val="21"/>
          <w:highlight w:val="none"/>
        </w:rPr>
        <w:t xml:space="preserve"> 本款约定为：     </w:t>
      </w:r>
    </w:p>
    <w:p>
      <w:pPr>
        <w:tabs>
          <w:tab w:val="left" w:pos="3193"/>
        </w:tabs>
        <w:spacing w:line="380" w:lineRule="exact"/>
        <w:rPr>
          <w:color w:val="auto"/>
          <w:szCs w:val="21"/>
          <w:highlight w:val="none"/>
        </w:rPr>
      </w:pPr>
      <w:r>
        <w:rPr>
          <w:color w:val="auto"/>
          <w:szCs w:val="21"/>
          <w:highlight w:val="none"/>
        </w:rPr>
        <w:t xml:space="preserve"> </w:t>
      </w:r>
      <w:r>
        <w:rPr>
          <w:rFonts w:hint="eastAsia"/>
          <w:color w:val="auto"/>
          <w:szCs w:val="21"/>
          <w:highlight w:val="none"/>
        </w:rPr>
        <w:t xml:space="preserve">   </w:t>
      </w:r>
      <w:r>
        <w:rPr>
          <w:color w:val="auto"/>
          <w:szCs w:val="21"/>
          <w:highlight w:val="none"/>
        </w:rPr>
        <w:t>（1）除项目专用合同条款另有约定外，因物价波动引起的价格调整应按项目专用合同条款数据表的规定，按照第16.1.1 项或第16.1.2 项约定的原则处理；或者</w:t>
      </w:r>
    </w:p>
    <w:p>
      <w:pPr>
        <w:tabs>
          <w:tab w:val="left" w:pos="3193"/>
        </w:tabs>
        <w:spacing w:line="380" w:lineRule="exact"/>
        <w:ind w:firstLine="435"/>
        <w:rPr>
          <w:color w:val="auto"/>
          <w:szCs w:val="21"/>
          <w:highlight w:val="none"/>
        </w:rPr>
      </w:pPr>
      <w:r>
        <w:rPr>
          <w:color w:val="auto"/>
          <w:szCs w:val="21"/>
          <w:highlight w:val="none"/>
        </w:rPr>
        <w:t xml:space="preserve">（2）在合同执行期间 （包括工期拖延期间）由于人工、材料和设备价格的上涨而引起工程施工成本增加的风险由承包人自行承担，合同价格不会因此而调整。  </w:t>
      </w:r>
    </w:p>
    <w:p>
      <w:pPr>
        <w:tabs>
          <w:tab w:val="left" w:pos="3193"/>
        </w:tabs>
        <w:spacing w:line="380" w:lineRule="exact"/>
        <w:ind w:firstLine="435"/>
        <w:rPr>
          <w:color w:val="auto"/>
          <w:szCs w:val="21"/>
          <w:highlight w:val="none"/>
        </w:rPr>
      </w:pPr>
      <w:r>
        <w:rPr>
          <w:color w:val="auto"/>
          <w:szCs w:val="21"/>
          <w:highlight w:val="none"/>
        </w:rPr>
        <w:t xml:space="preserve"> 16.1.1  采用价格指数调整价格差额</w:t>
      </w:r>
    </w:p>
    <w:p>
      <w:pPr>
        <w:tabs>
          <w:tab w:val="left" w:pos="3193"/>
        </w:tabs>
        <w:spacing w:line="380" w:lineRule="exact"/>
        <w:ind w:firstLine="435"/>
        <w:rPr>
          <w:color w:val="auto"/>
          <w:szCs w:val="21"/>
          <w:highlight w:val="none"/>
        </w:rPr>
      </w:pPr>
      <w:r>
        <w:rPr>
          <w:color w:val="auto"/>
          <w:szCs w:val="21"/>
          <w:highlight w:val="none"/>
        </w:rPr>
        <w:t xml:space="preserve"> 16.1.1.1  价格调整公式  </w:t>
      </w:r>
    </w:p>
    <w:p>
      <w:pPr>
        <w:tabs>
          <w:tab w:val="left" w:pos="3193"/>
        </w:tabs>
        <w:spacing w:line="380" w:lineRule="exact"/>
        <w:ind w:firstLine="435"/>
        <w:rPr>
          <w:color w:val="auto"/>
          <w:szCs w:val="21"/>
          <w:highlight w:val="none"/>
        </w:rPr>
      </w:pPr>
      <w:r>
        <w:rPr>
          <w:color w:val="auto"/>
          <w:szCs w:val="21"/>
          <w:highlight w:val="none"/>
        </w:rPr>
        <w:t xml:space="preserve"> 价格调整公式后增加备注如下：</w:t>
      </w:r>
    </w:p>
    <w:p>
      <w:pPr>
        <w:tabs>
          <w:tab w:val="left" w:pos="3193"/>
        </w:tabs>
        <w:spacing w:line="380" w:lineRule="exact"/>
        <w:ind w:firstLine="435"/>
        <w:rPr>
          <w:color w:val="auto"/>
          <w:szCs w:val="21"/>
          <w:highlight w:val="none"/>
        </w:rPr>
      </w:pPr>
      <w:r>
        <w:rPr>
          <w:color w:val="auto"/>
          <w:szCs w:val="21"/>
          <w:highlight w:val="none"/>
        </w:rPr>
        <w:t xml:space="preserve"> 式中，A=1－（B1 ＋B2 ＋B3 ＋ ……＋Bn ）。                  </w:t>
      </w:r>
    </w:p>
    <w:p>
      <w:pPr>
        <w:tabs>
          <w:tab w:val="left" w:pos="3193"/>
        </w:tabs>
        <w:spacing w:line="380" w:lineRule="exact"/>
        <w:ind w:firstLine="440" w:firstLineChars="200"/>
        <w:rPr>
          <w:color w:val="auto"/>
          <w:szCs w:val="21"/>
          <w:highlight w:val="none"/>
        </w:rPr>
      </w:pPr>
      <w:r>
        <w:rPr>
          <w:rFonts w:hint="eastAsia"/>
          <w:color w:val="auto"/>
          <w:szCs w:val="21"/>
          <w:highlight w:val="none"/>
        </w:rPr>
        <w:t xml:space="preserve"> </w:t>
      </w:r>
      <w:r>
        <w:rPr>
          <w:color w:val="auto"/>
          <w:szCs w:val="21"/>
          <w:highlight w:val="none"/>
        </w:rPr>
        <w:t xml:space="preserve">本目最后一段文字细化为：     </w:t>
      </w:r>
    </w:p>
    <w:p>
      <w:pPr>
        <w:tabs>
          <w:tab w:val="left" w:pos="3193"/>
        </w:tabs>
        <w:spacing w:line="380" w:lineRule="exact"/>
        <w:ind w:firstLine="440" w:firstLineChars="200"/>
        <w:rPr>
          <w:color w:val="auto"/>
          <w:szCs w:val="21"/>
          <w:highlight w:val="none"/>
        </w:rPr>
      </w:pPr>
      <w:r>
        <w:rPr>
          <w:rFonts w:hint="eastAsia"/>
          <w:color w:val="auto"/>
          <w:szCs w:val="21"/>
          <w:highlight w:val="none"/>
        </w:rPr>
        <w:t xml:space="preserve"> </w:t>
      </w:r>
      <w:r>
        <w:rPr>
          <w:color w:val="auto"/>
          <w:szCs w:val="21"/>
          <w:highlight w:val="none"/>
        </w:rPr>
        <w:t xml:space="preserve">在采用价格调整公式进行调价时，还应遵守以下规定：      </w:t>
      </w:r>
    </w:p>
    <w:p>
      <w:pPr>
        <w:tabs>
          <w:tab w:val="left" w:pos="3193"/>
        </w:tabs>
        <w:spacing w:line="380" w:lineRule="exact"/>
        <w:ind w:firstLine="440" w:firstLineChars="200"/>
        <w:rPr>
          <w:color w:val="auto"/>
          <w:szCs w:val="21"/>
          <w:highlight w:val="none"/>
        </w:rPr>
      </w:pPr>
      <w:r>
        <w:rPr>
          <w:color w:val="auto"/>
          <w:szCs w:val="21"/>
          <w:highlight w:val="none"/>
        </w:rPr>
        <w:t>（1）以上价格调整公式中的各可调因子、定值权重，以及基本价格指数及其来源由发包人在投标函附录价格指数和权重表中约定。价格指数应首先采用国家或省、自治区、直辖市价格部门或统计部门提供的价格指数，缺乏上述价格指数时，可采用上述部门提供的价格代替。</w:t>
      </w:r>
    </w:p>
    <w:p>
      <w:pPr>
        <w:tabs>
          <w:tab w:val="left" w:pos="3193"/>
        </w:tabs>
        <w:spacing w:line="380" w:lineRule="exact"/>
        <w:ind w:firstLine="440" w:firstLineChars="200"/>
        <w:rPr>
          <w:color w:val="auto"/>
          <w:szCs w:val="21"/>
          <w:highlight w:val="none"/>
        </w:rPr>
      </w:pPr>
      <w:r>
        <w:rPr>
          <w:color w:val="auto"/>
          <w:szCs w:val="21"/>
          <w:highlight w:val="none"/>
        </w:rPr>
        <w:t xml:space="preserve"> （2）价格调整公式中的变值权重，由发包人根据项目实际情况测算确定范围，并在投标函附录价格指数和权重表中约定范围；承包人在投标时在此范围内填写各可调因子的权重，合同实施期间将按此权重进行调价。</w:t>
      </w:r>
    </w:p>
    <w:p>
      <w:pPr>
        <w:tabs>
          <w:tab w:val="left" w:pos="3193"/>
        </w:tabs>
        <w:spacing w:line="380" w:lineRule="exact"/>
        <w:rPr>
          <w:color w:val="auto"/>
          <w:szCs w:val="21"/>
          <w:highlight w:val="none"/>
        </w:rPr>
      </w:pPr>
      <w:r>
        <w:rPr>
          <w:color w:val="auto"/>
          <w:szCs w:val="21"/>
          <w:highlight w:val="none"/>
        </w:rPr>
        <w:t xml:space="preserve">17.  计量与支付 </w:t>
      </w:r>
    </w:p>
    <w:p>
      <w:pPr>
        <w:tabs>
          <w:tab w:val="left" w:pos="3193"/>
        </w:tabs>
        <w:spacing w:line="380" w:lineRule="exact"/>
        <w:rPr>
          <w:color w:val="auto"/>
          <w:szCs w:val="21"/>
          <w:highlight w:val="none"/>
        </w:rPr>
      </w:pPr>
      <w:r>
        <w:rPr>
          <w:color w:val="auto"/>
          <w:szCs w:val="21"/>
          <w:highlight w:val="none"/>
        </w:rPr>
        <w:t xml:space="preserve">17.1 计量    </w:t>
      </w:r>
    </w:p>
    <w:p>
      <w:pPr>
        <w:tabs>
          <w:tab w:val="left" w:pos="3193"/>
        </w:tabs>
        <w:spacing w:line="380" w:lineRule="exact"/>
        <w:rPr>
          <w:color w:val="auto"/>
          <w:szCs w:val="21"/>
          <w:highlight w:val="none"/>
        </w:rPr>
      </w:pPr>
      <w:r>
        <w:rPr>
          <w:color w:val="auto"/>
          <w:szCs w:val="21"/>
          <w:highlight w:val="none"/>
        </w:rPr>
        <w:t xml:space="preserve">  </w:t>
      </w:r>
      <w:r>
        <w:rPr>
          <w:rFonts w:hint="eastAsia"/>
          <w:color w:val="auto"/>
          <w:szCs w:val="21"/>
          <w:highlight w:val="none"/>
        </w:rPr>
        <w:t xml:space="preserve">  </w:t>
      </w:r>
      <w:r>
        <w:rPr>
          <w:color w:val="auto"/>
          <w:szCs w:val="21"/>
          <w:highlight w:val="none"/>
        </w:rPr>
        <w:t xml:space="preserve"> 17.1.2  计量方法  </w:t>
      </w:r>
    </w:p>
    <w:p>
      <w:pPr>
        <w:tabs>
          <w:tab w:val="left" w:pos="3193"/>
        </w:tabs>
        <w:spacing w:line="380" w:lineRule="exact"/>
        <w:rPr>
          <w:color w:val="auto"/>
          <w:szCs w:val="21"/>
          <w:highlight w:val="none"/>
        </w:rPr>
      </w:pPr>
      <w:r>
        <w:rPr>
          <w:color w:val="auto"/>
          <w:szCs w:val="21"/>
          <w:highlight w:val="none"/>
        </w:rPr>
        <w:t xml:space="preserve">   </w:t>
      </w:r>
      <w:r>
        <w:rPr>
          <w:rFonts w:hint="eastAsia"/>
          <w:color w:val="auto"/>
          <w:szCs w:val="21"/>
          <w:highlight w:val="none"/>
        </w:rPr>
        <w:t xml:space="preserve">  </w:t>
      </w:r>
      <w:r>
        <w:rPr>
          <w:color w:val="auto"/>
          <w:szCs w:val="21"/>
          <w:highlight w:val="none"/>
        </w:rPr>
        <w:t xml:space="preserve">本项约定为： </w:t>
      </w:r>
    </w:p>
    <w:p>
      <w:pPr>
        <w:tabs>
          <w:tab w:val="left" w:pos="3193"/>
        </w:tabs>
        <w:spacing w:line="380" w:lineRule="exact"/>
        <w:rPr>
          <w:color w:val="auto"/>
          <w:szCs w:val="21"/>
          <w:highlight w:val="none"/>
        </w:rPr>
      </w:pPr>
      <w:r>
        <w:rPr>
          <w:color w:val="auto"/>
          <w:szCs w:val="21"/>
          <w:highlight w:val="none"/>
        </w:rPr>
        <w:t xml:space="preserve">    </w:t>
      </w:r>
      <w:r>
        <w:rPr>
          <w:rFonts w:hint="eastAsia"/>
          <w:color w:val="auto"/>
          <w:szCs w:val="21"/>
          <w:highlight w:val="none"/>
        </w:rPr>
        <w:t xml:space="preserve"> </w:t>
      </w:r>
      <w:r>
        <w:rPr>
          <w:color w:val="auto"/>
          <w:szCs w:val="21"/>
          <w:highlight w:val="none"/>
        </w:rPr>
        <w:t xml:space="preserve">工程的计量应以净值为准，除非项目专用合同条款另有约定。工程量清单中各个子目的具体计量方法按本合同文件工程量清单计量规则中的规定执行。 </w:t>
      </w:r>
    </w:p>
    <w:p>
      <w:pPr>
        <w:tabs>
          <w:tab w:val="left" w:pos="3193"/>
        </w:tabs>
        <w:spacing w:line="380" w:lineRule="exact"/>
        <w:rPr>
          <w:color w:val="auto"/>
          <w:szCs w:val="21"/>
          <w:highlight w:val="none"/>
        </w:rPr>
      </w:pPr>
      <w:r>
        <w:rPr>
          <w:color w:val="auto"/>
          <w:szCs w:val="21"/>
          <w:highlight w:val="none"/>
        </w:rPr>
        <w:t xml:space="preserve">    </w:t>
      </w:r>
      <w:r>
        <w:rPr>
          <w:rFonts w:hint="eastAsia"/>
          <w:color w:val="auto"/>
          <w:szCs w:val="21"/>
          <w:highlight w:val="none"/>
        </w:rPr>
        <w:t xml:space="preserve"> </w:t>
      </w:r>
      <w:r>
        <w:rPr>
          <w:color w:val="auto"/>
          <w:szCs w:val="21"/>
          <w:highlight w:val="none"/>
        </w:rPr>
        <w:t xml:space="preserve">17.1.4  单价子目的计量   </w:t>
      </w:r>
    </w:p>
    <w:p>
      <w:pPr>
        <w:tabs>
          <w:tab w:val="left" w:pos="3193"/>
        </w:tabs>
        <w:spacing w:line="380" w:lineRule="exact"/>
        <w:rPr>
          <w:color w:val="auto"/>
          <w:szCs w:val="21"/>
          <w:highlight w:val="none"/>
        </w:rPr>
      </w:pPr>
      <w:r>
        <w:rPr>
          <w:color w:val="auto"/>
          <w:szCs w:val="21"/>
          <w:highlight w:val="none"/>
        </w:rPr>
        <w:t xml:space="preserve">  </w:t>
      </w:r>
      <w:r>
        <w:rPr>
          <w:rFonts w:hint="eastAsia"/>
          <w:color w:val="auto"/>
          <w:szCs w:val="21"/>
          <w:highlight w:val="none"/>
        </w:rPr>
        <w:t xml:space="preserve">   </w:t>
      </w:r>
      <w:r>
        <w:rPr>
          <w:color w:val="auto"/>
          <w:szCs w:val="21"/>
          <w:highlight w:val="none"/>
        </w:rPr>
        <w:t xml:space="preserve">本项补充：    </w:t>
      </w:r>
    </w:p>
    <w:p>
      <w:pPr>
        <w:tabs>
          <w:tab w:val="left" w:pos="3193"/>
        </w:tabs>
        <w:spacing w:line="380" w:lineRule="exact"/>
        <w:ind w:firstLine="435"/>
        <w:rPr>
          <w:color w:val="auto"/>
          <w:szCs w:val="21"/>
          <w:highlight w:val="none"/>
        </w:rPr>
      </w:pPr>
      <w:r>
        <w:rPr>
          <w:color w:val="auto"/>
          <w:szCs w:val="21"/>
          <w:highlight w:val="none"/>
        </w:rPr>
        <w:t>（7）承包人未在已标价工程量清单中填入单价或总额价的工程子目，将被认为其已包含在本合同的其他子目的单价和总额价中，发包人将不另行支付。</w:t>
      </w:r>
    </w:p>
    <w:p>
      <w:pPr>
        <w:tabs>
          <w:tab w:val="left" w:pos="3193"/>
        </w:tabs>
        <w:spacing w:line="380" w:lineRule="exact"/>
        <w:ind w:firstLine="435"/>
        <w:rPr>
          <w:color w:val="auto"/>
          <w:szCs w:val="21"/>
          <w:highlight w:val="none"/>
        </w:rPr>
      </w:pPr>
      <w:r>
        <w:rPr>
          <w:color w:val="auto"/>
          <w:szCs w:val="21"/>
          <w:highlight w:val="none"/>
        </w:rPr>
        <w:t xml:space="preserve"> 17.1.5  总价子目的计量 </w:t>
      </w:r>
    </w:p>
    <w:p>
      <w:pPr>
        <w:tabs>
          <w:tab w:val="left" w:pos="3193"/>
        </w:tabs>
        <w:spacing w:line="380" w:lineRule="exact"/>
        <w:ind w:firstLine="435"/>
        <w:rPr>
          <w:color w:val="auto"/>
          <w:szCs w:val="21"/>
          <w:highlight w:val="none"/>
        </w:rPr>
      </w:pPr>
      <w:r>
        <w:rPr>
          <w:color w:val="auto"/>
          <w:szCs w:val="21"/>
          <w:highlight w:val="none"/>
        </w:rPr>
        <w:t xml:space="preserve"> 本项补充： </w:t>
      </w:r>
    </w:p>
    <w:p>
      <w:pPr>
        <w:tabs>
          <w:tab w:val="left" w:pos="3193"/>
        </w:tabs>
        <w:spacing w:line="380" w:lineRule="exact"/>
        <w:ind w:firstLine="435"/>
        <w:rPr>
          <w:color w:val="auto"/>
          <w:szCs w:val="21"/>
          <w:highlight w:val="none"/>
        </w:rPr>
      </w:pPr>
      <w:r>
        <w:rPr>
          <w:color w:val="auto"/>
          <w:szCs w:val="21"/>
          <w:highlight w:val="none"/>
        </w:rPr>
        <w:t xml:space="preserve"> 本项目工程量清单中要求承包人以“总额”方式报价的子目，各子目的支付原则和支付进度按项目专用合同条款的规定执行。</w:t>
      </w:r>
    </w:p>
    <w:p>
      <w:pPr>
        <w:tabs>
          <w:tab w:val="left" w:pos="3193"/>
        </w:tabs>
        <w:spacing w:line="380" w:lineRule="exact"/>
        <w:rPr>
          <w:color w:val="auto"/>
          <w:szCs w:val="21"/>
          <w:highlight w:val="none"/>
        </w:rPr>
      </w:pPr>
      <w:r>
        <w:rPr>
          <w:color w:val="auto"/>
          <w:szCs w:val="21"/>
          <w:highlight w:val="none"/>
        </w:rPr>
        <w:t xml:space="preserve">17.2  预付款  </w:t>
      </w:r>
    </w:p>
    <w:p>
      <w:pPr>
        <w:pStyle w:val="86"/>
        <w:rPr>
          <w:rFonts w:hint="eastAsia" w:ascii="宋体" w:hAnsi="宋体" w:eastAsia="宋体" w:cs="宋体"/>
          <w:b w:val="0"/>
          <w:bCs w:val="0"/>
          <w:color w:val="auto"/>
          <w:highlight w:val="none"/>
          <w:lang w:val="en-US" w:eastAsia="zh-CN"/>
        </w:rPr>
      </w:pPr>
      <w:r>
        <w:rPr>
          <w:rFonts w:ascii="宋体" w:hAnsi="宋体"/>
          <w:color w:val="auto"/>
          <w:szCs w:val="21"/>
          <w:highlight w:val="none"/>
        </w:rPr>
        <w:t xml:space="preserve"> </w:t>
      </w:r>
      <w:r>
        <w:rPr>
          <w:rFonts w:ascii="宋体" w:hAnsi="宋体" w:eastAsia="宋体" w:cs="宋体"/>
          <w:b w:val="0"/>
          <w:bCs w:val="0"/>
          <w:color w:val="auto"/>
          <w:kern w:val="0"/>
          <w:sz w:val="22"/>
          <w:szCs w:val="21"/>
          <w:highlight w:val="none"/>
          <w:lang w:val="en-US" w:eastAsia="zh-CN" w:bidi="ar-SA"/>
        </w:rPr>
        <w:t xml:space="preserve"> </w:t>
      </w:r>
      <w:r>
        <w:rPr>
          <w:rFonts w:hint="eastAsia" w:ascii="宋体" w:hAnsi="宋体" w:eastAsia="宋体" w:cs="宋体"/>
          <w:b w:val="0"/>
          <w:bCs w:val="0"/>
          <w:color w:val="auto"/>
          <w:kern w:val="0"/>
          <w:sz w:val="22"/>
          <w:szCs w:val="21"/>
          <w:highlight w:val="none"/>
          <w:lang w:val="en-US" w:eastAsia="zh-CN" w:bidi="ar-SA"/>
        </w:rPr>
        <w:t xml:space="preserve">  17.2.1 开工预付款：30 %签约合同价。</w:t>
      </w:r>
    </w:p>
    <w:p>
      <w:pPr>
        <w:tabs>
          <w:tab w:val="left" w:pos="3193"/>
        </w:tabs>
        <w:spacing w:line="380" w:lineRule="exact"/>
        <w:ind w:firstLine="435"/>
        <w:rPr>
          <w:color w:val="auto"/>
          <w:szCs w:val="21"/>
          <w:highlight w:val="none"/>
        </w:rPr>
      </w:pPr>
      <w:r>
        <w:rPr>
          <w:rFonts w:hint="eastAsia" w:asciiTheme="majorEastAsia" w:hAnsiTheme="majorEastAsia" w:eastAsiaTheme="majorEastAsia"/>
          <w:color w:val="auto"/>
          <w:szCs w:val="21"/>
          <w:highlight w:val="none"/>
        </w:rPr>
        <w:t>17．2．2  材料、设备预付款比例：水泥、砂石、钢筋等主要材料、设备单据所列费用的 70%。</w:t>
      </w:r>
    </w:p>
    <w:p>
      <w:pPr>
        <w:tabs>
          <w:tab w:val="left" w:pos="3193"/>
        </w:tabs>
        <w:spacing w:line="380" w:lineRule="exact"/>
        <w:rPr>
          <w:color w:val="auto"/>
          <w:szCs w:val="21"/>
          <w:highlight w:val="none"/>
        </w:rPr>
      </w:pPr>
      <w:r>
        <w:rPr>
          <w:color w:val="auto"/>
          <w:szCs w:val="21"/>
          <w:highlight w:val="none"/>
        </w:rPr>
        <w:t xml:space="preserve">17.3  工程进度付款    </w:t>
      </w:r>
    </w:p>
    <w:p>
      <w:pPr>
        <w:tabs>
          <w:tab w:val="left" w:pos="3193"/>
        </w:tabs>
        <w:spacing w:line="380" w:lineRule="exact"/>
        <w:rPr>
          <w:color w:val="auto"/>
          <w:szCs w:val="21"/>
          <w:highlight w:val="none"/>
        </w:rPr>
      </w:pPr>
      <w:r>
        <w:rPr>
          <w:rFonts w:hint="eastAsia"/>
          <w:color w:val="auto"/>
          <w:szCs w:val="21"/>
          <w:highlight w:val="none"/>
        </w:rPr>
        <w:t xml:space="preserve">      </w:t>
      </w:r>
      <w:r>
        <w:rPr>
          <w:color w:val="auto"/>
          <w:szCs w:val="21"/>
          <w:highlight w:val="none"/>
        </w:rPr>
        <w:t xml:space="preserve">17.3.3  进度付款证书和支付时间  </w:t>
      </w:r>
    </w:p>
    <w:p>
      <w:pPr>
        <w:tabs>
          <w:tab w:val="left" w:pos="3193"/>
        </w:tabs>
        <w:spacing w:line="380" w:lineRule="exact"/>
        <w:rPr>
          <w:color w:val="auto"/>
          <w:szCs w:val="21"/>
          <w:highlight w:val="none"/>
        </w:rPr>
      </w:pPr>
      <w:r>
        <w:rPr>
          <w:color w:val="auto"/>
          <w:szCs w:val="21"/>
          <w:highlight w:val="none"/>
        </w:rPr>
        <w:t xml:space="preserve">   </w:t>
      </w:r>
      <w:r>
        <w:rPr>
          <w:rFonts w:hint="eastAsia"/>
          <w:color w:val="auto"/>
          <w:szCs w:val="21"/>
          <w:highlight w:val="none"/>
        </w:rPr>
        <w:t xml:space="preserve">   </w:t>
      </w:r>
      <w:r>
        <w:rPr>
          <w:color w:val="auto"/>
          <w:szCs w:val="21"/>
          <w:highlight w:val="none"/>
        </w:rPr>
        <w:t>本项 （1）目补充：</w:t>
      </w:r>
    </w:p>
    <w:p>
      <w:pPr>
        <w:tabs>
          <w:tab w:val="left" w:pos="3193"/>
        </w:tabs>
        <w:spacing w:line="380" w:lineRule="exact"/>
        <w:rPr>
          <w:color w:val="auto"/>
          <w:szCs w:val="21"/>
          <w:highlight w:val="none"/>
        </w:rPr>
      </w:pPr>
      <w:r>
        <w:rPr>
          <w:color w:val="auto"/>
          <w:szCs w:val="21"/>
          <w:highlight w:val="none"/>
        </w:rPr>
        <w:t xml:space="preserve">     如果该付款周期应结算的价款经扣留和扣回后的款额少于项目专用合同条款数据表中列明的进度付款证书的最低金额，则该付款周期监理人可不核证支付，上述款额将按付款周期结转，直至累计应支付的款额达到项目专用合同条款数据表中列 明的进度付款证书的最低金额为止。</w:t>
      </w:r>
    </w:p>
    <w:p>
      <w:pPr>
        <w:tabs>
          <w:tab w:val="left" w:pos="3193"/>
        </w:tabs>
        <w:spacing w:line="380" w:lineRule="exact"/>
        <w:rPr>
          <w:color w:val="auto"/>
          <w:szCs w:val="21"/>
          <w:highlight w:val="none"/>
        </w:rPr>
      </w:pPr>
      <w:r>
        <w:rPr>
          <w:color w:val="auto"/>
          <w:szCs w:val="21"/>
          <w:highlight w:val="none"/>
        </w:rPr>
        <w:t xml:space="preserve">     本项（2 ）目细化为：</w:t>
      </w:r>
    </w:p>
    <w:p>
      <w:pPr>
        <w:tabs>
          <w:tab w:val="left" w:pos="3193"/>
        </w:tabs>
        <w:spacing w:line="380" w:lineRule="exact"/>
        <w:rPr>
          <w:color w:val="auto"/>
          <w:szCs w:val="21"/>
          <w:highlight w:val="none"/>
        </w:rPr>
      </w:pPr>
      <w:r>
        <w:rPr>
          <w:color w:val="auto"/>
          <w:szCs w:val="21"/>
          <w:highlight w:val="none"/>
        </w:rPr>
        <w:t xml:space="preserve">     发包人应在监理人收到进度付款申请单且承包人提交了合格的增值税专用发票后的28 天内，将进度应付款支付给承包人。</w:t>
      </w:r>
    </w:p>
    <w:p>
      <w:pPr>
        <w:tabs>
          <w:tab w:val="left" w:pos="3193"/>
        </w:tabs>
        <w:spacing w:line="380" w:lineRule="exact"/>
        <w:rPr>
          <w:color w:val="auto"/>
          <w:szCs w:val="21"/>
          <w:highlight w:val="none"/>
        </w:rPr>
      </w:pPr>
      <w:r>
        <w:rPr>
          <w:color w:val="auto"/>
          <w:szCs w:val="21"/>
          <w:highlight w:val="none"/>
        </w:rPr>
        <w:t xml:space="preserve">     发包人不按期支付的，按项目专用合同条款数据表中约定的利率向承包人支付逾期付款违约金。违约金计算基数为发包人的全部未付款额，时间从应付而未付该款额之日算起（不计复利）。  </w:t>
      </w:r>
    </w:p>
    <w:p>
      <w:pPr>
        <w:tabs>
          <w:tab w:val="left" w:pos="3193"/>
        </w:tabs>
        <w:spacing w:line="380" w:lineRule="exact"/>
        <w:rPr>
          <w:color w:val="auto"/>
          <w:szCs w:val="21"/>
          <w:highlight w:val="none"/>
        </w:rPr>
      </w:pPr>
      <w:r>
        <w:rPr>
          <w:color w:val="auto"/>
          <w:szCs w:val="21"/>
          <w:highlight w:val="none"/>
        </w:rPr>
        <w:t xml:space="preserve"> </w:t>
      </w:r>
      <w:r>
        <w:rPr>
          <w:rFonts w:hint="eastAsia"/>
          <w:color w:val="auto"/>
          <w:szCs w:val="21"/>
          <w:highlight w:val="none"/>
        </w:rPr>
        <w:t xml:space="preserve">  </w:t>
      </w:r>
      <w:r>
        <w:rPr>
          <w:color w:val="auto"/>
          <w:szCs w:val="21"/>
          <w:highlight w:val="none"/>
        </w:rPr>
        <w:t xml:space="preserve">  本款补充第17.3.5 项： </w:t>
      </w:r>
    </w:p>
    <w:p>
      <w:pPr>
        <w:tabs>
          <w:tab w:val="left" w:pos="3193"/>
        </w:tabs>
        <w:spacing w:line="380" w:lineRule="exact"/>
        <w:rPr>
          <w:color w:val="auto"/>
          <w:szCs w:val="21"/>
          <w:highlight w:val="none"/>
        </w:rPr>
      </w:pPr>
      <w:r>
        <w:rPr>
          <w:color w:val="auto"/>
          <w:szCs w:val="21"/>
          <w:highlight w:val="none"/>
        </w:rPr>
        <w:t xml:space="preserve">   </w:t>
      </w:r>
      <w:r>
        <w:rPr>
          <w:rFonts w:hint="eastAsia"/>
          <w:color w:val="auto"/>
          <w:szCs w:val="21"/>
          <w:highlight w:val="none"/>
        </w:rPr>
        <w:t xml:space="preserve"> </w:t>
      </w:r>
      <w:r>
        <w:rPr>
          <w:color w:val="auto"/>
          <w:szCs w:val="21"/>
          <w:highlight w:val="none"/>
        </w:rPr>
        <w:t xml:space="preserve"> 17.3.5  农民工工资保证金</w:t>
      </w:r>
    </w:p>
    <w:p>
      <w:pPr>
        <w:tabs>
          <w:tab w:val="left" w:pos="3193"/>
        </w:tabs>
        <w:spacing w:line="380" w:lineRule="exact"/>
        <w:rPr>
          <w:color w:val="auto"/>
          <w:szCs w:val="21"/>
          <w:highlight w:val="none"/>
        </w:rPr>
      </w:pPr>
      <w:r>
        <w:rPr>
          <w:color w:val="auto"/>
          <w:szCs w:val="21"/>
          <w:highlight w:val="none"/>
        </w:rPr>
        <w:t xml:space="preserve">     </w:t>
      </w:r>
      <w:r>
        <w:rPr>
          <w:rFonts w:hint="eastAsia"/>
          <w:color w:val="auto"/>
          <w:szCs w:val="21"/>
          <w:highlight w:val="none"/>
        </w:rPr>
        <w:t xml:space="preserve"> </w:t>
      </w:r>
      <w:r>
        <w:rPr>
          <w:color w:val="auto"/>
          <w:szCs w:val="21"/>
          <w:highlight w:val="none"/>
        </w:rPr>
        <w:t>（1）为确保施工过程中农民工工资实时、足额发放到位，承包人应按照项目专用合同条款约定的时间和金额缴存农民工工资保证金。</w:t>
      </w:r>
    </w:p>
    <w:p>
      <w:pPr>
        <w:tabs>
          <w:tab w:val="left" w:pos="3193"/>
        </w:tabs>
        <w:spacing w:line="380" w:lineRule="exact"/>
        <w:rPr>
          <w:color w:val="auto"/>
          <w:szCs w:val="21"/>
          <w:highlight w:val="none"/>
        </w:rPr>
      </w:pPr>
      <w:r>
        <w:rPr>
          <w:color w:val="auto"/>
          <w:szCs w:val="21"/>
          <w:highlight w:val="none"/>
        </w:rPr>
        <w:t xml:space="preserve">      （2）农民工工资保证金可采用银行保函或现金、支票形式。采用银行保函时，出具保函的银行须具有相应担保能力，且按照发包人批准的格式出具，所需费用由承包人承担。</w:t>
      </w:r>
    </w:p>
    <w:p>
      <w:pPr>
        <w:tabs>
          <w:tab w:val="left" w:pos="3193"/>
        </w:tabs>
        <w:spacing w:line="380" w:lineRule="exact"/>
        <w:rPr>
          <w:color w:val="auto"/>
          <w:szCs w:val="21"/>
          <w:highlight w:val="none"/>
        </w:rPr>
      </w:pPr>
      <w:r>
        <w:rPr>
          <w:color w:val="auto"/>
          <w:szCs w:val="21"/>
          <w:highlight w:val="none"/>
        </w:rPr>
        <w:t xml:space="preserve">      （3）农民工工资保证金的扣留条件、返还时间按照项目专用合同条款的约定执行。</w:t>
      </w:r>
    </w:p>
    <w:p>
      <w:pPr>
        <w:tabs>
          <w:tab w:val="left" w:pos="3193"/>
        </w:tabs>
        <w:spacing w:line="380" w:lineRule="exact"/>
        <w:rPr>
          <w:color w:val="auto"/>
          <w:szCs w:val="21"/>
          <w:highlight w:val="none"/>
        </w:rPr>
      </w:pPr>
      <w:r>
        <w:rPr>
          <w:color w:val="auto"/>
          <w:szCs w:val="21"/>
          <w:highlight w:val="none"/>
        </w:rPr>
        <w:t xml:space="preserve">17.4  质量保证金 </w:t>
      </w:r>
    </w:p>
    <w:p>
      <w:pPr>
        <w:tabs>
          <w:tab w:val="left" w:pos="3193"/>
        </w:tabs>
        <w:spacing w:line="380" w:lineRule="exact"/>
        <w:rPr>
          <w:color w:val="auto"/>
          <w:szCs w:val="21"/>
          <w:highlight w:val="none"/>
        </w:rPr>
      </w:pPr>
      <w:r>
        <w:rPr>
          <w:color w:val="auto"/>
          <w:szCs w:val="21"/>
          <w:highlight w:val="none"/>
        </w:rPr>
        <w:t xml:space="preserve">   </w:t>
      </w:r>
      <w:r>
        <w:rPr>
          <w:rFonts w:hint="eastAsia"/>
          <w:color w:val="auto"/>
          <w:szCs w:val="21"/>
          <w:highlight w:val="none"/>
        </w:rPr>
        <w:t xml:space="preserve">  </w:t>
      </w:r>
      <w:r>
        <w:rPr>
          <w:color w:val="auto"/>
          <w:szCs w:val="21"/>
          <w:highlight w:val="none"/>
        </w:rPr>
        <w:t xml:space="preserve"> 第17.4.1 项、第17.4.2 项细化为： </w:t>
      </w:r>
    </w:p>
    <w:p>
      <w:pPr>
        <w:tabs>
          <w:tab w:val="left" w:pos="3193"/>
        </w:tabs>
        <w:spacing w:line="380" w:lineRule="exact"/>
        <w:rPr>
          <w:color w:val="auto"/>
          <w:szCs w:val="21"/>
          <w:highlight w:val="none"/>
        </w:rPr>
      </w:pPr>
      <w:r>
        <w:rPr>
          <w:color w:val="auto"/>
          <w:szCs w:val="21"/>
          <w:highlight w:val="none"/>
        </w:rPr>
        <w:t xml:space="preserve">    </w:t>
      </w:r>
      <w:r>
        <w:rPr>
          <w:rFonts w:hint="eastAsia"/>
          <w:color w:val="auto"/>
          <w:szCs w:val="21"/>
          <w:highlight w:val="none"/>
        </w:rPr>
        <w:t xml:space="preserve"> </w:t>
      </w:r>
      <w:r>
        <w:rPr>
          <w:color w:val="auto"/>
          <w:szCs w:val="21"/>
          <w:highlight w:val="none"/>
        </w:rPr>
        <w:t>17.4.1  交工验收证书签发后14 天内，承包人应向发包人缴纳质量保证金。质量保证金可采用银行保函或现金、支票形式，金额应符合项目专用合同条款数据表的规定。采用银行保函时，出具保函的银行须具有相应担保能力，且按照发包人批准 的格式出具，所需费用由承包人承担。</w:t>
      </w:r>
    </w:p>
    <w:p>
      <w:pPr>
        <w:tabs>
          <w:tab w:val="left" w:pos="3193"/>
        </w:tabs>
        <w:spacing w:line="380" w:lineRule="exact"/>
        <w:ind w:firstLine="435"/>
        <w:rPr>
          <w:color w:val="auto"/>
          <w:szCs w:val="21"/>
          <w:highlight w:val="none"/>
        </w:rPr>
      </w:pPr>
      <w:r>
        <w:rPr>
          <w:color w:val="auto"/>
          <w:szCs w:val="21"/>
          <w:highlight w:val="none"/>
        </w:rPr>
        <w:t>质量保证金采用现金、支票形式提交的，发包人应在项目专用合同条款数据表中明确是否计付利息以及利息的计算方式。</w:t>
      </w:r>
    </w:p>
    <w:p>
      <w:pPr>
        <w:tabs>
          <w:tab w:val="left" w:pos="3193"/>
        </w:tabs>
        <w:spacing w:line="380" w:lineRule="exact"/>
        <w:ind w:firstLine="435"/>
        <w:rPr>
          <w:color w:val="auto"/>
          <w:szCs w:val="21"/>
          <w:highlight w:val="none"/>
        </w:rPr>
      </w:pPr>
      <w:r>
        <w:rPr>
          <w:color w:val="auto"/>
          <w:szCs w:val="21"/>
          <w:highlight w:val="none"/>
        </w:rPr>
        <w:t>17.4.2  在第1.1.4.5 目约定的缺陷责任期满，且质量监督机构已按规定对工程质量检测鉴定合格，承包人向发包人申请到期应返还承包人剩余的质量保证金金额，发包人应在14 天内会同承包人按照合同约定的内容核实承包人是否完成缺陷责任。 如无异议，发包人应当在核实后将剩余保证金返还承包人。</w:t>
      </w:r>
    </w:p>
    <w:p>
      <w:pPr>
        <w:tabs>
          <w:tab w:val="left" w:pos="3193"/>
        </w:tabs>
        <w:spacing w:line="380" w:lineRule="exact"/>
        <w:rPr>
          <w:color w:val="auto"/>
          <w:szCs w:val="21"/>
          <w:highlight w:val="none"/>
        </w:rPr>
      </w:pPr>
      <w:r>
        <w:rPr>
          <w:color w:val="auto"/>
          <w:szCs w:val="21"/>
          <w:highlight w:val="none"/>
        </w:rPr>
        <w:t>17.5  交工结算</w:t>
      </w:r>
    </w:p>
    <w:p>
      <w:pPr>
        <w:tabs>
          <w:tab w:val="left" w:pos="3193"/>
        </w:tabs>
        <w:spacing w:line="380" w:lineRule="exact"/>
        <w:rPr>
          <w:color w:val="auto"/>
          <w:szCs w:val="21"/>
          <w:highlight w:val="none"/>
        </w:rPr>
      </w:pPr>
      <w:r>
        <w:rPr>
          <w:rFonts w:hint="eastAsia"/>
          <w:color w:val="auto"/>
          <w:szCs w:val="21"/>
          <w:highlight w:val="none"/>
        </w:rPr>
        <w:t xml:space="preserve">   </w:t>
      </w:r>
      <w:r>
        <w:rPr>
          <w:color w:val="auto"/>
          <w:szCs w:val="21"/>
          <w:highlight w:val="none"/>
        </w:rPr>
        <w:t xml:space="preserve">  17.5.1  交工付款申请单  </w:t>
      </w:r>
    </w:p>
    <w:p>
      <w:pPr>
        <w:tabs>
          <w:tab w:val="left" w:pos="3193"/>
        </w:tabs>
        <w:spacing w:line="380" w:lineRule="exact"/>
        <w:ind w:firstLine="435"/>
        <w:rPr>
          <w:color w:val="auto"/>
          <w:szCs w:val="21"/>
          <w:highlight w:val="none"/>
        </w:rPr>
      </w:pPr>
      <w:r>
        <w:rPr>
          <w:color w:val="auto"/>
          <w:szCs w:val="21"/>
          <w:highlight w:val="none"/>
        </w:rPr>
        <w:t xml:space="preserve"> 本项 （1）目约定为：</w:t>
      </w:r>
    </w:p>
    <w:p>
      <w:pPr>
        <w:tabs>
          <w:tab w:val="left" w:pos="3193"/>
        </w:tabs>
        <w:spacing w:line="380" w:lineRule="exact"/>
        <w:ind w:firstLine="435"/>
        <w:rPr>
          <w:color w:val="auto"/>
          <w:szCs w:val="21"/>
          <w:highlight w:val="none"/>
        </w:rPr>
      </w:pPr>
      <w:r>
        <w:rPr>
          <w:color w:val="auto"/>
          <w:szCs w:val="21"/>
          <w:highlight w:val="none"/>
        </w:rPr>
        <w:t xml:space="preserve"> 承包人向监理人提交交工付款申请单（包括相关证明材料）的份数在项目专用合同条款数据表中约定；期限：交工验收证书签发后42 天内。</w:t>
      </w:r>
    </w:p>
    <w:p>
      <w:pPr>
        <w:tabs>
          <w:tab w:val="left" w:pos="3193"/>
        </w:tabs>
        <w:spacing w:line="380" w:lineRule="exact"/>
        <w:ind w:firstLine="435"/>
        <w:rPr>
          <w:color w:val="auto"/>
          <w:szCs w:val="21"/>
          <w:highlight w:val="none"/>
        </w:rPr>
      </w:pPr>
      <w:r>
        <w:rPr>
          <w:color w:val="auto"/>
          <w:szCs w:val="21"/>
          <w:highlight w:val="none"/>
        </w:rPr>
        <w:t xml:space="preserve"> 17.5.2  交工付款证书及支付时间</w:t>
      </w:r>
    </w:p>
    <w:p>
      <w:pPr>
        <w:tabs>
          <w:tab w:val="left" w:pos="3193"/>
        </w:tabs>
        <w:spacing w:line="380" w:lineRule="exact"/>
        <w:ind w:firstLine="435"/>
        <w:rPr>
          <w:color w:val="auto"/>
          <w:szCs w:val="21"/>
          <w:highlight w:val="none"/>
        </w:rPr>
      </w:pPr>
      <w:r>
        <w:rPr>
          <w:color w:val="auto"/>
          <w:szCs w:val="21"/>
          <w:highlight w:val="none"/>
        </w:rPr>
        <w:t xml:space="preserve"> 本项 （2 ）目细化为： </w:t>
      </w:r>
    </w:p>
    <w:p>
      <w:pPr>
        <w:tabs>
          <w:tab w:val="left" w:pos="3193"/>
        </w:tabs>
        <w:spacing w:line="380" w:lineRule="exact"/>
        <w:ind w:firstLine="435"/>
        <w:rPr>
          <w:color w:val="auto"/>
          <w:szCs w:val="21"/>
          <w:highlight w:val="none"/>
        </w:rPr>
      </w:pPr>
      <w:r>
        <w:rPr>
          <w:color w:val="auto"/>
          <w:szCs w:val="21"/>
          <w:highlight w:val="none"/>
        </w:rPr>
        <w:t xml:space="preserve"> 发包人应在监理人出具交工付款证书且承包人提交了合格的增值税专用发票后的 14 天内，将应支付款支付给承包人。发包人不按期支付的，按第 17.3.3（2）目的约定，将逾期付款违约金支付给承包人。</w:t>
      </w:r>
    </w:p>
    <w:p>
      <w:pPr>
        <w:tabs>
          <w:tab w:val="left" w:pos="3193"/>
        </w:tabs>
        <w:spacing w:line="380" w:lineRule="exact"/>
        <w:rPr>
          <w:color w:val="auto"/>
          <w:szCs w:val="21"/>
          <w:highlight w:val="none"/>
        </w:rPr>
      </w:pPr>
      <w:r>
        <w:rPr>
          <w:color w:val="auto"/>
          <w:szCs w:val="21"/>
          <w:highlight w:val="none"/>
        </w:rPr>
        <w:t xml:space="preserve">17.6  最终结清  </w:t>
      </w:r>
    </w:p>
    <w:p>
      <w:pPr>
        <w:tabs>
          <w:tab w:val="left" w:pos="3193"/>
        </w:tabs>
        <w:spacing w:line="380" w:lineRule="exact"/>
        <w:rPr>
          <w:color w:val="auto"/>
          <w:szCs w:val="21"/>
          <w:highlight w:val="none"/>
        </w:rPr>
      </w:pPr>
      <w:r>
        <w:rPr>
          <w:color w:val="auto"/>
          <w:szCs w:val="21"/>
          <w:highlight w:val="none"/>
        </w:rPr>
        <w:t xml:space="preserve">  </w:t>
      </w:r>
      <w:r>
        <w:rPr>
          <w:rFonts w:hint="eastAsia"/>
          <w:color w:val="auto"/>
          <w:szCs w:val="21"/>
          <w:highlight w:val="none"/>
        </w:rPr>
        <w:t xml:space="preserve">  </w:t>
      </w:r>
      <w:r>
        <w:rPr>
          <w:color w:val="auto"/>
          <w:szCs w:val="21"/>
          <w:highlight w:val="none"/>
        </w:rPr>
        <w:t xml:space="preserve"> 17.6.1  最终结清申请单   </w:t>
      </w:r>
    </w:p>
    <w:p>
      <w:pPr>
        <w:tabs>
          <w:tab w:val="left" w:pos="3193"/>
        </w:tabs>
        <w:spacing w:line="380" w:lineRule="exact"/>
        <w:rPr>
          <w:color w:val="auto"/>
          <w:szCs w:val="21"/>
          <w:highlight w:val="none"/>
        </w:rPr>
      </w:pPr>
      <w:r>
        <w:rPr>
          <w:color w:val="auto"/>
          <w:szCs w:val="21"/>
          <w:highlight w:val="none"/>
        </w:rPr>
        <w:t xml:space="preserve">  </w:t>
      </w:r>
      <w:r>
        <w:rPr>
          <w:rFonts w:hint="eastAsia"/>
          <w:color w:val="auto"/>
          <w:szCs w:val="21"/>
          <w:highlight w:val="none"/>
        </w:rPr>
        <w:t xml:space="preserve">   </w:t>
      </w:r>
      <w:r>
        <w:rPr>
          <w:color w:val="auto"/>
          <w:szCs w:val="21"/>
          <w:highlight w:val="none"/>
        </w:rPr>
        <w:t xml:space="preserve">本项 （1）目约定为： </w:t>
      </w:r>
    </w:p>
    <w:p>
      <w:pPr>
        <w:tabs>
          <w:tab w:val="left" w:pos="3193"/>
        </w:tabs>
        <w:spacing w:line="380" w:lineRule="exact"/>
        <w:rPr>
          <w:color w:val="auto"/>
          <w:szCs w:val="21"/>
          <w:highlight w:val="none"/>
        </w:rPr>
      </w:pPr>
      <w:r>
        <w:rPr>
          <w:color w:val="auto"/>
          <w:szCs w:val="21"/>
          <w:highlight w:val="none"/>
        </w:rPr>
        <w:t xml:space="preserve">    </w:t>
      </w:r>
      <w:r>
        <w:rPr>
          <w:rFonts w:hint="eastAsia"/>
          <w:color w:val="auto"/>
          <w:szCs w:val="21"/>
          <w:highlight w:val="none"/>
        </w:rPr>
        <w:t xml:space="preserve"> </w:t>
      </w:r>
      <w:r>
        <w:rPr>
          <w:color w:val="auto"/>
          <w:szCs w:val="21"/>
          <w:highlight w:val="none"/>
        </w:rPr>
        <w:t>承包人向监理人提交最终结清申请单 （包括相关证明材料）的份数在项目专用合同条款数据表中约定；期限：缺陷责任期终止证书签发后28 天内。</w:t>
      </w:r>
    </w:p>
    <w:p>
      <w:pPr>
        <w:tabs>
          <w:tab w:val="left" w:pos="3193"/>
        </w:tabs>
        <w:spacing w:line="380" w:lineRule="exact"/>
        <w:rPr>
          <w:color w:val="auto"/>
          <w:szCs w:val="21"/>
          <w:highlight w:val="none"/>
        </w:rPr>
      </w:pPr>
      <w:r>
        <w:rPr>
          <w:color w:val="auto"/>
          <w:szCs w:val="21"/>
          <w:highlight w:val="none"/>
        </w:rPr>
        <w:t xml:space="preserve">     最终结清申请单中的总金额应认为是代表了根据合同规定应付给承包人的全部款项的最后结算。</w:t>
      </w:r>
    </w:p>
    <w:p>
      <w:pPr>
        <w:tabs>
          <w:tab w:val="left" w:pos="3193"/>
        </w:tabs>
        <w:spacing w:line="380" w:lineRule="exact"/>
        <w:rPr>
          <w:color w:val="auto"/>
          <w:szCs w:val="21"/>
          <w:highlight w:val="none"/>
        </w:rPr>
      </w:pPr>
      <w:r>
        <w:rPr>
          <w:color w:val="auto"/>
          <w:szCs w:val="21"/>
          <w:highlight w:val="none"/>
        </w:rPr>
        <w:t xml:space="preserve">     17.6.2  最终结清证书和支付时间 </w:t>
      </w:r>
    </w:p>
    <w:p>
      <w:pPr>
        <w:tabs>
          <w:tab w:val="left" w:pos="3193"/>
        </w:tabs>
        <w:spacing w:line="380" w:lineRule="exact"/>
        <w:rPr>
          <w:color w:val="auto"/>
          <w:szCs w:val="21"/>
          <w:highlight w:val="none"/>
        </w:rPr>
      </w:pPr>
      <w:r>
        <w:rPr>
          <w:color w:val="auto"/>
          <w:szCs w:val="21"/>
          <w:highlight w:val="none"/>
        </w:rPr>
        <w:t xml:space="preserve">     本项 （2）目细化为：</w:t>
      </w:r>
    </w:p>
    <w:p>
      <w:pPr>
        <w:tabs>
          <w:tab w:val="left" w:pos="3193"/>
        </w:tabs>
        <w:spacing w:line="380" w:lineRule="exact"/>
        <w:rPr>
          <w:color w:val="auto"/>
          <w:szCs w:val="21"/>
          <w:highlight w:val="none"/>
        </w:rPr>
      </w:pPr>
      <w:r>
        <w:rPr>
          <w:color w:val="auto"/>
          <w:szCs w:val="21"/>
          <w:highlight w:val="none"/>
        </w:rPr>
        <w:t xml:space="preserve">     （2）发包人应在监理人出具最终结清证书且承包人提交了合格的增值税专用发票后的14 天内，将应支付款支付给承包人。发包人不按期支付的，按第17.3.3（2）目的约定，将逾期付款违约金支付给承包人。 </w:t>
      </w:r>
    </w:p>
    <w:p>
      <w:pPr>
        <w:tabs>
          <w:tab w:val="left" w:pos="3193"/>
        </w:tabs>
        <w:spacing w:line="380" w:lineRule="exact"/>
        <w:rPr>
          <w:color w:val="auto"/>
          <w:szCs w:val="21"/>
          <w:highlight w:val="none"/>
        </w:rPr>
      </w:pPr>
      <w:r>
        <w:rPr>
          <w:color w:val="auto"/>
          <w:szCs w:val="21"/>
          <w:highlight w:val="none"/>
        </w:rPr>
        <w:t xml:space="preserve">18.  交工验收  </w:t>
      </w:r>
    </w:p>
    <w:p>
      <w:pPr>
        <w:tabs>
          <w:tab w:val="left" w:pos="3193"/>
        </w:tabs>
        <w:spacing w:line="380" w:lineRule="exact"/>
        <w:rPr>
          <w:color w:val="auto"/>
          <w:szCs w:val="21"/>
          <w:highlight w:val="none"/>
        </w:rPr>
      </w:pPr>
      <w:r>
        <w:rPr>
          <w:color w:val="auto"/>
          <w:szCs w:val="21"/>
          <w:highlight w:val="none"/>
        </w:rPr>
        <w:t xml:space="preserve">18.2  交工验收申请报告 </w:t>
      </w:r>
    </w:p>
    <w:p>
      <w:pPr>
        <w:tabs>
          <w:tab w:val="left" w:pos="3193"/>
        </w:tabs>
        <w:spacing w:line="380" w:lineRule="exact"/>
        <w:ind w:firstLine="420"/>
        <w:rPr>
          <w:color w:val="auto"/>
          <w:szCs w:val="21"/>
          <w:highlight w:val="none"/>
        </w:rPr>
      </w:pPr>
      <w:r>
        <w:rPr>
          <w:color w:val="auto"/>
          <w:szCs w:val="21"/>
          <w:highlight w:val="none"/>
        </w:rPr>
        <w:t>本款第 （2 ）项约定为：</w:t>
      </w:r>
    </w:p>
    <w:p>
      <w:pPr>
        <w:tabs>
          <w:tab w:val="left" w:pos="3193"/>
        </w:tabs>
        <w:spacing w:line="380" w:lineRule="exact"/>
        <w:ind w:firstLine="420"/>
        <w:rPr>
          <w:color w:val="auto"/>
          <w:szCs w:val="21"/>
          <w:highlight w:val="none"/>
        </w:rPr>
      </w:pPr>
      <w:r>
        <w:rPr>
          <w:color w:val="auto"/>
          <w:szCs w:val="21"/>
          <w:highlight w:val="none"/>
        </w:rPr>
        <w:t xml:space="preserve"> 竣工资料的内容：承包人应按照《公路工程竣（交）工验收办法》和相关规定编制竣工资料。</w:t>
      </w:r>
    </w:p>
    <w:p>
      <w:pPr>
        <w:tabs>
          <w:tab w:val="left" w:pos="3193"/>
        </w:tabs>
        <w:spacing w:line="380" w:lineRule="exact"/>
        <w:ind w:firstLine="420"/>
        <w:rPr>
          <w:color w:val="auto"/>
          <w:szCs w:val="21"/>
          <w:highlight w:val="none"/>
        </w:rPr>
      </w:pPr>
      <w:r>
        <w:rPr>
          <w:color w:val="auto"/>
          <w:szCs w:val="21"/>
          <w:highlight w:val="none"/>
        </w:rPr>
        <w:t xml:space="preserve"> 竣工资料的份数在项目专用合同条款数据表中约定。 </w:t>
      </w:r>
    </w:p>
    <w:p>
      <w:pPr>
        <w:tabs>
          <w:tab w:val="left" w:pos="3193"/>
        </w:tabs>
        <w:spacing w:line="380" w:lineRule="exact"/>
        <w:rPr>
          <w:color w:val="auto"/>
          <w:szCs w:val="21"/>
          <w:highlight w:val="none"/>
        </w:rPr>
      </w:pPr>
      <w:r>
        <w:rPr>
          <w:color w:val="auto"/>
          <w:szCs w:val="21"/>
          <w:highlight w:val="none"/>
        </w:rPr>
        <w:t xml:space="preserve">18.3  验收 </w:t>
      </w:r>
    </w:p>
    <w:p>
      <w:pPr>
        <w:tabs>
          <w:tab w:val="left" w:pos="3193"/>
        </w:tabs>
        <w:spacing w:line="380" w:lineRule="exact"/>
        <w:rPr>
          <w:color w:val="auto"/>
          <w:szCs w:val="21"/>
          <w:highlight w:val="none"/>
        </w:rPr>
      </w:pPr>
      <w:r>
        <w:rPr>
          <w:color w:val="auto"/>
          <w:szCs w:val="21"/>
          <w:highlight w:val="none"/>
        </w:rPr>
        <w:t xml:space="preserve">   </w:t>
      </w:r>
      <w:r>
        <w:rPr>
          <w:rFonts w:hint="eastAsia"/>
          <w:color w:val="auto"/>
          <w:szCs w:val="21"/>
          <w:highlight w:val="none"/>
        </w:rPr>
        <w:t xml:space="preserve">  </w:t>
      </w:r>
      <w:r>
        <w:rPr>
          <w:color w:val="auto"/>
          <w:szCs w:val="21"/>
          <w:highlight w:val="none"/>
        </w:rPr>
        <w:t xml:space="preserve">第18.3.2 项补充： </w:t>
      </w:r>
    </w:p>
    <w:p>
      <w:pPr>
        <w:tabs>
          <w:tab w:val="left" w:pos="3193"/>
        </w:tabs>
        <w:spacing w:line="380" w:lineRule="exact"/>
        <w:rPr>
          <w:color w:val="auto"/>
          <w:szCs w:val="21"/>
          <w:highlight w:val="none"/>
        </w:rPr>
      </w:pPr>
      <w:r>
        <w:rPr>
          <w:color w:val="auto"/>
          <w:szCs w:val="21"/>
          <w:highlight w:val="none"/>
        </w:rPr>
        <w:t xml:space="preserve">   </w:t>
      </w:r>
      <w:r>
        <w:rPr>
          <w:rFonts w:hint="eastAsia"/>
          <w:color w:val="auto"/>
          <w:szCs w:val="21"/>
          <w:highlight w:val="none"/>
        </w:rPr>
        <w:t xml:space="preserve"> </w:t>
      </w:r>
      <w:r>
        <w:rPr>
          <w:color w:val="auto"/>
          <w:szCs w:val="21"/>
          <w:highlight w:val="none"/>
        </w:rPr>
        <w:t xml:space="preserve"> 交工验收由发包人主持，由发包人、监理人、质监、设计、施工、运营、管理养护等有关部门代表组成交工验收小组，对本项目的工程质量进行评定，并写出交工验收报告报交通运输主管部门备案。承包人应按发包人的要求提交竣工资料，完成交工验收准备工作。</w:t>
      </w:r>
    </w:p>
    <w:p>
      <w:pPr>
        <w:tabs>
          <w:tab w:val="left" w:pos="3193"/>
        </w:tabs>
        <w:spacing w:line="380" w:lineRule="exact"/>
        <w:rPr>
          <w:color w:val="auto"/>
          <w:szCs w:val="21"/>
          <w:highlight w:val="none"/>
        </w:rPr>
      </w:pPr>
      <w:r>
        <w:rPr>
          <w:color w:val="auto"/>
          <w:szCs w:val="21"/>
          <w:highlight w:val="none"/>
        </w:rPr>
        <w:t xml:space="preserve">     第18.3.5 项约定为：</w:t>
      </w:r>
    </w:p>
    <w:p>
      <w:pPr>
        <w:tabs>
          <w:tab w:val="left" w:pos="3193"/>
        </w:tabs>
        <w:spacing w:line="380" w:lineRule="exact"/>
        <w:rPr>
          <w:color w:val="auto"/>
          <w:szCs w:val="21"/>
          <w:highlight w:val="none"/>
        </w:rPr>
      </w:pPr>
      <w:r>
        <w:rPr>
          <w:color w:val="auto"/>
          <w:szCs w:val="21"/>
          <w:highlight w:val="none"/>
        </w:rPr>
        <w:t xml:space="preserve">    </w:t>
      </w:r>
      <w:r>
        <w:rPr>
          <w:rFonts w:hint="eastAsia"/>
          <w:color w:val="auto"/>
          <w:szCs w:val="21"/>
          <w:highlight w:val="none"/>
        </w:rPr>
        <w:t xml:space="preserve"> </w:t>
      </w:r>
      <w:r>
        <w:rPr>
          <w:color w:val="auto"/>
          <w:szCs w:val="21"/>
          <w:highlight w:val="none"/>
        </w:rPr>
        <w:t>经验收合格工程的实际交工日期，以最终提交交工验收申请报告的日期为准，并在交工验收证书中写明。</w:t>
      </w:r>
    </w:p>
    <w:p>
      <w:pPr>
        <w:tabs>
          <w:tab w:val="left" w:pos="3193"/>
        </w:tabs>
        <w:spacing w:line="380" w:lineRule="exact"/>
        <w:ind w:firstLine="440" w:firstLineChars="200"/>
        <w:rPr>
          <w:color w:val="auto"/>
          <w:szCs w:val="21"/>
          <w:highlight w:val="none"/>
        </w:rPr>
      </w:pPr>
      <w:r>
        <w:rPr>
          <w:color w:val="auto"/>
          <w:szCs w:val="21"/>
          <w:highlight w:val="none"/>
        </w:rPr>
        <w:t xml:space="preserve">本款补充第18.3.7 项： </w:t>
      </w:r>
    </w:p>
    <w:p>
      <w:pPr>
        <w:tabs>
          <w:tab w:val="left" w:pos="3193"/>
        </w:tabs>
        <w:spacing w:line="380" w:lineRule="exact"/>
        <w:ind w:firstLine="440" w:firstLineChars="200"/>
        <w:rPr>
          <w:color w:val="auto"/>
          <w:szCs w:val="21"/>
          <w:highlight w:val="none"/>
        </w:rPr>
      </w:pPr>
      <w:r>
        <w:rPr>
          <w:color w:val="auto"/>
          <w:szCs w:val="21"/>
          <w:highlight w:val="none"/>
        </w:rPr>
        <w:t>组织办理交工验收和签发交工验收证书的费用由发包人承担。但按照第 18.3.4 项规定达不到合格标准的交工验收费用由承包人承担。</w:t>
      </w:r>
    </w:p>
    <w:p>
      <w:pPr>
        <w:tabs>
          <w:tab w:val="left" w:pos="3193"/>
        </w:tabs>
        <w:spacing w:line="380" w:lineRule="exact"/>
        <w:rPr>
          <w:color w:val="auto"/>
          <w:szCs w:val="21"/>
          <w:highlight w:val="none"/>
        </w:rPr>
      </w:pPr>
      <w:r>
        <w:rPr>
          <w:color w:val="auto"/>
          <w:szCs w:val="21"/>
          <w:highlight w:val="none"/>
        </w:rPr>
        <w:t xml:space="preserve">本条补充第18.9 款： </w:t>
      </w:r>
    </w:p>
    <w:p>
      <w:pPr>
        <w:tabs>
          <w:tab w:val="left" w:pos="3193"/>
        </w:tabs>
        <w:spacing w:line="380" w:lineRule="exact"/>
        <w:rPr>
          <w:color w:val="auto"/>
          <w:szCs w:val="21"/>
          <w:highlight w:val="none"/>
        </w:rPr>
      </w:pPr>
      <w:r>
        <w:rPr>
          <w:color w:val="auto"/>
          <w:szCs w:val="21"/>
          <w:highlight w:val="none"/>
        </w:rPr>
        <w:t xml:space="preserve">18.9  竣工文件  </w:t>
      </w:r>
    </w:p>
    <w:p>
      <w:pPr>
        <w:tabs>
          <w:tab w:val="left" w:pos="3193"/>
        </w:tabs>
        <w:spacing w:line="380" w:lineRule="exact"/>
        <w:rPr>
          <w:color w:val="auto"/>
          <w:szCs w:val="21"/>
          <w:highlight w:val="none"/>
        </w:rPr>
      </w:pPr>
      <w:r>
        <w:rPr>
          <w:color w:val="auto"/>
          <w:szCs w:val="21"/>
          <w:highlight w:val="none"/>
        </w:rPr>
        <w:t xml:space="preserve">   </w:t>
      </w:r>
      <w:r>
        <w:rPr>
          <w:rFonts w:hint="eastAsia"/>
          <w:color w:val="auto"/>
          <w:szCs w:val="21"/>
          <w:highlight w:val="none"/>
        </w:rPr>
        <w:t xml:space="preserve">  </w:t>
      </w:r>
      <w:r>
        <w:rPr>
          <w:color w:val="auto"/>
          <w:szCs w:val="21"/>
          <w:highlight w:val="none"/>
        </w:rPr>
        <w:t>承包人应按照《公路工程竣 （交）工验收办法》的相关规定，在缺陷责任期内为竣工验收补充竣工资料，并在签发缺陷责任期终止证书之前提交。</w:t>
      </w:r>
    </w:p>
    <w:p>
      <w:pPr>
        <w:tabs>
          <w:tab w:val="left" w:pos="3193"/>
        </w:tabs>
        <w:spacing w:line="380" w:lineRule="exact"/>
        <w:rPr>
          <w:color w:val="auto"/>
          <w:szCs w:val="21"/>
          <w:highlight w:val="none"/>
        </w:rPr>
      </w:pPr>
      <w:r>
        <w:rPr>
          <w:color w:val="auto"/>
          <w:szCs w:val="21"/>
          <w:highlight w:val="none"/>
        </w:rPr>
        <w:t xml:space="preserve">19.  缺陷责任与保修责任 </w:t>
      </w:r>
    </w:p>
    <w:p>
      <w:pPr>
        <w:tabs>
          <w:tab w:val="left" w:pos="3193"/>
        </w:tabs>
        <w:spacing w:line="380" w:lineRule="exact"/>
        <w:rPr>
          <w:color w:val="auto"/>
          <w:szCs w:val="21"/>
          <w:highlight w:val="none"/>
        </w:rPr>
      </w:pPr>
      <w:r>
        <w:rPr>
          <w:color w:val="auto"/>
          <w:szCs w:val="21"/>
          <w:highlight w:val="none"/>
        </w:rPr>
        <w:t xml:space="preserve">19.2  缺陷责任  </w:t>
      </w:r>
    </w:p>
    <w:p>
      <w:pPr>
        <w:tabs>
          <w:tab w:val="left" w:pos="3193"/>
        </w:tabs>
        <w:spacing w:line="380" w:lineRule="exact"/>
        <w:rPr>
          <w:color w:val="auto"/>
          <w:szCs w:val="21"/>
          <w:highlight w:val="none"/>
        </w:rPr>
      </w:pPr>
      <w:r>
        <w:rPr>
          <w:color w:val="auto"/>
          <w:szCs w:val="21"/>
          <w:highlight w:val="none"/>
        </w:rPr>
        <w:t xml:space="preserve">   </w:t>
      </w:r>
      <w:r>
        <w:rPr>
          <w:rFonts w:hint="eastAsia"/>
          <w:color w:val="auto"/>
          <w:szCs w:val="21"/>
          <w:highlight w:val="none"/>
        </w:rPr>
        <w:t xml:space="preserve">  </w:t>
      </w:r>
      <w:r>
        <w:rPr>
          <w:color w:val="auto"/>
          <w:szCs w:val="21"/>
          <w:highlight w:val="none"/>
        </w:rPr>
        <w:t xml:space="preserve">第19.2.2 项补充：   </w:t>
      </w:r>
    </w:p>
    <w:p>
      <w:pPr>
        <w:tabs>
          <w:tab w:val="left" w:pos="3193"/>
        </w:tabs>
        <w:spacing w:line="380" w:lineRule="exact"/>
        <w:rPr>
          <w:color w:val="auto"/>
          <w:szCs w:val="21"/>
          <w:highlight w:val="none"/>
        </w:rPr>
      </w:pPr>
      <w:r>
        <w:rPr>
          <w:color w:val="auto"/>
          <w:szCs w:val="21"/>
          <w:highlight w:val="none"/>
        </w:rPr>
        <w:t xml:space="preserve">  </w:t>
      </w:r>
      <w:r>
        <w:rPr>
          <w:rFonts w:hint="eastAsia"/>
          <w:color w:val="auto"/>
          <w:szCs w:val="21"/>
          <w:highlight w:val="none"/>
        </w:rPr>
        <w:t xml:space="preserve">   </w:t>
      </w:r>
      <w:r>
        <w:rPr>
          <w:color w:val="auto"/>
          <w:szCs w:val="21"/>
          <w:highlight w:val="none"/>
        </w:rPr>
        <w:t>在缺陷责任期内，承包人应尽快完成在交工验收证书中写明的未完成工作，并完成对本工程缺陷的修复或监理人指令的修补工作。</w:t>
      </w:r>
    </w:p>
    <w:p>
      <w:pPr>
        <w:tabs>
          <w:tab w:val="left" w:pos="3193"/>
        </w:tabs>
        <w:spacing w:line="380" w:lineRule="exact"/>
        <w:rPr>
          <w:color w:val="auto"/>
          <w:szCs w:val="21"/>
          <w:highlight w:val="none"/>
        </w:rPr>
      </w:pPr>
      <w:r>
        <w:rPr>
          <w:color w:val="auto"/>
          <w:szCs w:val="21"/>
          <w:highlight w:val="none"/>
        </w:rPr>
        <w:t xml:space="preserve">19.5  承包人的进入权 </w:t>
      </w:r>
    </w:p>
    <w:p>
      <w:pPr>
        <w:tabs>
          <w:tab w:val="left" w:pos="3193"/>
        </w:tabs>
        <w:spacing w:line="380" w:lineRule="exact"/>
        <w:rPr>
          <w:color w:val="auto"/>
          <w:szCs w:val="21"/>
          <w:highlight w:val="none"/>
        </w:rPr>
      </w:pPr>
      <w:r>
        <w:rPr>
          <w:color w:val="auto"/>
          <w:szCs w:val="21"/>
          <w:highlight w:val="none"/>
        </w:rPr>
        <w:t xml:space="preserve">     本款补充：</w:t>
      </w:r>
    </w:p>
    <w:p>
      <w:pPr>
        <w:tabs>
          <w:tab w:val="left" w:pos="3193"/>
        </w:tabs>
        <w:spacing w:line="380" w:lineRule="exact"/>
        <w:rPr>
          <w:color w:val="auto"/>
          <w:szCs w:val="21"/>
          <w:highlight w:val="none"/>
        </w:rPr>
      </w:pPr>
      <w:r>
        <w:rPr>
          <w:color w:val="auto"/>
          <w:szCs w:val="21"/>
          <w:highlight w:val="none"/>
        </w:rPr>
        <w:t xml:space="preserve">     承包人在缺陷修复施工过程中，应服从管养单位的有关安全管理规定，由于承包人自身原因造成的人员伤亡、设备和材料的损毁及罚款等责任由承包人自负。</w:t>
      </w:r>
    </w:p>
    <w:p>
      <w:pPr>
        <w:tabs>
          <w:tab w:val="left" w:pos="3193"/>
        </w:tabs>
        <w:spacing w:line="380" w:lineRule="exact"/>
        <w:rPr>
          <w:color w:val="auto"/>
          <w:szCs w:val="21"/>
          <w:highlight w:val="none"/>
        </w:rPr>
      </w:pPr>
      <w:r>
        <w:rPr>
          <w:color w:val="auto"/>
          <w:szCs w:val="21"/>
          <w:highlight w:val="none"/>
        </w:rPr>
        <w:t xml:space="preserve">19.7  保修责任  </w:t>
      </w:r>
    </w:p>
    <w:p>
      <w:pPr>
        <w:tabs>
          <w:tab w:val="left" w:pos="3193"/>
        </w:tabs>
        <w:spacing w:line="380" w:lineRule="exact"/>
        <w:rPr>
          <w:color w:val="auto"/>
          <w:szCs w:val="21"/>
          <w:highlight w:val="none"/>
        </w:rPr>
      </w:pPr>
      <w:r>
        <w:rPr>
          <w:color w:val="auto"/>
          <w:szCs w:val="21"/>
          <w:highlight w:val="none"/>
        </w:rPr>
        <w:t xml:space="preserve">  </w:t>
      </w:r>
      <w:r>
        <w:rPr>
          <w:rFonts w:hint="eastAsia"/>
          <w:color w:val="auto"/>
          <w:szCs w:val="21"/>
          <w:highlight w:val="none"/>
        </w:rPr>
        <w:t xml:space="preserve">  </w:t>
      </w:r>
      <w:r>
        <w:rPr>
          <w:color w:val="auto"/>
          <w:szCs w:val="21"/>
          <w:highlight w:val="none"/>
        </w:rPr>
        <w:t xml:space="preserve"> 本款细化为：</w:t>
      </w:r>
    </w:p>
    <w:p>
      <w:pPr>
        <w:tabs>
          <w:tab w:val="left" w:pos="3193"/>
        </w:tabs>
        <w:spacing w:line="380" w:lineRule="exact"/>
        <w:rPr>
          <w:color w:val="auto"/>
          <w:szCs w:val="21"/>
          <w:highlight w:val="none"/>
        </w:rPr>
      </w:pPr>
      <w:r>
        <w:rPr>
          <w:color w:val="auto"/>
          <w:szCs w:val="21"/>
          <w:highlight w:val="none"/>
        </w:rPr>
        <w:t xml:space="preserve">     （1）保修期自实际交工日期起计算，具体期限在项目专用合同条款数据表中约定。保修期与缺陷责任期重叠的期间内，承包人的保修责任同缺陷责任。在缺陷责任期满后的保修期内，承包人可不在工地留有办事人员和机械设备，但必须随时与发包人保持联系，在保修期内承包人应对由于施工质量原因造成的损坏自费进行修复。 </w:t>
      </w:r>
    </w:p>
    <w:p>
      <w:pPr>
        <w:tabs>
          <w:tab w:val="left" w:pos="3193"/>
        </w:tabs>
        <w:spacing w:line="380" w:lineRule="exact"/>
        <w:rPr>
          <w:color w:val="auto"/>
          <w:szCs w:val="21"/>
          <w:highlight w:val="none"/>
        </w:rPr>
      </w:pPr>
      <w:r>
        <w:rPr>
          <w:color w:val="auto"/>
          <w:szCs w:val="21"/>
          <w:highlight w:val="none"/>
        </w:rPr>
        <w:t xml:space="preserve">     （2）在全部工程交工验收前，已经发包人提前验收的单位工程，其保修期的起算日期相应提前。      </w:t>
      </w:r>
    </w:p>
    <w:p>
      <w:pPr>
        <w:tabs>
          <w:tab w:val="left" w:pos="3193"/>
        </w:tabs>
        <w:spacing w:line="380" w:lineRule="exact"/>
        <w:rPr>
          <w:color w:val="auto"/>
          <w:szCs w:val="21"/>
          <w:highlight w:val="none"/>
        </w:rPr>
      </w:pPr>
      <w:r>
        <w:rPr>
          <w:rFonts w:hint="eastAsia"/>
          <w:color w:val="auto"/>
          <w:szCs w:val="21"/>
          <w:highlight w:val="none"/>
        </w:rPr>
        <w:t xml:space="preserve">     </w:t>
      </w:r>
      <w:r>
        <w:rPr>
          <w:color w:val="auto"/>
          <w:szCs w:val="21"/>
          <w:highlight w:val="none"/>
        </w:rPr>
        <w:t xml:space="preserve">（3）工程保修期终止后28 天内，监理人签发保修期终止证书。 </w:t>
      </w:r>
    </w:p>
    <w:p>
      <w:pPr>
        <w:tabs>
          <w:tab w:val="left" w:pos="3193"/>
        </w:tabs>
        <w:spacing w:line="380" w:lineRule="exact"/>
        <w:rPr>
          <w:color w:val="auto"/>
          <w:szCs w:val="21"/>
          <w:highlight w:val="none"/>
        </w:rPr>
      </w:pPr>
      <w:r>
        <w:rPr>
          <w:color w:val="auto"/>
          <w:szCs w:val="21"/>
          <w:highlight w:val="none"/>
        </w:rPr>
        <w:t xml:space="preserve">     （4）若承包人不履行保修义务和责任，则承包人应承担由于违约造成的法律后果，并由发包人将其违约行为上报省级交通运输主管部门，作为不良记录纳入公路建设市场信用信息管理系统。</w:t>
      </w:r>
    </w:p>
    <w:p>
      <w:pPr>
        <w:tabs>
          <w:tab w:val="left" w:pos="3193"/>
        </w:tabs>
        <w:spacing w:line="380" w:lineRule="exact"/>
        <w:rPr>
          <w:color w:val="auto"/>
          <w:szCs w:val="21"/>
          <w:highlight w:val="none"/>
        </w:rPr>
      </w:pPr>
      <w:r>
        <w:rPr>
          <w:color w:val="auto"/>
          <w:szCs w:val="21"/>
          <w:highlight w:val="none"/>
        </w:rPr>
        <w:t xml:space="preserve"> 20.  保险 </w:t>
      </w:r>
    </w:p>
    <w:p>
      <w:pPr>
        <w:tabs>
          <w:tab w:val="left" w:pos="3193"/>
        </w:tabs>
        <w:spacing w:line="380" w:lineRule="exact"/>
        <w:rPr>
          <w:color w:val="auto"/>
          <w:szCs w:val="21"/>
          <w:highlight w:val="none"/>
        </w:rPr>
      </w:pPr>
      <w:r>
        <w:rPr>
          <w:color w:val="auto"/>
          <w:szCs w:val="21"/>
          <w:highlight w:val="none"/>
        </w:rPr>
        <w:t xml:space="preserve"> 20.1 工程保险 </w:t>
      </w:r>
    </w:p>
    <w:p>
      <w:pPr>
        <w:tabs>
          <w:tab w:val="left" w:pos="3193"/>
        </w:tabs>
        <w:spacing w:line="380" w:lineRule="exact"/>
        <w:rPr>
          <w:color w:val="auto"/>
          <w:szCs w:val="21"/>
          <w:highlight w:val="none"/>
        </w:rPr>
      </w:pPr>
      <w:r>
        <w:rPr>
          <w:color w:val="auto"/>
          <w:szCs w:val="21"/>
          <w:highlight w:val="none"/>
        </w:rPr>
        <w:t xml:space="preserve">   </w:t>
      </w:r>
      <w:r>
        <w:rPr>
          <w:rFonts w:hint="eastAsia"/>
          <w:color w:val="auto"/>
          <w:szCs w:val="21"/>
          <w:highlight w:val="none"/>
        </w:rPr>
        <w:t xml:space="preserve">  </w:t>
      </w:r>
      <w:r>
        <w:rPr>
          <w:color w:val="auto"/>
          <w:szCs w:val="21"/>
          <w:highlight w:val="none"/>
        </w:rPr>
        <w:t xml:space="preserve">本款约定为： </w:t>
      </w:r>
    </w:p>
    <w:p>
      <w:pPr>
        <w:tabs>
          <w:tab w:val="left" w:pos="3193"/>
        </w:tabs>
        <w:spacing w:line="380" w:lineRule="exact"/>
        <w:rPr>
          <w:color w:val="auto"/>
          <w:szCs w:val="21"/>
          <w:highlight w:val="none"/>
        </w:rPr>
      </w:pPr>
      <w:r>
        <w:rPr>
          <w:color w:val="auto"/>
          <w:szCs w:val="21"/>
          <w:highlight w:val="none"/>
        </w:rPr>
        <w:t xml:space="preserve">   </w:t>
      </w:r>
      <w:r>
        <w:rPr>
          <w:rFonts w:hint="eastAsia"/>
          <w:color w:val="auto"/>
          <w:szCs w:val="21"/>
          <w:highlight w:val="none"/>
        </w:rPr>
        <w:t xml:space="preserve"> </w:t>
      </w:r>
      <w:r>
        <w:rPr>
          <w:color w:val="auto"/>
          <w:szCs w:val="21"/>
          <w:highlight w:val="none"/>
        </w:rPr>
        <w:t xml:space="preserve"> 建筑工程一切险的投保内容：为本合同工程的永久工程、临时工程和设备及已运至施工工地用于永久工程的材料和设备所投的保险。 </w:t>
      </w:r>
    </w:p>
    <w:p>
      <w:pPr>
        <w:tabs>
          <w:tab w:val="left" w:pos="3193"/>
        </w:tabs>
        <w:spacing w:line="380" w:lineRule="exact"/>
        <w:rPr>
          <w:color w:val="auto"/>
          <w:szCs w:val="21"/>
          <w:highlight w:val="none"/>
        </w:rPr>
      </w:pPr>
      <w:r>
        <w:rPr>
          <w:color w:val="auto"/>
          <w:szCs w:val="21"/>
          <w:highlight w:val="none"/>
        </w:rPr>
        <w:t xml:space="preserve">   </w:t>
      </w:r>
      <w:r>
        <w:rPr>
          <w:rFonts w:hint="eastAsia"/>
          <w:color w:val="auto"/>
          <w:szCs w:val="21"/>
          <w:highlight w:val="none"/>
        </w:rPr>
        <w:t xml:space="preserve"> </w:t>
      </w:r>
      <w:r>
        <w:rPr>
          <w:color w:val="auto"/>
          <w:szCs w:val="21"/>
          <w:highlight w:val="none"/>
        </w:rPr>
        <w:t xml:space="preserve"> 保险金额：工程量清单第 100 章（不含建筑工程一切险及第三者责任险的保险费）至第700 章的合计金额。  </w:t>
      </w:r>
    </w:p>
    <w:p>
      <w:pPr>
        <w:tabs>
          <w:tab w:val="left" w:pos="3193"/>
        </w:tabs>
        <w:spacing w:line="380" w:lineRule="exact"/>
        <w:rPr>
          <w:color w:val="auto"/>
          <w:szCs w:val="21"/>
          <w:highlight w:val="none"/>
        </w:rPr>
      </w:pPr>
      <w:r>
        <w:rPr>
          <w:color w:val="auto"/>
          <w:szCs w:val="21"/>
          <w:highlight w:val="none"/>
        </w:rPr>
        <w:t xml:space="preserve">  </w:t>
      </w:r>
      <w:r>
        <w:rPr>
          <w:rFonts w:hint="eastAsia"/>
          <w:color w:val="auto"/>
          <w:szCs w:val="21"/>
          <w:highlight w:val="none"/>
        </w:rPr>
        <w:t xml:space="preserve">  </w:t>
      </w:r>
      <w:r>
        <w:rPr>
          <w:color w:val="auto"/>
          <w:szCs w:val="21"/>
          <w:highlight w:val="none"/>
        </w:rPr>
        <w:t xml:space="preserve"> 保险费率：在项目专用合同条款数据表中约定。</w:t>
      </w:r>
    </w:p>
    <w:p>
      <w:pPr>
        <w:tabs>
          <w:tab w:val="left" w:pos="3193"/>
        </w:tabs>
        <w:spacing w:line="380" w:lineRule="exact"/>
        <w:rPr>
          <w:color w:val="auto"/>
          <w:szCs w:val="21"/>
          <w:highlight w:val="none"/>
        </w:rPr>
      </w:pPr>
      <w:r>
        <w:rPr>
          <w:color w:val="auto"/>
          <w:szCs w:val="21"/>
          <w:highlight w:val="none"/>
        </w:rPr>
        <w:t xml:space="preserve">     保险期限：开工日起直至本合同工程签发缺陷责任期终止证书止（即合同工期＋缺陷责任期）。 </w:t>
      </w:r>
    </w:p>
    <w:p>
      <w:pPr>
        <w:tabs>
          <w:tab w:val="left" w:pos="3193"/>
        </w:tabs>
        <w:spacing w:line="380" w:lineRule="exact"/>
        <w:rPr>
          <w:color w:val="auto"/>
          <w:szCs w:val="21"/>
          <w:highlight w:val="none"/>
        </w:rPr>
      </w:pPr>
      <w:r>
        <w:rPr>
          <w:color w:val="auto"/>
          <w:szCs w:val="21"/>
          <w:highlight w:val="none"/>
        </w:rPr>
        <w:t xml:space="preserve">   </w:t>
      </w:r>
      <w:r>
        <w:rPr>
          <w:rFonts w:hint="eastAsia"/>
          <w:color w:val="auto"/>
          <w:szCs w:val="21"/>
          <w:highlight w:val="none"/>
        </w:rPr>
        <w:t xml:space="preserve">  </w:t>
      </w:r>
      <w:r>
        <w:rPr>
          <w:color w:val="auto"/>
          <w:szCs w:val="21"/>
          <w:highlight w:val="none"/>
        </w:rPr>
        <w:t>承包人应以发包人和承包人的共同名义投保建筑工程一切险。建筑工程一切险的保险费由承包人报价时列入工程量清单第 100 章内。发包人在接到保险单后，将按照保险单的费用直接向承包人支付。</w:t>
      </w:r>
    </w:p>
    <w:p>
      <w:pPr>
        <w:tabs>
          <w:tab w:val="left" w:pos="3193"/>
        </w:tabs>
        <w:spacing w:line="380" w:lineRule="exact"/>
        <w:rPr>
          <w:color w:val="auto"/>
          <w:szCs w:val="21"/>
          <w:highlight w:val="none"/>
        </w:rPr>
      </w:pPr>
      <w:r>
        <w:rPr>
          <w:color w:val="auto"/>
          <w:szCs w:val="21"/>
          <w:highlight w:val="none"/>
        </w:rPr>
        <w:t xml:space="preserve">20.4  第三者责任险  </w:t>
      </w:r>
    </w:p>
    <w:p>
      <w:pPr>
        <w:tabs>
          <w:tab w:val="left" w:pos="3193"/>
        </w:tabs>
        <w:spacing w:line="380" w:lineRule="exact"/>
        <w:rPr>
          <w:color w:val="auto"/>
          <w:szCs w:val="21"/>
          <w:highlight w:val="none"/>
        </w:rPr>
      </w:pPr>
      <w:r>
        <w:rPr>
          <w:color w:val="auto"/>
          <w:szCs w:val="21"/>
          <w:highlight w:val="none"/>
        </w:rPr>
        <w:t xml:space="preserve">   </w:t>
      </w:r>
      <w:r>
        <w:rPr>
          <w:rFonts w:hint="eastAsia"/>
          <w:color w:val="auto"/>
          <w:szCs w:val="21"/>
          <w:highlight w:val="none"/>
        </w:rPr>
        <w:t xml:space="preserve">  </w:t>
      </w:r>
      <w:r>
        <w:rPr>
          <w:color w:val="auto"/>
          <w:szCs w:val="21"/>
          <w:highlight w:val="none"/>
        </w:rPr>
        <w:t>第20.4.2 项补充：</w:t>
      </w:r>
    </w:p>
    <w:p>
      <w:pPr>
        <w:tabs>
          <w:tab w:val="left" w:pos="3193"/>
        </w:tabs>
        <w:spacing w:line="380" w:lineRule="exact"/>
        <w:rPr>
          <w:color w:val="auto"/>
          <w:szCs w:val="21"/>
          <w:highlight w:val="none"/>
        </w:rPr>
      </w:pPr>
      <w:r>
        <w:rPr>
          <w:color w:val="auto"/>
          <w:szCs w:val="21"/>
          <w:highlight w:val="none"/>
        </w:rPr>
        <w:t xml:space="preserve">     第三者责任险的保险费由承包人报价时列入工程量清单第 100 章内。发包人在接到保险单后，将按照保险单的费用直接向承包人支付。</w:t>
      </w:r>
    </w:p>
    <w:p>
      <w:pPr>
        <w:tabs>
          <w:tab w:val="left" w:pos="3193"/>
        </w:tabs>
        <w:spacing w:line="380" w:lineRule="exact"/>
        <w:rPr>
          <w:color w:val="auto"/>
          <w:szCs w:val="21"/>
          <w:highlight w:val="none"/>
        </w:rPr>
      </w:pPr>
      <w:r>
        <w:rPr>
          <w:color w:val="auto"/>
          <w:szCs w:val="21"/>
          <w:highlight w:val="none"/>
        </w:rPr>
        <w:t xml:space="preserve">20.5  其他保险 </w:t>
      </w:r>
    </w:p>
    <w:p>
      <w:pPr>
        <w:tabs>
          <w:tab w:val="left" w:pos="3193"/>
        </w:tabs>
        <w:spacing w:line="380" w:lineRule="exact"/>
        <w:ind w:firstLine="420"/>
        <w:rPr>
          <w:color w:val="auto"/>
          <w:szCs w:val="21"/>
          <w:highlight w:val="none"/>
        </w:rPr>
      </w:pPr>
      <w:r>
        <w:rPr>
          <w:rFonts w:hint="eastAsia"/>
          <w:color w:val="auto"/>
          <w:szCs w:val="21"/>
          <w:highlight w:val="none"/>
        </w:rPr>
        <w:t xml:space="preserve"> </w:t>
      </w:r>
      <w:r>
        <w:rPr>
          <w:color w:val="auto"/>
          <w:szCs w:val="21"/>
          <w:highlight w:val="none"/>
        </w:rPr>
        <w:t>本款约定为：</w:t>
      </w:r>
    </w:p>
    <w:p>
      <w:pPr>
        <w:tabs>
          <w:tab w:val="left" w:pos="3193"/>
        </w:tabs>
        <w:spacing w:line="380" w:lineRule="exact"/>
        <w:ind w:firstLine="420"/>
        <w:rPr>
          <w:color w:val="auto"/>
          <w:szCs w:val="21"/>
          <w:highlight w:val="none"/>
        </w:rPr>
      </w:pPr>
      <w:r>
        <w:rPr>
          <w:color w:val="auto"/>
          <w:szCs w:val="21"/>
          <w:highlight w:val="none"/>
        </w:rPr>
        <w:t xml:space="preserve"> 承包人应为其施工设备等办理保险，其投保金额应足以现场重置。办理本款保险的一切费用均由承包人承担，并包括在工程量清单的单价及总额价中，发包人不单独支付。</w:t>
      </w:r>
    </w:p>
    <w:p>
      <w:pPr>
        <w:tabs>
          <w:tab w:val="left" w:pos="3193"/>
        </w:tabs>
        <w:spacing w:line="380" w:lineRule="exact"/>
        <w:rPr>
          <w:color w:val="auto"/>
          <w:szCs w:val="21"/>
          <w:highlight w:val="none"/>
        </w:rPr>
      </w:pPr>
      <w:r>
        <w:rPr>
          <w:color w:val="auto"/>
          <w:szCs w:val="21"/>
          <w:highlight w:val="none"/>
        </w:rPr>
        <w:t xml:space="preserve">20.6  对各项保险的一般要求 </w:t>
      </w:r>
    </w:p>
    <w:p>
      <w:pPr>
        <w:tabs>
          <w:tab w:val="left" w:pos="3193"/>
        </w:tabs>
        <w:spacing w:line="380" w:lineRule="exact"/>
        <w:ind w:firstLine="420"/>
        <w:rPr>
          <w:color w:val="auto"/>
          <w:szCs w:val="21"/>
          <w:highlight w:val="none"/>
        </w:rPr>
      </w:pPr>
      <w:r>
        <w:rPr>
          <w:rFonts w:hint="eastAsia"/>
          <w:color w:val="auto"/>
          <w:szCs w:val="21"/>
          <w:highlight w:val="none"/>
        </w:rPr>
        <w:t xml:space="preserve">  </w:t>
      </w:r>
      <w:r>
        <w:rPr>
          <w:color w:val="auto"/>
          <w:szCs w:val="21"/>
          <w:highlight w:val="none"/>
        </w:rPr>
        <w:t xml:space="preserve">20.6.1  保险凭证  </w:t>
      </w:r>
    </w:p>
    <w:p>
      <w:pPr>
        <w:tabs>
          <w:tab w:val="left" w:pos="3193"/>
        </w:tabs>
        <w:spacing w:line="380" w:lineRule="exact"/>
        <w:ind w:firstLine="420"/>
        <w:rPr>
          <w:color w:val="auto"/>
          <w:szCs w:val="21"/>
          <w:highlight w:val="none"/>
        </w:rPr>
      </w:pPr>
      <w:r>
        <w:rPr>
          <w:color w:val="auto"/>
          <w:szCs w:val="21"/>
          <w:highlight w:val="none"/>
        </w:rPr>
        <w:t xml:space="preserve">  本项约定为：</w:t>
      </w:r>
    </w:p>
    <w:p>
      <w:pPr>
        <w:tabs>
          <w:tab w:val="left" w:pos="3193"/>
        </w:tabs>
        <w:spacing w:line="380" w:lineRule="exact"/>
        <w:ind w:firstLine="420"/>
        <w:rPr>
          <w:color w:val="auto"/>
          <w:szCs w:val="21"/>
          <w:highlight w:val="none"/>
        </w:rPr>
      </w:pPr>
      <w:r>
        <w:rPr>
          <w:color w:val="auto"/>
          <w:szCs w:val="21"/>
          <w:highlight w:val="none"/>
        </w:rPr>
        <w:t xml:space="preserve">  承包人向发包人提交各项保险生效的证据和保险单副本的期限：开工后56 天内。</w:t>
      </w:r>
      <w:r>
        <w:rPr>
          <w:rFonts w:hint="eastAsia"/>
          <w:color w:val="auto"/>
          <w:szCs w:val="21"/>
          <w:highlight w:val="none"/>
        </w:rPr>
        <w:t xml:space="preserve">   </w:t>
      </w:r>
    </w:p>
    <w:p>
      <w:pPr>
        <w:tabs>
          <w:tab w:val="left" w:pos="3193"/>
        </w:tabs>
        <w:spacing w:line="380" w:lineRule="exact"/>
        <w:ind w:firstLine="440" w:firstLineChars="200"/>
        <w:rPr>
          <w:color w:val="auto"/>
          <w:szCs w:val="21"/>
          <w:highlight w:val="none"/>
        </w:rPr>
      </w:pPr>
      <w:r>
        <w:rPr>
          <w:rFonts w:hint="eastAsia"/>
          <w:color w:val="auto"/>
          <w:szCs w:val="21"/>
          <w:highlight w:val="none"/>
        </w:rPr>
        <w:t xml:space="preserve">  </w:t>
      </w:r>
      <w:r>
        <w:rPr>
          <w:color w:val="auto"/>
          <w:szCs w:val="21"/>
          <w:highlight w:val="none"/>
        </w:rPr>
        <w:t>20.6.3  持续保险</w:t>
      </w:r>
    </w:p>
    <w:p>
      <w:pPr>
        <w:tabs>
          <w:tab w:val="left" w:pos="3193"/>
        </w:tabs>
        <w:spacing w:line="380" w:lineRule="exact"/>
        <w:ind w:firstLine="440" w:firstLineChars="200"/>
        <w:rPr>
          <w:color w:val="auto"/>
          <w:szCs w:val="21"/>
          <w:highlight w:val="none"/>
        </w:rPr>
      </w:pPr>
      <w:r>
        <w:rPr>
          <w:rFonts w:hint="eastAsia"/>
          <w:color w:val="auto"/>
          <w:szCs w:val="21"/>
          <w:highlight w:val="none"/>
        </w:rPr>
        <w:t xml:space="preserve">  </w:t>
      </w:r>
      <w:r>
        <w:rPr>
          <w:color w:val="auto"/>
          <w:szCs w:val="21"/>
          <w:highlight w:val="none"/>
        </w:rPr>
        <w:t>本项补充：</w:t>
      </w:r>
    </w:p>
    <w:p>
      <w:pPr>
        <w:tabs>
          <w:tab w:val="left" w:pos="3193"/>
        </w:tabs>
        <w:spacing w:line="380" w:lineRule="exact"/>
        <w:ind w:firstLine="440" w:firstLineChars="200"/>
        <w:rPr>
          <w:color w:val="auto"/>
          <w:szCs w:val="21"/>
          <w:highlight w:val="none"/>
        </w:rPr>
      </w:pPr>
      <w:r>
        <w:rPr>
          <w:color w:val="auto"/>
          <w:szCs w:val="21"/>
          <w:highlight w:val="none"/>
        </w:rPr>
        <w:t xml:space="preserve">  在整个合同期内，承包人应按合同条款规定保证足够的保险额。</w:t>
      </w:r>
    </w:p>
    <w:p>
      <w:pPr>
        <w:tabs>
          <w:tab w:val="left" w:pos="3193"/>
        </w:tabs>
        <w:spacing w:line="380" w:lineRule="exact"/>
        <w:ind w:firstLine="440" w:firstLineChars="200"/>
        <w:rPr>
          <w:color w:val="auto"/>
          <w:szCs w:val="21"/>
          <w:highlight w:val="none"/>
        </w:rPr>
      </w:pPr>
      <w:r>
        <w:rPr>
          <w:color w:val="auto"/>
          <w:szCs w:val="21"/>
          <w:highlight w:val="none"/>
        </w:rPr>
        <w:t xml:space="preserve">  20.6.4  保险金不足的补偿 </w:t>
      </w:r>
    </w:p>
    <w:p>
      <w:pPr>
        <w:tabs>
          <w:tab w:val="left" w:pos="3193"/>
        </w:tabs>
        <w:spacing w:line="380" w:lineRule="exact"/>
        <w:ind w:firstLine="440" w:firstLineChars="200"/>
        <w:rPr>
          <w:color w:val="auto"/>
          <w:szCs w:val="21"/>
          <w:highlight w:val="none"/>
        </w:rPr>
      </w:pPr>
      <w:r>
        <w:rPr>
          <w:color w:val="auto"/>
          <w:szCs w:val="21"/>
          <w:highlight w:val="none"/>
        </w:rPr>
        <w:t xml:space="preserve">  本项细化为： </w:t>
      </w:r>
    </w:p>
    <w:p>
      <w:pPr>
        <w:tabs>
          <w:tab w:val="left" w:pos="3193"/>
        </w:tabs>
        <w:spacing w:line="380" w:lineRule="exact"/>
        <w:ind w:firstLine="440" w:firstLineChars="200"/>
        <w:rPr>
          <w:color w:val="auto"/>
          <w:szCs w:val="21"/>
          <w:highlight w:val="none"/>
        </w:rPr>
      </w:pPr>
      <w:r>
        <w:rPr>
          <w:color w:val="auto"/>
          <w:szCs w:val="21"/>
          <w:highlight w:val="none"/>
        </w:rPr>
        <w:t xml:space="preserve">  保险金不足以补偿损失的（包括免赔额和超过赔偿限额的部分），应由承包人和（或）发包人按合同约定负责补偿。 </w:t>
      </w:r>
    </w:p>
    <w:p>
      <w:pPr>
        <w:tabs>
          <w:tab w:val="left" w:pos="3193"/>
        </w:tabs>
        <w:spacing w:line="380" w:lineRule="exact"/>
        <w:ind w:firstLine="440" w:firstLineChars="200"/>
        <w:rPr>
          <w:color w:val="auto"/>
          <w:szCs w:val="21"/>
          <w:highlight w:val="none"/>
        </w:rPr>
      </w:pPr>
      <w:r>
        <w:rPr>
          <w:color w:val="auto"/>
          <w:szCs w:val="21"/>
          <w:highlight w:val="none"/>
        </w:rPr>
        <w:t xml:space="preserve"> </w:t>
      </w:r>
      <w:r>
        <w:rPr>
          <w:rFonts w:hint="eastAsia"/>
          <w:color w:val="auto"/>
          <w:szCs w:val="21"/>
          <w:highlight w:val="none"/>
        </w:rPr>
        <w:t xml:space="preserve"> </w:t>
      </w:r>
      <w:r>
        <w:rPr>
          <w:color w:val="auto"/>
          <w:szCs w:val="21"/>
          <w:highlight w:val="none"/>
        </w:rPr>
        <w:t xml:space="preserve">20.6.5  未按约定投保的补救 </w:t>
      </w:r>
    </w:p>
    <w:p>
      <w:pPr>
        <w:tabs>
          <w:tab w:val="left" w:pos="3193"/>
        </w:tabs>
        <w:spacing w:line="380" w:lineRule="exact"/>
        <w:ind w:firstLine="440" w:firstLineChars="200"/>
        <w:rPr>
          <w:color w:val="auto"/>
          <w:szCs w:val="21"/>
          <w:highlight w:val="none"/>
        </w:rPr>
      </w:pPr>
      <w:r>
        <w:rPr>
          <w:color w:val="auto"/>
          <w:szCs w:val="21"/>
          <w:highlight w:val="none"/>
        </w:rPr>
        <w:t xml:space="preserve">  本项 （2）目细化为：  </w:t>
      </w:r>
    </w:p>
    <w:p>
      <w:pPr>
        <w:tabs>
          <w:tab w:val="left" w:pos="3193"/>
        </w:tabs>
        <w:spacing w:line="380" w:lineRule="exact"/>
        <w:ind w:firstLine="440" w:firstLineChars="200"/>
        <w:rPr>
          <w:color w:val="auto"/>
          <w:szCs w:val="21"/>
          <w:highlight w:val="none"/>
        </w:rPr>
      </w:pPr>
      <w:r>
        <w:rPr>
          <w:color w:val="auto"/>
          <w:szCs w:val="21"/>
          <w:highlight w:val="none"/>
        </w:rPr>
        <w:t xml:space="preserve">  （2）由于负有投保义务的一方当事人未按合同约定办理某项保险，或未按保险单规定的条件和期限及时向保险人报告事故情况，或未按要求的保险期限进行投保，或未按要求投保足够的保险金额，导致受益人未能或未能全部得到保险人的赔偿，原应从该项保险得到的保险金应由负有投保义务的一方当事人支付。</w:t>
      </w:r>
    </w:p>
    <w:p>
      <w:pPr>
        <w:tabs>
          <w:tab w:val="left" w:pos="3193"/>
        </w:tabs>
        <w:spacing w:line="380" w:lineRule="exact"/>
        <w:rPr>
          <w:color w:val="auto"/>
          <w:szCs w:val="21"/>
          <w:highlight w:val="none"/>
        </w:rPr>
      </w:pPr>
      <w:r>
        <w:rPr>
          <w:color w:val="auto"/>
          <w:szCs w:val="21"/>
          <w:highlight w:val="none"/>
        </w:rPr>
        <w:t xml:space="preserve">21.  不可抗力  </w:t>
      </w:r>
    </w:p>
    <w:p>
      <w:pPr>
        <w:tabs>
          <w:tab w:val="left" w:pos="3193"/>
        </w:tabs>
        <w:spacing w:line="380" w:lineRule="exact"/>
        <w:rPr>
          <w:color w:val="auto"/>
          <w:szCs w:val="21"/>
          <w:highlight w:val="none"/>
        </w:rPr>
      </w:pPr>
      <w:r>
        <w:rPr>
          <w:color w:val="auto"/>
          <w:szCs w:val="21"/>
          <w:highlight w:val="none"/>
        </w:rPr>
        <w:t xml:space="preserve">21.1  不可抗力的确认  </w:t>
      </w:r>
    </w:p>
    <w:p>
      <w:pPr>
        <w:tabs>
          <w:tab w:val="left" w:pos="3193"/>
        </w:tabs>
        <w:spacing w:line="380" w:lineRule="exact"/>
        <w:rPr>
          <w:color w:val="auto"/>
          <w:szCs w:val="21"/>
          <w:highlight w:val="none"/>
        </w:rPr>
      </w:pPr>
      <w:r>
        <w:rPr>
          <w:color w:val="auto"/>
          <w:szCs w:val="21"/>
          <w:highlight w:val="none"/>
        </w:rPr>
        <w:t xml:space="preserve">   </w:t>
      </w:r>
      <w:r>
        <w:rPr>
          <w:rFonts w:hint="eastAsia"/>
          <w:color w:val="auto"/>
          <w:szCs w:val="21"/>
          <w:highlight w:val="none"/>
        </w:rPr>
        <w:t xml:space="preserve">  </w:t>
      </w:r>
      <w:r>
        <w:rPr>
          <w:color w:val="auto"/>
          <w:szCs w:val="21"/>
          <w:highlight w:val="none"/>
        </w:rPr>
        <w:t>第21.1.1 项细化为：</w:t>
      </w:r>
    </w:p>
    <w:p>
      <w:pPr>
        <w:tabs>
          <w:tab w:val="left" w:pos="3193"/>
        </w:tabs>
        <w:spacing w:line="380" w:lineRule="exact"/>
        <w:rPr>
          <w:color w:val="auto"/>
          <w:szCs w:val="21"/>
          <w:highlight w:val="none"/>
        </w:rPr>
      </w:pPr>
      <w:r>
        <w:rPr>
          <w:color w:val="auto"/>
          <w:szCs w:val="21"/>
          <w:highlight w:val="none"/>
        </w:rPr>
        <w:t xml:space="preserve">     不可抗力是指承包人和发包人在订立合同时不可预见，在工程施工过程中不可避免发生并不能克服的自然灾害和社会性突发事件。包括但不限于：</w:t>
      </w:r>
    </w:p>
    <w:p>
      <w:pPr>
        <w:tabs>
          <w:tab w:val="left" w:pos="3193"/>
        </w:tabs>
        <w:spacing w:line="380" w:lineRule="exact"/>
        <w:rPr>
          <w:color w:val="auto"/>
          <w:szCs w:val="21"/>
          <w:highlight w:val="none"/>
        </w:rPr>
      </w:pPr>
      <w:r>
        <w:rPr>
          <w:color w:val="auto"/>
          <w:szCs w:val="21"/>
          <w:highlight w:val="none"/>
        </w:rPr>
        <w:t xml:space="preserve">    （1）地震、海啸、火山爆发、泥石流、暴雨 （雪）、台风、龙卷风、水灾等自然灾害； </w:t>
      </w:r>
    </w:p>
    <w:p>
      <w:pPr>
        <w:tabs>
          <w:tab w:val="left" w:pos="3193"/>
        </w:tabs>
        <w:spacing w:line="380" w:lineRule="exact"/>
        <w:ind w:firstLine="435"/>
        <w:rPr>
          <w:color w:val="auto"/>
          <w:szCs w:val="21"/>
          <w:highlight w:val="none"/>
        </w:rPr>
      </w:pPr>
      <w:r>
        <w:rPr>
          <w:color w:val="auto"/>
          <w:szCs w:val="21"/>
          <w:highlight w:val="none"/>
        </w:rPr>
        <w:t>（2）战争、骚乱、暴动，但纯属承包人或其分包人派遣与雇用的人员由于本合同工程施工原因引起者除外；</w:t>
      </w:r>
    </w:p>
    <w:p>
      <w:pPr>
        <w:tabs>
          <w:tab w:val="left" w:pos="3193"/>
        </w:tabs>
        <w:spacing w:line="380" w:lineRule="exact"/>
        <w:ind w:firstLine="435"/>
        <w:rPr>
          <w:color w:val="auto"/>
          <w:szCs w:val="21"/>
          <w:highlight w:val="none"/>
        </w:rPr>
      </w:pPr>
      <w:r>
        <w:rPr>
          <w:color w:val="auto"/>
          <w:szCs w:val="21"/>
          <w:highlight w:val="none"/>
        </w:rPr>
        <w:t xml:space="preserve">（3）核反应、辐射或放射性污染； </w:t>
      </w:r>
    </w:p>
    <w:p>
      <w:pPr>
        <w:tabs>
          <w:tab w:val="left" w:pos="3193"/>
        </w:tabs>
        <w:spacing w:line="380" w:lineRule="exact"/>
        <w:ind w:firstLine="435"/>
        <w:rPr>
          <w:color w:val="auto"/>
          <w:szCs w:val="21"/>
          <w:highlight w:val="none"/>
        </w:rPr>
      </w:pPr>
      <w:r>
        <w:rPr>
          <w:color w:val="auto"/>
          <w:szCs w:val="21"/>
          <w:highlight w:val="none"/>
        </w:rPr>
        <w:t xml:space="preserve">（4）空中飞行物体坠落或非发包人或承包人责任造成的爆炸、火灾；  </w:t>
      </w:r>
    </w:p>
    <w:p>
      <w:pPr>
        <w:tabs>
          <w:tab w:val="left" w:pos="3193"/>
        </w:tabs>
        <w:spacing w:line="380" w:lineRule="exact"/>
        <w:ind w:firstLine="435"/>
        <w:rPr>
          <w:color w:val="auto"/>
          <w:szCs w:val="21"/>
          <w:highlight w:val="none"/>
        </w:rPr>
      </w:pPr>
      <w:r>
        <w:rPr>
          <w:color w:val="auto"/>
          <w:szCs w:val="21"/>
          <w:highlight w:val="none"/>
        </w:rPr>
        <w:t>（5）瘟疫；</w:t>
      </w:r>
    </w:p>
    <w:p>
      <w:pPr>
        <w:tabs>
          <w:tab w:val="left" w:pos="3193"/>
        </w:tabs>
        <w:spacing w:line="380" w:lineRule="exact"/>
        <w:ind w:firstLine="435"/>
        <w:rPr>
          <w:color w:val="auto"/>
          <w:szCs w:val="21"/>
          <w:highlight w:val="none"/>
        </w:rPr>
      </w:pPr>
      <w:r>
        <w:rPr>
          <w:color w:val="auto"/>
          <w:szCs w:val="21"/>
          <w:highlight w:val="none"/>
        </w:rPr>
        <w:t>（6）项目专用合同条款约定的其他情形。</w:t>
      </w:r>
    </w:p>
    <w:p>
      <w:pPr>
        <w:tabs>
          <w:tab w:val="left" w:pos="3193"/>
        </w:tabs>
        <w:spacing w:line="380" w:lineRule="exact"/>
        <w:rPr>
          <w:color w:val="auto"/>
          <w:szCs w:val="21"/>
          <w:highlight w:val="none"/>
        </w:rPr>
      </w:pPr>
      <w:r>
        <w:rPr>
          <w:color w:val="auto"/>
          <w:szCs w:val="21"/>
          <w:highlight w:val="none"/>
        </w:rPr>
        <w:t xml:space="preserve">21.3  不可抗力后果及其处理  </w:t>
      </w:r>
    </w:p>
    <w:p>
      <w:pPr>
        <w:tabs>
          <w:tab w:val="left" w:pos="3193"/>
        </w:tabs>
        <w:spacing w:line="380" w:lineRule="exact"/>
        <w:rPr>
          <w:color w:val="auto"/>
          <w:szCs w:val="21"/>
          <w:highlight w:val="none"/>
        </w:rPr>
      </w:pPr>
      <w:r>
        <w:rPr>
          <w:color w:val="auto"/>
          <w:szCs w:val="21"/>
          <w:highlight w:val="none"/>
        </w:rPr>
        <w:t xml:space="preserve">   </w:t>
      </w:r>
      <w:r>
        <w:rPr>
          <w:rFonts w:hint="eastAsia"/>
          <w:color w:val="auto"/>
          <w:szCs w:val="21"/>
          <w:highlight w:val="none"/>
        </w:rPr>
        <w:t xml:space="preserve">  </w:t>
      </w:r>
      <w:r>
        <w:rPr>
          <w:color w:val="auto"/>
          <w:szCs w:val="21"/>
          <w:highlight w:val="none"/>
        </w:rPr>
        <w:t xml:space="preserve">21.3.4  因不可抗力解除合同   </w:t>
      </w:r>
    </w:p>
    <w:p>
      <w:pPr>
        <w:tabs>
          <w:tab w:val="left" w:pos="3193"/>
        </w:tabs>
        <w:spacing w:line="380" w:lineRule="exact"/>
        <w:rPr>
          <w:color w:val="auto"/>
          <w:szCs w:val="21"/>
          <w:highlight w:val="none"/>
        </w:rPr>
      </w:pPr>
      <w:r>
        <w:rPr>
          <w:color w:val="auto"/>
          <w:szCs w:val="21"/>
          <w:highlight w:val="none"/>
        </w:rPr>
        <w:t xml:space="preserve">  </w:t>
      </w:r>
      <w:r>
        <w:rPr>
          <w:rFonts w:hint="eastAsia"/>
          <w:color w:val="auto"/>
          <w:szCs w:val="21"/>
          <w:highlight w:val="none"/>
        </w:rPr>
        <w:t xml:space="preserve">   </w:t>
      </w:r>
      <w:r>
        <w:rPr>
          <w:color w:val="auto"/>
          <w:szCs w:val="21"/>
          <w:highlight w:val="none"/>
        </w:rPr>
        <w:t xml:space="preserve">本项细化为： </w:t>
      </w:r>
    </w:p>
    <w:p>
      <w:pPr>
        <w:tabs>
          <w:tab w:val="left" w:pos="3193"/>
        </w:tabs>
        <w:spacing w:line="380" w:lineRule="exact"/>
        <w:rPr>
          <w:color w:val="auto"/>
          <w:szCs w:val="21"/>
          <w:highlight w:val="none"/>
        </w:rPr>
      </w:pPr>
      <w:r>
        <w:rPr>
          <w:color w:val="auto"/>
          <w:szCs w:val="21"/>
          <w:highlight w:val="none"/>
        </w:rPr>
        <w:t xml:space="preserve">    </w:t>
      </w:r>
      <w:r>
        <w:rPr>
          <w:rFonts w:hint="eastAsia"/>
          <w:color w:val="auto"/>
          <w:szCs w:val="21"/>
          <w:highlight w:val="none"/>
        </w:rPr>
        <w:t xml:space="preserve"> </w:t>
      </w:r>
      <w:r>
        <w:rPr>
          <w:color w:val="auto"/>
          <w:szCs w:val="21"/>
          <w:highlight w:val="none"/>
        </w:rPr>
        <w:t>合同一方当事人因不可抗力不能履行合同的，应当及时通知对方解除合同。合同解除后，承包人应按照第22.2.5 项约定撤离施工场地。已经订货的材料、设备由订货方负责退货或解除订货合同，不能退还的货款和因退货、解除订货合同发生的 费用，由发包人承担，因未及时退货造成的损失由责任方承担。合同解除后的付款， 参照第22.2.4 项约定，由监理人按第 3.5 款商定或确定，但由于解除合同应赔偿的 承包人损失不予考虑。</w:t>
      </w:r>
    </w:p>
    <w:p>
      <w:pPr>
        <w:tabs>
          <w:tab w:val="left" w:pos="3193"/>
        </w:tabs>
        <w:spacing w:line="380" w:lineRule="exact"/>
        <w:rPr>
          <w:color w:val="auto"/>
          <w:szCs w:val="21"/>
          <w:highlight w:val="none"/>
        </w:rPr>
      </w:pPr>
      <w:r>
        <w:rPr>
          <w:color w:val="auto"/>
          <w:szCs w:val="21"/>
          <w:highlight w:val="none"/>
        </w:rPr>
        <w:t xml:space="preserve">22.  违约 </w:t>
      </w:r>
    </w:p>
    <w:p>
      <w:pPr>
        <w:tabs>
          <w:tab w:val="left" w:pos="3193"/>
        </w:tabs>
        <w:spacing w:line="380" w:lineRule="exact"/>
        <w:rPr>
          <w:color w:val="auto"/>
          <w:szCs w:val="21"/>
          <w:highlight w:val="none"/>
        </w:rPr>
      </w:pPr>
      <w:r>
        <w:rPr>
          <w:color w:val="auto"/>
          <w:szCs w:val="21"/>
          <w:highlight w:val="none"/>
        </w:rPr>
        <w:t xml:space="preserve">22.1  承包人违约  </w:t>
      </w:r>
    </w:p>
    <w:p>
      <w:pPr>
        <w:tabs>
          <w:tab w:val="left" w:pos="3193"/>
        </w:tabs>
        <w:spacing w:line="380" w:lineRule="exact"/>
        <w:ind w:firstLine="420"/>
        <w:rPr>
          <w:color w:val="auto"/>
          <w:szCs w:val="21"/>
          <w:highlight w:val="none"/>
        </w:rPr>
      </w:pPr>
      <w:r>
        <w:rPr>
          <w:color w:val="auto"/>
          <w:szCs w:val="21"/>
          <w:highlight w:val="none"/>
        </w:rPr>
        <w:t xml:space="preserve"> 22.1.1  承包人违约的情形</w:t>
      </w:r>
    </w:p>
    <w:p>
      <w:pPr>
        <w:tabs>
          <w:tab w:val="left" w:pos="3193"/>
        </w:tabs>
        <w:spacing w:line="380" w:lineRule="exact"/>
        <w:ind w:firstLine="420"/>
        <w:rPr>
          <w:color w:val="auto"/>
          <w:szCs w:val="21"/>
          <w:highlight w:val="none"/>
        </w:rPr>
      </w:pPr>
      <w:r>
        <w:rPr>
          <w:color w:val="auto"/>
          <w:szCs w:val="21"/>
          <w:highlight w:val="none"/>
        </w:rPr>
        <w:t xml:space="preserve"> 本项（2）目细化为：  </w:t>
      </w:r>
    </w:p>
    <w:p>
      <w:pPr>
        <w:tabs>
          <w:tab w:val="left" w:pos="3193"/>
        </w:tabs>
        <w:spacing w:line="380" w:lineRule="exact"/>
        <w:ind w:firstLine="420"/>
        <w:rPr>
          <w:color w:val="auto"/>
          <w:szCs w:val="21"/>
          <w:highlight w:val="none"/>
        </w:rPr>
      </w:pPr>
      <w:r>
        <w:rPr>
          <w:color w:val="auto"/>
          <w:szCs w:val="21"/>
          <w:highlight w:val="none"/>
        </w:rPr>
        <w:t xml:space="preserve"> （2）承包人违反第5.3 款或第6.4 款的约定，未经监理人批准，私自将已按合同约定进入施工场地的施工设备、临时设施、材料或工程设备撤离施工场地；</w:t>
      </w:r>
    </w:p>
    <w:p>
      <w:pPr>
        <w:tabs>
          <w:tab w:val="left" w:pos="3193"/>
        </w:tabs>
        <w:spacing w:line="380" w:lineRule="exact"/>
        <w:ind w:firstLine="420"/>
        <w:rPr>
          <w:color w:val="auto"/>
          <w:szCs w:val="21"/>
          <w:highlight w:val="none"/>
        </w:rPr>
      </w:pPr>
      <w:r>
        <w:rPr>
          <w:color w:val="auto"/>
          <w:szCs w:val="21"/>
          <w:highlight w:val="none"/>
        </w:rPr>
        <w:t xml:space="preserve">  本项 （7）目细化为： </w:t>
      </w:r>
    </w:p>
    <w:p>
      <w:pPr>
        <w:tabs>
          <w:tab w:val="left" w:pos="3193"/>
        </w:tabs>
        <w:spacing w:line="380" w:lineRule="exact"/>
        <w:ind w:firstLine="420"/>
        <w:rPr>
          <w:color w:val="auto"/>
          <w:szCs w:val="21"/>
          <w:highlight w:val="none"/>
        </w:rPr>
      </w:pPr>
      <w:r>
        <w:rPr>
          <w:color w:val="auto"/>
          <w:szCs w:val="21"/>
          <w:highlight w:val="none"/>
        </w:rPr>
        <w:t xml:space="preserve"> （7）承包人未能按期开工；</w:t>
      </w:r>
    </w:p>
    <w:p>
      <w:pPr>
        <w:tabs>
          <w:tab w:val="left" w:pos="3193"/>
        </w:tabs>
        <w:spacing w:line="380" w:lineRule="exact"/>
        <w:ind w:firstLine="420"/>
        <w:rPr>
          <w:color w:val="auto"/>
          <w:szCs w:val="21"/>
          <w:highlight w:val="none"/>
        </w:rPr>
      </w:pPr>
      <w:r>
        <w:rPr>
          <w:color w:val="auto"/>
          <w:szCs w:val="21"/>
          <w:highlight w:val="none"/>
        </w:rPr>
        <w:t xml:space="preserve"> （8）承包人违反第4.6 款或第6.3 款的规定，未按承诺或未按监理人的要求及时配备称职的主要管理人员、技术骨干或关键施工设备；</w:t>
      </w:r>
    </w:p>
    <w:p>
      <w:pPr>
        <w:tabs>
          <w:tab w:val="left" w:pos="3193"/>
        </w:tabs>
        <w:spacing w:line="380" w:lineRule="exact"/>
        <w:ind w:firstLine="420"/>
        <w:rPr>
          <w:color w:val="auto"/>
          <w:szCs w:val="21"/>
          <w:highlight w:val="none"/>
        </w:rPr>
      </w:pPr>
      <w:r>
        <w:rPr>
          <w:color w:val="auto"/>
          <w:szCs w:val="21"/>
          <w:highlight w:val="none"/>
        </w:rPr>
        <w:t xml:space="preserve"> （9）经监理人和发包人检查，发现承包人有安全问题或有违反安全管理规章制度的情况； </w:t>
      </w:r>
    </w:p>
    <w:p>
      <w:pPr>
        <w:tabs>
          <w:tab w:val="left" w:pos="3193"/>
        </w:tabs>
        <w:spacing w:line="380" w:lineRule="exact"/>
        <w:ind w:firstLine="420"/>
        <w:rPr>
          <w:color w:val="auto"/>
          <w:szCs w:val="21"/>
          <w:highlight w:val="none"/>
        </w:rPr>
      </w:pPr>
      <w:r>
        <w:rPr>
          <w:rFonts w:hint="eastAsia"/>
          <w:color w:val="auto"/>
          <w:szCs w:val="21"/>
          <w:highlight w:val="none"/>
        </w:rPr>
        <w:t xml:space="preserve"> </w:t>
      </w:r>
      <w:r>
        <w:rPr>
          <w:color w:val="auto"/>
          <w:szCs w:val="21"/>
          <w:highlight w:val="none"/>
        </w:rPr>
        <w:t>（10）承包人不按合同约定履行义务的其他情况。</w:t>
      </w:r>
    </w:p>
    <w:p>
      <w:pPr>
        <w:tabs>
          <w:tab w:val="left" w:pos="3193"/>
        </w:tabs>
        <w:spacing w:line="380" w:lineRule="exact"/>
        <w:ind w:firstLine="420"/>
        <w:rPr>
          <w:color w:val="auto"/>
          <w:szCs w:val="21"/>
          <w:highlight w:val="none"/>
        </w:rPr>
      </w:pPr>
      <w:r>
        <w:rPr>
          <w:color w:val="auto"/>
          <w:szCs w:val="21"/>
          <w:highlight w:val="none"/>
        </w:rPr>
        <w:t xml:space="preserve"> 22.1.2  对承包人违约的处理  </w:t>
      </w:r>
    </w:p>
    <w:p>
      <w:pPr>
        <w:tabs>
          <w:tab w:val="left" w:pos="3193"/>
        </w:tabs>
        <w:spacing w:line="380" w:lineRule="exact"/>
        <w:ind w:firstLine="420"/>
        <w:rPr>
          <w:color w:val="auto"/>
          <w:szCs w:val="21"/>
          <w:highlight w:val="none"/>
        </w:rPr>
      </w:pPr>
      <w:r>
        <w:rPr>
          <w:color w:val="auto"/>
          <w:szCs w:val="21"/>
          <w:highlight w:val="none"/>
        </w:rPr>
        <w:t xml:space="preserve"> 本项补充：  </w:t>
      </w:r>
    </w:p>
    <w:p>
      <w:pPr>
        <w:tabs>
          <w:tab w:val="left" w:pos="3193"/>
        </w:tabs>
        <w:spacing w:line="380" w:lineRule="exact"/>
        <w:ind w:firstLine="420"/>
        <w:rPr>
          <w:color w:val="auto"/>
          <w:szCs w:val="21"/>
          <w:highlight w:val="none"/>
        </w:rPr>
      </w:pPr>
      <w:r>
        <w:rPr>
          <w:color w:val="auto"/>
          <w:szCs w:val="21"/>
          <w:highlight w:val="none"/>
        </w:rPr>
        <w:t xml:space="preserve"> （4）承包人发生第22.1.1 项约定的违约情况时，无论发包人是否解除合同，发包人均有权向承包人课以项目专用合同条款中规定的违约金，并由发包人将其违约行为上报省级交通运输主管部门，作为不良记录纳入公路建设市场信用信息管理系统。</w:t>
      </w:r>
    </w:p>
    <w:p>
      <w:pPr>
        <w:tabs>
          <w:tab w:val="left" w:pos="3193"/>
        </w:tabs>
        <w:spacing w:line="380" w:lineRule="exact"/>
        <w:rPr>
          <w:color w:val="auto"/>
          <w:szCs w:val="21"/>
          <w:highlight w:val="none"/>
        </w:rPr>
      </w:pPr>
      <w:r>
        <w:rPr>
          <w:color w:val="auto"/>
          <w:szCs w:val="21"/>
          <w:highlight w:val="none"/>
        </w:rPr>
        <w:t xml:space="preserve">22.2  发包人违约 </w:t>
      </w:r>
    </w:p>
    <w:p>
      <w:pPr>
        <w:tabs>
          <w:tab w:val="left" w:pos="3193"/>
        </w:tabs>
        <w:spacing w:line="380" w:lineRule="exact"/>
        <w:ind w:firstLine="420"/>
        <w:rPr>
          <w:color w:val="auto"/>
          <w:szCs w:val="21"/>
          <w:highlight w:val="none"/>
        </w:rPr>
      </w:pPr>
      <w:r>
        <w:rPr>
          <w:color w:val="auto"/>
          <w:szCs w:val="21"/>
          <w:highlight w:val="none"/>
        </w:rPr>
        <w:t xml:space="preserve"> 22.2.1 发包人违约的情形  </w:t>
      </w:r>
    </w:p>
    <w:p>
      <w:pPr>
        <w:tabs>
          <w:tab w:val="left" w:pos="3193"/>
        </w:tabs>
        <w:spacing w:line="380" w:lineRule="exact"/>
        <w:ind w:firstLine="420"/>
        <w:rPr>
          <w:color w:val="auto"/>
          <w:szCs w:val="21"/>
          <w:highlight w:val="none"/>
        </w:rPr>
      </w:pPr>
      <w:r>
        <w:rPr>
          <w:color w:val="auto"/>
          <w:szCs w:val="21"/>
          <w:highlight w:val="none"/>
        </w:rPr>
        <w:t xml:space="preserve"> 本项 （5）目细化为：</w:t>
      </w:r>
    </w:p>
    <w:p>
      <w:pPr>
        <w:tabs>
          <w:tab w:val="left" w:pos="3193"/>
        </w:tabs>
        <w:spacing w:line="380" w:lineRule="exact"/>
        <w:ind w:firstLine="420"/>
        <w:rPr>
          <w:color w:val="auto"/>
          <w:szCs w:val="21"/>
          <w:highlight w:val="none"/>
        </w:rPr>
      </w:pPr>
      <w:r>
        <w:rPr>
          <w:color w:val="auto"/>
          <w:szCs w:val="21"/>
          <w:highlight w:val="none"/>
        </w:rPr>
        <w:t xml:space="preserve"> （5）发包人无正当理由不按时返还质量保证金或农民工工资保证金的；  </w:t>
      </w:r>
    </w:p>
    <w:p>
      <w:pPr>
        <w:tabs>
          <w:tab w:val="left" w:pos="3193"/>
        </w:tabs>
        <w:spacing w:line="380" w:lineRule="exact"/>
        <w:ind w:firstLine="420"/>
        <w:rPr>
          <w:color w:val="auto"/>
          <w:szCs w:val="21"/>
          <w:highlight w:val="none"/>
        </w:rPr>
      </w:pPr>
      <w:r>
        <w:rPr>
          <w:color w:val="auto"/>
          <w:szCs w:val="21"/>
          <w:highlight w:val="none"/>
        </w:rPr>
        <w:t xml:space="preserve"> （6）发包人不履行合同约定其他义务的。     </w:t>
      </w:r>
    </w:p>
    <w:p>
      <w:pPr>
        <w:tabs>
          <w:tab w:val="left" w:pos="3193"/>
        </w:tabs>
        <w:spacing w:line="380" w:lineRule="exact"/>
        <w:ind w:firstLine="440" w:firstLineChars="200"/>
        <w:rPr>
          <w:color w:val="auto"/>
          <w:szCs w:val="21"/>
          <w:highlight w:val="none"/>
        </w:rPr>
      </w:pPr>
      <w:r>
        <w:rPr>
          <w:rFonts w:hint="eastAsia"/>
          <w:color w:val="auto"/>
          <w:szCs w:val="21"/>
          <w:highlight w:val="none"/>
        </w:rPr>
        <w:t xml:space="preserve"> </w:t>
      </w:r>
      <w:r>
        <w:rPr>
          <w:color w:val="auto"/>
          <w:szCs w:val="21"/>
          <w:highlight w:val="none"/>
        </w:rPr>
        <w:t>22.2.2  承包人有权暂停施工</w:t>
      </w:r>
    </w:p>
    <w:p>
      <w:pPr>
        <w:tabs>
          <w:tab w:val="left" w:pos="3193"/>
        </w:tabs>
        <w:spacing w:line="380" w:lineRule="exact"/>
        <w:ind w:firstLine="440" w:firstLineChars="200"/>
        <w:rPr>
          <w:color w:val="auto"/>
          <w:szCs w:val="21"/>
          <w:highlight w:val="none"/>
        </w:rPr>
      </w:pPr>
      <w:r>
        <w:rPr>
          <w:rFonts w:hint="eastAsia"/>
          <w:color w:val="auto"/>
          <w:szCs w:val="21"/>
          <w:highlight w:val="none"/>
        </w:rPr>
        <w:t xml:space="preserve"> </w:t>
      </w:r>
      <w:r>
        <w:rPr>
          <w:color w:val="auto"/>
          <w:szCs w:val="21"/>
          <w:highlight w:val="none"/>
        </w:rPr>
        <w:t xml:space="preserve">本项细化为：     </w:t>
      </w:r>
    </w:p>
    <w:p>
      <w:pPr>
        <w:tabs>
          <w:tab w:val="left" w:pos="3193"/>
        </w:tabs>
        <w:spacing w:line="380" w:lineRule="exact"/>
        <w:ind w:firstLine="440" w:firstLineChars="200"/>
        <w:rPr>
          <w:color w:val="auto"/>
          <w:szCs w:val="21"/>
          <w:highlight w:val="none"/>
        </w:rPr>
      </w:pPr>
      <w:r>
        <w:rPr>
          <w:rFonts w:hint="eastAsia"/>
          <w:color w:val="auto"/>
          <w:szCs w:val="21"/>
          <w:highlight w:val="none"/>
        </w:rPr>
        <w:t xml:space="preserve"> </w:t>
      </w:r>
      <w:r>
        <w:rPr>
          <w:color w:val="auto"/>
          <w:szCs w:val="21"/>
          <w:highlight w:val="none"/>
        </w:rPr>
        <w:t xml:space="preserve">发包人发生除第 22.2.1 （4 ）、（5 ）目以外的违约情况时，承包人可向发包人发出通知，要求发包人采取有效措施纠正违约行为。发包人收到承包人通知后的28 天内仍不履行合同义务，承包人有权暂停施工，并通知监理人，发包人应承担由此增 加的费用和（或）工期延误，并支付承包人合理利润。  </w:t>
      </w:r>
    </w:p>
    <w:p>
      <w:pPr>
        <w:tabs>
          <w:tab w:val="left" w:pos="3193"/>
        </w:tabs>
        <w:spacing w:line="380" w:lineRule="exact"/>
        <w:ind w:firstLine="440" w:firstLineChars="200"/>
        <w:rPr>
          <w:color w:val="auto"/>
          <w:szCs w:val="21"/>
          <w:highlight w:val="none"/>
        </w:rPr>
      </w:pPr>
      <w:r>
        <w:rPr>
          <w:color w:val="auto"/>
          <w:szCs w:val="21"/>
          <w:highlight w:val="none"/>
        </w:rPr>
        <w:t xml:space="preserve"> 发包人发生第22.2.1（5）目的违约情况时，承包人可向发包人发出通知，要求发包人采取有效措施纠正违约行为。发包人收到承包人通知后的28 天内仍不返还质量保证金或农民工工资保证金的，发包人应按项目专用合同条款的约 定向承包人支付逾期返还保证金的违约金。</w:t>
      </w:r>
    </w:p>
    <w:p>
      <w:pPr>
        <w:tabs>
          <w:tab w:val="left" w:pos="3193"/>
        </w:tabs>
        <w:spacing w:line="380" w:lineRule="exact"/>
        <w:ind w:firstLine="440" w:firstLineChars="200"/>
        <w:rPr>
          <w:color w:val="auto"/>
          <w:szCs w:val="21"/>
          <w:highlight w:val="none"/>
        </w:rPr>
      </w:pPr>
      <w:r>
        <w:rPr>
          <w:color w:val="auto"/>
          <w:szCs w:val="21"/>
          <w:highlight w:val="none"/>
        </w:rPr>
        <w:t xml:space="preserve">  22.2.4  解除合同后的付款  </w:t>
      </w:r>
    </w:p>
    <w:p>
      <w:pPr>
        <w:tabs>
          <w:tab w:val="left" w:pos="3193"/>
        </w:tabs>
        <w:spacing w:line="380" w:lineRule="exact"/>
        <w:ind w:firstLine="440" w:firstLineChars="200"/>
        <w:rPr>
          <w:color w:val="auto"/>
          <w:szCs w:val="21"/>
          <w:highlight w:val="none"/>
        </w:rPr>
      </w:pPr>
      <w:r>
        <w:rPr>
          <w:color w:val="auto"/>
          <w:szCs w:val="21"/>
          <w:highlight w:val="none"/>
        </w:rPr>
        <w:t xml:space="preserve">  本项 （2）目细化为： </w:t>
      </w:r>
    </w:p>
    <w:p>
      <w:pPr>
        <w:tabs>
          <w:tab w:val="left" w:pos="3193"/>
        </w:tabs>
        <w:spacing w:line="380" w:lineRule="exact"/>
        <w:ind w:firstLine="440" w:firstLineChars="200"/>
        <w:rPr>
          <w:color w:val="auto"/>
          <w:szCs w:val="21"/>
          <w:highlight w:val="none"/>
        </w:rPr>
      </w:pPr>
      <w:r>
        <w:rPr>
          <w:color w:val="auto"/>
          <w:szCs w:val="21"/>
          <w:highlight w:val="none"/>
        </w:rPr>
        <w:t xml:space="preserve">  （2）承包人为该工程施工订购并已付款的材料、工程设备和其他物品的金额。发包人付款后，该材料、工程设备和其他物品归发包人所有；  </w:t>
      </w:r>
    </w:p>
    <w:p>
      <w:pPr>
        <w:tabs>
          <w:tab w:val="left" w:pos="3193"/>
        </w:tabs>
        <w:spacing w:line="380" w:lineRule="exact"/>
        <w:rPr>
          <w:color w:val="auto"/>
          <w:szCs w:val="21"/>
          <w:highlight w:val="none"/>
        </w:rPr>
      </w:pPr>
      <w:r>
        <w:rPr>
          <w:color w:val="auto"/>
          <w:szCs w:val="21"/>
          <w:highlight w:val="none"/>
        </w:rPr>
        <w:t xml:space="preserve">23.  索赔 </w:t>
      </w:r>
    </w:p>
    <w:p>
      <w:pPr>
        <w:tabs>
          <w:tab w:val="left" w:pos="3193"/>
        </w:tabs>
        <w:spacing w:line="380" w:lineRule="exact"/>
        <w:rPr>
          <w:color w:val="auto"/>
          <w:szCs w:val="21"/>
          <w:highlight w:val="none"/>
        </w:rPr>
      </w:pPr>
      <w:r>
        <w:rPr>
          <w:color w:val="auto"/>
          <w:szCs w:val="21"/>
          <w:highlight w:val="none"/>
        </w:rPr>
        <w:t xml:space="preserve">23.1  承包人索赔的提出     </w:t>
      </w:r>
    </w:p>
    <w:p>
      <w:pPr>
        <w:tabs>
          <w:tab w:val="left" w:pos="3193"/>
        </w:tabs>
        <w:spacing w:line="380" w:lineRule="exact"/>
        <w:ind w:firstLine="440" w:firstLineChars="200"/>
        <w:rPr>
          <w:color w:val="auto"/>
          <w:szCs w:val="21"/>
          <w:highlight w:val="none"/>
        </w:rPr>
      </w:pPr>
      <w:r>
        <w:rPr>
          <w:rFonts w:hint="eastAsia"/>
          <w:color w:val="auto"/>
          <w:szCs w:val="21"/>
          <w:highlight w:val="none"/>
        </w:rPr>
        <w:t xml:space="preserve">  </w:t>
      </w:r>
      <w:r>
        <w:rPr>
          <w:color w:val="auto"/>
          <w:szCs w:val="21"/>
          <w:highlight w:val="none"/>
        </w:rPr>
        <w:t xml:space="preserve">本款第（4）项细化为： </w:t>
      </w:r>
    </w:p>
    <w:p>
      <w:pPr>
        <w:tabs>
          <w:tab w:val="left" w:pos="3193"/>
        </w:tabs>
        <w:spacing w:line="380" w:lineRule="exact"/>
        <w:ind w:firstLine="440" w:firstLineChars="200"/>
        <w:rPr>
          <w:color w:val="auto"/>
          <w:szCs w:val="21"/>
          <w:highlight w:val="none"/>
        </w:rPr>
      </w:pPr>
      <w:r>
        <w:rPr>
          <w:color w:val="auto"/>
          <w:szCs w:val="21"/>
          <w:highlight w:val="none"/>
        </w:rPr>
        <w:t>（4）在索赔事件影响结束后的28 天内，承包人应向监理人递交最终索赔通知书，说明最终要求索赔的追加付款金额和（或）延长的工期，并附必要的记录和证明材料。</w:t>
      </w:r>
    </w:p>
    <w:p>
      <w:pPr>
        <w:tabs>
          <w:tab w:val="left" w:pos="3193"/>
        </w:tabs>
        <w:spacing w:line="380" w:lineRule="exact"/>
        <w:rPr>
          <w:color w:val="auto"/>
          <w:szCs w:val="21"/>
          <w:highlight w:val="none"/>
        </w:rPr>
      </w:pPr>
      <w:r>
        <w:rPr>
          <w:color w:val="auto"/>
          <w:szCs w:val="21"/>
          <w:highlight w:val="none"/>
        </w:rPr>
        <w:t xml:space="preserve">23.2  承包人索赔处理程序 </w:t>
      </w:r>
    </w:p>
    <w:p>
      <w:pPr>
        <w:tabs>
          <w:tab w:val="left" w:pos="3193"/>
        </w:tabs>
        <w:spacing w:line="380" w:lineRule="exact"/>
        <w:rPr>
          <w:color w:val="auto"/>
          <w:szCs w:val="21"/>
          <w:highlight w:val="none"/>
        </w:rPr>
      </w:pPr>
      <w:r>
        <w:rPr>
          <w:color w:val="auto"/>
          <w:szCs w:val="21"/>
          <w:highlight w:val="none"/>
        </w:rPr>
        <w:t xml:space="preserve">   </w:t>
      </w:r>
      <w:r>
        <w:rPr>
          <w:rFonts w:hint="eastAsia"/>
          <w:color w:val="auto"/>
          <w:szCs w:val="21"/>
          <w:highlight w:val="none"/>
        </w:rPr>
        <w:t xml:space="preserve"> </w:t>
      </w:r>
      <w:r>
        <w:rPr>
          <w:color w:val="auto"/>
          <w:szCs w:val="21"/>
          <w:highlight w:val="none"/>
        </w:rPr>
        <w:t xml:space="preserve">本款第 （2）项细化为：  </w:t>
      </w:r>
    </w:p>
    <w:p>
      <w:pPr>
        <w:tabs>
          <w:tab w:val="left" w:pos="3193"/>
        </w:tabs>
        <w:spacing w:line="380" w:lineRule="exact"/>
        <w:rPr>
          <w:color w:val="auto"/>
          <w:szCs w:val="21"/>
          <w:highlight w:val="none"/>
        </w:rPr>
      </w:pPr>
      <w:r>
        <w:rPr>
          <w:color w:val="auto"/>
          <w:szCs w:val="21"/>
          <w:highlight w:val="none"/>
        </w:rPr>
        <w:t xml:space="preserve">   （2）监理人应按第3.5 款商定或确定追加的付款和（或）延长的工期，并在收到上述索赔通知书或有关索赔的进一步证明材料后的42 天内，将索赔处理结果报发 包人批准后答复承包人。如果承包人提出的索赔要求未能遵守第23.1（2）~（4）项的规定，则承包人只限于索赔由监理人按当时记录予以核实的那部分款额和 （或） 工期延长天数。</w:t>
      </w:r>
    </w:p>
    <w:p>
      <w:pPr>
        <w:tabs>
          <w:tab w:val="left" w:pos="3193"/>
        </w:tabs>
        <w:spacing w:line="380" w:lineRule="exact"/>
        <w:rPr>
          <w:color w:val="auto"/>
          <w:szCs w:val="21"/>
          <w:highlight w:val="none"/>
        </w:rPr>
      </w:pPr>
      <w:r>
        <w:rPr>
          <w:color w:val="auto"/>
          <w:szCs w:val="21"/>
          <w:highlight w:val="none"/>
        </w:rPr>
        <w:t xml:space="preserve">24.  争议的解决 </w:t>
      </w:r>
    </w:p>
    <w:p>
      <w:pPr>
        <w:tabs>
          <w:tab w:val="left" w:pos="3193"/>
        </w:tabs>
        <w:spacing w:line="380" w:lineRule="exact"/>
        <w:rPr>
          <w:color w:val="auto"/>
          <w:szCs w:val="21"/>
          <w:highlight w:val="none"/>
        </w:rPr>
      </w:pPr>
      <w:r>
        <w:rPr>
          <w:color w:val="auto"/>
          <w:szCs w:val="21"/>
          <w:highlight w:val="none"/>
        </w:rPr>
        <w:t xml:space="preserve">24.3 争议评审 </w:t>
      </w:r>
    </w:p>
    <w:p>
      <w:pPr>
        <w:tabs>
          <w:tab w:val="left" w:pos="3193"/>
        </w:tabs>
        <w:spacing w:line="380" w:lineRule="exact"/>
        <w:ind w:firstLine="440" w:firstLineChars="200"/>
        <w:rPr>
          <w:color w:val="auto"/>
          <w:szCs w:val="21"/>
          <w:highlight w:val="none"/>
        </w:rPr>
      </w:pPr>
      <w:r>
        <w:rPr>
          <w:color w:val="auto"/>
          <w:szCs w:val="21"/>
          <w:highlight w:val="none"/>
        </w:rPr>
        <w:t xml:space="preserve">第24.3.1 项补充： </w:t>
      </w:r>
    </w:p>
    <w:p>
      <w:pPr>
        <w:tabs>
          <w:tab w:val="left" w:pos="3193"/>
        </w:tabs>
        <w:spacing w:line="380" w:lineRule="exact"/>
        <w:ind w:firstLine="440" w:firstLineChars="200"/>
        <w:rPr>
          <w:color w:val="auto"/>
          <w:szCs w:val="21"/>
          <w:highlight w:val="none"/>
        </w:rPr>
      </w:pPr>
      <w:r>
        <w:rPr>
          <w:color w:val="auto"/>
          <w:szCs w:val="21"/>
          <w:highlight w:val="none"/>
        </w:rPr>
        <w:t xml:space="preserve">争议评审组由3 人或5 人组成，专家的聘请方法可由发包人和承包人共同协商确定，亦可请政府主管部门推荐或通过合同争议调解机构聘请，并经双方认同。争议评审组成员应与合同双方均无利害关系。争议评审组的各项费用由发包人和承包人平均分担。  </w:t>
      </w:r>
    </w:p>
    <w:p>
      <w:pPr>
        <w:tabs>
          <w:tab w:val="left" w:pos="3193"/>
        </w:tabs>
        <w:spacing w:line="380" w:lineRule="exact"/>
        <w:rPr>
          <w:color w:val="auto"/>
          <w:szCs w:val="21"/>
          <w:highlight w:val="none"/>
        </w:rPr>
      </w:pPr>
      <w:r>
        <w:rPr>
          <w:color w:val="auto"/>
          <w:szCs w:val="21"/>
          <w:highlight w:val="none"/>
        </w:rPr>
        <w:t>本条补充第24.4 款、第24.5 款（适用于采用仲裁方式最终解决争议的项目）：</w:t>
      </w:r>
    </w:p>
    <w:p>
      <w:pPr>
        <w:tabs>
          <w:tab w:val="left" w:pos="3193"/>
        </w:tabs>
        <w:spacing w:line="380" w:lineRule="exact"/>
        <w:rPr>
          <w:color w:val="auto"/>
          <w:szCs w:val="21"/>
          <w:highlight w:val="none"/>
        </w:rPr>
      </w:pPr>
      <w:r>
        <w:rPr>
          <w:color w:val="auto"/>
          <w:szCs w:val="21"/>
          <w:highlight w:val="none"/>
        </w:rPr>
        <w:t xml:space="preserve">24.4 仲裁 </w:t>
      </w:r>
    </w:p>
    <w:p>
      <w:pPr>
        <w:tabs>
          <w:tab w:val="left" w:pos="3193"/>
        </w:tabs>
        <w:spacing w:line="380" w:lineRule="exact"/>
        <w:ind w:firstLine="435"/>
        <w:rPr>
          <w:color w:val="auto"/>
          <w:szCs w:val="21"/>
          <w:highlight w:val="none"/>
        </w:rPr>
      </w:pPr>
      <w:r>
        <w:rPr>
          <w:color w:val="auto"/>
          <w:szCs w:val="21"/>
          <w:highlight w:val="none"/>
        </w:rPr>
        <w:t>（1）对于未能友好解决或未能通过争议评审解决的争议，发包人或承包人任一方均有权提交给第24.1 款约定的仲裁委员会仲裁。</w:t>
      </w:r>
    </w:p>
    <w:p>
      <w:pPr>
        <w:tabs>
          <w:tab w:val="left" w:pos="3193"/>
        </w:tabs>
        <w:spacing w:line="380" w:lineRule="exact"/>
        <w:ind w:firstLine="435"/>
        <w:rPr>
          <w:color w:val="auto"/>
          <w:szCs w:val="21"/>
          <w:highlight w:val="none"/>
        </w:rPr>
      </w:pPr>
      <w:r>
        <w:rPr>
          <w:color w:val="auto"/>
          <w:szCs w:val="21"/>
          <w:highlight w:val="none"/>
        </w:rPr>
        <w:t xml:space="preserve">（2）仲裁可在交工之前或之后进行，但发包人、监理人和承包人各自的义务不得因在工程实施期间进行仲裁而有所改变。如果仲裁是在终止合同的情况下进行，则对合同工程应采取保护措施，措施费由败诉方承担。 </w:t>
      </w:r>
    </w:p>
    <w:p>
      <w:pPr>
        <w:tabs>
          <w:tab w:val="left" w:pos="3193"/>
        </w:tabs>
        <w:spacing w:line="380" w:lineRule="exact"/>
        <w:ind w:firstLine="435"/>
        <w:rPr>
          <w:color w:val="auto"/>
          <w:szCs w:val="21"/>
          <w:highlight w:val="none"/>
        </w:rPr>
      </w:pPr>
      <w:r>
        <w:rPr>
          <w:color w:val="auto"/>
          <w:szCs w:val="21"/>
          <w:highlight w:val="none"/>
        </w:rPr>
        <w:t xml:space="preserve">（3）仲裁裁决是终局性的并对发包人和承包人双方具有约束力。  </w:t>
      </w:r>
    </w:p>
    <w:p>
      <w:pPr>
        <w:tabs>
          <w:tab w:val="left" w:pos="3193"/>
        </w:tabs>
        <w:spacing w:line="380" w:lineRule="exact"/>
        <w:ind w:firstLine="435"/>
        <w:rPr>
          <w:color w:val="auto"/>
          <w:szCs w:val="21"/>
          <w:highlight w:val="none"/>
        </w:rPr>
      </w:pPr>
      <w:r>
        <w:rPr>
          <w:color w:val="auto"/>
          <w:szCs w:val="21"/>
          <w:highlight w:val="none"/>
        </w:rPr>
        <w:t>（4）全部仲裁费用应由败诉方承担；或按仲裁委员会裁决的比例分担。</w:t>
      </w:r>
    </w:p>
    <w:p>
      <w:pPr>
        <w:tabs>
          <w:tab w:val="left" w:pos="3193"/>
        </w:tabs>
        <w:spacing w:line="380" w:lineRule="exact"/>
        <w:rPr>
          <w:color w:val="auto"/>
          <w:szCs w:val="21"/>
          <w:highlight w:val="none"/>
        </w:rPr>
      </w:pPr>
      <w:r>
        <w:rPr>
          <w:color w:val="auto"/>
          <w:szCs w:val="21"/>
          <w:highlight w:val="none"/>
        </w:rPr>
        <w:t xml:space="preserve">24.5  仲裁的执行    </w:t>
      </w:r>
    </w:p>
    <w:p>
      <w:pPr>
        <w:tabs>
          <w:tab w:val="left" w:pos="3193"/>
        </w:tabs>
        <w:spacing w:line="380" w:lineRule="exact"/>
        <w:ind w:firstLine="435"/>
        <w:rPr>
          <w:color w:val="auto"/>
          <w:szCs w:val="21"/>
          <w:highlight w:val="none"/>
        </w:rPr>
      </w:pPr>
      <w:r>
        <w:rPr>
          <w:color w:val="auto"/>
          <w:szCs w:val="21"/>
          <w:highlight w:val="none"/>
        </w:rPr>
        <w:t xml:space="preserve">（1）任何一方不履行仲裁机构的裁决的，对方可以向有管辖权的人民法院申请执行。  </w:t>
      </w:r>
    </w:p>
    <w:p>
      <w:pPr>
        <w:tabs>
          <w:tab w:val="left" w:pos="3193"/>
        </w:tabs>
        <w:spacing w:line="380" w:lineRule="exact"/>
        <w:ind w:firstLine="435"/>
        <w:rPr>
          <w:color w:val="auto"/>
          <w:szCs w:val="21"/>
          <w:highlight w:val="none"/>
        </w:rPr>
      </w:pPr>
      <w:r>
        <w:rPr>
          <w:color w:val="auto"/>
          <w:szCs w:val="21"/>
          <w:highlight w:val="none"/>
        </w:rPr>
        <w:t>（2）任何一方提出证据证明裁决有《中华人民共和国仲裁法》第五十八条规定情形之一的，可以向仲裁委员会所在地的中级人民法院申请撤销裁决。人民法院认定执行该裁决违背社会公共利益的，裁定不予执行。仲裁裁决被人民法院裁定不予执行的，当事人可以根据双方达成的书面仲裁协议重新申请仲裁，也可以向人民法院起诉。</w:t>
      </w:r>
    </w:p>
    <w:p>
      <w:pPr>
        <w:tabs>
          <w:tab w:val="left" w:pos="3193"/>
        </w:tabs>
        <w:spacing w:line="380" w:lineRule="exact"/>
        <w:ind w:firstLine="440" w:firstLineChars="200"/>
        <w:rPr>
          <w:color w:val="auto"/>
          <w:szCs w:val="21"/>
          <w:highlight w:val="none"/>
        </w:rPr>
      </w:pPr>
    </w:p>
    <w:p>
      <w:pPr>
        <w:tabs>
          <w:tab w:val="left" w:pos="3193"/>
        </w:tabs>
        <w:spacing w:line="400" w:lineRule="exact"/>
        <w:ind w:firstLine="480" w:firstLineChars="200"/>
        <w:rPr>
          <w:color w:val="auto"/>
          <w:sz w:val="24"/>
          <w:highlight w:val="none"/>
        </w:rPr>
      </w:pPr>
    </w:p>
    <w:p>
      <w:pPr>
        <w:tabs>
          <w:tab w:val="left" w:pos="3193"/>
        </w:tabs>
        <w:spacing w:line="400" w:lineRule="exact"/>
        <w:ind w:firstLine="480" w:firstLineChars="200"/>
        <w:rPr>
          <w:color w:val="auto"/>
          <w:sz w:val="24"/>
          <w:highlight w:val="none"/>
        </w:rPr>
      </w:pPr>
    </w:p>
    <w:p>
      <w:pPr>
        <w:tabs>
          <w:tab w:val="left" w:pos="3193"/>
        </w:tabs>
        <w:spacing w:line="400" w:lineRule="exact"/>
        <w:ind w:firstLine="480" w:firstLineChars="200"/>
        <w:rPr>
          <w:color w:val="auto"/>
          <w:sz w:val="24"/>
          <w:highlight w:val="none"/>
        </w:rPr>
      </w:pPr>
    </w:p>
    <w:p>
      <w:pPr>
        <w:tabs>
          <w:tab w:val="left" w:pos="3193"/>
        </w:tabs>
        <w:spacing w:line="400" w:lineRule="exact"/>
        <w:ind w:firstLine="480" w:firstLineChars="200"/>
        <w:rPr>
          <w:color w:val="auto"/>
          <w:sz w:val="24"/>
          <w:highlight w:val="none"/>
        </w:rPr>
      </w:pPr>
    </w:p>
    <w:p>
      <w:pPr>
        <w:tabs>
          <w:tab w:val="left" w:pos="3193"/>
        </w:tabs>
        <w:spacing w:line="400" w:lineRule="exact"/>
        <w:ind w:firstLine="480" w:firstLineChars="200"/>
        <w:rPr>
          <w:color w:val="auto"/>
          <w:sz w:val="24"/>
          <w:highlight w:val="none"/>
        </w:rPr>
      </w:pPr>
    </w:p>
    <w:p>
      <w:pPr>
        <w:tabs>
          <w:tab w:val="left" w:pos="3193"/>
        </w:tabs>
        <w:spacing w:line="400" w:lineRule="exact"/>
        <w:ind w:firstLine="480" w:firstLineChars="200"/>
        <w:rPr>
          <w:color w:val="auto"/>
          <w:sz w:val="24"/>
          <w:highlight w:val="none"/>
        </w:rPr>
      </w:pPr>
    </w:p>
    <w:p>
      <w:pPr>
        <w:tabs>
          <w:tab w:val="left" w:pos="3193"/>
        </w:tabs>
        <w:spacing w:line="400" w:lineRule="exact"/>
        <w:ind w:firstLine="480" w:firstLineChars="200"/>
        <w:rPr>
          <w:color w:val="auto"/>
          <w:sz w:val="24"/>
          <w:highlight w:val="none"/>
        </w:rPr>
      </w:pPr>
    </w:p>
    <w:p>
      <w:pPr>
        <w:tabs>
          <w:tab w:val="left" w:pos="3193"/>
        </w:tabs>
        <w:spacing w:line="400" w:lineRule="exact"/>
        <w:ind w:firstLine="480" w:firstLineChars="200"/>
        <w:rPr>
          <w:color w:val="auto"/>
          <w:sz w:val="24"/>
          <w:highlight w:val="none"/>
        </w:rPr>
      </w:pPr>
    </w:p>
    <w:p>
      <w:pPr>
        <w:widowControl/>
        <w:rPr>
          <w:color w:val="auto"/>
          <w:sz w:val="36"/>
          <w:szCs w:val="36"/>
          <w:highlight w:val="none"/>
        </w:rPr>
      </w:pPr>
      <w:r>
        <w:rPr>
          <w:color w:val="auto"/>
          <w:sz w:val="36"/>
          <w:szCs w:val="36"/>
          <w:highlight w:val="none"/>
        </w:rPr>
        <w:br w:type="page"/>
      </w:r>
    </w:p>
    <w:p>
      <w:pPr>
        <w:ind w:left="420"/>
        <w:jc w:val="center"/>
        <w:outlineLvl w:val="2"/>
        <w:rPr>
          <w:color w:val="auto"/>
          <w:sz w:val="36"/>
          <w:szCs w:val="36"/>
          <w:highlight w:val="none"/>
        </w:rPr>
      </w:pPr>
      <w:bookmarkStart w:id="24" w:name="_Toc46929587"/>
      <w:r>
        <w:rPr>
          <w:rFonts w:hint="eastAsia"/>
          <w:color w:val="auto"/>
          <w:sz w:val="36"/>
          <w:szCs w:val="36"/>
          <w:highlight w:val="none"/>
        </w:rPr>
        <w:t>B、项目专用合同条款</w:t>
      </w:r>
      <w:bookmarkEnd w:id="24"/>
    </w:p>
    <w:p>
      <w:pPr>
        <w:spacing w:before="240" w:after="240"/>
        <w:rPr>
          <w:color w:val="auto"/>
          <w:highlight w:val="none"/>
        </w:rPr>
      </w:pPr>
      <w:r>
        <w:rPr>
          <w:color w:val="auto"/>
          <w:highlight w:val="none"/>
        </w:rPr>
        <w:t>说    明：</w:t>
      </w:r>
    </w:p>
    <w:p>
      <w:pPr>
        <w:ind w:right="-178" w:rightChars="-81" w:firstLine="480" w:firstLineChars="200"/>
        <w:rPr>
          <w:color w:val="auto"/>
          <w:sz w:val="24"/>
          <w:highlight w:val="none"/>
        </w:rPr>
      </w:pPr>
      <w:r>
        <w:rPr>
          <w:color w:val="auto"/>
          <w:sz w:val="24"/>
          <w:highlight w:val="none"/>
        </w:rPr>
        <w:t xml:space="preserve">1.招标人在根据 《公路工程标准施工招标文件》编制项目招标文件中的“项目专用合同条款”时，可根据招标项目的具体特点和实际需要，对“通用合同条款”及“公路工程专用合同条款”进行补充和细化，除“通用合同条款”明确“专用合同条款”可作出不同约定以及“公路工程专用合同条款”明确“项目专用合同条款”可作出不同约定外，补充和细化的内容不得与“通用合同条款”及“公路工程专用合同条款”强制性规定相抵触。同时，补充、细化或约定的内容，不得违反法律、行政法规的强制性规定和平等、自愿、公平和诚实信用原则。       </w:t>
      </w:r>
    </w:p>
    <w:p>
      <w:pPr>
        <w:ind w:right="-178" w:rightChars="-81"/>
        <w:rPr>
          <w:color w:val="auto"/>
          <w:sz w:val="24"/>
          <w:highlight w:val="none"/>
        </w:rPr>
      </w:pPr>
      <w:r>
        <w:rPr>
          <w:color w:val="auto"/>
          <w:sz w:val="24"/>
          <w:highlight w:val="none"/>
        </w:rPr>
        <w:t xml:space="preserve"> </w:t>
      </w:r>
      <w:r>
        <w:rPr>
          <w:rFonts w:hint="eastAsia"/>
          <w:color w:val="auto"/>
          <w:sz w:val="24"/>
          <w:highlight w:val="none"/>
        </w:rPr>
        <w:t xml:space="preserve">   </w:t>
      </w:r>
      <w:r>
        <w:rPr>
          <w:color w:val="auto"/>
          <w:sz w:val="24"/>
          <w:highlight w:val="none"/>
        </w:rPr>
        <w:t xml:space="preserve">2.项目专用合同条款的编号应与通用合同条款和公路工程专用合同条款一致。       </w:t>
      </w:r>
    </w:p>
    <w:p>
      <w:pPr>
        <w:ind w:right="-178" w:rightChars="-81" w:firstLine="480" w:firstLineChars="200"/>
        <w:rPr>
          <w:color w:val="auto"/>
          <w:sz w:val="24"/>
          <w:highlight w:val="none"/>
        </w:rPr>
      </w:pPr>
      <w:r>
        <w:rPr>
          <w:color w:val="auto"/>
          <w:sz w:val="24"/>
          <w:highlight w:val="none"/>
        </w:rPr>
        <w:t xml:space="preserve">3.项目专用合同条款可对下列内容进行补充和细化 ：         </w:t>
      </w:r>
    </w:p>
    <w:p>
      <w:pPr>
        <w:ind w:right="-178" w:rightChars="-81" w:firstLine="480" w:firstLineChars="200"/>
        <w:rPr>
          <w:color w:val="auto"/>
          <w:sz w:val="24"/>
          <w:highlight w:val="none"/>
        </w:rPr>
      </w:pPr>
      <w:r>
        <w:rPr>
          <w:color w:val="auto"/>
          <w:sz w:val="24"/>
          <w:highlight w:val="none"/>
        </w:rPr>
        <w:t xml:space="preserve">（1）“通用合同条款”中明确指出“专用合同条款”可对“通用合同条款”进行修改的内容（在“通用合同条款”中用“应按合同约定”“应按专用合同条款约定”“除合同另有 约定外“”除专用合同条款另有约定外“”在专用合同条款中约定”等多种文字形式表达）；         </w:t>
      </w:r>
    </w:p>
    <w:p>
      <w:pPr>
        <w:ind w:right="-178" w:rightChars="-81" w:firstLine="480" w:firstLineChars="200"/>
        <w:rPr>
          <w:color w:val="auto"/>
          <w:sz w:val="24"/>
          <w:highlight w:val="none"/>
        </w:rPr>
      </w:pPr>
      <w:r>
        <w:rPr>
          <w:color w:val="auto"/>
          <w:sz w:val="24"/>
          <w:highlight w:val="none"/>
        </w:rPr>
        <w:t xml:space="preserve">（2）“公路工程专用合同条款”中明确指出“项目专用合同条款”可对“公路工程专用合同条款”进行修改的内容（在“公路工程专用合同条款”中用“除项目专用合同条款另有约定外“”项目专用合同条款可能约定的”“项目专用合同条款约定的其他情形”等多种文字形式表达）。         </w:t>
      </w:r>
    </w:p>
    <w:p>
      <w:pPr>
        <w:ind w:right="-178" w:rightChars="-81" w:firstLine="480" w:firstLineChars="200"/>
        <w:rPr>
          <w:color w:val="auto"/>
          <w:sz w:val="24"/>
          <w:highlight w:val="none"/>
        </w:rPr>
      </w:pPr>
      <w:r>
        <w:rPr>
          <w:color w:val="auto"/>
          <w:sz w:val="24"/>
          <w:highlight w:val="none"/>
        </w:rPr>
        <w:t>（3）其他需要补充、细化的内容。</w:t>
      </w:r>
    </w:p>
    <w:p>
      <w:pPr>
        <w:spacing w:before="240" w:after="240"/>
        <w:jc w:val="center"/>
        <w:rPr>
          <w:color w:val="auto"/>
          <w:sz w:val="30"/>
          <w:szCs w:val="30"/>
          <w:highlight w:val="none"/>
        </w:rPr>
      </w:pPr>
    </w:p>
    <w:p>
      <w:pPr>
        <w:spacing w:before="240" w:after="240"/>
        <w:jc w:val="center"/>
        <w:rPr>
          <w:color w:val="auto"/>
          <w:sz w:val="30"/>
          <w:szCs w:val="30"/>
          <w:highlight w:val="none"/>
        </w:rPr>
      </w:pPr>
      <w:r>
        <w:rPr>
          <w:rFonts w:hint="eastAsia"/>
          <w:color w:val="auto"/>
          <w:sz w:val="30"/>
          <w:szCs w:val="30"/>
          <w:highlight w:val="none"/>
        </w:rPr>
        <w:t>项目专用条款数据表</w:t>
      </w:r>
    </w:p>
    <w:p>
      <w:pPr>
        <w:ind w:right="-178" w:rightChars="-81"/>
        <w:rPr>
          <w:color w:val="auto"/>
          <w:sz w:val="24"/>
          <w:highlight w:val="none"/>
        </w:rPr>
      </w:pPr>
      <w:r>
        <w:rPr>
          <w:rFonts w:hint="eastAsia"/>
          <w:color w:val="auto"/>
          <w:sz w:val="24"/>
          <w:highlight w:val="none"/>
        </w:rPr>
        <w:t>说明：</w:t>
      </w:r>
      <w:r>
        <w:rPr>
          <w:color w:val="auto"/>
          <w:sz w:val="24"/>
          <w:highlight w:val="none"/>
        </w:rPr>
        <w:t>本数据表是项目专用合同条款中适用于本项目的信息和数据的归纳与提示，是项目专用合同条款的组成部分。第九章“投标文件格式”的投标函附录中的数据（供投标人确认）与本表所列有重复。编写招标文件的单位应仔细校核，不使数据出现差错或不一致。</w:t>
      </w:r>
    </w:p>
    <w:tbl>
      <w:tblPr>
        <w:tblStyle w:val="40"/>
        <w:tblW w:w="9639"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729"/>
        <w:gridCol w:w="1345"/>
        <w:gridCol w:w="7565"/>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729" w:type="dxa"/>
            <w:vAlign w:val="center"/>
          </w:tcPr>
          <w:p>
            <w:pPr>
              <w:jc w:val="center"/>
              <w:rPr>
                <w:color w:val="auto"/>
                <w:szCs w:val="21"/>
                <w:highlight w:val="none"/>
              </w:rPr>
            </w:pPr>
            <w:r>
              <w:rPr>
                <w:rFonts w:hint="eastAsia"/>
                <w:color w:val="auto"/>
                <w:szCs w:val="21"/>
                <w:highlight w:val="none"/>
              </w:rPr>
              <w:t>序号</w:t>
            </w:r>
          </w:p>
        </w:tc>
        <w:tc>
          <w:tcPr>
            <w:tcW w:w="1345" w:type="dxa"/>
            <w:vAlign w:val="center"/>
          </w:tcPr>
          <w:p>
            <w:pPr>
              <w:jc w:val="center"/>
              <w:rPr>
                <w:color w:val="auto"/>
                <w:szCs w:val="21"/>
                <w:highlight w:val="none"/>
              </w:rPr>
            </w:pPr>
            <w:r>
              <w:rPr>
                <w:rFonts w:hint="eastAsia"/>
                <w:color w:val="auto"/>
                <w:szCs w:val="21"/>
                <w:highlight w:val="none"/>
              </w:rPr>
              <w:t>条款号</w:t>
            </w:r>
          </w:p>
        </w:tc>
        <w:tc>
          <w:tcPr>
            <w:tcW w:w="7565" w:type="dxa"/>
            <w:vAlign w:val="center"/>
          </w:tcPr>
          <w:p>
            <w:pPr>
              <w:jc w:val="center"/>
              <w:rPr>
                <w:color w:val="auto"/>
                <w:szCs w:val="21"/>
                <w:highlight w:val="none"/>
              </w:rPr>
            </w:pPr>
            <w:r>
              <w:rPr>
                <w:rFonts w:hint="eastAsia"/>
                <w:color w:val="auto"/>
                <w:szCs w:val="21"/>
                <w:highlight w:val="none"/>
              </w:rPr>
              <w:t>信息或数据</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57" w:hRule="exact"/>
          <w:jc w:val="center"/>
        </w:trPr>
        <w:tc>
          <w:tcPr>
            <w:tcW w:w="729" w:type="dxa"/>
            <w:vAlign w:val="center"/>
          </w:tcPr>
          <w:p>
            <w:pPr>
              <w:jc w:val="center"/>
              <w:rPr>
                <w:color w:val="auto"/>
                <w:szCs w:val="21"/>
                <w:highlight w:val="none"/>
              </w:rPr>
            </w:pPr>
            <w:r>
              <w:rPr>
                <w:rFonts w:hint="eastAsia"/>
                <w:color w:val="auto"/>
                <w:szCs w:val="21"/>
                <w:highlight w:val="none"/>
              </w:rPr>
              <w:t>1</w:t>
            </w:r>
          </w:p>
        </w:tc>
        <w:tc>
          <w:tcPr>
            <w:tcW w:w="1345" w:type="dxa"/>
            <w:vAlign w:val="center"/>
          </w:tcPr>
          <w:p>
            <w:pPr>
              <w:jc w:val="center"/>
              <w:rPr>
                <w:color w:val="auto"/>
                <w:szCs w:val="21"/>
                <w:highlight w:val="none"/>
              </w:rPr>
            </w:pPr>
            <w:r>
              <w:rPr>
                <w:rFonts w:hint="eastAsia"/>
                <w:color w:val="auto"/>
                <w:szCs w:val="21"/>
                <w:highlight w:val="none"/>
              </w:rPr>
              <w:t>1.1.2.2</w:t>
            </w:r>
          </w:p>
        </w:tc>
        <w:tc>
          <w:tcPr>
            <w:tcW w:w="7565" w:type="dxa"/>
            <w:vAlign w:val="center"/>
          </w:tcPr>
          <w:p>
            <w:pPr>
              <w:spacing w:line="360" w:lineRule="exact"/>
              <w:rPr>
                <w:color w:val="auto"/>
                <w:szCs w:val="21"/>
                <w:highlight w:val="none"/>
              </w:rPr>
            </w:pPr>
            <w:r>
              <w:rPr>
                <w:rFonts w:hint="eastAsia"/>
                <w:color w:val="auto"/>
                <w:szCs w:val="21"/>
                <w:highlight w:val="none"/>
              </w:rPr>
              <w:t>发 包 人：</w:t>
            </w:r>
            <w:r>
              <w:rPr>
                <w:rFonts w:hint="eastAsia" w:cs="宋体"/>
                <w:color w:val="auto"/>
                <w:szCs w:val="21"/>
                <w:highlight w:val="none"/>
                <w:lang w:eastAsia="zh-CN"/>
              </w:rPr>
              <w:t xml:space="preserve">北流市大伦镇人民政府 </w:t>
            </w:r>
          </w:p>
          <w:p>
            <w:pPr>
              <w:spacing w:line="360" w:lineRule="auto"/>
              <w:rPr>
                <w:rFonts w:hint="eastAsia" w:asciiTheme="minorEastAsia" w:hAnsiTheme="minorEastAsia" w:eastAsiaTheme="minorEastAsia"/>
                <w:color w:val="auto"/>
                <w:spacing w:val="-4"/>
                <w:sz w:val="21"/>
                <w:szCs w:val="21"/>
                <w:highlight w:val="none"/>
                <w:lang w:eastAsia="zh-CN"/>
              </w:rPr>
            </w:pPr>
            <w:r>
              <w:rPr>
                <w:rFonts w:hint="eastAsia"/>
                <w:color w:val="auto"/>
                <w:szCs w:val="21"/>
                <w:highlight w:val="none"/>
              </w:rPr>
              <w:t>地    址：</w:t>
            </w:r>
            <w:r>
              <w:rPr>
                <w:rFonts w:hint="eastAsia" w:cs="宋体"/>
                <w:color w:val="auto"/>
                <w:szCs w:val="21"/>
                <w:highlight w:val="none"/>
                <w:lang w:eastAsia="zh-CN"/>
              </w:rPr>
              <w:t>北流市大伦镇</w:t>
            </w:r>
          </w:p>
          <w:p>
            <w:pPr>
              <w:spacing w:line="360" w:lineRule="exact"/>
              <w:rPr>
                <w:color w:val="auto"/>
                <w:szCs w:val="21"/>
                <w:highlight w:val="non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94" w:hRule="exact"/>
          <w:jc w:val="center"/>
        </w:trPr>
        <w:tc>
          <w:tcPr>
            <w:tcW w:w="729" w:type="dxa"/>
            <w:vAlign w:val="center"/>
          </w:tcPr>
          <w:p>
            <w:pPr>
              <w:jc w:val="center"/>
              <w:rPr>
                <w:color w:val="auto"/>
                <w:szCs w:val="21"/>
                <w:highlight w:val="none"/>
              </w:rPr>
            </w:pPr>
            <w:r>
              <w:rPr>
                <w:rFonts w:hint="eastAsia"/>
                <w:color w:val="auto"/>
                <w:szCs w:val="21"/>
                <w:highlight w:val="none"/>
              </w:rPr>
              <w:t>2</w:t>
            </w:r>
          </w:p>
        </w:tc>
        <w:tc>
          <w:tcPr>
            <w:tcW w:w="1345" w:type="dxa"/>
            <w:vAlign w:val="center"/>
          </w:tcPr>
          <w:p>
            <w:pPr>
              <w:jc w:val="center"/>
              <w:rPr>
                <w:color w:val="auto"/>
                <w:szCs w:val="21"/>
                <w:highlight w:val="none"/>
              </w:rPr>
            </w:pPr>
            <w:r>
              <w:rPr>
                <w:rFonts w:hint="eastAsia"/>
                <w:color w:val="auto"/>
                <w:szCs w:val="21"/>
                <w:highlight w:val="none"/>
              </w:rPr>
              <w:t>1.1.2.6</w:t>
            </w:r>
          </w:p>
        </w:tc>
        <w:tc>
          <w:tcPr>
            <w:tcW w:w="7565" w:type="dxa"/>
            <w:vAlign w:val="center"/>
          </w:tcPr>
          <w:p>
            <w:pPr>
              <w:spacing w:line="360" w:lineRule="exact"/>
              <w:rPr>
                <w:color w:val="auto"/>
                <w:szCs w:val="21"/>
                <w:highlight w:val="none"/>
              </w:rPr>
            </w:pPr>
            <w:r>
              <w:rPr>
                <w:rFonts w:hint="eastAsia"/>
                <w:color w:val="auto"/>
                <w:szCs w:val="21"/>
                <w:highlight w:val="none"/>
              </w:rPr>
              <w:t>监 理 人：待定</w:t>
            </w:r>
          </w:p>
          <w:p>
            <w:pPr>
              <w:spacing w:line="360" w:lineRule="exact"/>
              <w:rPr>
                <w:color w:val="auto"/>
                <w:szCs w:val="21"/>
                <w:highlight w:val="none"/>
              </w:rPr>
            </w:pPr>
            <w:r>
              <w:rPr>
                <w:rFonts w:hint="eastAsia"/>
                <w:color w:val="auto"/>
                <w:szCs w:val="21"/>
                <w:highlight w:val="none"/>
              </w:rPr>
              <w:t xml:space="preserve">地    址：待定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729" w:type="dxa"/>
            <w:vAlign w:val="center"/>
          </w:tcPr>
          <w:p>
            <w:pPr>
              <w:jc w:val="center"/>
              <w:rPr>
                <w:color w:val="auto"/>
                <w:szCs w:val="21"/>
                <w:highlight w:val="none"/>
              </w:rPr>
            </w:pPr>
            <w:r>
              <w:rPr>
                <w:rFonts w:hint="eastAsia"/>
                <w:color w:val="auto"/>
                <w:szCs w:val="21"/>
                <w:highlight w:val="none"/>
              </w:rPr>
              <w:t>3</w:t>
            </w:r>
          </w:p>
        </w:tc>
        <w:tc>
          <w:tcPr>
            <w:tcW w:w="1345" w:type="dxa"/>
            <w:vAlign w:val="center"/>
          </w:tcPr>
          <w:p>
            <w:pPr>
              <w:jc w:val="center"/>
              <w:rPr>
                <w:color w:val="auto"/>
                <w:szCs w:val="21"/>
                <w:highlight w:val="none"/>
              </w:rPr>
            </w:pPr>
            <w:r>
              <w:rPr>
                <w:rFonts w:hint="eastAsia"/>
                <w:color w:val="auto"/>
                <w:szCs w:val="21"/>
                <w:highlight w:val="none"/>
              </w:rPr>
              <w:t>1.1.4.5</w:t>
            </w:r>
          </w:p>
        </w:tc>
        <w:tc>
          <w:tcPr>
            <w:tcW w:w="7565" w:type="dxa"/>
            <w:vAlign w:val="center"/>
          </w:tcPr>
          <w:p>
            <w:pPr>
              <w:rPr>
                <w:color w:val="auto"/>
                <w:szCs w:val="21"/>
                <w:highlight w:val="none"/>
              </w:rPr>
            </w:pPr>
            <w:r>
              <w:rPr>
                <w:rFonts w:hint="eastAsia"/>
                <w:color w:val="auto"/>
                <w:szCs w:val="21"/>
                <w:highlight w:val="none"/>
              </w:rPr>
              <w:t>缺陷责任期：自实际交工日期起计算</w:t>
            </w:r>
            <w:r>
              <w:rPr>
                <w:rFonts w:hint="eastAsia"/>
                <w:color w:val="auto"/>
                <w:szCs w:val="21"/>
                <w:highlight w:val="none"/>
                <w:u w:val="single"/>
              </w:rPr>
              <w:t xml:space="preserve"> 1 </w:t>
            </w:r>
            <w:r>
              <w:rPr>
                <w:rFonts w:hint="eastAsia"/>
                <w:color w:val="auto"/>
                <w:szCs w:val="21"/>
                <w:highlight w:val="none"/>
              </w:rPr>
              <w:t>年</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73" w:hRule="exact"/>
          <w:jc w:val="center"/>
        </w:trPr>
        <w:tc>
          <w:tcPr>
            <w:tcW w:w="729" w:type="dxa"/>
            <w:vAlign w:val="center"/>
          </w:tcPr>
          <w:p>
            <w:pPr>
              <w:jc w:val="center"/>
              <w:rPr>
                <w:color w:val="auto"/>
                <w:szCs w:val="21"/>
                <w:highlight w:val="none"/>
              </w:rPr>
            </w:pPr>
            <w:r>
              <w:rPr>
                <w:rFonts w:hint="eastAsia"/>
                <w:color w:val="auto"/>
                <w:szCs w:val="21"/>
                <w:highlight w:val="none"/>
              </w:rPr>
              <w:t>4</w:t>
            </w:r>
          </w:p>
        </w:tc>
        <w:tc>
          <w:tcPr>
            <w:tcW w:w="1345" w:type="dxa"/>
            <w:vAlign w:val="center"/>
          </w:tcPr>
          <w:p>
            <w:pPr>
              <w:jc w:val="center"/>
              <w:rPr>
                <w:color w:val="auto"/>
                <w:szCs w:val="21"/>
                <w:highlight w:val="none"/>
              </w:rPr>
            </w:pPr>
            <w:r>
              <w:rPr>
                <w:color w:val="auto"/>
                <w:szCs w:val="21"/>
                <w:highlight w:val="none"/>
              </w:rPr>
              <w:t>1.6.3</w:t>
            </w:r>
          </w:p>
        </w:tc>
        <w:tc>
          <w:tcPr>
            <w:tcW w:w="7565" w:type="dxa"/>
            <w:vAlign w:val="center"/>
          </w:tcPr>
          <w:p>
            <w:pPr>
              <w:rPr>
                <w:color w:val="auto"/>
                <w:szCs w:val="21"/>
                <w:highlight w:val="none"/>
              </w:rPr>
            </w:pPr>
            <w:r>
              <w:rPr>
                <w:color w:val="auto"/>
                <w:szCs w:val="21"/>
                <w:highlight w:val="none"/>
              </w:rPr>
              <w:t>图纸需要修改和补充的，应由监理人取得发包人同意后，在该工程或工程相应部位施工前</w:t>
            </w:r>
            <w:r>
              <w:rPr>
                <w:color w:val="auto"/>
                <w:szCs w:val="21"/>
                <w:highlight w:val="none"/>
                <w:u w:val="single"/>
              </w:rPr>
              <w:t xml:space="preserve">  </w:t>
            </w:r>
            <w:r>
              <w:rPr>
                <w:rFonts w:hint="eastAsia"/>
                <w:color w:val="auto"/>
                <w:szCs w:val="21"/>
                <w:highlight w:val="none"/>
                <w:u w:val="single"/>
              </w:rPr>
              <w:t>10</w:t>
            </w:r>
            <w:r>
              <w:rPr>
                <w:color w:val="auto"/>
                <w:szCs w:val="21"/>
                <w:highlight w:val="none"/>
                <w:u w:val="single"/>
              </w:rPr>
              <w:t xml:space="preserve">  </w:t>
            </w:r>
            <w:r>
              <w:rPr>
                <w:color w:val="auto"/>
                <w:szCs w:val="21"/>
                <w:highlight w:val="none"/>
              </w:rPr>
              <w:t>天签发图纸修改图给承包人</w:t>
            </w:r>
            <w:r>
              <w:rPr>
                <w:rFonts w:hint="eastAsia"/>
                <w:color w:val="auto"/>
                <w:szCs w:val="21"/>
                <w:highlight w:val="none"/>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78" w:hRule="exact"/>
          <w:jc w:val="center"/>
        </w:trPr>
        <w:tc>
          <w:tcPr>
            <w:tcW w:w="729" w:type="dxa"/>
            <w:vAlign w:val="center"/>
          </w:tcPr>
          <w:p>
            <w:pPr>
              <w:jc w:val="center"/>
              <w:rPr>
                <w:color w:val="auto"/>
                <w:szCs w:val="21"/>
                <w:highlight w:val="none"/>
              </w:rPr>
            </w:pPr>
            <w:r>
              <w:rPr>
                <w:rFonts w:hint="eastAsia"/>
                <w:color w:val="auto"/>
                <w:szCs w:val="21"/>
                <w:highlight w:val="none"/>
              </w:rPr>
              <w:t>5</w:t>
            </w:r>
          </w:p>
        </w:tc>
        <w:tc>
          <w:tcPr>
            <w:tcW w:w="1345" w:type="dxa"/>
            <w:vAlign w:val="center"/>
          </w:tcPr>
          <w:p>
            <w:pPr>
              <w:jc w:val="center"/>
              <w:rPr>
                <w:color w:val="auto"/>
                <w:szCs w:val="21"/>
                <w:highlight w:val="none"/>
              </w:rPr>
            </w:pPr>
            <w:r>
              <w:rPr>
                <w:color w:val="auto"/>
                <w:szCs w:val="21"/>
                <w:highlight w:val="none"/>
              </w:rPr>
              <w:t>3.1.1</w:t>
            </w:r>
          </w:p>
        </w:tc>
        <w:tc>
          <w:tcPr>
            <w:tcW w:w="7565" w:type="dxa"/>
            <w:vAlign w:val="center"/>
          </w:tcPr>
          <w:p>
            <w:pPr>
              <w:rPr>
                <w:color w:val="auto"/>
                <w:szCs w:val="21"/>
                <w:highlight w:val="none"/>
              </w:rPr>
            </w:pPr>
            <w:r>
              <w:rPr>
                <w:color w:val="auto"/>
                <w:szCs w:val="21"/>
                <w:highlight w:val="none"/>
              </w:rPr>
              <w:t>监理人在行使下列权力前需要经发包人事先批准：</w:t>
            </w:r>
          </w:p>
          <w:p>
            <w:pPr>
              <w:rPr>
                <w:color w:val="auto"/>
                <w:szCs w:val="21"/>
                <w:highlight w:val="none"/>
              </w:rPr>
            </w:pPr>
            <w:r>
              <w:rPr>
                <w:color w:val="auto"/>
                <w:szCs w:val="21"/>
                <w:highlight w:val="none"/>
              </w:rPr>
              <w:t>（6）</w:t>
            </w:r>
            <w:r>
              <w:rPr>
                <w:rFonts w:hint="eastAsia"/>
                <w:color w:val="auto"/>
                <w:highlight w:val="none"/>
              </w:rPr>
              <w:t>根据第 15.3 款发出的变更指示，变更的工程量和单价需经发包人同意。</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7" w:hRule="exact"/>
          <w:jc w:val="center"/>
        </w:trPr>
        <w:tc>
          <w:tcPr>
            <w:tcW w:w="729" w:type="dxa"/>
            <w:vAlign w:val="center"/>
          </w:tcPr>
          <w:p>
            <w:pPr>
              <w:jc w:val="center"/>
              <w:rPr>
                <w:color w:val="auto"/>
                <w:szCs w:val="21"/>
                <w:highlight w:val="none"/>
              </w:rPr>
            </w:pPr>
            <w:r>
              <w:rPr>
                <w:rFonts w:hint="eastAsia"/>
                <w:color w:val="auto"/>
                <w:szCs w:val="21"/>
                <w:highlight w:val="none"/>
              </w:rPr>
              <w:t>6</w:t>
            </w:r>
          </w:p>
        </w:tc>
        <w:tc>
          <w:tcPr>
            <w:tcW w:w="1345" w:type="dxa"/>
            <w:vAlign w:val="center"/>
          </w:tcPr>
          <w:p>
            <w:pPr>
              <w:jc w:val="center"/>
              <w:rPr>
                <w:color w:val="auto"/>
                <w:szCs w:val="21"/>
                <w:highlight w:val="none"/>
              </w:rPr>
            </w:pPr>
            <w:r>
              <w:rPr>
                <w:rFonts w:hint="eastAsia"/>
                <w:color w:val="auto"/>
                <w:szCs w:val="21"/>
                <w:highlight w:val="none"/>
              </w:rPr>
              <w:t>5.2.1</w:t>
            </w:r>
          </w:p>
        </w:tc>
        <w:tc>
          <w:tcPr>
            <w:tcW w:w="7565" w:type="dxa"/>
            <w:vAlign w:val="center"/>
          </w:tcPr>
          <w:p>
            <w:pPr>
              <w:rPr>
                <w:color w:val="auto"/>
                <w:szCs w:val="21"/>
                <w:highlight w:val="none"/>
              </w:rPr>
            </w:pPr>
            <w:r>
              <w:rPr>
                <w:rFonts w:hint="eastAsia"/>
                <w:color w:val="auto"/>
                <w:szCs w:val="21"/>
                <w:highlight w:val="none"/>
              </w:rPr>
              <w:t>发包人是否提供材料或工程设备：</w:t>
            </w:r>
            <w:r>
              <w:rPr>
                <w:rFonts w:hint="eastAsia"/>
                <w:color w:val="auto"/>
                <w:szCs w:val="21"/>
                <w:highlight w:val="none"/>
                <w:u w:val="single"/>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38" w:hRule="exact"/>
          <w:jc w:val="center"/>
        </w:trPr>
        <w:tc>
          <w:tcPr>
            <w:tcW w:w="729" w:type="dxa"/>
            <w:vAlign w:val="center"/>
          </w:tcPr>
          <w:p>
            <w:pPr>
              <w:jc w:val="center"/>
              <w:rPr>
                <w:color w:val="auto"/>
                <w:szCs w:val="21"/>
                <w:highlight w:val="none"/>
              </w:rPr>
            </w:pPr>
            <w:r>
              <w:rPr>
                <w:rFonts w:hint="eastAsia"/>
                <w:color w:val="auto"/>
                <w:szCs w:val="21"/>
                <w:highlight w:val="none"/>
              </w:rPr>
              <w:t>7</w:t>
            </w:r>
          </w:p>
        </w:tc>
        <w:tc>
          <w:tcPr>
            <w:tcW w:w="1345" w:type="dxa"/>
            <w:vAlign w:val="center"/>
          </w:tcPr>
          <w:p>
            <w:pPr>
              <w:jc w:val="center"/>
              <w:rPr>
                <w:color w:val="auto"/>
                <w:szCs w:val="21"/>
                <w:highlight w:val="none"/>
              </w:rPr>
            </w:pPr>
            <w:r>
              <w:rPr>
                <w:rFonts w:hint="eastAsia"/>
                <w:color w:val="auto"/>
                <w:szCs w:val="21"/>
                <w:highlight w:val="none"/>
              </w:rPr>
              <w:t>6.2</w:t>
            </w:r>
          </w:p>
        </w:tc>
        <w:tc>
          <w:tcPr>
            <w:tcW w:w="7565" w:type="dxa"/>
            <w:vAlign w:val="center"/>
          </w:tcPr>
          <w:p>
            <w:pPr>
              <w:rPr>
                <w:color w:val="auto"/>
                <w:szCs w:val="21"/>
                <w:highlight w:val="none"/>
                <w:u w:val="single"/>
              </w:rPr>
            </w:pPr>
            <w:r>
              <w:rPr>
                <w:rFonts w:hint="eastAsia"/>
                <w:color w:val="auto"/>
                <w:szCs w:val="21"/>
                <w:highlight w:val="none"/>
              </w:rPr>
              <w:t>发包人是否提供施工设备和临时设施：</w:t>
            </w:r>
            <w:r>
              <w:rPr>
                <w:rFonts w:hint="eastAsia"/>
                <w:color w:val="auto"/>
                <w:szCs w:val="21"/>
                <w:highlight w:val="none"/>
                <w:u w:val="single"/>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01" w:hRule="exact"/>
          <w:jc w:val="center"/>
        </w:trPr>
        <w:tc>
          <w:tcPr>
            <w:tcW w:w="729" w:type="dxa"/>
            <w:vAlign w:val="center"/>
          </w:tcPr>
          <w:p>
            <w:pPr>
              <w:jc w:val="center"/>
              <w:rPr>
                <w:color w:val="auto"/>
                <w:szCs w:val="21"/>
                <w:highlight w:val="none"/>
              </w:rPr>
            </w:pPr>
            <w:r>
              <w:rPr>
                <w:rFonts w:hint="eastAsia"/>
                <w:color w:val="auto"/>
                <w:szCs w:val="21"/>
                <w:highlight w:val="none"/>
              </w:rPr>
              <w:t>8</w:t>
            </w:r>
          </w:p>
        </w:tc>
        <w:tc>
          <w:tcPr>
            <w:tcW w:w="1345" w:type="dxa"/>
            <w:vAlign w:val="center"/>
          </w:tcPr>
          <w:p>
            <w:pPr>
              <w:jc w:val="center"/>
              <w:rPr>
                <w:color w:val="auto"/>
                <w:szCs w:val="21"/>
                <w:highlight w:val="none"/>
              </w:rPr>
            </w:pPr>
            <w:r>
              <w:rPr>
                <w:color w:val="auto"/>
                <w:szCs w:val="21"/>
                <w:highlight w:val="none"/>
              </w:rPr>
              <w:t>8.1.1</w:t>
            </w:r>
          </w:p>
        </w:tc>
        <w:tc>
          <w:tcPr>
            <w:tcW w:w="7565" w:type="dxa"/>
            <w:vAlign w:val="center"/>
          </w:tcPr>
          <w:p>
            <w:pPr>
              <w:rPr>
                <w:color w:val="auto"/>
                <w:szCs w:val="21"/>
                <w:highlight w:val="none"/>
                <w:u w:val="single"/>
              </w:rPr>
            </w:pPr>
            <w:r>
              <w:rPr>
                <w:color w:val="auto"/>
                <w:szCs w:val="21"/>
                <w:highlight w:val="none"/>
              </w:rPr>
              <w:t>发包人提供测量基准点、基准线和水准点及其书面资料的期限：</w:t>
            </w:r>
            <w:r>
              <w:rPr>
                <w:rFonts w:hint="eastAsia"/>
                <w:color w:val="auto"/>
                <w:szCs w:val="21"/>
                <w:highlight w:val="none"/>
                <w:u w:val="single"/>
              </w:rPr>
              <w:t xml:space="preserve">   10天  </w:t>
            </w:r>
          </w:p>
          <w:p>
            <w:pPr>
              <w:rPr>
                <w:color w:val="auto"/>
                <w:szCs w:val="21"/>
                <w:highlight w:val="none"/>
                <w:u w:val="single"/>
              </w:rPr>
            </w:pPr>
            <w:r>
              <w:rPr>
                <w:color w:val="auto"/>
                <w:szCs w:val="21"/>
                <w:highlight w:val="none"/>
              </w:rPr>
              <w:t>承包人将施工控制网资料报送监理人审批的期限：</w:t>
            </w:r>
            <w:r>
              <w:rPr>
                <w:rFonts w:hint="eastAsia"/>
                <w:color w:val="auto"/>
                <w:szCs w:val="21"/>
                <w:highlight w:val="none"/>
                <w:u w:val="single"/>
              </w:rPr>
              <w:t xml:space="preserve">   10天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15" w:hRule="exact"/>
          <w:jc w:val="center"/>
        </w:trPr>
        <w:tc>
          <w:tcPr>
            <w:tcW w:w="729" w:type="dxa"/>
            <w:vAlign w:val="center"/>
          </w:tcPr>
          <w:p>
            <w:pPr>
              <w:jc w:val="center"/>
              <w:rPr>
                <w:color w:val="auto"/>
                <w:szCs w:val="21"/>
                <w:highlight w:val="none"/>
              </w:rPr>
            </w:pPr>
            <w:r>
              <w:rPr>
                <w:rFonts w:hint="eastAsia"/>
                <w:color w:val="auto"/>
                <w:szCs w:val="21"/>
                <w:highlight w:val="none"/>
              </w:rPr>
              <w:t>9</w:t>
            </w:r>
          </w:p>
        </w:tc>
        <w:tc>
          <w:tcPr>
            <w:tcW w:w="1345" w:type="dxa"/>
            <w:vAlign w:val="center"/>
          </w:tcPr>
          <w:p>
            <w:pPr>
              <w:jc w:val="center"/>
              <w:rPr>
                <w:color w:val="auto"/>
                <w:szCs w:val="21"/>
                <w:highlight w:val="none"/>
              </w:rPr>
            </w:pPr>
            <w:r>
              <w:rPr>
                <w:rFonts w:hint="eastAsia"/>
                <w:color w:val="auto"/>
                <w:szCs w:val="21"/>
                <w:highlight w:val="none"/>
              </w:rPr>
              <w:t>11.5（3）</w:t>
            </w:r>
          </w:p>
        </w:tc>
        <w:tc>
          <w:tcPr>
            <w:tcW w:w="7565" w:type="dxa"/>
            <w:vAlign w:val="center"/>
          </w:tcPr>
          <w:p>
            <w:pPr>
              <w:rPr>
                <w:color w:val="auto"/>
                <w:szCs w:val="21"/>
                <w:highlight w:val="none"/>
              </w:rPr>
            </w:pPr>
            <w:r>
              <w:rPr>
                <w:rFonts w:hint="eastAsia"/>
                <w:color w:val="auto"/>
                <w:szCs w:val="21"/>
                <w:highlight w:val="none"/>
              </w:rPr>
              <w:t>逾期交工违约金：</w:t>
            </w:r>
            <w:r>
              <w:rPr>
                <w:rFonts w:hint="eastAsia"/>
                <w:color w:val="auto"/>
                <w:szCs w:val="21"/>
                <w:highlight w:val="none"/>
                <w:u w:val="single"/>
              </w:rPr>
              <w:t xml:space="preserve"> 500 </w:t>
            </w:r>
            <w:r>
              <w:rPr>
                <w:rFonts w:hint="eastAsia"/>
                <w:color w:val="auto"/>
                <w:szCs w:val="21"/>
                <w:highlight w:val="none"/>
              </w:rPr>
              <w:t>元/天</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91" w:hRule="exact"/>
          <w:jc w:val="center"/>
        </w:trPr>
        <w:tc>
          <w:tcPr>
            <w:tcW w:w="729" w:type="dxa"/>
            <w:vAlign w:val="center"/>
          </w:tcPr>
          <w:p>
            <w:pPr>
              <w:jc w:val="center"/>
              <w:rPr>
                <w:color w:val="auto"/>
                <w:szCs w:val="21"/>
                <w:highlight w:val="none"/>
              </w:rPr>
            </w:pPr>
            <w:r>
              <w:rPr>
                <w:rFonts w:hint="eastAsia"/>
                <w:color w:val="auto"/>
                <w:szCs w:val="21"/>
                <w:highlight w:val="none"/>
              </w:rPr>
              <w:t>10</w:t>
            </w:r>
          </w:p>
        </w:tc>
        <w:tc>
          <w:tcPr>
            <w:tcW w:w="1345" w:type="dxa"/>
            <w:vAlign w:val="center"/>
          </w:tcPr>
          <w:p>
            <w:pPr>
              <w:jc w:val="center"/>
              <w:rPr>
                <w:color w:val="auto"/>
                <w:szCs w:val="21"/>
                <w:highlight w:val="none"/>
              </w:rPr>
            </w:pPr>
            <w:r>
              <w:rPr>
                <w:rFonts w:hint="eastAsia"/>
                <w:color w:val="auto"/>
                <w:szCs w:val="21"/>
                <w:highlight w:val="none"/>
              </w:rPr>
              <w:t>11.5（3）</w:t>
            </w:r>
          </w:p>
        </w:tc>
        <w:tc>
          <w:tcPr>
            <w:tcW w:w="7565" w:type="dxa"/>
            <w:vAlign w:val="center"/>
          </w:tcPr>
          <w:p>
            <w:pPr>
              <w:rPr>
                <w:color w:val="auto"/>
                <w:szCs w:val="21"/>
                <w:highlight w:val="none"/>
              </w:rPr>
            </w:pPr>
            <w:r>
              <w:rPr>
                <w:rFonts w:hint="eastAsia"/>
                <w:color w:val="auto"/>
                <w:szCs w:val="21"/>
                <w:highlight w:val="none"/>
              </w:rPr>
              <w:t>逾期交工违约金限额：</w:t>
            </w:r>
            <w:r>
              <w:rPr>
                <w:rFonts w:hint="eastAsia"/>
                <w:color w:val="auto"/>
                <w:szCs w:val="21"/>
                <w:highlight w:val="none"/>
                <w:u w:val="single"/>
              </w:rPr>
              <w:t xml:space="preserve"> 10 </w:t>
            </w:r>
            <w:r>
              <w:rPr>
                <w:rFonts w:hint="eastAsia"/>
                <w:color w:val="auto"/>
                <w:szCs w:val="21"/>
                <w:highlight w:val="none"/>
              </w:rPr>
              <w:t>%签约合同价</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15" w:hRule="exact"/>
          <w:jc w:val="center"/>
        </w:trPr>
        <w:tc>
          <w:tcPr>
            <w:tcW w:w="729" w:type="dxa"/>
            <w:vAlign w:val="center"/>
          </w:tcPr>
          <w:p>
            <w:pPr>
              <w:jc w:val="center"/>
              <w:rPr>
                <w:color w:val="auto"/>
                <w:szCs w:val="21"/>
                <w:highlight w:val="none"/>
              </w:rPr>
            </w:pPr>
            <w:r>
              <w:rPr>
                <w:rFonts w:hint="eastAsia"/>
                <w:color w:val="auto"/>
                <w:szCs w:val="21"/>
                <w:highlight w:val="none"/>
              </w:rPr>
              <w:t>11</w:t>
            </w:r>
          </w:p>
        </w:tc>
        <w:tc>
          <w:tcPr>
            <w:tcW w:w="1345" w:type="dxa"/>
            <w:vAlign w:val="center"/>
          </w:tcPr>
          <w:p>
            <w:pPr>
              <w:jc w:val="center"/>
              <w:rPr>
                <w:color w:val="auto"/>
                <w:szCs w:val="21"/>
                <w:highlight w:val="none"/>
              </w:rPr>
            </w:pPr>
            <w:r>
              <w:rPr>
                <w:rFonts w:hint="eastAsia"/>
                <w:color w:val="auto"/>
                <w:szCs w:val="21"/>
                <w:highlight w:val="none"/>
              </w:rPr>
              <w:t>11.6</w:t>
            </w:r>
          </w:p>
        </w:tc>
        <w:tc>
          <w:tcPr>
            <w:tcW w:w="7565" w:type="dxa"/>
            <w:vAlign w:val="center"/>
          </w:tcPr>
          <w:p>
            <w:pPr>
              <w:rPr>
                <w:color w:val="auto"/>
                <w:szCs w:val="21"/>
                <w:highlight w:val="none"/>
              </w:rPr>
            </w:pPr>
            <w:r>
              <w:rPr>
                <w:color w:val="auto"/>
                <w:szCs w:val="21"/>
                <w:highlight w:val="none"/>
              </w:rPr>
              <w:t>提前交工的奖金：</w:t>
            </w:r>
            <w:r>
              <w:rPr>
                <w:color w:val="auto"/>
                <w:szCs w:val="21"/>
                <w:highlight w:val="none"/>
                <w:u w:val="single"/>
              </w:rPr>
              <w:t xml:space="preserve">   </w:t>
            </w:r>
            <w:r>
              <w:rPr>
                <w:rFonts w:hint="eastAsia"/>
                <w:color w:val="auto"/>
                <w:szCs w:val="21"/>
                <w:highlight w:val="none"/>
                <w:u w:val="single"/>
              </w:rPr>
              <w:t>/</w:t>
            </w:r>
            <w:r>
              <w:rPr>
                <w:color w:val="auto"/>
                <w:szCs w:val="21"/>
                <w:highlight w:val="none"/>
                <w:u w:val="single"/>
              </w:rPr>
              <w:t xml:space="preserve">   </w:t>
            </w:r>
            <w:r>
              <w:rPr>
                <w:color w:val="auto"/>
                <w:szCs w:val="21"/>
                <w:highlight w:val="none"/>
              </w:rPr>
              <w:t>元/天</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729" w:type="dxa"/>
            <w:vAlign w:val="center"/>
          </w:tcPr>
          <w:p>
            <w:pPr>
              <w:jc w:val="center"/>
              <w:rPr>
                <w:color w:val="auto"/>
                <w:szCs w:val="21"/>
                <w:highlight w:val="none"/>
              </w:rPr>
            </w:pPr>
            <w:r>
              <w:rPr>
                <w:rFonts w:hint="eastAsia"/>
                <w:color w:val="auto"/>
                <w:szCs w:val="21"/>
                <w:highlight w:val="none"/>
              </w:rPr>
              <w:t>12</w:t>
            </w:r>
          </w:p>
        </w:tc>
        <w:tc>
          <w:tcPr>
            <w:tcW w:w="1345" w:type="dxa"/>
            <w:vAlign w:val="center"/>
          </w:tcPr>
          <w:p>
            <w:pPr>
              <w:jc w:val="center"/>
              <w:rPr>
                <w:color w:val="auto"/>
                <w:szCs w:val="21"/>
                <w:highlight w:val="none"/>
              </w:rPr>
            </w:pPr>
            <w:r>
              <w:rPr>
                <w:rFonts w:hint="eastAsia"/>
                <w:color w:val="auto"/>
                <w:szCs w:val="21"/>
                <w:highlight w:val="none"/>
              </w:rPr>
              <w:t>11.6</w:t>
            </w:r>
          </w:p>
        </w:tc>
        <w:tc>
          <w:tcPr>
            <w:tcW w:w="7565" w:type="dxa"/>
            <w:vAlign w:val="center"/>
          </w:tcPr>
          <w:p>
            <w:pPr>
              <w:rPr>
                <w:color w:val="auto"/>
                <w:szCs w:val="21"/>
                <w:highlight w:val="none"/>
              </w:rPr>
            </w:pPr>
            <w:r>
              <w:rPr>
                <w:color w:val="auto"/>
                <w:szCs w:val="21"/>
                <w:highlight w:val="none"/>
              </w:rPr>
              <w:t>提前交工的奖金限额：</w:t>
            </w:r>
            <w:r>
              <w:rPr>
                <w:color w:val="auto"/>
                <w:szCs w:val="21"/>
                <w:highlight w:val="none"/>
                <w:u w:val="single"/>
              </w:rPr>
              <w:t xml:space="preserve">     </w:t>
            </w:r>
            <w:r>
              <w:rPr>
                <w:rFonts w:hint="eastAsia"/>
                <w:color w:val="auto"/>
                <w:szCs w:val="21"/>
                <w:highlight w:val="none"/>
                <w:u w:val="single"/>
              </w:rPr>
              <w:t>/</w:t>
            </w:r>
            <w:r>
              <w:rPr>
                <w:color w:val="auto"/>
                <w:szCs w:val="21"/>
                <w:highlight w:val="none"/>
                <w:u w:val="single"/>
              </w:rPr>
              <w:t xml:space="preserve">   </w:t>
            </w:r>
            <w:r>
              <w:rPr>
                <w:color w:val="auto"/>
                <w:szCs w:val="21"/>
                <w:highlight w:val="none"/>
              </w:rPr>
              <w:t>%签约合同价</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43" w:hRule="exact"/>
          <w:jc w:val="center"/>
        </w:trPr>
        <w:tc>
          <w:tcPr>
            <w:tcW w:w="729" w:type="dxa"/>
            <w:vAlign w:val="center"/>
          </w:tcPr>
          <w:p>
            <w:pPr>
              <w:jc w:val="center"/>
              <w:rPr>
                <w:color w:val="auto"/>
                <w:szCs w:val="21"/>
                <w:highlight w:val="none"/>
              </w:rPr>
            </w:pPr>
            <w:r>
              <w:rPr>
                <w:rFonts w:hint="eastAsia"/>
                <w:color w:val="auto"/>
                <w:szCs w:val="21"/>
                <w:highlight w:val="none"/>
              </w:rPr>
              <w:t>13</w:t>
            </w:r>
          </w:p>
        </w:tc>
        <w:tc>
          <w:tcPr>
            <w:tcW w:w="1345" w:type="dxa"/>
            <w:vAlign w:val="center"/>
          </w:tcPr>
          <w:p>
            <w:pPr>
              <w:jc w:val="center"/>
              <w:rPr>
                <w:color w:val="auto"/>
                <w:szCs w:val="21"/>
                <w:highlight w:val="none"/>
              </w:rPr>
            </w:pPr>
            <w:r>
              <w:rPr>
                <w:rFonts w:hint="eastAsia"/>
                <w:color w:val="auto"/>
                <w:szCs w:val="21"/>
                <w:highlight w:val="none"/>
              </w:rPr>
              <w:t>15.5.5</w:t>
            </w:r>
          </w:p>
        </w:tc>
        <w:tc>
          <w:tcPr>
            <w:tcW w:w="7565" w:type="dxa"/>
            <w:vAlign w:val="center"/>
          </w:tcPr>
          <w:p>
            <w:pPr>
              <w:spacing w:line="400" w:lineRule="exact"/>
              <w:rPr>
                <w:color w:val="auto"/>
                <w:szCs w:val="21"/>
                <w:highlight w:val="none"/>
              </w:rPr>
            </w:pPr>
            <w:r>
              <w:rPr>
                <w:color w:val="auto"/>
                <w:szCs w:val="21"/>
                <w:highlight w:val="none"/>
              </w:rPr>
              <w:t>承包人提出的合理化建议降低了合同价格或者提高了工程经济效益的，发包人按所节约成本的</w:t>
            </w:r>
            <w:r>
              <w:rPr>
                <w:color w:val="auto"/>
                <w:szCs w:val="21"/>
                <w:highlight w:val="none"/>
                <w:u w:val="single"/>
              </w:rPr>
              <w:t xml:space="preserve">     </w:t>
            </w:r>
            <w:r>
              <w:rPr>
                <w:rFonts w:hint="eastAsia"/>
                <w:color w:val="auto"/>
                <w:szCs w:val="21"/>
                <w:highlight w:val="none"/>
                <w:u w:val="single"/>
              </w:rPr>
              <w:t>/</w:t>
            </w:r>
            <w:r>
              <w:rPr>
                <w:color w:val="auto"/>
                <w:szCs w:val="21"/>
                <w:highlight w:val="none"/>
                <w:u w:val="single"/>
              </w:rPr>
              <w:t xml:space="preserve">   </w:t>
            </w:r>
            <w:r>
              <w:rPr>
                <w:color w:val="auto"/>
                <w:szCs w:val="21"/>
                <w:highlight w:val="none"/>
              </w:rPr>
              <w:t>%或增加收益的</w:t>
            </w:r>
            <w:r>
              <w:rPr>
                <w:color w:val="auto"/>
                <w:szCs w:val="21"/>
                <w:highlight w:val="none"/>
                <w:u w:val="single"/>
              </w:rPr>
              <w:t xml:space="preserve">     </w:t>
            </w:r>
            <w:r>
              <w:rPr>
                <w:rFonts w:hint="eastAsia"/>
                <w:color w:val="auto"/>
                <w:szCs w:val="21"/>
                <w:highlight w:val="none"/>
                <w:u w:val="single"/>
              </w:rPr>
              <w:t>/</w:t>
            </w:r>
            <w:r>
              <w:rPr>
                <w:color w:val="auto"/>
                <w:szCs w:val="21"/>
                <w:highlight w:val="none"/>
                <w:u w:val="single"/>
              </w:rPr>
              <w:t xml:space="preserve">   </w:t>
            </w:r>
            <w:r>
              <w:rPr>
                <w:color w:val="auto"/>
                <w:szCs w:val="21"/>
                <w:highlight w:val="none"/>
              </w:rPr>
              <w:t>%给予奖励</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5" w:hRule="exact"/>
          <w:jc w:val="center"/>
        </w:trPr>
        <w:tc>
          <w:tcPr>
            <w:tcW w:w="729" w:type="dxa"/>
            <w:vAlign w:val="center"/>
          </w:tcPr>
          <w:p>
            <w:pPr>
              <w:jc w:val="center"/>
              <w:rPr>
                <w:color w:val="auto"/>
                <w:szCs w:val="21"/>
                <w:highlight w:val="none"/>
              </w:rPr>
            </w:pPr>
            <w:r>
              <w:rPr>
                <w:rFonts w:hint="eastAsia"/>
                <w:color w:val="auto"/>
                <w:szCs w:val="21"/>
                <w:highlight w:val="none"/>
              </w:rPr>
              <w:t>14</w:t>
            </w:r>
          </w:p>
        </w:tc>
        <w:tc>
          <w:tcPr>
            <w:tcW w:w="1345" w:type="dxa"/>
            <w:vAlign w:val="center"/>
          </w:tcPr>
          <w:p>
            <w:pPr>
              <w:jc w:val="center"/>
              <w:rPr>
                <w:color w:val="auto"/>
                <w:szCs w:val="21"/>
                <w:highlight w:val="none"/>
              </w:rPr>
            </w:pPr>
            <w:r>
              <w:rPr>
                <w:rFonts w:hint="eastAsia"/>
                <w:color w:val="auto"/>
                <w:szCs w:val="21"/>
                <w:highlight w:val="none"/>
              </w:rPr>
              <w:t>16.1</w:t>
            </w:r>
          </w:p>
        </w:tc>
        <w:tc>
          <w:tcPr>
            <w:tcW w:w="7565" w:type="dxa"/>
            <w:vAlign w:val="center"/>
          </w:tcPr>
          <w:p>
            <w:pPr>
              <w:spacing w:line="400" w:lineRule="exact"/>
              <w:rPr>
                <w:color w:val="auto"/>
                <w:szCs w:val="21"/>
                <w:highlight w:val="none"/>
              </w:rPr>
            </w:pPr>
            <w:r>
              <w:rPr>
                <w:color w:val="auto"/>
                <w:szCs w:val="21"/>
                <w:highlight w:val="none"/>
              </w:rPr>
              <w:t>合同期内不调价</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729" w:type="dxa"/>
            <w:vAlign w:val="center"/>
          </w:tcPr>
          <w:p>
            <w:pPr>
              <w:jc w:val="center"/>
              <w:rPr>
                <w:color w:val="auto"/>
                <w:szCs w:val="21"/>
                <w:highlight w:val="none"/>
              </w:rPr>
            </w:pPr>
            <w:r>
              <w:rPr>
                <w:rFonts w:hint="eastAsia"/>
                <w:color w:val="auto"/>
                <w:szCs w:val="21"/>
                <w:highlight w:val="none"/>
              </w:rPr>
              <w:t>15</w:t>
            </w:r>
          </w:p>
        </w:tc>
        <w:tc>
          <w:tcPr>
            <w:tcW w:w="1345" w:type="dxa"/>
            <w:vAlign w:val="center"/>
          </w:tcPr>
          <w:p>
            <w:pPr>
              <w:jc w:val="center"/>
              <w:rPr>
                <w:color w:val="auto"/>
                <w:szCs w:val="21"/>
                <w:highlight w:val="none"/>
              </w:rPr>
            </w:pPr>
            <w:r>
              <w:rPr>
                <w:rFonts w:hint="eastAsia"/>
                <w:color w:val="auto"/>
                <w:szCs w:val="21"/>
                <w:highlight w:val="none"/>
              </w:rPr>
              <w:t>17.2.1（1）</w:t>
            </w:r>
          </w:p>
        </w:tc>
        <w:tc>
          <w:tcPr>
            <w:tcW w:w="7565" w:type="dxa"/>
            <w:vAlign w:val="center"/>
          </w:tcPr>
          <w:p>
            <w:pPr>
              <w:rPr>
                <w:color w:val="auto"/>
                <w:szCs w:val="21"/>
                <w:highlight w:val="none"/>
              </w:rPr>
            </w:pPr>
            <w:r>
              <w:rPr>
                <w:rFonts w:hint="eastAsia"/>
                <w:color w:val="auto"/>
                <w:szCs w:val="21"/>
                <w:highlight w:val="none"/>
              </w:rPr>
              <w:t>开工预付款金额：</w:t>
            </w:r>
            <w:r>
              <w:rPr>
                <w:rFonts w:hint="eastAsia"/>
                <w:color w:val="auto"/>
                <w:szCs w:val="21"/>
                <w:highlight w:val="none"/>
                <w:u w:val="single"/>
              </w:rPr>
              <w:t xml:space="preserve"> </w:t>
            </w:r>
            <w:r>
              <w:rPr>
                <w:rFonts w:hint="eastAsia"/>
                <w:color w:val="auto"/>
                <w:szCs w:val="21"/>
                <w:highlight w:val="none"/>
                <w:u w:val="single"/>
                <w:lang w:val="en-US" w:eastAsia="zh-CN"/>
              </w:rPr>
              <w:t>3</w:t>
            </w:r>
            <w:r>
              <w:rPr>
                <w:rFonts w:hint="eastAsia"/>
                <w:color w:val="auto"/>
                <w:szCs w:val="21"/>
                <w:highlight w:val="none"/>
                <w:u w:val="single"/>
              </w:rPr>
              <w:t xml:space="preserve">0 </w:t>
            </w:r>
            <w:r>
              <w:rPr>
                <w:rFonts w:hint="eastAsia"/>
                <w:color w:val="auto"/>
                <w:szCs w:val="21"/>
                <w:highlight w:val="none"/>
              </w:rPr>
              <w:t>%签约合同价</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07" w:hRule="exact"/>
          <w:jc w:val="center"/>
        </w:trPr>
        <w:tc>
          <w:tcPr>
            <w:tcW w:w="729" w:type="dxa"/>
            <w:vAlign w:val="center"/>
          </w:tcPr>
          <w:p>
            <w:pPr>
              <w:jc w:val="center"/>
              <w:rPr>
                <w:color w:val="auto"/>
                <w:szCs w:val="21"/>
                <w:highlight w:val="none"/>
              </w:rPr>
            </w:pPr>
            <w:r>
              <w:rPr>
                <w:rFonts w:hint="eastAsia"/>
                <w:color w:val="auto"/>
                <w:szCs w:val="21"/>
                <w:highlight w:val="none"/>
              </w:rPr>
              <w:t>16</w:t>
            </w:r>
          </w:p>
        </w:tc>
        <w:tc>
          <w:tcPr>
            <w:tcW w:w="1345" w:type="dxa"/>
            <w:vAlign w:val="center"/>
          </w:tcPr>
          <w:p>
            <w:pPr>
              <w:jc w:val="center"/>
              <w:rPr>
                <w:color w:val="auto"/>
                <w:szCs w:val="21"/>
                <w:highlight w:val="none"/>
              </w:rPr>
            </w:pPr>
            <w:r>
              <w:rPr>
                <w:rFonts w:hint="eastAsia"/>
                <w:color w:val="auto"/>
                <w:szCs w:val="21"/>
                <w:highlight w:val="none"/>
              </w:rPr>
              <w:t>17.2.1（2）</w:t>
            </w:r>
          </w:p>
        </w:tc>
        <w:tc>
          <w:tcPr>
            <w:tcW w:w="7565" w:type="dxa"/>
            <w:vAlign w:val="center"/>
          </w:tcPr>
          <w:p>
            <w:pPr>
              <w:rPr>
                <w:color w:val="auto"/>
                <w:szCs w:val="21"/>
                <w:highlight w:val="none"/>
              </w:rPr>
            </w:pPr>
            <w:r>
              <w:rPr>
                <w:rFonts w:hint="eastAsia"/>
                <w:color w:val="auto"/>
                <w:szCs w:val="21"/>
                <w:highlight w:val="none"/>
              </w:rPr>
              <w:t>材料、设备预付款比例：</w:t>
            </w:r>
            <w:r>
              <w:rPr>
                <w:rFonts w:hint="eastAsia"/>
                <w:color w:val="auto"/>
                <w:szCs w:val="21"/>
                <w:highlight w:val="none"/>
                <w:u w:val="single"/>
              </w:rPr>
              <w:t xml:space="preserve">  砂、碎石、水泥 </w:t>
            </w:r>
            <w:r>
              <w:rPr>
                <w:rFonts w:hint="eastAsia"/>
                <w:color w:val="auto"/>
                <w:szCs w:val="21"/>
                <w:highlight w:val="none"/>
              </w:rPr>
              <w:t>等主要材料、设备单据所列费用的</w:t>
            </w:r>
            <w:r>
              <w:rPr>
                <w:rFonts w:hint="eastAsia"/>
                <w:color w:val="auto"/>
                <w:szCs w:val="21"/>
                <w:highlight w:val="none"/>
                <w:u w:val="single"/>
              </w:rPr>
              <w:t xml:space="preserve"> 70</w:t>
            </w:r>
            <w:r>
              <w:rPr>
                <w:rFonts w:hint="eastAsia"/>
                <w:color w:val="auto"/>
                <w:szCs w:val="21"/>
                <w:highlight w:val="none"/>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82" w:hRule="exact"/>
          <w:jc w:val="center"/>
        </w:trPr>
        <w:tc>
          <w:tcPr>
            <w:tcW w:w="729" w:type="dxa"/>
            <w:vAlign w:val="center"/>
          </w:tcPr>
          <w:p>
            <w:pPr>
              <w:jc w:val="center"/>
              <w:rPr>
                <w:color w:val="auto"/>
                <w:szCs w:val="21"/>
                <w:highlight w:val="none"/>
              </w:rPr>
            </w:pPr>
            <w:r>
              <w:rPr>
                <w:rFonts w:hint="eastAsia"/>
                <w:color w:val="auto"/>
                <w:szCs w:val="21"/>
                <w:highlight w:val="none"/>
              </w:rPr>
              <w:t>17</w:t>
            </w:r>
          </w:p>
        </w:tc>
        <w:tc>
          <w:tcPr>
            <w:tcW w:w="1345" w:type="dxa"/>
            <w:vAlign w:val="center"/>
          </w:tcPr>
          <w:p>
            <w:pPr>
              <w:jc w:val="center"/>
              <w:rPr>
                <w:color w:val="auto"/>
                <w:szCs w:val="21"/>
                <w:highlight w:val="none"/>
              </w:rPr>
            </w:pPr>
            <w:r>
              <w:rPr>
                <w:rFonts w:hint="eastAsia"/>
                <w:color w:val="auto"/>
                <w:szCs w:val="21"/>
                <w:highlight w:val="none"/>
              </w:rPr>
              <w:t>17.3.2</w:t>
            </w:r>
          </w:p>
        </w:tc>
        <w:tc>
          <w:tcPr>
            <w:tcW w:w="7565" w:type="dxa"/>
            <w:vAlign w:val="center"/>
          </w:tcPr>
          <w:p>
            <w:pPr>
              <w:rPr>
                <w:color w:val="auto"/>
                <w:szCs w:val="21"/>
                <w:highlight w:val="none"/>
              </w:rPr>
            </w:pPr>
            <w:r>
              <w:rPr>
                <w:rFonts w:hint="eastAsia"/>
                <w:color w:val="auto"/>
                <w:szCs w:val="21"/>
                <w:highlight w:val="none"/>
              </w:rPr>
              <w:t>承包人在每个付款周期末向监理人提交进度付款申请单的份数：</w:t>
            </w:r>
            <w:r>
              <w:rPr>
                <w:rFonts w:hint="eastAsia"/>
                <w:color w:val="auto"/>
                <w:szCs w:val="21"/>
                <w:highlight w:val="none"/>
                <w:u w:val="single"/>
              </w:rPr>
              <w:t xml:space="preserve"> 4 </w:t>
            </w:r>
            <w:r>
              <w:rPr>
                <w:rFonts w:hint="eastAsia"/>
                <w:color w:val="auto"/>
                <w:szCs w:val="21"/>
                <w:highlight w:val="none"/>
              </w:rPr>
              <w:t>份</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06" w:hRule="exact"/>
          <w:jc w:val="center"/>
        </w:trPr>
        <w:tc>
          <w:tcPr>
            <w:tcW w:w="729" w:type="dxa"/>
            <w:vAlign w:val="center"/>
          </w:tcPr>
          <w:p>
            <w:pPr>
              <w:jc w:val="center"/>
              <w:rPr>
                <w:color w:val="auto"/>
                <w:szCs w:val="21"/>
                <w:highlight w:val="none"/>
              </w:rPr>
            </w:pPr>
            <w:r>
              <w:rPr>
                <w:rFonts w:hint="eastAsia"/>
                <w:color w:val="auto"/>
                <w:szCs w:val="21"/>
                <w:highlight w:val="none"/>
              </w:rPr>
              <w:t>18</w:t>
            </w:r>
          </w:p>
        </w:tc>
        <w:tc>
          <w:tcPr>
            <w:tcW w:w="1345" w:type="dxa"/>
            <w:vAlign w:val="center"/>
          </w:tcPr>
          <w:p>
            <w:pPr>
              <w:jc w:val="center"/>
              <w:rPr>
                <w:color w:val="auto"/>
                <w:szCs w:val="21"/>
                <w:highlight w:val="none"/>
              </w:rPr>
            </w:pPr>
            <w:r>
              <w:rPr>
                <w:rFonts w:hint="eastAsia"/>
                <w:color w:val="auto"/>
                <w:szCs w:val="21"/>
                <w:highlight w:val="none"/>
              </w:rPr>
              <w:t>17.3.3（1）</w:t>
            </w:r>
          </w:p>
        </w:tc>
        <w:tc>
          <w:tcPr>
            <w:tcW w:w="7565" w:type="dxa"/>
            <w:vAlign w:val="center"/>
          </w:tcPr>
          <w:p>
            <w:pPr>
              <w:rPr>
                <w:rFonts w:hint="default" w:eastAsia="宋体"/>
                <w:color w:val="auto"/>
                <w:szCs w:val="21"/>
                <w:highlight w:val="none"/>
                <w:u w:val="none"/>
                <w:lang w:val="en-US" w:eastAsia="zh-CN"/>
              </w:rPr>
            </w:pPr>
            <w:r>
              <w:rPr>
                <w:color w:val="auto"/>
                <w:szCs w:val="21"/>
                <w:highlight w:val="none"/>
              </w:rPr>
              <w:t>进度付款证书最低限额</w:t>
            </w:r>
            <w:r>
              <w:rPr>
                <w:rFonts w:hint="eastAsia"/>
                <w:color w:val="auto"/>
                <w:szCs w:val="21"/>
                <w:highlight w:val="none"/>
              </w:rPr>
              <w:t>：</w:t>
            </w:r>
            <w:r>
              <w:rPr>
                <w:rFonts w:hint="eastAsia"/>
                <w:color w:val="auto"/>
                <w:szCs w:val="21"/>
                <w:highlight w:val="none"/>
                <w:u w:val="single"/>
                <w:lang w:val="en-US" w:eastAsia="zh-CN"/>
              </w:rPr>
              <w:t xml:space="preserve">  25  </w:t>
            </w:r>
            <w:r>
              <w:rPr>
                <w:rFonts w:hint="eastAsia"/>
                <w:color w:val="auto"/>
                <w:szCs w:val="21"/>
                <w:highlight w:val="none"/>
                <w:u w:val="none"/>
                <w:lang w:val="en-US" w:eastAsia="zh-CN"/>
              </w:rPr>
              <w:t>%签约合同价或</w:t>
            </w:r>
            <w:r>
              <w:rPr>
                <w:rFonts w:hint="eastAsia"/>
                <w:color w:val="auto"/>
                <w:szCs w:val="21"/>
                <w:highlight w:val="none"/>
                <w:u w:val="single"/>
                <w:lang w:val="en-US" w:eastAsia="zh-CN"/>
              </w:rPr>
              <w:t xml:space="preserve">  /  </w:t>
            </w:r>
            <w:r>
              <w:rPr>
                <w:rFonts w:hint="eastAsia"/>
                <w:color w:val="auto"/>
                <w:szCs w:val="21"/>
                <w:highlight w:val="none"/>
                <w:u w:val="none"/>
                <w:lang w:val="en-US" w:eastAsia="zh-CN"/>
              </w:rPr>
              <w:t>万元</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24" w:hRule="exact"/>
          <w:jc w:val="center"/>
        </w:trPr>
        <w:tc>
          <w:tcPr>
            <w:tcW w:w="729" w:type="dxa"/>
            <w:vAlign w:val="center"/>
          </w:tcPr>
          <w:p>
            <w:pPr>
              <w:jc w:val="center"/>
              <w:rPr>
                <w:color w:val="auto"/>
                <w:szCs w:val="21"/>
                <w:highlight w:val="none"/>
              </w:rPr>
            </w:pPr>
            <w:r>
              <w:rPr>
                <w:rFonts w:hint="eastAsia"/>
                <w:color w:val="auto"/>
                <w:szCs w:val="21"/>
                <w:highlight w:val="none"/>
              </w:rPr>
              <w:t>19</w:t>
            </w:r>
          </w:p>
        </w:tc>
        <w:tc>
          <w:tcPr>
            <w:tcW w:w="1345" w:type="dxa"/>
            <w:vAlign w:val="center"/>
          </w:tcPr>
          <w:p>
            <w:pPr>
              <w:jc w:val="center"/>
              <w:rPr>
                <w:color w:val="auto"/>
                <w:szCs w:val="21"/>
                <w:highlight w:val="none"/>
              </w:rPr>
            </w:pPr>
            <w:r>
              <w:rPr>
                <w:rFonts w:hint="eastAsia"/>
                <w:color w:val="auto"/>
                <w:szCs w:val="21"/>
                <w:highlight w:val="none"/>
              </w:rPr>
              <w:t>17.3.3（2）</w:t>
            </w:r>
          </w:p>
        </w:tc>
        <w:tc>
          <w:tcPr>
            <w:tcW w:w="7565" w:type="dxa"/>
            <w:vAlign w:val="center"/>
          </w:tcPr>
          <w:p>
            <w:pPr>
              <w:rPr>
                <w:color w:val="auto"/>
                <w:szCs w:val="21"/>
                <w:highlight w:val="none"/>
              </w:rPr>
            </w:pPr>
            <w:r>
              <w:rPr>
                <w:rFonts w:hint="eastAsia"/>
                <w:color w:val="auto"/>
                <w:szCs w:val="21"/>
                <w:highlight w:val="none"/>
              </w:rPr>
              <w:t>逾期付款违约金的利率：</w:t>
            </w:r>
            <w:r>
              <w:rPr>
                <w:color w:val="auto"/>
                <w:szCs w:val="21"/>
                <w:highlight w:val="none"/>
                <w:u w:val="single"/>
              </w:rPr>
              <w:t xml:space="preserve">  </w:t>
            </w:r>
            <w:r>
              <w:rPr>
                <w:rFonts w:hint="eastAsia"/>
                <w:color w:val="auto"/>
                <w:szCs w:val="21"/>
                <w:highlight w:val="none"/>
                <w:u w:val="single"/>
              </w:rPr>
              <w:t xml:space="preserve">银行同期利率  </w:t>
            </w:r>
            <w:r>
              <w:rPr>
                <w:color w:val="auto"/>
                <w:szCs w:val="21"/>
                <w:highlight w:val="none"/>
              </w:rPr>
              <w:t>‰/天</w:t>
            </w:r>
            <w:r>
              <w:rPr>
                <w:rFonts w:hint="eastAsia"/>
                <w:color w:val="auto"/>
                <w:szCs w:val="21"/>
                <w:highlight w:val="none"/>
              </w:rPr>
              <w:t xml:space="preserve">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304" w:hRule="exact"/>
          <w:jc w:val="center"/>
        </w:trPr>
        <w:tc>
          <w:tcPr>
            <w:tcW w:w="729" w:type="dxa"/>
            <w:vAlign w:val="center"/>
          </w:tcPr>
          <w:p>
            <w:pPr>
              <w:jc w:val="center"/>
              <w:rPr>
                <w:color w:val="auto"/>
                <w:szCs w:val="21"/>
                <w:highlight w:val="none"/>
              </w:rPr>
            </w:pPr>
            <w:r>
              <w:rPr>
                <w:rFonts w:hint="eastAsia"/>
                <w:color w:val="auto"/>
                <w:szCs w:val="21"/>
                <w:highlight w:val="none"/>
              </w:rPr>
              <w:t>20</w:t>
            </w:r>
          </w:p>
        </w:tc>
        <w:tc>
          <w:tcPr>
            <w:tcW w:w="1345" w:type="dxa"/>
            <w:vAlign w:val="center"/>
          </w:tcPr>
          <w:p>
            <w:pPr>
              <w:jc w:val="center"/>
              <w:rPr>
                <w:color w:val="auto"/>
                <w:szCs w:val="21"/>
                <w:highlight w:val="none"/>
              </w:rPr>
            </w:pPr>
            <w:r>
              <w:rPr>
                <w:rFonts w:hint="eastAsia"/>
                <w:color w:val="auto"/>
                <w:szCs w:val="21"/>
                <w:highlight w:val="none"/>
              </w:rPr>
              <w:t>17.4.1</w:t>
            </w:r>
          </w:p>
        </w:tc>
        <w:tc>
          <w:tcPr>
            <w:tcW w:w="7565" w:type="dxa"/>
            <w:vAlign w:val="center"/>
          </w:tcPr>
          <w:p>
            <w:pPr>
              <w:rPr>
                <w:color w:val="auto"/>
                <w:szCs w:val="21"/>
                <w:highlight w:val="none"/>
              </w:rPr>
            </w:pPr>
            <w:r>
              <w:rPr>
                <w:color w:val="auto"/>
                <w:szCs w:val="21"/>
                <w:highlight w:val="none"/>
              </w:rPr>
              <w:t>质量保证金金额：</w:t>
            </w:r>
            <w:r>
              <w:rPr>
                <w:color w:val="auto"/>
                <w:szCs w:val="21"/>
                <w:highlight w:val="none"/>
                <w:u w:val="single"/>
              </w:rPr>
              <w:t xml:space="preserve"> </w:t>
            </w:r>
            <w:r>
              <w:rPr>
                <w:rFonts w:hint="eastAsia"/>
                <w:color w:val="auto"/>
                <w:szCs w:val="21"/>
                <w:highlight w:val="none"/>
                <w:u w:val="single"/>
              </w:rPr>
              <w:t>3</w:t>
            </w:r>
            <w:r>
              <w:rPr>
                <w:color w:val="auto"/>
                <w:szCs w:val="21"/>
                <w:highlight w:val="none"/>
                <w:u w:val="single"/>
              </w:rPr>
              <w:t xml:space="preserve"> </w:t>
            </w:r>
            <w:r>
              <w:rPr>
                <w:color w:val="auto"/>
                <w:szCs w:val="21"/>
                <w:highlight w:val="none"/>
              </w:rPr>
              <w:t>%合同价格，若交工验收时承包人具备被招标项目                   所在地省级交通运输主管部门评定的最高信用等级，发包人给予</w:t>
            </w:r>
            <w:r>
              <w:rPr>
                <w:color w:val="auto"/>
                <w:szCs w:val="21"/>
                <w:highlight w:val="none"/>
                <w:u w:val="single"/>
              </w:rPr>
              <w:t xml:space="preserve">   </w:t>
            </w:r>
            <w:r>
              <w:rPr>
                <w:rFonts w:hint="eastAsia"/>
                <w:color w:val="auto"/>
                <w:szCs w:val="21"/>
                <w:highlight w:val="none"/>
                <w:u w:val="single"/>
              </w:rPr>
              <w:t>0</w:t>
            </w:r>
            <w:r>
              <w:rPr>
                <w:color w:val="auto"/>
                <w:szCs w:val="21"/>
                <w:highlight w:val="none"/>
                <w:u w:val="single"/>
              </w:rPr>
              <w:t xml:space="preserve">   </w:t>
            </w:r>
            <w:r>
              <w:rPr>
                <w:color w:val="auto"/>
                <w:szCs w:val="21"/>
                <w:highlight w:val="none"/>
              </w:rPr>
              <w:t>%合同价格质量保证金的优惠。</w:t>
            </w:r>
          </w:p>
          <w:p>
            <w:pPr>
              <w:rPr>
                <w:color w:val="auto"/>
                <w:szCs w:val="21"/>
                <w:highlight w:val="none"/>
              </w:rPr>
            </w:pPr>
            <w:r>
              <w:rPr>
                <w:color w:val="auto"/>
                <w:szCs w:val="21"/>
                <w:highlight w:val="none"/>
              </w:rPr>
              <w:t>质量保证金是否计付利息： 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24" w:hRule="exact"/>
          <w:jc w:val="center"/>
        </w:trPr>
        <w:tc>
          <w:tcPr>
            <w:tcW w:w="729" w:type="dxa"/>
            <w:vAlign w:val="center"/>
          </w:tcPr>
          <w:p>
            <w:pPr>
              <w:jc w:val="center"/>
              <w:rPr>
                <w:color w:val="auto"/>
                <w:szCs w:val="21"/>
                <w:highlight w:val="none"/>
              </w:rPr>
            </w:pPr>
            <w:r>
              <w:rPr>
                <w:rFonts w:hint="eastAsia"/>
                <w:color w:val="auto"/>
                <w:szCs w:val="21"/>
                <w:highlight w:val="none"/>
              </w:rPr>
              <w:t>21</w:t>
            </w:r>
          </w:p>
        </w:tc>
        <w:tc>
          <w:tcPr>
            <w:tcW w:w="1345" w:type="dxa"/>
            <w:vAlign w:val="center"/>
          </w:tcPr>
          <w:p>
            <w:pPr>
              <w:jc w:val="center"/>
              <w:rPr>
                <w:color w:val="auto"/>
                <w:szCs w:val="21"/>
                <w:highlight w:val="none"/>
              </w:rPr>
            </w:pPr>
            <w:r>
              <w:rPr>
                <w:rFonts w:hint="eastAsia"/>
                <w:color w:val="auto"/>
                <w:szCs w:val="21"/>
                <w:highlight w:val="none"/>
              </w:rPr>
              <w:t>17.5.1（1）</w:t>
            </w:r>
          </w:p>
        </w:tc>
        <w:tc>
          <w:tcPr>
            <w:tcW w:w="7565" w:type="dxa"/>
            <w:vAlign w:val="center"/>
          </w:tcPr>
          <w:p>
            <w:pPr>
              <w:rPr>
                <w:color w:val="auto"/>
                <w:szCs w:val="21"/>
                <w:highlight w:val="none"/>
              </w:rPr>
            </w:pPr>
            <w:r>
              <w:rPr>
                <w:rFonts w:hint="eastAsia"/>
                <w:color w:val="auto"/>
                <w:szCs w:val="21"/>
                <w:highlight w:val="none"/>
              </w:rPr>
              <w:t>承包人向监理人提交交工付款申请单（包括相关证明材料）的份数：</w:t>
            </w:r>
            <w:r>
              <w:rPr>
                <w:rFonts w:hint="eastAsia"/>
                <w:color w:val="auto"/>
                <w:szCs w:val="21"/>
                <w:highlight w:val="none"/>
                <w:u w:val="single"/>
              </w:rPr>
              <w:t xml:space="preserve"> 4 </w:t>
            </w:r>
            <w:r>
              <w:rPr>
                <w:rFonts w:hint="eastAsia"/>
                <w:color w:val="auto"/>
                <w:szCs w:val="21"/>
                <w:highlight w:val="none"/>
              </w:rPr>
              <w:t>份</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24" w:hRule="exact"/>
          <w:jc w:val="center"/>
        </w:trPr>
        <w:tc>
          <w:tcPr>
            <w:tcW w:w="729" w:type="dxa"/>
            <w:vAlign w:val="center"/>
          </w:tcPr>
          <w:p>
            <w:pPr>
              <w:jc w:val="center"/>
              <w:rPr>
                <w:color w:val="auto"/>
                <w:szCs w:val="21"/>
                <w:highlight w:val="none"/>
              </w:rPr>
            </w:pPr>
            <w:r>
              <w:rPr>
                <w:rFonts w:hint="eastAsia"/>
                <w:color w:val="auto"/>
                <w:szCs w:val="21"/>
                <w:highlight w:val="none"/>
              </w:rPr>
              <w:t>22</w:t>
            </w:r>
          </w:p>
        </w:tc>
        <w:tc>
          <w:tcPr>
            <w:tcW w:w="1345" w:type="dxa"/>
            <w:vAlign w:val="center"/>
          </w:tcPr>
          <w:p>
            <w:pPr>
              <w:jc w:val="center"/>
              <w:rPr>
                <w:color w:val="auto"/>
                <w:szCs w:val="21"/>
                <w:highlight w:val="none"/>
              </w:rPr>
            </w:pPr>
            <w:r>
              <w:rPr>
                <w:rFonts w:hint="eastAsia"/>
                <w:color w:val="auto"/>
                <w:szCs w:val="21"/>
                <w:highlight w:val="none"/>
              </w:rPr>
              <w:t>17.6.1（1）</w:t>
            </w:r>
          </w:p>
        </w:tc>
        <w:tc>
          <w:tcPr>
            <w:tcW w:w="7565" w:type="dxa"/>
            <w:vAlign w:val="center"/>
          </w:tcPr>
          <w:p>
            <w:pPr>
              <w:rPr>
                <w:color w:val="auto"/>
                <w:szCs w:val="21"/>
                <w:highlight w:val="none"/>
              </w:rPr>
            </w:pPr>
            <w:r>
              <w:rPr>
                <w:rFonts w:hint="eastAsia"/>
                <w:color w:val="auto"/>
                <w:szCs w:val="21"/>
                <w:highlight w:val="none"/>
              </w:rPr>
              <w:t>承包人向监理人提交最终结清申请单（包括相关证明材料）的份数：</w:t>
            </w:r>
            <w:r>
              <w:rPr>
                <w:rFonts w:hint="eastAsia"/>
                <w:color w:val="auto"/>
                <w:szCs w:val="21"/>
                <w:highlight w:val="none"/>
                <w:u w:val="single"/>
              </w:rPr>
              <w:t xml:space="preserve"> 4 </w:t>
            </w:r>
            <w:r>
              <w:rPr>
                <w:rFonts w:hint="eastAsia"/>
                <w:color w:val="auto"/>
                <w:szCs w:val="21"/>
                <w:highlight w:val="none"/>
              </w:rPr>
              <w:t>份</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07" w:hRule="exact"/>
          <w:jc w:val="center"/>
        </w:trPr>
        <w:tc>
          <w:tcPr>
            <w:tcW w:w="729" w:type="dxa"/>
            <w:vAlign w:val="center"/>
          </w:tcPr>
          <w:p>
            <w:pPr>
              <w:jc w:val="center"/>
              <w:rPr>
                <w:color w:val="auto"/>
                <w:szCs w:val="21"/>
                <w:highlight w:val="none"/>
              </w:rPr>
            </w:pPr>
            <w:r>
              <w:rPr>
                <w:rFonts w:hint="eastAsia"/>
                <w:color w:val="auto"/>
                <w:szCs w:val="21"/>
                <w:highlight w:val="none"/>
              </w:rPr>
              <w:t>23</w:t>
            </w:r>
          </w:p>
        </w:tc>
        <w:tc>
          <w:tcPr>
            <w:tcW w:w="1345" w:type="dxa"/>
            <w:vAlign w:val="center"/>
          </w:tcPr>
          <w:p>
            <w:pPr>
              <w:jc w:val="center"/>
              <w:rPr>
                <w:color w:val="auto"/>
                <w:szCs w:val="21"/>
                <w:highlight w:val="none"/>
              </w:rPr>
            </w:pPr>
            <w:r>
              <w:rPr>
                <w:rFonts w:hint="eastAsia"/>
                <w:color w:val="auto"/>
                <w:szCs w:val="21"/>
                <w:highlight w:val="none"/>
              </w:rPr>
              <w:t>18.2（2）</w:t>
            </w:r>
          </w:p>
        </w:tc>
        <w:tc>
          <w:tcPr>
            <w:tcW w:w="7565" w:type="dxa"/>
            <w:vAlign w:val="center"/>
          </w:tcPr>
          <w:p>
            <w:pPr>
              <w:rPr>
                <w:color w:val="auto"/>
                <w:szCs w:val="21"/>
                <w:highlight w:val="none"/>
              </w:rPr>
            </w:pPr>
            <w:r>
              <w:rPr>
                <w:color w:val="auto"/>
                <w:szCs w:val="21"/>
                <w:highlight w:val="none"/>
              </w:rPr>
              <w:t>竣工资料的份数：</w:t>
            </w:r>
            <w:r>
              <w:rPr>
                <w:color w:val="auto"/>
                <w:szCs w:val="21"/>
                <w:highlight w:val="none"/>
                <w:u w:val="single"/>
              </w:rPr>
              <w:t xml:space="preserve">   </w:t>
            </w:r>
            <w:r>
              <w:rPr>
                <w:rFonts w:hint="eastAsia"/>
                <w:color w:val="auto"/>
                <w:szCs w:val="21"/>
                <w:highlight w:val="none"/>
                <w:u w:val="single"/>
              </w:rPr>
              <w:t>5</w:t>
            </w:r>
            <w:r>
              <w:rPr>
                <w:color w:val="auto"/>
                <w:szCs w:val="21"/>
                <w:highlight w:val="none"/>
                <w:u w:val="single"/>
              </w:rPr>
              <w:t xml:space="preserve">  </w:t>
            </w:r>
            <w:r>
              <w:rPr>
                <w:color w:val="auto"/>
                <w:szCs w:val="21"/>
                <w:highlight w:val="none"/>
              </w:rPr>
              <w:t>份</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24" w:hRule="exact"/>
          <w:jc w:val="center"/>
        </w:trPr>
        <w:tc>
          <w:tcPr>
            <w:tcW w:w="729" w:type="dxa"/>
            <w:vAlign w:val="center"/>
          </w:tcPr>
          <w:p>
            <w:pPr>
              <w:jc w:val="center"/>
              <w:rPr>
                <w:color w:val="auto"/>
                <w:szCs w:val="21"/>
                <w:highlight w:val="none"/>
              </w:rPr>
            </w:pPr>
            <w:r>
              <w:rPr>
                <w:rFonts w:hint="eastAsia"/>
                <w:color w:val="auto"/>
                <w:szCs w:val="21"/>
                <w:highlight w:val="none"/>
              </w:rPr>
              <w:t>24</w:t>
            </w:r>
          </w:p>
        </w:tc>
        <w:tc>
          <w:tcPr>
            <w:tcW w:w="1345" w:type="dxa"/>
            <w:vAlign w:val="center"/>
          </w:tcPr>
          <w:p>
            <w:pPr>
              <w:jc w:val="center"/>
              <w:rPr>
                <w:color w:val="auto"/>
                <w:szCs w:val="21"/>
                <w:highlight w:val="none"/>
              </w:rPr>
            </w:pPr>
            <w:r>
              <w:rPr>
                <w:rFonts w:hint="eastAsia"/>
                <w:color w:val="auto"/>
                <w:szCs w:val="21"/>
                <w:highlight w:val="none"/>
              </w:rPr>
              <w:t>18.5.1</w:t>
            </w:r>
          </w:p>
        </w:tc>
        <w:tc>
          <w:tcPr>
            <w:tcW w:w="7565" w:type="dxa"/>
            <w:vAlign w:val="center"/>
          </w:tcPr>
          <w:p>
            <w:pPr>
              <w:rPr>
                <w:color w:val="auto"/>
                <w:szCs w:val="21"/>
                <w:highlight w:val="none"/>
                <w:u w:val="single"/>
              </w:rPr>
            </w:pPr>
            <w:r>
              <w:rPr>
                <w:rFonts w:hint="eastAsia"/>
                <w:color w:val="auto"/>
                <w:szCs w:val="21"/>
                <w:highlight w:val="none"/>
              </w:rPr>
              <w:t>单位工程或工程设备是否需投入施工期运行：</w:t>
            </w:r>
            <w:r>
              <w:rPr>
                <w:rFonts w:hint="eastAsia"/>
                <w:color w:val="auto"/>
                <w:szCs w:val="21"/>
                <w:highlight w:val="none"/>
                <w:u w:val="single"/>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93" w:hRule="exact"/>
          <w:jc w:val="center"/>
        </w:trPr>
        <w:tc>
          <w:tcPr>
            <w:tcW w:w="729" w:type="dxa"/>
            <w:vAlign w:val="center"/>
          </w:tcPr>
          <w:p>
            <w:pPr>
              <w:jc w:val="center"/>
              <w:rPr>
                <w:color w:val="auto"/>
                <w:szCs w:val="21"/>
                <w:highlight w:val="none"/>
              </w:rPr>
            </w:pPr>
            <w:r>
              <w:rPr>
                <w:rFonts w:hint="eastAsia"/>
                <w:color w:val="auto"/>
                <w:szCs w:val="21"/>
                <w:highlight w:val="none"/>
              </w:rPr>
              <w:t>25</w:t>
            </w:r>
          </w:p>
        </w:tc>
        <w:tc>
          <w:tcPr>
            <w:tcW w:w="1345" w:type="dxa"/>
            <w:vAlign w:val="center"/>
          </w:tcPr>
          <w:p>
            <w:pPr>
              <w:jc w:val="center"/>
              <w:rPr>
                <w:color w:val="auto"/>
                <w:szCs w:val="21"/>
                <w:highlight w:val="none"/>
              </w:rPr>
            </w:pPr>
            <w:r>
              <w:rPr>
                <w:rFonts w:hint="eastAsia"/>
                <w:color w:val="auto"/>
                <w:szCs w:val="21"/>
                <w:highlight w:val="none"/>
              </w:rPr>
              <w:t>18.6.1</w:t>
            </w:r>
          </w:p>
        </w:tc>
        <w:tc>
          <w:tcPr>
            <w:tcW w:w="7565" w:type="dxa"/>
            <w:vAlign w:val="center"/>
          </w:tcPr>
          <w:p>
            <w:pPr>
              <w:rPr>
                <w:color w:val="auto"/>
                <w:szCs w:val="21"/>
                <w:highlight w:val="none"/>
                <w:u w:val="single"/>
              </w:rPr>
            </w:pPr>
            <w:r>
              <w:rPr>
                <w:rFonts w:hint="eastAsia"/>
                <w:color w:val="auto"/>
                <w:szCs w:val="21"/>
                <w:highlight w:val="none"/>
              </w:rPr>
              <w:t>本工程及工程设备是否进行试运行：</w:t>
            </w:r>
            <w:r>
              <w:rPr>
                <w:rFonts w:hint="eastAsia"/>
                <w:color w:val="auto"/>
                <w:szCs w:val="21"/>
                <w:highlight w:val="none"/>
                <w:u w:val="single"/>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24" w:hRule="exact"/>
          <w:jc w:val="center"/>
        </w:trPr>
        <w:tc>
          <w:tcPr>
            <w:tcW w:w="729" w:type="dxa"/>
            <w:vAlign w:val="center"/>
          </w:tcPr>
          <w:p>
            <w:pPr>
              <w:jc w:val="center"/>
              <w:rPr>
                <w:color w:val="auto"/>
                <w:szCs w:val="21"/>
                <w:highlight w:val="none"/>
              </w:rPr>
            </w:pPr>
            <w:r>
              <w:rPr>
                <w:rFonts w:hint="eastAsia"/>
                <w:color w:val="auto"/>
                <w:szCs w:val="21"/>
                <w:highlight w:val="none"/>
              </w:rPr>
              <w:t>26</w:t>
            </w:r>
          </w:p>
        </w:tc>
        <w:tc>
          <w:tcPr>
            <w:tcW w:w="1345" w:type="dxa"/>
            <w:vAlign w:val="center"/>
          </w:tcPr>
          <w:p>
            <w:pPr>
              <w:jc w:val="center"/>
              <w:rPr>
                <w:color w:val="auto"/>
                <w:szCs w:val="21"/>
                <w:highlight w:val="none"/>
              </w:rPr>
            </w:pPr>
            <w:r>
              <w:rPr>
                <w:rFonts w:hint="eastAsia"/>
                <w:color w:val="auto"/>
                <w:szCs w:val="21"/>
                <w:highlight w:val="none"/>
              </w:rPr>
              <w:t>19.7</w:t>
            </w:r>
          </w:p>
        </w:tc>
        <w:tc>
          <w:tcPr>
            <w:tcW w:w="7565" w:type="dxa"/>
            <w:vAlign w:val="center"/>
          </w:tcPr>
          <w:p>
            <w:pPr>
              <w:rPr>
                <w:color w:val="auto"/>
                <w:szCs w:val="21"/>
                <w:highlight w:val="none"/>
              </w:rPr>
            </w:pPr>
            <w:r>
              <w:rPr>
                <w:rFonts w:hint="eastAsia"/>
                <w:color w:val="auto"/>
                <w:szCs w:val="21"/>
                <w:highlight w:val="none"/>
              </w:rPr>
              <w:t>保修期：自实际交工日期起计算</w:t>
            </w:r>
            <w:r>
              <w:rPr>
                <w:rFonts w:hint="eastAsia"/>
                <w:color w:val="auto"/>
                <w:szCs w:val="21"/>
                <w:highlight w:val="none"/>
                <w:u w:val="single"/>
              </w:rPr>
              <w:t xml:space="preserve"> 1 </w:t>
            </w:r>
            <w:r>
              <w:rPr>
                <w:rFonts w:hint="eastAsia"/>
                <w:color w:val="auto"/>
                <w:szCs w:val="21"/>
                <w:highlight w:val="none"/>
              </w:rPr>
              <w:t>年</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74" w:hRule="exact"/>
          <w:jc w:val="center"/>
        </w:trPr>
        <w:tc>
          <w:tcPr>
            <w:tcW w:w="729" w:type="dxa"/>
            <w:vAlign w:val="center"/>
          </w:tcPr>
          <w:p>
            <w:pPr>
              <w:jc w:val="center"/>
              <w:rPr>
                <w:color w:val="auto"/>
                <w:szCs w:val="21"/>
                <w:highlight w:val="none"/>
              </w:rPr>
            </w:pPr>
            <w:r>
              <w:rPr>
                <w:rFonts w:hint="eastAsia"/>
                <w:color w:val="auto"/>
                <w:szCs w:val="21"/>
                <w:highlight w:val="none"/>
              </w:rPr>
              <w:t>27</w:t>
            </w:r>
          </w:p>
        </w:tc>
        <w:tc>
          <w:tcPr>
            <w:tcW w:w="1345" w:type="dxa"/>
            <w:vAlign w:val="center"/>
          </w:tcPr>
          <w:p>
            <w:pPr>
              <w:jc w:val="center"/>
              <w:rPr>
                <w:color w:val="auto"/>
                <w:szCs w:val="21"/>
                <w:highlight w:val="none"/>
              </w:rPr>
            </w:pPr>
            <w:r>
              <w:rPr>
                <w:rFonts w:hint="eastAsia"/>
                <w:color w:val="auto"/>
                <w:szCs w:val="21"/>
                <w:highlight w:val="none"/>
              </w:rPr>
              <w:t>20.1</w:t>
            </w:r>
          </w:p>
        </w:tc>
        <w:tc>
          <w:tcPr>
            <w:tcW w:w="7565" w:type="dxa"/>
            <w:vAlign w:val="center"/>
          </w:tcPr>
          <w:p>
            <w:pPr>
              <w:rPr>
                <w:color w:val="auto"/>
                <w:szCs w:val="21"/>
                <w:highlight w:val="none"/>
              </w:rPr>
            </w:pPr>
            <w:r>
              <w:rPr>
                <w:rFonts w:hint="eastAsia"/>
                <w:color w:val="auto"/>
                <w:sz w:val="21"/>
                <w:szCs w:val="21"/>
                <w:highlight w:val="none"/>
              </w:rPr>
              <w:t>建筑工程一切险由承包人承担，并视为包含在工程量清单的单价及总价中， 发包人不在单独支付。</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00" w:hRule="exact"/>
          <w:jc w:val="center"/>
        </w:trPr>
        <w:tc>
          <w:tcPr>
            <w:tcW w:w="729" w:type="dxa"/>
            <w:vAlign w:val="center"/>
          </w:tcPr>
          <w:p>
            <w:pPr>
              <w:jc w:val="center"/>
              <w:rPr>
                <w:color w:val="auto"/>
                <w:szCs w:val="21"/>
                <w:highlight w:val="none"/>
              </w:rPr>
            </w:pPr>
            <w:r>
              <w:rPr>
                <w:rFonts w:hint="eastAsia"/>
                <w:color w:val="auto"/>
                <w:szCs w:val="21"/>
                <w:highlight w:val="none"/>
              </w:rPr>
              <w:t>28</w:t>
            </w:r>
          </w:p>
        </w:tc>
        <w:tc>
          <w:tcPr>
            <w:tcW w:w="1345" w:type="dxa"/>
            <w:vAlign w:val="center"/>
          </w:tcPr>
          <w:p>
            <w:pPr>
              <w:jc w:val="center"/>
              <w:rPr>
                <w:color w:val="auto"/>
                <w:szCs w:val="21"/>
                <w:highlight w:val="none"/>
              </w:rPr>
            </w:pPr>
            <w:r>
              <w:rPr>
                <w:rFonts w:hint="eastAsia"/>
                <w:color w:val="auto"/>
                <w:szCs w:val="21"/>
                <w:highlight w:val="none"/>
              </w:rPr>
              <w:t>20.4.2</w:t>
            </w:r>
          </w:p>
        </w:tc>
        <w:tc>
          <w:tcPr>
            <w:tcW w:w="7565" w:type="dxa"/>
            <w:vAlign w:val="center"/>
          </w:tcPr>
          <w:p>
            <w:pPr>
              <w:rPr>
                <w:rFonts w:hint="eastAsia" w:eastAsia="宋体"/>
                <w:color w:val="auto"/>
                <w:sz w:val="21"/>
                <w:szCs w:val="21"/>
                <w:highlight w:val="none"/>
                <w:lang w:eastAsia="zh-CN"/>
              </w:rPr>
            </w:pPr>
            <w:r>
              <w:rPr>
                <w:rFonts w:hint="eastAsia"/>
                <w:color w:val="auto"/>
                <w:sz w:val="21"/>
                <w:szCs w:val="21"/>
                <w:highlight w:val="none"/>
              </w:rPr>
              <w:t>第三者责任险由承包人承担， 并视为包含在工程量清单的单价及总价中，</w:t>
            </w:r>
          </w:p>
          <w:p>
            <w:pPr>
              <w:rPr>
                <w:color w:val="auto"/>
                <w:szCs w:val="21"/>
                <w:highlight w:val="none"/>
              </w:rPr>
            </w:pPr>
            <w:r>
              <w:rPr>
                <w:rFonts w:hint="eastAsia"/>
                <w:color w:val="auto"/>
                <w:sz w:val="21"/>
                <w:szCs w:val="21"/>
                <w:highlight w:val="none"/>
              </w:rPr>
              <w:t>发包人不在单独支付。</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24" w:hRule="exact"/>
          <w:jc w:val="center"/>
        </w:trPr>
        <w:tc>
          <w:tcPr>
            <w:tcW w:w="729" w:type="dxa"/>
            <w:vAlign w:val="center"/>
          </w:tcPr>
          <w:p>
            <w:pPr>
              <w:jc w:val="center"/>
              <w:rPr>
                <w:color w:val="auto"/>
                <w:szCs w:val="21"/>
                <w:highlight w:val="none"/>
              </w:rPr>
            </w:pPr>
            <w:r>
              <w:rPr>
                <w:rFonts w:hint="eastAsia"/>
                <w:color w:val="auto"/>
                <w:szCs w:val="21"/>
                <w:highlight w:val="none"/>
              </w:rPr>
              <w:t>序号</w:t>
            </w:r>
          </w:p>
        </w:tc>
        <w:tc>
          <w:tcPr>
            <w:tcW w:w="1345" w:type="dxa"/>
            <w:vAlign w:val="center"/>
          </w:tcPr>
          <w:p>
            <w:pPr>
              <w:jc w:val="center"/>
              <w:rPr>
                <w:color w:val="auto"/>
                <w:szCs w:val="21"/>
                <w:highlight w:val="none"/>
              </w:rPr>
            </w:pPr>
            <w:r>
              <w:rPr>
                <w:rFonts w:hint="eastAsia"/>
                <w:color w:val="auto"/>
                <w:szCs w:val="21"/>
                <w:highlight w:val="none"/>
              </w:rPr>
              <w:t>条款号</w:t>
            </w:r>
          </w:p>
        </w:tc>
        <w:tc>
          <w:tcPr>
            <w:tcW w:w="7565" w:type="dxa"/>
            <w:vAlign w:val="center"/>
          </w:tcPr>
          <w:p>
            <w:pPr>
              <w:jc w:val="center"/>
              <w:rPr>
                <w:color w:val="auto"/>
                <w:szCs w:val="21"/>
                <w:highlight w:val="none"/>
              </w:rPr>
            </w:pPr>
            <w:r>
              <w:rPr>
                <w:rFonts w:hint="eastAsia"/>
                <w:color w:val="auto"/>
                <w:szCs w:val="21"/>
                <w:highlight w:val="none"/>
              </w:rPr>
              <w:t>信息或数据</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24" w:hRule="exact"/>
          <w:jc w:val="center"/>
        </w:trPr>
        <w:tc>
          <w:tcPr>
            <w:tcW w:w="729" w:type="dxa"/>
            <w:vAlign w:val="center"/>
          </w:tcPr>
          <w:p>
            <w:pPr>
              <w:jc w:val="center"/>
              <w:rPr>
                <w:color w:val="auto"/>
                <w:szCs w:val="21"/>
                <w:highlight w:val="none"/>
              </w:rPr>
            </w:pPr>
            <w:r>
              <w:rPr>
                <w:rFonts w:hint="eastAsia"/>
                <w:color w:val="auto"/>
                <w:szCs w:val="21"/>
                <w:highlight w:val="none"/>
              </w:rPr>
              <w:t>29</w:t>
            </w:r>
          </w:p>
        </w:tc>
        <w:tc>
          <w:tcPr>
            <w:tcW w:w="1345" w:type="dxa"/>
            <w:vAlign w:val="center"/>
          </w:tcPr>
          <w:p>
            <w:pPr>
              <w:jc w:val="center"/>
              <w:rPr>
                <w:color w:val="auto"/>
                <w:szCs w:val="21"/>
                <w:highlight w:val="none"/>
              </w:rPr>
            </w:pPr>
            <w:r>
              <w:rPr>
                <w:rFonts w:hint="eastAsia"/>
                <w:color w:val="auto"/>
                <w:szCs w:val="21"/>
                <w:highlight w:val="none"/>
              </w:rPr>
              <w:t>24.1</w:t>
            </w:r>
          </w:p>
        </w:tc>
        <w:tc>
          <w:tcPr>
            <w:tcW w:w="7565" w:type="dxa"/>
            <w:vAlign w:val="center"/>
          </w:tcPr>
          <w:p>
            <w:pPr>
              <w:rPr>
                <w:color w:val="auto"/>
                <w:szCs w:val="21"/>
                <w:highlight w:val="none"/>
                <w:u w:val="single"/>
              </w:rPr>
            </w:pPr>
            <w:r>
              <w:rPr>
                <w:rFonts w:hint="eastAsia"/>
                <w:color w:val="auto"/>
                <w:szCs w:val="21"/>
                <w:highlight w:val="none"/>
              </w:rPr>
              <w:t>争议的最终解决方式：</w:t>
            </w:r>
            <w:r>
              <w:rPr>
                <w:rFonts w:hint="eastAsia"/>
                <w:color w:val="auto"/>
                <w:szCs w:val="21"/>
                <w:highlight w:val="none"/>
                <w:u w:val="single"/>
              </w:rPr>
              <w:t>向有管辖权的人民法院提起诉讼</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00" w:hRule="exact"/>
          <w:jc w:val="center"/>
        </w:trPr>
        <w:tc>
          <w:tcPr>
            <w:tcW w:w="729" w:type="dxa"/>
            <w:vAlign w:val="center"/>
          </w:tcPr>
          <w:p>
            <w:pPr>
              <w:jc w:val="center"/>
              <w:rPr>
                <w:color w:val="auto"/>
                <w:szCs w:val="21"/>
                <w:highlight w:val="none"/>
              </w:rPr>
            </w:pPr>
            <w:r>
              <w:rPr>
                <w:rFonts w:hint="eastAsia"/>
                <w:color w:val="auto"/>
                <w:szCs w:val="21"/>
                <w:highlight w:val="none"/>
              </w:rPr>
              <w:t>30</w:t>
            </w:r>
          </w:p>
        </w:tc>
        <w:tc>
          <w:tcPr>
            <w:tcW w:w="1345" w:type="dxa"/>
            <w:vAlign w:val="center"/>
          </w:tcPr>
          <w:p>
            <w:pPr>
              <w:jc w:val="center"/>
              <w:rPr>
                <w:color w:val="auto"/>
                <w:szCs w:val="21"/>
                <w:highlight w:val="none"/>
              </w:rPr>
            </w:pPr>
          </w:p>
        </w:tc>
        <w:tc>
          <w:tcPr>
            <w:tcW w:w="7565" w:type="dxa"/>
            <w:vAlign w:val="center"/>
          </w:tcPr>
          <w:p>
            <w:pPr>
              <w:rPr>
                <w:color w:val="auto"/>
                <w:szCs w:val="21"/>
                <w:highlight w:val="none"/>
              </w:rPr>
            </w:pPr>
            <w:r>
              <w:rPr>
                <w:rFonts w:hint="eastAsia"/>
                <w:color w:val="auto"/>
                <w:sz w:val="21"/>
                <w:szCs w:val="21"/>
                <w:highlight w:val="none"/>
              </w:rPr>
              <w:t>履约民工工资保证金金额为</w:t>
            </w:r>
            <w:r>
              <w:rPr>
                <w:rFonts w:hint="eastAsia"/>
                <w:color w:val="auto"/>
                <w:sz w:val="21"/>
                <w:szCs w:val="21"/>
                <w:highlight w:val="none"/>
                <w:u w:val="single"/>
              </w:rPr>
              <w:t>合同价的2%合同签订7天（开工前）内向指定账户缴纳</w:t>
            </w:r>
            <w:r>
              <w:rPr>
                <w:rFonts w:hint="eastAsia"/>
                <w:color w:val="auto"/>
                <w:sz w:val="21"/>
                <w:szCs w:val="21"/>
                <w:highlight w:val="none"/>
              </w:rPr>
              <w:t>。</w:t>
            </w:r>
          </w:p>
        </w:tc>
      </w:tr>
    </w:tbl>
    <w:p>
      <w:pPr>
        <w:spacing w:before="240" w:after="240"/>
        <w:jc w:val="center"/>
        <w:rPr>
          <w:color w:val="auto"/>
          <w:sz w:val="30"/>
          <w:szCs w:val="30"/>
          <w:highlight w:val="none"/>
        </w:rPr>
      </w:pPr>
    </w:p>
    <w:p>
      <w:pPr>
        <w:spacing w:before="240" w:after="240"/>
        <w:jc w:val="center"/>
        <w:rPr>
          <w:color w:val="auto"/>
          <w:sz w:val="30"/>
          <w:szCs w:val="30"/>
          <w:highlight w:val="none"/>
        </w:rPr>
      </w:pPr>
    </w:p>
    <w:p>
      <w:pPr>
        <w:spacing w:before="240" w:after="240"/>
        <w:jc w:val="center"/>
        <w:rPr>
          <w:color w:val="auto"/>
          <w:sz w:val="30"/>
          <w:szCs w:val="30"/>
          <w:highlight w:val="none"/>
        </w:rPr>
      </w:pPr>
      <w:r>
        <w:rPr>
          <w:rFonts w:hint="eastAsia"/>
          <w:color w:val="auto"/>
          <w:sz w:val="30"/>
          <w:szCs w:val="30"/>
          <w:highlight w:val="none"/>
        </w:rPr>
        <w:t>项目专用合同条款</w:t>
      </w:r>
    </w:p>
    <w:p>
      <w:pPr>
        <w:rPr>
          <w:color w:val="auto"/>
          <w:sz w:val="24"/>
          <w:highlight w:val="none"/>
        </w:rPr>
      </w:pPr>
      <w:r>
        <w:rPr>
          <w:rFonts w:hint="eastAsia"/>
          <w:color w:val="auto"/>
          <w:sz w:val="24"/>
          <w:highlight w:val="none"/>
        </w:rPr>
        <w:t>说明：</w:t>
      </w:r>
      <w:r>
        <w:rPr>
          <w:rFonts w:hint="eastAsia"/>
          <w:color w:val="auto"/>
          <w:szCs w:val="21"/>
          <w:highlight w:val="none"/>
        </w:rPr>
        <w:t>本部分所列的项目专用合同条款是对“公路工程专用合同条款”中规定必须在项目专用合同条款中明确的内容的集中，招标人编制的“项目专用合同条款”不限于本部分所列内容。</w:t>
      </w:r>
    </w:p>
    <w:p>
      <w:pPr>
        <w:spacing w:line="300" w:lineRule="exact"/>
        <w:rPr>
          <w:color w:val="auto"/>
          <w:szCs w:val="21"/>
          <w:highlight w:val="none"/>
        </w:rPr>
      </w:pPr>
    </w:p>
    <w:p>
      <w:pPr>
        <w:spacing w:line="340" w:lineRule="exact"/>
        <w:rPr>
          <w:color w:val="auto"/>
          <w:szCs w:val="21"/>
          <w:highlight w:val="none"/>
        </w:rPr>
      </w:pPr>
      <w:r>
        <w:rPr>
          <w:rFonts w:hint="eastAsia"/>
          <w:color w:val="auto"/>
          <w:szCs w:val="21"/>
          <w:highlight w:val="none"/>
        </w:rPr>
        <w:t>4.1承包人的一般义务</w:t>
      </w:r>
    </w:p>
    <w:p>
      <w:pPr>
        <w:tabs>
          <w:tab w:val="left" w:pos="3193"/>
        </w:tabs>
        <w:spacing w:line="340" w:lineRule="exact"/>
        <w:ind w:firstLine="440" w:firstLineChars="200"/>
        <w:rPr>
          <w:color w:val="auto"/>
          <w:szCs w:val="21"/>
          <w:highlight w:val="none"/>
        </w:rPr>
      </w:pPr>
      <w:r>
        <w:rPr>
          <w:rFonts w:hint="eastAsia"/>
          <w:color w:val="auto"/>
          <w:szCs w:val="21"/>
          <w:highlight w:val="none"/>
        </w:rPr>
        <w:t>4.1.10 其他义务</w:t>
      </w:r>
    </w:p>
    <w:p>
      <w:pPr>
        <w:spacing w:line="340" w:lineRule="exact"/>
        <w:ind w:firstLine="420"/>
        <w:rPr>
          <w:color w:val="auto"/>
          <w:szCs w:val="21"/>
          <w:highlight w:val="none"/>
        </w:rPr>
      </w:pPr>
      <w:r>
        <w:rPr>
          <w:rFonts w:hint="eastAsia"/>
          <w:color w:val="auto"/>
          <w:szCs w:val="21"/>
          <w:highlight w:val="none"/>
        </w:rPr>
        <w:t>（4）</w:t>
      </w:r>
      <w:r>
        <w:rPr>
          <w:color w:val="auto"/>
          <w:szCs w:val="21"/>
          <w:highlight w:val="none"/>
        </w:rPr>
        <w:t>承包人应履行的其他义务：</w:t>
      </w:r>
      <w:r>
        <w:rPr>
          <w:rFonts w:hint="eastAsia"/>
          <w:color w:val="auto"/>
          <w:szCs w:val="21"/>
          <w:highlight w:val="none"/>
          <w:u w:val="single"/>
        </w:rPr>
        <w:t xml:space="preserve">                     </w:t>
      </w:r>
    </w:p>
    <w:p>
      <w:pPr>
        <w:spacing w:line="340" w:lineRule="exact"/>
        <w:rPr>
          <w:color w:val="auto"/>
          <w:szCs w:val="21"/>
          <w:highlight w:val="none"/>
        </w:rPr>
      </w:pPr>
      <w:r>
        <w:rPr>
          <w:rFonts w:hint="eastAsia"/>
          <w:color w:val="auto"/>
          <w:szCs w:val="21"/>
          <w:highlight w:val="none"/>
        </w:rPr>
        <w:t>4.6承包人人员的管理</w:t>
      </w:r>
    </w:p>
    <w:p>
      <w:pPr>
        <w:tabs>
          <w:tab w:val="left" w:pos="1080"/>
        </w:tabs>
        <w:spacing w:line="340" w:lineRule="exact"/>
        <w:ind w:firstLine="440" w:firstLineChars="200"/>
        <w:rPr>
          <w:color w:val="auto"/>
          <w:szCs w:val="21"/>
          <w:highlight w:val="none"/>
        </w:rPr>
      </w:pPr>
      <w:r>
        <w:rPr>
          <w:rFonts w:hint="eastAsia"/>
          <w:color w:val="auto"/>
          <w:szCs w:val="21"/>
          <w:highlight w:val="none"/>
        </w:rPr>
        <w:t>（增加）4.6.6 项目经理、总工每月驻现场的时间应不少于25天，因故需离开工地应得到业主、监理工程师的许可，否则将按第22.1款视为承包人违约。</w:t>
      </w:r>
    </w:p>
    <w:p>
      <w:pPr>
        <w:spacing w:line="340" w:lineRule="exact"/>
        <w:ind w:firstLine="440" w:firstLineChars="200"/>
        <w:rPr>
          <w:color w:val="auto"/>
          <w:szCs w:val="21"/>
          <w:highlight w:val="none"/>
        </w:rPr>
      </w:pPr>
      <w:r>
        <w:rPr>
          <w:rFonts w:hint="eastAsia"/>
          <w:color w:val="auto"/>
          <w:szCs w:val="21"/>
          <w:highlight w:val="none"/>
        </w:rPr>
        <w:t>承包人安排在施工场地的主要管理人员和技术骨干人员每月驻现场的时间应不少于25天，除非经业主、监理工程师同意，否则将按第22.1款视为承包人违约。</w:t>
      </w:r>
    </w:p>
    <w:p>
      <w:pPr>
        <w:spacing w:line="340" w:lineRule="exact"/>
        <w:rPr>
          <w:color w:val="auto"/>
          <w:szCs w:val="21"/>
          <w:highlight w:val="none"/>
        </w:rPr>
      </w:pPr>
      <w:r>
        <w:rPr>
          <w:rFonts w:hint="eastAsia"/>
          <w:color w:val="auto"/>
          <w:szCs w:val="21"/>
          <w:highlight w:val="none"/>
        </w:rPr>
        <w:t>4.11不利物质条件</w:t>
      </w:r>
    </w:p>
    <w:p>
      <w:pPr>
        <w:tabs>
          <w:tab w:val="left" w:pos="3193"/>
        </w:tabs>
        <w:spacing w:line="340" w:lineRule="exact"/>
        <w:ind w:firstLine="440" w:firstLineChars="200"/>
        <w:rPr>
          <w:color w:val="auto"/>
          <w:szCs w:val="21"/>
          <w:highlight w:val="none"/>
        </w:rPr>
      </w:pPr>
      <w:r>
        <w:rPr>
          <w:rFonts w:hint="eastAsia"/>
          <w:color w:val="auto"/>
          <w:szCs w:val="21"/>
          <w:highlight w:val="none"/>
        </w:rPr>
        <w:t>4.11.1不利物质条件的范围：</w:t>
      </w:r>
      <w:r>
        <w:rPr>
          <w:rFonts w:hint="eastAsia"/>
          <w:color w:val="auto"/>
          <w:szCs w:val="21"/>
          <w:highlight w:val="none"/>
          <w:u w:val="single"/>
        </w:rPr>
        <w:t xml:space="preserve">  按通用条款内容    </w:t>
      </w:r>
    </w:p>
    <w:p>
      <w:pPr>
        <w:spacing w:line="340" w:lineRule="exact"/>
        <w:rPr>
          <w:color w:val="auto"/>
          <w:szCs w:val="21"/>
          <w:highlight w:val="none"/>
        </w:rPr>
      </w:pPr>
      <w:r>
        <w:rPr>
          <w:rFonts w:hint="eastAsia"/>
          <w:color w:val="auto"/>
          <w:szCs w:val="21"/>
          <w:highlight w:val="none"/>
        </w:rPr>
        <w:t>10.1 合同进度计划</w:t>
      </w:r>
    </w:p>
    <w:p>
      <w:pPr>
        <w:tabs>
          <w:tab w:val="left" w:pos="3193"/>
        </w:tabs>
        <w:spacing w:line="340" w:lineRule="exact"/>
        <w:ind w:firstLine="440" w:firstLineChars="200"/>
        <w:rPr>
          <w:color w:val="auto"/>
          <w:szCs w:val="21"/>
          <w:highlight w:val="none"/>
        </w:rPr>
      </w:pPr>
      <w:r>
        <w:rPr>
          <w:rFonts w:hint="eastAsia"/>
          <w:color w:val="auto"/>
          <w:szCs w:val="21"/>
          <w:highlight w:val="none"/>
        </w:rPr>
        <w:t>承包人编制施工方案的内容：</w:t>
      </w:r>
      <w:r>
        <w:rPr>
          <w:rFonts w:hint="eastAsia"/>
          <w:color w:val="auto"/>
          <w:szCs w:val="21"/>
          <w:highlight w:val="none"/>
          <w:u w:val="single"/>
        </w:rPr>
        <w:t xml:space="preserve">                     </w:t>
      </w:r>
    </w:p>
    <w:p>
      <w:pPr>
        <w:spacing w:line="340" w:lineRule="exact"/>
        <w:rPr>
          <w:color w:val="auto"/>
          <w:szCs w:val="21"/>
          <w:highlight w:val="none"/>
        </w:rPr>
      </w:pPr>
      <w:r>
        <w:rPr>
          <w:rFonts w:hint="eastAsia"/>
          <w:color w:val="auto"/>
          <w:szCs w:val="21"/>
          <w:highlight w:val="none"/>
        </w:rPr>
        <w:t>11.4异常恶劣的气候条件</w:t>
      </w:r>
    </w:p>
    <w:p>
      <w:pPr>
        <w:tabs>
          <w:tab w:val="left" w:pos="3193"/>
        </w:tabs>
        <w:spacing w:line="340" w:lineRule="exact"/>
        <w:ind w:firstLine="440" w:firstLineChars="200"/>
        <w:rPr>
          <w:color w:val="auto"/>
          <w:szCs w:val="21"/>
          <w:highlight w:val="none"/>
        </w:rPr>
      </w:pPr>
      <w:r>
        <w:rPr>
          <w:rFonts w:hint="eastAsia"/>
          <w:color w:val="auto"/>
          <w:szCs w:val="21"/>
          <w:highlight w:val="none"/>
        </w:rPr>
        <w:t>异常恶劣的气候条件的范围：</w:t>
      </w:r>
      <w:r>
        <w:rPr>
          <w:rFonts w:hint="eastAsia"/>
          <w:color w:val="auto"/>
          <w:szCs w:val="21"/>
          <w:highlight w:val="none"/>
          <w:u w:val="single"/>
        </w:rPr>
        <w:t>异常恶劣的气候条件，对本项目而言，指发生烈度7度(含7度)以上地震、龙卷风、施工场地受淹超过业主提供的设计图纸指明的设计洪水水位引起的延误情况</w:t>
      </w:r>
      <w:r>
        <w:rPr>
          <w:rFonts w:hint="eastAsia"/>
          <w:color w:val="auto"/>
          <w:szCs w:val="21"/>
          <w:highlight w:val="none"/>
        </w:rPr>
        <w:t>。</w:t>
      </w:r>
    </w:p>
    <w:p>
      <w:pPr>
        <w:spacing w:line="340" w:lineRule="exact"/>
        <w:rPr>
          <w:color w:val="auto"/>
          <w:szCs w:val="21"/>
          <w:highlight w:val="none"/>
        </w:rPr>
      </w:pPr>
      <w:r>
        <w:rPr>
          <w:rFonts w:hint="eastAsia"/>
          <w:color w:val="auto"/>
          <w:szCs w:val="21"/>
          <w:highlight w:val="none"/>
        </w:rPr>
        <w:t>12.1承包人暂停施工的责任</w:t>
      </w:r>
    </w:p>
    <w:p>
      <w:pPr>
        <w:tabs>
          <w:tab w:val="left" w:pos="3193"/>
        </w:tabs>
        <w:spacing w:line="340" w:lineRule="exact"/>
        <w:ind w:firstLine="440" w:firstLineChars="200"/>
        <w:rPr>
          <w:color w:val="auto"/>
          <w:szCs w:val="21"/>
          <w:highlight w:val="none"/>
        </w:rPr>
      </w:pPr>
      <w:r>
        <w:rPr>
          <w:rFonts w:hint="eastAsia"/>
          <w:color w:val="auto"/>
          <w:szCs w:val="21"/>
          <w:highlight w:val="none"/>
        </w:rPr>
        <w:t>12.1（6）由承包人承担的其他暂停施工：</w:t>
      </w:r>
      <w:r>
        <w:rPr>
          <w:rFonts w:hint="eastAsia"/>
          <w:color w:val="auto"/>
          <w:szCs w:val="21"/>
          <w:highlight w:val="none"/>
          <w:u w:val="single"/>
        </w:rPr>
        <w:t xml:space="preserve">                </w:t>
      </w:r>
    </w:p>
    <w:p>
      <w:pPr>
        <w:tabs>
          <w:tab w:val="left" w:pos="1080"/>
        </w:tabs>
        <w:spacing w:line="340" w:lineRule="exact"/>
        <w:rPr>
          <w:color w:val="auto"/>
          <w:szCs w:val="21"/>
          <w:highlight w:val="none"/>
        </w:rPr>
      </w:pPr>
      <w:r>
        <w:rPr>
          <w:rFonts w:hint="eastAsia"/>
          <w:color w:val="auto"/>
          <w:szCs w:val="21"/>
          <w:highlight w:val="none"/>
        </w:rPr>
        <w:t>13.3承包人的质量检查</w:t>
      </w:r>
    </w:p>
    <w:p>
      <w:pPr>
        <w:spacing w:line="340" w:lineRule="exact"/>
        <w:ind w:firstLine="420"/>
        <w:rPr>
          <w:color w:val="auto"/>
          <w:szCs w:val="21"/>
          <w:highlight w:val="none"/>
        </w:rPr>
      </w:pPr>
      <w:r>
        <w:rPr>
          <w:rFonts w:hint="eastAsia"/>
          <w:color w:val="auto"/>
          <w:szCs w:val="21"/>
          <w:highlight w:val="none"/>
        </w:rPr>
        <w:t>增加内容：落实</w:t>
      </w:r>
      <w:r>
        <w:rPr>
          <w:color w:val="auto"/>
          <w:szCs w:val="21"/>
          <w:highlight w:val="none"/>
        </w:rPr>
        <w:t>质量责任制和</w:t>
      </w:r>
      <w:r>
        <w:rPr>
          <w:rFonts w:hint="eastAsia"/>
          <w:color w:val="auto"/>
          <w:szCs w:val="21"/>
          <w:highlight w:val="none"/>
        </w:rPr>
        <w:t>健全</w:t>
      </w:r>
      <w:r>
        <w:rPr>
          <w:color w:val="auto"/>
          <w:szCs w:val="21"/>
          <w:highlight w:val="none"/>
        </w:rPr>
        <w:t>质量保证体系</w:t>
      </w:r>
    </w:p>
    <w:p>
      <w:pPr>
        <w:spacing w:line="340" w:lineRule="exact"/>
        <w:ind w:firstLine="420"/>
        <w:rPr>
          <w:color w:val="auto"/>
          <w:szCs w:val="21"/>
          <w:highlight w:val="none"/>
        </w:rPr>
      </w:pPr>
      <w:r>
        <w:rPr>
          <w:color w:val="auto"/>
          <w:szCs w:val="21"/>
          <w:highlight w:val="none"/>
        </w:rPr>
        <w:t>分项施工现场应实行标示牌管理，写明作业内容、项目质量管理责任人</w:t>
      </w:r>
      <w:r>
        <w:rPr>
          <w:rFonts w:hint="eastAsia"/>
          <w:color w:val="auto"/>
          <w:szCs w:val="21"/>
          <w:highlight w:val="none"/>
        </w:rPr>
        <w:t>(</w:t>
      </w:r>
      <w:r>
        <w:rPr>
          <w:color w:val="auto"/>
          <w:szCs w:val="21"/>
          <w:highlight w:val="none"/>
        </w:rPr>
        <w:t>施工作业管理专业工程师、试验、测量、质检工程师、总工、项目经理及监理工程师</w:t>
      </w:r>
      <w:r>
        <w:rPr>
          <w:rFonts w:hint="eastAsia"/>
          <w:color w:val="auto"/>
          <w:szCs w:val="21"/>
          <w:highlight w:val="none"/>
        </w:rPr>
        <w:t>及现场监理)</w:t>
      </w:r>
      <w:r>
        <w:rPr>
          <w:color w:val="auto"/>
          <w:szCs w:val="21"/>
          <w:highlight w:val="none"/>
        </w:rPr>
        <w:t>和质量</w:t>
      </w:r>
      <w:r>
        <w:rPr>
          <w:rFonts w:hint="eastAsia"/>
          <w:color w:val="auto"/>
          <w:szCs w:val="21"/>
          <w:highlight w:val="none"/>
        </w:rPr>
        <w:t>管理</w:t>
      </w:r>
      <w:r>
        <w:rPr>
          <w:color w:val="auto"/>
          <w:szCs w:val="21"/>
          <w:highlight w:val="none"/>
        </w:rPr>
        <w:t xml:space="preserve">举报电话； </w:t>
      </w:r>
    </w:p>
    <w:p>
      <w:pPr>
        <w:spacing w:line="340" w:lineRule="exact"/>
        <w:ind w:firstLine="420"/>
        <w:rPr>
          <w:color w:val="auto"/>
          <w:szCs w:val="21"/>
          <w:highlight w:val="none"/>
        </w:rPr>
      </w:pPr>
      <w:r>
        <w:rPr>
          <w:color w:val="auto"/>
          <w:szCs w:val="21"/>
          <w:highlight w:val="none"/>
        </w:rPr>
        <w:t>（</w:t>
      </w:r>
      <w:r>
        <w:rPr>
          <w:rFonts w:hint="eastAsia"/>
          <w:color w:val="auto"/>
          <w:szCs w:val="21"/>
          <w:highlight w:val="none"/>
        </w:rPr>
        <w:t>2</w:t>
      </w:r>
      <w:r>
        <w:rPr>
          <w:color w:val="auto"/>
          <w:szCs w:val="21"/>
          <w:highlight w:val="none"/>
        </w:rPr>
        <w:t>）认真执行三检制度：</w:t>
      </w:r>
    </w:p>
    <w:p>
      <w:pPr>
        <w:spacing w:line="340" w:lineRule="exact"/>
        <w:ind w:firstLine="420"/>
        <w:rPr>
          <w:color w:val="auto"/>
          <w:szCs w:val="21"/>
          <w:highlight w:val="none"/>
        </w:rPr>
      </w:pPr>
      <w:r>
        <w:rPr>
          <w:color w:val="auto"/>
          <w:szCs w:val="21"/>
          <w:highlight w:val="none"/>
        </w:rPr>
        <w:t>施工作业管理</w:t>
      </w:r>
      <w:r>
        <w:rPr>
          <w:rFonts w:hint="eastAsia"/>
          <w:color w:val="auto"/>
          <w:szCs w:val="21"/>
          <w:highlight w:val="none"/>
        </w:rPr>
        <w:t>的</w:t>
      </w:r>
      <w:r>
        <w:rPr>
          <w:color w:val="auto"/>
          <w:szCs w:val="21"/>
          <w:highlight w:val="none"/>
        </w:rPr>
        <w:t>专业工程师在测量、试验工程师配合下完成施工自检并作施工记录（工艺及原材料使用等）；</w:t>
      </w:r>
    </w:p>
    <w:p>
      <w:pPr>
        <w:spacing w:line="340" w:lineRule="exact"/>
        <w:ind w:firstLine="420"/>
        <w:rPr>
          <w:color w:val="auto"/>
          <w:szCs w:val="21"/>
          <w:highlight w:val="none"/>
        </w:rPr>
      </w:pPr>
      <w:r>
        <w:rPr>
          <w:color w:val="auto"/>
          <w:szCs w:val="21"/>
          <w:highlight w:val="none"/>
        </w:rPr>
        <w:t>质检工程师在测量、试验工程师配合下加强中间质量检测，严格控制工序质量，及时完成工序、分项完工检验并提交质量检验记录，收集工序、分项资料与检验申请经项目总工签认后报送监理工程师。</w:t>
      </w:r>
    </w:p>
    <w:p>
      <w:pPr>
        <w:spacing w:line="340" w:lineRule="exact"/>
        <w:ind w:firstLine="420"/>
        <w:rPr>
          <w:color w:val="auto"/>
          <w:szCs w:val="21"/>
          <w:highlight w:val="none"/>
        </w:rPr>
      </w:pPr>
      <w:r>
        <w:rPr>
          <w:color w:val="auto"/>
          <w:szCs w:val="21"/>
          <w:highlight w:val="none"/>
        </w:rPr>
        <w:t>试验、测量工程师根据施工质检需要完成试验与测量作业并及时交检验结果报告专业工程师、质检工程师。</w:t>
      </w:r>
    </w:p>
    <w:p>
      <w:pPr>
        <w:spacing w:line="340" w:lineRule="exact"/>
        <w:ind w:firstLine="420"/>
        <w:rPr>
          <w:color w:val="auto"/>
          <w:szCs w:val="21"/>
          <w:highlight w:val="none"/>
        </w:rPr>
      </w:pPr>
      <w:r>
        <w:rPr>
          <w:color w:val="auto"/>
          <w:szCs w:val="21"/>
          <w:highlight w:val="none"/>
        </w:rPr>
        <w:t>为保证质量责任制的落实，必须做到“三个到位”、“三个同时”，即：质量管理人员到位，检测工具到位，记录表格到位；施工作业与</w:t>
      </w:r>
      <w:r>
        <w:rPr>
          <w:rFonts w:hint="eastAsia"/>
          <w:color w:val="auto"/>
          <w:szCs w:val="21"/>
          <w:highlight w:val="none"/>
        </w:rPr>
        <w:t>专业工程师</w:t>
      </w:r>
      <w:r>
        <w:rPr>
          <w:color w:val="auto"/>
          <w:szCs w:val="21"/>
          <w:highlight w:val="none"/>
        </w:rPr>
        <w:t>质量检查、检验同时，承包人</w:t>
      </w:r>
      <w:r>
        <w:rPr>
          <w:rFonts w:hint="eastAsia"/>
          <w:color w:val="auto"/>
          <w:szCs w:val="21"/>
          <w:highlight w:val="none"/>
        </w:rPr>
        <w:t>质量检验工程师</w:t>
      </w:r>
      <w:r>
        <w:rPr>
          <w:color w:val="auto"/>
          <w:szCs w:val="21"/>
          <w:highlight w:val="none"/>
        </w:rPr>
        <w:t>、监理</w:t>
      </w:r>
      <w:r>
        <w:rPr>
          <w:rFonts w:hint="eastAsia"/>
          <w:color w:val="auto"/>
          <w:szCs w:val="21"/>
          <w:highlight w:val="none"/>
        </w:rPr>
        <w:t>的</w:t>
      </w:r>
      <w:r>
        <w:rPr>
          <w:color w:val="auto"/>
          <w:szCs w:val="21"/>
          <w:highlight w:val="none"/>
        </w:rPr>
        <w:t>检验</w:t>
      </w:r>
      <w:r>
        <w:rPr>
          <w:rFonts w:hint="eastAsia"/>
          <w:color w:val="auto"/>
          <w:szCs w:val="21"/>
          <w:highlight w:val="none"/>
        </w:rPr>
        <w:t>与施工作业</w:t>
      </w:r>
      <w:r>
        <w:rPr>
          <w:color w:val="auto"/>
          <w:szCs w:val="21"/>
          <w:highlight w:val="none"/>
        </w:rPr>
        <w:t>同时，</w:t>
      </w:r>
      <w:r>
        <w:rPr>
          <w:rFonts w:hint="eastAsia"/>
          <w:color w:val="auto"/>
          <w:szCs w:val="21"/>
          <w:highlight w:val="none"/>
        </w:rPr>
        <w:t>检查、</w:t>
      </w:r>
      <w:r>
        <w:rPr>
          <w:color w:val="auto"/>
          <w:szCs w:val="21"/>
          <w:highlight w:val="none"/>
        </w:rPr>
        <w:t>检验与记录同时。</w:t>
      </w:r>
    </w:p>
    <w:p>
      <w:pPr>
        <w:spacing w:line="340" w:lineRule="exact"/>
        <w:ind w:firstLine="420"/>
        <w:rPr>
          <w:color w:val="auto"/>
          <w:szCs w:val="21"/>
          <w:highlight w:val="none"/>
        </w:rPr>
      </w:pPr>
      <w:r>
        <w:rPr>
          <w:color w:val="auto"/>
          <w:szCs w:val="21"/>
          <w:highlight w:val="none"/>
        </w:rPr>
        <w:t>(</w:t>
      </w:r>
      <w:r>
        <w:rPr>
          <w:rFonts w:hint="eastAsia"/>
          <w:color w:val="auto"/>
          <w:szCs w:val="21"/>
          <w:highlight w:val="none"/>
        </w:rPr>
        <w:t>3</w:t>
      </w:r>
      <w:r>
        <w:rPr>
          <w:color w:val="auto"/>
          <w:szCs w:val="21"/>
          <w:highlight w:val="none"/>
        </w:rPr>
        <w:t>)</w:t>
      </w:r>
      <w:r>
        <w:rPr>
          <w:rFonts w:hint="eastAsia"/>
          <w:color w:val="auto"/>
          <w:szCs w:val="21"/>
          <w:highlight w:val="none"/>
        </w:rPr>
        <w:t>质量管理</w:t>
      </w:r>
      <w:r>
        <w:rPr>
          <w:color w:val="auto"/>
          <w:szCs w:val="21"/>
          <w:highlight w:val="none"/>
        </w:rPr>
        <w:t>记录的原始记录包括作业记录、测量记录、试验记录、检验记录及验收记录</w:t>
      </w:r>
      <w:r>
        <w:rPr>
          <w:rFonts w:hint="eastAsia"/>
          <w:color w:val="auto"/>
          <w:szCs w:val="21"/>
          <w:highlight w:val="none"/>
        </w:rPr>
        <w:t>，</w:t>
      </w:r>
      <w:r>
        <w:rPr>
          <w:color w:val="auto"/>
          <w:szCs w:val="21"/>
          <w:highlight w:val="none"/>
        </w:rPr>
        <w:t>地基、基础、填挖交界碾压，墙台背回填等</w:t>
      </w:r>
      <w:r>
        <w:rPr>
          <w:rFonts w:hint="eastAsia"/>
          <w:color w:val="auto"/>
          <w:szCs w:val="21"/>
          <w:highlight w:val="none"/>
        </w:rPr>
        <w:t>隐蔽工程</w:t>
      </w:r>
      <w:r>
        <w:rPr>
          <w:color w:val="auto"/>
          <w:szCs w:val="21"/>
          <w:highlight w:val="none"/>
        </w:rPr>
        <w:t>应摄象或照相作为现场记录保存</w:t>
      </w:r>
      <w:r>
        <w:rPr>
          <w:rFonts w:hint="eastAsia"/>
          <w:color w:val="auto"/>
          <w:szCs w:val="21"/>
          <w:highlight w:val="none"/>
        </w:rPr>
        <w:t>。</w:t>
      </w:r>
    </w:p>
    <w:p>
      <w:pPr>
        <w:spacing w:line="340" w:lineRule="exact"/>
        <w:ind w:firstLine="420"/>
        <w:rPr>
          <w:color w:val="auto"/>
          <w:szCs w:val="21"/>
          <w:highlight w:val="none"/>
        </w:rPr>
      </w:pPr>
      <w:r>
        <w:rPr>
          <w:color w:val="auto"/>
          <w:szCs w:val="21"/>
          <w:highlight w:val="none"/>
        </w:rPr>
        <w:t>(</w:t>
      </w:r>
      <w:r>
        <w:rPr>
          <w:rFonts w:hint="eastAsia"/>
          <w:color w:val="auto"/>
          <w:szCs w:val="21"/>
          <w:highlight w:val="none"/>
        </w:rPr>
        <w:t>4</w:t>
      </w:r>
      <w:r>
        <w:rPr>
          <w:color w:val="auto"/>
          <w:szCs w:val="21"/>
          <w:highlight w:val="none"/>
        </w:rPr>
        <w:t>)加强对质量通病的预防与治理，减少工程质量隐患。</w:t>
      </w:r>
    </w:p>
    <w:p>
      <w:pPr>
        <w:spacing w:line="340" w:lineRule="exact"/>
        <w:ind w:firstLine="420"/>
        <w:rPr>
          <w:color w:val="auto"/>
          <w:szCs w:val="21"/>
          <w:highlight w:val="none"/>
        </w:rPr>
      </w:pPr>
      <w:r>
        <w:rPr>
          <w:color w:val="auto"/>
          <w:szCs w:val="21"/>
          <w:highlight w:val="none"/>
        </w:rPr>
        <w:t>(</w:t>
      </w:r>
      <w:r>
        <w:rPr>
          <w:rFonts w:hint="eastAsia"/>
          <w:color w:val="auto"/>
          <w:szCs w:val="21"/>
          <w:highlight w:val="none"/>
        </w:rPr>
        <w:t>5</w:t>
      </w:r>
      <w:r>
        <w:rPr>
          <w:color w:val="auto"/>
          <w:szCs w:val="21"/>
          <w:highlight w:val="none"/>
        </w:rPr>
        <w:t>)</w:t>
      </w:r>
      <w:r>
        <w:rPr>
          <w:rFonts w:hint="eastAsia"/>
          <w:color w:val="auto"/>
          <w:szCs w:val="21"/>
          <w:highlight w:val="none"/>
        </w:rPr>
        <w:t>承包人应加强工程进度计划管理，努力实现均衡组织施工的目标。</w:t>
      </w:r>
    </w:p>
    <w:p>
      <w:pPr>
        <w:spacing w:line="340" w:lineRule="exact"/>
        <w:ind w:firstLine="420"/>
        <w:rPr>
          <w:color w:val="auto"/>
          <w:szCs w:val="21"/>
          <w:highlight w:val="none"/>
        </w:rPr>
      </w:pPr>
      <w:r>
        <w:rPr>
          <w:rFonts w:hint="eastAsia"/>
          <w:color w:val="auto"/>
          <w:szCs w:val="21"/>
          <w:highlight w:val="none"/>
        </w:rPr>
        <w:t>a旧路改建工程或施工影响原有道路交通的，应根据施工必须保证交通通畅的特点，科学合理安排施工时间，采取妥当的施工方法，避免在雨季破坏旧路利用新路基维持交通，对破坏旧路的路段应及时安排路面施工，确保不影响道路交通畅通。关键工程及分项应有独立详细的施工组织设计，并采取措施确保落实。</w:t>
      </w:r>
    </w:p>
    <w:p>
      <w:pPr>
        <w:spacing w:line="340" w:lineRule="exact"/>
        <w:ind w:firstLine="420"/>
        <w:rPr>
          <w:color w:val="auto"/>
          <w:szCs w:val="21"/>
          <w:highlight w:val="none"/>
        </w:rPr>
      </w:pPr>
      <w:r>
        <w:rPr>
          <w:rFonts w:hint="eastAsia"/>
          <w:color w:val="auto"/>
          <w:szCs w:val="21"/>
          <w:highlight w:val="none"/>
        </w:rPr>
        <w:t>b  路面碎石材料的采备至少应与路基施工进度同步。</w:t>
      </w:r>
    </w:p>
    <w:p>
      <w:pPr>
        <w:spacing w:line="340" w:lineRule="exact"/>
        <w:ind w:firstLine="420"/>
        <w:rPr>
          <w:color w:val="auto"/>
          <w:szCs w:val="21"/>
          <w:highlight w:val="none"/>
        </w:rPr>
      </w:pPr>
      <w:r>
        <w:rPr>
          <w:rFonts w:hint="eastAsia"/>
          <w:color w:val="auto"/>
          <w:szCs w:val="21"/>
          <w:highlight w:val="none"/>
        </w:rPr>
        <w:t>(7)承包人应加强文明施工，保障道路通畅的管理</w:t>
      </w:r>
    </w:p>
    <w:p>
      <w:pPr>
        <w:spacing w:line="340" w:lineRule="exact"/>
        <w:ind w:firstLine="420"/>
        <w:rPr>
          <w:color w:val="auto"/>
          <w:szCs w:val="21"/>
          <w:highlight w:val="none"/>
        </w:rPr>
      </w:pPr>
      <w:r>
        <w:rPr>
          <w:rFonts w:hint="eastAsia"/>
          <w:color w:val="auto"/>
          <w:szCs w:val="21"/>
          <w:highlight w:val="none"/>
        </w:rPr>
        <w:t>a.承包人在施工期内应按国家、交通主管部门与公路管理机构文明施工，保障畅通的有关规定组织施工，对出现的交通堵塞无条件地采取措施进行疏通。</w:t>
      </w:r>
    </w:p>
    <w:p>
      <w:pPr>
        <w:tabs>
          <w:tab w:val="left" w:pos="3193"/>
        </w:tabs>
        <w:spacing w:line="340" w:lineRule="exact"/>
        <w:ind w:firstLine="440" w:firstLineChars="200"/>
        <w:rPr>
          <w:color w:val="auto"/>
          <w:szCs w:val="21"/>
          <w:highlight w:val="none"/>
        </w:rPr>
      </w:pPr>
      <w:r>
        <w:rPr>
          <w:rFonts w:hint="eastAsia"/>
          <w:color w:val="auto"/>
          <w:szCs w:val="21"/>
          <w:highlight w:val="none"/>
        </w:rPr>
        <w:t>b 旧路改建工程项目</w:t>
      </w:r>
    </w:p>
    <w:p>
      <w:pPr>
        <w:tabs>
          <w:tab w:val="left" w:pos="3193"/>
        </w:tabs>
        <w:spacing w:line="340" w:lineRule="exact"/>
        <w:ind w:firstLine="440" w:firstLineChars="200"/>
        <w:rPr>
          <w:color w:val="auto"/>
          <w:szCs w:val="21"/>
          <w:highlight w:val="none"/>
        </w:rPr>
      </w:pPr>
      <w:r>
        <w:rPr>
          <w:rFonts w:hint="eastAsia"/>
          <w:color w:val="auto"/>
          <w:szCs w:val="21"/>
          <w:highlight w:val="none"/>
        </w:rPr>
        <w:t>(i)破坏旧路必须作出交通维持与恢复路面通行条件方案并必须取得监理工程师与业主的批准，未经批准进行旧路开挖与填筑的，业主和监理工程师 有权责令停工，并由承包人恢复原良好的通车条件，并需承担一切费用。</w:t>
      </w:r>
    </w:p>
    <w:p>
      <w:pPr>
        <w:tabs>
          <w:tab w:val="left" w:pos="3193"/>
        </w:tabs>
        <w:spacing w:line="340" w:lineRule="exact"/>
        <w:ind w:firstLine="440" w:firstLineChars="200"/>
        <w:rPr>
          <w:color w:val="auto"/>
          <w:szCs w:val="21"/>
          <w:highlight w:val="none"/>
        </w:rPr>
      </w:pPr>
      <w:r>
        <w:rPr>
          <w:rFonts w:hint="eastAsia"/>
          <w:color w:val="auto"/>
          <w:szCs w:val="21"/>
          <w:highlight w:val="none"/>
        </w:rPr>
        <w:t>(ii)不得在道路上堆放材料或占道施工影响交通。</w:t>
      </w:r>
    </w:p>
    <w:p>
      <w:pPr>
        <w:tabs>
          <w:tab w:val="left" w:pos="3193"/>
        </w:tabs>
        <w:spacing w:line="340" w:lineRule="exact"/>
        <w:ind w:firstLine="440" w:firstLineChars="200"/>
        <w:rPr>
          <w:color w:val="auto"/>
          <w:szCs w:val="21"/>
          <w:highlight w:val="none"/>
        </w:rPr>
      </w:pPr>
      <w:r>
        <w:rPr>
          <w:rFonts w:hint="eastAsia"/>
          <w:color w:val="auto"/>
          <w:szCs w:val="21"/>
          <w:highlight w:val="none"/>
        </w:rPr>
        <w:t>路基、路面施工应避免出现晴天扬尘，雨天打滑影响安全与交通和影响群众生活、生产的现象。维持交通的路基施工应保证表面平整，保证通畅。</w:t>
      </w:r>
    </w:p>
    <w:p>
      <w:pPr>
        <w:tabs>
          <w:tab w:val="left" w:pos="3193"/>
        </w:tabs>
        <w:spacing w:line="340" w:lineRule="exact"/>
        <w:ind w:firstLine="440" w:firstLineChars="200"/>
        <w:rPr>
          <w:color w:val="auto"/>
          <w:szCs w:val="21"/>
          <w:highlight w:val="none"/>
        </w:rPr>
      </w:pPr>
      <w:r>
        <w:rPr>
          <w:rFonts w:hint="eastAsia"/>
          <w:color w:val="auto"/>
          <w:szCs w:val="21"/>
          <w:highlight w:val="none"/>
        </w:rPr>
        <w:t>(8)承包人应自觉接受交通主管部门、质量监督单位、公路管理机构的监督，对指出的问题进行认真的整改，及时报告处理结果。</w:t>
      </w:r>
    </w:p>
    <w:p>
      <w:pPr>
        <w:spacing w:line="340" w:lineRule="exact"/>
        <w:ind w:firstLine="440" w:firstLineChars="200"/>
        <w:rPr>
          <w:color w:val="auto"/>
          <w:szCs w:val="21"/>
          <w:highlight w:val="none"/>
        </w:rPr>
      </w:pPr>
      <w:r>
        <w:rPr>
          <w:rFonts w:hint="eastAsia"/>
          <w:color w:val="auto"/>
          <w:szCs w:val="21"/>
          <w:highlight w:val="none"/>
        </w:rPr>
        <w:t>在整个施工过程中，监理工程师、业主对承包人履行责任有权进行监督，并向承包人提出整改要求。承包人应认真履行责任，执行业主、监理工程师的指令，否则将按第22.1款视为承包人违约。</w:t>
      </w:r>
    </w:p>
    <w:p>
      <w:pPr>
        <w:tabs>
          <w:tab w:val="left" w:pos="1080"/>
        </w:tabs>
        <w:spacing w:line="340" w:lineRule="exact"/>
        <w:rPr>
          <w:color w:val="auto"/>
          <w:szCs w:val="21"/>
          <w:highlight w:val="none"/>
        </w:rPr>
      </w:pPr>
      <w:r>
        <w:rPr>
          <w:color w:val="auto"/>
          <w:szCs w:val="21"/>
          <w:highlight w:val="none"/>
        </w:rPr>
        <w:t>17.1  计量</w:t>
      </w:r>
    </w:p>
    <w:p>
      <w:pPr>
        <w:tabs>
          <w:tab w:val="left" w:pos="1080"/>
        </w:tabs>
        <w:spacing w:line="340" w:lineRule="exact"/>
        <w:ind w:firstLine="440" w:firstLineChars="200"/>
        <w:rPr>
          <w:color w:val="auto"/>
          <w:szCs w:val="21"/>
          <w:highlight w:val="none"/>
          <w:u w:val="single"/>
        </w:rPr>
      </w:pPr>
      <w:r>
        <w:rPr>
          <w:color w:val="auto"/>
          <w:szCs w:val="21"/>
          <w:highlight w:val="none"/>
        </w:rPr>
        <w:t>17.1.5  本项目工程量清单中总额价子目的支付原则和支付进度：</w:t>
      </w:r>
      <w:r>
        <w:rPr>
          <w:rFonts w:hint="eastAsia"/>
          <w:color w:val="auto"/>
          <w:szCs w:val="21"/>
          <w:highlight w:val="none"/>
          <w:u w:val="single"/>
        </w:rPr>
        <w:t xml:space="preserve">                   </w:t>
      </w:r>
    </w:p>
    <w:p>
      <w:pPr>
        <w:tabs>
          <w:tab w:val="left" w:pos="1080"/>
        </w:tabs>
        <w:spacing w:line="340" w:lineRule="exact"/>
        <w:rPr>
          <w:color w:val="auto"/>
          <w:szCs w:val="21"/>
          <w:highlight w:val="none"/>
        </w:rPr>
      </w:pPr>
      <w:r>
        <w:rPr>
          <w:color w:val="auto"/>
          <w:szCs w:val="21"/>
          <w:highlight w:val="none"/>
        </w:rPr>
        <w:t>17.3  工程进度付款</w:t>
      </w:r>
    </w:p>
    <w:p>
      <w:pPr>
        <w:tabs>
          <w:tab w:val="left" w:pos="1080"/>
        </w:tabs>
        <w:spacing w:line="340" w:lineRule="exact"/>
        <w:ind w:firstLine="440" w:firstLineChars="200"/>
        <w:rPr>
          <w:color w:val="auto"/>
          <w:szCs w:val="21"/>
          <w:highlight w:val="none"/>
        </w:rPr>
      </w:pPr>
      <w:r>
        <w:rPr>
          <w:color w:val="auto"/>
          <w:szCs w:val="21"/>
          <w:highlight w:val="none"/>
        </w:rPr>
        <w:t xml:space="preserve">17.3.5农民工工资保证金的缴存时间： </w:t>
      </w:r>
      <w:r>
        <w:rPr>
          <w:rFonts w:hint="eastAsia"/>
          <w:color w:val="auto"/>
          <w:szCs w:val="21"/>
          <w:highlight w:val="none"/>
          <w:u w:val="single"/>
        </w:rPr>
        <w:t xml:space="preserve">                   </w:t>
      </w:r>
    </w:p>
    <w:p>
      <w:pPr>
        <w:tabs>
          <w:tab w:val="left" w:pos="1080"/>
        </w:tabs>
        <w:spacing w:line="340" w:lineRule="exact"/>
        <w:ind w:firstLine="440" w:firstLineChars="200"/>
        <w:rPr>
          <w:color w:val="auto"/>
          <w:szCs w:val="21"/>
          <w:highlight w:val="none"/>
        </w:rPr>
      </w:pPr>
      <w:r>
        <w:rPr>
          <w:color w:val="auto"/>
          <w:szCs w:val="21"/>
          <w:highlight w:val="none"/>
        </w:rPr>
        <w:t>农民工工资保证金的缴存金额：</w:t>
      </w:r>
      <w:r>
        <w:rPr>
          <w:rFonts w:hint="eastAsia"/>
          <w:color w:val="auto"/>
          <w:szCs w:val="21"/>
          <w:highlight w:val="none"/>
          <w:u w:val="single"/>
        </w:rPr>
        <w:t xml:space="preserve">                   </w:t>
      </w:r>
    </w:p>
    <w:p>
      <w:pPr>
        <w:tabs>
          <w:tab w:val="left" w:pos="1080"/>
        </w:tabs>
        <w:spacing w:line="340" w:lineRule="exact"/>
        <w:ind w:firstLine="440" w:firstLineChars="200"/>
        <w:rPr>
          <w:color w:val="auto"/>
          <w:szCs w:val="21"/>
          <w:highlight w:val="none"/>
        </w:rPr>
      </w:pPr>
      <w:r>
        <w:rPr>
          <w:color w:val="auto"/>
          <w:szCs w:val="21"/>
          <w:highlight w:val="none"/>
        </w:rPr>
        <w:t>农民工工资保证金的扣留条件：</w:t>
      </w:r>
      <w:r>
        <w:rPr>
          <w:rFonts w:hint="eastAsia"/>
          <w:color w:val="auto"/>
          <w:szCs w:val="21"/>
          <w:highlight w:val="none"/>
          <w:u w:val="single"/>
        </w:rPr>
        <w:t xml:space="preserve">                   </w:t>
      </w:r>
      <w:r>
        <w:rPr>
          <w:color w:val="auto"/>
          <w:szCs w:val="21"/>
          <w:highlight w:val="none"/>
        </w:rPr>
        <w:t xml:space="preserve">                                                     </w:t>
      </w:r>
    </w:p>
    <w:p>
      <w:pPr>
        <w:tabs>
          <w:tab w:val="left" w:pos="1080"/>
        </w:tabs>
        <w:spacing w:line="340" w:lineRule="exact"/>
        <w:ind w:firstLine="440" w:firstLineChars="200"/>
        <w:rPr>
          <w:color w:val="auto"/>
          <w:szCs w:val="21"/>
          <w:highlight w:val="none"/>
        </w:rPr>
      </w:pPr>
      <w:r>
        <w:rPr>
          <w:color w:val="auto"/>
          <w:szCs w:val="21"/>
          <w:highlight w:val="none"/>
        </w:rPr>
        <w:t>农民工工资保证金的返还时间：</w:t>
      </w:r>
      <w:r>
        <w:rPr>
          <w:rFonts w:hint="eastAsia"/>
          <w:color w:val="auto"/>
          <w:szCs w:val="21"/>
          <w:highlight w:val="none"/>
          <w:u w:val="single"/>
        </w:rPr>
        <w:t xml:space="preserve">                   </w:t>
      </w:r>
    </w:p>
    <w:p>
      <w:pPr>
        <w:tabs>
          <w:tab w:val="left" w:pos="1080"/>
        </w:tabs>
        <w:spacing w:line="340" w:lineRule="exact"/>
        <w:rPr>
          <w:color w:val="auto"/>
          <w:szCs w:val="21"/>
          <w:highlight w:val="none"/>
        </w:rPr>
      </w:pPr>
      <w:r>
        <w:rPr>
          <w:rFonts w:hint="eastAsia"/>
          <w:color w:val="auto"/>
          <w:szCs w:val="21"/>
          <w:highlight w:val="none"/>
        </w:rPr>
        <w:t>18.3 验收</w:t>
      </w:r>
    </w:p>
    <w:p>
      <w:pPr>
        <w:spacing w:line="340" w:lineRule="exact"/>
        <w:ind w:firstLine="440" w:firstLineChars="200"/>
        <w:rPr>
          <w:color w:val="auto"/>
          <w:szCs w:val="21"/>
          <w:highlight w:val="none"/>
        </w:rPr>
      </w:pPr>
      <w:r>
        <w:rPr>
          <w:rFonts w:hint="eastAsia"/>
          <w:color w:val="auto"/>
          <w:szCs w:val="21"/>
          <w:highlight w:val="none"/>
        </w:rPr>
        <w:t>18.3.7 （增加）组织办理交工验收和签发交工证书的费用由承包人承担，其费用包含在相关单价或总额价中，业主不单独另外计量与支付。</w:t>
      </w:r>
    </w:p>
    <w:p>
      <w:pPr>
        <w:tabs>
          <w:tab w:val="left" w:pos="1080"/>
        </w:tabs>
        <w:spacing w:line="340" w:lineRule="exact"/>
        <w:rPr>
          <w:color w:val="auto"/>
          <w:szCs w:val="21"/>
          <w:highlight w:val="none"/>
        </w:rPr>
      </w:pPr>
      <w:r>
        <w:rPr>
          <w:rFonts w:hint="eastAsia"/>
          <w:color w:val="auto"/>
          <w:szCs w:val="21"/>
          <w:highlight w:val="none"/>
        </w:rPr>
        <w:t>18.9竣工文件</w:t>
      </w:r>
    </w:p>
    <w:p>
      <w:pPr>
        <w:spacing w:line="340" w:lineRule="exact"/>
        <w:rPr>
          <w:color w:val="auto"/>
          <w:szCs w:val="21"/>
          <w:highlight w:val="none"/>
        </w:rPr>
      </w:pPr>
      <w:r>
        <w:rPr>
          <w:rFonts w:hint="eastAsia"/>
          <w:color w:val="auto"/>
          <w:szCs w:val="21"/>
          <w:highlight w:val="none"/>
        </w:rPr>
        <w:t xml:space="preserve"> （增加）工程竣工文件的立卷归档按交通部《公路工程竣工文件材料立卷归档管理办法》（交办发[2001]390号）和广西壮族自治区公路管理局《广西公路网建设工程档案验收办法》（路工程函[2005]591号）执行。</w:t>
      </w:r>
    </w:p>
    <w:p>
      <w:pPr>
        <w:spacing w:line="340" w:lineRule="exact"/>
        <w:rPr>
          <w:color w:val="auto"/>
          <w:szCs w:val="21"/>
          <w:highlight w:val="none"/>
        </w:rPr>
      </w:pPr>
      <w:r>
        <w:rPr>
          <w:rFonts w:hint="eastAsia"/>
          <w:color w:val="auto"/>
          <w:szCs w:val="21"/>
          <w:highlight w:val="none"/>
        </w:rPr>
        <w:t>21.1不可抗力的确认</w:t>
      </w:r>
    </w:p>
    <w:p>
      <w:pPr>
        <w:tabs>
          <w:tab w:val="left" w:pos="3193"/>
        </w:tabs>
        <w:spacing w:line="340" w:lineRule="exact"/>
        <w:ind w:firstLine="440" w:firstLineChars="200"/>
        <w:rPr>
          <w:color w:val="auto"/>
          <w:szCs w:val="21"/>
          <w:highlight w:val="none"/>
        </w:rPr>
      </w:pPr>
      <w:r>
        <w:rPr>
          <w:rFonts w:hint="eastAsia"/>
          <w:color w:val="auto"/>
          <w:szCs w:val="21"/>
          <w:highlight w:val="none"/>
        </w:rPr>
        <w:t>21.1.1（6）不可抗力的其他情形：</w:t>
      </w:r>
      <w:r>
        <w:rPr>
          <w:rFonts w:hint="eastAsia"/>
          <w:color w:val="auto"/>
          <w:szCs w:val="21"/>
          <w:highlight w:val="none"/>
          <w:u w:val="single"/>
        </w:rPr>
        <w:t xml:space="preserve">   按通用条款内容   </w:t>
      </w:r>
    </w:p>
    <w:p>
      <w:pPr>
        <w:spacing w:line="340" w:lineRule="exact"/>
        <w:rPr>
          <w:color w:val="auto"/>
          <w:szCs w:val="21"/>
          <w:highlight w:val="none"/>
        </w:rPr>
      </w:pPr>
      <w:r>
        <w:rPr>
          <w:rFonts w:hint="eastAsia"/>
          <w:color w:val="auto"/>
          <w:szCs w:val="21"/>
          <w:highlight w:val="none"/>
        </w:rPr>
        <w:t>22.1承包人违约</w:t>
      </w:r>
    </w:p>
    <w:p>
      <w:pPr>
        <w:pStyle w:val="24"/>
        <w:spacing w:line="340" w:lineRule="exact"/>
        <w:rPr>
          <w:rFonts w:ascii="宋体" w:hAnsi="宋体" w:eastAsia="宋体"/>
          <w:color w:val="auto"/>
          <w:sz w:val="21"/>
          <w:szCs w:val="21"/>
          <w:highlight w:val="none"/>
        </w:rPr>
      </w:pPr>
      <w:r>
        <w:rPr>
          <w:rFonts w:hint="eastAsia" w:ascii="宋体" w:hAnsi="宋体" w:eastAsia="宋体"/>
          <w:color w:val="auto"/>
          <w:sz w:val="21"/>
          <w:szCs w:val="21"/>
          <w:highlight w:val="none"/>
        </w:rPr>
        <w:t>22.1.2当承包人发生第22.1.1项约定的违约情况时，发包人有权向承包人处以违约金，具体约定如下：违约金处理：</w:t>
      </w:r>
    </w:p>
    <w:p>
      <w:pPr>
        <w:pStyle w:val="24"/>
        <w:spacing w:line="340" w:lineRule="exact"/>
        <w:rPr>
          <w:rFonts w:ascii="宋体" w:hAnsi="宋体" w:eastAsia="宋体"/>
          <w:color w:val="auto"/>
          <w:sz w:val="21"/>
          <w:szCs w:val="21"/>
          <w:highlight w:val="none"/>
        </w:rPr>
      </w:pPr>
      <w:r>
        <w:rPr>
          <w:rFonts w:hint="eastAsia" w:ascii="宋体" w:hAnsi="宋体" w:eastAsia="宋体"/>
          <w:color w:val="auto"/>
          <w:sz w:val="21"/>
          <w:szCs w:val="21"/>
          <w:highlight w:val="none"/>
        </w:rPr>
        <w:t>22.1.2.1有本项（1）目行为的，可对承包人处以以下的违约金。</w:t>
      </w:r>
    </w:p>
    <w:p>
      <w:pPr>
        <w:pStyle w:val="24"/>
        <w:spacing w:line="340" w:lineRule="exact"/>
        <w:rPr>
          <w:rFonts w:ascii="宋体" w:hAnsi="宋体" w:eastAsia="宋体"/>
          <w:color w:val="auto"/>
          <w:sz w:val="21"/>
          <w:szCs w:val="21"/>
          <w:highlight w:val="none"/>
        </w:rPr>
      </w:pPr>
      <w:r>
        <w:rPr>
          <w:rFonts w:hint="eastAsia" w:ascii="宋体" w:hAnsi="宋体" w:eastAsia="宋体"/>
          <w:color w:val="auto"/>
          <w:sz w:val="21"/>
          <w:szCs w:val="21"/>
          <w:highlight w:val="none"/>
        </w:rPr>
        <w:t>a．由于承包人没有履行合同规定的义务与责任，同类事件第一次被监理工程师、业主工作指令整改的处500元/次；第二次出现指令整改的处1000元/次；多次重复出现被责令整改的处5000元/次。</w:t>
      </w:r>
    </w:p>
    <w:p>
      <w:pPr>
        <w:pStyle w:val="24"/>
        <w:spacing w:line="340" w:lineRule="exact"/>
        <w:rPr>
          <w:rFonts w:ascii="宋体" w:hAnsi="宋体" w:eastAsia="宋体"/>
          <w:color w:val="auto"/>
          <w:sz w:val="21"/>
          <w:szCs w:val="21"/>
          <w:highlight w:val="none"/>
        </w:rPr>
      </w:pPr>
      <w:r>
        <w:rPr>
          <w:rFonts w:hint="eastAsia" w:ascii="宋体" w:hAnsi="宋体" w:eastAsia="宋体"/>
          <w:color w:val="auto"/>
          <w:sz w:val="21"/>
          <w:szCs w:val="21"/>
          <w:highlight w:val="none"/>
        </w:rPr>
        <w:t>b．在指令规定时间内拒不整改的同一事件被第二次及以上责令整改的处2000元/次。</w:t>
      </w:r>
    </w:p>
    <w:p>
      <w:pPr>
        <w:pStyle w:val="24"/>
        <w:spacing w:line="340" w:lineRule="exact"/>
        <w:ind w:firstLine="411"/>
        <w:rPr>
          <w:rFonts w:ascii="宋体" w:hAnsi="宋体" w:eastAsia="宋体"/>
          <w:color w:val="auto"/>
          <w:sz w:val="21"/>
          <w:szCs w:val="21"/>
          <w:highlight w:val="none"/>
        </w:rPr>
      </w:pPr>
      <w:r>
        <w:rPr>
          <w:rFonts w:hint="eastAsia" w:ascii="宋体" w:hAnsi="宋体" w:eastAsia="宋体"/>
          <w:color w:val="auto"/>
          <w:sz w:val="21"/>
          <w:szCs w:val="21"/>
          <w:highlight w:val="none"/>
        </w:rPr>
        <w:t>22.1.2.2有本项（2）、（3）、（5）、（6）目行为的，除按合同相关条款处理外，由监理工程师发出整改工作指令，按22.1.2.1对承包人处以违约金。</w:t>
      </w:r>
    </w:p>
    <w:p>
      <w:pPr>
        <w:pStyle w:val="24"/>
        <w:spacing w:line="340" w:lineRule="exact"/>
        <w:rPr>
          <w:rFonts w:ascii="宋体" w:hAnsi="宋体" w:eastAsia="宋体"/>
          <w:color w:val="auto"/>
          <w:sz w:val="21"/>
          <w:szCs w:val="21"/>
          <w:highlight w:val="none"/>
        </w:rPr>
      </w:pPr>
      <w:r>
        <w:rPr>
          <w:rFonts w:hint="eastAsia" w:ascii="宋体" w:hAnsi="宋体" w:eastAsia="宋体"/>
          <w:color w:val="auto"/>
          <w:sz w:val="21"/>
          <w:szCs w:val="21"/>
          <w:highlight w:val="none"/>
        </w:rPr>
        <w:t>22.1.2.3有本项（4）、（7）目行为的，可对承包人处以以下的违约金。</w:t>
      </w:r>
    </w:p>
    <w:p>
      <w:pPr>
        <w:pStyle w:val="24"/>
        <w:spacing w:line="340" w:lineRule="exact"/>
        <w:rPr>
          <w:rFonts w:ascii="宋体" w:hAnsi="宋体" w:eastAsia="宋体"/>
          <w:color w:val="auto"/>
          <w:sz w:val="21"/>
          <w:szCs w:val="21"/>
          <w:highlight w:val="none"/>
        </w:rPr>
      </w:pPr>
      <w:r>
        <w:rPr>
          <w:rFonts w:hint="eastAsia" w:ascii="宋体" w:hAnsi="宋体" w:eastAsia="宋体"/>
          <w:color w:val="auto"/>
          <w:sz w:val="21"/>
          <w:szCs w:val="21"/>
          <w:highlight w:val="none"/>
        </w:rPr>
        <w:t>a．未按规定开工的，可处以1000元/天的业主延期损失偿金。</w:t>
      </w:r>
    </w:p>
    <w:p>
      <w:pPr>
        <w:pStyle w:val="24"/>
        <w:spacing w:line="340" w:lineRule="exact"/>
        <w:rPr>
          <w:rFonts w:ascii="宋体" w:hAnsi="宋体" w:eastAsia="宋体"/>
          <w:color w:val="auto"/>
          <w:sz w:val="21"/>
          <w:szCs w:val="21"/>
          <w:highlight w:val="none"/>
        </w:rPr>
      </w:pPr>
      <w:r>
        <w:rPr>
          <w:rFonts w:hint="eastAsia" w:ascii="宋体" w:hAnsi="宋体" w:eastAsia="宋体"/>
          <w:color w:val="auto"/>
          <w:sz w:val="21"/>
          <w:szCs w:val="21"/>
          <w:highlight w:val="none"/>
        </w:rPr>
        <w:t>b．未按指令采取措施加快进行本工程或其关键部分的施工，可处以1000元/天的业主延期损失偿金。</w:t>
      </w:r>
    </w:p>
    <w:p>
      <w:pPr>
        <w:pStyle w:val="24"/>
        <w:spacing w:line="340" w:lineRule="exact"/>
        <w:rPr>
          <w:rFonts w:ascii="宋体" w:hAnsi="宋体" w:eastAsia="宋体"/>
          <w:color w:val="auto"/>
          <w:sz w:val="21"/>
          <w:szCs w:val="21"/>
          <w:highlight w:val="none"/>
        </w:rPr>
      </w:pPr>
      <w:r>
        <w:rPr>
          <w:rFonts w:hint="eastAsia" w:ascii="宋体" w:hAnsi="宋体" w:eastAsia="宋体"/>
          <w:color w:val="auto"/>
          <w:sz w:val="21"/>
          <w:szCs w:val="21"/>
          <w:highlight w:val="none"/>
        </w:rPr>
        <w:t>c．未按均衡组织施工要求组织施工的，处每项1000元/月次。</w:t>
      </w:r>
    </w:p>
    <w:p>
      <w:pPr>
        <w:pStyle w:val="24"/>
        <w:spacing w:line="340" w:lineRule="exact"/>
        <w:rPr>
          <w:rFonts w:ascii="宋体" w:hAnsi="宋体" w:eastAsia="宋体"/>
          <w:color w:val="auto"/>
          <w:sz w:val="21"/>
          <w:szCs w:val="21"/>
          <w:highlight w:val="none"/>
        </w:rPr>
      </w:pPr>
      <w:r>
        <w:rPr>
          <w:rFonts w:hint="eastAsia" w:ascii="宋体" w:hAnsi="宋体" w:eastAsia="宋体"/>
          <w:color w:val="auto"/>
          <w:sz w:val="21"/>
          <w:szCs w:val="21"/>
          <w:highlight w:val="none"/>
        </w:rPr>
        <w:t>22.1.2.4有本项（8）目行为的，可对承包人按以下处以违约金。</w:t>
      </w:r>
    </w:p>
    <w:p>
      <w:pPr>
        <w:pStyle w:val="24"/>
        <w:spacing w:line="340" w:lineRule="exact"/>
        <w:rPr>
          <w:rFonts w:ascii="宋体" w:hAnsi="宋体" w:eastAsia="宋体"/>
          <w:color w:val="auto"/>
          <w:sz w:val="21"/>
          <w:szCs w:val="21"/>
          <w:highlight w:val="none"/>
        </w:rPr>
      </w:pPr>
      <w:r>
        <w:rPr>
          <w:rFonts w:hint="eastAsia" w:ascii="宋体" w:hAnsi="宋体" w:eastAsia="宋体"/>
          <w:color w:val="auto"/>
          <w:sz w:val="21"/>
          <w:szCs w:val="21"/>
          <w:highlight w:val="none"/>
        </w:rPr>
        <w:t>a.承包人未经业主、监理工程师同意更换人员，项目经理处2万元/次，总工（或技术负责人）处1万元/次。</w:t>
      </w:r>
    </w:p>
    <w:p>
      <w:pPr>
        <w:pStyle w:val="24"/>
        <w:spacing w:line="340" w:lineRule="exact"/>
        <w:rPr>
          <w:rFonts w:ascii="宋体" w:hAnsi="宋体" w:eastAsia="宋体"/>
          <w:color w:val="auto"/>
          <w:sz w:val="21"/>
          <w:szCs w:val="21"/>
          <w:highlight w:val="none"/>
        </w:rPr>
      </w:pPr>
      <w:r>
        <w:rPr>
          <w:rFonts w:hint="eastAsia" w:ascii="宋体" w:hAnsi="宋体" w:eastAsia="宋体"/>
          <w:color w:val="auto"/>
          <w:sz w:val="21"/>
          <w:szCs w:val="21"/>
          <w:highlight w:val="none"/>
        </w:rPr>
        <w:t>b.项目经理、总工每月驻工地不满25天，处200元/人·月，其他主要人员处100元/人·月。</w:t>
      </w:r>
    </w:p>
    <w:p>
      <w:pPr>
        <w:pStyle w:val="24"/>
        <w:spacing w:line="340" w:lineRule="exact"/>
        <w:rPr>
          <w:rFonts w:ascii="宋体" w:hAnsi="宋体" w:eastAsia="宋体"/>
          <w:color w:val="auto"/>
          <w:sz w:val="21"/>
          <w:szCs w:val="21"/>
          <w:highlight w:val="none"/>
        </w:rPr>
      </w:pPr>
      <w:r>
        <w:rPr>
          <w:rFonts w:hint="eastAsia" w:ascii="宋体" w:hAnsi="宋体" w:eastAsia="宋体"/>
          <w:color w:val="auto"/>
          <w:sz w:val="21"/>
          <w:szCs w:val="21"/>
          <w:highlight w:val="none"/>
        </w:rPr>
        <w:t>c.未经请假准允离开工地，经理、总工处500元/人·日，其他主要人员处100元/人·日。</w:t>
      </w:r>
    </w:p>
    <w:p>
      <w:pPr>
        <w:pStyle w:val="24"/>
        <w:spacing w:line="340" w:lineRule="exact"/>
        <w:rPr>
          <w:rFonts w:ascii="宋体" w:hAnsi="宋体" w:eastAsia="宋体"/>
          <w:color w:val="auto"/>
          <w:sz w:val="21"/>
          <w:szCs w:val="21"/>
          <w:highlight w:val="none"/>
        </w:rPr>
      </w:pPr>
      <w:r>
        <w:rPr>
          <w:rFonts w:hint="eastAsia" w:ascii="宋体" w:hAnsi="宋体" w:eastAsia="宋体"/>
          <w:color w:val="auto"/>
          <w:sz w:val="21"/>
          <w:szCs w:val="21"/>
          <w:highlight w:val="none"/>
        </w:rPr>
        <w:t>d.主要设备没有按承诺进场的处500元台/日。</w:t>
      </w:r>
    </w:p>
    <w:p>
      <w:pPr>
        <w:pStyle w:val="24"/>
        <w:spacing w:line="340" w:lineRule="exact"/>
        <w:rPr>
          <w:rFonts w:ascii="宋体" w:hAnsi="宋体" w:eastAsia="宋体"/>
          <w:color w:val="auto"/>
          <w:sz w:val="21"/>
          <w:szCs w:val="21"/>
          <w:highlight w:val="none"/>
        </w:rPr>
      </w:pPr>
      <w:r>
        <w:rPr>
          <w:rFonts w:hint="eastAsia" w:ascii="宋体" w:hAnsi="宋体" w:eastAsia="宋体"/>
          <w:color w:val="auto"/>
          <w:sz w:val="21"/>
          <w:szCs w:val="21"/>
          <w:highlight w:val="none"/>
        </w:rPr>
        <w:t>22.1.2.4有本项（9）目行为的，可对承包人处以以下的违约金。</w:t>
      </w:r>
    </w:p>
    <w:p>
      <w:pPr>
        <w:pStyle w:val="24"/>
        <w:spacing w:line="340" w:lineRule="exact"/>
        <w:rPr>
          <w:rFonts w:ascii="宋体" w:hAnsi="宋体" w:eastAsia="宋体"/>
          <w:color w:val="auto"/>
          <w:sz w:val="21"/>
          <w:szCs w:val="21"/>
          <w:highlight w:val="none"/>
        </w:rPr>
      </w:pPr>
      <w:r>
        <w:rPr>
          <w:rFonts w:hint="eastAsia" w:ascii="宋体" w:hAnsi="宋体" w:eastAsia="宋体"/>
          <w:color w:val="auto"/>
          <w:sz w:val="21"/>
          <w:szCs w:val="21"/>
          <w:highlight w:val="none"/>
        </w:rPr>
        <w:t>a．安全生产管理</w:t>
      </w:r>
    </w:p>
    <w:p>
      <w:pPr>
        <w:pStyle w:val="24"/>
        <w:spacing w:line="340" w:lineRule="exact"/>
        <w:rPr>
          <w:rFonts w:ascii="宋体" w:hAnsi="宋体" w:eastAsia="宋体"/>
          <w:color w:val="auto"/>
          <w:sz w:val="21"/>
          <w:szCs w:val="21"/>
          <w:highlight w:val="none"/>
        </w:rPr>
      </w:pPr>
      <w:r>
        <w:rPr>
          <w:rFonts w:hint="eastAsia" w:ascii="宋体" w:hAnsi="宋体" w:eastAsia="宋体"/>
          <w:color w:val="auto"/>
          <w:sz w:val="21"/>
          <w:szCs w:val="21"/>
          <w:highlight w:val="none"/>
        </w:rPr>
        <w:t>（a）出现下列行为之一可处100元/（人）次。</w:t>
      </w:r>
    </w:p>
    <w:p>
      <w:pPr>
        <w:pStyle w:val="24"/>
        <w:spacing w:line="340" w:lineRule="exact"/>
        <w:rPr>
          <w:rFonts w:ascii="宋体" w:hAnsi="宋体" w:eastAsia="宋体"/>
          <w:color w:val="auto"/>
          <w:sz w:val="21"/>
          <w:szCs w:val="21"/>
          <w:highlight w:val="none"/>
        </w:rPr>
      </w:pPr>
      <w:r>
        <w:rPr>
          <w:rFonts w:hint="eastAsia" w:ascii="宋体" w:hAnsi="宋体" w:eastAsia="宋体"/>
          <w:color w:val="auto"/>
          <w:sz w:val="21"/>
          <w:szCs w:val="21"/>
          <w:highlight w:val="none"/>
        </w:rPr>
        <w:t>Ⅰ需持证上岗人员无证上岗的；</w:t>
      </w:r>
    </w:p>
    <w:p>
      <w:pPr>
        <w:pStyle w:val="24"/>
        <w:spacing w:line="340" w:lineRule="exact"/>
        <w:rPr>
          <w:rFonts w:ascii="宋体" w:hAnsi="宋体" w:eastAsia="宋体"/>
          <w:color w:val="auto"/>
          <w:sz w:val="21"/>
          <w:szCs w:val="21"/>
          <w:highlight w:val="none"/>
        </w:rPr>
      </w:pPr>
      <w:r>
        <w:rPr>
          <w:rFonts w:hint="eastAsia" w:ascii="宋体" w:hAnsi="宋体" w:eastAsia="宋体"/>
          <w:color w:val="auto"/>
          <w:sz w:val="21"/>
          <w:szCs w:val="21"/>
          <w:highlight w:val="none"/>
        </w:rPr>
        <w:t>Ⅱ需配戴安全防护用具作业的；</w:t>
      </w:r>
    </w:p>
    <w:p>
      <w:pPr>
        <w:pStyle w:val="24"/>
        <w:spacing w:line="340" w:lineRule="exact"/>
        <w:rPr>
          <w:rFonts w:ascii="宋体" w:hAnsi="宋体" w:eastAsia="宋体"/>
          <w:color w:val="auto"/>
          <w:sz w:val="21"/>
          <w:szCs w:val="21"/>
          <w:highlight w:val="none"/>
        </w:rPr>
      </w:pPr>
      <w:r>
        <w:rPr>
          <w:rFonts w:hint="eastAsia" w:ascii="宋体" w:hAnsi="宋体" w:eastAsia="宋体"/>
          <w:color w:val="auto"/>
          <w:sz w:val="21"/>
          <w:szCs w:val="21"/>
          <w:highlight w:val="none"/>
        </w:rPr>
        <w:t>Ⅲ未经登记、安全培训教育上岗的。</w:t>
      </w:r>
    </w:p>
    <w:p>
      <w:pPr>
        <w:pStyle w:val="24"/>
        <w:spacing w:line="340" w:lineRule="exact"/>
        <w:rPr>
          <w:rFonts w:ascii="宋体" w:hAnsi="宋体" w:eastAsia="宋体"/>
          <w:color w:val="auto"/>
          <w:sz w:val="21"/>
          <w:szCs w:val="21"/>
          <w:highlight w:val="none"/>
        </w:rPr>
      </w:pPr>
      <w:r>
        <w:rPr>
          <w:rFonts w:hint="eastAsia" w:ascii="宋体" w:hAnsi="宋体" w:eastAsia="宋体"/>
          <w:color w:val="auto"/>
          <w:sz w:val="21"/>
          <w:szCs w:val="21"/>
          <w:highlight w:val="none"/>
        </w:rPr>
        <w:t>（b）出现下列行为之一可处300元/处次。</w:t>
      </w:r>
    </w:p>
    <w:p>
      <w:pPr>
        <w:pStyle w:val="24"/>
        <w:spacing w:line="340" w:lineRule="exact"/>
        <w:rPr>
          <w:rFonts w:ascii="宋体" w:hAnsi="宋体" w:eastAsia="宋体"/>
          <w:color w:val="auto"/>
          <w:sz w:val="21"/>
          <w:szCs w:val="21"/>
          <w:highlight w:val="none"/>
        </w:rPr>
      </w:pPr>
      <w:r>
        <w:rPr>
          <w:rFonts w:hint="eastAsia" w:ascii="宋体" w:hAnsi="宋体" w:eastAsia="宋体"/>
          <w:color w:val="auto"/>
          <w:sz w:val="21"/>
          <w:szCs w:val="21"/>
          <w:highlight w:val="none"/>
        </w:rPr>
        <w:t>Ⅰ　无专职安全检查人员；</w:t>
      </w:r>
    </w:p>
    <w:p>
      <w:pPr>
        <w:pStyle w:val="24"/>
        <w:spacing w:line="340" w:lineRule="exact"/>
        <w:rPr>
          <w:rFonts w:ascii="宋体" w:hAnsi="宋体" w:eastAsia="宋体"/>
          <w:color w:val="auto"/>
          <w:sz w:val="21"/>
          <w:szCs w:val="21"/>
          <w:highlight w:val="none"/>
        </w:rPr>
      </w:pPr>
      <w:r>
        <w:rPr>
          <w:rFonts w:hint="eastAsia" w:ascii="宋体" w:hAnsi="宋体" w:eastAsia="宋体"/>
          <w:color w:val="auto"/>
          <w:sz w:val="21"/>
          <w:szCs w:val="21"/>
          <w:highlight w:val="none"/>
        </w:rPr>
        <w:t>Ⅱ　无安全生产检查日志；</w:t>
      </w:r>
    </w:p>
    <w:p>
      <w:pPr>
        <w:pStyle w:val="24"/>
        <w:spacing w:line="340" w:lineRule="exact"/>
        <w:rPr>
          <w:rFonts w:ascii="宋体" w:hAnsi="宋体" w:eastAsia="宋体"/>
          <w:color w:val="auto"/>
          <w:sz w:val="21"/>
          <w:szCs w:val="21"/>
          <w:highlight w:val="none"/>
        </w:rPr>
      </w:pPr>
      <w:r>
        <w:rPr>
          <w:rFonts w:hint="eastAsia" w:ascii="宋体" w:hAnsi="宋体" w:eastAsia="宋体"/>
          <w:color w:val="auto"/>
          <w:sz w:val="21"/>
          <w:szCs w:val="21"/>
          <w:highlight w:val="none"/>
        </w:rPr>
        <w:t>Ⅲ　作业点或危险施工路段安全标志不全；</w:t>
      </w:r>
    </w:p>
    <w:p>
      <w:pPr>
        <w:pStyle w:val="24"/>
        <w:spacing w:line="340" w:lineRule="exact"/>
        <w:rPr>
          <w:rFonts w:ascii="宋体" w:hAnsi="宋体" w:eastAsia="宋体"/>
          <w:color w:val="auto"/>
          <w:sz w:val="21"/>
          <w:szCs w:val="21"/>
          <w:highlight w:val="none"/>
        </w:rPr>
      </w:pPr>
      <w:r>
        <w:rPr>
          <w:rFonts w:hint="eastAsia" w:ascii="宋体" w:hAnsi="宋体" w:eastAsia="宋体"/>
          <w:color w:val="auto"/>
          <w:sz w:val="21"/>
          <w:szCs w:val="21"/>
          <w:highlight w:val="none"/>
        </w:rPr>
        <w:t>Ⅳ　安全标志（牌）、线（绳）不符国家规定的；</w:t>
      </w:r>
    </w:p>
    <w:p>
      <w:pPr>
        <w:pStyle w:val="24"/>
        <w:spacing w:line="340" w:lineRule="exact"/>
        <w:rPr>
          <w:rFonts w:ascii="宋体" w:hAnsi="宋体" w:eastAsia="宋体"/>
          <w:color w:val="auto"/>
          <w:sz w:val="21"/>
          <w:szCs w:val="21"/>
          <w:highlight w:val="none"/>
        </w:rPr>
      </w:pPr>
      <w:r>
        <w:rPr>
          <w:rFonts w:hint="eastAsia" w:ascii="宋体" w:hAnsi="宋体" w:eastAsia="宋体"/>
          <w:color w:val="auto"/>
          <w:sz w:val="21"/>
          <w:szCs w:val="21"/>
          <w:highlight w:val="none"/>
        </w:rPr>
        <w:t>Ⅴ　易燃易爆物品管理不符合管理要求。</w:t>
      </w:r>
    </w:p>
    <w:p>
      <w:pPr>
        <w:pStyle w:val="24"/>
        <w:spacing w:line="340" w:lineRule="exact"/>
        <w:rPr>
          <w:rFonts w:ascii="宋体" w:hAnsi="宋体" w:eastAsia="宋体"/>
          <w:color w:val="auto"/>
          <w:sz w:val="21"/>
          <w:szCs w:val="21"/>
          <w:highlight w:val="none"/>
        </w:rPr>
      </w:pPr>
      <w:r>
        <w:rPr>
          <w:rFonts w:hint="eastAsia" w:ascii="宋体" w:hAnsi="宋体" w:eastAsia="宋体"/>
          <w:color w:val="auto"/>
          <w:sz w:val="21"/>
          <w:szCs w:val="21"/>
          <w:highlight w:val="none"/>
        </w:rPr>
        <w:t>（c）出现下列行为之一可处500元/处次。</w:t>
      </w:r>
    </w:p>
    <w:p>
      <w:pPr>
        <w:pStyle w:val="24"/>
        <w:spacing w:line="340" w:lineRule="exact"/>
        <w:rPr>
          <w:rFonts w:ascii="宋体" w:hAnsi="宋体" w:eastAsia="宋体"/>
          <w:color w:val="auto"/>
          <w:sz w:val="21"/>
          <w:szCs w:val="21"/>
          <w:highlight w:val="none"/>
        </w:rPr>
      </w:pPr>
      <w:r>
        <w:rPr>
          <w:rFonts w:hint="eastAsia" w:ascii="宋体" w:hAnsi="宋体" w:eastAsia="宋体"/>
          <w:color w:val="auto"/>
          <w:sz w:val="21"/>
          <w:szCs w:val="21"/>
          <w:highlight w:val="none"/>
        </w:rPr>
        <w:t>Ⅰ　施工作业点或施工形成的危险路段无规定的安全标志；</w:t>
      </w:r>
    </w:p>
    <w:p>
      <w:pPr>
        <w:pStyle w:val="24"/>
        <w:spacing w:line="340" w:lineRule="exact"/>
        <w:rPr>
          <w:rFonts w:ascii="宋体" w:hAnsi="宋体" w:eastAsia="宋体"/>
          <w:color w:val="auto"/>
          <w:sz w:val="21"/>
          <w:szCs w:val="21"/>
          <w:highlight w:val="none"/>
        </w:rPr>
      </w:pPr>
      <w:r>
        <w:rPr>
          <w:rFonts w:hint="eastAsia" w:ascii="宋体" w:hAnsi="宋体" w:eastAsia="宋体"/>
          <w:color w:val="auto"/>
          <w:sz w:val="21"/>
          <w:szCs w:val="21"/>
          <w:highlight w:val="none"/>
        </w:rPr>
        <w:t>Ⅱ　需设安全防护设施的未按规定设置；</w:t>
      </w:r>
    </w:p>
    <w:p>
      <w:pPr>
        <w:pStyle w:val="24"/>
        <w:spacing w:line="340" w:lineRule="exact"/>
        <w:rPr>
          <w:rFonts w:ascii="宋体" w:hAnsi="宋体" w:eastAsia="宋体"/>
          <w:color w:val="auto"/>
          <w:sz w:val="21"/>
          <w:szCs w:val="21"/>
          <w:highlight w:val="none"/>
        </w:rPr>
      </w:pPr>
      <w:r>
        <w:rPr>
          <w:rFonts w:hint="eastAsia" w:ascii="宋体" w:hAnsi="宋体" w:eastAsia="宋体"/>
          <w:color w:val="auto"/>
          <w:sz w:val="21"/>
          <w:szCs w:val="21"/>
          <w:highlight w:val="none"/>
        </w:rPr>
        <w:t>Ⅲ　出现一般安全生事故负有责任的；</w:t>
      </w:r>
    </w:p>
    <w:p>
      <w:pPr>
        <w:pStyle w:val="24"/>
        <w:spacing w:line="340" w:lineRule="exact"/>
        <w:rPr>
          <w:rFonts w:ascii="宋体" w:hAnsi="宋体" w:eastAsia="宋体"/>
          <w:color w:val="auto"/>
          <w:sz w:val="21"/>
          <w:szCs w:val="21"/>
          <w:highlight w:val="none"/>
        </w:rPr>
      </w:pPr>
      <w:r>
        <w:rPr>
          <w:rFonts w:hint="eastAsia" w:ascii="宋体" w:hAnsi="宋体" w:eastAsia="宋体"/>
          <w:color w:val="auto"/>
          <w:sz w:val="21"/>
          <w:szCs w:val="21"/>
          <w:highlight w:val="none"/>
        </w:rPr>
        <w:t>Ⅳ　发生重大安全事故不按规定报告的。</w:t>
      </w:r>
    </w:p>
    <w:p>
      <w:pPr>
        <w:pStyle w:val="24"/>
        <w:spacing w:line="340" w:lineRule="exact"/>
        <w:rPr>
          <w:rFonts w:ascii="宋体" w:hAnsi="宋体" w:eastAsia="宋体"/>
          <w:color w:val="auto"/>
          <w:sz w:val="21"/>
          <w:szCs w:val="21"/>
          <w:highlight w:val="none"/>
        </w:rPr>
      </w:pPr>
      <w:r>
        <w:rPr>
          <w:rFonts w:hint="eastAsia" w:ascii="宋体" w:hAnsi="宋体" w:eastAsia="宋体"/>
          <w:color w:val="auto"/>
          <w:sz w:val="21"/>
          <w:szCs w:val="21"/>
          <w:highlight w:val="none"/>
        </w:rPr>
        <w:t>（d）出现下列行为之一可处5000元/处次。</w:t>
      </w:r>
    </w:p>
    <w:p>
      <w:pPr>
        <w:pStyle w:val="24"/>
        <w:spacing w:line="340" w:lineRule="exact"/>
        <w:rPr>
          <w:rFonts w:ascii="宋体" w:hAnsi="宋体" w:eastAsia="宋体"/>
          <w:color w:val="auto"/>
          <w:sz w:val="21"/>
          <w:szCs w:val="21"/>
          <w:highlight w:val="none"/>
        </w:rPr>
      </w:pPr>
      <w:r>
        <w:rPr>
          <w:rFonts w:hint="eastAsia" w:ascii="宋体" w:hAnsi="宋体" w:eastAsia="宋体"/>
          <w:color w:val="auto"/>
          <w:sz w:val="21"/>
          <w:szCs w:val="21"/>
          <w:highlight w:val="none"/>
        </w:rPr>
        <w:t>出现重大安全生产事故负有责任的。</w:t>
      </w:r>
    </w:p>
    <w:p>
      <w:pPr>
        <w:pStyle w:val="24"/>
        <w:spacing w:line="340" w:lineRule="exact"/>
        <w:rPr>
          <w:rFonts w:ascii="宋体" w:hAnsi="宋体" w:eastAsia="宋体"/>
          <w:color w:val="auto"/>
          <w:sz w:val="21"/>
          <w:szCs w:val="21"/>
          <w:highlight w:val="none"/>
        </w:rPr>
      </w:pPr>
      <w:r>
        <w:rPr>
          <w:rFonts w:hint="eastAsia" w:ascii="宋体" w:hAnsi="宋体" w:eastAsia="宋体"/>
          <w:color w:val="auto"/>
          <w:sz w:val="21"/>
          <w:szCs w:val="21"/>
          <w:highlight w:val="none"/>
        </w:rPr>
        <w:t>22.1.2.5有本项（10）目违反合同专用条款规定的其他重要规定，可对承包人处以以下的违约金。</w:t>
      </w:r>
    </w:p>
    <w:p>
      <w:pPr>
        <w:pStyle w:val="24"/>
        <w:spacing w:line="340" w:lineRule="exact"/>
        <w:rPr>
          <w:rFonts w:ascii="宋体" w:hAnsi="宋体" w:eastAsia="宋体"/>
          <w:color w:val="auto"/>
          <w:sz w:val="21"/>
          <w:szCs w:val="21"/>
          <w:highlight w:val="none"/>
        </w:rPr>
      </w:pPr>
      <w:r>
        <w:rPr>
          <w:rFonts w:hint="eastAsia" w:ascii="宋体" w:hAnsi="宋体" w:eastAsia="宋体"/>
          <w:color w:val="auto"/>
          <w:sz w:val="21"/>
          <w:szCs w:val="21"/>
          <w:highlight w:val="none"/>
        </w:rPr>
        <w:t>a.质量管理</w:t>
      </w:r>
    </w:p>
    <w:p>
      <w:pPr>
        <w:pStyle w:val="24"/>
        <w:spacing w:line="340" w:lineRule="exact"/>
        <w:rPr>
          <w:rFonts w:ascii="宋体" w:hAnsi="宋体" w:eastAsia="宋体"/>
          <w:color w:val="auto"/>
          <w:sz w:val="21"/>
          <w:szCs w:val="21"/>
          <w:highlight w:val="none"/>
        </w:rPr>
      </w:pPr>
      <w:r>
        <w:rPr>
          <w:rFonts w:hint="eastAsia" w:ascii="宋体" w:hAnsi="宋体" w:eastAsia="宋体"/>
          <w:color w:val="auto"/>
          <w:sz w:val="21"/>
          <w:szCs w:val="21"/>
          <w:highlight w:val="none"/>
        </w:rPr>
        <w:t>(a)出现下列行为之一可处100元/（人）次。</w:t>
      </w:r>
    </w:p>
    <w:p>
      <w:pPr>
        <w:pStyle w:val="24"/>
        <w:spacing w:line="340" w:lineRule="exact"/>
        <w:rPr>
          <w:rFonts w:ascii="宋体" w:hAnsi="宋体" w:eastAsia="宋体"/>
          <w:color w:val="auto"/>
          <w:sz w:val="21"/>
          <w:szCs w:val="21"/>
          <w:highlight w:val="none"/>
        </w:rPr>
      </w:pPr>
      <w:r>
        <w:rPr>
          <w:rFonts w:hint="eastAsia" w:ascii="宋体" w:hAnsi="宋体" w:eastAsia="宋体"/>
          <w:color w:val="auto"/>
          <w:sz w:val="21"/>
          <w:szCs w:val="21"/>
          <w:highlight w:val="none"/>
        </w:rPr>
        <w:t>Ⅰ 分项工程施工现场无合格的施工责任牌；</w:t>
      </w:r>
    </w:p>
    <w:p>
      <w:pPr>
        <w:pStyle w:val="24"/>
        <w:spacing w:line="340" w:lineRule="exact"/>
        <w:rPr>
          <w:rFonts w:ascii="宋体" w:hAnsi="宋体" w:eastAsia="宋体"/>
          <w:color w:val="auto"/>
          <w:sz w:val="21"/>
          <w:szCs w:val="21"/>
          <w:highlight w:val="none"/>
        </w:rPr>
      </w:pPr>
      <w:r>
        <w:rPr>
          <w:rFonts w:hint="eastAsia" w:ascii="宋体" w:hAnsi="宋体" w:eastAsia="宋体"/>
          <w:color w:val="auto"/>
          <w:sz w:val="21"/>
          <w:szCs w:val="21"/>
          <w:highlight w:val="none"/>
        </w:rPr>
        <w:t>Ⅱ 分项工程施工现场无其相关责任人；</w:t>
      </w:r>
    </w:p>
    <w:p>
      <w:pPr>
        <w:pStyle w:val="24"/>
        <w:spacing w:line="340" w:lineRule="exact"/>
        <w:rPr>
          <w:rFonts w:ascii="宋体" w:hAnsi="宋体" w:eastAsia="宋体"/>
          <w:color w:val="auto"/>
          <w:sz w:val="21"/>
          <w:szCs w:val="21"/>
          <w:highlight w:val="none"/>
        </w:rPr>
      </w:pPr>
      <w:r>
        <w:rPr>
          <w:rFonts w:hint="eastAsia" w:ascii="宋体" w:hAnsi="宋体" w:eastAsia="宋体"/>
          <w:color w:val="auto"/>
          <w:sz w:val="21"/>
          <w:szCs w:val="21"/>
          <w:highlight w:val="none"/>
        </w:rPr>
        <w:t>Ⅲ 施工现场无基本的检测检验工具；</w:t>
      </w:r>
    </w:p>
    <w:p>
      <w:pPr>
        <w:pStyle w:val="24"/>
        <w:spacing w:line="340" w:lineRule="exact"/>
        <w:rPr>
          <w:rFonts w:ascii="宋体" w:hAnsi="宋体" w:eastAsia="宋体"/>
          <w:color w:val="auto"/>
          <w:sz w:val="21"/>
          <w:szCs w:val="21"/>
          <w:highlight w:val="none"/>
        </w:rPr>
      </w:pPr>
      <w:r>
        <w:rPr>
          <w:rFonts w:hint="eastAsia" w:ascii="宋体" w:hAnsi="宋体" w:eastAsia="宋体"/>
          <w:color w:val="auto"/>
          <w:sz w:val="21"/>
          <w:szCs w:val="21"/>
          <w:highlight w:val="none"/>
        </w:rPr>
        <w:t>Ⅳ 施工现场相关责任人无检查检验记录表；</w:t>
      </w:r>
    </w:p>
    <w:p>
      <w:pPr>
        <w:pStyle w:val="24"/>
        <w:spacing w:line="340" w:lineRule="exact"/>
        <w:rPr>
          <w:rFonts w:ascii="宋体" w:hAnsi="宋体" w:eastAsia="宋体"/>
          <w:color w:val="auto"/>
          <w:sz w:val="21"/>
          <w:szCs w:val="21"/>
          <w:highlight w:val="none"/>
        </w:rPr>
      </w:pPr>
      <w:r>
        <w:rPr>
          <w:rFonts w:hint="eastAsia" w:ascii="宋体" w:hAnsi="宋体" w:eastAsia="宋体"/>
          <w:color w:val="auto"/>
          <w:sz w:val="21"/>
          <w:szCs w:val="21"/>
          <w:highlight w:val="none"/>
        </w:rPr>
        <w:t>Ⅴ 现场已完成工作无检查记录。</w:t>
      </w:r>
    </w:p>
    <w:p>
      <w:pPr>
        <w:pStyle w:val="24"/>
        <w:spacing w:line="340" w:lineRule="exact"/>
        <w:rPr>
          <w:rFonts w:ascii="宋体" w:hAnsi="宋体" w:eastAsia="宋体"/>
          <w:color w:val="auto"/>
          <w:sz w:val="21"/>
          <w:szCs w:val="21"/>
          <w:highlight w:val="none"/>
        </w:rPr>
      </w:pPr>
      <w:r>
        <w:rPr>
          <w:rFonts w:hint="eastAsia" w:ascii="宋体" w:hAnsi="宋体" w:eastAsia="宋体"/>
          <w:color w:val="auto"/>
          <w:sz w:val="21"/>
          <w:szCs w:val="21"/>
          <w:highlight w:val="none"/>
        </w:rPr>
        <w:t>（b）出现以下行为之一，可处500元/次。</w:t>
      </w:r>
    </w:p>
    <w:p>
      <w:pPr>
        <w:pStyle w:val="24"/>
        <w:spacing w:line="340" w:lineRule="exact"/>
        <w:rPr>
          <w:rFonts w:ascii="宋体" w:hAnsi="宋体" w:eastAsia="宋体"/>
          <w:color w:val="auto"/>
          <w:sz w:val="21"/>
          <w:szCs w:val="21"/>
          <w:highlight w:val="none"/>
        </w:rPr>
      </w:pPr>
      <w:r>
        <w:rPr>
          <w:rFonts w:hint="eastAsia" w:ascii="宋体" w:hAnsi="宋体" w:eastAsia="宋体"/>
          <w:color w:val="auto"/>
          <w:sz w:val="21"/>
          <w:szCs w:val="21"/>
          <w:highlight w:val="none"/>
        </w:rPr>
        <w:t>Ⅰ　未按工序申请检验进入下一道工序的；</w:t>
      </w:r>
    </w:p>
    <w:p>
      <w:pPr>
        <w:pStyle w:val="24"/>
        <w:spacing w:line="340" w:lineRule="exact"/>
        <w:rPr>
          <w:rFonts w:ascii="宋体" w:hAnsi="宋体" w:eastAsia="宋体"/>
          <w:color w:val="auto"/>
          <w:sz w:val="21"/>
          <w:szCs w:val="21"/>
          <w:highlight w:val="none"/>
        </w:rPr>
      </w:pPr>
      <w:r>
        <w:rPr>
          <w:rFonts w:hint="eastAsia" w:ascii="宋体" w:hAnsi="宋体" w:eastAsia="宋体"/>
          <w:color w:val="auto"/>
          <w:sz w:val="21"/>
          <w:szCs w:val="21"/>
          <w:highlight w:val="none"/>
        </w:rPr>
        <w:t>Ⅱ　隐蔽工程记录文件不全；</w:t>
      </w:r>
    </w:p>
    <w:p>
      <w:pPr>
        <w:pStyle w:val="24"/>
        <w:spacing w:line="340" w:lineRule="exact"/>
        <w:rPr>
          <w:rFonts w:ascii="宋体" w:hAnsi="宋体" w:eastAsia="宋体"/>
          <w:color w:val="auto"/>
          <w:sz w:val="21"/>
          <w:szCs w:val="21"/>
          <w:highlight w:val="none"/>
        </w:rPr>
      </w:pPr>
      <w:r>
        <w:rPr>
          <w:rFonts w:hint="eastAsia" w:ascii="宋体" w:hAnsi="宋体" w:eastAsia="宋体"/>
          <w:color w:val="auto"/>
          <w:sz w:val="21"/>
          <w:szCs w:val="21"/>
          <w:highlight w:val="none"/>
        </w:rPr>
        <w:t>Ⅲ　施工试验检验频率不符合施工规范规定；</w:t>
      </w:r>
    </w:p>
    <w:p>
      <w:pPr>
        <w:pStyle w:val="24"/>
        <w:spacing w:line="340" w:lineRule="exact"/>
        <w:rPr>
          <w:rFonts w:ascii="宋体" w:hAnsi="宋体" w:eastAsia="宋体"/>
          <w:color w:val="auto"/>
          <w:sz w:val="21"/>
          <w:szCs w:val="21"/>
          <w:highlight w:val="none"/>
        </w:rPr>
      </w:pPr>
      <w:r>
        <w:rPr>
          <w:rFonts w:hint="eastAsia" w:ascii="宋体" w:hAnsi="宋体" w:eastAsia="宋体"/>
          <w:color w:val="auto"/>
          <w:sz w:val="21"/>
          <w:szCs w:val="21"/>
          <w:highlight w:val="none"/>
        </w:rPr>
        <w:t>Ⅳ　分项工程质量自检验收检验频率不符合质量评定标准规定的。</w:t>
      </w:r>
    </w:p>
    <w:p>
      <w:pPr>
        <w:pStyle w:val="24"/>
        <w:spacing w:line="340" w:lineRule="exact"/>
        <w:rPr>
          <w:rFonts w:ascii="宋体" w:hAnsi="宋体" w:eastAsia="宋体"/>
          <w:color w:val="auto"/>
          <w:sz w:val="21"/>
          <w:szCs w:val="21"/>
          <w:highlight w:val="none"/>
        </w:rPr>
      </w:pPr>
      <w:r>
        <w:rPr>
          <w:rFonts w:hint="eastAsia" w:ascii="宋体" w:hAnsi="宋体" w:eastAsia="宋体"/>
          <w:color w:val="auto"/>
          <w:sz w:val="21"/>
          <w:szCs w:val="21"/>
          <w:highlight w:val="none"/>
        </w:rPr>
        <w:t>（c）出现以下行为之一，可处1000元/次。</w:t>
      </w:r>
    </w:p>
    <w:p>
      <w:pPr>
        <w:pStyle w:val="24"/>
        <w:spacing w:line="340" w:lineRule="exact"/>
        <w:rPr>
          <w:rFonts w:ascii="宋体" w:hAnsi="宋体" w:eastAsia="宋体"/>
          <w:color w:val="auto"/>
          <w:sz w:val="21"/>
          <w:szCs w:val="21"/>
          <w:highlight w:val="none"/>
        </w:rPr>
      </w:pPr>
      <w:r>
        <w:rPr>
          <w:rFonts w:hint="eastAsia" w:ascii="宋体" w:hAnsi="宋体" w:eastAsia="宋体"/>
          <w:color w:val="auto"/>
          <w:sz w:val="21"/>
          <w:szCs w:val="21"/>
          <w:highlight w:val="none"/>
        </w:rPr>
        <w:t>Ⅰ　出现质量问题，且承包人负有直接责任的，或不能证明其履行其职责的。</w:t>
      </w:r>
    </w:p>
    <w:p>
      <w:pPr>
        <w:pStyle w:val="24"/>
        <w:spacing w:line="340" w:lineRule="exact"/>
        <w:rPr>
          <w:rFonts w:ascii="宋体" w:hAnsi="宋体" w:eastAsia="宋体"/>
          <w:color w:val="auto"/>
          <w:sz w:val="21"/>
          <w:szCs w:val="21"/>
          <w:highlight w:val="none"/>
        </w:rPr>
      </w:pPr>
      <w:r>
        <w:rPr>
          <w:rFonts w:hint="eastAsia" w:ascii="宋体" w:hAnsi="宋体" w:eastAsia="宋体"/>
          <w:color w:val="auto"/>
          <w:sz w:val="21"/>
          <w:szCs w:val="21"/>
          <w:highlight w:val="none"/>
        </w:rPr>
        <w:t>Ⅱ　发生质量事故，未按有关规定和时间向有关部门报告的；</w:t>
      </w:r>
    </w:p>
    <w:p>
      <w:pPr>
        <w:pStyle w:val="24"/>
        <w:spacing w:line="340" w:lineRule="exact"/>
        <w:rPr>
          <w:rFonts w:ascii="宋体" w:hAnsi="宋体" w:eastAsia="宋体"/>
          <w:color w:val="auto"/>
          <w:sz w:val="21"/>
          <w:szCs w:val="21"/>
          <w:highlight w:val="none"/>
        </w:rPr>
      </w:pPr>
      <w:r>
        <w:rPr>
          <w:rFonts w:hint="eastAsia" w:ascii="宋体" w:hAnsi="宋体" w:eastAsia="宋体"/>
          <w:color w:val="auto"/>
          <w:sz w:val="21"/>
          <w:szCs w:val="21"/>
          <w:highlight w:val="none"/>
        </w:rPr>
        <w:t>Ⅲ　已经施工完成的工程没有按竣工文件收集归档管理办法要求依分项工程、工序将施工作业记录、测量记录、试验检测记录及工序报验审批记录等收集归档。</w:t>
      </w:r>
    </w:p>
    <w:p>
      <w:pPr>
        <w:pStyle w:val="24"/>
        <w:spacing w:line="340" w:lineRule="exact"/>
        <w:rPr>
          <w:rFonts w:ascii="宋体" w:hAnsi="宋体" w:eastAsia="宋体"/>
          <w:color w:val="auto"/>
          <w:sz w:val="21"/>
          <w:szCs w:val="21"/>
          <w:highlight w:val="none"/>
        </w:rPr>
      </w:pPr>
      <w:r>
        <w:rPr>
          <w:rFonts w:hint="eastAsia" w:ascii="宋体" w:hAnsi="宋体" w:eastAsia="宋体"/>
          <w:color w:val="auto"/>
          <w:sz w:val="21"/>
          <w:szCs w:val="21"/>
          <w:highlight w:val="none"/>
        </w:rPr>
        <w:t>（d ）出现以下行为之一，可处3000元/次。</w:t>
      </w:r>
    </w:p>
    <w:p>
      <w:pPr>
        <w:pStyle w:val="24"/>
        <w:spacing w:line="340" w:lineRule="exact"/>
        <w:rPr>
          <w:rFonts w:ascii="宋体" w:hAnsi="宋体" w:eastAsia="宋体"/>
          <w:color w:val="auto"/>
          <w:sz w:val="21"/>
          <w:szCs w:val="21"/>
          <w:highlight w:val="none"/>
        </w:rPr>
      </w:pPr>
      <w:r>
        <w:rPr>
          <w:rFonts w:hint="eastAsia" w:ascii="宋体" w:hAnsi="宋体" w:eastAsia="宋体"/>
          <w:color w:val="auto"/>
          <w:sz w:val="21"/>
          <w:szCs w:val="21"/>
          <w:highlight w:val="none"/>
        </w:rPr>
        <w:t>Ⅰ　施工单位不接受质监机构监督；</w:t>
      </w:r>
    </w:p>
    <w:p>
      <w:pPr>
        <w:pStyle w:val="24"/>
        <w:spacing w:line="340" w:lineRule="exact"/>
        <w:rPr>
          <w:rFonts w:ascii="宋体" w:hAnsi="宋体" w:eastAsia="宋体"/>
          <w:color w:val="auto"/>
          <w:sz w:val="21"/>
          <w:szCs w:val="21"/>
          <w:highlight w:val="none"/>
        </w:rPr>
      </w:pPr>
      <w:r>
        <w:rPr>
          <w:rFonts w:ascii="宋体" w:hAnsi="宋体" w:eastAsia="宋体"/>
          <w:color w:val="auto"/>
          <w:sz w:val="21"/>
          <w:szCs w:val="21"/>
          <w:highlight w:val="none"/>
        </w:rPr>
        <w:t>Ⅱ　出现二、三级一般质量事故，且承包人负有直接责任，或不能证明其履行其职责的；</w:t>
      </w:r>
    </w:p>
    <w:p>
      <w:pPr>
        <w:pStyle w:val="24"/>
        <w:spacing w:line="340" w:lineRule="exact"/>
        <w:rPr>
          <w:rFonts w:ascii="宋体" w:hAnsi="宋体" w:eastAsia="宋体"/>
          <w:color w:val="auto"/>
          <w:sz w:val="21"/>
          <w:szCs w:val="21"/>
          <w:highlight w:val="none"/>
        </w:rPr>
      </w:pPr>
      <w:r>
        <w:rPr>
          <w:rFonts w:hint="eastAsia" w:ascii="宋体" w:hAnsi="宋体" w:eastAsia="宋体"/>
          <w:color w:val="auto"/>
          <w:sz w:val="21"/>
          <w:szCs w:val="21"/>
          <w:highlight w:val="none"/>
        </w:rPr>
        <w:t>Ⅲ  构造物、中小型预制构件等一次单点实体抽查合格率为50%—75%的；</w:t>
      </w:r>
    </w:p>
    <w:p>
      <w:pPr>
        <w:pStyle w:val="24"/>
        <w:spacing w:line="340" w:lineRule="exact"/>
        <w:rPr>
          <w:rFonts w:ascii="宋体" w:hAnsi="宋体" w:eastAsia="宋体"/>
          <w:color w:val="auto"/>
          <w:sz w:val="21"/>
          <w:szCs w:val="21"/>
          <w:highlight w:val="none"/>
        </w:rPr>
      </w:pPr>
      <w:r>
        <w:rPr>
          <w:rFonts w:hint="eastAsia" w:ascii="宋体" w:hAnsi="宋体" w:eastAsia="宋体"/>
          <w:color w:val="auto"/>
          <w:sz w:val="21"/>
          <w:szCs w:val="21"/>
          <w:highlight w:val="none"/>
        </w:rPr>
        <w:t>Ⅳ　使用主要材料（钢筋、水泥、沥青、碎石、砂、砂砾等）不合格的。</w:t>
      </w:r>
    </w:p>
    <w:p>
      <w:pPr>
        <w:pStyle w:val="24"/>
        <w:spacing w:line="340" w:lineRule="exact"/>
        <w:rPr>
          <w:rFonts w:ascii="宋体" w:hAnsi="宋体" w:eastAsia="宋体"/>
          <w:color w:val="auto"/>
          <w:sz w:val="21"/>
          <w:szCs w:val="21"/>
          <w:highlight w:val="none"/>
        </w:rPr>
      </w:pPr>
      <w:r>
        <w:rPr>
          <w:rFonts w:hint="eastAsia" w:ascii="宋体" w:hAnsi="宋体" w:eastAsia="宋体"/>
          <w:color w:val="auto"/>
          <w:sz w:val="21"/>
          <w:szCs w:val="21"/>
          <w:highlight w:val="none"/>
        </w:rPr>
        <w:t>Ⅴ　已经施工完成的工程无法提供按竣工文件收集归档管理办法要求应收集的分项工程、工序的施工作业记录、测量记录、试验检测记录及工序报验审批记录等质量管理文件的。</w:t>
      </w:r>
    </w:p>
    <w:p>
      <w:pPr>
        <w:pStyle w:val="24"/>
        <w:spacing w:line="340" w:lineRule="exact"/>
        <w:rPr>
          <w:rFonts w:ascii="宋体" w:hAnsi="宋体" w:eastAsia="宋体"/>
          <w:color w:val="auto"/>
          <w:sz w:val="21"/>
          <w:szCs w:val="21"/>
          <w:highlight w:val="none"/>
        </w:rPr>
      </w:pPr>
      <w:r>
        <w:rPr>
          <w:rFonts w:hint="eastAsia" w:ascii="宋体" w:hAnsi="宋体" w:eastAsia="宋体"/>
          <w:color w:val="auto"/>
          <w:sz w:val="21"/>
          <w:szCs w:val="21"/>
          <w:highlight w:val="none"/>
        </w:rPr>
        <w:t>（e）出现以下行为之一，可处5000元/次。</w:t>
      </w:r>
    </w:p>
    <w:p>
      <w:pPr>
        <w:pStyle w:val="24"/>
        <w:spacing w:line="340" w:lineRule="exact"/>
        <w:rPr>
          <w:rFonts w:ascii="宋体" w:hAnsi="宋体" w:eastAsia="宋体"/>
          <w:color w:val="auto"/>
          <w:sz w:val="21"/>
          <w:szCs w:val="21"/>
          <w:highlight w:val="none"/>
        </w:rPr>
      </w:pPr>
      <w:r>
        <w:rPr>
          <w:rFonts w:hint="eastAsia" w:ascii="宋体" w:hAnsi="宋体" w:eastAsia="宋体"/>
          <w:color w:val="auto"/>
          <w:sz w:val="21"/>
          <w:szCs w:val="21"/>
          <w:highlight w:val="none"/>
        </w:rPr>
        <w:t>Ⅰ发生一级一般质量事故或重大质量事故，且承包人负有直接责任，或不能证明其履行其职责的；</w:t>
      </w:r>
    </w:p>
    <w:p>
      <w:pPr>
        <w:pStyle w:val="24"/>
        <w:spacing w:line="340" w:lineRule="exact"/>
        <w:rPr>
          <w:rFonts w:ascii="宋体" w:hAnsi="宋体" w:eastAsia="宋体"/>
          <w:color w:val="auto"/>
          <w:sz w:val="21"/>
          <w:szCs w:val="21"/>
          <w:highlight w:val="none"/>
        </w:rPr>
      </w:pPr>
      <w:r>
        <w:rPr>
          <w:rFonts w:hint="eastAsia" w:ascii="宋体" w:hAnsi="宋体" w:eastAsia="宋体"/>
          <w:color w:val="auto"/>
          <w:sz w:val="21"/>
          <w:szCs w:val="21"/>
          <w:highlight w:val="none"/>
        </w:rPr>
        <w:t>Ⅱ构造物、中小型预制构件等一次单点实体抽查合格率小于50%的；</w:t>
      </w:r>
    </w:p>
    <w:p>
      <w:pPr>
        <w:pStyle w:val="24"/>
        <w:spacing w:line="340" w:lineRule="exact"/>
        <w:rPr>
          <w:rFonts w:ascii="宋体" w:hAnsi="宋体" w:eastAsia="宋体"/>
          <w:color w:val="auto"/>
          <w:sz w:val="21"/>
          <w:szCs w:val="21"/>
          <w:highlight w:val="none"/>
        </w:rPr>
      </w:pPr>
      <w:r>
        <w:rPr>
          <w:rFonts w:hint="eastAsia" w:ascii="宋体" w:hAnsi="宋体" w:eastAsia="宋体"/>
          <w:color w:val="auto"/>
          <w:sz w:val="21"/>
          <w:szCs w:val="21"/>
          <w:highlight w:val="none"/>
        </w:rPr>
        <w:t>Ⅲ未按要求进行自检，弄虚作假、捏造数据、伪造试验报告的。</w:t>
      </w:r>
    </w:p>
    <w:p>
      <w:pPr>
        <w:pStyle w:val="24"/>
        <w:spacing w:line="340" w:lineRule="exact"/>
        <w:rPr>
          <w:rFonts w:ascii="宋体" w:hAnsi="宋体" w:eastAsia="宋体"/>
          <w:color w:val="auto"/>
          <w:sz w:val="21"/>
          <w:szCs w:val="21"/>
          <w:highlight w:val="none"/>
        </w:rPr>
      </w:pPr>
      <w:r>
        <w:rPr>
          <w:rFonts w:hint="eastAsia" w:ascii="宋体" w:hAnsi="宋体" w:eastAsia="宋体"/>
          <w:color w:val="auto"/>
          <w:sz w:val="21"/>
          <w:szCs w:val="21"/>
          <w:highlight w:val="none"/>
        </w:rPr>
        <w:t>（f）因质量问题被地市级及以上交通主管部门、质量监督单位、公路管理机构通报（批评）的，可对承包人处以10000元违约金，红牌警告5000元，黄牌警告3000元。</w:t>
      </w:r>
    </w:p>
    <w:p>
      <w:pPr>
        <w:pStyle w:val="24"/>
        <w:spacing w:line="340" w:lineRule="exact"/>
        <w:rPr>
          <w:rFonts w:ascii="宋体" w:hAnsi="宋体" w:eastAsia="宋体"/>
          <w:color w:val="auto"/>
          <w:sz w:val="21"/>
          <w:szCs w:val="21"/>
          <w:highlight w:val="none"/>
        </w:rPr>
      </w:pPr>
      <w:r>
        <w:rPr>
          <w:rFonts w:hint="eastAsia" w:ascii="宋体" w:hAnsi="宋体" w:eastAsia="宋体"/>
          <w:color w:val="auto"/>
          <w:sz w:val="21"/>
          <w:szCs w:val="21"/>
          <w:highlight w:val="none"/>
        </w:rPr>
        <w:t>b．文明施工与环境保护，交通通畅</w:t>
      </w:r>
    </w:p>
    <w:p>
      <w:pPr>
        <w:pStyle w:val="24"/>
        <w:spacing w:line="340" w:lineRule="exact"/>
        <w:rPr>
          <w:rFonts w:ascii="宋体" w:hAnsi="宋体" w:eastAsia="宋体"/>
          <w:color w:val="auto"/>
          <w:sz w:val="21"/>
          <w:szCs w:val="21"/>
          <w:highlight w:val="none"/>
        </w:rPr>
      </w:pPr>
      <w:r>
        <w:rPr>
          <w:rFonts w:hint="eastAsia" w:ascii="宋体" w:hAnsi="宋体" w:eastAsia="宋体"/>
          <w:color w:val="auto"/>
          <w:sz w:val="21"/>
          <w:szCs w:val="21"/>
          <w:highlight w:val="none"/>
        </w:rPr>
        <w:t>（a）由于施工原因造成污染、破坏被群众向政府、主管单位投诉或被环保、水利部门责令整改的，处1000元/次。</w:t>
      </w:r>
    </w:p>
    <w:p>
      <w:pPr>
        <w:pStyle w:val="24"/>
        <w:spacing w:line="340" w:lineRule="exact"/>
        <w:rPr>
          <w:rFonts w:ascii="宋体" w:hAnsi="宋体" w:eastAsia="宋体"/>
          <w:color w:val="auto"/>
          <w:sz w:val="21"/>
          <w:szCs w:val="21"/>
          <w:highlight w:val="none"/>
        </w:rPr>
      </w:pPr>
      <w:r>
        <w:rPr>
          <w:rFonts w:hint="eastAsia" w:ascii="宋体" w:hAnsi="宋体" w:eastAsia="宋体"/>
          <w:color w:val="auto"/>
          <w:sz w:val="21"/>
          <w:szCs w:val="21"/>
          <w:highlight w:val="none"/>
        </w:rPr>
        <w:t>（b）其他重要规定违约处理</w:t>
      </w:r>
    </w:p>
    <w:p>
      <w:pPr>
        <w:pStyle w:val="24"/>
        <w:spacing w:line="340" w:lineRule="exact"/>
        <w:rPr>
          <w:rFonts w:ascii="宋体" w:hAnsi="宋体" w:eastAsia="宋体"/>
          <w:color w:val="auto"/>
          <w:sz w:val="21"/>
          <w:szCs w:val="21"/>
          <w:highlight w:val="none"/>
        </w:rPr>
      </w:pPr>
      <w:r>
        <w:rPr>
          <w:rFonts w:hint="eastAsia" w:ascii="宋体" w:hAnsi="宋体" w:eastAsia="宋体"/>
          <w:color w:val="auto"/>
          <w:sz w:val="21"/>
          <w:szCs w:val="21"/>
          <w:highlight w:val="none"/>
        </w:rPr>
        <w:t>　有下列行为之一的处500元/人次违约金并责令承包人进行整改。</w:t>
      </w:r>
    </w:p>
    <w:p>
      <w:pPr>
        <w:pStyle w:val="24"/>
        <w:spacing w:line="340" w:lineRule="exact"/>
        <w:rPr>
          <w:rFonts w:ascii="宋体" w:hAnsi="宋体" w:eastAsia="宋体"/>
          <w:color w:val="auto"/>
          <w:sz w:val="21"/>
          <w:szCs w:val="21"/>
          <w:highlight w:val="none"/>
        </w:rPr>
      </w:pPr>
      <w:r>
        <w:rPr>
          <w:rFonts w:hint="eastAsia" w:ascii="宋体" w:hAnsi="宋体" w:eastAsia="宋体"/>
          <w:color w:val="auto"/>
          <w:sz w:val="21"/>
          <w:szCs w:val="21"/>
          <w:highlight w:val="none"/>
        </w:rPr>
        <w:t>a)、 劳务人员未按规定签订聘用合同并向业主、监理工程师报备；</w:t>
      </w:r>
    </w:p>
    <w:p>
      <w:pPr>
        <w:pStyle w:val="24"/>
        <w:spacing w:line="340" w:lineRule="exact"/>
        <w:rPr>
          <w:rFonts w:ascii="宋体" w:hAnsi="宋体" w:eastAsia="宋体"/>
          <w:color w:val="auto"/>
          <w:sz w:val="21"/>
          <w:szCs w:val="21"/>
          <w:highlight w:val="none"/>
        </w:rPr>
      </w:pPr>
      <w:r>
        <w:rPr>
          <w:rFonts w:hint="eastAsia" w:ascii="宋体" w:hAnsi="宋体" w:eastAsia="宋体"/>
          <w:color w:val="auto"/>
          <w:sz w:val="21"/>
          <w:szCs w:val="21"/>
          <w:highlight w:val="none"/>
        </w:rPr>
        <w:t>b)、签订的劳务合同不符合劳动法等法规要求；</w:t>
      </w:r>
    </w:p>
    <w:p>
      <w:pPr>
        <w:pStyle w:val="24"/>
        <w:spacing w:line="340" w:lineRule="exact"/>
        <w:rPr>
          <w:rFonts w:ascii="宋体" w:hAnsi="宋体" w:eastAsia="宋体"/>
          <w:color w:val="auto"/>
          <w:sz w:val="21"/>
          <w:szCs w:val="21"/>
          <w:highlight w:val="none"/>
        </w:rPr>
      </w:pPr>
      <w:r>
        <w:rPr>
          <w:rFonts w:hint="eastAsia" w:ascii="宋体" w:hAnsi="宋体" w:eastAsia="宋体"/>
          <w:color w:val="auto"/>
          <w:sz w:val="21"/>
          <w:szCs w:val="21"/>
          <w:highlight w:val="none"/>
        </w:rPr>
        <w:t>c)、务人员未编入承包人施工班组，并持项目经理签发的劳务上岗证上岗。</w:t>
      </w:r>
    </w:p>
    <w:p>
      <w:pPr>
        <w:pStyle w:val="24"/>
        <w:spacing w:line="340" w:lineRule="exact"/>
        <w:rPr>
          <w:rFonts w:ascii="宋体" w:hAnsi="宋体" w:eastAsia="宋体"/>
          <w:color w:val="auto"/>
          <w:sz w:val="21"/>
          <w:szCs w:val="21"/>
          <w:highlight w:val="none"/>
        </w:rPr>
      </w:pPr>
      <w:r>
        <w:rPr>
          <w:rFonts w:hint="eastAsia" w:ascii="宋体" w:hAnsi="宋体" w:eastAsia="宋体"/>
          <w:color w:val="auto"/>
          <w:sz w:val="21"/>
          <w:szCs w:val="21"/>
          <w:highlight w:val="none"/>
        </w:rPr>
        <w:t>22.1.3上述被处的违约金在计量支付时从履约担保金中扣除，当扣除额达履约担保金总额30%时，承包人无条件进行足额补充。</w:t>
      </w:r>
    </w:p>
    <w:p>
      <w:pPr>
        <w:pStyle w:val="24"/>
        <w:spacing w:line="340" w:lineRule="exact"/>
        <w:rPr>
          <w:rFonts w:ascii="宋体" w:hAnsi="宋体" w:eastAsia="宋体"/>
          <w:color w:val="auto"/>
          <w:szCs w:val="21"/>
          <w:highlight w:val="none"/>
        </w:rPr>
      </w:pPr>
      <w:r>
        <w:rPr>
          <w:rFonts w:hint="eastAsia" w:ascii="宋体" w:hAnsi="宋体" w:eastAsia="宋体"/>
          <w:color w:val="auto"/>
          <w:sz w:val="21"/>
          <w:szCs w:val="21"/>
          <w:highlight w:val="none"/>
        </w:rPr>
        <w:t>22.1.4业主（项目法人）按合同进行违约处理后，并不解除承包人按照国家法规与合同应承担的责任与义务。</w:t>
      </w:r>
    </w:p>
    <w:p>
      <w:pPr>
        <w:tabs>
          <w:tab w:val="left" w:pos="3193"/>
        </w:tabs>
        <w:spacing w:line="340" w:lineRule="exact"/>
        <w:rPr>
          <w:color w:val="auto"/>
          <w:szCs w:val="21"/>
          <w:highlight w:val="none"/>
        </w:rPr>
      </w:pPr>
      <w:r>
        <w:rPr>
          <w:rFonts w:hint="eastAsia"/>
          <w:color w:val="auto"/>
          <w:szCs w:val="21"/>
          <w:highlight w:val="none"/>
        </w:rPr>
        <w:t>25.其它（增加）</w:t>
      </w:r>
    </w:p>
    <w:p>
      <w:pPr>
        <w:tabs>
          <w:tab w:val="left" w:pos="3193"/>
        </w:tabs>
        <w:spacing w:line="340" w:lineRule="exact"/>
        <w:ind w:firstLine="440" w:firstLineChars="200"/>
        <w:rPr>
          <w:color w:val="auto"/>
          <w:sz w:val="24"/>
          <w:highlight w:val="none"/>
        </w:rPr>
      </w:pPr>
      <w:r>
        <w:rPr>
          <w:rFonts w:hint="eastAsia"/>
          <w:color w:val="auto"/>
          <w:szCs w:val="21"/>
          <w:highlight w:val="none"/>
        </w:rPr>
        <w:t>25.1（增加）承包人应严格按照《中华人民共和国农业法》、《中华人民共和国土地管理法》、《基本农田保护条例》等的规定占用或使用土地，切实保护耕地，承包人的临时用地应作好复耕、绿化、地质灾害防护或恢复至使用状态。同时，在工程施工中，依据国家和地方有关环境的法律法规和文件、环境影响报告书、有关技术规范及设计文件等，在生态保护、水土保持、地质灾害防治、绿化、污染物防治等方面执行有关环境规定。对承包人违反耕地保护和环境保护的相关规定的，监理工程师有权作出指令要求承包人进行整改或修复并监理工程师满意，若承包人不执行监理工程师指令的，监理工程师有权中止支付或另行处理，所发生费用由承包人承担。</w:t>
      </w:r>
    </w:p>
    <w:p>
      <w:pPr>
        <w:spacing w:line="393" w:lineRule="auto"/>
        <w:rPr>
          <w:color w:val="auto"/>
          <w:highlight w:val="none"/>
        </w:rPr>
        <w:sectPr>
          <w:pgSz w:w="11910" w:h="16850"/>
          <w:pgMar w:top="1280" w:right="860" w:bottom="1040" w:left="1280" w:header="877" w:footer="853" w:gutter="0"/>
          <w:cols w:space="720" w:num="1"/>
        </w:sectPr>
      </w:pPr>
    </w:p>
    <w:p>
      <w:pPr>
        <w:pStyle w:val="6"/>
        <w:tabs>
          <w:tab w:val="left" w:pos="1353"/>
        </w:tabs>
        <w:ind w:right="18"/>
        <w:rPr>
          <w:rFonts w:ascii="宋体" w:eastAsia="宋体"/>
          <w:color w:val="auto"/>
          <w:highlight w:val="none"/>
        </w:rPr>
      </w:pPr>
      <w:r>
        <w:rPr>
          <w:rFonts w:hint="eastAsia" w:ascii="宋体" w:eastAsia="宋体"/>
          <w:color w:val="auto"/>
          <w:highlight w:val="none"/>
        </w:rPr>
        <w:t>第三节</w:t>
      </w:r>
      <w:r>
        <w:rPr>
          <w:rFonts w:hint="eastAsia" w:ascii="宋体" w:eastAsia="宋体"/>
          <w:color w:val="auto"/>
          <w:highlight w:val="none"/>
        </w:rPr>
        <w:tab/>
      </w:r>
      <w:r>
        <w:rPr>
          <w:rFonts w:hint="eastAsia" w:ascii="宋体" w:eastAsia="宋体"/>
          <w:color w:val="auto"/>
          <w:highlight w:val="none"/>
        </w:rPr>
        <w:t>合同附件格式</w:t>
      </w:r>
    </w:p>
    <w:p>
      <w:pPr>
        <w:pStyle w:val="2"/>
        <w:spacing w:before="8"/>
        <w:rPr>
          <w:b/>
          <w:color w:val="auto"/>
          <w:sz w:val="24"/>
          <w:highlight w:val="none"/>
        </w:rPr>
      </w:pPr>
    </w:p>
    <w:p>
      <w:pPr>
        <w:rPr>
          <w:color w:val="auto"/>
          <w:sz w:val="24"/>
          <w:highlight w:val="none"/>
        </w:rPr>
        <w:sectPr>
          <w:pgSz w:w="11910" w:h="16850"/>
          <w:pgMar w:top="1280" w:right="860" w:bottom="1040" w:left="1280" w:header="877" w:footer="853" w:gutter="0"/>
          <w:cols w:space="720" w:num="1"/>
        </w:sectPr>
      </w:pPr>
    </w:p>
    <w:p>
      <w:pPr>
        <w:spacing w:before="72"/>
        <w:ind w:left="251"/>
        <w:rPr>
          <w:b/>
          <w:color w:val="auto"/>
          <w:sz w:val="21"/>
          <w:highlight w:val="none"/>
        </w:rPr>
      </w:pPr>
      <w:r>
        <w:rPr>
          <w:b/>
          <w:color w:val="auto"/>
          <w:sz w:val="21"/>
          <w:highlight w:val="none"/>
        </w:rPr>
        <w:t>附件一 合同协议书</w:t>
      </w:r>
    </w:p>
    <w:p>
      <w:pPr>
        <w:pStyle w:val="2"/>
        <w:rPr>
          <w:b/>
          <w:color w:val="auto"/>
          <w:sz w:val="24"/>
          <w:highlight w:val="none"/>
        </w:rPr>
      </w:pPr>
      <w:r>
        <w:rPr>
          <w:color w:val="auto"/>
          <w:highlight w:val="none"/>
        </w:rPr>
        <w:br w:type="column"/>
      </w:r>
    </w:p>
    <w:p>
      <w:pPr>
        <w:spacing w:before="176"/>
        <w:ind w:left="251"/>
        <w:rPr>
          <w:b/>
          <w:color w:val="auto"/>
          <w:sz w:val="24"/>
          <w:highlight w:val="none"/>
        </w:rPr>
      </w:pPr>
      <w:r>
        <w:rPr>
          <w:b/>
          <w:color w:val="auto"/>
          <w:sz w:val="24"/>
          <w:highlight w:val="none"/>
        </w:rPr>
        <w:t>合同协议书</w:t>
      </w:r>
    </w:p>
    <w:p>
      <w:pPr>
        <w:rPr>
          <w:color w:val="auto"/>
          <w:sz w:val="24"/>
          <w:highlight w:val="none"/>
        </w:rPr>
        <w:sectPr>
          <w:type w:val="continuous"/>
          <w:pgSz w:w="11910" w:h="16850"/>
          <w:pgMar w:top="1600" w:right="860" w:bottom="280" w:left="1280" w:header="720" w:footer="720" w:gutter="0"/>
          <w:cols w:equalWidth="0" w:num="2">
            <w:col w:w="2085" w:space="2178"/>
            <w:col w:w="5507"/>
          </w:cols>
        </w:sectPr>
      </w:pPr>
    </w:p>
    <w:p>
      <w:pPr>
        <w:pStyle w:val="2"/>
        <w:rPr>
          <w:b/>
          <w:color w:val="auto"/>
          <w:sz w:val="20"/>
          <w:highlight w:val="none"/>
        </w:rPr>
      </w:pPr>
    </w:p>
    <w:p>
      <w:pPr>
        <w:pStyle w:val="2"/>
        <w:spacing w:before="9"/>
        <w:rPr>
          <w:b/>
          <w:color w:val="auto"/>
          <w:sz w:val="15"/>
          <w:highlight w:val="none"/>
        </w:rPr>
      </w:pPr>
    </w:p>
    <w:p>
      <w:pPr>
        <w:pStyle w:val="2"/>
        <w:spacing w:line="321" w:lineRule="auto"/>
        <w:ind w:left="251" w:right="264" w:firstLine="424"/>
        <w:rPr>
          <w:color w:val="auto"/>
          <w:highlight w:val="none"/>
        </w:rPr>
      </w:pPr>
      <w:r>
        <w:rPr>
          <w:color w:val="auto"/>
          <w:highlight w:val="none"/>
        </w:rPr>
        <w:t>（</w:t>
      </w:r>
      <w:r>
        <w:rPr>
          <w:color w:val="auto"/>
          <w:spacing w:val="-10"/>
          <w:highlight w:val="none"/>
        </w:rPr>
        <w:t>发包人名称，以下简称“发包人”</w:t>
      </w:r>
      <w:r>
        <w:rPr>
          <w:color w:val="auto"/>
          <w:spacing w:val="-24"/>
          <w:highlight w:val="none"/>
        </w:rPr>
        <w:t>）</w:t>
      </w:r>
      <w:r>
        <w:rPr>
          <w:color w:val="auto"/>
          <w:spacing w:val="-9"/>
          <w:highlight w:val="none"/>
        </w:rPr>
        <w:t>为实施</w:t>
      </w:r>
      <w:r>
        <w:rPr>
          <w:color w:val="auto"/>
          <w:spacing w:val="-3"/>
          <w:highlight w:val="none"/>
        </w:rPr>
        <w:t>（</w:t>
      </w:r>
      <w:r>
        <w:rPr>
          <w:color w:val="auto"/>
          <w:spacing w:val="-2"/>
          <w:highlight w:val="none"/>
        </w:rPr>
        <w:t>项目名称</w:t>
      </w:r>
      <w:r>
        <w:rPr>
          <w:color w:val="auto"/>
          <w:spacing w:val="-24"/>
          <w:highlight w:val="none"/>
        </w:rPr>
        <w:t>）</w:t>
      </w:r>
      <w:r>
        <w:rPr>
          <w:color w:val="auto"/>
          <w:spacing w:val="-13"/>
          <w:highlight w:val="none"/>
        </w:rPr>
        <w:t>，已接受</w:t>
      </w:r>
      <w:r>
        <w:rPr>
          <w:color w:val="auto"/>
          <w:spacing w:val="-3"/>
          <w:highlight w:val="none"/>
        </w:rPr>
        <w:t>（</w:t>
      </w:r>
      <w:r>
        <w:rPr>
          <w:color w:val="auto"/>
          <w:spacing w:val="-8"/>
          <w:highlight w:val="none"/>
        </w:rPr>
        <w:t>承包人名称，以下简称“承包人”）</w:t>
      </w:r>
      <w:r>
        <w:rPr>
          <w:color w:val="auto"/>
          <w:spacing w:val="-3"/>
          <w:highlight w:val="none"/>
        </w:rPr>
        <w:t>对该项目标段施工的竞标。 发包人和承包人共同达成如下协议。</w:t>
      </w:r>
    </w:p>
    <w:p>
      <w:pPr>
        <w:pStyle w:val="53"/>
        <w:numPr>
          <w:ilvl w:val="0"/>
          <w:numId w:val="17"/>
        </w:numPr>
        <w:tabs>
          <w:tab w:val="left" w:pos="995"/>
        </w:tabs>
        <w:spacing w:line="321" w:lineRule="auto"/>
        <w:ind w:right="266" w:firstLine="424"/>
        <w:rPr>
          <w:color w:val="auto"/>
          <w:sz w:val="21"/>
          <w:highlight w:val="none"/>
        </w:rPr>
      </w:pPr>
      <w:r>
        <w:rPr>
          <w:color w:val="auto"/>
          <w:spacing w:val="-11"/>
          <w:sz w:val="21"/>
          <w:highlight w:val="none"/>
        </w:rPr>
        <w:t xml:space="preserve">第标段由 </w:t>
      </w:r>
      <w:r>
        <w:rPr>
          <w:rFonts w:ascii="Times New Roman" w:eastAsia="Times New Roman"/>
          <w:color w:val="auto"/>
          <w:sz w:val="21"/>
          <w:highlight w:val="none"/>
        </w:rPr>
        <w:t>K+</w:t>
      </w:r>
      <w:r>
        <w:rPr>
          <w:color w:val="auto"/>
          <w:spacing w:val="-19"/>
          <w:sz w:val="21"/>
          <w:highlight w:val="none"/>
        </w:rPr>
        <w:t xml:space="preserve">至 </w:t>
      </w:r>
      <w:r>
        <w:rPr>
          <w:rFonts w:ascii="Times New Roman" w:eastAsia="Times New Roman"/>
          <w:color w:val="auto"/>
          <w:spacing w:val="-3"/>
          <w:sz w:val="21"/>
          <w:highlight w:val="none"/>
        </w:rPr>
        <w:t>K+</w:t>
      </w:r>
      <w:r>
        <w:rPr>
          <w:color w:val="auto"/>
          <w:spacing w:val="-12"/>
          <w:sz w:val="21"/>
          <w:highlight w:val="none"/>
        </w:rPr>
        <w:t xml:space="preserve">，长约 </w:t>
      </w:r>
      <w:r>
        <w:rPr>
          <w:rFonts w:ascii="Times New Roman" w:eastAsia="Times New Roman"/>
          <w:color w:val="auto"/>
          <w:spacing w:val="-3"/>
          <w:sz w:val="21"/>
          <w:highlight w:val="none"/>
        </w:rPr>
        <w:t>km</w:t>
      </w:r>
      <w:r>
        <w:rPr>
          <w:color w:val="auto"/>
          <w:spacing w:val="-5"/>
          <w:sz w:val="21"/>
          <w:highlight w:val="none"/>
        </w:rPr>
        <w:t>，公路等级为，设计时速为，路面，有立交处；特大桥座，计长</w:t>
      </w:r>
      <w:r>
        <w:rPr>
          <w:rFonts w:ascii="Times New Roman" w:eastAsia="Times New Roman"/>
          <w:color w:val="auto"/>
          <w:spacing w:val="-5"/>
          <w:sz w:val="21"/>
          <w:highlight w:val="none"/>
        </w:rPr>
        <w:t>m</w:t>
      </w:r>
      <w:r>
        <w:rPr>
          <w:color w:val="auto"/>
          <w:spacing w:val="2"/>
          <w:sz w:val="21"/>
          <w:highlight w:val="none"/>
        </w:rPr>
        <w:t>；大中桥座，计长</w:t>
      </w:r>
      <w:r>
        <w:rPr>
          <w:rFonts w:ascii="Times New Roman" w:eastAsia="Times New Roman"/>
          <w:color w:val="auto"/>
          <w:sz w:val="21"/>
          <w:highlight w:val="none"/>
        </w:rPr>
        <w:t>m</w:t>
      </w:r>
      <w:r>
        <w:rPr>
          <w:color w:val="auto"/>
          <w:spacing w:val="-9"/>
          <w:sz w:val="21"/>
          <w:highlight w:val="none"/>
        </w:rPr>
        <w:t xml:space="preserve">；隧道座，计长 </w:t>
      </w:r>
      <w:r>
        <w:rPr>
          <w:rFonts w:ascii="Times New Roman" w:eastAsia="Times New Roman"/>
          <w:color w:val="auto"/>
          <w:sz w:val="21"/>
          <w:highlight w:val="none"/>
        </w:rPr>
        <w:t>m</w:t>
      </w:r>
      <w:r>
        <w:rPr>
          <w:rFonts w:ascii="Times New Roman" w:eastAsia="Times New Roman"/>
          <w:color w:val="auto"/>
          <w:spacing w:val="-4"/>
          <w:sz w:val="21"/>
          <w:highlight w:val="none"/>
        </w:rPr>
        <w:t xml:space="preserve"> </w:t>
      </w:r>
      <w:r>
        <w:rPr>
          <w:color w:val="auto"/>
          <w:spacing w:val="-3"/>
          <w:sz w:val="21"/>
          <w:highlight w:val="none"/>
        </w:rPr>
        <w:t>以及其他构造物工程等。</w:t>
      </w:r>
    </w:p>
    <w:p>
      <w:pPr>
        <w:pStyle w:val="53"/>
        <w:numPr>
          <w:ilvl w:val="0"/>
          <w:numId w:val="17"/>
        </w:numPr>
        <w:tabs>
          <w:tab w:val="left" w:pos="941"/>
        </w:tabs>
        <w:spacing w:line="269" w:lineRule="exact"/>
        <w:ind w:left="940" w:hanging="265"/>
        <w:rPr>
          <w:color w:val="auto"/>
          <w:sz w:val="21"/>
          <w:highlight w:val="none"/>
        </w:rPr>
      </w:pPr>
      <w:r>
        <w:rPr>
          <w:color w:val="auto"/>
          <w:spacing w:val="-3"/>
          <w:sz w:val="21"/>
          <w:highlight w:val="none"/>
        </w:rPr>
        <w:t>下列文件应视为构成合同文件的组成部分：</w:t>
      </w:r>
    </w:p>
    <w:p>
      <w:pPr>
        <w:pStyle w:val="53"/>
        <w:numPr>
          <w:ilvl w:val="0"/>
          <w:numId w:val="18"/>
        </w:numPr>
        <w:tabs>
          <w:tab w:val="left" w:pos="1206"/>
        </w:tabs>
        <w:spacing w:before="90"/>
        <w:ind w:hanging="530"/>
        <w:rPr>
          <w:color w:val="auto"/>
          <w:sz w:val="21"/>
          <w:highlight w:val="none"/>
        </w:rPr>
      </w:pPr>
      <w:r>
        <w:rPr>
          <w:color w:val="auto"/>
          <w:spacing w:val="-3"/>
          <w:sz w:val="21"/>
          <w:highlight w:val="none"/>
        </w:rPr>
        <w:t>本协议书及各种合同附件（含评标期间和合同磋商过程中的澄清文件和补充资料</w:t>
      </w:r>
      <w:r>
        <w:rPr>
          <w:color w:val="auto"/>
          <w:sz w:val="21"/>
          <w:highlight w:val="none"/>
        </w:rPr>
        <w:t>）；</w:t>
      </w:r>
    </w:p>
    <w:p>
      <w:pPr>
        <w:pStyle w:val="53"/>
        <w:numPr>
          <w:ilvl w:val="0"/>
          <w:numId w:val="18"/>
        </w:numPr>
        <w:tabs>
          <w:tab w:val="left" w:pos="1206"/>
        </w:tabs>
        <w:spacing w:before="90"/>
        <w:ind w:hanging="530"/>
        <w:rPr>
          <w:color w:val="auto"/>
          <w:sz w:val="21"/>
          <w:highlight w:val="none"/>
        </w:rPr>
      </w:pPr>
      <w:r>
        <w:rPr>
          <w:color w:val="auto"/>
          <w:spacing w:val="-3"/>
          <w:sz w:val="21"/>
          <w:highlight w:val="none"/>
        </w:rPr>
        <w:t>成交通知书；</w:t>
      </w:r>
    </w:p>
    <w:p>
      <w:pPr>
        <w:pStyle w:val="53"/>
        <w:numPr>
          <w:ilvl w:val="0"/>
          <w:numId w:val="18"/>
        </w:numPr>
        <w:tabs>
          <w:tab w:val="left" w:pos="1206"/>
        </w:tabs>
        <w:spacing w:before="91"/>
        <w:ind w:hanging="530"/>
        <w:rPr>
          <w:color w:val="auto"/>
          <w:sz w:val="21"/>
          <w:highlight w:val="none"/>
        </w:rPr>
      </w:pPr>
      <w:r>
        <w:rPr>
          <w:color w:val="auto"/>
          <w:spacing w:val="-3"/>
          <w:sz w:val="21"/>
          <w:highlight w:val="none"/>
        </w:rPr>
        <w:t>磋商函及磋商函附录；</w:t>
      </w:r>
    </w:p>
    <w:p>
      <w:pPr>
        <w:pStyle w:val="53"/>
        <w:numPr>
          <w:ilvl w:val="0"/>
          <w:numId w:val="18"/>
        </w:numPr>
        <w:tabs>
          <w:tab w:val="left" w:pos="1206"/>
        </w:tabs>
        <w:spacing w:before="91"/>
        <w:ind w:hanging="530"/>
        <w:rPr>
          <w:color w:val="auto"/>
          <w:sz w:val="21"/>
          <w:highlight w:val="none"/>
        </w:rPr>
      </w:pPr>
      <w:r>
        <w:rPr>
          <w:color w:val="auto"/>
          <w:spacing w:val="-3"/>
          <w:sz w:val="21"/>
          <w:highlight w:val="none"/>
        </w:rPr>
        <w:t>项目专用合同条款；</w:t>
      </w:r>
    </w:p>
    <w:p>
      <w:pPr>
        <w:pStyle w:val="53"/>
        <w:numPr>
          <w:ilvl w:val="0"/>
          <w:numId w:val="18"/>
        </w:numPr>
        <w:tabs>
          <w:tab w:val="left" w:pos="1206"/>
        </w:tabs>
        <w:spacing w:before="91"/>
        <w:ind w:hanging="530"/>
        <w:rPr>
          <w:color w:val="auto"/>
          <w:sz w:val="21"/>
          <w:highlight w:val="none"/>
        </w:rPr>
      </w:pPr>
      <w:r>
        <w:rPr>
          <w:color w:val="auto"/>
          <w:spacing w:val="-3"/>
          <w:sz w:val="21"/>
          <w:highlight w:val="none"/>
        </w:rPr>
        <w:t>公路工程专用合同条款；</w:t>
      </w:r>
    </w:p>
    <w:p>
      <w:pPr>
        <w:pStyle w:val="53"/>
        <w:numPr>
          <w:ilvl w:val="0"/>
          <w:numId w:val="18"/>
        </w:numPr>
        <w:tabs>
          <w:tab w:val="left" w:pos="1206"/>
        </w:tabs>
        <w:spacing w:before="91"/>
        <w:ind w:hanging="530"/>
        <w:rPr>
          <w:color w:val="auto"/>
          <w:sz w:val="21"/>
          <w:highlight w:val="none"/>
        </w:rPr>
      </w:pPr>
      <w:r>
        <w:rPr>
          <w:color w:val="auto"/>
          <w:spacing w:val="-3"/>
          <w:sz w:val="21"/>
          <w:highlight w:val="none"/>
        </w:rPr>
        <w:t>通用合同条款；</w:t>
      </w:r>
    </w:p>
    <w:p>
      <w:pPr>
        <w:pStyle w:val="53"/>
        <w:numPr>
          <w:ilvl w:val="0"/>
          <w:numId w:val="18"/>
        </w:numPr>
        <w:tabs>
          <w:tab w:val="left" w:pos="1206"/>
        </w:tabs>
        <w:spacing w:before="91"/>
        <w:ind w:hanging="530"/>
        <w:rPr>
          <w:color w:val="auto"/>
          <w:sz w:val="21"/>
          <w:highlight w:val="none"/>
        </w:rPr>
      </w:pPr>
      <w:r>
        <w:rPr>
          <w:color w:val="auto"/>
          <w:spacing w:val="-3"/>
          <w:sz w:val="21"/>
          <w:highlight w:val="none"/>
        </w:rPr>
        <w:t>工程量清单计量规则；</w:t>
      </w:r>
    </w:p>
    <w:p>
      <w:pPr>
        <w:pStyle w:val="53"/>
        <w:numPr>
          <w:ilvl w:val="0"/>
          <w:numId w:val="18"/>
        </w:numPr>
        <w:tabs>
          <w:tab w:val="left" w:pos="1206"/>
        </w:tabs>
        <w:spacing w:before="91"/>
        <w:ind w:hanging="530"/>
        <w:rPr>
          <w:color w:val="auto"/>
          <w:sz w:val="21"/>
          <w:highlight w:val="none"/>
        </w:rPr>
      </w:pPr>
      <w:r>
        <w:rPr>
          <w:color w:val="auto"/>
          <w:spacing w:val="-3"/>
          <w:sz w:val="21"/>
          <w:highlight w:val="none"/>
        </w:rPr>
        <w:t>技术规范；</w:t>
      </w:r>
    </w:p>
    <w:p>
      <w:pPr>
        <w:pStyle w:val="53"/>
        <w:numPr>
          <w:ilvl w:val="0"/>
          <w:numId w:val="18"/>
        </w:numPr>
        <w:tabs>
          <w:tab w:val="left" w:pos="1206"/>
        </w:tabs>
        <w:spacing w:before="91"/>
        <w:ind w:hanging="530"/>
        <w:rPr>
          <w:color w:val="auto"/>
          <w:sz w:val="21"/>
          <w:highlight w:val="none"/>
        </w:rPr>
      </w:pPr>
      <w:r>
        <w:rPr>
          <w:color w:val="auto"/>
          <w:spacing w:val="-2"/>
          <w:sz w:val="21"/>
          <w:highlight w:val="none"/>
        </w:rPr>
        <w:t>图纸；</w:t>
      </w:r>
    </w:p>
    <w:p>
      <w:pPr>
        <w:pStyle w:val="53"/>
        <w:numPr>
          <w:ilvl w:val="0"/>
          <w:numId w:val="18"/>
        </w:numPr>
        <w:tabs>
          <w:tab w:val="left" w:pos="1311"/>
        </w:tabs>
        <w:spacing w:before="91"/>
        <w:ind w:left="1311" w:hanging="635"/>
        <w:rPr>
          <w:color w:val="auto"/>
          <w:sz w:val="21"/>
          <w:highlight w:val="none"/>
        </w:rPr>
      </w:pPr>
      <w:r>
        <w:rPr>
          <w:color w:val="auto"/>
          <w:spacing w:val="-3"/>
          <w:sz w:val="21"/>
          <w:highlight w:val="none"/>
        </w:rPr>
        <w:t>已标价工程量清单；</w:t>
      </w:r>
    </w:p>
    <w:p>
      <w:pPr>
        <w:pStyle w:val="53"/>
        <w:numPr>
          <w:ilvl w:val="0"/>
          <w:numId w:val="18"/>
        </w:numPr>
        <w:tabs>
          <w:tab w:val="left" w:pos="1302"/>
        </w:tabs>
        <w:spacing w:before="91"/>
        <w:ind w:left="1301" w:hanging="626"/>
        <w:rPr>
          <w:color w:val="auto"/>
          <w:sz w:val="21"/>
          <w:highlight w:val="none"/>
        </w:rPr>
      </w:pPr>
      <w:r>
        <w:rPr>
          <w:color w:val="auto"/>
          <w:spacing w:val="-3"/>
          <w:sz w:val="21"/>
          <w:highlight w:val="none"/>
        </w:rPr>
        <w:t>承包人有关人员、设备投入的承诺及响应文件中的施工组织设计；</w:t>
      </w:r>
    </w:p>
    <w:p>
      <w:pPr>
        <w:pStyle w:val="53"/>
        <w:numPr>
          <w:ilvl w:val="0"/>
          <w:numId w:val="18"/>
        </w:numPr>
        <w:tabs>
          <w:tab w:val="left" w:pos="1311"/>
        </w:tabs>
        <w:spacing w:before="91"/>
        <w:ind w:left="1311" w:hanging="635"/>
        <w:rPr>
          <w:color w:val="auto"/>
          <w:sz w:val="21"/>
          <w:highlight w:val="none"/>
        </w:rPr>
      </w:pPr>
      <w:r>
        <w:rPr>
          <w:color w:val="auto"/>
          <w:spacing w:val="-3"/>
          <w:sz w:val="21"/>
          <w:highlight w:val="none"/>
        </w:rPr>
        <w:t>其他合同文件。</w:t>
      </w:r>
    </w:p>
    <w:p>
      <w:pPr>
        <w:pStyle w:val="2"/>
        <w:spacing w:before="91" w:line="321" w:lineRule="auto"/>
        <w:ind w:left="251" w:right="263" w:firstLine="424"/>
        <w:rPr>
          <w:color w:val="auto"/>
          <w:highlight w:val="none"/>
        </w:rPr>
      </w:pPr>
      <w:r>
        <w:rPr>
          <w:color w:val="auto"/>
          <w:highlight w:val="none"/>
        </w:rPr>
        <w:t>上述合同文件互相补充和解释，如有合同文件的承诺存在矛盾或不一致之处，以上述的排列在先者为准。</w:t>
      </w:r>
    </w:p>
    <w:p>
      <w:pPr>
        <w:pStyle w:val="53"/>
        <w:numPr>
          <w:ilvl w:val="0"/>
          <w:numId w:val="17"/>
        </w:numPr>
        <w:tabs>
          <w:tab w:val="left" w:pos="941"/>
        </w:tabs>
        <w:spacing w:line="268" w:lineRule="exact"/>
        <w:ind w:left="940" w:hanging="265"/>
        <w:rPr>
          <w:color w:val="auto"/>
          <w:sz w:val="21"/>
          <w:highlight w:val="none"/>
        </w:rPr>
      </w:pPr>
      <w:r>
        <w:rPr>
          <w:color w:val="auto"/>
          <w:spacing w:val="-5"/>
          <w:sz w:val="21"/>
          <w:highlight w:val="none"/>
        </w:rPr>
        <w:t>根据工程量清单所列的预计数量和单价或总额价计算的签约合同价：人民币</w:t>
      </w:r>
      <w:r>
        <w:rPr>
          <w:color w:val="auto"/>
          <w:sz w:val="21"/>
          <w:highlight w:val="none"/>
        </w:rPr>
        <w:t>（</w:t>
      </w:r>
      <w:r>
        <w:rPr>
          <w:color w:val="auto"/>
          <w:spacing w:val="-2"/>
          <w:sz w:val="21"/>
          <w:highlight w:val="none"/>
        </w:rPr>
        <w:t>大写</w:t>
      </w:r>
      <w:r>
        <w:rPr>
          <w:color w:val="auto"/>
          <w:spacing w:val="-13"/>
          <w:sz w:val="21"/>
          <w:highlight w:val="none"/>
        </w:rPr>
        <w:t>）元</w:t>
      </w:r>
      <w:r>
        <w:rPr>
          <w:color w:val="auto"/>
          <w:spacing w:val="-5"/>
          <w:sz w:val="21"/>
          <w:highlight w:val="none"/>
        </w:rPr>
        <w:t>（</w:t>
      </w:r>
      <w:r>
        <w:rPr>
          <w:rFonts w:ascii="Times New Roman" w:hAnsi="Times New Roman" w:eastAsia="Times New Roman"/>
          <w:color w:val="auto"/>
          <w:spacing w:val="-5"/>
          <w:sz w:val="21"/>
          <w:highlight w:val="none"/>
        </w:rPr>
        <w:t>¥</w:t>
      </w:r>
      <w:r>
        <w:rPr>
          <w:color w:val="auto"/>
          <w:spacing w:val="-5"/>
          <w:sz w:val="21"/>
          <w:highlight w:val="none"/>
        </w:rPr>
        <w:t>）</w:t>
      </w:r>
      <w:r>
        <w:rPr>
          <w:color w:val="auto"/>
          <w:spacing w:val="-15"/>
          <w:sz w:val="21"/>
          <w:highlight w:val="none"/>
        </w:rPr>
        <w:t>。</w:t>
      </w:r>
    </w:p>
    <w:p>
      <w:pPr>
        <w:pStyle w:val="53"/>
        <w:numPr>
          <w:ilvl w:val="0"/>
          <w:numId w:val="17"/>
        </w:numPr>
        <w:tabs>
          <w:tab w:val="left" w:pos="941"/>
        </w:tabs>
        <w:spacing w:before="91"/>
        <w:ind w:left="940" w:hanging="265"/>
        <w:rPr>
          <w:color w:val="auto"/>
          <w:sz w:val="21"/>
          <w:highlight w:val="none"/>
        </w:rPr>
      </w:pPr>
      <w:r>
        <w:rPr>
          <w:color w:val="auto"/>
          <w:spacing w:val="-3"/>
          <w:sz w:val="21"/>
          <w:highlight w:val="none"/>
        </w:rPr>
        <w:t>承包人项目经理：。承包人项目总工：。</w:t>
      </w:r>
    </w:p>
    <w:p>
      <w:pPr>
        <w:pStyle w:val="53"/>
        <w:numPr>
          <w:ilvl w:val="0"/>
          <w:numId w:val="17"/>
        </w:numPr>
        <w:tabs>
          <w:tab w:val="left" w:pos="941"/>
        </w:tabs>
        <w:spacing w:before="91"/>
        <w:ind w:left="940" w:hanging="265"/>
        <w:rPr>
          <w:color w:val="auto"/>
          <w:sz w:val="21"/>
          <w:highlight w:val="none"/>
        </w:rPr>
      </w:pPr>
      <w:r>
        <w:rPr>
          <w:color w:val="auto"/>
          <w:spacing w:val="-3"/>
          <w:sz w:val="21"/>
          <w:highlight w:val="none"/>
        </w:rPr>
        <w:t>工程质量符合标准。工程安全目标：。</w:t>
      </w:r>
    </w:p>
    <w:p>
      <w:pPr>
        <w:pStyle w:val="53"/>
        <w:numPr>
          <w:ilvl w:val="0"/>
          <w:numId w:val="17"/>
        </w:numPr>
        <w:tabs>
          <w:tab w:val="left" w:pos="941"/>
        </w:tabs>
        <w:spacing w:before="92"/>
        <w:ind w:left="940" w:hanging="265"/>
        <w:rPr>
          <w:color w:val="auto"/>
          <w:sz w:val="21"/>
          <w:highlight w:val="none"/>
        </w:rPr>
      </w:pPr>
      <w:r>
        <w:rPr>
          <w:color w:val="auto"/>
          <w:spacing w:val="-3"/>
          <w:sz w:val="21"/>
          <w:highlight w:val="none"/>
        </w:rPr>
        <w:t>承包人承诺按合同约定承担工程的实施、完成及缺陷修复。</w:t>
      </w:r>
    </w:p>
    <w:p>
      <w:pPr>
        <w:pStyle w:val="53"/>
        <w:numPr>
          <w:ilvl w:val="0"/>
          <w:numId w:val="17"/>
        </w:numPr>
        <w:tabs>
          <w:tab w:val="left" w:pos="941"/>
        </w:tabs>
        <w:spacing w:before="91"/>
        <w:ind w:left="940" w:hanging="265"/>
        <w:rPr>
          <w:color w:val="auto"/>
          <w:sz w:val="21"/>
          <w:highlight w:val="none"/>
        </w:rPr>
      </w:pPr>
      <w:r>
        <w:rPr>
          <w:color w:val="auto"/>
          <w:spacing w:val="-3"/>
          <w:sz w:val="21"/>
          <w:highlight w:val="none"/>
        </w:rPr>
        <w:t>发包人承诺按合同约定的条件、时间和方式向承包人支付合同价款。</w:t>
      </w:r>
    </w:p>
    <w:p>
      <w:pPr>
        <w:pStyle w:val="53"/>
        <w:numPr>
          <w:ilvl w:val="0"/>
          <w:numId w:val="17"/>
        </w:numPr>
        <w:tabs>
          <w:tab w:val="left" w:pos="941"/>
        </w:tabs>
        <w:spacing w:before="90"/>
        <w:ind w:left="940" w:hanging="265"/>
        <w:rPr>
          <w:color w:val="auto"/>
          <w:sz w:val="21"/>
          <w:highlight w:val="none"/>
        </w:rPr>
      </w:pPr>
      <w:r>
        <w:rPr>
          <w:color w:val="auto"/>
          <w:spacing w:val="-3"/>
          <w:sz w:val="21"/>
          <w:highlight w:val="none"/>
        </w:rPr>
        <w:t>承包人应按照监理人指示开工，工期为日历天。</w:t>
      </w:r>
    </w:p>
    <w:p>
      <w:pPr>
        <w:pStyle w:val="53"/>
        <w:numPr>
          <w:ilvl w:val="0"/>
          <w:numId w:val="17"/>
        </w:numPr>
        <w:tabs>
          <w:tab w:val="left" w:pos="839"/>
        </w:tabs>
        <w:spacing w:before="91" w:line="321" w:lineRule="auto"/>
        <w:ind w:right="264" w:firstLine="424"/>
        <w:rPr>
          <w:color w:val="auto"/>
          <w:sz w:val="21"/>
          <w:highlight w:val="none"/>
        </w:rPr>
      </w:pPr>
      <w:r>
        <w:rPr>
          <w:color w:val="auto"/>
          <w:spacing w:val="2"/>
          <w:sz w:val="21"/>
          <w:highlight w:val="none"/>
        </w:rPr>
        <w:t xml:space="preserve">本工程的农民工工资保证金按合同总价的 </w:t>
      </w:r>
      <w:r>
        <w:rPr>
          <w:rFonts w:ascii="Times New Roman" w:eastAsia="Times New Roman"/>
          <w:color w:val="auto"/>
          <w:sz w:val="21"/>
          <w:highlight w:val="none"/>
        </w:rPr>
        <w:t>2</w:t>
      </w:r>
      <w:r>
        <w:rPr>
          <w:color w:val="auto"/>
          <w:spacing w:val="-1"/>
          <w:sz w:val="21"/>
          <w:highlight w:val="none"/>
        </w:rPr>
        <w:t>％计算，承包人需在开工前向发包人提供农民工工</w:t>
      </w:r>
      <w:r>
        <w:rPr>
          <w:color w:val="auto"/>
          <w:spacing w:val="-3"/>
          <w:sz w:val="21"/>
          <w:highlight w:val="none"/>
        </w:rPr>
        <w:t>资缴纳凭证和人社、银行签订的《农民工工资保证金专用帐户监管协议》。</w:t>
      </w:r>
    </w:p>
    <w:p>
      <w:pPr>
        <w:pStyle w:val="53"/>
        <w:numPr>
          <w:ilvl w:val="0"/>
          <w:numId w:val="17"/>
        </w:numPr>
        <w:tabs>
          <w:tab w:val="left" w:pos="1046"/>
        </w:tabs>
        <w:spacing w:line="321" w:lineRule="auto"/>
        <w:ind w:right="268" w:firstLine="424"/>
        <w:rPr>
          <w:color w:val="auto"/>
          <w:sz w:val="21"/>
          <w:highlight w:val="none"/>
        </w:rPr>
      </w:pPr>
      <w:r>
        <w:rPr>
          <w:color w:val="auto"/>
          <w:spacing w:val="-1"/>
          <w:sz w:val="21"/>
          <w:highlight w:val="none"/>
        </w:rPr>
        <w:t>本协议书在承包人提供履约保证金后，由双方法定代表人或其委托代理人签署并加盖单位章</w:t>
      </w:r>
      <w:r>
        <w:rPr>
          <w:color w:val="auto"/>
          <w:spacing w:val="-3"/>
          <w:sz w:val="21"/>
          <w:highlight w:val="none"/>
        </w:rPr>
        <w:t>后生效。全部工程完工后经竣交工验收合格、缺陷责任期满签发缺陷责任终止证书后生效。</w:t>
      </w:r>
    </w:p>
    <w:p>
      <w:pPr>
        <w:pStyle w:val="53"/>
        <w:numPr>
          <w:ilvl w:val="0"/>
          <w:numId w:val="17"/>
        </w:numPr>
        <w:tabs>
          <w:tab w:val="left" w:pos="1093"/>
        </w:tabs>
        <w:spacing w:line="321" w:lineRule="auto"/>
        <w:ind w:right="266" w:firstLine="424"/>
        <w:rPr>
          <w:color w:val="auto"/>
          <w:sz w:val="21"/>
          <w:highlight w:val="none"/>
        </w:rPr>
      </w:pPr>
      <w:r>
        <w:rPr>
          <w:color w:val="auto"/>
          <w:spacing w:val="-3"/>
          <w:sz w:val="21"/>
          <w:highlight w:val="none"/>
        </w:rPr>
        <w:t>本协议书正本二份、副本份，合同双方各执正本一份，副本份，当正本与副本的内容不一致时，以正本为准。</w:t>
      </w:r>
    </w:p>
    <w:p>
      <w:pPr>
        <w:pStyle w:val="53"/>
        <w:numPr>
          <w:ilvl w:val="0"/>
          <w:numId w:val="17"/>
        </w:numPr>
        <w:tabs>
          <w:tab w:val="left" w:pos="942"/>
        </w:tabs>
        <w:spacing w:line="268" w:lineRule="exact"/>
        <w:ind w:left="941" w:hanging="266"/>
        <w:rPr>
          <w:color w:val="auto"/>
          <w:sz w:val="21"/>
          <w:highlight w:val="none"/>
        </w:rPr>
      </w:pPr>
      <w:r>
        <w:rPr>
          <w:color w:val="auto"/>
          <w:spacing w:val="-3"/>
          <w:sz w:val="21"/>
          <w:highlight w:val="none"/>
        </w:rPr>
        <w:t>合同未尽事宜，双方另行签订补充协议。补充协议是合同的组成部分。</w:t>
      </w:r>
    </w:p>
    <w:p>
      <w:pPr>
        <w:pStyle w:val="2"/>
        <w:spacing w:before="89"/>
        <w:ind w:left="4490"/>
        <w:rPr>
          <w:rFonts w:ascii="Times New Roman" w:eastAsia="Times New Roman"/>
          <w:color w:val="auto"/>
          <w:highlight w:val="none"/>
        </w:rPr>
      </w:pPr>
      <w:r>
        <w:rPr>
          <w:rFonts w:ascii="Times New Roman" w:eastAsia="Times New Roman"/>
          <w:color w:val="auto"/>
          <w:highlight w:val="none"/>
        </w:rPr>
        <w:t>(</w:t>
      </w:r>
      <w:r>
        <w:rPr>
          <w:color w:val="auto"/>
          <w:highlight w:val="none"/>
        </w:rPr>
        <w:t>以下无正文</w:t>
      </w:r>
      <w:r>
        <w:rPr>
          <w:rFonts w:ascii="Times New Roman" w:eastAsia="Times New Roman"/>
          <w:color w:val="auto"/>
          <w:highlight w:val="none"/>
        </w:rPr>
        <w:t>)</w:t>
      </w:r>
    </w:p>
    <w:p>
      <w:pPr>
        <w:rPr>
          <w:rFonts w:ascii="Times New Roman" w:eastAsia="Times New Roman"/>
          <w:color w:val="auto"/>
          <w:highlight w:val="none"/>
        </w:rPr>
        <w:sectPr>
          <w:type w:val="continuous"/>
          <w:pgSz w:w="11910" w:h="16850"/>
          <w:pgMar w:top="1600" w:right="860" w:bottom="280" w:left="1280" w:header="720" w:footer="720" w:gutter="0"/>
          <w:cols w:space="720" w:num="1"/>
        </w:sectPr>
      </w:pPr>
    </w:p>
    <w:p>
      <w:pPr>
        <w:pStyle w:val="2"/>
        <w:spacing w:before="78"/>
        <w:ind w:left="2108" w:right="2124"/>
        <w:jc w:val="center"/>
        <w:rPr>
          <w:rFonts w:ascii="Times New Roman" w:eastAsia="Times New Roman"/>
          <w:color w:val="auto"/>
          <w:highlight w:val="none"/>
        </w:rPr>
      </w:pPr>
      <w:r>
        <w:rPr>
          <w:rFonts w:ascii="Times New Roman" w:eastAsia="Times New Roman"/>
          <w:color w:val="auto"/>
          <w:highlight w:val="none"/>
        </w:rPr>
        <w:t>(</w:t>
      </w:r>
      <w:r>
        <w:rPr>
          <w:color w:val="auto"/>
          <w:highlight w:val="none"/>
        </w:rPr>
        <w:t>本页无正文</w:t>
      </w:r>
      <w:r>
        <w:rPr>
          <w:rFonts w:ascii="Times New Roman" w:eastAsia="Times New Roman"/>
          <w:color w:val="auto"/>
          <w:highlight w:val="none"/>
        </w:rPr>
        <w:t>)</w:t>
      </w:r>
    </w:p>
    <w:p>
      <w:pPr>
        <w:pStyle w:val="2"/>
        <w:rPr>
          <w:rFonts w:ascii="Times New Roman"/>
          <w:color w:val="auto"/>
          <w:sz w:val="22"/>
          <w:highlight w:val="none"/>
        </w:rPr>
      </w:pPr>
    </w:p>
    <w:p>
      <w:pPr>
        <w:pStyle w:val="2"/>
        <w:rPr>
          <w:rFonts w:ascii="Times New Roman"/>
          <w:color w:val="auto"/>
          <w:sz w:val="22"/>
          <w:highlight w:val="none"/>
        </w:rPr>
      </w:pPr>
    </w:p>
    <w:p>
      <w:pPr>
        <w:pStyle w:val="2"/>
        <w:rPr>
          <w:rFonts w:ascii="Times New Roman"/>
          <w:color w:val="auto"/>
          <w:sz w:val="22"/>
          <w:highlight w:val="none"/>
        </w:rPr>
      </w:pPr>
    </w:p>
    <w:p>
      <w:pPr>
        <w:pStyle w:val="2"/>
        <w:spacing w:before="4"/>
        <w:rPr>
          <w:rFonts w:ascii="Times New Roman"/>
          <w:color w:val="auto"/>
          <w:sz w:val="25"/>
          <w:highlight w:val="none"/>
        </w:rPr>
      </w:pPr>
    </w:p>
    <w:p>
      <w:pPr>
        <w:pStyle w:val="2"/>
        <w:tabs>
          <w:tab w:val="left" w:pos="4877"/>
        </w:tabs>
        <w:spacing w:before="1"/>
        <w:ind w:left="781"/>
        <w:rPr>
          <w:color w:val="auto"/>
          <w:highlight w:val="none"/>
        </w:rPr>
      </w:pPr>
      <w:r>
        <w:rPr>
          <w:color w:val="auto"/>
          <w:highlight w:val="none"/>
        </w:rPr>
        <w:t>发</w:t>
      </w:r>
      <w:r>
        <w:rPr>
          <w:color w:val="auto"/>
          <w:spacing w:val="-3"/>
          <w:highlight w:val="none"/>
        </w:rPr>
        <w:t>包</w:t>
      </w:r>
      <w:r>
        <w:rPr>
          <w:color w:val="auto"/>
          <w:highlight w:val="none"/>
        </w:rPr>
        <w:t>人：（</w:t>
      </w:r>
      <w:r>
        <w:rPr>
          <w:color w:val="auto"/>
          <w:spacing w:val="-3"/>
          <w:highlight w:val="none"/>
        </w:rPr>
        <w:t>盖</w:t>
      </w:r>
      <w:r>
        <w:rPr>
          <w:color w:val="auto"/>
          <w:highlight w:val="none"/>
        </w:rPr>
        <w:t>单</w:t>
      </w:r>
      <w:r>
        <w:rPr>
          <w:color w:val="auto"/>
          <w:spacing w:val="-3"/>
          <w:highlight w:val="none"/>
        </w:rPr>
        <w:t>位</w:t>
      </w:r>
      <w:r>
        <w:rPr>
          <w:color w:val="auto"/>
          <w:highlight w:val="none"/>
        </w:rPr>
        <w:t>章）</w:t>
      </w:r>
      <w:r>
        <w:rPr>
          <w:color w:val="auto"/>
          <w:highlight w:val="none"/>
        </w:rPr>
        <w:tab/>
      </w:r>
      <w:r>
        <w:rPr>
          <w:color w:val="auto"/>
          <w:highlight w:val="none"/>
        </w:rPr>
        <w:t>承</w:t>
      </w:r>
      <w:r>
        <w:rPr>
          <w:color w:val="auto"/>
          <w:spacing w:val="-3"/>
          <w:highlight w:val="none"/>
        </w:rPr>
        <w:t>包人</w:t>
      </w:r>
      <w:r>
        <w:rPr>
          <w:color w:val="auto"/>
          <w:highlight w:val="none"/>
        </w:rPr>
        <w:t>：（</w:t>
      </w:r>
      <w:r>
        <w:rPr>
          <w:color w:val="auto"/>
          <w:spacing w:val="-3"/>
          <w:highlight w:val="none"/>
        </w:rPr>
        <w:t>盖</w:t>
      </w:r>
      <w:r>
        <w:rPr>
          <w:color w:val="auto"/>
          <w:highlight w:val="none"/>
        </w:rPr>
        <w:t>单</w:t>
      </w:r>
      <w:r>
        <w:rPr>
          <w:color w:val="auto"/>
          <w:spacing w:val="-3"/>
          <w:highlight w:val="none"/>
        </w:rPr>
        <w:t>位</w:t>
      </w:r>
      <w:r>
        <w:rPr>
          <w:color w:val="auto"/>
          <w:highlight w:val="none"/>
        </w:rPr>
        <w:t>章）</w:t>
      </w:r>
    </w:p>
    <w:p>
      <w:pPr>
        <w:pStyle w:val="2"/>
        <w:rPr>
          <w:color w:val="auto"/>
          <w:sz w:val="20"/>
          <w:highlight w:val="none"/>
        </w:rPr>
      </w:pPr>
    </w:p>
    <w:p>
      <w:pPr>
        <w:pStyle w:val="2"/>
        <w:rPr>
          <w:color w:val="auto"/>
          <w:sz w:val="20"/>
          <w:highlight w:val="none"/>
        </w:rPr>
      </w:pPr>
    </w:p>
    <w:p>
      <w:pPr>
        <w:pStyle w:val="2"/>
        <w:rPr>
          <w:color w:val="auto"/>
          <w:sz w:val="20"/>
          <w:highlight w:val="none"/>
        </w:rPr>
      </w:pPr>
    </w:p>
    <w:p>
      <w:pPr>
        <w:pStyle w:val="2"/>
        <w:rPr>
          <w:color w:val="auto"/>
          <w:sz w:val="22"/>
          <w:highlight w:val="none"/>
        </w:rPr>
      </w:pPr>
    </w:p>
    <w:p>
      <w:pPr>
        <w:pStyle w:val="2"/>
        <w:tabs>
          <w:tab w:val="left" w:pos="4670"/>
        </w:tabs>
        <w:ind w:left="676"/>
        <w:rPr>
          <w:color w:val="auto"/>
          <w:highlight w:val="none"/>
        </w:rPr>
      </w:pPr>
      <w:r>
        <w:rPr>
          <w:color w:val="auto"/>
          <w:highlight w:val="none"/>
        </w:rPr>
        <w:t>法定</w:t>
      </w:r>
      <w:r>
        <w:rPr>
          <w:color w:val="auto"/>
          <w:spacing w:val="-3"/>
          <w:highlight w:val="none"/>
        </w:rPr>
        <w:t>代</w:t>
      </w:r>
      <w:r>
        <w:rPr>
          <w:color w:val="auto"/>
          <w:highlight w:val="none"/>
        </w:rPr>
        <w:t>表</w:t>
      </w:r>
      <w:r>
        <w:rPr>
          <w:color w:val="auto"/>
          <w:spacing w:val="-3"/>
          <w:highlight w:val="none"/>
        </w:rPr>
        <w:t>人</w:t>
      </w:r>
      <w:r>
        <w:rPr>
          <w:color w:val="auto"/>
          <w:highlight w:val="none"/>
        </w:rPr>
        <w:t>或</w:t>
      </w:r>
      <w:r>
        <w:rPr>
          <w:color w:val="auto"/>
          <w:spacing w:val="-3"/>
          <w:highlight w:val="none"/>
        </w:rPr>
        <w:t>其</w:t>
      </w:r>
      <w:r>
        <w:rPr>
          <w:color w:val="auto"/>
          <w:highlight w:val="none"/>
        </w:rPr>
        <w:t>委</w:t>
      </w:r>
      <w:r>
        <w:rPr>
          <w:color w:val="auto"/>
          <w:spacing w:val="-3"/>
          <w:highlight w:val="none"/>
        </w:rPr>
        <w:t>托</w:t>
      </w:r>
      <w:r>
        <w:rPr>
          <w:color w:val="auto"/>
          <w:highlight w:val="none"/>
        </w:rPr>
        <w:t>代</w:t>
      </w:r>
      <w:r>
        <w:rPr>
          <w:color w:val="auto"/>
          <w:spacing w:val="-3"/>
          <w:highlight w:val="none"/>
        </w:rPr>
        <w:t>理</w:t>
      </w:r>
      <w:r>
        <w:rPr>
          <w:color w:val="auto"/>
          <w:highlight w:val="none"/>
        </w:rPr>
        <w:t>人：（签</w:t>
      </w:r>
      <w:r>
        <w:rPr>
          <w:color w:val="auto"/>
          <w:spacing w:val="-3"/>
          <w:highlight w:val="none"/>
        </w:rPr>
        <w:t>字</w:t>
      </w:r>
      <w:r>
        <w:rPr>
          <w:color w:val="auto"/>
          <w:highlight w:val="none"/>
        </w:rPr>
        <w:t>）</w:t>
      </w:r>
      <w:r>
        <w:rPr>
          <w:color w:val="auto"/>
          <w:highlight w:val="none"/>
        </w:rPr>
        <w:tab/>
      </w:r>
      <w:r>
        <w:rPr>
          <w:color w:val="auto"/>
          <w:spacing w:val="-3"/>
          <w:highlight w:val="none"/>
        </w:rPr>
        <w:t>法</w:t>
      </w:r>
      <w:r>
        <w:rPr>
          <w:color w:val="auto"/>
          <w:highlight w:val="none"/>
        </w:rPr>
        <w:t>定</w:t>
      </w:r>
      <w:r>
        <w:rPr>
          <w:color w:val="auto"/>
          <w:spacing w:val="-3"/>
          <w:highlight w:val="none"/>
        </w:rPr>
        <w:t>代</w:t>
      </w:r>
      <w:r>
        <w:rPr>
          <w:color w:val="auto"/>
          <w:highlight w:val="none"/>
        </w:rPr>
        <w:t>表人</w:t>
      </w:r>
      <w:r>
        <w:rPr>
          <w:color w:val="auto"/>
          <w:spacing w:val="-3"/>
          <w:highlight w:val="none"/>
        </w:rPr>
        <w:t>或</w:t>
      </w:r>
      <w:r>
        <w:rPr>
          <w:color w:val="auto"/>
          <w:highlight w:val="none"/>
        </w:rPr>
        <w:t>其</w:t>
      </w:r>
      <w:r>
        <w:rPr>
          <w:color w:val="auto"/>
          <w:spacing w:val="-3"/>
          <w:highlight w:val="none"/>
        </w:rPr>
        <w:t>委</w:t>
      </w:r>
      <w:r>
        <w:rPr>
          <w:color w:val="auto"/>
          <w:highlight w:val="none"/>
        </w:rPr>
        <w:t>托</w:t>
      </w:r>
      <w:r>
        <w:rPr>
          <w:color w:val="auto"/>
          <w:spacing w:val="-3"/>
          <w:highlight w:val="none"/>
        </w:rPr>
        <w:t>代</w:t>
      </w:r>
      <w:r>
        <w:rPr>
          <w:color w:val="auto"/>
          <w:highlight w:val="none"/>
        </w:rPr>
        <w:t>理</w:t>
      </w:r>
      <w:r>
        <w:rPr>
          <w:color w:val="auto"/>
          <w:spacing w:val="-3"/>
          <w:highlight w:val="none"/>
        </w:rPr>
        <w:t>人</w:t>
      </w:r>
      <w:r>
        <w:rPr>
          <w:color w:val="auto"/>
          <w:highlight w:val="none"/>
        </w:rPr>
        <w:t>：（签字）</w:t>
      </w:r>
    </w:p>
    <w:p>
      <w:pPr>
        <w:pStyle w:val="2"/>
        <w:rPr>
          <w:color w:val="auto"/>
          <w:sz w:val="20"/>
          <w:highlight w:val="none"/>
        </w:rPr>
      </w:pPr>
    </w:p>
    <w:p>
      <w:pPr>
        <w:pStyle w:val="2"/>
        <w:rPr>
          <w:color w:val="auto"/>
          <w:sz w:val="20"/>
          <w:highlight w:val="none"/>
        </w:rPr>
      </w:pPr>
    </w:p>
    <w:p>
      <w:pPr>
        <w:pStyle w:val="2"/>
        <w:rPr>
          <w:color w:val="auto"/>
          <w:sz w:val="20"/>
          <w:highlight w:val="none"/>
        </w:rPr>
      </w:pPr>
    </w:p>
    <w:p>
      <w:pPr>
        <w:pStyle w:val="2"/>
        <w:spacing w:before="1"/>
        <w:rPr>
          <w:color w:val="auto"/>
          <w:sz w:val="22"/>
          <w:highlight w:val="none"/>
        </w:rPr>
      </w:pPr>
    </w:p>
    <w:p>
      <w:pPr>
        <w:pStyle w:val="2"/>
        <w:tabs>
          <w:tab w:val="left" w:pos="1621"/>
          <w:tab w:val="left" w:pos="2253"/>
          <w:tab w:val="left" w:pos="4982"/>
          <w:tab w:val="left" w:pos="5506"/>
          <w:tab w:val="left" w:pos="6137"/>
        </w:tabs>
        <w:ind w:left="1098"/>
        <w:rPr>
          <w:color w:val="auto"/>
          <w:highlight w:val="none"/>
        </w:rPr>
      </w:pPr>
      <w:r>
        <w:rPr>
          <w:color w:val="auto"/>
          <w:highlight w:val="none"/>
        </w:rPr>
        <w:t>年</w:t>
      </w:r>
      <w:r>
        <w:rPr>
          <w:color w:val="auto"/>
          <w:highlight w:val="none"/>
        </w:rPr>
        <w:tab/>
      </w:r>
      <w:r>
        <w:rPr>
          <w:color w:val="auto"/>
          <w:highlight w:val="none"/>
        </w:rPr>
        <w:t>月</w:t>
      </w:r>
      <w:r>
        <w:rPr>
          <w:color w:val="auto"/>
          <w:highlight w:val="none"/>
        </w:rPr>
        <w:tab/>
      </w:r>
      <w:r>
        <w:rPr>
          <w:color w:val="auto"/>
          <w:highlight w:val="none"/>
        </w:rPr>
        <w:t>日</w:t>
      </w:r>
      <w:r>
        <w:rPr>
          <w:color w:val="auto"/>
          <w:highlight w:val="none"/>
        </w:rPr>
        <w:tab/>
      </w:r>
      <w:r>
        <w:rPr>
          <w:color w:val="auto"/>
          <w:highlight w:val="none"/>
        </w:rPr>
        <w:t>年</w:t>
      </w:r>
      <w:r>
        <w:rPr>
          <w:color w:val="auto"/>
          <w:highlight w:val="none"/>
        </w:rPr>
        <w:tab/>
      </w:r>
      <w:r>
        <w:rPr>
          <w:color w:val="auto"/>
          <w:highlight w:val="none"/>
        </w:rPr>
        <w:t>月</w:t>
      </w:r>
      <w:r>
        <w:rPr>
          <w:color w:val="auto"/>
          <w:highlight w:val="none"/>
        </w:rPr>
        <w:tab/>
      </w:r>
      <w:r>
        <w:rPr>
          <w:color w:val="auto"/>
          <w:highlight w:val="none"/>
        </w:rPr>
        <w:t>日</w:t>
      </w:r>
    </w:p>
    <w:p>
      <w:pPr>
        <w:rPr>
          <w:color w:val="auto"/>
          <w:highlight w:val="none"/>
        </w:rPr>
        <w:sectPr>
          <w:pgSz w:w="11910" w:h="16850"/>
          <w:pgMar w:top="1280" w:right="860" w:bottom="1040" w:left="1280" w:header="877" w:footer="853" w:gutter="0"/>
          <w:cols w:space="720" w:num="1"/>
        </w:sectPr>
      </w:pPr>
    </w:p>
    <w:p>
      <w:pPr>
        <w:pStyle w:val="2"/>
        <w:spacing w:before="7"/>
        <w:rPr>
          <w:color w:val="auto"/>
          <w:sz w:val="18"/>
          <w:highlight w:val="none"/>
        </w:rPr>
      </w:pPr>
    </w:p>
    <w:p>
      <w:pPr>
        <w:pStyle w:val="9"/>
        <w:spacing w:before="66"/>
        <w:ind w:left="0" w:right="7454"/>
        <w:jc w:val="center"/>
        <w:rPr>
          <w:color w:val="auto"/>
          <w:highlight w:val="none"/>
        </w:rPr>
      </w:pPr>
      <w:r>
        <w:rPr>
          <w:color w:val="auto"/>
          <w:highlight w:val="none"/>
        </w:rPr>
        <w:t>附件二 廉政合同</w:t>
      </w:r>
    </w:p>
    <w:p>
      <w:pPr>
        <w:spacing w:before="115"/>
        <w:ind w:left="2435" w:right="1968"/>
        <w:jc w:val="center"/>
        <w:rPr>
          <w:b/>
          <w:color w:val="auto"/>
          <w:sz w:val="24"/>
          <w:highlight w:val="none"/>
        </w:rPr>
      </w:pPr>
      <w:r>
        <w:rPr>
          <w:b/>
          <w:color w:val="auto"/>
          <w:sz w:val="24"/>
          <w:highlight w:val="none"/>
        </w:rPr>
        <w:t>廉政合同</w:t>
      </w:r>
    </w:p>
    <w:p>
      <w:pPr>
        <w:pStyle w:val="2"/>
        <w:rPr>
          <w:b/>
          <w:color w:val="auto"/>
          <w:sz w:val="20"/>
          <w:highlight w:val="none"/>
        </w:rPr>
      </w:pPr>
    </w:p>
    <w:p>
      <w:pPr>
        <w:pStyle w:val="2"/>
        <w:spacing w:before="6"/>
        <w:rPr>
          <w:b/>
          <w:color w:val="auto"/>
          <w:highlight w:val="none"/>
        </w:rPr>
      </w:pPr>
    </w:p>
    <w:p>
      <w:pPr>
        <w:pStyle w:val="2"/>
        <w:spacing w:before="72" w:line="393" w:lineRule="auto"/>
        <w:ind w:left="251" w:right="264" w:firstLine="424"/>
        <w:jc w:val="both"/>
        <w:rPr>
          <w:color w:val="auto"/>
          <w:highlight w:val="none"/>
        </w:rPr>
      </w:pPr>
      <w:r>
        <w:rPr>
          <w:color w:val="auto"/>
          <w:spacing w:val="-3"/>
          <w:highlight w:val="none"/>
        </w:rPr>
        <w:t>根据《关于在交通基础设施建设中加强廉政建设的若干意见》以及有关工程建设、廉政建设的规定，为做好工程建设中的党风廉政建设，保证工程建设高效优质，保证建设资金的安全和有效使用以</w:t>
      </w:r>
      <w:r>
        <w:rPr>
          <w:color w:val="auto"/>
          <w:spacing w:val="-5"/>
          <w:highlight w:val="none"/>
        </w:rPr>
        <w:t>及投资效益，</w:t>
      </w:r>
      <w:r>
        <w:rPr>
          <w:color w:val="auto"/>
          <w:spacing w:val="-15"/>
          <w:highlight w:val="none"/>
          <w:u w:val="single"/>
        </w:rPr>
        <w:t>（</w:t>
      </w:r>
      <w:r>
        <w:rPr>
          <w:color w:val="auto"/>
          <w:spacing w:val="-3"/>
          <w:highlight w:val="none"/>
          <w:u w:val="single"/>
        </w:rPr>
        <w:t>项目名称</w:t>
      </w:r>
      <w:r>
        <w:rPr>
          <w:color w:val="auto"/>
          <w:spacing w:val="-13"/>
          <w:highlight w:val="none"/>
          <w:u w:val="single"/>
        </w:rPr>
        <w:t>）</w:t>
      </w:r>
      <w:r>
        <w:rPr>
          <w:color w:val="auto"/>
          <w:spacing w:val="2"/>
          <w:highlight w:val="none"/>
        </w:rPr>
        <w:t>项目法人</w:t>
      </w:r>
      <w:r>
        <w:rPr>
          <w:color w:val="auto"/>
          <w:spacing w:val="2"/>
          <w:highlight w:val="none"/>
          <w:u w:val="single"/>
        </w:rPr>
        <w:t xml:space="preserve"> </w:t>
      </w:r>
      <w:r>
        <w:rPr>
          <w:rFonts w:hint="eastAsia"/>
          <w:color w:val="auto"/>
          <w:spacing w:val="2"/>
          <w:highlight w:val="none"/>
          <w:u w:val="single"/>
          <w:lang w:val="en-US" w:eastAsia="zh-CN"/>
        </w:rPr>
        <w:t xml:space="preserve">     </w:t>
      </w:r>
      <w:r>
        <w:rPr>
          <w:color w:val="auto"/>
          <w:highlight w:val="none"/>
        </w:rPr>
        <w:t>（</w:t>
      </w:r>
      <w:r>
        <w:rPr>
          <w:color w:val="auto"/>
          <w:spacing w:val="-7"/>
          <w:highlight w:val="none"/>
        </w:rPr>
        <w:t>项目法人名称，以下简称“发包人”</w:t>
      </w:r>
      <w:r>
        <w:rPr>
          <w:color w:val="auto"/>
          <w:spacing w:val="-14"/>
          <w:highlight w:val="none"/>
        </w:rPr>
        <w:t>）</w:t>
      </w:r>
      <w:r>
        <w:rPr>
          <w:color w:val="auto"/>
          <w:spacing w:val="-3"/>
          <w:highlight w:val="none"/>
        </w:rPr>
        <w:t>与该项目标段的施工单位（施工单位名称，以下简称“承包人”</w:t>
      </w:r>
      <w:r>
        <w:rPr>
          <w:color w:val="auto"/>
          <w:highlight w:val="none"/>
        </w:rPr>
        <w:t>）</w:t>
      </w:r>
      <w:r>
        <w:rPr>
          <w:color w:val="auto"/>
          <w:spacing w:val="-3"/>
          <w:highlight w:val="none"/>
        </w:rPr>
        <w:t>，特订立如下合同。</w:t>
      </w:r>
    </w:p>
    <w:p>
      <w:pPr>
        <w:pStyle w:val="53"/>
        <w:numPr>
          <w:ilvl w:val="0"/>
          <w:numId w:val="19"/>
        </w:numPr>
        <w:tabs>
          <w:tab w:val="left" w:pos="995"/>
        </w:tabs>
        <w:spacing w:line="264" w:lineRule="exact"/>
        <w:ind w:hanging="319"/>
        <w:rPr>
          <w:color w:val="auto"/>
          <w:sz w:val="21"/>
          <w:highlight w:val="none"/>
        </w:rPr>
      </w:pPr>
      <w:r>
        <w:rPr>
          <w:color w:val="auto"/>
          <w:spacing w:val="-3"/>
          <w:sz w:val="21"/>
          <w:highlight w:val="none"/>
        </w:rPr>
        <w:t>发包人和承包人双方的权利和义务</w:t>
      </w:r>
    </w:p>
    <w:p>
      <w:pPr>
        <w:pStyle w:val="53"/>
        <w:numPr>
          <w:ilvl w:val="0"/>
          <w:numId w:val="20"/>
        </w:numPr>
        <w:tabs>
          <w:tab w:val="left" w:pos="1206"/>
        </w:tabs>
        <w:spacing w:before="173"/>
        <w:ind w:hanging="530"/>
        <w:rPr>
          <w:color w:val="auto"/>
          <w:sz w:val="21"/>
          <w:highlight w:val="none"/>
        </w:rPr>
      </w:pPr>
      <w:r>
        <w:rPr>
          <w:color w:val="auto"/>
          <w:spacing w:val="-3"/>
          <w:sz w:val="21"/>
          <w:highlight w:val="none"/>
        </w:rPr>
        <w:t>严格遵守党的政策规定和国家有关法律法规及交通运输部的有关规定。</w:t>
      </w:r>
    </w:p>
    <w:p>
      <w:pPr>
        <w:pStyle w:val="53"/>
        <w:numPr>
          <w:ilvl w:val="0"/>
          <w:numId w:val="20"/>
        </w:numPr>
        <w:tabs>
          <w:tab w:val="left" w:pos="1206"/>
        </w:tabs>
        <w:spacing w:before="170"/>
        <w:ind w:hanging="530"/>
        <w:rPr>
          <w:color w:val="auto"/>
          <w:sz w:val="21"/>
          <w:highlight w:val="none"/>
        </w:rPr>
      </w:pPr>
      <w:r>
        <w:rPr>
          <w:color w:val="auto"/>
          <w:spacing w:val="-3"/>
          <w:sz w:val="21"/>
          <w:highlight w:val="none"/>
        </w:rPr>
        <w:t>严格执行</w:t>
      </w:r>
      <w:r>
        <w:rPr>
          <w:color w:val="auto"/>
          <w:sz w:val="21"/>
          <w:highlight w:val="none"/>
          <w:u w:val="single"/>
        </w:rPr>
        <w:t>（</w:t>
      </w:r>
      <w:r>
        <w:rPr>
          <w:color w:val="auto"/>
          <w:spacing w:val="-3"/>
          <w:sz w:val="21"/>
          <w:highlight w:val="none"/>
          <w:u w:val="single"/>
        </w:rPr>
        <w:t>项目名称</w:t>
      </w:r>
      <w:r>
        <w:rPr>
          <w:color w:val="auto"/>
          <w:sz w:val="21"/>
          <w:highlight w:val="none"/>
          <w:u w:val="single"/>
        </w:rPr>
        <w:t>）</w:t>
      </w:r>
      <w:r>
        <w:rPr>
          <w:color w:val="auto"/>
          <w:spacing w:val="-3"/>
          <w:sz w:val="21"/>
          <w:highlight w:val="none"/>
        </w:rPr>
        <w:t>标段施工合同文件，自觉按合同办事。</w:t>
      </w:r>
    </w:p>
    <w:p>
      <w:pPr>
        <w:pStyle w:val="53"/>
        <w:numPr>
          <w:ilvl w:val="0"/>
          <w:numId w:val="20"/>
        </w:numPr>
        <w:tabs>
          <w:tab w:val="left" w:pos="1211"/>
        </w:tabs>
        <w:spacing w:before="170" w:line="393" w:lineRule="auto"/>
        <w:ind w:left="251" w:right="274" w:firstLine="424"/>
        <w:rPr>
          <w:color w:val="auto"/>
          <w:sz w:val="21"/>
          <w:highlight w:val="none"/>
        </w:rPr>
      </w:pPr>
      <w:r>
        <w:rPr>
          <w:color w:val="auto"/>
          <w:sz w:val="21"/>
          <w:highlight w:val="none"/>
        </w:rPr>
        <w:t>双方的业务活动坚持公开、公正、诚信、透明的原则（</w:t>
      </w:r>
      <w:r>
        <w:rPr>
          <w:color w:val="auto"/>
          <w:spacing w:val="-1"/>
          <w:sz w:val="21"/>
          <w:highlight w:val="none"/>
        </w:rPr>
        <w:t>法律认定的商业秘密和合同文件另</w:t>
      </w:r>
      <w:r>
        <w:rPr>
          <w:color w:val="auto"/>
          <w:spacing w:val="-2"/>
          <w:sz w:val="21"/>
          <w:highlight w:val="none"/>
        </w:rPr>
        <w:t>有规定除外</w:t>
      </w:r>
      <w:r>
        <w:rPr>
          <w:color w:val="auto"/>
          <w:sz w:val="21"/>
          <w:highlight w:val="none"/>
        </w:rPr>
        <w:t>）</w:t>
      </w:r>
      <w:r>
        <w:rPr>
          <w:color w:val="auto"/>
          <w:spacing w:val="-3"/>
          <w:sz w:val="21"/>
          <w:highlight w:val="none"/>
        </w:rPr>
        <w:t>，不得损害国家和集体利益，不得违反工程建设管理规章制度。</w:t>
      </w:r>
    </w:p>
    <w:p>
      <w:pPr>
        <w:pStyle w:val="53"/>
        <w:numPr>
          <w:ilvl w:val="0"/>
          <w:numId w:val="20"/>
        </w:numPr>
        <w:tabs>
          <w:tab w:val="left" w:pos="1211"/>
        </w:tabs>
        <w:spacing w:line="391" w:lineRule="auto"/>
        <w:ind w:left="251" w:right="274" w:firstLine="424"/>
        <w:rPr>
          <w:color w:val="auto"/>
          <w:sz w:val="21"/>
          <w:highlight w:val="none"/>
        </w:rPr>
      </w:pPr>
      <w:r>
        <w:rPr>
          <w:color w:val="auto"/>
          <w:spacing w:val="-1"/>
          <w:sz w:val="21"/>
          <w:highlight w:val="none"/>
        </w:rPr>
        <w:t>建立健全廉政制度，开展廉政教育，设立廉政告示牌，公布举报电话，监督并认真查处违</w:t>
      </w:r>
      <w:r>
        <w:rPr>
          <w:color w:val="auto"/>
          <w:spacing w:val="-2"/>
          <w:sz w:val="21"/>
          <w:highlight w:val="none"/>
        </w:rPr>
        <w:t>法违纪行为。</w:t>
      </w:r>
    </w:p>
    <w:p>
      <w:pPr>
        <w:pStyle w:val="53"/>
        <w:numPr>
          <w:ilvl w:val="0"/>
          <w:numId w:val="20"/>
        </w:numPr>
        <w:tabs>
          <w:tab w:val="left" w:pos="1206"/>
        </w:tabs>
        <w:spacing w:before="2"/>
        <w:ind w:hanging="530"/>
        <w:rPr>
          <w:color w:val="auto"/>
          <w:sz w:val="21"/>
          <w:highlight w:val="none"/>
        </w:rPr>
      </w:pPr>
      <w:r>
        <w:rPr>
          <w:color w:val="auto"/>
          <w:spacing w:val="-3"/>
          <w:sz w:val="21"/>
          <w:highlight w:val="none"/>
        </w:rPr>
        <w:t>发现对方在业务活动中有违反廉政规定的行为，有及时提醒对方纠正的权利和义务。</w:t>
      </w:r>
    </w:p>
    <w:p>
      <w:pPr>
        <w:pStyle w:val="53"/>
        <w:numPr>
          <w:ilvl w:val="0"/>
          <w:numId w:val="20"/>
        </w:numPr>
        <w:tabs>
          <w:tab w:val="left" w:pos="1211"/>
        </w:tabs>
        <w:spacing w:before="170" w:line="391" w:lineRule="auto"/>
        <w:ind w:left="251" w:right="274" w:firstLine="424"/>
        <w:rPr>
          <w:color w:val="auto"/>
          <w:sz w:val="21"/>
          <w:highlight w:val="none"/>
        </w:rPr>
      </w:pPr>
      <w:r>
        <w:rPr>
          <w:color w:val="auto"/>
          <w:spacing w:val="-1"/>
          <w:sz w:val="21"/>
          <w:highlight w:val="none"/>
        </w:rPr>
        <w:t>发现对方严重违反本合同义务条款的行为，有向其上级有关部门举报、建议给予处理并要</w:t>
      </w:r>
      <w:r>
        <w:rPr>
          <w:color w:val="auto"/>
          <w:spacing w:val="-3"/>
          <w:sz w:val="21"/>
          <w:highlight w:val="none"/>
        </w:rPr>
        <w:t>求告知处理结果的权利。</w:t>
      </w:r>
    </w:p>
    <w:p>
      <w:pPr>
        <w:pStyle w:val="53"/>
        <w:numPr>
          <w:ilvl w:val="0"/>
          <w:numId w:val="19"/>
        </w:numPr>
        <w:tabs>
          <w:tab w:val="left" w:pos="995"/>
        </w:tabs>
        <w:spacing w:before="4"/>
        <w:ind w:hanging="319"/>
        <w:rPr>
          <w:color w:val="auto"/>
          <w:sz w:val="21"/>
          <w:highlight w:val="none"/>
        </w:rPr>
      </w:pPr>
      <w:r>
        <w:rPr>
          <w:color w:val="auto"/>
          <w:spacing w:val="-3"/>
          <w:sz w:val="21"/>
          <w:highlight w:val="none"/>
        </w:rPr>
        <w:t>发包人的义务</w:t>
      </w:r>
    </w:p>
    <w:p>
      <w:pPr>
        <w:pStyle w:val="53"/>
        <w:numPr>
          <w:ilvl w:val="0"/>
          <w:numId w:val="21"/>
        </w:numPr>
        <w:tabs>
          <w:tab w:val="left" w:pos="1211"/>
        </w:tabs>
        <w:spacing w:before="170" w:line="391" w:lineRule="auto"/>
        <w:ind w:right="274" w:firstLine="424"/>
        <w:rPr>
          <w:color w:val="auto"/>
          <w:sz w:val="21"/>
          <w:highlight w:val="none"/>
        </w:rPr>
      </w:pPr>
      <w:r>
        <w:rPr>
          <w:color w:val="auto"/>
          <w:spacing w:val="-1"/>
          <w:sz w:val="21"/>
          <w:highlight w:val="none"/>
        </w:rPr>
        <w:t>发包人及其工作人员不得索要或接受承包人的礼金、有价证券和贵重物品，不得让承包人</w:t>
      </w:r>
      <w:r>
        <w:rPr>
          <w:color w:val="auto"/>
          <w:spacing w:val="-3"/>
          <w:sz w:val="21"/>
          <w:highlight w:val="none"/>
        </w:rPr>
        <w:t>报销任何应由发包人或发包人工作人员个人支付的费用等。</w:t>
      </w:r>
    </w:p>
    <w:p>
      <w:pPr>
        <w:pStyle w:val="53"/>
        <w:numPr>
          <w:ilvl w:val="0"/>
          <w:numId w:val="21"/>
        </w:numPr>
        <w:tabs>
          <w:tab w:val="left" w:pos="1211"/>
        </w:tabs>
        <w:spacing w:before="4" w:line="391" w:lineRule="auto"/>
        <w:ind w:right="274" w:firstLine="424"/>
        <w:rPr>
          <w:color w:val="auto"/>
          <w:sz w:val="21"/>
          <w:highlight w:val="none"/>
        </w:rPr>
      </w:pPr>
      <w:r>
        <w:rPr>
          <w:color w:val="auto"/>
          <w:spacing w:val="-1"/>
          <w:sz w:val="21"/>
          <w:highlight w:val="none"/>
        </w:rPr>
        <w:t>发包人工作人员不得参加承包人安排的超标准宴请和娱乐活动；不得接受承包人提供的通</w:t>
      </w:r>
      <w:r>
        <w:rPr>
          <w:color w:val="auto"/>
          <w:spacing w:val="-3"/>
          <w:sz w:val="21"/>
          <w:highlight w:val="none"/>
        </w:rPr>
        <w:t>讯工具、交通工具和高档办公用品等。</w:t>
      </w:r>
    </w:p>
    <w:p>
      <w:pPr>
        <w:pStyle w:val="53"/>
        <w:numPr>
          <w:ilvl w:val="0"/>
          <w:numId w:val="21"/>
        </w:numPr>
        <w:tabs>
          <w:tab w:val="left" w:pos="1211"/>
        </w:tabs>
        <w:spacing w:before="2" w:line="393" w:lineRule="auto"/>
        <w:ind w:right="269" w:firstLine="424"/>
        <w:rPr>
          <w:color w:val="auto"/>
          <w:sz w:val="21"/>
          <w:highlight w:val="none"/>
        </w:rPr>
      </w:pPr>
      <w:r>
        <w:rPr>
          <w:color w:val="auto"/>
          <w:spacing w:val="-1"/>
          <w:sz w:val="21"/>
          <w:highlight w:val="none"/>
        </w:rPr>
        <w:t>发包人及其工作人员不利要求或者接受承包人为其住房装修、婚丧嫁娶活动、配偶子女的</w:t>
      </w:r>
      <w:r>
        <w:rPr>
          <w:color w:val="auto"/>
          <w:spacing w:val="-3"/>
          <w:sz w:val="21"/>
          <w:highlight w:val="none"/>
        </w:rPr>
        <w:t>工作安排以及出国出境、旅游等提供方便等。</w:t>
      </w:r>
    </w:p>
    <w:p>
      <w:pPr>
        <w:pStyle w:val="53"/>
        <w:numPr>
          <w:ilvl w:val="0"/>
          <w:numId w:val="21"/>
        </w:numPr>
        <w:tabs>
          <w:tab w:val="left" w:pos="1211"/>
        </w:tabs>
        <w:spacing w:line="391" w:lineRule="auto"/>
        <w:ind w:right="274" w:firstLine="424"/>
        <w:rPr>
          <w:color w:val="auto"/>
          <w:sz w:val="21"/>
          <w:highlight w:val="none"/>
        </w:rPr>
      </w:pPr>
      <w:r>
        <w:rPr>
          <w:color w:val="auto"/>
          <w:spacing w:val="-1"/>
          <w:sz w:val="21"/>
          <w:highlight w:val="none"/>
        </w:rPr>
        <w:t>发包人工作人员及其配偶、子女不得从事与发包人工作有关的材料设备供应、工程分包、</w:t>
      </w:r>
      <w:r>
        <w:rPr>
          <w:color w:val="auto"/>
          <w:spacing w:val="-3"/>
          <w:sz w:val="21"/>
          <w:highlight w:val="none"/>
        </w:rPr>
        <w:t>劳务等经济活动等。</w:t>
      </w:r>
    </w:p>
    <w:p>
      <w:pPr>
        <w:pStyle w:val="53"/>
        <w:numPr>
          <w:ilvl w:val="0"/>
          <w:numId w:val="21"/>
        </w:numPr>
        <w:tabs>
          <w:tab w:val="left" w:pos="1211"/>
        </w:tabs>
        <w:spacing w:before="2" w:line="391" w:lineRule="auto"/>
        <w:ind w:right="274" w:firstLine="424"/>
        <w:rPr>
          <w:color w:val="auto"/>
          <w:sz w:val="21"/>
          <w:highlight w:val="none"/>
        </w:rPr>
      </w:pPr>
      <w:r>
        <w:rPr>
          <w:color w:val="auto"/>
          <w:spacing w:val="-1"/>
          <w:sz w:val="21"/>
          <w:highlight w:val="none"/>
        </w:rPr>
        <w:t>发包人及期工作人员不得以任何理由向承包人推荐分包单位或推销材料，不得要求承包人</w:t>
      </w:r>
      <w:r>
        <w:rPr>
          <w:color w:val="auto"/>
          <w:spacing w:val="-3"/>
          <w:sz w:val="21"/>
          <w:highlight w:val="none"/>
        </w:rPr>
        <w:t>购买合同规定外的材料和设备。</w:t>
      </w:r>
    </w:p>
    <w:p>
      <w:pPr>
        <w:pStyle w:val="53"/>
        <w:numPr>
          <w:ilvl w:val="0"/>
          <w:numId w:val="21"/>
        </w:numPr>
        <w:tabs>
          <w:tab w:val="left" w:pos="1211"/>
        </w:tabs>
        <w:spacing w:before="1" w:line="393" w:lineRule="auto"/>
        <w:ind w:right="274" w:firstLine="424"/>
        <w:rPr>
          <w:color w:val="auto"/>
          <w:sz w:val="21"/>
          <w:highlight w:val="none"/>
        </w:rPr>
      </w:pPr>
      <w:r>
        <w:rPr>
          <w:color w:val="auto"/>
          <w:spacing w:val="-1"/>
          <w:sz w:val="21"/>
          <w:highlight w:val="none"/>
        </w:rPr>
        <w:t>发包人工作人员要秉公办事，不准营私舞弊，不准利用职权从事各种个人有偿中介活动和</w:t>
      </w:r>
      <w:r>
        <w:rPr>
          <w:color w:val="auto"/>
          <w:spacing w:val="-3"/>
          <w:sz w:val="21"/>
          <w:highlight w:val="none"/>
        </w:rPr>
        <w:t>安排个人施工队伍。</w:t>
      </w:r>
    </w:p>
    <w:p>
      <w:pPr>
        <w:pStyle w:val="53"/>
        <w:numPr>
          <w:ilvl w:val="0"/>
          <w:numId w:val="19"/>
        </w:numPr>
        <w:tabs>
          <w:tab w:val="left" w:pos="995"/>
        </w:tabs>
        <w:spacing w:line="268" w:lineRule="exact"/>
        <w:ind w:hanging="319"/>
        <w:rPr>
          <w:color w:val="auto"/>
          <w:sz w:val="21"/>
          <w:highlight w:val="none"/>
        </w:rPr>
      </w:pPr>
      <w:r>
        <w:rPr>
          <w:color w:val="auto"/>
          <w:spacing w:val="-3"/>
          <w:sz w:val="21"/>
          <w:highlight w:val="none"/>
        </w:rPr>
        <w:t>承包人的义务</w:t>
      </w:r>
    </w:p>
    <w:p>
      <w:pPr>
        <w:pStyle w:val="53"/>
        <w:numPr>
          <w:ilvl w:val="0"/>
          <w:numId w:val="22"/>
        </w:numPr>
        <w:tabs>
          <w:tab w:val="left" w:pos="1206"/>
        </w:tabs>
        <w:spacing w:before="170"/>
        <w:ind w:hanging="530"/>
        <w:rPr>
          <w:color w:val="auto"/>
          <w:sz w:val="21"/>
          <w:highlight w:val="none"/>
        </w:rPr>
      </w:pPr>
      <w:r>
        <w:rPr>
          <w:color w:val="auto"/>
          <w:spacing w:val="-3"/>
          <w:sz w:val="21"/>
          <w:highlight w:val="none"/>
        </w:rPr>
        <w:t>承包人不得以任何理由向发包人及其工作人员行贿或馈赠礼金、有价证券、贵重礼品。</w:t>
      </w:r>
    </w:p>
    <w:p>
      <w:pPr>
        <w:rPr>
          <w:color w:val="auto"/>
          <w:sz w:val="21"/>
          <w:highlight w:val="none"/>
        </w:rPr>
        <w:sectPr>
          <w:pgSz w:w="11910" w:h="16850"/>
          <w:pgMar w:top="1280" w:right="860" w:bottom="1040" w:left="1280" w:header="877" w:footer="853" w:gutter="0"/>
          <w:cols w:space="720" w:num="1"/>
        </w:sectPr>
      </w:pPr>
    </w:p>
    <w:p>
      <w:pPr>
        <w:pStyle w:val="2"/>
        <w:spacing w:before="11"/>
        <w:rPr>
          <w:color w:val="auto"/>
          <w:sz w:val="9"/>
          <w:highlight w:val="none"/>
        </w:rPr>
      </w:pPr>
    </w:p>
    <w:p>
      <w:pPr>
        <w:pStyle w:val="53"/>
        <w:numPr>
          <w:ilvl w:val="0"/>
          <w:numId w:val="22"/>
        </w:numPr>
        <w:tabs>
          <w:tab w:val="left" w:pos="1206"/>
        </w:tabs>
        <w:spacing w:before="78"/>
        <w:ind w:hanging="530"/>
        <w:rPr>
          <w:color w:val="auto"/>
          <w:sz w:val="21"/>
          <w:highlight w:val="none"/>
        </w:rPr>
      </w:pPr>
      <w:r>
        <w:rPr>
          <w:color w:val="auto"/>
          <w:spacing w:val="-3"/>
          <w:sz w:val="21"/>
          <w:highlight w:val="none"/>
        </w:rPr>
        <w:t>承包人不得以任何名义为发包人及其工作人员报销应由发包人单位或个人支付的任何费用。</w:t>
      </w:r>
    </w:p>
    <w:p>
      <w:pPr>
        <w:pStyle w:val="53"/>
        <w:numPr>
          <w:ilvl w:val="0"/>
          <w:numId w:val="22"/>
        </w:numPr>
        <w:tabs>
          <w:tab w:val="left" w:pos="1206"/>
        </w:tabs>
        <w:spacing w:before="170"/>
        <w:ind w:hanging="530"/>
        <w:rPr>
          <w:color w:val="auto"/>
          <w:sz w:val="21"/>
          <w:highlight w:val="none"/>
        </w:rPr>
      </w:pPr>
      <w:r>
        <w:rPr>
          <w:color w:val="auto"/>
          <w:spacing w:val="-3"/>
          <w:sz w:val="21"/>
          <w:highlight w:val="none"/>
        </w:rPr>
        <w:t>承包人不得以任何理由安排发包人工作人员参加超标准宴请及娱乐活动。</w:t>
      </w:r>
    </w:p>
    <w:p>
      <w:pPr>
        <w:pStyle w:val="53"/>
        <w:numPr>
          <w:ilvl w:val="0"/>
          <w:numId w:val="22"/>
        </w:numPr>
        <w:tabs>
          <w:tab w:val="left" w:pos="1206"/>
        </w:tabs>
        <w:spacing w:before="173"/>
        <w:ind w:hanging="530"/>
        <w:rPr>
          <w:color w:val="auto"/>
          <w:sz w:val="21"/>
          <w:highlight w:val="none"/>
        </w:rPr>
      </w:pPr>
      <w:r>
        <w:rPr>
          <w:color w:val="auto"/>
          <w:spacing w:val="-3"/>
          <w:sz w:val="21"/>
          <w:highlight w:val="none"/>
        </w:rPr>
        <w:t>承包人不得为发包人单位和个人购置或提供通讯工具、交通工具和高档办公用品等。</w:t>
      </w:r>
    </w:p>
    <w:p>
      <w:pPr>
        <w:pStyle w:val="53"/>
        <w:numPr>
          <w:ilvl w:val="0"/>
          <w:numId w:val="19"/>
        </w:numPr>
        <w:tabs>
          <w:tab w:val="left" w:pos="995"/>
        </w:tabs>
        <w:spacing w:before="170"/>
        <w:ind w:hanging="319"/>
        <w:rPr>
          <w:color w:val="auto"/>
          <w:sz w:val="21"/>
          <w:highlight w:val="none"/>
        </w:rPr>
      </w:pPr>
      <w:r>
        <w:rPr>
          <w:color w:val="auto"/>
          <w:spacing w:val="-3"/>
          <w:sz w:val="21"/>
          <w:highlight w:val="none"/>
        </w:rPr>
        <w:t>违约责任</w:t>
      </w:r>
    </w:p>
    <w:p>
      <w:pPr>
        <w:pStyle w:val="53"/>
        <w:numPr>
          <w:ilvl w:val="0"/>
          <w:numId w:val="23"/>
        </w:numPr>
        <w:tabs>
          <w:tab w:val="left" w:pos="1206"/>
        </w:tabs>
        <w:spacing w:before="170" w:line="393" w:lineRule="auto"/>
        <w:ind w:right="266" w:firstLine="424"/>
        <w:jc w:val="both"/>
        <w:rPr>
          <w:color w:val="auto"/>
          <w:sz w:val="21"/>
          <w:highlight w:val="none"/>
        </w:rPr>
      </w:pPr>
      <w:r>
        <w:rPr>
          <w:color w:val="auto"/>
          <w:spacing w:val="-5"/>
          <w:sz w:val="21"/>
          <w:highlight w:val="none"/>
        </w:rPr>
        <w:t xml:space="preserve">发包人及其工作人员违反本合同第 </w:t>
      </w:r>
      <w:r>
        <w:rPr>
          <w:rFonts w:ascii="Times New Roman" w:eastAsia="Times New Roman"/>
          <w:color w:val="auto"/>
          <w:spacing w:val="-3"/>
          <w:sz w:val="21"/>
          <w:highlight w:val="none"/>
        </w:rPr>
        <w:t>1</w:t>
      </w:r>
      <w:r>
        <w:rPr>
          <w:color w:val="auto"/>
          <w:sz w:val="21"/>
          <w:highlight w:val="none"/>
        </w:rPr>
        <w:t>、</w:t>
      </w:r>
      <w:r>
        <w:rPr>
          <w:rFonts w:ascii="Times New Roman" w:eastAsia="Times New Roman"/>
          <w:color w:val="auto"/>
          <w:sz w:val="21"/>
          <w:highlight w:val="none"/>
        </w:rPr>
        <w:t>2</w:t>
      </w:r>
      <w:r>
        <w:rPr>
          <w:rFonts w:ascii="Times New Roman" w:eastAsia="Times New Roman"/>
          <w:color w:val="auto"/>
          <w:spacing w:val="18"/>
          <w:sz w:val="21"/>
          <w:highlight w:val="none"/>
        </w:rPr>
        <w:t xml:space="preserve"> </w:t>
      </w:r>
      <w:r>
        <w:rPr>
          <w:color w:val="auto"/>
          <w:spacing w:val="-3"/>
          <w:sz w:val="21"/>
          <w:highlight w:val="none"/>
        </w:rPr>
        <w:t>条，按管理权限，依据有关规定给予党纪、政纪或组织处理；涉嫌犯罪的，移交司法机关追究刑事责任；给承包人单位造成经济损失的，应予以赔偿。</w:t>
      </w:r>
    </w:p>
    <w:p>
      <w:pPr>
        <w:pStyle w:val="53"/>
        <w:numPr>
          <w:ilvl w:val="0"/>
          <w:numId w:val="23"/>
        </w:numPr>
        <w:tabs>
          <w:tab w:val="left" w:pos="1206"/>
        </w:tabs>
        <w:spacing w:line="393" w:lineRule="auto"/>
        <w:ind w:right="264" w:firstLine="424"/>
        <w:jc w:val="both"/>
        <w:rPr>
          <w:color w:val="auto"/>
          <w:sz w:val="21"/>
          <w:highlight w:val="none"/>
        </w:rPr>
      </w:pPr>
      <w:r>
        <w:rPr>
          <w:color w:val="auto"/>
          <w:spacing w:val="-5"/>
          <w:sz w:val="21"/>
          <w:highlight w:val="none"/>
        </w:rPr>
        <w:t xml:space="preserve">承包人及其工作人员违反本合同第 </w:t>
      </w:r>
      <w:r>
        <w:rPr>
          <w:rFonts w:ascii="Times New Roman" w:eastAsia="Times New Roman"/>
          <w:color w:val="auto"/>
          <w:spacing w:val="-3"/>
          <w:sz w:val="21"/>
          <w:highlight w:val="none"/>
        </w:rPr>
        <w:t>1</w:t>
      </w:r>
      <w:r>
        <w:rPr>
          <w:color w:val="auto"/>
          <w:sz w:val="21"/>
          <w:highlight w:val="none"/>
        </w:rPr>
        <w:t>、</w:t>
      </w:r>
      <w:r>
        <w:rPr>
          <w:rFonts w:ascii="Times New Roman" w:eastAsia="Times New Roman"/>
          <w:color w:val="auto"/>
          <w:sz w:val="21"/>
          <w:highlight w:val="none"/>
        </w:rPr>
        <w:t>3</w:t>
      </w:r>
      <w:r>
        <w:rPr>
          <w:rFonts w:ascii="Times New Roman" w:eastAsia="Times New Roman"/>
          <w:color w:val="auto"/>
          <w:spacing w:val="17"/>
          <w:sz w:val="21"/>
          <w:highlight w:val="none"/>
        </w:rPr>
        <w:t xml:space="preserve"> </w:t>
      </w:r>
      <w:r>
        <w:rPr>
          <w:color w:val="auto"/>
          <w:spacing w:val="-3"/>
          <w:sz w:val="21"/>
          <w:highlight w:val="none"/>
        </w:rPr>
        <w:t>条，按管理权限，依据有关规定给予党纪、政纪或组织处理；给发包人单位造成经济损失的，应予以赔偿；情节严重的，发包人建议交通运输主管部门给予承包人一至三年内不得进入其主管的公路建设市场的处罚。</w:t>
      </w:r>
    </w:p>
    <w:p>
      <w:pPr>
        <w:pStyle w:val="53"/>
        <w:numPr>
          <w:ilvl w:val="0"/>
          <w:numId w:val="19"/>
        </w:numPr>
        <w:tabs>
          <w:tab w:val="left" w:pos="839"/>
        </w:tabs>
        <w:spacing w:line="393" w:lineRule="auto"/>
        <w:ind w:left="251" w:right="264" w:firstLine="424"/>
        <w:jc w:val="both"/>
        <w:rPr>
          <w:color w:val="auto"/>
          <w:sz w:val="21"/>
          <w:highlight w:val="none"/>
        </w:rPr>
      </w:pPr>
      <w:r>
        <w:rPr>
          <w:color w:val="auto"/>
          <w:spacing w:val="-1"/>
          <w:sz w:val="21"/>
          <w:highlight w:val="none"/>
        </w:rPr>
        <w:t>双方约定：本合同由双方或双方上级单位的纪检监察部门负责监督执行。由发包人或发包人上</w:t>
      </w:r>
      <w:r>
        <w:rPr>
          <w:color w:val="auto"/>
          <w:spacing w:val="-3"/>
          <w:sz w:val="21"/>
          <w:highlight w:val="none"/>
        </w:rPr>
        <w:t>级单位的纪检监察部门约请承包人或承包人上级单位纪检监察部门对本合同执行情况进行检查，提出在本合同规定范围内的裁定意见。</w:t>
      </w:r>
    </w:p>
    <w:p>
      <w:pPr>
        <w:pStyle w:val="53"/>
        <w:numPr>
          <w:ilvl w:val="0"/>
          <w:numId w:val="19"/>
        </w:numPr>
        <w:tabs>
          <w:tab w:val="left" w:pos="836"/>
        </w:tabs>
        <w:spacing w:line="265" w:lineRule="exact"/>
        <w:ind w:left="835" w:hanging="160"/>
        <w:rPr>
          <w:color w:val="auto"/>
          <w:sz w:val="21"/>
          <w:highlight w:val="none"/>
        </w:rPr>
      </w:pPr>
      <w:r>
        <w:rPr>
          <w:color w:val="auto"/>
          <w:spacing w:val="-3"/>
          <w:sz w:val="21"/>
          <w:highlight w:val="none"/>
        </w:rPr>
        <w:t>本合同有效期为发包人和承包人签署之日起至该工程项目竣工验收后止。</w:t>
      </w:r>
    </w:p>
    <w:p>
      <w:pPr>
        <w:pStyle w:val="53"/>
        <w:numPr>
          <w:ilvl w:val="0"/>
          <w:numId w:val="19"/>
        </w:numPr>
        <w:tabs>
          <w:tab w:val="left" w:pos="998"/>
        </w:tabs>
        <w:spacing w:before="165" w:line="393" w:lineRule="auto"/>
        <w:ind w:left="251" w:right="274" w:firstLine="424"/>
        <w:rPr>
          <w:color w:val="auto"/>
          <w:sz w:val="21"/>
          <w:highlight w:val="none"/>
        </w:rPr>
      </w:pPr>
      <w:r>
        <w:rPr>
          <w:color w:val="auto"/>
          <w:sz w:val="21"/>
          <w:highlight w:val="none"/>
        </w:rPr>
        <w:t>本合同作为（项目名称）</w:t>
      </w:r>
      <w:r>
        <w:rPr>
          <w:color w:val="auto"/>
          <w:spacing w:val="-1"/>
          <w:sz w:val="21"/>
          <w:highlight w:val="none"/>
        </w:rPr>
        <w:t>标段施工合同的附件，与工程施工合同具有同等的法律效力，经合</w:t>
      </w:r>
      <w:r>
        <w:rPr>
          <w:color w:val="auto"/>
          <w:spacing w:val="-3"/>
          <w:sz w:val="21"/>
          <w:highlight w:val="none"/>
        </w:rPr>
        <w:t>同双方签署后立即生效。</w:t>
      </w:r>
    </w:p>
    <w:p>
      <w:pPr>
        <w:pStyle w:val="53"/>
        <w:numPr>
          <w:ilvl w:val="0"/>
          <w:numId w:val="19"/>
        </w:numPr>
        <w:tabs>
          <w:tab w:val="left" w:pos="995"/>
        </w:tabs>
        <w:spacing w:line="268" w:lineRule="exact"/>
        <w:ind w:hanging="319"/>
        <w:rPr>
          <w:color w:val="auto"/>
          <w:sz w:val="21"/>
          <w:highlight w:val="none"/>
        </w:rPr>
      </w:pPr>
      <w:r>
        <w:rPr>
          <w:color w:val="auto"/>
          <w:spacing w:val="-3"/>
          <w:sz w:val="21"/>
          <w:highlight w:val="none"/>
        </w:rPr>
        <w:t>本合同一式</w:t>
      </w:r>
      <w:r>
        <w:rPr>
          <w:b/>
          <w:color w:val="auto"/>
          <w:sz w:val="21"/>
          <w:highlight w:val="none"/>
          <w:u w:val="single"/>
        </w:rPr>
        <w:t>四</w:t>
      </w:r>
      <w:r>
        <w:rPr>
          <w:color w:val="auto"/>
          <w:spacing w:val="-3"/>
          <w:sz w:val="21"/>
          <w:highlight w:val="none"/>
        </w:rPr>
        <w:t>份，由发包人和承包人各执</w:t>
      </w:r>
      <w:r>
        <w:rPr>
          <w:b/>
          <w:color w:val="auto"/>
          <w:sz w:val="21"/>
          <w:highlight w:val="none"/>
          <w:u w:val="single"/>
        </w:rPr>
        <w:t>—</w:t>
      </w:r>
      <w:r>
        <w:rPr>
          <w:color w:val="auto"/>
          <w:spacing w:val="-3"/>
          <w:sz w:val="21"/>
          <w:highlight w:val="none"/>
        </w:rPr>
        <w:t>份，送交发包人和承包人的监督单位各一份。</w:t>
      </w:r>
    </w:p>
    <w:p>
      <w:pPr>
        <w:pStyle w:val="2"/>
        <w:rPr>
          <w:color w:val="auto"/>
          <w:sz w:val="20"/>
          <w:highlight w:val="none"/>
        </w:rPr>
      </w:pPr>
    </w:p>
    <w:p>
      <w:pPr>
        <w:pStyle w:val="2"/>
        <w:rPr>
          <w:color w:val="auto"/>
          <w:sz w:val="20"/>
          <w:highlight w:val="none"/>
        </w:rPr>
      </w:pPr>
    </w:p>
    <w:p>
      <w:pPr>
        <w:pStyle w:val="2"/>
        <w:rPr>
          <w:color w:val="auto"/>
          <w:sz w:val="20"/>
          <w:highlight w:val="none"/>
        </w:rPr>
      </w:pPr>
    </w:p>
    <w:p>
      <w:pPr>
        <w:pStyle w:val="2"/>
        <w:rPr>
          <w:color w:val="auto"/>
          <w:sz w:val="20"/>
          <w:highlight w:val="none"/>
        </w:rPr>
      </w:pPr>
    </w:p>
    <w:p>
      <w:pPr>
        <w:pStyle w:val="2"/>
        <w:rPr>
          <w:color w:val="auto"/>
          <w:sz w:val="20"/>
          <w:highlight w:val="none"/>
        </w:rPr>
      </w:pPr>
    </w:p>
    <w:p>
      <w:pPr>
        <w:pStyle w:val="2"/>
        <w:rPr>
          <w:color w:val="auto"/>
          <w:sz w:val="20"/>
          <w:highlight w:val="none"/>
        </w:rPr>
      </w:pPr>
    </w:p>
    <w:p>
      <w:pPr>
        <w:pStyle w:val="2"/>
        <w:spacing w:before="1"/>
        <w:rPr>
          <w:color w:val="auto"/>
          <w:sz w:val="27"/>
          <w:highlight w:val="none"/>
        </w:rPr>
      </w:pPr>
    </w:p>
    <w:p>
      <w:pPr>
        <w:pStyle w:val="2"/>
        <w:tabs>
          <w:tab w:val="left" w:pos="2882"/>
          <w:tab w:val="left" w:pos="5194"/>
          <w:tab w:val="left" w:pos="6874"/>
        </w:tabs>
        <w:spacing w:before="79"/>
        <w:ind w:left="676"/>
        <w:rPr>
          <w:color w:val="auto"/>
          <w:highlight w:val="none"/>
        </w:rPr>
      </w:pPr>
      <w:r>
        <w:rPr>
          <w:color w:val="auto"/>
          <w:highlight w:val="none"/>
        </w:rPr>
        <w:t>发包</w:t>
      </w:r>
      <w:r>
        <w:rPr>
          <w:color w:val="auto"/>
          <w:spacing w:val="-3"/>
          <w:highlight w:val="none"/>
        </w:rPr>
        <w:t>人</w:t>
      </w:r>
      <w:r>
        <w:rPr>
          <w:color w:val="auto"/>
          <w:highlight w:val="none"/>
        </w:rPr>
        <w:t>：</w:t>
      </w:r>
      <w:r>
        <w:rPr>
          <w:rFonts w:ascii="Times New Roman" w:eastAsia="Times New Roman"/>
          <w:color w:val="auto"/>
          <w:highlight w:val="none"/>
          <w:u w:val="single"/>
        </w:rPr>
        <w:tab/>
      </w:r>
      <w:r>
        <w:rPr>
          <w:color w:val="auto"/>
          <w:spacing w:val="-3"/>
          <w:highlight w:val="none"/>
        </w:rPr>
        <w:t>（</w:t>
      </w:r>
      <w:r>
        <w:rPr>
          <w:color w:val="auto"/>
          <w:highlight w:val="none"/>
        </w:rPr>
        <w:t>盖单</w:t>
      </w:r>
      <w:r>
        <w:rPr>
          <w:color w:val="auto"/>
          <w:spacing w:val="-3"/>
          <w:highlight w:val="none"/>
        </w:rPr>
        <w:t>位</w:t>
      </w:r>
      <w:r>
        <w:rPr>
          <w:color w:val="auto"/>
          <w:highlight w:val="none"/>
        </w:rPr>
        <w:t>章）</w:t>
      </w:r>
      <w:r>
        <w:rPr>
          <w:color w:val="auto"/>
          <w:highlight w:val="none"/>
        </w:rPr>
        <w:tab/>
      </w:r>
      <w:r>
        <w:rPr>
          <w:color w:val="auto"/>
          <w:spacing w:val="-3"/>
          <w:highlight w:val="none"/>
        </w:rPr>
        <w:t>承</w:t>
      </w:r>
      <w:r>
        <w:rPr>
          <w:color w:val="auto"/>
          <w:highlight w:val="none"/>
        </w:rPr>
        <w:t>包人</w:t>
      </w:r>
      <w:r>
        <w:rPr>
          <w:color w:val="auto"/>
          <w:spacing w:val="-3"/>
          <w:highlight w:val="none"/>
        </w:rPr>
        <w:t>：</w:t>
      </w:r>
      <w:r>
        <w:rPr>
          <w:rFonts w:ascii="Times New Roman" w:eastAsia="Times New Roman"/>
          <w:color w:val="auto"/>
          <w:spacing w:val="-3"/>
          <w:highlight w:val="none"/>
          <w:u w:val="single"/>
        </w:rPr>
        <w:tab/>
      </w:r>
      <w:r>
        <w:rPr>
          <w:color w:val="auto"/>
          <w:highlight w:val="none"/>
        </w:rPr>
        <w:t>（</w:t>
      </w:r>
      <w:r>
        <w:rPr>
          <w:color w:val="auto"/>
          <w:spacing w:val="-3"/>
          <w:highlight w:val="none"/>
        </w:rPr>
        <w:t>盖</w:t>
      </w:r>
      <w:r>
        <w:rPr>
          <w:color w:val="auto"/>
          <w:highlight w:val="none"/>
        </w:rPr>
        <w:t>单</w:t>
      </w:r>
      <w:r>
        <w:rPr>
          <w:color w:val="auto"/>
          <w:spacing w:val="-3"/>
          <w:highlight w:val="none"/>
        </w:rPr>
        <w:t>位</w:t>
      </w:r>
      <w:r>
        <w:rPr>
          <w:color w:val="auto"/>
          <w:highlight w:val="none"/>
        </w:rPr>
        <w:t>章）</w:t>
      </w:r>
    </w:p>
    <w:p>
      <w:pPr>
        <w:pStyle w:val="2"/>
        <w:rPr>
          <w:color w:val="auto"/>
          <w:sz w:val="20"/>
          <w:highlight w:val="none"/>
        </w:rPr>
      </w:pPr>
    </w:p>
    <w:p>
      <w:pPr>
        <w:pStyle w:val="2"/>
        <w:spacing w:before="11"/>
        <w:rPr>
          <w:color w:val="auto"/>
          <w:sz w:val="27"/>
          <w:highlight w:val="none"/>
        </w:rPr>
      </w:pPr>
    </w:p>
    <w:p>
      <w:pPr>
        <w:pStyle w:val="2"/>
        <w:tabs>
          <w:tab w:val="left" w:pos="4039"/>
          <w:tab w:val="left" w:pos="5194"/>
          <w:tab w:val="left" w:pos="8557"/>
        </w:tabs>
        <w:spacing w:before="78"/>
        <w:ind w:left="676"/>
        <w:rPr>
          <w:color w:val="auto"/>
          <w:highlight w:val="none"/>
        </w:rPr>
      </w:pPr>
      <w:r>
        <w:rPr>
          <w:color w:val="auto"/>
          <w:highlight w:val="none"/>
        </w:rPr>
        <w:t>法定</w:t>
      </w:r>
      <w:r>
        <w:rPr>
          <w:color w:val="auto"/>
          <w:spacing w:val="-3"/>
          <w:highlight w:val="none"/>
        </w:rPr>
        <w:t>代</w:t>
      </w:r>
      <w:r>
        <w:rPr>
          <w:color w:val="auto"/>
          <w:highlight w:val="none"/>
        </w:rPr>
        <w:t>表</w:t>
      </w:r>
      <w:r>
        <w:rPr>
          <w:color w:val="auto"/>
          <w:spacing w:val="-3"/>
          <w:highlight w:val="none"/>
        </w:rPr>
        <w:t>人</w:t>
      </w:r>
      <w:r>
        <w:rPr>
          <w:color w:val="auto"/>
          <w:highlight w:val="none"/>
        </w:rPr>
        <w:t>或</w:t>
      </w:r>
      <w:r>
        <w:rPr>
          <w:color w:val="auto"/>
          <w:spacing w:val="-3"/>
          <w:highlight w:val="none"/>
        </w:rPr>
        <w:t>其</w:t>
      </w:r>
      <w:r>
        <w:rPr>
          <w:color w:val="auto"/>
          <w:highlight w:val="none"/>
        </w:rPr>
        <w:t>委</w:t>
      </w:r>
      <w:r>
        <w:rPr>
          <w:color w:val="auto"/>
          <w:spacing w:val="-3"/>
          <w:highlight w:val="none"/>
        </w:rPr>
        <w:t>托</w:t>
      </w:r>
      <w:r>
        <w:rPr>
          <w:color w:val="auto"/>
          <w:highlight w:val="none"/>
        </w:rPr>
        <w:t>代</w:t>
      </w:r>
      <w:r>
        <w:rPr>
          <w:color w:val="auto"/>
          <w:spacing w:val="-3"/>
          <w:highlight w:val="none"/>
        </w:rPr>
        <w:t>理</w:t>
      </w:r>
      <w:r>
        <w:rPr>
          <w:color w:val="auto"/>
          <w:highlight w:val="none"/>
        </w:rPr>
        <w:t>人：</w:t>
      </w:r>
      <w:r>
        <w:rPr>
          <w:rFonts w:ascii="Times New Roman" w:eastAsia="Times New Roman"/>
          <w:color w:val="auto"/>
          <w:highlight w:val="none"/>
          <w:u w:val="single"/>
        </w:rPr>
        <w:tab/>
      </w:r>
      <w:r>
        <w:rPr>
          <w:color w:val="auto"/>
          <w:highlight w:val="none"/>
        </w:rPr>
        <w:t>（</w:t>
      </w:r>
      <w:r>
        <w:rPr>
          <w:color w:val="auto"/>
          <w:spacing w:val="-3"/>
          <w:highlight w:val="none"/>
        </w:rPr>
        <w:t>签</w:t>
      </w:r>
      <w:r>
        <w:rPr>
          <w:color w:val="auto"/>
          <w:highlight w:val="none"/>
        </w:rPr>
        <w:t>字）</w:t>
      </w:r>
      <w:r>
        <w:rPr>
          <w:color w:val="auto"/>
          <w:highlight w:val="none"/>
        </w:rPr>
        <w:tab/>
      </w:r>
      <w:r>
        <w:rPr>
          <w:color w:val="auto"/>
          <w:spacing w:val="-3"/>
          <w:highlight w:val="none"/>
        </w:rPr>
        <w:t>法</w:t>
      </w:r>
      <w:r>
        <w:rPr>
          <w:color w:val="auto"/>
          <w:highlight w:val="none"/>
        </w:rPr>
        <w:t>定代</w:t>
      </w:r>
      <w:r>
        <w:rPr>
          <w:color w:val="auto"/>
          <w:spacing w:val="-3"/>
          <w:highlight w:val="none"/>
        </w:rPr>
        <w:t>表</w:t>
      </w:r>
      <w:r>
        <w:rPr>
          <w:color w:val="auto"/>
          <w:highlight w:val="none"/>
        </w:rPr>
        <w:t>人</w:t>
      </w:r>
      <w:r>
        <w:rPr>
          <w:color w:val="auto"/>
          <w:spacing w:val="-3"/>
          <w:highlight w:val="none"/>
        </w:rPr>
        <w:t>或</w:t>
      </w:r>
      <w:r>
        <w:rPr>
          <w:color w:val="auto"/>
          <w:highlight w:val="none"/>
        </w:rPr>
        <w:t>其</w:t>
      </w:r>
      <w:r>
        <w:rPr>
          <w:color w:val="auto"/>
          <w:spacing w:val="-3"/>
          <w:highlight w:val="none"/>
        </w:rPr>
        <w:t>委</w:t>
      </w:r>
      <w:r>
        <w:rPr>
          <w:color w:val="auto"/>
          <w:highlight w:val="none"/>
        </w:rPr>
        <w:t>托</w:t>
      </w:r>
      <w:r>
        <w:rPr>
          <w:color w:val="auto"/>
          <w:spacing w:val="-3"/>
          <w:highlight w:val="none"/>
        </w:rPr>
        <w:t>代</w:t>
      </w:r>
      <w:r>
        <w:rPr>
          <w:color w:val="auto"/>
          <w:highlight w:val="none"/>
        </w:rPr>
        <w:t>理</w:t>
      </w:r>
      <w:r>
        <w:rPr>
          <w:color w:val="auto"/>
          <w:spacing w:val="-3"/>
          <w:highlight w:val="none"/>
        </w:rPr>
        <w:t>人</w:t>
      </w:r>
      <w:r>
        <w:rPr>
          <w:color w:val="auto"/>
          <w:highlight w:val="none"/>
        </w:rPr>
        <w:t>：</w:t>
      </w:r>
      <w:r>
        <w:rPr>
          <w:rFonts w:ascii="Times New Roman" w:eastAsia="Times New Roman"/>
          <w:color w:val="auto"/>
          <w:highlight w:val="none"/>
          <w:u w:val="single"/>
        </w:rPr>
        <w:tab/>
      </w:r>
      <w:r>
        <w:rPr>
          <w:color w:val="auto"/>
          <w:spacing w:val="-3"/>
          <w:highlight w:val="none"/>
        </w:rPr>
        <w:t>（</w:t>
      </w:r>
      <w:r>
        <w:rPr>
          <w:color w:val="auto"/>
          <w:highlight w:val="none"/>
        </w:rPr>
        <w:t>签</w:t>
      </w:r>
      <w:r>
        <w:rPr>
          <w:color w:val="auto"/>
          <w:spacing w:val="-3"/>
          <w:highlight w:val="none"/>
        </w:rPr>
        <w:t>字</w:t>
      </w:r>
      <w:r>
        <w:rPr>
          <w:color w:val="auto"/>
          <w:highlight w:val="none"/>
        </w:rPr>
        <w:t>）</w:t>
      </w:r>
    </w:p>
    <w:p>
      <w:pPr>
        <w:pStyle w:val="2"/>
        <w:spacing w:before="11"/>
        <w:rPr>
          <w:color w:val="auto"/>
          <w:sz w:val="10"/>
          <w:highlight w:val="none"/>
        </w:rPr>
      </w:pPr>
    </w:p>
    <w:p>
      <w:pPr>
        <w:pStyle w:val="2"/>
        <w:tabs>
          <w:tab w:val="left" w:pos="1727"/>
          <w:tab w:val="left" w:pos="2359"/>
          <w:tab w:val="left" w:pos="5717"/>
          <w:tab w:val="left" w:pos="6242"/>
          <w:tab w:val="left" w:pos="6768"/>
        </w:tabs>
        <w:spacing w:before="72"/>
        <w:ind w:left="1098"/>
        <w:rPr>
          <w:color w:val="auto"/>
          <w:highlight w:val="none"/>
        </w:rPr>
      </w:pPr>
      <w:r>
        <w:rPr>
          <w:color w:val="auto"/>
          <w:highlight w:val="none"/>
        </w:rPr>
        <w:t>年</w:t>
      </w:r>
      <w:r>
        <w:rPr>
          <w:color w:val="auto"/>
          <w:highlight w:val="none"/>
        </w:rPr>
        <w:tab/>
      </w:r>
      <w:r>
        <w:rPr>
          <w:color w:val="auto"/>
          <w:highlight w:val="none"/>
        </w:rPr>
        <w:t>月</w:t>
      </w:r>
      <w:r>
        <w:rPr>
          <w:color w:val="auto"/>
          <w:highlight w:val="none"/>
        </w:rPr>
        <w:tab/>
      </w:r>
      <w:r>
        <w:rPr>
          <w:color w:val="auto"/>
          <w:highlight w:val="none"/>
        </w:rPr>
        <w:t>日</w:t>
      </w:r>
      <w:r>
        <w:rPr>
          <w:color w:val="auto"/>
          <w:highlight w:val="none"/>
        </w:rPr>
        <w:tab/>
      </w:r>
      <w:r>
        <w:rPr>
          <w:color w:val="auto"/>
          <w:highlight w:val="none"/>
        </w:rPr>
        <w:t>年</w:t>
      </w:r>
      <w:r>
        <w:rPr>
          <w:color w:val="auto"/>
          <w:highlight w:val="none"/>
        </w:rPr>
        <w:tab/>
      </w:r>
      <w:r>
        <w:rPr>
          <w:color w:val="auto"/>
          <w:highlight w:val="none"/>
        </w:rPr>
        <w:t>月</w:t>
      </w:r>
      <w:r>
        <w:rPr>
          <w:color w:val="auto"/>
          <w:highlight w:val="none"/>
        </w:rPr>
        <w:tab/>
      </w:r>
      <w:r>
        <w:rPr>
          <w:color w:val="auto"/>
          <w:highlight w:val="none"/>
        </w:rPr>
        <w:t>日</w:t>
      </w:r>
    </w:p>
    <w:p>
      <w:pPr>
        <w:rPr>
          <w:color w:val="auto"/>
          <w:highlight w:val="none"/>
        </w:rPr>
        <w:sectPr>
          <w:pgSz w:w="11910" w:h="16850"/>
          <w:pgMar w:top="1280" w:right="860" w:bottom="1040" w:left="1280" w:header="877" w:footer="853" w:gutter="0"/>
          <w:cols w:space="720" w:num="1"/>
        </w:sectPr>
      </w:pPr>
    </w:p>
    <w:p>
      <w:pPr>
        <w:pStyle w:val="2"/>
        <w:rPr>
          <w:color w:val="auto"/>
          <w:sz w:val="20"/>
          <w:highlight w:val="none"/>
        </w:rPr>
      </w:pPr>
    </w:p>
    <w:p>
      <w:pPr>
        <w:pStyle w:val="2"/>
        <w:spacing w:before="8"/>
        <w:rPr>
          <w:color w:val="auto"/>
          <w:sz w:val="24"/>
          <w:highlight w:val="none"/>
        </w:rPr>
      </w:pPr>
    </w:p>
    <w:p>
      <w:pPr>
        <w:rPr>
          <w:color w:val="auto"/>
          <w:sz w:val="24"/>
          <w:highlight w:val="none"/>
        </w:rPr>
        <w:sectPr>
          <w:pgSz w:w="11910" w:h="16850"/>
          <w:pgMar w:top="1280" w:right="860" w:bottom="1040" w:left="1280" w:header="877" w:footer="853" w:gutter="0"/>
          <w:cols w:space="720" w:num="1"/>
        </w:sectPr>
      </w:pPr>
    </w:p>
    <w:p>
      <w:pPr>
        <w:spacing w:before="72"/>
        <w:ind w:left="678"/>
        <w:rPr>
          <w:b/>
          <w:color w:val="auto"/>
          <w:sz w:val="21"/>
          <w:highlight w:val="none"/>
        </w:rPr>
      </w:pPr>
      <w:r>
        <w:rPr>
          <w:b/>
          <w:color w:val="auto"/>
          <w:sz w:val="21"/>
          <w:highlight w:val="none"/>
        </w:rPr>
        <w:t>附件三 安全生产合同</w:t>
      </w:r>
    </w:p>
    <w:p>
      <w:pPr>
        <w:pStyle w:val="2"/>
        <w:rPr>
          <w:b/>
          <w:color w:val="auto"/>
          <w:sz w:val="24"/>
          <w:highlight w:val="none"/>
        </w:rPr>
      </w:pPr>
      <w:r>
        <w:rPr>
          <w:color w:val="auto"/>
          <w:highlight w:val="none"/>
        </w:rPr>
        <w:br w:type="column"/>
      </w:r>
    </w:p>
    <w:p>
      <w:pPr>
        <w:pStyle w:val="9"/>
        <w:spacing w:before="176"/>
        <w:ind w:left="678"/>
        <w:rPr>
          <w:color w:val="auto"/>
          <w:highlight w:val="none"/>
        </w:rPr>
      </w:pPr>
      <w:r>
        <w:rPr>
          <w:color w:val="auto"/>
          <w:highlight w:val="none"/>
        </w:rPr>
        <w:t>安全生产合同</w:t>
      </w:r>
    </w:p>
    <w:p>
      <w:pPr>
        <w:rPr>
          <w:color w:val="auto"/>
          <w:highlight w:val="none"/>
        </w:rPr>
        <w:sectPr>
          <w:type w:val="continuous"/>
          <w:pgSz w:w="11910" w:h="16850"/>
          <w:pgMar w:top="1600" w:right="860" w:bottom="280" w:left="1280" w:header="720" w:footer="720" w:gutter="0"/>
          <w:cols w:equalWidth="0" w:num="2">
            <w:col w:w="2723" w:space="992"/>
            <w:col w:w="6055"/>
          </w:cols>
        </w:sectPr>
      </w:pPr>
    </w:p>
    <w:p>
      <w:pPr>
        <w:pStyle w:val="2"/>
        <w:rPr>
          <w:b/>
          <w:color w:val="auto"/>
          <w:sz w:val="20"/>
          <w:highlight w:val="none"/>
        </w:rPr>
      </w:pPr>
    </w:p>
    <w:p>
      <w:pPr>
        <w:pStyle w:val="2"/>
        <w:spacing w:before="4"/>
        <w:rPr>
          <w:b/>
          <w:color w:val="auto"/>
          <w:highlight w:val="none"/>
        </w:rPr>
      </w:pPr>
    </w:p>
    <w:p>
      <w:pPr>
        <w:pStyle w:val="2"/>
        <w:spacing w:before="71" w:line="393" w:lineRule="auto"/>
        <w:ind w:left="251" w:right="264" w:firstLine="424"/>
        <w:jc w:val="both"/>
        <w:rPr>
          <w:color w:val="auto"/>
          <w:highlight w:val="none"/>
        </w:rPr>
      </w:pPr>
      <w:r>
        <w:rPr>
          <w:color w:val="auto"/>
          <w:highlight w:val="none"/>
        </w:rPr>
        <w:t>为在</w:t>
      </w:r>
      <w:r>
        <w:rPr>
          <w:color w:val="auto"/>
          <w:highlight w:val="none"/>
          <w:u w:val="single"/>
        </w:rPr>
        <w:t>（项目名称）</w:t>
      </w:r>
      <w:r>
        <w:rPr>
          <w:color w:val="auto"/>
          <w:highlight w:val="none"/>
        </w:rPr>
        <w:t>（标段）施工合同的实施过程中创造安全、高效的施工环境，切实搞好本项目的安全管理工作，本项目发包人</w:t>
      </w:r>
      <w:r>
        <w:rPr>
          <w:rFonts w:hint="eastAsia"/>
          <w:color w:val="auto"/>
          <w:highlight w:val="none"/>
          <w:u w:val="single"/>
          <w:lang w:val="en-US" w:eastAsia="zh-CN"/>
        </w:rPr>
        <w:t xml:space="preserve">          </w:t>
      </w:r>
      <w:r>
        <w:rPr>
          <w:color w:val="auto"/>
          <w:highlight w:val="none"/>
        </w:rPr>
        <w:t>（发包人名称，以下简称“发包人”）与承包人</w:t>
      </w:r>
      <w:r>
        <w:rPr>
          <w:rFonts w:hint="eastAsia"/>
          <w:color w:val="auto"/>
          <w:highlight w:val="none"/>
          <w:u w:val="single"/>
          <w:lang w:val="en-US" w:eastAsia="zh-CN"/>
        </w:rPr>
        <w:t xml:space="preserve">    </w:t>
      </w:r>
      <w:r>
        <w:rPr>
          <w:color w:val="auto"/>
          <w:highlight w:val="none"/>
        </w:rPr>
        <w:t>（承包人名称，以下简称“承包人”）特此签订安全生产合同：</w:t>
      </w:r>
    </w:p>
    <w:p>
      <w:pPr>
        <w:pStyle w:val="53"/>
        <w:numPr>
          <w:ilvl w:val="0"/>
          <w:numId w:val="24"/>
        </w:numPr>
        <w:tabs>
          <w:tab w:val="left" w:pos="836"/>
        </w:tabs>
        <w:spacing w:line="265" w:lineRule="exact"/>
        <w:rPr>
          <w:color w:val="auto"/>
          <w:sz w:val="21"/>
          <w:highlight w:val="none"/>
        </w:rPr>
      </w:pPr>
      <w:r>
        <w:rPr>
          <w:color w:val="auto"/>
          <w:spacing w:val="-3"/>
          <w:sz w:val="21"/>
          <w:highlight w:val="none"/>
        </w:rPr>
        <w:t>发包人职责</w:t>
      </w:r>
    </w:p>
    <w:p>
      <w:pPr>
        <w:pStyle w:val="53"/>
        <w:numPr>
          <w:ilvl w:val="0"/>
          <w:numId w:val="25"/>
        </w:numPr>
        <w:tabs>
          <w:tab w:val="left" w:pos="1206"/>
        </w:tabs>
        <w:spacing w:before="174"/>
        <w:ind w:hanging="530"/>
        <w:rPr>
          <w:color w:val="auto"/>
          <w:sz w:val="21"/>
          <w:highlight w:val="none"/>
        </w:rPr>
      </w:pPr>
      <w:r>
        <w:rPr>
          <w:color w:val="auto"/>
          <w:spacing w:val="-3"/>
          <w:sz w:val="21"/>
          <w:highlight w:val="none"/>
        </w:rPr>
        <w:t>严格遵守国家有关安全生产的法律法规，认真执行工程承包合同中的有关安全要求。</w:t>
      </w:r>
    </w:p>
    <w:p>
      <w:pPr>
        <w:pStyle w:val="53"/>
        <w:numPr>
          <w:ilvl w:val="0"/>
          <w:numId w:val="25"/>
        </w:numPr>
        <w:tabs>
          <w:tab w:val="left" w:pos="1211"/>
        </w:tabs>
        <w:spacing w:before="170" w:line="391" w:lineRule="auto"/>
        <w:ind w:left="251" w:right="274" w:firstLine="424"/>
        <w:rPr>
          <w:color w:val="auto"/>
          <w:sz w:val="21"/>
          <w:highlight w:val="none"/>
        </w:rPr>
      </w:pPr>
      <w:r>
        <w:rPr>
          <w:color w:val="auto"/>
          <w:spacing w:val="-1"/>
          <w:sz w:val="21"/>
          <w:highlight w:val="none"/>
        </w:rPr>
        <w:t>按照“安全第一、预防为主、综合治理”和坚持“管生产必须管安全”的原则进行安全生</w:t>
      </w:r>
      <w:r>
        <w:rPr>
          <w:color w:val="auto"/>
          <w:spacing w:val="-3"/>
          <w:sz w:val="21"/>
          <w:highlight w:val="none"/>
        </w:rPr>
        <w:t>产管理，做到生产与安全工作同时计划、布置、检查、总结和评比。</w:t>
      </w:r>
    </w:p>
    <w:p>
      <w:pPr>
        <w:pStyle w:val="53"/>
        <w:numPr>
          <w:ilvl w:val="0"/>
          <w:numId w:val="25"/>
        </w:numPr>
        <w:tabs>
          <w:tab w:val="left" w:pos="1206"/>
        </w:tabs>
        <w:spacing w:before="3" w:line="391" w:lineRule="auto"/>
        <w:ind w:left="251" w:right="160" w:firstLine="424"/>
        <w:rPr>
          <w:color w:val="auto"/>
          <w:sz w:val="21"/>
          <w:highlight w:val="none"/>
        </w:rPr>
      </w:pPr>
      <w:r>
        <w:rPr>
          <w:color w:val="auto"/>
          <w:spacing w:val="-3"/>
          <w:sz w:val="21"/>
          <w:highlight w:val="none"/>
        </w:rPr>
        <w:t>重要的安全设施必须坚持与主体工程“三同时”的原则，即：同时设计、审批，同时施工， 同时验收，投入使用。</w:t>
      </w:r>
    </w:p>
    <w:p>
      <w:pPr>
        <w:pStyle w:val="53"/>
        <w:numPr>
          <w:ilvl w:val="0"/>
          <w:numId w:val="25"/>
        </w:numPr>
        <w:tabs>
          <w:tab w:val="left" w:pos="1206"/>
        </w:tabs>
        <w:spacing w:before="2"/>
        <w:ind w:hanging="530"/>
        <w:rPr>
          <w:color w:val="auto"/>
          <w:sz w:val="21"/>
          <w:highlight w:val="none"/>
        </w:rPr>
      </w:pPr>
      <w:r>
        <w:rPr>
          <w:color w:val="auto"/>
          <w:spacing w:val="-3"/>
          <w:sz w:val="21"/>
          <w:highlight w:val="none"/>
        </w:rPr>
        <w:t>定期召开安全生产调度会，及时传达中央及地方有关安全生产的精神。</w:t>
      </w:r>
    </w:p>
    <w:p>
      <w:pPr>
        <w:pStyle w:val="53"/>
        <w:numPr>
          <w:ilvl w:val="0"/>
          <w:numId w:val="25"/>
        </w:numPr>
        <w:tabs>
          <w:tab w:val="left" w:pos="1206"/>
        </w:tabs>
        <w:spacing w:before="172"/>
        <w:ind w:hanging="530"/>
        <w:rPr>
          <w:color w:val="auto"/>
          <w:sz w:val="21"/>
          <w:highlight w:val="none"/>
        </w:rPr>
      </w:pPr>
      <w:r>
        <w:rPr>
          <w:color w:val="auto"/>
          <w:spacing w:val="-3"/>
          <w:sz w:val="21"/>
          <w:highlight w:val="none"/>
        </w:rPr>
        <w:t>组织对承包人施工现场安全生产检查，监督承包人及时处理发现的各种安全隐患。</w:t>
      </w:r>
    </w:p>
    <w:p>
      <w:pPr>
        <w:pStyle w:val="53"/>
        <w:numPr>
          <w:ilvl w:val="0"/>
          <w:numId w:val="24"/>
        </w:numPr>
        <w:tabs>
          <w:tab w:val="left" w:pos="836"/>
        </w:tabs>
        <w:spacing w:before="171"/>
        <w:rPr>
          <w:color w:val="auto"/>
          <w:sz w:val="21"/>
          <w:highlight w:val="none"/>
        </w:rPr>
      </w:pPr>
      <w:r>
        <w:rPr>
          <w:color w:val="auto"/>
          <w:spacing w:val="-3"/>
          <w:sz w:val="21"/>
          <w:highlight w:val="none"/>
        </w:rPr>
        <w:t>承包人职责</w:t>
      </w:r>
    </w:p>
    <w:p>
      <w:pPr>
        <w:pStyle w:val="53"/>
        <w:numPr>
          <w:ilvl w:val="0"/>
          <w:numId w:val="26"/>
        </w:numPr>
        <w:tabs>
          <w:tab w:val="left" w:pos="1211"/>
        </w:tabs>
        <w:spacing w:before="170" w:line="393" w:lineRule="auto"/>
        <w:ind w:right="264" w:firstLine="424"/>
        <w:jc w:val="both"/>
        <w:rPr>
          <w:color w:val="auto"/>
          <w:sz w:val="21"/>
          <w:highlight w:val="none"/>
        </w:rPr>
      </w:pPr>
      <w:r>
        <w:rPr>
          <w:color w:val="auto"/>
          <w:sz w:val="21"/>
          <w:highlight w:val="none"/>
        </w:rPr>
        <w:t>严格遵守《中华人民共和国安全生产法》《建设工程安全生产管理条例》等国家有关安全</w:t>
      </w:r>
      <w:r>
        <w:rPr>
          <w:color w:val="auto"/>
          <w:spacing w:val="-3"/>
          <w:sz w:val="21"/>
          <w:highlight w:val="none"/>
        </w:rPr>
        <w:t>生产的法律法规《公路水运工程安全生产监督管理办法》和《公路工程施工安全技术规程》等有关安全生产的规定。认真执行工程承包合同中的有关安全要求。</w:t>
      </w:r>
    </w:p>
    <w:p>
      <w:pPr>
        <w:pStyle w:val="53"/>
        <w:numPr>
          <w:ilvl w:val="0"/>
          <w:numId w:val="26"/>
        </w:numPr>
        <w:tabs>
          <w:tab w:val="left" w:pos="1211"/>
        </w:tabs>
        <w:spacing w:line="393" w:lineRule="auto"/>
        <w:ind w:right="158" w:firstLine="424"/>
        <w:rPr>
          <w:color w:val="auto"/>
          <w:sz w:val="21"/>
          <w:highlight w:val="none"/>
        </w:rPr>
      </w:pPr>
      <w:r>
        <w:rPr>
          <w:color w:val="auto"/>
          <w:sz w:val="21"/>
          <w:highlight w:val="none"/>
        </w:rPr>
        <w:t xml:space="preserve">坚持“安全第一、预防为主、综合治理”和“管生产必须管安全”的原则，加强安全生产 </w:t>
      </w:r>
      <w:r>
        <w:rPr>
          <w:color w:val="auto"/>
          <w:spacing w:val="-3"/>
          <w:sz w:val="21"/>
          <w:highlight w:val="none"/>
        </w:rPr>
        <w:t>宣传教育，增强全员安全生产意识，建立健全各项安全生产的管理机构和安全生产管理制度，配备专职及兼职安全检查人员，有组织有领导地开展安全生产活动。各级领导、工程技术人员、生产管理人</w:t>
      </w:r>
      <w:r>
        <w:rPr>
          <w:color w:val="auto"/>
          <w:spacing w:val="-9"/>
          <w:sz w:val="21"/>
          <w:highlight w:val="none"/>
        </w:rPr>
        <w:t>员和具体操作人员，必须熟悉和遵守本合同的各项规定，做到生产与安全工作同时计划、布置、检查、</w:t>
      </w:r>
      <w:r>
        <w:rPr>
          <w:color w:val="auto"/>
          <w:spacing w:val="-5"/>
          <w:sz w:val="21"/>
          <w:highlight w:val="none"/>
        </w:rPr>
        <w:t>总结和评比。</w:t>
      </w:r>
    </w:p>
    <w:p>
      <w:pPr>
        <w:pStyle w:val="53"/>
        <w:numPr>
          <w:ilvl w:val="0"/>
          <w:numId w:val="26"/>
        </w:numPr>
        <w:tabs>
          <w:tab w:val="left" w:pos="1203"/>
        </w:tabs>
        <w:spacing w:line="393" w:lineRule="auto"/>
        <w:ind w:right="160" w:firstLine="424"/>
        <w:rPr>
          <w:color w:val="auto"/>
          <w:sz w:val="21"/>
          <w:highlight w:val="none"/>
        </w:rPr>
      </w:pPr>
      <w:r>
        <w:rPr>
          <w:color w:val="auto"/>
          <w:spacing w:val="-3"/>
          <w:sz w:val="21"/>
          <w:highlight w:val="none"/>
        </w:rPr>
        <w:t>建立健全安全生产责任制。从派往项目实施的项目经理到生产工人（包括临时雇请的民工</w:t>
      </w:r>
      <w:r>
        <w:rPr>
          <w:color w:val="auto"/>
          <w:sz w:val="21"/>
          <w:highlight w:val="none"/>
        </w:rPr>
        <w:t xml:space="preserve">） </w:t>
      </w:r>
      <w:r>
        <w:rPr>
          <w:color w:val="auto"/>
          <w:spacing w:val="-3"/>
          <w:sz w:val="21"/>
          <w:highlight w:val="none"/>
        </w:rPr>
        <w:t>的安全生产管理系统必须做到纵向到底，—环不漏；各职能部门、人员的安全生产责任制做到横向到边，人人有责。项目经理是安全生产的第一责任人。现场设置的安全机构，应按《公路水运工程安全生产监督管理办法》规定的最低数量和资质条件配备专职安全生产管理人员，专职负责所有员工的安全和治安保卫工作及预防事故的发生。安全机构人员有权按有关规定发布指令，并采取保护性措施防止事故发生。</w:t>
      </w:r>
    </w:p>
    <w:p>
      <w:pPr>
        <w:pStyle w:val="53"/>
        <w:numPr>
          <w:ilvl w:val="0"/>
          <w:numId w:val="26"/>
        </w:numPr>
        <w:tabs>
          <w:tab w:val="left" w:pos="1211"/>
        </w:tabs>
        <w:spacing w:line="391" w:lineRule="auto"/>
        <w:ind w:right="274" w:firstLine="424"/>
        <w:rPr>
          <w:color w:val="auto"/>
          <w:sz w:val="21"/>
          <w:highlight w:val="none"/>
        </w:rPr>
      </w:pPr>
      <w:r>
        <w:rPr>
          <w:color w:val="auto"/>
          <w:spacing w:val="-1"/>
          <w:sz w:val="21"/>
          <w:highlight w:val="none"/>
        </w:rPr>
        <w:t>承包人在任何时候都应采取各种合理的预防措施，防止其员工发生任何违法、违禁、暴力</w:t>
      </w:r>
      <w:r>
        <w:rPr>
          <w:color w:val="auto"/>
          <w:spacing w:val="-3"/>
          <w:sz w:val="21"/>
          <w:highlight w:val="none"/>
        </w:rPr>
        <w:t>或妨碍治安的行为。</w:t>
      </w:r>
    </w:p>
    <w:p>
      <w:pPr>
        <w:spacing w:line="391" w:lineRule="auto"/>
        <w:rPr>
          <w:color w:val="auto"/>
          <w:sz w:val="21"/>
          <w:highlight w:val="none"/>
        </w:rPr>
        <w:sectPr>
          <w:type w:val="continuous"/>
          <w:pgSz w:w="11910" w:h="16850"/>
          <w:pgMar w:top="1600" w:right="860" w:bottom="280" w:left="1280" w:header="720" w:footer="720" w:gutter="0"/>
          <w:cols w:space="720" w:num="1"/>
        </w:sectPr>
      </w:pPr>
    </w:p>
    <w:p>
      <w:pPr>
        <w:pStyle w:val="2"/>
        <w:spacing w:before="11"/>
        <w:rPr>
          <w:color w:val="auto"/>
          <w:sz w:val="9"/>
          <w:highlight w:val="none"/>
        </w:rPr>
      </w:pPr>
    </w:p>
    <w:p>
      <w:pPr>
        <w:pStyle w:val="53"/>
        <w:numPr>
          <w:ilvl w:val="0"/>
          <w:numId w:val="26"/>
        </w:numPr>
        <w:tabs>
          <w:tab w:val="left" w:pos="1211"/>
        </w:tabs>
        <w:spacing w:before="78" w:line="391" w:lineRule="auto"/>
        <w:ind w:right="264" w:firstLine="424"/>
        <w:jc w:val="both"/>
        <w:rPr>
          <w:color w:val="auto"/>
          <w:sz w:val="21"/>
          <w:highlight w:val="none"/>
        </w:rPr>
      </w:pPr>
      <w:r>
        <w:rPr>
          <w:color w:val="auto"/>
          <w:sz w:val="21"/>
          <w:highlight w:val="none"/>
        </w:rPr>
        <w:t>承包人必须具有劳动安全管理部门颁发的安全生产考核合格证书，参加施工的人员，必须</w:t>
      </w:r>
      <w:r>
        <w:rPr>
          <w:color w:val="auto"/>
          <w:spacing w:val="-3"/>
          <w:sz w:val="21"/>
          <w:highlight w:val="none"/>
        </w:rPr>
        <w:t>接受安全技术教育，熟知和遵守本工种的各项安全技术操作规程，定期进行安全技术考核，合格者方准上岗操作。对于从事电气、起重、建筑登高架设作业、锅炉、压力容器、焊接、机动车船艇驾驶、爆破、潜水、瓦斯检验等特殊工种的人员，经过专业培训，获得《安全操作合格证》后，方准持证上岗。施工现场如出现特种作业无证操作现象时，项目经理必须承担管理责任。</w:t>
      </w:r>
    </w:p>
    <w:p>
      <w:pPr>
        <w:pStyle w:val="53"/>
        <w:numPr>
          <w:ilvl w:val="0"/>
          <w:numId w:val="26"/>
        </w:numPr>
        <w:tabs>
          <w:tab w:val="left" w:pos="1211"/>
        </w:tabs>
        <w:spacing w:before="8" w:line="391" w:lineRule="auto"/>
        <w:ind w:right="264" w:firstLine="424"/>
        <w:jc w:val="both"/>
        <w:rPr>
          <w:color w:val="auto"/>
          <w:sz w:val="21"/>
          <w:highlight w:val="none"/>
        </w:rPr>
      </w:pPr>
      <w:r>
        <w:rPr>
          <w:color w:val="auto"/>
          <w:sz w:val="21"/>
          <w:highlight w:val="none"/>
        </w:rPr>
        <w:t>对于易燃易爆的材料除应专门妥善保管之外，还应配备有足够的消防设施，所有施工人员</w:t>
      </w:r>
      <w:r>
        <w:rPr>
          <w:color w:val="auto"/>
          <w:spacing w:val="-3"/>
          <w:sz w:val="21"/>
          <w:highlight w:val="none"/>
        </w:rPr>
        <w:t>都应熟悉消防设备的性能和使用方法；承包人不得将任何种类的爆炸物给予、易货或以其他方式转让给任何其他人，或允许、容忍上述同样行为。</w:t>
      </w:r>
    </w:p>
    <w:p>
      <w:pPr>
        <w:pStyle w:val="53"/>
        <w:numPr>
          <w:ilvl w:val="0"/>
          <w:numId w:val="26"/>
        </w:numPr>
        <w:tabs>
          <w:tab w:val="left" w:pos="1211"/>
        </w:tabs>
        <w:spacing w:before="5" w:line="391" w:lineRule="auto"/>
        <w:ind w:right="274" w:firstLine="424"/>
        <w:rPr>
          <w:color w:val="auto"/>
          <w:sz w:val="21"/>
          <w:highlight w:val="none"/>
        </w:rPr>
      </w:pPr>
      <w:r>
        <w:rPr>
          <w:color w:val="auto"/>
          <w:spacing w:val="-1"/>
          <w:sz w:val="21"/>
          <w:highlight w:val="none"/>
        </w:rPr>
        <w:t>操作人员上岗，必须按规定穿戴防护用品。施工负责人和安全检查员应随时检查劳动防护</w:t>
      </w:r>
      <w:r>
        <w:rPr>
          <w:color w:val="auto"/>
          <w:spacing w:val="-3"/>
          <w:sz w:val="21"/>
          <w:highlight w:val="none"/>
        </w:rPr>
        <w:t>用品的穿戴情况，不按规定穿戴防护用品的人员不得上岗。</w:t>
      </w:r>
    </w:p>
    <w:p>
      <w:pPr>
        <w:pStyle w:val="53"/>
        <w:numPr>
          <w:ilvl w:val="0"/>
          <w:numId w:val="26"/>
        </w:numPr>
        <w:tabs>
          <w:tab w:val="left" w:pos="1211"/>
        </w:tabs>
        <w:spacing w:before="1" w:line="393" w:lineRule="auto"/>
        <w:ind w:right="274" w:firstLine="424"/>
        <w:rPr>
          <w:color w:val="auto"/>
          <w:sz w:val="21"/>
          <w:highlight w:val="none"/>
        </w:rPr>
      </w:pPr>
      <w:r>
        <w:rPr>
          <w:color w:val="auto"/>
          <w:spacing w:val="-1"/>
          <w:sz w:val="21"/>
          <w:highlight w:val="none"/>
        </w:rPr>
        <w:t>所有施工机具设备和高空作业的设备均应定期检查，并有安全员的签字记录，保证其经常</w:t>
      </w:r>
      <w:r>
        <w:rPr>
          <w:color w:val="auto"/>
          <w:spacing w:val="-3"/>
          <w:sz w:val="21"/>
          <w:highlight w:val="none"/>
        </w:rPr>
        <w:t>处于完好状态；不合格的机具、设备和劳动保护用品严禁使用：</w:t>
      </w:r>
    </w:p>
    <w:p>
      <w:pPr>
        <w:pStyle w:val="53"/>
        <w:numPr>
          <w:ilvl w:val="0"/>
          <w:numId w:val="26"/>
        </w:numPr>
        <w:tabs>
          <w:tab w:val="left" w:pos="1211"/>
        </w:tabs>
        <w:spacing w:line="391" w:lineRule="auto"/>
        <w:ind w:right="274" w:firstLine="424"/>
        <w:rPr>
          <w:color w:val="auto"/>
          <w:sz w:val="21"/>
          <w:highlight w:val="none"/>
        </w:rPr>
      </w:pPr>
      <w:r>
        <w:rPr>
          <w:color w:val="auto"/>
          <w:spacing w:val="-1"/>
          <w:sz w:val="21"/>
          <w:highlight w:val="none"/>
        </w:rPr>
        <w:t>施工中采用新技术、新工艺、新设备、新材料时，必须制定相应的安全技术措施，施工现</w:t>
      </w:r>
      <w:r>
        <w:rPr>
          <w:color w:val="auto"/>
          <w:spacing w:val="-3"/>
          <w:sz w:val="21"/>
          <w:highlight w:val="none"/>
        </w:rPr>
        <w:t>场必须具有相关的安全标志牌。</w:t>
      </w:r>
    </w:p>
    <w:p>
      <w:pPr>
        <w:pStyle w:val="53"/>
        <w:numPr>
          <w:ilvl w:val="0"/>
          <w:numId w:val="26"/>
        </w:numPr>
        <w:tabs>
          <w:tab w:val="left" w:pos="1311"/>
        </w:tabs>
        <w:spacing w:before="2" w:line="391" w:lineRule="auto"/>
        <w:ind w:right="261" w:firstLine="424"/>
        <w:jc w:val="both"/>
        <w:rPr>
          <w:color w:val="auto"/>
          <w:sz w:val="21"/>
          <w:highlight w:val="none"/>
        </w:rPr>
      </w:pPr>
      <w:r>
        <w:rPr>
          <w:color w:val="auto"/>
          <w:spacing w:val="-3"/>
          <w:sz w:val="21"/>
          <w:highlight w:val="none"/>
        </w:rPr>
        <w:t>承包人必须按照本工程项目特点，组织制定本工程实施中的生产安全事故应急救援预案； 如果发生安全事故，应按照《国务院关于特大安全事故行政责任追究的规定》以及其他有关规定，及时上报有关部门，并坚持“四不放过”的原则．严肃处理相关责任人。</w:t>
      </w:r>
    </w:p>
    <w:p>
      <w:pPr>
        <w:pStyle w:val="53"/>
        <w:numPr>
          <w:ilvl w:val="0"/>
          <w:numId w:val="26"/>
        </w:numPr>
        <w:tabs>
          <w:tab w:val="left" w:pos="1302"/>
        </w:tabs>
        <w:spacing w:before="5"/>
        <w:ind w:left="1301" w:hanging="626"/>
        <w:rPr>
          <w:color w:val="auto"/>
          <w:sz w:val="21"/>
          <w:highlight w:val="none"/>
        </w:rPr>
      </w:pPr>
      <w:r>
        <w:rPr>
          <w:color w:val="auto"/>
          <w:spacing w:val="-3"/>
          <w:sz w:val="21"/>
          <w:highlight w:val="none"/>
        </w:rPr>
        <w:t>安全生产费用按照《公路水运工程安全生产监督管理办法》的相关规定使用和管理。</w:t>
      </w:r>
    </w:p>
    <w:p>
      <w:pPr>
        <w:pStyle w:val="53"/>
        <w:numPr>
          <w:ilvl w:val="0"/>
          <w:numId w:val="24"/>
        </w:numPr>
        <w:tabs>
          <w:tab w:val="left" w:pos="836"/>
        </w:tabs>
        <w:spacing w:before="170"/>
        <w:rPr>
          <w:color w:val="auto"/>
          <w:sz w:val="21"/>
          <w:highlight w:val="none"/>
        </w:rPr>
      </w:pPr>
      <w:r>
        <w:rPr>
          <w:color w:val="auto"/>
          <w:spacing w:val="-2"/>
          <w:sz w:val="21"/>
          <w:highlight w:val="none"/>
        </w:rPr>
        <w:t>违约责任</w:t>
      </w:r>
    </w:p>
    <w:p>
      <w:pPr>
        <w:pStyle w:val="2"/>
        <w:spacing w:before="170"/>
        <w:ind w:left="676"/>
        <w:rPr>
          <w:color w:val="auto"/>
          <w:highlight w:val="none"/>
        </w:rPr>
      </w:pPr>
      <w:r>
        <w:rPr>
          <w:color w:val="auto"/>
          <w:highlight w:val="none"/>
        </w:rPr>
        <w:t>如因发包人或承包人违约造成安全事故，将依法追究责任。</w:t>
      </w:r>
    </w:p>
    <w:p>
      <w:pPr>
        <w:pStyle w:val="53"/>
        <w:numPr>
          <w:ilvl w:val="0"/>
          <w:numId w:val="24"/>
        </w:numPr>
        <w:tabs>
          <w:tab w:val="left" w:pos="839"/>
        </w:tabs>
        <w:spacing w:before="172"/>
        <w:ind w:left="838" w:hanging="163"/>
        <w:rPr>
          <w:color w:val="auto"/>
          <w:sz w:val="21"/>
          <w:highlight w:val="none"/>
        </w:rPr>
      </w:pPr>
      <w:r>
        <w:rPr>
          <w:color w:val="auto"/>
          <w:sz w:val="21"/>
          <w:highlight w:val="none"/>
        </w:rPr>
        <w:t>本合同由双方法定代表人或其授权的代理人签署并加盖单位章后生效，全部工程竣工验收后失</w:t>
      </w:r>
    </w:p>
    <w:p>
      <w:pPr>
        <w:pStyle w:val="2"/>
        <w:spacing w:before="171"/>
        <w:ind w:left="251"/>
        <w:rPr>
          <w:color w:val="auto"/>
          <w:highlight w:val="none"/>
        </w:rPr>
      </w:pPr>
      <w:r>
        <w:rPr>
          <w:color w:val="auto"/>
          <w:highlight w:val="none"/>
        </w:rPr>
        <w:t>效。</w:t>
      </w:r>
    </w:p>
    <w:p>
      <w:pPr>
        <w:pStyle w:val="53"/>
        <w:numPr>
          <w:ilvl w:val="0"/>
          <w:numId w:val="24"/>
        </w:numPr>
        <w:tabs>
          <w:tab w:val="left" w:pos="839"/>
        </w:tabs>
        <w:spacing w:before="170"/>
        <w:ind w:left="838" w:hanging="163"/>
        <w:rPr>
          <w:color w:val="auto"/>
          <w:sz w:val="21"/>
          <w:highlight w:val="none"/>
        </w:rPr>
      </w:pPr>
      <w:r>
        <w:rPr>
          <w:color w:val="auto"/>
          <w:sz w:val="21"/>
          <w:highlight w:val="none"/>
        </w:rPr>
        <w:t>本合同正本—式二份，副本份，合同双方各执正本—份，副本份，当正本与副本的内容不一致</w:t>
      </w:r>
    </w:p>
    <w:p>
      <w:pPr>
        <w:pStyle w:val="2"/>
        <w:spacing w:before="11"/>
        <w:rPr>
          <w:color w:val="auto"/>
          <w:sz w:val="7"/>
          <w:highlight w:val="none"/>
        </w:rPr>
      </w:pPr>
    </w:p>
    <w:p>
      <w:pPr>
        <w:pStyle w:val="2"/>
        <w:spacing w:before="72"/>
        <w:ind w:left="251"/>
        <w:rPr>
          <w:color w:val="auto"/>
          <w:highlight w:val="none"/>
        </w:rPr>
      </w:pPr>
      <w:r>
        <w:rPr>
          <w:color w:val="auto"/>
          <w:highlight w:val="none"/>
        </w:rPr>
        <w:t>时，以正本为准。</w:t>
      </w:r>
    </w:p>
    <w:p>
      <w:pPr>
        <w:pStyle w:val="2"/>
        <w:rPr>
          <w:color w:val="auto"/>
          <w:sz w:val="20"/>
          <w:highlight w:val="none"/>
        </w:rPr>
      </w:pPr>
    </w:p>
    <w:p>
      <w:pPr>
        <w:pStyle w:val="2"/>
        <w:rPr>
          <w:color w:val="auto"/>
          <w:sz w:val="20"/>
          <w:highlight w:val="none"/>
        </w:rPr>
      </w:pPr>
    </w:p>
    <w:p>
      <w:pPr>
        <w:pStyle w:val="2"/>
        <w:tabs>
          <w:tab w:val="left" w:pos="2462"/>
          <w:tab w:val="left" w:pos="4982"/>
          <w:tab w:val="left" w:pos="6874"/>
        </w:tabs>
        <w:spacing w:before="128"/>
        <w:ind w:left="676"/>
        <w:rPr>
          <w:color w:val="auto"/>
          <w:highlight w:val="none"/>
        </w:rPr>
      </w:pPr>
      <w:r>
        <w:rPr>
          <w:color w:val="auto"/>
          <w:highlight w:val="none"/>
        </w:rPr>
        <w:t>发包</w:t>
      </w:r>
      <w:r>
        <w:rPr>
          <w:color w:val="auto"/>
          <w:spacing w:val="-3"/>
          <w:highlight w:val="none"/>
        </w:rPr>
        <w:t>人</w:t>
      </w:r>
      <w:r>
        <w:rPr>
          <w:color w:val="auto"/>
          <w:highlight w:val="none"/>
        </w:rPr>
        <w:t>：</w:t>
      </w:r>
      <w:r>
        <w:rPr>
          <w:rFonts w:ascii="Times New Roman" w:eastAsia="Times New Roman"/>
          <w:color w:val="auto"/>
          <w:highlight w:val="none"/>
          <w:u w:val="single"/>
        </w:rPr>
        <w:tab/>
      </w:r>
      <w:r>
        <w:rPr>
          <w:color w:val="auto"/>
          <w:highlight w:val="none"/>
        </w:rPr>
        <w:t>（</w:t>
      </w:r>
      <w:r>
        <w:rPr>
          <w:color w:val="auto"/>
          <w:spacing w:val="-3"/>
          <w:highlight w:val="none"/>
        </w:rPr>
        <w:t>盖单</w:t>
      </w:r>
      <w:r>
        <w:rPr>
          <w:color w:val="auto"/>
          <w:highlight w:val="none"/>
        </w:rPr>
        <w:t>位章）</w:t>
      </w:r>
      <w:r>
        <w:rPr>
          <w:color w:val="auto"/>
          <w:highlight w:val="none"/>
        </w:rPr>
        <w:tab/>
      </w:r>
      <w:r>
        <w:rPr>
          <w:color w:val="auto"/>
          <w:highlight w:val="none"/>
        </w:rPr>
        <w:t>承</w:t>
      </w:r>
      <w:r>
        <w:rPr>
          <w:color w:val="auto"/>
          <w:spacing w:val="-3"/>
          <w:highlight w:val="none"/>
        </w:rPr>
        <w:t>包</w:t>
      </w:r>
      <w:r>
        <w:rPr>
          <w:color w:val="auto"/>
          <w:highlight w:val="none"/>
        </w:rPr>
        <w:t>人：</w:t>
      </w:r>
      <w:r>
        <w:rPr>
          <w:rFonts w:ascii="Times New Roman" w:eastAsia="Times New Roman"/>
          <w:color w:val="auto"/>
          <w:highlight w:val="none"/>
          <w:u w:val="single"/>
        </w:rPr>
        <w:tab/>
      </w:r>
      <w:r>
        <w:rPr>
          <w:color w:val="auto"/>
          <w:highlight w:val="none"/>
        </w:rPr>
        <w:t>（</w:t>
      </w:r>
      <w:r>
        <w:rPr>
          <w:color w:val="auto"/>
          <w:spacing w:val="-3"/>
          <w:highlight w:val="none"/>
        </w:rPr>
        <w:t>盖</w:t>
      </w:r>
      <w:r>
        <w:rPr>
          <w:color w:val="auto"/>
          <w:highlight w:val="none"/>
        </w:rPr>
        <w:t>单</w:t>
      </w:r>
      <w:r>
        <w:rPr>
          <w:color w:val="auto"/>
          <w:spacing w:val="-3"/>
          <w:highlight w:val="none"/>
        </w:rPr>
        <w:t>位</w:t>
      </w:r>
      <w:r>
        <w:rPr>
          <w:color w:val="auto"/>
          <w:highlight w:val="none"/>
        </w:rPr>
        <w:t>章）</w:t>
      </w:r>
    </w:p>
    <w:p>
      <w:pPr>
        <w:pStyle w:val="2"/>
        <w:spacing w:before="5"/>
        <w:rPr>
          <w:color w:val="auto"/>
          <w:sz w:val="10"/>
          <w:highlight w:val="none"/>
        </w:rPr>
      </w:pPr>
    </w:p>
    <w:p>
      <w:pPr>
        <w:pStyle w:val="2"/>
        <w:tabs>
          <w:tab w:val="left" w:pos="3933"/>
          <w:tab w:val="left" w:pos="8134"/>
        </w:tabs>
        <w:spacing w:before="78"/>
        <w:ind w:left="676"/>
        <w:rPr>
          <w:color w:val="auto"/>
          <w:highlight w:val="none"/>
        </w:rPr>
      </w:pPr>
      <w:r>
        <w:rPr>
          <w:color w:val="auto"/>
          <w:highlight w:val="none"/>
        </w:rPr>
        <w:t>法定</w:t>
      </w:r>
      <w:r>
        <w:rPr>
          <w:color w:val="auto"/>
          <w:spacing w:val="-3"/>
          <w:highlight w:val="none"/>
        </w:rPr>
        <w:t>代</w:t>
      </w:r>
      <w:r>
        <w:rPr>
          <w:color w:val="auto"/>
          <w:highlight w:val="none"/>
        </w:rPr>
        <w:t>表</w:t>
      </w:r>
      <w:r>
        <w:rPr>
          <w:color w:val="auto"/>
          <w:spacing w:val="-3"/>
          <w:highlight w:val="none"/>
        </w:rPr>
        <w:t>人</w:t>
      </w:r>
      <w:r>
        <w:rPr>
          <w:color w:val="auto"/>
          <w:highlight w:val="none"/>
        </w:rPr>
        <w:t>或</w:t>
      </w:r>
      <w:r>
        <w:rPr>
          <w:color w:val="auto"/>
          <w:spacing w:val="-3"/>
          <w:highlight w:val="none"/>
        </w:rPr>
        <w:t>其</w:t>
      </w:r>
      <w:r>
        <w:rPr>
          <w:color w:val="auto"/>
          <w:highlight w:val="none"/>
        </w:rPr>
        <w:t>委</w:t>
      </w:r>
      <w:r>
        <w:rPr>
          <w:color w:val="auto"/>
          <w:spacing w:val="-3"/>
          <w:highlight w:val="none"/>
        </w:rPr>
        <w:t>托</w:t>
      </w:r>
      <w:r>
        <w:rPr>
          <w:color w:val="auto"/>
          <w:highlight w:val="none"/>
        </w:rPr>
        <w:t>代</w:t>
      </w:r>
      <w:r>
        <w:rPr>
          <w:color w:val="auto"/>
          <w:spacing w:val="-3"/>
          <w:highlight w:val="none"/>
        </w:rPr>
        <w:t>理</w:t>
      </w:r>
      <w:r>
        <w:rPr>
          <w:color w:val="auto"/>
          <w:highlight w:val="none"/>
        </w:rPr>
        <w:t>人：</w:t>
      </w:r>
      <w:r>
        <w:rPr>
          <w:rFonts w:ascii="Times New Roman" w:eastAsia="Times New Roman"/>
          <w:color w:val="auto"/>
          <w:highlight w:val="none"/>
          <w:u w:val="single"/>
        </w:rPr>
        <w:tab/>
      </w:r>
      <w:r>
        <w:rPr>
          <w:color w:val="auto"/>
          <w:highlight w:val="none"/>
        </w:rPr>
        <w:t>（</w:t>
      </w:r>
      <w:r>
        <w:rPr>
          <w:color w:val="auto"/>
          <w:spacing w:val="-3"/>
          <w:highlight w:val="none"/>
        </w:rPr>
        <w:t>签</w:t>
      </w:r>
      <w:r>
        <w:rPr>
          <w:color w:val="auto"/>
          <w:highlight w:val="none"/>
        </w:rPr>
        <w:t xml:space="preserve">字） </w:t>
      </w:r>
      <w:r>
        <w:rPr>
          <w:color w:val="auto"/>
          <w:spacing w:val="11"/>
          <w:highlight w:val="none"/>
        </w:rPr>
        <w:t xml:space="preserve"> </w:t>
      </w:r>
      <w:r>
        <w:rPr>
          <w:color w:val="auto"/>
          <w:spacing w:val="-3"/>
          <w:highlight w:val="none"/>
        </w:rPr>
        <w:t>法定</w:t>
      </w:r>
      <w:r>
        <w:rPr>
          <w:color w:val="auto"/>
          <w:highlight w:val="none"/>
        </w:rPr>
        <w:t>代表</w:t>
      </w:r>
      <w:r>
        <w:rPr>
          <w:color w:val="auto"/>
          <w:spacing w:val="-3"/>
          <w:highlight w:val="none"/>
        </w:rPr>
        <w:t>人</w:t>
      </w:r>
      <w:r>
        <w:rPr>
          <w:color w:val="auto"/>
          <w:highlight w:val="none"/>
        </w:rPr>
        <w:t>或</w:t>
      </w:r>
      <w:r>
        <w:rPr>
          <w:color w:val="auto"/>
          <w:spacing w:val="-3"/>
          <w:highlight w:val="none"/>
        </w:rPr>
        <w:t>其</w:t>
      </w:r>
      <w:r>
        <w:rPr>
          <w:color w:val="auto"/>
          <w:highlight w:val="none"/>
        </w:rPr>
        <w:t>委</w:t>
      </w:r>
      <w:r>
        <w:rPr>
          <w:color w:val="auto"/>
          <w:spacing w:val="-3"/>
          <w:highlight w:val="none"/>
        </w:rPr>
        <w:t>托</w:t>
      </w:r>
      <w:r>
        <w:rPr>
          <w:color w:val="auto"/>
          <w:highlight w:val="none"/>
        </w:rPr>
        <w:t>代</w:t>
      </w:r>
      <w:r>
        <w:rPr>
          <w:color w:val="auto"/>
          <w:spacing w:val="-3"/>
          <w:highlight w:val="none"/>
        </w:rPr>
        <w:t>理</w:t>
      </w:r>
      <w:r>
        <w:rPr>
          <w:color w:val="auto"/>
          <w:highlight w:val="none"/>
        </w:rPr>
        <w:t>人</w:t>
      </w:r>
      <w:r>
        <w:rPr>
          <w:color w:val="auto"/>
          <w:spacing w:val="-3"/>
          <w:highlight w:val="none"/>
        </w:rPr>
        <w:t>：</w:t>
      </w:r>
      <w:r>
        <w:rPr>
          <w:rFonts w:ascii="Times New Roman" w:eastAsia="Times New Roman"/>
          <w:color w:val="auto"/>
          <w:spacing w:val="-3"/>
          <w:highlight w:val="none"/>
          <w:u w:val="single"/>
        </w:rPr>
        <w:tab/>
      </w:r>
      <w:r>
        <w:rPr>
          <w:color w:val="auto"/>
          <w:spacing w:val="-3"/>
          <w:highlight w:val="none"/>
        </w:rPr>
        <w:t>（</w:t>
      </w:r>
      <w:r>
        <w:rPr>
          <w:color w:val="auto"/>
          <w:highlight w:val="none"/>
        </w:rPr>
        <w:t>签</w:t>
      </w:r>
      <w:r>
        <w:rPr>
          <w:color w:val="auto"/>
          <w:spacing w:val="-3"/>
          <w:highlight w:val="none"/>
        </w:rPr>
        <w:t>字</w:t>
      </w:r>
      <w:r>
        <w:rPr>
          <w:color w:val="auto"/>
          <w:highlight w:val="none"/>
        </w:rPr>
        <w:t>）</w:t>
      </w:r>
    </w:p>
    <w:p>
      <w:pPr>
        <w:pStyle w:val="2"/>
        <w:spacing w:before="11"/>
        <w:rPr>
          <w:color w:val="auto"/>
          <w:sz w:val="10"/>
          <w:highlight w:val="none"/>
        </w:rPr>
      </w:pPr>
    </w:p>
    <w:p>
      <w:pPr>
        <w:pStyle w:val="2"/>
        <w:tabs>
          <w:tab w:val="left" w:pos="5402"/>
          <w:tab w:val="left" w:pos="5928"/>
          <w:tab w:val="left" w:pos="6454"/>
        </w:tabs>
        <w:spacing w:before="72"/>
        <w:ind w:left="1098"/>
        <w:rPr>
          <w:color w:val="auto"/>
          <w:highlight w:val="none"/>
        </w:rPr>
      </w:pPr>
      <w:r>
        <w:rPr>
          <w:color w:val="auto"/>
          <w:highlight w:val="none"/>
        </w:rPr>
        <w:t>年</w:t>
      </w:r>
      <w:r>
        <w:rPr>
          <w:color w:val="auto"/>
          <w:spacing w:val="104"/>
          <w:highlight w:val="none"/>
        </w:rPr>
        <w:t xml:space="preserve"> </w:t>
      </w:r>
      <w:r>
        <w:rPr>
          <w:color w:val="auto"/>
          <w:highlight w:val="none"/>
        </w:rPr>
        <w:t>月</w:t>
      </w:r>
      <w:r>
        <w:rPr>
          <w:color w:val="auto"/>
          <w:spacing w:val="104"/>
          <w:highlight w:val="none"/>
        </w:rPr>
        <w:t xml:space="preserve"> </w:t>
      </w:r>
      <w:r>
        <w:rPr>
          <w:color w:val="auto"/>
          <w:highlight w:val="none"/>
        </w:rPr>
        <w:t>日</w:t>
      </w:r>
      <w:r>
        <w:rPr>
          <w:color w:val="auto"/>
          <w:highlight w:val="none"/>
        </w:rPr>
        <w:tab/>
      </w:r>
      <w:r>
        <w:rPr>
          <w:color w:val="auto"/>
          <w:highlight w:val="none"/>
        </w:rPr>
        <w:t>年</w:t>
      </w:r>
      <w:r>
        <w:rPr>
          <w:color w:val="auto"/>
          <w:highlight w:val="none"/>
        </w:rPr>
        <w:tab/>
      </w:r>
      <w:r>
        <w:rPr>
          <w:color w:val="auto"/>
          <w:highlight w:val="none"/>
        </w:rPr>
        <w:t>月</w:t>
      </w:r>
      <w:r>
        <w:rPr>
          <w:color w:val="auto"/>
          <w:highlight w:val="none"/>
        </w:rPr>
        <w:tab/>
      </w:r>
      <w:r>
        <w:rPr>
          <w:color w:val="auto"/>
          <w:highlight w:val="none"/>
        </w:rPr>
        <w:t>日</w:t>
      </w:r>
    </w:p>
    <w:p>
      <w:pPr>
        <w:rPr>
          <w:color w:val="auto"/>
          <w:highlight w:val="none"/>
        </w:rPr>
        <w:sectPr>
          <w:pgSz w:w="11910" w:h="16850"/>
          <w:pgMar w:top="1280" w:right="860" w:bottom="1040" w:left="1280" w:header="877" w:footer="853" w:gutter="0"/>
          <w:cols w:space="720" w:num="1"/>
        </w:sectPr>
      </w:pPr>
    </w:p>
    <w:p>
      <w:pPr>
        <w:pStyle w:val="2"/>
        <w:spacing w:before="3"/>
        <w:rPr>
          <w:color w:val="auto"/>
          <w:sz w:val="29"/>
          <w:highlight w:val="none"/>
        </w:rPr>
      </w:pPr>
    </w:p>
    <w:p>
      <w:pPr>
        <w:bidi w:val="0"/>
        <w:rPr>
          <w:b/>
          <w:bCs/>
          <w:color w:val="auto"/>
          <w:highlight w:val="none"/>
        </w:rPr>
      </w:pPr>
      <w:r>
        <w:rPr>
          <w:b/>
          <w:bCs/>
          <w:color w:val="auto"/>
          <w:highlight w:val="none"/>
        </w:rPr>
        <w:t>附件四 项目经理委托书</w:t>
      </w:r>
    </w:p>
    <w:p>
      <w:pPr>
        <w:pStyle w:val="2"/>
        <w:spacing w:before="1"/>
        <w:rPr>
          <w:b w:val="0"/>
          <w:bCs/>
          <w:color w:val="auto"/>
          <w:sz w:val="27"/>
          <w:highlight w:val="none"/>
        </w:rPr>
      </w:pPr>
    </w:p>
    <w:p>
      <w:pPr>
        <w:bidi w:val="0"/>
        <w:jc w:val="center"/>
        <w:rPr>
          <w:b/>
          <w:bCs w:val="0"/>
          <w:color w:val="auto"/>
          <w:sz w:val="24"/>
          <w:szCs w:val="24"/>
          <w:highlight w:val="none"/>
        </w:rPr>
      </w:pPr>
      <w:r>
        <w:rPr>
          <w:b/>
          <w:bCs w:val="0"/>
          <w:color w:val="auto"/>
          <w:highlight w:val="none"/>
        </w:rPr>
        <w:t>（</w:t>
      </w:r>
      <w:r>
        <w:rPr>
          <w:b/>
          <w:bCs w:val="0"/>
          <w:color w:val="auto"/>
          <w:sz w:val="24"/>
          <w:szCs w:val="24"/>
          <w:highlight w:val="none"/>
        </w:rPr>
        <w:t>承包人全称）</w:t>
      </w:r>
    </w:p>
    <w:p>
      <w:pPr>
        <w:bidi w:val="0"/>
        <w:jc w:val="center"/>
        <w:rPr>
          <w:b/>
          <w:bCs w:val="0"/>
          <w:color w:val="auto"/>
          <w:sz w:val="24"/>
          <w:szCs w:val="24"/>
          <w:highlight w:val="none"/>
        </w:rPr>
      </w:pPr>
      <w:r>
        <w:rPr>
          <w:b/>
          <w:bCs w:val="0"/>
          <w:color w:val="auto"/>
          <w:sz w:val="24"/>
          <w:szCs w:val="24"/>
          <w:highlight w:val="none"/>
        </w:rPr>
        <w:t>（合同工程名称）项目经理委任书</w:t>
      </w:r>
    </w:p>
    <w:p>
      <w:pPr>
        <w:pStyle w:val="2"/>
        <w:rPr>
          <w:b/>
          <w:color w:val="auto"/>
          <w:sz w:val="24"/>
          <w:highlight w:val="none"/>
        </w:rPr>
      </w:pPr>
    </w:p>
    <w:p>
      <w:pPr>
        <w:pStyle w:val="2"/>
        <w:spacing w:before="4"/>
        <w:rPr>
          <w:b/>
          <w:color w:val="auto"/>
          <w:sz w:val="29"/>
          <w:highlight w:val="none"/>
        </w:rPr>
      </w:pPr>
    </w:p>
    <w:p>
      <w:pPr>
        <w:pStyle w:val="2"/>
        <w:tabs>
          <w:tab w:val="left" w:pos="2248"/>
        </w:tabs>
        <w:ind w:left="251"/>
        <w:rPr>
          <w:color w:val="auto"/>
          <w:highlight w:val="none"/>
        </w:rPr>
      </w:pPr>
      <w:r>
        <w:rPr>
          <w:color w:val="auto"/>
          <w:highlight w:val="none"/>
        </w:rPr>
        <w:t>致：</w:t>
      </w:r>
      <w:r>
        <w:rPr>
          <w:rFonts w:ascii="Times New Roman" w:eastAsia="Times New Roman"/>
          <w:color w:val="auto"/>
          <w:highlight w:val="none"/>
          <w:u w:val="single"/>
        </w:rPr>
        <w:tab/>
      </w:r>
      <w:r>
        <w:rPr>
          <w:color w:val="auto"/>
          <w:spacing w:val="-3"/>
          <w:highlight w:val="none"/>
        </w:rPr>
        <w:t>（发</w:t>
      </w:r>
      <w:r>
        <w:rPr>
          <w:color w:val="auto"/>
          <w:highlight w:val="none"/>
        </w:rPr>
        <w:t>包人</w:t>
      </w:r>
      <w:r>
        <w:rPr>
          <w:color w:val="auto"/>
          <w:spacing w:val="-3"/>
          <w:highlight w:val="none"/>
        </w:rPr>
        <w:t>全</w:t>
      </w:r>
      <w:r>
        <w:rPr>
          <w:color w:val="auto"/>
          <w:highlight w:val="none"/>
        </w:rPr>
        <w:t>称）</w:t>
      </w:r>
    </w:p>
    <w:p>
      <w:pPr>
        <w:pStyle w:val="2"/>
        <w:spacing w:before="11"/>
        <w:rPr>
          <w:color w:val="auto"/>
          <w:sz w:val="10"/>
          <w:highlight w:val="none"/>
        </w:rPr>
      </w:pPr>
    </w:p>
    <w:p>
      <w:pPr>
        <w:pStyle w:val="2"/>
        <w:spacing w:before="72"/>
        <w:ind w:left="534"/>
        <w:rPr>
          <w:color w:val="auto"/>
          <w:highlight w:val="none"/>
        </w:rPr>
      </w:pPr>
      <w:r>
        <w:rPr>
          <w:color w:val="auto"/>
          <w:highlight w:val="none"/>
          <w:u w:val="single"/>
        </w:rPr>
        <w:t>（承包人全称）</w:t>
      </w:r>
      <w:r>
        <w:rPr>
          <w:color w:val="auto"/>
          <w:highlight w:val="none"/>
        </w:rPr>
        <w:t>法定代表人</w:t>
      </w:r>
      <w:r>
        <w:rPr>
          <w:color w:val="auto"/>
          <w:highlight w:val="none"/>
          <w:u w:val="single"/>
        </w:rPr>
        <w:t>（职务、姓名）</w:t>
      </w:r>
      <w:r>
        <w:rPr>
          <w:color w:val="auto"/>
          <w:highlight w:val="none"/>
        </w:rPr>
        <w:t>代表本单位委任</w:t>
      </w:r>
      <w:r>
        <w:rPr>
          <w:color w:val="auto"/>
          <w:highlight w:val="none"/>
          <w:u w:val="single"/>
        </w:rPr>
        <w:t>（职务、姓名）</w:t>
      </w:r>
      <w:r>
        <w:rPr>
          <w:color w:val="auto"/>
          <w:highlight w:val="none"/>
        </w:rPr>
        <w:t>为</w:t>
      </w:r>
      <w:r>
        <w:rPr>
          <w:color w:val="auto"/>
          <w:highlight w:val="none"/>
          <w:u w:val="single"/>
        </w:rPr>
        <w:t>（合同工程名称）</w:t>
      </w:r>
      <w:r>
        <w:rPr>
          <w:color w:val="auto"/>
          <w:highlight w:val="none"/>
        </w:rPr>
        <w:t>的</w:t>
      </w:r>
    </w:p>
    <w:p>
      <w:pPr>
        <w:pStyle w:val="2"/>
        <w:spacing w:before="11"/>
        <w:rPr>
          <w:color w:val="auto"/>
          <w:sz w:val="10"/>
          <w:highlight w:val="none"/>
        </w:rPr>
      </w:pPr>
    </w:p>
    <w:p>
      <w:pPr>
        <w:pStyle w:val="2"/>
        <w:spacing w:before="72" w:line="427" w:lineRule="auto"/>
        <w:ind w:left="251" w:right="264"/>
        <w:rPr>
          <w:color w:val="auto"/>
          <w:highlight w:val="none"/>
        </w:rPr>
      </w:pPr>
      <w:r>
        <w:rPr>
          <w:color w:val="auto"/>
          <w:highlight w:val="none"/>
        </w:rPr>
        <w:t>项目经理。凡本合同执行中的有关技术、工程进度、现场管理、质量检验、结算与支付等方面工作， 由</w:t>
      </w:r>
      <w:r>
        <w:rPr>
          <w:color w:val="auto"/>
          <w:highlight w:val="none"/>
          <w:u w:val="single"/>
        </w:rPr>
        <w:t>（姓名）</w:t>
      </w:r>
      <w:r>
        <w:rPr>
          <w:color w:val="auto"/>
          <w:highlight w:val="none"/>
        </w:rPr>
        <w:t>代表本单位全面负责。</w:t>
      </w:r>
    </w:p>
    <w:p>
      <w:pPr>
        <w:pStyle w:val="2"/>
        <w:rPr>
          <w:color w:val="auto"/>
          <w:sz w:val="20"/>
          <w:highlight w:val="none"/>
        </w:rPr>
      </w:pPr>
    </w:p>
    <w:p>
      <w:pPr>
        <w:pStyle w:val="2"/>
        <w:spacing w:before="8"/>
        <w:rPr>
          <w:color w:val="auto"/>
          <w:sz w:val="17"/>
          <w:highlight w:val="none"/>
        </w:rPr>
      </w:pPr>
    </w:p>
    <w:p>
      <w:pPr>
        <w:pStyle w:val="2"/>
        <w:tabs>
          <w:tab w:val="left" w:pos="2949"/>
        </w:tabs>
        <w:ind w:left="534"/>
        <w:rPr>
          <w:color w:val="auto"/>
          <w:highlight w:val="none"/>
        </w:rPr>
      </w:pPr>
      <w:r>
        <w:rPr>
          <w:color w:val="auto"/>
          <w:highlight w:val="none"/>
        </w:rPr>
        <w:t>承包</w:t>
      </w:r>
      <w:r>
        <w:rPr>
          <w:color w:val="auto"/>
          <w:spacing w:val="-3"/>
          <w:highlight w:val="none"/>
        </w:rPr>
        <w:t>人</w:t>
      </w:r>
      <w:r>
        <w:rPr>
          <w:color w:val="auto"/>
          <w:highlight w:val="none"/>
        </w:rPr>
        <w:t>：</w:t>
      </w:r>
      <w:r>
        <w:rPr>
          <w:rFonts w:ascii="Times New Roman" w:eastAsia="Times New Roman"/>
          <w:color w:val="auto"/>
          <w:highlight w:val="none"/>
          <w:u w:val="single"/>
        </w:rPr>
        <w:tab/>
      </w:r>
      <w:r>
        <w:rPr>
          <w:color w:val="auto"/>
          <w:highlight w:val="none"/>
        </w:rPr>
        <w:t>（盖</w:t>
      </w:r>
      <w:r>
        <w:rPr>
          <w:color w:val="auto"/>
          <w:spacing w:val="-3"/>
          <w:highlight w:val="none"/>
        </w:rPr>
        <w:t>单</w:t>
      </w:r>
      <w:r>
        <w:rPr>
          <w:color w:val="auto"/>
          <w:highlight w:val="none"/>
        </w:rPr>
        <w:t>位</w:t>
      </w:r>
      <w:r>
        <w:rPr>
          <w:color w:val="auto"/>
          <w:spacing w:val="-3"/>
          <w:highlight w:val="none"/>
        </w:rPr>
        <w:t>章</w:t>
      </w:r>
      <w:r>
        <w:rPr>
          <w:color w:val="auto"/>
          <w:highlight w:val="none"/>
        </w:rPr>
        <w:t>）</w:t>
      </w:r>
    </w:p>
    <w:p>
      <w:pPr>
        <w:pStyle w:val="2"/>
        <w:spacing w:before="5"/>
        <w:rPr>
          <w:color w:val="auto"/>
          <w:sz w:val="10"/>
          <w:highlight w:val="none"/>
        </w:rPr>
      </w:pPr>
    </w:p>
    <w:p>
      <w:pPr>
        <w:pStyle w:val="2"/>
        <w:tabs>
          <w:tab w:val="left" w:pos="3372"/>
        </w:tabs>
        <w:spacing w:before="78"/>
        <w:ind w:left="534"/>
        <w:rPr>
          <w:color w:val="auto"/>
          <w:highlight w:val="none"/>
        </w:rPr>
      </w:pPr>
      <w:r>
        <w:rPr>
          <w:color w:val="auto"/>
          <w:highlight w:val="none"/>
        </w:rPr>
        <w:t>法定</w:t>
      </w:r>
      <w:r>
        <w:rPr>
          <w:color w:val="auto"/>
          <w:spacing w:val="-3"/>
          <w:highlight w:val="none"/>
        </w:rPr>
        <w:t>代</w:t>
      </w:r>
      <w:r>
        <w:rPr>
          <w:color w:val="auto"/>
          <w:highlight w:val="none"/>
        </w:rPr>
        <w:t>表</w:t>
      </w:r>
      <w:r>
        <w:rPr>
          <w:color w:val="auto"/>
          <w:spacing w:val="-3"/>
          <w:highlight w:val="none"/>
        </w:rPr>
        <w:t>人</w:t>
      </w:r>
      <w:r>
        <w:rPr>
          <w:color w:val="auto"/>
          <w:highlight w:val="none"/>
        </w:rPr>
        <w:t>：</w:t>
      </w:r>
      <w:r>
        <w:rPr>
          <w:rFonts w:ascii="Times New Roman" w:eastAsia="Times New Roman"/>
          <w:color w:val="auto"/>
          <w:highlight w:val="none"/>
          <w:u w:val="single"/>
        </w:rPr>
        <w:tab/>
      </w:r>
      <w:r>
        <w:rPr>
          <w:color w:val="auto"/>
          <w:spacing w:val="-3"/>
          <w:highlight w:val="none"/>
        </w:rPr>
        <w:t>（</w:t>
      </w:r>
      <w:r>
        <w:rPr>
          <w:color w:val="auto"/>
          <w:highlight w:val="none"/>
        </w:rPr>
        <w:t>职</w:t>
      </w:r>
      <w:r>
        <w:rPr>
          <w:color w:val="auto"/>
          <w:spacing w:val="-3"/>
          <w:highlight w:val="none"/>
        </w:rPr>
        <w:t>务</w:t>
      </w:r>
      <w:r>
        <w:rPr>
          <w:color w:val="auto"/>
          <w:highlight w:val="none"/>
        </w:rPr>
        <w:t>）</w:t>
      </w:r>
    </w:p>
    <w:p>
      <w:pPr>
        <w:pStyle w:val="2"/>
        <w:spacing w:before="4"/>
        <w:rPr>
          <w:color w:val="auto"/>
          <w:sz w:val="10"/>
          <w:highlight w:val="none"/>
        </w:rPr>
      </w:pPr>
    </w:p>
    <w:p>
      <w:pPr>
        <w:pStyle w:val="2"/>
        <w:tabs>
          <w:tab w:val="left" w:pos="2894"/>
        </w:tabs>
        <w:spacing w:before="79"/>
        <w:ind w:left="534"/>
        <w:rPr>
          <w:rFonts w:ascii="Times New Roman" w:eastAsia="Times New Roman"/>
          <w:color w:val="auto"/>
          <w:highlight w:val="none"/>
        </w:rPr>
      </w:pPr>
      <w:r>
        <w:rPr>
          <w:color w:val="auto"/>
          <w:spacing w:val="-1"/>
          <w:highlight w:val="none"/>
        </w:rPr>
        <w:t>（</w:t>
      </w:r>
      <w:r>
        <w:rPr>
          <w:color w:val="auto"/>
          <w:highlight w:val="none"/>
        </w:rPr>
        <w:t>姓</w:t>
      </w:r>
      <w:r>
        <w:rPr>
          <w:color w:val="auto"/>
          <w:spacing w:val="-3"/>
          <w:highlight w:val="none"/>
        </w:rPr>
        <w:t>名</w:t>
      </w:r>
      <w:r>
        <w:rPr>
          <w:color w:val="auto"/>
          <w:highlight w:val="none"/>
        </w:rPr>
        <w:t>）</w:t>
      </w:r>
      <w:r>
        <w:rPr>
          <w:rFonts w:ascii="Times New Roman" w:eastAsia="Times New Roman"/>
          <w:color w:val="auto"/>
          <w:highlight w:val="none"/>
          <w:u w:val="single"/>
        </w:rPr>
        <w:t xml:space="preserve"> </w:t>
      </w:r>
      <w:r>
        <w:rPr>
          <w:rFonts w:ascii="Times New Roman" w:eastAsia="Times New Roman"/>
          <w:color w:val="auto"/>
          <w:highlight w:val="none"/>
          <w:u w:val="single"/>
        </w:rPr>
        <w:tab/>
      </w:r>
    </w:p>
    <w:p>
      <w:pPr>
        <w:pStyle w:val="2"/>
        <w:spacing w:before="6"/>
        <w:rPr>
          <w:rFonts w:ascii="Times New Roman"/>
          <w:color w:val="auto"/>
          <w:sz w:val="11"/>
          <w:highlight w:val="none"/>
        </w:rPr>
      </w:pPr>
    </w:p>
    <w:p>
      <w:pPr>
        <w:pStyle w:val="2"/>
        <w:tabs>
          <w:tab w:val="left" w:pos="2577"/>
        </w:tabs>
        <w:spacing w:before="78"/>
        <w:ind w:left="534"/>
        <w:rPr>
          <w:rFonts w:ascii="Times New Roman" w:eastAsia="Times New Roman"/>
          <w:color w:val="auto"/>
          <w:highlight w:val="none"/>
        </w:rPr>
      </w:pPr>
      <w:r>
        <w:rPr>
          <w:color w:val="auto"/>
          <w:spacing w:val="-1"/>
          <w:highlight w:val="none"/>
        </w:rPr>
        <w:t>（</w:t>
      </w:r>
      <w:r>
        <w:rPr>
          <w:color w:val="auto"/>
          <w:highlight w:val="none"/>
        </w:rPr>
        <w:t>签</w:t>
      </w:r>
      <w:r>
        <w:rPr>
          <w:color w:val="auto"/>
          <w:spacing w:val="-3"/>
          <w:highlight w:val="none"/>
        </w:rPr>
        <w:t>字</w:t>
      </w:r>
      <w:r>
        <w:rPr>
          <w:color w:val="auto"/>
          <w:highlight w:val="none"/>
        </w:rPr>
        <w:t>）</w:t>
      </w:r>
      <w:r>
        <w:rPr>
          <w:rFonts w:ascii="Times New Roman" w:eastAsia="Times New Roman"/>
          <w:color w:val="auto"/>
          <w:highlight w:val="none"/>
          <w:u w:val="single"/>
        </w:rPr>
        <w:t xml:space="preserve"> </w:t>
      </w:r>
      <w:r>
        <w:rPr>
          <w:rFonts w:ascii="Times New Roman" w:eastAsia="Times New Roman"/>
          <w:color w:val="auto"/>
          <w:highlight w:val="none"/>
          <w:u w:val="single"/>
        </w:rPr>
        <w:tab/>
      </w:r>
    </w:p>
    <w:p>
      <w:pPr>
        <w:pStyle w:val="2"/>
        <w:rPr>
          <w:rFonts w:ascii="Times New Roman"/>
          <w:color w:val="auto"/>
          <w:sz w:val="20"/>
          <w:highlight w:val="none"/>
        </w:rPr>
      </w:pPr>
    </w:p>
    <w:p>
      <w:pPr>
        <w:pStyle w:val="2"/>
        <w:rPr>
          <w:rFonts w:ascii="Times New Roman"/>
          <w:color w:val="auto"/>
          <w:sz w:val="20"/>
          <w:highlight w:val="none"/>
        </w:rPr>
      </w:pPr>
    </w:p>
    <w:p>
      <w:pPr>
        <w:pStyle w:val="2"/>
        <w:spacing w:before="1"/>
        <w:rPr>
          <w:rFonts w:ascii="Times New Roman"/>
          <w:color w:val="auto"/>
          <w:sz w:val="20"/>
          <w:highlight w:val="none"/>
        </w:rPr>
      </w:pPr>
    </w:p>
    <w:p>
      <w:pPr>
        <w:pStyle w:val="2"/>
        <w:tabs>
          <w:tab w:val="left" w:pos="1691"/>
          <w:tab w:val="left" w:pos="2217"/>
          <w:tab w:val="left" w:pos="2740"/>
        </w:tabs>
        <w:spacing w:before="1"/>
        <w:ind w:left="534"/>
        <w:rPr>
          <w:color w:val="auto"/>
          <w:highlight w:val="none"/>
        </w:rPr>
      </w:pPr>
      <w:r>
        <w:rPr>
          <w:color w:val="auto"/>
          <w:highlight w:val="none"/>
        </w:rPr>
        <w:t>日</w:t>
      </w:r>
      <w:r>
        <w:rPr>
          <w:color w:val="auto"/>
          <w:spacing w:val="1"/>
          <w:highlight w:val="none"/>
        </w:rPr>
        <w:t xml:space="preserve"> </w:t>
      </w:r>
      <w:r>
        <w:rPr>
          <w:color w:val="auto"/>
          <w:spacing w:val="-3"/>
          <w:highlight w:val="none"/>
        </w:rPr>
        <w:t>期</w:t>
      </w:r>
      <w:r>
        <w:rPr>
          <w:color w:val="auto"/>
          <w:highlight w:val="none"/>
        </w:rPr>
        <w:t>：</w:t>
      </w:r>
      <w:r>
        <w:rPr>
          <w:color w:val="auto"/>
          <w:highlight w:val="none"/>
        </w:rPr>
        <w:tab/>
      </w:r>
      <w:r>
        <w:rPr>
          <w:color w:val="auto"/>
          <w:highlight w:val="none"/>
        </w:rPr>
        <w:t>年</w:t>
      </w:r>
      <w:r>
        <w:rPr>
          <w:color w:val="auto"/>
          <w:highlight w:val="none"/>
        </w:rPr>
        <w:tab/>
      </w:r>
      <w:r>
        <w:rPr>
          <w:color w:val="auto"/>
          <w:highlight w:val="none"/>
        </w:rPr>
        <w:t>月</w:t>
      </w:r>
      <w:r>
        <w:rPr>
          <w:color w:val="auto"/>
          <w:highlight w:val="none"/>
        </w:rPr>
        <w:tab/>
      </w:r>
      <w:r>
        <w:rPr>
          <w:color w:val="auto"/>
          <w:highlight w:val="none"/>
        </w:rPr>
        <w:t>日</w:t>
      </w:r>
    </w:p>
    <w:p>
      <w:pPr>
        <w:pStyle w:val="2"/>
        <w:spacing w:before="7"/>
        <w:rPr>
          <w:color w:val="auto"/>
          <w:sz w:val="12"/>
          <w:highlight w:val="none"/>
        </w:rPr>
      </w:pPr>
    </w:p>
    <w:p>
      <w:pPr>
        <w:pStyle w:val="2"/>
        <w:spacing w:before="2"/>
        <w:rPr>
          <w:color w:val="auto"/>
          <w:sz w:val="7"/>
          <w:highlight w:val="none"/>
        </w:rPr>
      </w:pPr>
    </w:p>
    <w:p>
      <w:pPr>
        <w:ind w:left="371"/>
        <w:rPr>
          <w:color w:val="auto"/>
          <w:sz w:val="6"/>
          <w:highlight w:val="none"/>
        </w:rPr>
      </w:pPr>
      <w:r>
        <w:rPr>
          <w:color w:val="auto"/>
          <w:sz w:val="6"/>
          <w:highlight w:val="none"/>
        </w:rPr>
        <w:t xml:space="preserve"> </w:t>
      </w:r>
    </w:p>
    <w:sectPr>
      <w:pgSz w:w="11910" w:h="16850"/>
      <w:pgMar w:top="1280" w:right="860" w:bottom="1040" w:left="1280" w:header="877" w:footer="853"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Microsoft JhengHei">
    <w:panose1 w:val="020B0604030504040204"/>
    <w:charset w:val="88"/>
    <w:family w:val="swiss"/>
    <w:pitch w:val="default"/>
    <w:sig w:usb0="00000087" w:usb1="28AF4000" w:usb2="00000016" w:usb3="00000000" w:csb0="00100009" w:csb1="00000000"/>
  </w:font>
  <w:font w:name="仿宋_GB2312">
    <w:altName w:val="仿宋"/>
    <w:panose1 w:val="00000000000000000000"/>
    <w:charset w:val="86"/>
    <w:family w:val="modern"/>
    <w:pitch w:val="default"/>
    <w:sig w:usb0="00000000" w:usb1="00000000" w:usb2="00000010" w:usb3="00000000" w:csb0="00040000" w:csb1="00000000"/>
  </w:font>
  <w:font w:name="华文新魏">
    <w:panose1 w:val="02010800040101010101"/>
    <w:charset w:val="86"/>
    <w:family w:val="auto"/>
    <w:pitch w:val="default"/>
    <w:sig w:usb0="00000001" w:usb1="080F0000" w:usb2="00000000" w:usb3="00000000" w:csb0="00040000" w:csb1="00000000"/>
  </w:font>
  <w:font w:name="Cambria">
    <w:panose1 w:val="02040503050406030204"/>
    <w:charset w:val="00"/>
    <w:family w:val="roman"/>
    <w:pitch w:val="default"/>
    <w:sig w:usb0="E00002FF" w:usb1="400004FF" w:usb2="00000000" w:usb3="00000000" w:csb0="2000019F" w:csb1="00000000"/>
  </w:font>
  <w:font w:name="Verdana">
    <w:panose1 w:val="020B0604030504040204"/>
    <w:charset w:val="00"/>
    <w:family w:val="swiss"/>
    <w:pitch w:val="default"/>
    <w:sig w:usb0="A10006FF" w:usb1="4000205B" w:usb2="00000010" w:usb3="00000000" w:csb0="2000019F" w:csb1="00000000"/>
  </w:font>
  <w:font w:name="华文细黑">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sz w:val="14"/>
      </w:rPr>
    </w:pPr>
    <w:r>
      <mc:AlternateContent>
        <mc:Choice Requires="wps">
          <w:drawing>
            <wp:anchor distT="0" distB="0" distL="114300" distR="114300" simplePos="0" relativeHeight="251675648" behindDoc="1" locked="0" layoutInCell="1" allowOverlap="1">
              <wp:simplePos x="0" y="0"/>
              <wp:positionH relativeFrom="page">
                <wp:posOffset>3711575</wp:posOffset>
              </wp:positionH>
              <wp:positionV relativeFrom="page">
                <wp:posOffset>9832340</wp:posOffset>
              </wp:positionV>
              <wp:extent cx="133350" cy="152400"/>
              <wp:effectExtent l="0" t="0" r="0" b="0"/>
              <wp:wrapNone/>
              <wp:docPr id="18" name="文本框 29"/>
              <wp:cNvGraphicFramePr/>
              <a:graphic xmlns:a="http://schemas.openxmlformats.org/drawingml/2006/main">
                <a:graphicData uri="http://schemas.microsoft.com/office/word/2010/wordprocessingShape">
                  <wps:wsp>
                    <wps:cNvSpPr txBox="1"/>
                    <wps:spPr>
                      <a:xfrm>
                        <a:off x="0" y="0"/>
                        <a:ext cx="133350" cy="152400"/>
                      </a:xfrm>
                      <a:prstGeom prst="rect">
                        <a:avLst/>
                      </a:prstGeom>
                      <a:noFill/>
                      <a:ln>
                        <a:noFill/>
                      </a:ln>
                    </wps:spPr>
                    <wps:txbx>
                      <w:txbxContent>
                        <w:p>
                          <w:pPr>
                            <w:spacing w:before="12"/>
                            <w:ind w:left="60"/>
                            <w:rPr>
                              <w:rFonts w:ascii="Times New Roman"/>
                              <w:sz w:val="18"/>
                            </w:rPr>
                          </w:pPr>
                          <w:r>
                            <w:fldChar w:fldCharType="begin"/>
                          </w:r>
                          <w:r>
                            <w:rPr>
                              <w:rFonts w:ascii="Times New Roman"/>
                              <w:sz w:val="18"/>
                            </w:rPr>
                            <w:instrText xml:space="preserve"> PAGE </w:instrText>
                          </w:r>
                          <w:r>
                            <w:fldChar w:fldCharType="separate"/>
                          </w:r>
                          <w:r>
                            <w:rPr>
                              <w:rFonts w:ascii="Times New Roman"/>
                              <w:sz w:val="18"/>
                            </w:rPr>
                            <w:t>2</w:t>
                          </w:r>
                          <w:r>
                            <w:fldChar w:fldCharType="end"/>
                          </w:r>
                        </w:p>
                      </w:txbxContent>
                    </wps:txbx>
                    <wps:bodyPr lIns="0" tIns="0" rIns="0" bIns="0" upright="1"/>
                  </wps:wsp>
                </a:graphicData>
              </a:graphic>
            </wp:anchor>
          </w:drawing>
        </mc:Choice>
        <mc:Fallback>
          <w:pict>
            <v:shape id="文本框 29" o:spid="_x0000_s1026" o:spt="202" type="#_x0000_t202" style="position:absolute;left:0pt;margin-left:292.25pt;margin-top:774.2pt;height:12pt;width:10.5pt;mso-position-horizontal-relative:page;mso-position-vertical-relative:page;z-index:-251640832;mso-width-relative:page;mso-height-relative:page;" filled="f" stroked="f" coordsize="21600,21600" o:gfxdata="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IEBtffaAAAADQEAAA8AAAAAAAAAAQAgAAAAIgAAAGRycy9kb3ducmV2LnhtbFBL&#10;AQIUABQAAAAIAIdO4kA8uuBNuwEAAHMDAAAOAAAAAAAAAAEAIAAAACkBAABkcnMvZTJvRG9jLnht&#10;bFBLBQYAAAAABgAGAFkBAABWBQAAAAA=&#10;">
              <v:fill on="f" focussize="0,0"/>
              <v:stroke on="f"/>
              <v:imagedata o:title=""/>
              <o:lock v:ext="edit" aspectratio="f"/>
              <v:textbox inset="0mm,0mm,0mm,0mm">
                <w:txbxContent>
                  <w:p>
                    <w:pPr>
                      <w:spacing w:before="12"/>
                      <w:ind w:left="60"/>
                      <w:rPr>
                        <w:rFonts w:ascii="Times New Roman"/>
                        <w:sz w:val="18"/>
                      </w:rPr>
                    </w:pPr>
                    <w:r>
                      <w:fldChar w:fldCharType="begin"/>
                    </w:r>
                    <w:r>
                      <w:rPr>
                        <w:rFonts w:ascii="Times New Roman"/>
                        <w:sz w:val="18"/>
                      </w:rPr>
                      <w:instrText xml:space="preserve"> PAGE </w:instrText>
                    </w:r>
                    <w:r>
                      <w:fldChar w:fldCharType="separate"/>
                    </w:r>
                    <w:r>
                      <w:rPr>
                        <w:rFonts w:ascii="Times New Roman"/>
                        <w:sz w:val="18"/>
                      </w:rPr>
                      <w:t>2</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sz w:val="19"/>
      </w:rPr>
    </w:pPr>
    <w:r>
      <mc:AlternateContent>
        <mc:Choice Requires="wps">
          <w:drawing>
            <wp:anchor distT="0" distB="0" distL="114300" distR="114300" simplePos="0" relativeHeight="251667456" behindDoc="1" locked="0" layoutInCell="1" allowOverlap="1">
              <wp:simplePos x="0" y="0"/>
              <wp:positionH relativeFrom="page">
                <wp:posOffset>3684270</wp:posOffset>
              </wp:positionH>
              <wp:positionV relativeFrom="page">
                <wp:posOffset>9832340</wp:posOffset>
              </wp:positionV>
              <wp:extent cx="192405" cy="152400"/>
              <wp:effectExtent l="0" t="0" r="0" b="0"/>
              <wp:wrapNone/>
              <wp:docPr id="10" name="文本框 20"/>
              <wp:cNvGraphicFramePr/>
              <a:graphic xmlns:a="http://schemas.openxmlformats.org/drawingml/2006/main">
                <a:graphicData uri="http://schemas.microsoft.com/office/word/2010/wordprocessingShape">
                  <wps:wsp>
                    <wps:cNvSpPr txBox="1"/>
                    <wps:spPr>
                      <a:xfrm>
                        <a:off x="0" y="0"/>
                        <a:ext cx="192405" cy="152400"/>
                      </a:xfrm>
                      <a:prstGeom prst="rect">
                        <a:avLst/>
                      </a:prstGeom>
                      <a:noFill/>
                      <a:ln>
                        <a:noFill/>
                      </a:ln>
                    </wps:spPr>
                    <wps:txbx>
                      <w:txbxContent>
                        <w:p>
                          <w:pPr>
                            <w:spacing w:before="12"/>
                            <w:ind w:left="60"/>
                            <w:rPr>
                              <w:rFonts w:ascii="Times New Roman"/>
                              <w:sz w:val="18"/>
                            </w:rPr>
                          </w:pPr>
                          <w:r>
                            <w:fldChar w:fldCharType="begin"/>
                          </w:r>
                          <w:r>
                            <w:rPr>
                              <w:rFonts w:ascii="Times New Roman"/>
                              <w:sz w:val="18"/>
                            </w:rPr>
                            <w:instrText xml:space="preserve"> PAGE </w:instrText>
                          </w:r>
                          <w:r>
                            <w:fldChar w:fldCharType="separate"/>
                          </w:r>
                          <w:r>
                            <w:rPr>
                              <w:rFonts w:ascii="Times New Roman"/>
                              <w:sz w:val="18"/>
                            </w:rPr>
                            <w:t>23</w:t>
                          </w:r>
                          <w:r>
                            <w:fldChar w:fldCharType="end"/>
                          </w:r>
                        </w:p>
                      </w:txbxContent>
                    </wps:txbx>
                    <wps:bodyPr lIns="0" tIns="0" rIns="0" bIns="0" upright="1"/>
                  </wps:wsp>
                </a:graphicData>
              </a:graphic>
            </wp:anchor>
          </w:drawing>
        </mc:Choice>
        <mc:Fallback>
          <w:pict>
            <v:shape id="文本框 20" o:spid="_x0000_s1026" o:spt="202" type="#_x0000_t202" style="position:absolute;left:0pt;margin-left:290.1pt;margin-top:774.2pt;height:12pt;width:15.15pt;mso-position-horizontal-relative:page;mso-position-vertical-relative:page;z-index:-251649024;mso-width-relative:page;mso-height-relative:page;" filled="f" stroked="f" coordsize="21600,21600" o:gfxdata="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OO2V9TaAAAADQEAAA8AAAAAAAAAAQAgAAAAIgAAAGRycy9kb3ducmV2LnhtbFBLAQIU&#10;ABQAAAAIAIdO4kDW0XBruAEAAHMDAAAOAAAAAAAAAAEAIAAAACkBAABkcnMvZTJvRG9jLnhtbFBL&#10;BQYAAAAABgAGAFkBAABTBQAAAAA=&#10;">
              <v:fill on="f" focussize="0,0"/>
              <v:stroke on="f"/>
              <v:imagedata o:title=""/>
              <o:lock v:ext="edit" aspectratio="f"/>
              <v:textbox inset="0mm,0mm,0mm,0mm">
                <w:txbxContent>
                  <w:p>
                    <w:pPr>
                      <w:spacing w:before="12"/>
                      <w:ind w:left="60"/>
                      <w:rPr>
                        <w:rFonts w:ascii="Times New Roman"/>
                        <w:sz w:val="18"/>
                      </w:rPr>
                    </w:pPr>
                    <w:r>
                      <w:fldChar w:fldCharType="begin"/>
                    </w:r>
                    <w:r>
                      <w:rPr>
                        <w:rFonts w:ascii="Times New Roman"/>
                        <w:sz w:val="18"/>
                      </w:rPr>
                      <w:instrText xml:space="preserve"> PAGE </w:instrText>
                    </w:r>
                    <w:r>
                      <w:fldChar w:fldCharType="separate"/>
                    </w:r>
                    <w:r>
                      <w:rPr>
                        <w:rFonts w:ascii="Times New Roman"/>
                        <w:sz w:val="18"/>
                      </w:rPr>
                      <w:t>23</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sz w:val="19"/>
      </w:rPr>
    </w:pPr>
    <w:r>
      <mc:AlternateContent>
        <mc:Choice Requires="wps">
          <w:drawing>
            <wp:anchor distT="0" distB="0" distL="114300" distR="114300" simplePos="0" relativeHeight="251668480" behindDoc="1" locked="0" layoutInCell="1" allowOverlap="1">
              <wp:simplePos x="0" y="0"/>
              <wp:positionH relativeFrom="page">
                <wp:posOffset>3684270</wp:posOffset>
              </wp:positionH>
              <wp:positionV relativeFrom="page">
                <wp:posOffset>9832340</wp:posOffset>
              </wp:positionV>
              <wp:extent cx="192405" cy="152400"/>
              <wp:effectExtent l="0" t="0" r="0" b="0"/>
              <wp:wrapNone/>
              <wp:docPr id="11" name="文本框 18"/>
              <wp:cNvGraphicFramePr/>
              <a:graphic xmlns:a="http://schemas.openxmlformats.org/drawingml/2006/main">
                <a:graphicData uri="http://schemas.microsoft.com/office/word/2010/wordprocessingShape">
                  <wps:wsp>
                    <wps:cNvSpPr txBox="1"/>
                    <wps:spPr>
                      <a:xfrm>
                        <a:off x="0" y="0"/>
                        <a:ext cx="192405" cy="152400"/>
                      </a:xfrm>
                      <a:prstGeom prst="rect">
                        <a:avLst/>
                      </a:prstGeom>
                      <a:noFill/>
                      <a:ln>
                        <a:noFill/>
                      </a:ln>
                    </wps:spPr>
                    <wps:txbx>
                      <w:txbxContent>
                        <w:p>
                          <w:pPr>
                            <w:spacing w:before="12"/>
                            <w:ind w:left="60"/>
                            <w:rPr>
                              <w:rFonts w:ascii="Times New Roman"/>
                              <w:sz w:val="18"/>
                            </w:rPr>
                          </w:pPr>
                          <w:r>
                            <w:fldChar w:fldCharType="begin"/>
                          </w:r>
                          <w:r>
                            <w:rPr>
                              <w:rFonts w:ascii="Times New Roman"/>
                              <w:sz w:val="18"/>
                            </w:rPr>
                            <w:instrText xml:space="preserve"> PAGE </w:instrText>
                          </w:r>
                          <w:r>
                            <w:fldChar w:fldCharType="separate"/>
                          </w:r>
                          <w:r>
                            <w:rPr>
                              <w:rFonts w:ascii="Times New Roman"/>
                              <w:sz w:val="18"/>
                            </w:rPr>
                            <w:t>32</w:t>
                          </w:r>
                          <w:r>
                            <w:fldChar w:fldCharType="end"/>
                          </w:r>
                        </w:p>
                      </w:txbxContent>
                    </wps:txbx>
                    <wps:bodyPr lIns="0" tIns="0" rIns="0" bIns="0" upright="1"/>
                  </wps:wsp>
                </a:graphicData>
              </a:graphic>
            </wp:anchor>
          </w:drawing>
        </mc:Choice>
        <mc:Fallback>
          <w:pict>
            <v:shape id="文本框 18" o:spid="_x0000_s1026" o:spt="202" type="#_x0000_t202" style="position:absolute;left:0pt;margin-left:290.1pt;margin-top:774.2pt;height:12pt;width:15.15pt;mso-position-horizontal-relative:page;mso-position-vertical-relative:page;z-index:-251648000;mso-width-relative:page;mso-height-relative:page;" filled="f" stroked="f" coordsize="21600,21600" o:gfxdata="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47ZX1NoAAAANAQAADwAAAAAAAAABACAAAAAiAAAAZHJzL2Rvd25yZXYueG1sUEsB&#10;AhQAFAAAAAgAh07iQJWJBtG6AQAAcwMAAA4AAAAAAAAAAQAgAAAAKQEAAGRycy9lMm9Eb2MueG1s&#10;UEsFBgAAAAAGAAYAWQEAAFUFAAAAAA==&#10;">
              <v:fill on="f" focussize="0,0"/>
              <v:stroke on="f"/>
              <v:imagedata o:title=""/>
              <o:lock v:ext="edit" aspectratio="f"/>
              <v:textbox inset="0mm,0mm,0mm,0mm">
                <w:txbxContent>
                  <w:p>
                    <w:pPr>
                      <w:spacing w:before="12"/>
                      <w:ind w:left="60"/>
                      <w:rPr>
                        <w:rFonts w:ascii="Times New Roman"/>
                        <w:sz w:val="18"/>
                      </w:rPr>
                    </w:pPr>
                    <w:r>
                      <w:fldChar w:fldCharType="begin"/>
                    </w:r>
                    <w:r>
                      <w:rPr>
                        <w:rFonts w:ascii="Times New Roman"/>
                        <w:sz w:val="18"/>
                      </w:rPr>
                      <w:instrText xml:space="preserve"> PAGE </w:instrText>
                    </w:r>
                    <w:r>
                      <w:fldChar w:fldCharType="separate"/>
                    </w:r>
                    <w:r>
                      <w:rPr>
                        <w:rFonts w:ascii="Times New Roman"/>
                        <w:sz w:val="18"/>
                      </w:rPr>
                      <w:t>32</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sz w:val="20"/>
      </w:rPr>
    </w:pPr>
    <w:r>
      <mc:AlternateContent>
        <mc:Choice Requires="wps">
          <w:drawing>
            <wp:anchor distT="0" distB="0" distL="114300" distR="114300" simplePos="0" relativeHeight="251669504" behindDoc="1" locked="0" layoutInCell="1" allowOverlap="1">
              <wp:simplePos x="0" y="0"/>
              <wp:positionH relativeFrom="page">
                <wp:posOffset>3684270</wp:posOffset>
              </wp:positionH>
              <wp:positionV relativeFrom="page">
                <wp:posOffset>9832340</wp:posOffset>
              </wp:positionV>
              <wp:extent cx="192405" cy="152400"/>
              <wp:effectExtent l="0" t="0" r="0" b="0"/>
              <wp:wrapNone/>
              <wp:docPr id="12" name="文本框 15"/>
              <wp:cNvGraphicFramePr/>
              <a:graphic xmlns:a="http://schemas.openxmlformats.org/drawingml/2006/main">
                <a:graphicData uri="http://schemas.microsoft.com/office/word/2010/wordprocessingShape">
                  <wps:wsp>
                    <wps:cNvSpPr txBox="1"/>
                    <wps:spPr>
                      <a:xfrm>
                        <a:off x="0" y="0"/>
                        <a:ext cx="192405" cy="152400"/>
                      </a:xfrm>
                      <a:prstGeom prst="rect">
                        <a:avLst/>
                      </a:prstGeom>
                      <a:noFill/>
                      <a:ln>
                        <a:noFill/>
                      </a:ln>
                    </wps:spPr>
                    <wps:txbx>
                      <w:txbxContent>
                        <w:p>
                          <w:pPr>
                            <w:spacing w:before="12"/>
                            <w:ind w:left="60"/>
                            <w:rPr>
                              <w:rFonts w:ascii="Times New Roman"/>
                              <w:sz w:val="18"/>
                            </w:rPr>
                          </w:pPr>
                          <w:r>
                            <w:fldChar w:fldCharType="begin"/>
                          </w:r>
                          <w:r>
                            <w:rPr>
                              <w:rFonts w:ascii="Times New Roman"/>
                              <w:sz w:val="18"/>
                            </w:rPr>
                            <w:instrText xml:space="preserve"> PAGE </w:instrText>
                          </w:r>
                          <w:r>
                            <w:fldChar w:fldCharType="separate"/>
                          </w:r>
                          <w:r>
                            <w:rPr>
                              <w:rFonts w:ascii="Times New Roman"/>
                              <w:sz w:val="18"/>
                            </w:rPr>
                            <w:t>47</w:t>
                          </w:r>
                          <w:r>
                            <w:fldChar w:fldCharType="end"/>
                          </w:r>
                        </w:p>
                      </w:txbxContent>
                    </wps:txbx>
                    <wps:bodyPr lIns="0" tIns="0" rIns="0" bIns="0" upright="1"/>
                  </wps:wsp>
                </a:graphicData>
              </a:graphic>
            </wp:anchor>
          </w:drawing>
        </mc:Choice>
        <mc:Fallback>
          <w:pict>
            <v:shape id="文本框 15" o:spid="_x0000_s1026" o:spt="202" type="#_x0000_t202" style="position:absolute;left:0pt;margin-left:290.1pt;margin-top:774.2pt;height:12pt;width:15.15pt;mso-position-horizontal-relative:page;mso-position-vertical-relative:page;z-index:-251646976;mso-width-relative:page;mso-height-relative:page;" filled="f" stroked="f" coordsize="21600,21600" o:gfxdata="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DjtlfU2gAAAA0BAAAPAAAAAAAAAAEAIAAAACIAAABkcnMvZG93bnJldi54bWxQSwEC&#10;FAAUAAAACACHTuJADQd6rrkBAABzAwAADgAAAAAAAAABACAAAAApAQAAZHJzL2Uyb0RvYy54bWxQ&#10;SwUGAAAAAAYABgBZAQAAVAUAAAAA&#10;">
              <v:fill on="f" focussize="0,0"/>
              <v:stroke on="f"/>
              <v:imagedata o:title=""/>
              <o:lock v:ext="edit" aspectratio="f"/>
              <v:textbox inset="0mm,0mm,0mm,0mm">
                <w:txbxContent>
                  <w:p>
                    <w:pPr>
                      <w:spacing w:before="12"/>
                      <w:ind w:left="60"/>
                      <w:rPr>
                        <w:rFonts w:ascii="Times New Roman"/>
                        <w:sz w:val="18"/>
                      </w:rPr>
                    </w:pPr>
                    <w:r>
                      <w:fldChar w:fldCharType="begin"/>
                    </w:r>
                    <w:r>
                      <w:rPr>
                        <w:rFonts w:ascii="Times New Roman"/>
                        <w:sz w:val="18"/>
                      </w:rPr>
                      <w:instrText xml:space="preserve"> PAGE </w:instrText>
                    </w:r>
                    <w:r>
                      <w:fldChar w:fldCharType="separate"/>
                    </w:r>
                    <w:r>
                      <w:rPr>
                        <w:rFonts w:ascii="Times New Roman"/>
                        <w:sz w:val="18"/>
                      </w:rPr>
                      <w:t>47</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sz w:val="20"/>
      </w:rPr>
    </w:pPr>
    <w:r>
      <mc:AlternateContent>
        <mc:Choice Requires="wps">
          <w:drawing>
            <wp:anchor distT="0" distB="0" distL="114300" distR="114300" simplePos="0" relativeHeight="251670528" behindDoc="1" locked="0" layoutInCell="1" allowOverlap="1">
              <wp:simplePos x="0" y="0"/>
              <wp:positionH relativeFrom="page">
                <wp:posOffset>3684270</wp:posOffset>
              </wp:positionH>
              <wp:positionV relativeFrom="page">
                <wp:posOffset>9832340</wp:posOffset>
              </wp:positionV>
              <wp:extent cx="192405" cy="1524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92405" cy="152400"/>
                      </a:xfrm>
                      <a:prstGeom prst="rect">
                        <a:avLst/>
                      </a:prstGeom>
                      <a:noFill/>
                      <a:ln>
                        <a:noFill/>
                      </a:ln>
                    </wps:spPr>
                    <wps:txbx>
                      <w:txbxContent>
                        <w:p>
                          <w:pPr>
                            <w:spacing w:before="12"/>
                            <w:ind w:left="60"/>
                            <w:rPr>
                              <w:rFonts w:ascii="Times New Roman"/>
                              <w:sz w:val="18"/>
                            </w:rPr>
                          </w:pPr>
                          <w:r>
                            <w:fldChar w:fldCharType="begin"/>
                          </w:r>
                          <w:r>
                            <w:rPr>
                              <w:rFonts w:ascii="Times New Roman"/>
                              <w:sz w:val="18"/>
                            </w:rPr>
                            <w:instrText xml:space="preserve"> PAGE </w:instrText>
                          </w:r>
                          <w:r>
                            <w:fldChar w:fldCharType="separate"/>
                          </w:r>
                          <w:r>
                            <w:rPr>
                              <w:rFonts w:ascii="Times New Roman"/>
                              <w:sz w:val="18"/>
                            </w:rPr>
                            <w:t>48</w:t>
                          </w:r>
                          <w:r>
                            <w:fldChar w:fldCharType="end"/>
                          </w:r>
                        </w:p>
                      </w:txbxContent>
                    </wps:txbx>
                    <wps:bodyPr lIns="0" tIns="0" rIns="0" bIns="0" upright="1"/>
                  </wps:wsp>
                </a:graphicData>
              </a:graphic>
            </wp:anchor>
          </w:drawing>
        </mc:Choice>
        <mc:Fallback>
          <w:pict>
            <v:shape id="_x0000_s1026" o:spid="_x0000_s1026" o:spt="202" type="#_x0000_t202" style="position:absolute;left:0pt;margin-left:290.1pt;margin-top:774.2pt;height:12pt;width:15.15pt;mso-position-horizontal-relative:page;mso-position-vertical-relative:page;z-index:-251645952;mso-width-relative:page;mso-height-relative:page;" filled="f" stroked="f" coordsize="21600,21600" o:gfxdata="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DjtlfU2gAAAA0BAAAPAAAAAAAAAAEAIAAAACIAAABkcnMvZG93bnJldi54bWxQSwEC&#10;FAAUAAAACACHTuJAA/1jELkBAABzAwAADgAAAAAAAAABACAAAAApAQAAZHJzL2Uyb0RvYy54bWxQ&#10;SwUGAAAAAAYABgBZAQAAVAUAAAAA&#10;">
              <v:fill on="f" focussize="0,0"/>
              <v:stroke on="f"/>
              <v:imagedata o:title=""/>
              <o:lock v:ext="edit" aspectratio="f"/>
              <v:textbox inset="0mm,0mm,0mm,0mm">
                <w:txbxContent>
                  <w:p>
                    <w:pPr>
                      <w:spacing w:before="12"/>
                      <w:ind w:left="60"/>
                      <w:rPr>
                        <w:rFonts w:ascii="Times New Roman"/>
                        <w:sz w:val="18"/>
                      </w:rPr>
                    </w:pPr>
                    <w:r>
                      <w:fldChar w:fldCharType="begin"/>
                    </w:r>
                    <w:r>
                      <w:rPr>
                        <w:rFonts w:ascii="Times New Roman"/>
                        <w:sz w:val="18"/>
                      </w:rPr>
                      <w:instrText xml:space="preserve"> PAGE </w:instrText>
                    </w:r>
                    <w:r>
                      <w:fldChar w:fldCharType="separate"/>
                    </w:r>
                    <w:r>
                      <w:rPr>
                        <w:rFonts w:ascii="Times New Roman"/>
                        <w:sz w:val="18"/>
                      </w:rPr>
                      <w:t>48</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sz w:val="20"/>
      </w:rPr>
    </w:pPr>
    <w:r>
      <mc:AlternateContent>
        <mc:Choice Requires="wps">
          <w:drawing>
            <wp:anchor distT="0" distB="0" distL="114300" distR="114300" simplePos="0" relativeHeight="251671552" behindDoc="1" locked="0" layoutInCell="1" allowOverlap="1">
              <wp:simplePos x="0" y="0"/>
              <wp:positionH relativeFrom="page">
                <wp:posOffset>3684270</wp:posOffset>
              </wp:positionH>
              <wp:positionV relativeFrom="page">
                <wp:posOffset>9832340</wp:posOffset>
              </wp:positionV>
              <wp:extent cx="192405" cy="152400"/>
              <wp:effectExtent l="0" t="0" r="0" b="0"/>
              <wp:wrapNone/>
              <wp:docPr id="14" name="文本框 10"/>
              <wp:cNvGraphicFramePr/>
              <a:graphic xmlns:a="http://schemas.openxmlformats.org/drawingml/2006/main">
                <a:graphicData uri="http://schemas.microsoft.com/office/word/2010/wordprocessingShape">
                  <wps:wsp>
                    <wps:cNvSpPr txBox="1"/>
                    <wps:spPr>
                      <a:xfrm>
                        <a:off x="0" y="0"/>
                        <a:ext cx="192405" cy="152400"/>
                      </a:xfrm>
                      <a:prstGeom prst="rect">
                        <a:avLst/>
                      </a:prstGeom>
                      <a:noFill/>
                      <a:ln>
                        <a:noFill/>
                      </a:ln>
                    </wps:spPr>
                    <wps:txbx>
                      <w:txbxContent>
                        <w:p>
                          <w:pPr>
                            <w:spacing w:before="12"/>
                            <w:ind w:left="60"/>
                            <w:rPr>
                              <w:rFonts w:ascii="Times New Roman"/>
                              <w:sz w:val="18"/>
                            </w:rPr>
                          </w:pPr>
                          <w:r>
                            <w:fldChar w:fldCharType="begin"/>
                          </w:r>
                          <w:r>
                            <w:rPr>
                              <w:rFonts w:ascii="Times New Roman"/>
                              <w:sz w:val="18"/>
                            </w:rPr>
                            <w:instrText xml:space="preserve"> PAGE </w:instrText>
                          </w:r>
                          <w:r>
                            <w:fldChar w:fldCharType="separate"/>
                          </w:r>
                          <w:r>
                            <w:rPr>
                              <w:rFonts w:ascii="Times New Roman"/>
                              <w:sz w:val="18"/>
                            </w:rPr>
                            <w:t>59</w:t>
                          </w:r>
                          <w:r>
                            <w:fldChar w:fldCharType="end"/>
                          </w:r>
                        </w:p>
                      </w:txbxContent>
                    </wps:txbx>
                    <wps:bodyPr lIns="0" tIns="0" rIns="0" bIns="0" upright="1"/>
                  </wps:wsp>
                </a:graphicData>
              </a:graphic>
            </wp:anchor>
          </w:drawing>
        </mc:Choice>
        <mc:Fallback>
          <w:pict>
            <v:shape id="文本框 10" o:spid="_x0000_s1026" o:spt="202" type="#_x0000_t202" style="position:absolute;left:0pt;margin-left:290.1pt;margin-top:774.2pt;height:12pt;width:15.15pt;mso-position-horizontal-relative:page;mso-position-vertical-relative:page;z-index:-251644928;mso-width-relative:page;mso-height-relative:page;" filled="f" stroked="f" coordsize="21600,21600" o:gfxdata="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OO2V9TaAAAADQEAAA8AAAAAAAAAAQAgAAAAIgAAAGRycy9kb3ducmV2LnhtbFBLAQIU&#10;ABQAAAAIAIdO4kBiXJLkuAEAAHMDAAAOAAAAAAAAAAEAIAAAACkBAABkcnMvZTJvRG9jLnhtbFBL&#10;BQYAAAAABgAGAFkBAABTBQAAAAA=&#10;">
              <v:fill on="f" focussize="0,0"/>
              <v:stroke on="f"/>
              <v:imagedata o:title=""/>
              <o:lock v:ext="edit" aspectratio="f"/>
              <v:textbox inset="0mm,0mm,0mm,0mm">
                <w:txbxContent>
                  <w:p>
                    <w:pPr>
                      <w:spacing w:before="12"/>
                      <w:ind w:left="60"/>
                      <w:rPr>
                        <w:rFonts w:ascii="Times New Roman"/>
                        <w:sz w:val="18"/>
                      </w:rPr>
                    </w:pPr>
                    <w:r>
                      <w:fldChar w:fldCharType="begin"/>
                    </w:r>
                    <w:r>
                      <w:rPr>
                        <w:rFonts w:ascii="Times New Roman"/>
                        <w:sz w:val="18"/>
                      </w:rPr>
                      <w:instrText xml:space="preserve"> PAGE </w:instrText>
                    </w:r>
                    <w:r>
                      <w:fldChar w:fldCharType="separate"/>
                    </w:r>
                    <w:r>
                      <w:rPr>
                        <w:rFonts w:ascii="Times New Roman"/>
                        <w:sz w:val="18"/>
                      </w:rPr>
                      <w:t>59</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sz w:val="20"/>
      </w:rPr>
    </w:pPr>
    <w:r>
      <mc:AlternateContent>
        <mc:Choice Requires="wps">
          <w:drawing>
            <wp:anchor distT="0" distB="0" distL="114300" distR="114300" simplePos="0" relativeHeight="251672576" behindDoc="1" locked="0" layoutInCell="1" allowOverlap="1">
              <wp:simplePos x="0" y="0"/>
              <wp:positionH relativeFrom="page">
                <wp:posOffset>3684270</wp:posOffset>
              </wp:positionH>
              <wp:positionV relativeFrom="page">
                <wp:posOffset>9832340</wp:posOffset>
              </wp:positionV>
              <wp:extent cx="192405" cy="152400"/>
              <wp:effectExtent l="0" t="0" r="0" b="0"/>
              <wp:wrapNone/>
              <wp:docPr id="15" name="文本框 7"/>
              <wp:cNvGraphicFramePr/>
              <a:graphic xmlns:a="http://schemas.openxmlformats.org/drawingml/2006/main">
                <a:graphicData uri="http://schemas.microsoft.com/office/word/2010/wordprocessingShape">
                  <wps:wsp>
                    <wps:cNvSpPr txBox="1"/>
                    <wps:spPr>
                      <a:xfrm>
                        <a:off x="0" y="0"/>
                        <a:ext cx="192405" cy="152400"/>
                      </a:xfrm>
                      <a:prstGeom prst="rect">
                        <a:avLst/>
                      </a:prstGeom>
                      <a:noFill/>
                      <a:ln>
                        <a:noFill/>
                      </a:ln>
                    </wps:spPr>
                    <wps:txbx>
                      <w:txbxContent>
                        <w:p>
                          <w:pPr>
                            <w:spacing w:before="12"/>
                            <w:ind w:left="60"/>
                            <w:rPr>
                              <w:rFonts w:ascii="Times New Roman"/>
                              <w:sz w:val="18"/>
                            </w:rPr>
                          </w:pPr>
                          <w:r>
                            <w:fldChar w:fldCharType="begin"/>
                          </w:r>
                          <w:r>
                            <w:rPr>
                              <w:rFonts w:ascii="Times New Roman"/>
                              <w:sz w:val="18"/>
                            </w:rPr>
                            <w:instrText xml:space="preserve"> PAGE </w:instrText>
                          </w:r>
                          <w:r>
                            <w:fldChar w:fldCharType="separate"/>
                          </w:r>
                          <w:r>
                            <w:rPr>
                              <w:rFonts w:ascii="Times New Roman"/>
                              <w:sz w:val="18"/>
                            </w:rPr>
                            <w:t>61</w:t>
                          </w:r>
                          <w:r>
                            <w:fldChar w:fldCharType="end"/>
                          </w:r>
                        </w:p>
                      </w:txbxContent>
                    </wps:txbx>
                    <wps:bodyPr lIns="0" tIns="0" rIns="0" bIns="0" upright="1"/>
                  </wps:wsp>
                </a:graphicData>
              </a:graphic>
            </wp:anchor>
          </w:drawing>
        </mc:Choice>
        <mc:Fallback>
          <w:pict>
            <v:shape id="文本框 7" o:spid="_x0000_s1026" o:spt="202" type="#_x0000_t202" style="position:absolute;left:0pt;margin-left:290.1pt;margin-top:774.2pt;height:12pt;width:15.15pt;mso-position-horizontal-relative:page;mso-position-vertical-relative:page;z-index:-251643904;mso-width-relative:page;mso-height-relative:page;" filled="f" stroked="f" coordsize="21600,21600" o:gfxdata="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OO2V9TaAAAADQEAAA8AAAAAAAAAAQAgAAAAIgAAAGRycy9kb3ducmV2LnhtbFBLAQIU&#10;ABQAAAAIAIdO4kAyRokUuAEAAHIDAAAOAAAAAAAAAAEAIAAAACkBAABkcnMvZTJvRG9jLnhtbFBL&#10;BQYAAAAABgAGAFkBAABTBQAAAAA=&#10;">
              <v:fill on="f" focussize="0,0"/>
              <v:stroke on="f"/>
              <v:imagedata o:title=""/>
              <o:lock v:ext="edit" aspectratio="f"/>
              <v:textbox inset="0mm,0mm,0mm,0mm">
                <w:txbxContent>
                  <w:p>
                    <w:pPr>
                      <w:spacing w:before="12"/>
                      <w:ind w:left="60"/>
                      <w:rPr>
                        <w:rFonts w:ascii="Times New Roman"/>
                        <w:sz w:val="18"/>
                      </w:rPr>
                    </w:pPr>
                    <w:r>
                      <w:fldChar w:fldCharType="begin"/>
                    </w:r>
                    <w:r>
                      <w:rPr>
                        <w:rFonts w:ascii="Times New Roman"/>
                        <w:sz w:val="18"/>
                      </w:rPr>
                      <w:instrText xml:space="preserve"> PAGE </w:instrText>
                    </w:r>
                    <w:r>
                      <w:fldChar w:fldCharType="separate"/>
                    </w:r>
                    <w:r>
                      <w:rPr>
                        <w:rFonts w:ascii="Times New Roman"/>
                        <w:sz w:val="18"/>
                      </w:rPr>
                      <w:t>61</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sz w:val="20"/>
      </w:rPr>
    </w:pPr>
    <w:r>
      <mc:AlternateContent>
        <mc:Choice Requires="wps">
          <w:drawing>
            <wp:anchor distT="0" distB="0" distL="114300" distR="114300" simplePos="0" relativeHeight="251673600" behindDoc="1" locked="0" layoutInCell="1" allowOverlap="1">
              <wp:simplePos x="0" y="0"/>
              <wp:positionH relativeFrom="page">
                <wp:posOffset>3684270</wp:posOffset>
              </wp:positionH>
              <wp:positionV relativeFrom="page">
                <wp:posOffset>9832340</wp:posOffset>
              </wp:positionV>
              <wp:extent cx="192405" cy="152400"/>
              <wp:effectExtent l="0" t="0" r="0" b="0"/>
              <wp:wrapNone/>
              <wp:docPr id="16" name="文本框 4"/>
              <wp:cNvGraphicFramePr/>
              <a:graphic xmlns:a="http://schemas.openxmlformats.org/drawingml/2006/main">
                <a:graphicData uri="http://schemas.microsoft.com/office/word/2010/wordprocessingShape">
                  <wps:wsp>
                    <wps:cNvSpPr txBox="1"/>
                    <wps:spPr>
                      <a:xfrm>
                        <a:off x="0" y="0"/>
                        <a:ext cx="192405" cy="152400"/>
                      </a:xfrm>
                      <a:prstGeom prst="rect">
                        <a:avLst/>
                      </a:prstGeom>
                      <a:noFill/>
                      <a:ln>
                        <a:noFill/>
                      </a:ln>
                    </wps:spPr>
                    <wps:txbx>
                      <w:txbxContent>
                        <w:p>
                          <w:pPr>
                            <w:spacing w:before="12"/>
                            <w:ind w:left="60"/>
                            <w:rPr>
                              <w:rFonts w:ascii="Times New Roman"/>
                              <w:sz w:val="18"/>
                            </w:rPr>
                          </w:pPr>
                          <w:r>
                            <w:fldChar w:fldCharType="begin"/>
                          </w:r>
                          <w:r>
                            <w:rPr>
                              <w:rFonts w:ascii="Times New Roman"/>
                              <w:sz w:val="18"/>
                            </w:rPr>
                            <w:instrText xml:space="preserve"> PAGE </w:instrText>
                          </w:r>
                          <w:r>
                            <w:fldChar w:fldCharType="separate"/>
                          </w:r>
                          <w:r>
                            <w:rPr>
                              <w:rFonts w:ascii="Times New Roman"/>
                              <w:sz w:val="18"/>
                            </w:rPr>
                            <w:t>66</w:t>
                          </w:r>
                          <w:r>
                            <w:fldChar w:fldCharType="end"/>
                          </w:r>
                        </w:p>
                      </w:txbxContent>
                    </wps:txbx>
                    <wps:bodyPr lIns="0" tIns="0" rIns="0" bIns="0" upright="1"/>
                  </wps:wsp>
                </a:graphicData>
              </a:graphic>
            </wp:anchor>
          </w:drawing>
        </mc:Choice>
        <mc:Fallback>
          <w:pict>
            <v:shape id="文本框 4" o:spid="_x0000_s1026" o:spt="202" type="#_x0000_t202" style="position:absolute;left:0pt;margin-left:290.1pt;margin-top:774.2pt;height:12pt;width:15.15pt;mso-position-horizontal-relative:page;mso-position-vertical-relative:page;z-index:-251642880;mso-width-relative:page;mso-height-relative:page;" filled="f" stroked="f" coordsize="21600,21600" o:gfxdata="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DjtlfU2gAAAA0BAAAPAAAAAAAAAAEAIAAAACIAAABkcnMvZG93bnJldi54bWxQSwEC&#10;FAAUAAAACACHTuJAbFKCKrkBAAByAwAADgAAAAAAAAABACAAAAApAQAAZHJzL2Uyb0RvYy54bWxQ&#10;SwUGAAAAAAYABgBZAQAAVAUAAAAA&#10;">
              <v:fill on="f" focussize="0,0"/>
              <v:stroke on="f"/>
              <v:imagedata o:title=""/>
              <o:lock v:ext="edit" aspectratio="f"/>
              <v:textbox inset="0mm,0mm,0mm,0mm">
                <w:txbxContent>
                  <w:p>
                    <w:pPr>
                      <w:spacing w:before="12"/>
                      <w:ind w:left="60"/>
                      <w:rPr>
                        <w:rFonts w:ascii="Times New Roman"/>
                        <w:sz w:val="18"/>
                      </w:rPr>
                    </w:pPr>
                    <w:r>
                      <w:fldChar w:fldCharType="begin"/>
                    </w:r>
                    <w:r>
                      <w:rPr>
                        <w:rFonts w:ascii="Times New Roman"/>
                        <w:sz w:val="18"/>
                      </w:rPr>
                      <w:instrText xml:space="preserve"> PAGE </w:instrText>
                    </w:r>
                    <w:r>
                      <w:fldChar w:fldCharType="separate"/>
                    </w:r>
                    <w:r>
                      <w:rPr>
                        <w:rFonts w:ascii="Times New Roman"/>
                        <w:sz w:val="18"/>
                      </w:rPr>
                      <w:t>66</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sz w:val="20"/>
      </w:rPr>
    </w:pPr>
    <w:r>
      <mc:AlternateContent>
        <mc:Choice Requires="wps">
          <w:drawing>
            <wp:anchor distT="0" distB="0" distL="114300" distR="114300" simplePos="0" relativeHeight="251674624" behindDoc="1" locked="0" layoutInCell="1" allowOverlap="1">
              <wp:simplePos x="0" y="0"/>
              <wp:positionH relativeFrom="page">
                <wp:posOffset>3783330</wp:posOffset>
              </wp:positionH>
              <wp:positionV relativeFrom="page">
                <wp:posOffset>10012680</wp:posOffset>
              </wp:positionV>
              <wp:extent cx="250190" cy="152400"/>
              <wp:effectExtent l="0" t="0" r="0" b="0"/>
              <wp:wrapNone/>
              <wp:docPr id="17" name="文本框 1"/>
              <wp:cNvGraphicFramePr/>
              <a:graphic xmlns:a="http://schemas.openxmlformats.org/drawingml/2006/main">
                <a:graphicData uri="http://schemas.microsoft.com/office/word/2010/wordprocessingShape">
                  <wps:wsp>
                    <wps:cNvSpPr txBox="1"/>
                    <wps:spPr>
                      <a:xfrm>
                        <a:off x="0" y="0"/>
                        <a:ext cx="250190" cy="152400"/>
                      </a:xfrm>
                      <a:prstGeom prst="rect">
                        <a:avLst/>
                      </a:prstGeom>
                      <a:noFill/>
                      <a:ln>
                        <a:noFill/>
                      </a:ln>
                    </wps:spPr>
                    <wps:txbx>
                      <w:txbxContent>
                        <w:p>
                          <w:pPr>
                            <w:spacing w:before="12"/>
                            <w:ind w:left="60"/>
                            <w:rPr>
                              <w:rFonts w:ascii="Times New Roman"/>
                              <w:sz w:val="18"/>
                            </w:rPr>
                          </w:pPr>
                          <w:r>
                            <w:fldChar w:fldCharType="begin"/>
                          </w:r>
                          <w:r>
                            <w:rPr>
                              <w:rFonts w:ascii="Times New Roman"/>
                              <w:sz w:val="18"/>
                            </w:rPr>
                            <w:instrText xml:space="preserve"> PAGE </w:instrText>
                          </w:r>
                          <w:r>
                            <w:fldChar w:fldCharType="separate"/>
                          </w:r>
                          <w:r>
                            <w:rPr>
                              <w:rFonts w:ascii="Times New Roman"/>
                              <w:sz w:val="18"/>
                            </w:rPr>
                            <w:t>117</w:t>
                          </w:r>
                          <w:r>
                            <w:fldChar w:fldCharType="end"/>
                          </w:r>
                        </w:p>
                      </w:txbxContent>
                    </wps:txbx>
                    <wps:bodyPr lIns="0" tIns="0" rIns="0" bIns="0" upright="1"/>
                  </wps:wsp>
                </a:graphicData>
              </a:graphic>
            </wp:anchor>
          </w:drawing>
        </mc:Choice>
        <mc:Fallback>
          <w:pict>
            <v:shape id="文本框 1" o:spid="_x0000_s1026" o:spt="202" type="#_x0000_t202" style="position:absolute;left:0pt;margin-left:297.9pt;margin-top:788.4pt;height:12pt;width:19.7pt;mso-position-horizontal-relative:page;mso-position-vertical-relative:page;z-index:-251641856;mso-width-relative:page;mso-height-relative:page;" filled="f" stroked="f" coordsize="21600,21600" o:gfxdata="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A6qnM52wAAAA0BAAAPAAAAAAAAAAEAIAAAACIAAABkcnMvZG93bnJldi54bWxQ&#10;SwECFAAUAAAACACHTuJA8nDMWLsBAAByAwAADgAAAAAAAAABACAAAAAqAQAAZHJzL2Uyb0RvYy54&#10;bWxQSwUGAAAAAAYABgBZAQAAVwUAAAAA&#10;">
              <v:fill on="f" focussize="0,0"/>
              <v:stroke on="f"/>
              <v:imagedata o:title=""/>
              <o:lock v:ext="edit" aspectratio="f"/>
              <v:textbox inset="0mm,0mm,0mm,0mm">
                <w:txbxContent>
                  <w:p>
                    <w:pPr>
                      <w:spacing w:before="12"/>
                      <w:ind w:left="60"/>
                      <w:rPr>
                        <w:rFonts w:ascii="Times New Roman"/>
                        <w:sz w:val="18"/>
                      </w:rPr>
                    </w:pPr>
                    <w:r>
                      <w:fldChar w:fldCharType="begin"/>
                    </w:r>
                    <w:r>
                      <w:rPr>
                        <w:rFonts w:ascii="Times New Roman"/>
                        <w:sz w:val="18"/>
                      </w:rPr>
                      <w:instrText xml:space="preserve"> PAGE </w:instrText>
                    </w:r>
                    <w:r>
                      <w:fldChar w:fldCharType="separate"/>
                    </w:r>
                    <w:r>
                      <w:rPr>
                        <w:rFonts w:ascii="Times New Roman"/>
                        <w:sz w:val="18"/>
                      </w:rPr>
                      <w:t>117</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ind w:left="425" w:leftChars="193"/>
      <w:rPr>
        <w:sz w:val="20"/>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sz w:val="20"/>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jc w:val="left"/>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sz w:val="20"/>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sz w:val="20"/>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sz w:val="20"/>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sz w:val="20"/>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sz w:val="20"/>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sz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1EB14D9"/>
    <w:multiLevelType w:val="singleLevel"/>
    <w:tmpl w:val="81EB14D9"/>
    <w:lvl w:ilvl="0" w:tentative="0">
      <w:start w:val="1"/>
      <w:numFmt w:val="chineseCounting"/>
      <w:suff w:val="space"/>
      <w:lvlText w:val="第%1章"/>
      <w:lvlJc w:val="left"/>
      <w:rPr>
        <w:rFonts w:hint="eastAsia"/>
      </w:rPr>
    </w:lvl>
  </w:abstractNum>
  <w:abstractNum w:abstractNumId="1">
    <w:nsid w:val="02D721D2"/>
    <w:multiLevelType w:val="multilevel"/>
    <w:tmpl w:val="02D721D2"/>
    <w:lvl w:ilvl="0" w:tentative="0">
      <w:start w:val="1"/>
      <w:numFmt w:val="decimal"/>
      <w:lvlText w:val="（%1）"/>
      <w:lvlJc w:val="left"/>
      <w:pPr>
        <w:ind w:left="1205" w:hanging="529"/>
      </w:pPr>
      <w:rPr>
        <w:rFonts w:hint="default" w:ascii="宋体" w:hAnsi="宋体" w:eastAsia="宋体" w:cs="宋体"/>
        <w:spacing w:val="-3"/>
        <w:w w:val="100"/>
        <w:sz w:val="19"/>
        <w:szCs w:val="19"/>
        <w:lang w:val="en-US" w:eastAsia="zh-CN" w:bidi="ar-SA"/>
      </w:rPr>
    </w:lvl>
    <w:lvl w:ilvl="1" w:tentative="0">
      <w:start w:val="0"/>
      <w:numFmt w:val="bullet"/>
      <w:lvlText w:val="•"/>
      <w:lvlJc w:val="left"/>
      <w:pPr>
        <w:ind w:left="2056" w:hanging="529"/>
      </w:pPr>
      <w:rPr>
        <w:rFonts w:hint="default"/>
        <w:lang w:val="en-US" w:eastAsia="zh-CN" w:bidi="ar-SA"/>
      </w:rPr>
    </w:lvl>
    <w:lvl w:ilvl="2" w:tentative="0">
      <w:start w:val="0"/>
      <w:numFmt w:val="bullet"/>
      <w:lvlText w:val="•"/>
      <w:lvlJc w:val="left"/>
      <w:pPr>
        <w:ind w:left="2913" w:hanging="529"/>
      </w:pPr>
      <w:rPr>
        <w:rFonts w:hint="default"/>
        <w:lang w:val="en-US" w:eastAsia="zh-CN" w:bidi="ar-SA"/>
      </w:rPr>
    </w:lvl>
    <w:lvl w:ilvl="3" w:tentative="0">
      <w:start w:val="0"/>
      <w:numFmt w:val="bullet"/>
      <w:lvlText w:val="•"/>
      <w:lvlJc w:val="left"/>
      <w:pPr>
        <w:ind w:left="3769" w:hanging="529"/>
      </w:pPr>
      <w:rPr>
        <w:rFonts w:hint="default"/>
        <w:lang w:val="en-US" w:eastAsia="zh-CN" w:bidi="ar-SA"/>
      </w:rPr>
    </w:lvl>
    <w:lvl w:ilvl="4" w:tentative="0">
      <w:start w:val="0"/>
      <w:numFmt w:val="bullet"/>
      <w:lvlText w:val="•"/>
      <w:lvlJc w:val="left"/>
      <w:pPr>
        <w:ind w:left="4626" w:hanging="529"/>
      </w:pPr>
      <w:rPr>
        <w:rFonts w:hint="default"/>
        <w:lang w:val="en-US" w:eastAsia="zh-CN" w:bidi="ar-SA"/>
      </w:rPr>
    </w:lvl>
    <w:lvl w:ilvl="5" w:tentative="0">
      <w:start w:val="0"/>
      <w:numFmt w:val="bullet"/>
      <w:lvlText w:val="•"/>
      <w:lvlJc w:val="left"/>
      <w:pPr>
        <w:ind w:left="5483" w:hanging="529"/>
      </w:pPr>
      <w:rPr>
        <w:rFonts w:hint="default"/>
        <w:lang w:val="en-US" w:eastAsia="zh-CN" w:bidi="ar-SA"/>
      </w:rPr>
    </w:lvl>
    <w:lvl w:ilvl="6" w:tentative="0">
      <w:start w:val="0"/>
      <w:numFmt w:val="bullet"/>
      <w:lvlText w:val="•"/>
      <w:lvlJc w:val="left"/>
      <w:pPr>
        <w:ind w:left="6339" w:hanging="529"/>
      </w:pPr>
      <w:rPr>
        <w:rFonts w:hint="default"/>
        <w:lang w:val="en-US" w:eastAsia="zh-CN" w:bidi="ar-SA"/>
      </w:rPr>
    </w:lvl>
    <w:lvl w:ilvl="7" w:tentative="0">
      <w:start w:val="0"/>
      <w:numFmt w:val="bullet"/>
      <w:lvlText w:val="•"/>
      <w:lvlJc w:val="left"/>
      <w:pPr>
        <w:ind w:left="7196" w:hanging="529"/>
      </w:pPr>
      <w:rPr>
        <w:rFonts w:hint="default"/>
        <w:lang w:val="en-US" w:eastAsia="zh-CN" w:bidi="ar-SA"/>
      </w:rPr>
    </w:lvl>
    <w:lvl w:ilvl="8" w:tentative="0">
      <w:start w:val="0"/>
      <w:numFmt w:val="bullet"/>
      <w:lvlText w:val="•"/>
      <w:lvlJc w:val="left"/>
      <w:pPr>
        <w:ind w:left="8053" w:hanging="529"/>
      </w:pPr>
      <w:rPr>
        <w:rFonts w:hint="default"/>
        <w:lang w:val="en-US" w:eastAsia="zh-CN" w:bidi="ar-SA"/>
      </w:rPr>
    </w:lvl>
  </w:abstractNum>
  <w:abstractNum w:abstractNumId="2">
    <w:nsid w:val="05B763B3"/>
    <w:multiLevelType w:val="multilevel"/>
    <w:tmpl w:val="05B763B3"/>
    <w:lvl w:ilvl="0" w:tentative="0">
      <w:start w:val="1"/>
      <w:numFmt w:val="decimal"/>
      <w:lvlText w:val="%1."/>
      <w:lvlJc w:val="left"/>
      <w:pPr>
        <w:ind w:left="835" w:hanging="160"/>
      </w:pPr>
      <w:rPr>
        <w:rFonts w:hint="default" w:ascii="Times New Roman" w:hAnsi="Times New Roman" w:eastAsia="Times New Roman" w:cs="Times New Roman"/>
        <w:spacing w:val="-1"/>
        <w:w w:val="100"/>
        <w:sz w:val="19"/>
        <w:szCs w:val="19"/>
        <w:lang w:val="en-US" w:eastAsia="zh-CN" w:bidi="ar-SA"/>
      </w:rPr>
    </w:lvl>
    <w:lvl w:ilvl="1" w:tentative="0">
      <w:start w:val="0"/>
      <w:numFmt w:val="bullet"/>
      <w:lvlText w:val="•"/>
      <w:lvlJc w:val="left"/>
      <w:pPr>
        <w:ind w:left="1732" w:hanging="160"/>
      </w:pPr>
      <w:rPr>
        <w:rFonts w:hint="default"/>
        <w:lang w:val="en-US" w:eastAsia="zh-CN" w:bidi="ar-SA"/>
      </w:rPr>
    </w:lvl>
    <w:lvl w:ilvl="2" w:tentative="0">
      <w:start w:val="0"/>
      <w:numFmt w:val="bullet"/>
      <w:lvlText w:val="•"/>
      <w:lvlJc w:val="left"/>
      <w:pPr>
        <w:ind w:left="2625" w:hanging="160"/>
      </w:pPr>
      <w:rPr>
        <w:rFonts w:hint="default"/>
        <w:lang w:val="en-US" w:eastAsia="zh-CN" w:bidi="ar-SA"/>
      </w:rPr>
    </w:lvl>
    <w:lvl w:ilvl="3" w:tentative="0">
      <w:start w:val="0"/>
      <w:numFmt w:val="bullet"/>
      <w:lvlText w:val="•"/>
      <w:lvlJc w:val="left"/>
      <w:pPr>
        <w:ind w:left="3517" w:hanging="160"/>
      </w:pPr>
      <w:rPr>
        <w:rFonts w:hint="default"/>
        <w:lang w:val="en-US" w:eastAsia="zh-CN" w:bidi="ar-SA"/>
      </w:rPr>
    </w:lvl>
    <w:lvl w:ilvl="4" w:tentative="0">
      <w:start w:val="0"/>
      <w:numFmt w:val="bullet"/>
      <w:lvlText w:val="•"/>
      <w:lvlJc w:val="left"/>
      <w:pPr>
        <w:ind w:left="4410" w:hanging="160"/>
      </w:pPr>
      <w:rPr>
        <w:rFonts w:hint="default"/>
        <w:lang w:val="en-US" w:eastAsia="zh-CN" w:bidi="ar-SA"/>
      </w:rPr>
    </w:lvl>
    <w:lvl w:ilvl="5" w:tentative="0">
      <w:start w:val="0"/>
      <w:numFmt w:val="bullet"/>
      <w:lvlText w:val="•"/>
      <w:lvlJc w:val="left"/>
      <w:pPr>
        <w:ind w:left="5303" w:hanging="160"/>
      </w:pPr>
      <w:rPr>
        <w:rFonts w:hint="default"/>
        <w:lang w:val="en-US" w:eastAsia="zh-CN" w:bidi="ar-SA"/>
      </w:rPr>
    </w:lvl>
    <w:lvl w:ilvl="6" w:tentative="0">
      <w:start w:val="0"/>
      <w:numFmt w:val="bullet"/>
      <w:lvlText w:val="•"/>
      <w:lvlJc w:val="left"/>
      <w:pPr>
        <w:ind w:left="6195" w:hanging="160"/>
      </w:pPr>
      <w:rPr>
        <w:rFonts w:hint="default"/>
        <w:lang w:val="en-US" w:eastAsia="zh-CN" w:bidi="ar-SA"/>
      </w:rPr>
    </w:lvl>
    <w:lvl w:ilvl="7" w:tentative="0">
      <w:start w:val="0"/>
      <w:numFmt w:val="bullet"/>
      <w:lvlText w:val="•"/>
      <w:lvlJc w:val="left"/>
      <w:pPr>
        <w:ind w:left="7088" w:hanging="160"/>
      </w:pPr>
      <w:rPr>
        <w:rFonts w:hint="default"/>
        <w:lang w:val="en-US" w:eastAsia="zh-CN" w:bidi="ar-SA"/>
      </w:rPr>
    </w:lvl>
    <w:lvl w:ilvl="8" w:tentative="0">
      <w:start w:val="0"/>
      <w:numFmt w:val="bullet"/>
      <w:lvlText w:val="•"/>
      <w:lvlJc w:val="left"/>
      <w:pPr>
        <w:ind w:left="7981" w:hanging="160"/>
      </w:pPr>
      <w:rPr>
        <w:rFonts w:hint="default"/>
        <w:lang w:val="en-US" w:eastAsia="zh-CN" w:bidi="ar-SA"/>
      </w:rPr>
    </w:lvl>
  </w:abstractNum>
  <w:abstractNum w:abstractNumId="3">
    <w:nsid w:val="063B2C10"/>
    <w:multiLevelType w:val="multilevel"/>
    <w:tmpl w:val="063B2C10"/>
    <w:lvl w:ilvl="0" w:tentative="0">
      <w:start w:val="1"/>
      <w:numFmt w:val="decimal"/>
      <w:lvlText w:val="（%1）"/>
      <w:lvlJc w:val="left"/>
      <w:pPr>
        <w:tabs>
          <w:tab w:val="left" w:pos="720"/>
        </w:tabs>
        <w:ind w:left="720" w:hanging="720"/>
      </w:pPr>
      <w:rPr>
        <w:rFonts w:hint="default"/>
      </w:rPr>
    </w:lvl>
    <w:lvl w:ilvl="1" w:tentative="0">
      <w:start w:val="1"/>
      <w:numFmt w:val="upperLetter"/>
      <w:lvlText w:val="%2．"/>
      <w:lvlJc w:val="left"/>
      <w:pPr>
        <w:tabs>
          <w:tab w:val="left" w:pos="780"/>
        </w:tabs>
        <w:ind w:left="780" w:hanging="360"/>
      </w:pPr>
      <w:rPr>
        <w:rFonts w:hint="default"/>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4">
    <w:nsid w:val="1224201B"/>
    <w:multiLevelType w:val="multilevel"/>
    <w:tmpl w:val="1224201B"/>
    <w:lvl w:ilvl="0" w:tentative="0">
      <w:start w:val="1"/>
      <w:numFmt w:val="decimal"/>
      <w:lvlText w:val="（%1）"/>
      <w:lvlJc w:val="left"/>
      <w:pPr>
        <w:ind w:left="1205" w:hanging="529"/>
      </w:pPr>
      <w:rPr>
        <w:rFonts w:hint="default" w:ascii="宋体" w:hAnsi="宋体" w:eastAsia="宋体" w:cs="宋体"/>
        <w:spacing w:val="-3"/>
        <w:w w:val="100"/>
        <w:sz w:val="19"/>
        <w:szCs w:val="19"/>
        <w:lang w:val="en-US" w:eastAsia="zh-CN" w:bidi="ar-SA"/>
      </w:rPr>
    </w:lvl>
    <w:lvl w:ilvl="1" w:tentative="0">
      <w:start w:val="0"/>
      <w:numFmt w:val="bullet"/>
      <w:lvlText w:val="•"/>
      <w:lvlJc w:val="left"/>
      <w:pPr>
        <w:ind w:left="2056" w:hanging="529"/>
      </w:pPr>
      <w:rPr>
        <w:rFonts w:hint="default"/>
        <w:lang w:val="en-US" w:eastAsia="zh-CN" w:bidi="ar-SA"/>
      </w:rPr>
    </w:lvl>
    <w:lvl w:ilvl="2" w:tentative="0">
      <w:start w:val="0"/>
      <w:numFmt w:val="bullet"/>
      <w:lvlText w:val="•"/>
      <w:lvlJc w:val="left"/>
      <w:pPr>
        <w:ind w:left="2913" w:hanging="529"/>
      </w:pPr>
      <w:rPr>
        <w:rFonts w:hint="default"/>
        <w:lang w:val="en-US" w:eastAsia="zh-CN" w:bidi="ar-SA"/>
      </w:rPr>
    </w:lvl>
    <w:lvl w:ilvl="3" w:tentative="0">
      <w:start w:val="0"/>
      <w:numFmt w:val="bullet"/>
      <w:lvlText w:val="•"/>
      <w:lvlJc w:val="left"/>
      <w:pPr>
        <w:ind w:left="3769" w:hanging="529"/>
      </w:pPr>
      <w:rPr>
        <w:rFonts w:hint="default"/>
        <w:lang w:val="en-US" w:eastAsia="zh-CN" w:bidi="ar-SA"/>
      </w:rPr>
    </w:lvl>
    <w:lvl w:ilvl="4" w:tentative="0">
      <w:start w:val="0"/>
      <w:numFmt w:val="bullet"/>
      <w:lvlText w:val="•"/>
      <w:lvlJc w:val="left"/>
      <w:pPr>
        <w:ind w:left="4626" w:hanging="529"/>
      </w:pPr>
      <w:rPr>
        <w:rFonts w:hint="default"/>
        <w:lang w:val="en-US" w:eastAsia="zh-CN" w:bidi="ar-SA"/>
      </w:rPr>
    </w:lvl>
    <w:lvl w:ilvl="5" w:tentative="0">
      <w:start w:val="0"/>
      <w:numFmt w:val="bullet"/>
      <w:lvlText w:val="•"/>
      <w:lvlJc w:val="left"/>
      <w:pPr>
        <w:ind w:left="5483" w:hanging="529"/>
      </w:pPr>
      <w:rPr>
        <w:rFonts w:hint="default"/>
        <w:lang w:val="en-US" w:eastAsia="zh-CN" w:bidi="ar-SA"/>
      </w:rPr>
    </w:lvl>
    <w:lvl w:ilvl="6" w:tentative="0">
      <w:start w:val="0"/>
      <w:numFmt w:val="bullet"/>
      <w:lvlText w:val="•"/>
      <w:lvlJc w:val="left"/>
      <w:pPr>
        <w:ind w:left="6339" w:hanging="529"/>
      </w:pPr>
      <w:rPr>
        <w:rFonts w:hint="default"/>
        <w:lang w:val="en-US" w:eastAsia="zh-CN" w:bidi="ar-SA"/>
      </w:rPr>
    </w:lvl>
    <w:lvl w:ilvl="7" w:tentative="0">
      <w:start w:val="0"/>
      <w:numFmt w:val="bullet"/>
      <w:lvlText w:val="•"/>
      <w:lvlJc w:val="left"/>
      <w:pPr>
        <w:ind w:left="7196" w:hanging="529"/>
      </w:pPr>
      <w:rPr>
        <w:rFonts w:hint="default"/>
        <w:lang w:val="en-US" w:eastAsia="zh-CN" w:bidi="ar-SA"/>
      </w:rPr>
    </w:lvl>
    <w:lvl w:ilvl="8" w:tentative="0">
      <w:start w:val="0"/>
      <w:numFmt w:val="bullet"/>
      <w:lvlText w:val="•"/>
      <w:lvlJc w:val="left"/>
      <w:pPr>
        <w:ind w:left="8053" w:hanging="529"/>
      </w:pPr>
      <w:rPr>
        <w:rFonts w:hint="default"/>
        <w:lang w:val="en-US" w:eastAsia="zh-CN" w:bidi="ar-SA"/>
      </w:rPr>
    </w:lvl>
  </w:abstractNum>
  <w:abstractNum w:abstractNumId="5">
    <w:nsid w:val="1242193D"/>
    <w:multiLevelType w:val="multilevel"/>
    <w:tmpl w:val="1242193D"/>
    <w:lvl w:ilvl="0" w:tentative="0">
      <w:start w:val="2"/>
      <w:numFmt w:val="decimal"/>
      <w:lvlText w:val="%1."/>
      <w:lvlJc w:val="left"/>
      <w:pPr>
        <w:ind w:left="1124" w:hanging="324"/>
      </w:pPr>
      <w:rPr>
        <w:rFonts w:hint="default" w:ascii="宋体" w:hAnsi="宋体" w:eastAsia="宋体" w:cs="宋体"/>
        <w:b/>
        <w:bCs/>
        <w:spacing w:val="1"/>
        <w:w w:val="98"/>
        <w:sz w:val="30"/>
        <w:szCs w:val="30"/>
        <w:lang w:val="en-US" w:eastAsia="zh-CN" w:bidi="ar-SA"/>
      </w:rPr>
    </w:lvl>
    <w:lvl w:ilvl="1" w:tentative="0">
      <w:start w:val="1"/>
      <w:numFmt w:val="decimal"/>
      <w:lvlText w:val="%2."/>
      <w:lvlJc w:val="left"/>
      <w:pPr>
        <w:ind w:left="658" w:hanging="213"/>
      </w:pPr>
      <w:rPr>
        <w:rFonts w:hint="default" w:ascii="宋体" w:hAnsi="宋体" w:eastAsia="宋体" w:cs="宋体"/>
        <w:w w:val="100"/>
        <w:sz w:val="19"/>
        <w:szCs w:val="19"/>
        <w:lang w:val="en-US" w:eastAsia="zh-CN" w:bidi="ar-SA"/>
      </w:rPr>
    </w:lvl>
    <w:lvl w:ilvl="2" w:tentative="0">
      <w:start w:val="0"/>
      <w:numFmt w:val="bullet"/>
      <w:lvlText w:val="•"/>
      <w:lvlJc w:val="left"/>
      <w:pPr>
        <w:ind w:left="2148" w:hanging="213"/>
      </w:pPr>
      <w:rPr>
        <w:rFonts w:hint="default"/>
        <w:lang w:val="en-US" w:eastAsia="zh-CN" w:bidi="ar-SA"/>
      </w:rPr>
    </w:lvl>
    <w:lvl w:ilvl="3" w:tentative="0">
      <w:start w:val="0"/>
      <w:numFmt w:val="bullet"/>
      <w:lvlText w:val="•"/>
      <w:lvlJc w:val="left"/>
      <w:pPr>
        <w:ind w:left="3177" w:hanging="213"/>
      </w:pPr>
      <w:rPr>
        <w:rFonts w:hint="default"/>
        <w:lang w:val="en-US" w:eastAsia="zh-CN" w:bidi="ar-SA"/>
      </w:rPr>
    </w:lvl>
    <w:lvl w:ilvl="4" w:tentative="0">
      <w:start w:val="0"/>
      <w:numFmt w:val="bullet"/>
      <w:lvlText w:val="•"/>
      <w:lvlJc w:val="left"/>
      <w:pPr>
        <w:ind w:left="4206" w:hanging="213"/>
      </w:pPr>
      <w:rPr>
        <w:rFonts w:hint="default"/>
        <w:lang w:val="en-US" w:eastAsia="zh-CN" w:bidi="ar-SA"/>
      </w:rPr>
    </w:lvl>
    <w:lvl w:ilvl="5" w:tentative="0">
      <w:start w:val="0"/>
      <w:numFmt w:val="bullet"/>
      <w:lvlText w:val="•"/>
      <w:lvlJc w:val="left"/>
      <w:pPr>
        <w:ind w:left="5235" w:hanging="213"/>
      </w:pPr>
      <w:rPr>
        <w:rFonts w:hint="default"/>
        <w:lang w:val="en-US" w:eastAsia="zh-CN" w:bidi="ar-SA"/>
      </w:rPr>
    </w:lvl>
    <w:lvl w:ilvl="6" w:tentative="0">
      <w:start w:val="0"/>
      <w:numFmt w:val="bullet"/>
      <w:lvlText w:val="•"/>
      <w:lvlJc w:val="left"/>
      <w:pPr>
        <w:ind w:left="6264" w:hanging="213"/>
      </w:pPr>
      <w:rPr>
        <w:rFonts w:hint="default"/>
        <w:lang w:val="en-US" w:eastAsia="zh-CN" w:bidi="ar-SA"/>
      </w:rPr>
    </w:lvl>
    <w:lvl w:ilvl="7" w:tentative="0">
      <w:start w:val="0"/>
      <w:numFmt w:val="bullet"/>
      <w:lvlText w:val="•"/>
      <w:lvlJc w:val="left"/>
      <w:pPr>
        <w:ind w:left="7292" w:hanging="213"/>
      </w:pPr>
      <w:rPr>
        <w:rFonts w:hint="default"/>
        <w:lang w:val="en-US" w:eastAsia="zh-CN" w:bidi="ar-SA"/>
      </w:rPr>
    </w:lvl>
    <w:lvl w:ilvl="8" w:tentative="0">
      <w:start w:val="0"/>
      <w:numFmt w:val="bullet"/>
      <w:lvlText w:val="•"/>
      <w:lvlJc w:val="left"/>
      <w:pPr>
        <w:ind w:left="8321" w:hanging="213"/>
      </w:pPr>
      <w:rPr>
        <w:rFonts w:hint="default"/>
        <w:lang w:val="en-US" w:eastAsia="zh-CN" w:bidi="ar-SA"/>
      </w:rPr>
    </w:lvl>
  </w:abstractNum>
  <w:abstractNum w:abstractNumId="6">
    <w:nsid w:val="18940E0C"/>
    <w:multiLevelType w:val="multilevel"/>
    <w:tmpl w:val="18940E0C"/>
    <w:lvl w:ilvl="0" w:tentative="0">
      <w:start w:val="1"/>
      <w:numFmt w:val="decimal"/>
      <w:lvlText w:val="（%1）"/>
      <w:lvlJc w:val="left"/>
      <w:pPr>
        <w:ind w:left="251" w:hanging="529"/>
      </w:pPr>
      <w:rPr>
        <w:rFonts w:hint="default" w:ascii="宋体" w:hAnsi="宋体" w:eastAsia="宋体" w:cs="宋体"/>
        <w:spacing w:val="-3"/>
        <w:w w:val="100"/>
        <w:sz w:val="19"/>
        <w:szCs w:val="19"/>
        <w:lang w:val="en-US" w:eastAsia="zh-CN" w:bidi="ar-SA"/>
      </w:rPr>
    </w:lvl>
    <w:lvl w:ilvl="1" w:tentative="0">
      <w:start w:val="0"/>
      <w:numFmt w:val="bullet"/>
      <w:lvlText w:val="•"/>
      <w:lvlJc w:val="left"/>
      <w:pPr>
        <w:ind w:left="1210" w:hanging="529"/>
      </w:pPr>
      <w:rPr>
        <w:rFonts w:hint="default"/>
        <w:lang w:val="en-US" w:eastAsia="zh-CN" w:bidi="ar-SA"/>
      </w:rPr>
    </w:lvl>
    <w:lvl w:ilvl="2" w:tentative="0">
      <w:start w:val="0"/>
      <w:numFmt w:val="bullet"/>
      <w:lvlText w:val="•"/>
      <w:lvlJc w:val="left"/>
      <w:pPr>
        <w:ind w:left="2161" w:hanging="529"/>
      </w:pPr>
      <w:rPr>
        <w:rFonts w:hint="default"/>
        <w:lang w:val="en-US" w:eastAsia="zh-CN" w:bidi="ar-SA"/>
      </w:rPr>
    </w:lvl>
    <w:lvl w:ilvl="3" w:tentative="0">
      <w:start w:val="0"/>
      <w:numFmt w:val="bullet"/>
      <w:lvlText w:val="•"/>
      <w:lvlJc w:val="left"/>
      <w:pPr>
        <w:ind w:left="3111" w:hanging="529"/>
      </w:pPr>
      <w:rPr>
        <w:rFonts w:hint="default"/>
        <w:lang w:val="en-US" w:eastAsia="zh-CN" w:bidi="ar-SA"/>
      </w:rPr>
    </w:lvl>
    <w:lvl w:ilvl="4" w:tentative="0">
      <w:start w:val="0"/>
      <w:numFmt w:val="bullet"/>
      <w:lvlText w:val="•"/>
      <w:lvlJc w:val="left"/>
      <w:pPr>
        <w:ind w:left="4062" w:hanging="529"/>
      </w:pPr>
      <w:rPr>
        <w:rFonts w:hint="default"/>
        <w:lang w:val="en-US" w:eastAsia="zh-CN" w:bidi="ar-SA"/>
      </w:rPr>
    </w:lvl>
    <w:lvl w:ilvl="5" w:tentative="0">
      <w:start w:val="0"/>
      <w:numFmt w:val="bullet"/>
      <w:lvlText w:val="•"/>
      <w:lvlJc w:val="left"/>
      <w:pPr>
        <w:ind w:left="5013" w:hanging="529"/>
      </w:pPr>
      <w:rPr>
        <w:rFonts w:hint="default"/>
        <w:lang w:val="en-US" w:eastAsia="zh-CN" w:bidi="ar-SA"/>
      </w:rPr>
    </w:lvl>
    <w:lvl w:ilvl="6" w:tentative="0">
      <w:start w:val="0"/>
      <w:numFmt w:val="bullet"/>
      <w:lvlText w:val="•"/>
      <w:lvlJc w:val="left"/>
      <w:pPr>
        <w:ind w:left="5963" w:hanging="529"/>
      </w:pPr>
      <w:rPr>
        <w:rFonts w:hint="default"/>
        <w:lang w:val="en-US" w:eastAsia="zh-CN" w:bidi="ar-SA"/>
      </w:rPr>
    </w:lvl>
    <w:lvl w:ilvl="7" w:tentative="0">
      <w:start w:val="0"/>
      <w:numFmt w:val="bullet"/>
      <w:lvlText w:val="•"/>
      <w:lvlJc w:val="left"/>
      <w:pPr>
        <w:ind w:left="6914" w:hanging="529"/>
      </w:pPr>
      <w:rPr>
        <w:rFonts w:hint="default"/>
        <w:lang w:val="en-US" w:eastAsia="zh-CN" w:bidi="ar-SA"/>
      </w:rPr>
    </w:lvl>
    <w:lvl w:ilvl="8" w:tentative="0">
      <w:start w:val="0"/>
      <w:numFmt w:val="bullet"/>
      <w:lvlText w:val="•"/>
      <w:lvlJc w:val="left"/>
      <w:pPr>
        <w:ind w:left="7865" w:hanging="529"/>
      </w:pPr>
      <w:rPr>
        <w:rFonts w:hint="default"/>
        <w:lang w:val="en-US" w:eastAsia="zh-CN" w:bidi="ar-SA"/>
      </w:rPr>
    </w:lvl>
  </w:abstractNum>
  <w:abstractNum w:abstractNumId="7">
    <w:nsid w:val="1AB25E41"/>
    <w:multiLevelType w:val="multilevel"/>
    <w:tmpl w:val="1AB25E41"/>
    <w:lvl w:ilvl="0" w:tentative="0">
      <w:start w:val="1"/>
      <w:numFmt w:val="decimal"/>
      <w:lvlText w:val="（%1）"/>
      <w:lvlJc w:val="left"/>
      <w:pPr>
        <w:ind w:left="251" w:hanging="534"/>
      </w:pPr>
      <w:rPr>
        <w:rFonts w:hint="default" w:ascii="宋体" w:hAnsi="宋体" w:eastAsia="宋体" w:cs="宋体"/>
        <w:spacing w:val="0"/>
        <w:w w:val="100"/>
        <w:sz w:val="19"/>
        <w:szCs w:val="19"/>
        <w:lang w:val="en-US" w:eastAsia="zh-CN" w:bidi="ar-SA"/>
      </w:rPr>
    </w:lvl>
    <w:lvl w:ilvl="1" w:tentative="0">
      <w:start w:val="0"/>
      <w:numFmt w:val="bullet"/>
      <w:lvlText w:val="•"/>
      <w:lvlJc w:val="left"/>
      <w:pPr>
        <w:ind w:left="1210" w:hanging="534"/>
      </w:pPr>
      <w:rPr>
        <w:rFonts w:hint="default"/>
        <w:lang w:val="en-US" w:eastAsia="zh-CN" w:bidi="ar-SA"/>
      </w:rPr>
    </w:lvl>
    <w:lvl w:ilvl="2" w:tentative="0">
      <w:start w:val="0"/>
      <w:numFmt w:val="bullet"/>
      <w:lvlText w:val="•"/>
      <w:lvlJc w:val="left"/>
      <w:pPr>
        <w:ind w:left="2161" w:hanging="534"/>
      </w:pPr>
      <w:rPr>
        <w:rFonts w:hint="default"/>
        <w:lang w:val="en-US" w:eastAsia="zh-CN" w:bidi="ar-SA"/>
      </w:rPr>
    </w:lvl>
    <w:lvl w:ilvl="3" w:tentative="0">
      <w:start w:val="0"/>
      <w:numFmt w:val="bullet"/>
      <w:lvlText w:val="•"/>
      <w:lvlJc w:val="left"/>
      <w:pPr>
        <w:ind w:left="3111" w:hanging="534"/>
      </w:pPr>
      <w:rPr>
        <w:rFonts w:hint="default"/>
        <w:lang w:val="en-US" w:eastAsia="zh-CN" w:bidi="ar-SA"/>
      </w:rPr>
    </w:lvl>
    <w:lvl w:ilvl="4" w:tentative="0">
      <w:start w:val="0"/>
      <w:numFmt w:val="bullet"/>
      <w:lvlText w:val="•"/>
      <w:lvlJc w:val="left"/>
      <w:pPr>
        <w:ind w:left="4062" w:hanging="534"/>
      </w:pPr>
      <w:rPr>
        <w:rFonts w:hint="default"/>
        <w:lang w:val="en-US" w:eastAsia="zh-CN" w:bidi="ar-SA"/>
      </w:rPr>
    </w:lvl>
    <w:lvl w:ilvl="5" w:tentative="0">
      <w:start w:val="0"/>
      <w:numFmt w:val="bullet"/>
      <w:lvlText w:val="•"/>
      <w:lvlJc w:val="left"/>
      <w:pPr>
        <w:ind w:left="5013" w:hanging="534"/>
      </w:pPr>
      <w:rPr>
        <w:rFonts w:hint="default"/>
        <w:lang w:val="en-US" w:eastAsia="zh-CN" w:bidi="ar-SA"/>
      </w:rPr>
    </w:lvl>
    <w:lvl w:ilvl="6" w:tentative="0">
      <w:start w:val="0"/>
      <w:numFmt w:val="bullet"/>
      <w:lvlText w:val="•"/>
      <w:lvlJc w:val="left"/>
      <w:pPr>
        <w:ind w:left="5963" w:hanging="534"/>
      </w:pPr>
      <w:rPr>
        <w:rFonts w:hint="default"/>
        <w:lang w:val="en-US" w:eastAsia="zh-CN" w:bidi="ar-SA"/>
      </w:rPr>
    </w:lvl>
    <w:lvl w:ilvl="7" w:tentative="0">
      <w:start w:val="0"/>
      <w:numFmt w:val="bullet"/>
      <w:lvlText w:val="•"/>
      <w:lvlJc w:val="left"/>
      <w:pPr>
        <w:ind w:left="6914" w:hanging="534"/>
      </w:pPr>
      <w:rPr>
        <w:rFonts w:hint="default"/>
        <w:lang w:val="en-US" w:eastAsia="zh-CN" w:bidi="ar-SA"/>
      </w:rPr>
    </w:lvl>
    <w:lvl w:ilvl="8" w:tentative="0">
      <w:start w:val="0"/>
      <w:numFmt w:val="bullet"/>
      <w:lvlText w:val="•"/>
      <w:lvlJc w:val="left"/>
      <w:pPr>
        <w:ind w:left="7865" w:hanging="534"/>
      </w:pPr>
      <w:rPr>
        <w:rFonts w:hint="default"/>
        <w:lang w:val="en-US" w:eastAsia="zh-CN" w:bidi="ar-SA"/>
      </w:rPr>
    </w:lvl>
  </w:abstractNum>
  <w:abstractNum w:abstractNumId="8">
    <w:nsid w:val="1E294866"/>
    <w:multiLevelType w:val="multilevel"/>
    <w:tmpl w:val="1E294866"/>
    <w:lvl w:ilvl="0" w:tentative="0">
      <w:start w:val="1"/>
      <w:numFmt w:val="decimal"/>
      <w:lvlText w:val="%1."/>
      <w:lvlJc w:val="left"/>
      <w:pPr>
        <w:ind w:left="330" w:hanging="213"/>
      </w:pPr>
      <w:rPr>
        <w:rFonts w:hint="default" w:ascii="宋体" w:hAnsi="宋体" w:eastAsia="宋体" w:cs="宋体"/>
        <w:w w:val="100"/>
        <w:sz w:val="19"/>
        <w:szCs w:val="19"/>
        <w:lang w:val="en-US" w:eastAsia="zh-CN" w:bidi="ar-SA"/>
      </w:rPr>
    </w:lvl>
    <w:lvl w:ilvl="1" w:tentative="0">
      <w:start w:val="0"/>
      <w:numFmt w:val="bullet"/>
      <w:lvlText w:val="•"/>
      <w:lvlJc w:val="left"/>
      <w:pPr>
        <w:ind w:left="968" w:hanging="213"/>
      </w:pPr>
      <w:rPr>
        <w:rFonts w:hint="default"/>
        <w:lang w:val="en-US" w:eastAsia="zh-CN" w:bidi="ar-SA"/>
      </w:rPr>
    </w:lvl>
    <w:lvl w:ilvl="2" w:tentative="0">
      <w:start w:val="0"/>
      <w:numFmt w:val="bullet"/>
      <w:lvlText w:val="•"/>
      <w:lvlJc w:val="left"/>
      <w:pPr>
        <w:ind w:left="1597" w:hanging="213"/>
      </w:pPr>
      <w:rPr>
        <w:rFonts w:hint="default"/>
        <w:lang w:val="en-US" w:eastAsia="zh-CN" w:bidi="ar-SA"/>
      </w:rPr>
    </w:lvl>
    <w:lvl w:ilvl="3" w:tentative="0">
      <w:start w:val="0"/>
      <w:numFmt w:val="bullet"/>
      <w:lvlText w:val="•"/>
      <w:lvlJc w:val="left"/>
      <w:pPr>
        <w:ind w:left="2226" w:hanging="213"/>
      </w:pPr>
      <w:rPr>
        <w:rFonts w:hint="default"/>
        <w:lang w:val="en-US" w:eastAsia="zh-CN" w:bidi="ar-SA"/>
      </w:rPr>
    </w:lvl>
    <w:lvl w:ilvl="4" w:tentative="0">
      <w:start w:val="0"/>
      <w:numFmt w:val="bullet"/>
      <w:lvlText w:val="•"/>
      <w:lvlJc w:val="left"/>
      <w:pPr>
        <w:ind w:left="2854" w:hanging="213"/>
      </w:pPr>
      <w:rPr>
        <w:rFonts w:hint="default"/>
        <w:lang w:val="en-US" w:eastAsia="zh-CN" w:bidi="ar-SA"/>
      </w:rPr>
    </w:lvl>
    <w:lvl w:ilvl="5" w:tentative="0">
      <w:start w:val="0"/>
      <w:numFmt w:val="bullet"/>
      <w:lvlText w:val="•"/>
      <w:lvlJc w:val="left"/>
      <w:pPr>
        <w:ind w:left="3483" w:hanging="213"/>
      </w:pPr>
      <w:rPr>
        <w:rFonts w:hint="default"/>
        <w:lang w:val="en-US" w:eastAsia="zh-CN" w:bidi="ar-SA"/>
      </w:rPr>
    </w:lvl>
    <w:lvl w:ilvl="6" w:tentative="0">
      <w:start w:val="0"/>
      <w:numFmt w:val="bullet"/>
      <w:lvlText w:val="•"/>
      <w:lvlJc w:val="left"/>
      <w:pPr>
        <w:ind w:left="4112" w:hanging="213"/>
      </w:pPr>
      <w:rPr>
        <w:rFonts w:hint="default"/>
        <w:lang w:val="en-US" w:eastAsia="zh-CN" w:bidi="ar-SA"/>
      </w:rPr>
    </w:lvl>
    <w:lvl w:ilvl="7" w:tentative="0">
      <w:start w:val="0"/>
      <w:numFmt w:val="bullet"/>
      <w:lvlText w:val="•"/>
      <w:lvlJc w:val="left"/>
      <w:pPr>
        <w:ind w:left="4740" w:hanging="213"/>
      </w:pPr>
      <w:rPr>
        <w:rFonts w:hint="default"/>
        <w:lang w:val="en-US" w:eastAsia="zh-CN" w:bidi="ar-SA"/>
      </w:rPr>
    </w:lvl>
    <w:lvl w:ilvl="8" w:tentative="0">
      <w:start w:val="0"/>
      <w:numFmt w:val="bullet"/>
      <w:lvlText w:val="•"/>
      <w:lvlJc w:val="left"/>
      <w:pPr>
        <w:ind w:left="5369" w:hanging="213"/>
      </w:pPr>
      <w:rPr>
        <w:rFonts w:hint="default"/>
        <w:lang w:val="en-US" w:eastAsia="zh-CN" w:bidi="ar-SA"/>
      </w:rPr>
    </w:lvl>
  </w:abstractNum>
  <w:abstractNum w:abstractNumId="9">
    <w:nsid w:val="1F412D83"/>
    <w:multiLevelType w:val="multilevel"/>
    <w:tmpl w:val="1F412D83"/>
    <w:lvl w:ilvl="0" w:tentative="0">
      <w:start w:val="1"/>
      <w:numFmt w:val="decimal"/>
      <w:lvlText w:val="%1."/>
      <w:lvlJc w:val="left"/>
      <w:pPr>
        <w:ind w:left="658" w:hanging="241"/>
      </w:pPr>
      <w:rPr>
        <w:rFonts w:hint="default" w:ascii="宋体" w:hAnsi="宋体" w:eastAsia="宋体" w:cs="宋体"/>
        <w:spacing w:val="-1"/>
        <w:w w:val="100"/>
        <w:sz w:val="22"/>
        <w:szCs w:val="22"/>
        <w:lang w:val="en-US" w:eastAsia="zh-CN" w:bidi="ar-SA"/>
      </w:rPr>
    </w:lvl>
    <w:lvl w:ilvl="1" w:tentative="0">
      <w:start w:val="0"/>
      <w:numFmt w:val="bullet"/>
      <w:lvlText w:val="•"/>
      <w:lvlJc w:val="left"/>
      <w:pPr>
        <w:ind w:left="1631" w:hanging="241"/>
      </w:pPr>
      <w:rPr>
        <w:rFonts w:hint="default"/>
        <w:lang w:val="en-US" w:eastAsia="zh-CN" w:bidi="ar-SA"/>
      </w:rPr>
    </w:lvl>
    <w:lvl w:ilvl="2" w:tentative="0">
      <w:start w:val="0"/>
      <w:numFmt w:val="bullet"/>
      <w:lvlText w:val="•"/>
      <w:lvlJc w:val="left"/>
      <w:pPr>
        <w:ind w:left="2603" w:hanging="241"/>
      </w:pPr>
      <w:rPr>
        <w:rFonts w:hint="default"/>
        <w:lang w:val="en-US" w:eastAsia="zh-CN" w:bidi="ar-SA"/>
      </w:rPr>
    </w:lvl>
    <w:lvl w:ilvl="3" w:tentative="0">
      <w:start w:val="0"/>
      <w:numFmt w:val="bullet"/>
      <w:lvlText w:val="•"/>
      <w:lvlJc w:val="left"/>
      <w:pPr>
        <w:ind w:left="3575" w:hanging="241"/>
      </w:pPr>
      <w:rPr>
        <w:rFonts w:hint="default"/>
        <w:lang w:val="en-US" w:eastAsia="zh-CN" w:bidi="ar-SA"/>
      </w:rPr>
    </w:lvl>
    <w:lvl w:ilvl="4" w:tentative="0">
      <w:start w:val="0"/>
      <w:numFmt w:val="bullet"/>
      <w:lvlText w:val="•"/>
      <w:lvlJc w:val="left"/>
      <w:pPr>
        <w:ind w:left="4547" w:hanging="241"/>
      </w:pPr>
      <w:rPr>
        <w:rFonts w:hint="default"/>
        <w:lang w:val="en-US" w:eastAsia="zh-CN" w:bidi="ar-SA"/>
      </w:rPr>
    </w:lvl>
    <w:lvl w:ilvl="5" w:tentative="0">
      <w:start w:val="0"/>
      <w:numFmt w:val="bullet"/>
      <w:lvlText w:val="•"/>
      <w:lvlJc w:val="left"/>
      <w:pPr>
        <w:ind w:left="5519" w:hanging="241"/>
      </w:pPr>
      <w:rPr>
        <w:rFonts w:hint="default"/>
        <w:lang w:val="en-US" w:eastAsia="zh-CN" w:bidi="ar-SA"/>
      </w:rPr>
    </w:lvl>
    <w:lvl w:ilvl="6" w:tentative="0">
      <w:start w:val="0"/>
      <w:numFmt w:val="bullet"/>
      <w:lvlText w:val="•"/>
      <w:lvlJc w:val="left"/>
      <w:pPr>
        <w:ind w:left="6491" w:hanging="241"/>
      </w:pPr>
      <w:rPr>
        <w:rFonts w:hint="default"/>
        <w:lang w:val="en-US" w:eastAsia="zh-CN" w:bidi="ar-SA"/>
      </w:rPr>
    </w:lvl>
    <w:lvl w:ilvl="7" w:tentative="0">
      <w:start w:val="0"/>
      <w:numFmt w:val="bullet"/>
      <w:lvlText w:val="•"/>
      <w:lvlJc w:val="left"/>
      <w:pPr>
        <w:ind w:left="7463" w:hanging="241"/>
      </w:pPr>
      <w:rPr>
        <w:rFonts w:hint="default"/>
        <w:lang w:val="en-US" w:eastAsia="zh-CN" w:bidi="ar-SA"/>
      </w:rPr>
    </w:lvl>
    <w:lvl w:ilvl="8" w:tentative="0">
      <w:start w:val="0"/>
      <w:numFmt w:val="bullet"/>
      <w:lvlText w:val="•"/>
      <w:lvlJc w:val="left"/>
      <w:pPr>
        <w:ind w:left="8435" w:hanging="241"/>
      </w:pPr>
      <w:rPr>
        <w:rFonts w:hint="default"/>
        <w:lang w:val="en-US" w:eastAsia="zh-CN" w:bidi="ar-SA"/>
      </w:rPr>
    </w:lvl>
  </w:abstractNum>
  <w:abstractNum w:abstractNumId="10">
    <w:nsid w:val="304513E7"/>
    <w:multiLevelType w:val="multilevel"/>
    <w:tmpl w:val="304513E7"/>
    <w:lvl w:ilvl="0" w:tentative="0">
      <w:start w:val="1"/>
      <w:numFmt w:val="decimal"/>
      <w:lvlText w:val="%1."/>
      <w:lvlJc w:val="left"/>
      <w:pPr>
        <w:ind w:left="1088" w:hanging="430"/>
        <w:jc w:val="right"/>
      </w:pPr>
      <w:rPr>
        <w:rFonts w:hint="default" w:ascii="宋体" w:hAnsi="宋体" w:eastAsia="宋体" w:cs="宋体"/>
        <w:b/>
        <w:bCs/>
        <w:spacing w:val="0"/>
        <w:w w:val="98"/>
        <w:sz w:val="32"/>
        <w:szCs w:val="32"/>
        <w:lang w:val="en-US" w:eastAsia="zh-CN" w:bidi="ar-SA"/>
      </w:rPr>
    </w:lvl>
    <w:lvl w:ilvl="1" w:tentative="0">
      <w:start w:val="1"/>
      <w:numFmt w:val="decimal"/>
      <w:lvlText w:val="%2."/>
      <w:lvlJc w:val="left"/>
      <w:pPr>
        <w:ind w:left="1513" w:hanging="334"/>
      </w:pPr>
      <w:rPr>
        <w:rFonts w:hint="default" w:ascii="宋体" w:hAnsi="宋体" w:eastAsia="宋体" w:cs="宋体"/>
        <w:w w:val="100"/>
        <w:sz w:val="21"/>
        <w:szCs w:val="21"/>
        <w:lang w:val="en-US" w:eastAsia="zh-CN" w:bidi="ar-SA"/>
      </w:rPr>
    </w:lvl>
    <w:lvl w:ilvl="2" w:tentative="0">
      <w:start w:val="1"/>
      <w:numFmt w:val="decimal"/>
      <w:lvlText w:val="(%3)"/>
      <w:lvlJc w:val="left"/>
      <w:pPr>
        <w:ind w:left="1794" w:hanging="495"/>
      </w:pPr>
      <w:rPr>
        <w:rFonts w:hint="default" w:ascii="宋体" w:hAnsi="宋体" w:eastAsia="宋体" w:cs="宋体"/>
        <w:w w:val="100"/>
        <w:sz w:val="21"/>
        <w:szCs w:val="21"/>
        <w:lang w:val="en-US" w:eastAsia="zh-CN" w:bidi="ar-SA"/>
      </w:rPr>
    </w:lvl>
    <w:lvl w:ilvl="3" w:tentative="0">
      <w:start w:val="0"/>
      <w:numFmt w:val="bullet"/>
      <w:lvlText w:val="•"/>
      <w:lvlJc w:val="left"/>
      <w:pPr>
        <w:ind w:left="2872" w:hanging="495"/>
      </w:pPr>
      <w:rPr>
        <w:rFonts w:hint="default"/>
        <w:lang w:val="en-US" w:eastAsia="zh-CN" w:bidi="ar-SA"/>
      </w:rPr>
    </w:lvl>
    <w:lvl w:ilvl="4" w:tentative="0">
      <w:start w:val="0"/>
      <w:numFmt w:val="bullet"/>
      <w:lvlText w:val="•"/>
      <w:lvlJc w:val="left"/>
      <w:pPr>
        <w:ind w:left="3944" w:hanging="495"/>
      </w:pPr>
      <w:rPr>
        <w:rFonts w:hint="default"/>
        <w:lang w:val="en-US" w:eastAsia="zh-CN" w:bidi="ar-SA"/>
      </w:rPr>
    </w:lvl>
    <w:lvl w:ilvl="5" w:tentative="0">
      <w:start w:val="0"/>
      <w:numFmt w:val="bullet"/>
      <w:lvlText w:val="•"/>
      <w:lvlJc w:val="left"/>
      <w:pPr>
        <w:ind w:left="5017" w:hanging="495"/>
      </w:pPr>
      <w:rPr>
        <w:rFonts w:hint="default"/>
        <w:lang w:val="en-US" w:eastAsia="zh-CN" w:bidi="ar-SA"/>
      </w:rPr>
    </w:lvl>
    <w:lvl w:ilvl="6" w:tentative="0">
      <w:start w:val="0"/>
      <w:numFmt w:val="bullet"/>
      <w:lvlText w:val="•"/>
      <w:lvlJc w:val="left"/>
      <w:pPr>
        <w:ind w:left="6089" w:hanging="495"/>
      </w:pPr>
      <w:rPr>
        <w:rFonts w:hint="default"/>
        <w:lang w:val="en-US" w:eastAsia="zh-CN" w:bidi="ar-SA"/>
      </w:rPr>
    </w:lvl>
    <w:lvl w:ilvl="7" w:tentative="0">
      <w:start w:val="0"/>
      <w:numFmt w:val="bullet"/>
      <w:lvlText w:val="•"/>
      <w:lvlJc w:val="left"/>
      <w:pPr>
        <w:ind w:left="7162" w:hanging="495"/>
      </w:pPr>
      <w:rPr>
        <w:rFonts w:hint="default"/>
        <w:lang w:val="en-US" w:eastAsia="zh-CN" w:bidi="ar-SA"/>
      </w:rPr>
    </w:lvl>
    <w:lvl w:ilvl="8" w:tentative="0">
      <w:start w:val="0"/>
      <w:numFmt w:val="bullet"/>
      <w:lvlText w:val="•"/>
      <w:lvlJc w:val="left"/>
      <w:pPr>
        <w:ind w:left="8234" w:hanging="495"/>
      </w:pPr>
      <w:rPr>
        <w:rFonts w:hint="default"/>
        <w:lang w:val="en-US" w:eastAsia="zh-CN" w:bidi="ar-SA"/>
      </w:rPr>
    </w:lvl>
  </w:abstractNum>
  <w:abstractNum w:abstractNumId="11">
    <w:nsid w:val="32407B17"/>
    <w:multiLevelType w:val="multilevel"/>
    <w:tmpl w:val="32407B17"/>
    <w:lvl w:ilvl="0" w:tentative="0">
      <w:start w:val="1"/>
      <w:numFmt w:val="decimal"/>
      <w:lvlText w:val="%1."/>
      <w:lvlJc w:val="left"/>
      <w:pPr>
        <w:ind w:left="982" w:hanging="324"/>
        <w:jc w:val="right"/>
      </w:pPr>
      <w:rPr>
        <w:rFonts w:hint="default" w:ascii="宋体" w:hAnsi="宋体" w:eastAsia="宋体" w:cs="宋体"/>
        <w:b/>
        <w:bCs/>
        <w:spacing w:val="1"/>
        <w:w w:val="98"/>
        <w:sz w:val="30"/>
        <w:szCs w:val="30"/>
        <w:lang w:val="en-US" w:eastAsia="zh-CN" w:bidi="ar-SA"/>
      </w:rPr>
    </w:lvl>
    <w:lvl w:ilvl="1" w:tentative="0">
      <w:start w:val="0"/>
      <w:numFmt w:val="bullet"/>
      <w:lvlText w:val="•"/>
      <w:lvlJc w:val="left"/>
      <w:pPr>
        <w:ind w:left="1380" w:hanging="324"/>
      </w:pPr>
      <w:rPr>
        <w:rFonts w:hint="default"/>
        <w:lang w:val="en-US" w:eastAsia="zh-CN" w:bidi="ar-SA"/>
      </w:rPr>
    </w:lvl>
    <w:lvl w:ilvl="2" w:tentative="0">
      <w:start w:val="0"/>
      <w:numFmt w:val="bullet"/>
      <w:lvlText w:val="•"/>
      <w:lvlJc w:val="left"/>
      <w:pPr>
        <w:ind w:left="2379" w:hanging="324"/>
      </w:pPr>
      <w:rPr>
        <w:rFonts w:hint="default"/>
        <w:lang w:val="en-US" w:eastAsia="zh-CN" w:bidi="ar-SA"/>
      </w:rPr>
    </w:lvl>
    <w:lvl w:ilvl="3" w:tentative="0">
      <w:start w:val="0"/>
      <w:numFmt w:val="bullet"/>
      <w:lvlText w:val="•"/>
      <w:lvlJc w:val="left"/>
      <w:pPr>
        <w:ind w:left="3379" w:hanging="324"/>
      </w:pPr>
      <w:rPr>
        <w:rFonts w:hint="default"/>
        <w:lang w:val="en-US" w:eastAsia="zh-CN" w:bidi="ar-SA"/>
      </w:rPr>
    </w:lvl>
    <w:lvl w:ilvl="4" w:tentative="0">
      <w:start w:val="0"/>
      <w:numFmt w:val="bullet"/>
      <w:lvlText w:val="•"/>
      <w:lvlJc w:val="left"/>
      <w:pPr>
        <w:ind w:left="4379" w:hanging="324"/>
      </w:pPr>
      <w:rPr>
        <w:rFonts w:hint="default"/>
        <w:lang w:val="en-US" w:eastAsia="zh-CN" w:bidi="ar-SA"/>
      </w:rPr>
    </w:lvl>
    <w:lvl w:ilvl="5" w:tentative="0">
      <w:start w:val="0"/>
      <w:numFmt w:val="bullet"/>
      <w:lvlText w:val="•"/>
      <w:lvlJc w:val="left"/>
      <w:pPr>
        <w:ind w:left="5379" w:hanging="324"/>
      </w:pPr>
      <w:rPr>
        <w:rFonts w:hint="default"/>
        <w:lang w:val="en-US" w:eastAsia="zh-CN" w:bidi="ar-SA"/>
      </w:rPr>
    </w:lvl>
    <w:lvl w:ilvl="6" w:tentative="0">
      <w:start w:val="0"/>
      <w:numFmt w:val="bullet"/>
      <w:lvlText w:val="•"/>
      <w:lvlJc w:val="left"/>
      <w:pPr>
        <w:ind w:left="6379" w:hanging="324"/>
      </w:pPr>
      <w:rPr>
        <w:rFonts w:hint="default"/>
        <w:lang w:val="en-US" w:eastAsia="zh-CN" w:bidi="ar-SA"/>
      </w:rPr>
    </w:lvl>
    <w:lvl w:ilvl="7" w:tentative="0">
      <w:start w:val="0"/>
      <w:numFmt w:val="bullet"/>
      <w:lvlText w:val="•"/>
      <w:lvlJc w:val="left"/>
      <w:pPr>
        <w:ind w:left="7379" w:hanging="324"/>
      </w:pPr>
      <w:rPr>
        <w:rFonts w:hint="default"/>
        <w:lang w:val="en-US" w:eastAsia="zh-CN" w:bidi="ar-SA"/>
      </w:rPr>
    </w:lvl>
    <w:lvl w:ilvl="8" w:tentative="0">
      <w:start w:val="0"/>
      <w:numFmt w:val="bullet"/>
      <w:lvlText w:val="•"/>
      <w:lvlJc w:val="left"/>
      <w:pPr>
        <w:ind w:left="8379" w:hanging="324"/>
      </w:pPr>
      <w:rPr>
        <w:rFonts w:hint="default"/>
        <w:lang w:val="en-US" w:eastAsia="zh-CN" w:bidi="ar-SA"/>
      </w:rPr>
    </w:lvl>
  </w:abstractNum>
  <w:abstractNum w:abstractNumId="12">
    <w:nsid w:val="35BA6C9A"/>
    <w:multiLevelType w:val="multilevel"/>
    <w:tmpl w:val="35BA6C9A"/>
    <w:lvl w:ilvl="0" w:tentative="0">
      <w:start w:val="1"/>
      <w:numFmt w:val="decimal"/>
      <w:lvlText w:val="%1."/>
      <w:lvlJc w:val="left"/>
      <w:pPr>
        <w:ind w:left="330" w:hanging="213"/>
      </w:pPr>
      <w:rPr>
        <w:rFonts w:hint="default" w:ascii="宋体" w:hAnsi="宋体" w:eastAsia="宋体" w:cs="宋体"/>
        <w:w w:val="100"/>
        <w:sz w:val="19"/>
        <w:szCs w:val="19"/>
        <w:lang w:val="en-US" w:eastAsia="zh-CN" w:bidi="ar-SA"/>
      </w:rPr>
    </w:lvl>
    <w:lvl w:ilvl="1" w:tentative="0">
      <w:start w:val="0"/>
      <w:numFmt w:val="bullet"/>
      <w:lvlText w:val="•"/>
      <w:lvlJc w:val="left"/>
      <w:pPr>
        <w:ind w:left="968" w:hanging="213"/>
      </w:pPr>
      <w:rPr>
        <w:rFonts w:hint="default"/>
        <w:lang w:val="en-US" w:eastAsia="zh-CN" w:bidi="ar-SA"/>
      </w:rPr>
    </w:lvl>
    <w:lvl w:ilvl="2" w:tentative="0">
      <w:start w:val="0"/>
      <w:numFmt w:val="bullet"/>
      <w:lvlText w:val="•"/>
      <w:lvlJc w:val="left"/>
      <w:pPr>
        <w:ind w:left="1597" w:hanging="213"/>
      </w:pPr>
      <w:rPr>
        <w:rFonts w:hint="default"/>
        <w:lang w:val="en-US" w:eastAsia="zh-CN" w:bidi="ar-SA"/>
      </w:rPr>
    </w:lvl>
    <w:lvl w:ilvl="3" w:tentative="0">
      <w:start w:val="0"/>
      <w:numFmt w:val="bullet"/>
      <w:lvlText w:val="•"/>
      <w:lvlJc w:val="left"/>
      <w:pPr>
        <w:ind w:left="2226" w:hanging="213"/>
      </w:pPr>
      <w:rPr>
        <w:rFonts w:hint="default"/>
        <w:lang w:val="en-US" w:eastAsia="zh-CN" w:bidi="ar-SA"/>
      </w:rPr>
    </w:lvl>
    <w:lvl w:ilvl="4" w:tentative="0">
      <w:start w:val="0"/>
      <w:numFmt w:val="bullet"/>
      <w:lvlText w:val="•"/>
      <w:lvlJc w:val="left"/>
      <w:pPr>
        <w:ind w:left="2854" w:hanging="213"/>
      </w:pPr>
      <w:rPr>
        <w:rFonts w:hint="default"/>
        <w:lang w:val="en-US" w:eastAsia="zh-CN" w:bidi="ar-SA"/>
      </w:rPr>
    </w:lvl>
    <w:lvl w:ilvl="5" w:tentative="0">
      <w:start w:val="0"/>
      <w:numFmt w:val="bullet"/>
      <w:lvlText w:val="•"/>
      <w:lvlJc w:val="left"/>
      <w:pPr>
        <w:ind w:left="3483" w:hanging="213"/>
      </w:pPr>
      <w:rPr>
        <w:rFonts w:hint="default"/>
        <w:lang w:val="en-US" w:eastAsia="zh-CN" w:bidi="ar-SA"/>
      </w:rPr>
    </w:lvl>
    <w:lvl w:ilvl="6" w:tentative="0">
      <w:start w:val="0"/>
      <w:numFmt w:val="bullet"/>
      <w:lvlText w:val="•"/>
      <w:lvlJc w:val="left"/>
      <w:pPr>
        <w:ind w:left="4112" w:hanging="213"/>
      </w:pPr>
      <w:rPr>
        <w:rFonts w:hint="default"/>
        <w:lang w:val="en-US" w:eastAsia="zh-CN" w:bidi="ar-SA"/>
      </w:rPr>
    </w:lvl>
    <w:lvl w:ilvl="7" w:tentative="0">
      <w:start w:val="0"/>
      <w:numFmt w:val="bullet"/>
      <w:lvlText w:val="•"/>
      <w:lvlJc w:val="left"/>
      <w:pPr>
        <w:ind w:left="4740" w:hanging="213"/>
      </w:pPr>
      <w:rPr>
        <w:rFonts w:hint="default"/>
        <w:lang w:val="en-US" w:eastAsia="zh-CN" w:bidi="ar-SA"/>
      </w:rPr>
    </w:lvl>
    <w:lvl w:ilvl="8" w:tentative="0">
      <w:start w:val="0"/>
      <w:numFmt w:val="bullet"/>
      <w:lvlText w:val="•"/>
      <w:lvlJc w:val="left"/>
      <w:pPr>
        <w:ind w:left="5369" w:hanging="213"/>
      </w:pPr>
      <w:rPr>
        <w:rFonts w:hint="default"/>
        <w:lang w:val="en-US" w:eastAsia="zh-CN" w:bidi="ar-SA"/>
      </w:rPr>
    </w:lvl>
  </w:abstractNum>
  <w:abstractNum w:abstractNumId="13">
    <w:nsid w:val="35E01DB2"/>
    <w:multiLevelType w:val="multilevel"/>
    <w:tmpl w:val="35E01DB2"/>
    <w:lvl w:ilvl="0" w:tentative="0">
      <w:start w:val="1"/>
      <w:numFmt w:val="decimal"/>
      <w:lvlText w:val="%1."/>
      <w:lvlJc w:val="left"/>
      <w:pPr>
        <w:ind w:left="251" w:hanging="318"/>
      </w:pPr>
      <w:rPr>
        <w:rFonts w:hint="default" w:ascii="Times New Roman" w:hAnsi="Times New Roman" w:eastAsia="Times New Roman" w:cs="Times New Roman"/>
        <w:spacing w:val="-3"/>
        <w:w w:val="100"/>
        <w:sz w:val="19"/>
        <w:szCs w:val="19"/>
        <w:lang w:val="en-US" w:eastAsia="zh-CN" w:bidi="ar-SA"/>
      </w:rPr>
    </w:lvl>
    <w:lvl w:ilvl="1" w:tentative="0">
      <w:start w:val="0"/>
      <w:numFmt w:val="bullet"/>
      <w:lvlText w:val="•"/>
      <w:lvlJc w:val="left"/>
      <w:pPr>
        <w:ind w:left="1210" w:hanging="318"/>
      </w:pPr>
      <w:rPr>
        <w:rFonts w:hint="default"/>
        <w:lang w:val="en-US" w:eastAsia="zh-CN" w:bidi="ar-SA"/>
      </w:rPr>
    </w:lvl>
    <w:lvl w:ilvl="2" w:tentative="0">
      <w:start w:val="0"/>
      <w:numFmt w:val="bullet"/>
      <w:lvlText w:val="•"/>
      <w:lvlJc w:val="left"/>
      <w:pPr>
        <w:ind w:left="2161" w:hanging="318"/>
      </w:pPr>
      <w:rPr>
        <w:rFonts w:hint="default"/>
        <w:lang w:val="en-US" w:eastAsia="zh-CN" w:bidi="ar-SA"/>
      </w:rPr>
    </w:lvl>
    <w:lvl w:ilvl="3" w:tentative="0">
      <w:start w:val="0"/>
      <w:numFmt w:val="bullet"/>
      <w:lvlText w:val="•"/>
      <w:lvlJc w:val="left"/>
      <w:pPr>
        <w:ind w:left="3111" w:hanging="318"/>
      </w:pPr>
      <w:rPr>
        <w:rFonts w:hint="default"/>
        <w:lang w:val="en-US" w:eastAsia="zh-CN" w:bidi="ar-SA"/>
      </w:rPr>
    </w:lvl>
    <w:lvl w:ilvl="4" w:tentative="0">
      <w:start w:val="0"/>
      <w:numFmt w:val="bullet"/>
      <w:lvlText w:val="•"/>
      <w:lvlJc w:val="left"/>
      <w:pPr>
        <w:ind w:left="4062" w:hanging="318"/>
      </w:pPr>
      <w:rPr>
        <w:rFonts w:hint="default"/>
        <w:lang w:val="en-US" w:eastAsia="zh-CN" w:bidi="ar-SA"/>
      </w:rPr>
    </w:lvl>
    <w:lvl w:ilvl="5" w:tentative="0">
      <w:start w:val="0"/>
      <w:numFmt w:val="bullet"/>
      <w:lvlText w:val="•"/>
      <w:lvlJc w:val="left"/>
      <w:pPr>
        <w:ind w:left="5013" w:hanging="318"/>
      </w:pPr>
      <w:rPr>
        <w:rFonts w:hint="default"/>
        <w:lang w:val="en-US" w:eastAsia="zh-CN" w:bidi="ar-SA"/>
      </w:rPr>
    </w:lvl>
    <w:lvl w:ilvl="6" w:tentative="0">
      <w:start w:val="0"/>
      <w:numFmt w:val="bullet"/>
      <w:lvlText w:val="•"/>
      <w:lvlJc w:val="left"/>
      <w:pPr>
        <w:ind w:left="5963" w:hanging="318"/>
      </w:pPr>
      <w:rPr>
        <w:rFonts w:hint="default"/>
        <w:lang w:val="en-US" w:eastAsia="zh-CN" w:bidi="ar-SA"/>
      </w:rPr>
    </w:lvl>
    <w:lvl w:ilvl="7" w:tentative="0">
      <w:start w:val="0"/>
      <w:numFmt w:val="bullet"/>
      <w:lvlText w:val="•"/>
      <w:lvlJc w:val="left"/>
      <w:pPr>
        <w:ind w:left="6914" w:hanging="318"/>
      </w:pPr>
      <w:rPr>
        <w:rFonts w:hint="default"/>
        <w:lang w:val="en-US" w:eastAsia="zh-CN" w:bidi="ar-SA"/>
      </w:rPr>
    </w:lvl>
    <w:lvl w:ilvl="8" w:tentative="0">
      <w:start w:val="0"/>
      <w:numFmt w:val="bullet"/>
      <w:lvlText w:val="•"/>
      <w:lvlJc w:val="left"/>
      <w:pPr>
        <w:ind w:left="7865" w:hanging="318"/>
      </w:pPr>
      <w:rPr>
        <w:rFonts w:hint="default"/>
        <w:lang w:val="en-US" w:eastAsia="zh-CN" w:bidi="ar-SA"/>
      </w:rPr>
    </w:lvl>
  </w:abstractNum>
  <w:abstractNum w:abstractNumId="14">
    <w:nsid w:val="3948485A"/>
    <w:multiLevelType w:val="multilevel"/>
    <w:tmpl w:val="3948485A"/>
    <w:lvl w:ilvl="0" w:tentative="0">
      <w:start w:val="1"/>
      <w:numFmt w:val="decimal"/>
      <w:lvlText w:val="（%1）"/>
      <w:lvlJc w:val="left"/>
      <w:pPr>
        <w:ind w:left="1205" w:hanging="529"/>
      </w:pPr>
      <w:rPr>
        <w:rFonts w:hint="default" w:ascii="宋体" w:hAnsi="宋体" w:eastAsia="宋体" w:cs="宋体"/>
        <w:spacing w:val="-3"/>
        <w:w w:val="100"/>
        <w:sz w:val="19"/>
        <w:szCs w:val="19"/>
        <w:lang w:val="en-US" w:eastAsia="zh-CN" w:bidi="ar-SA"/>
      </w:rPr>
    </w:lvl>
    <w:lvl w:ilvl="1" w:tentative="0">
      <w:start w:val="0"/>
      <w:numFmt w:val="bullet"/>
      <w:lvlText w:val="•"/>
      <w:lvlJc w:val="left"/>
      <w:pPr>
        <w:ind w:left="2056" w:hanging="529"/>
      </w:pPr>
      <w:rPr>
        <w:rFonts w:hint="default"/>
        <w:lang w:val="en-US" w:eastAsia="zh-CN" w:bidi="ar-SA"/>
      </w:rPr>
    </w:lvl>
    <w:lvl w:ilvl="2" w:tentative="0">
      <w:start w:val="0"/>
      <w:numFmt w:val="bullet"/>
      <w:lvlText w:val="•"/>
      <w:lvlJc w:val="left"/>
      <w:pPr>
        <w:ind w:left="2913" w:hanging="529"/>
      </w:pPr>
      <w:rPr>
        <w:rFonts w:hint="default"/>
        <w:lang w:val="en-US" w:eastAsia="zh-CN" w:bidi="ar-SA"/>
      </w:rPr>
    </w:lvl>
    <w:lvl w:ilvl="3" w:tentative="0">
      <w:start w:val="0"/>
      <w:numFmt w:val="bullet"/>
      <w:lvlText w:val="•"/>
      <w:lvlJc w:val="left"/>
      <w:pPr>
        <w:ind w:left="3769" w:hanging="529"/>
      </w:pPr>
      <w:rPr>
        <w:rFonts w:hint="default"/>
        <w:lang w:val="en-US" w:eastAsia="zh-CN" w:bidi="ar-SA"/>
      </w:rPr>
    </w:lvl>
    <w:lvl w:ilvl="4" w:tentative="0">
      <w:start w:val="0"/>
      <w:numFmt w:val="bullet"/>
      <w:lvlText w:val="•"/>
      <w:lvlJc w:val="left"/>
      <w:pPr>
        <w:ind w:left="4626" w:hanging="529"/>
      </w:pPr>
      <w:rPr>
        <w:rFonts w:hint="default"/>
        <w:lang w:val="en-US" w:eastAsia="zh-CN" w:bidi="ar-SA"/>
      </w:rPr>
    </w:lvl>
    <w:lvl w:ilvl="5" w:tentative="0">
      <w:start w:val="0"/>
      <w:numFmt w:val="bullet"/>
      <w:lvlText w:val="•"/>
      <w:lvlJc w:val="left"/>
      <w:pPr>
        <w:ind w:left="5483" w:hanging="529"/>
      </w:pPr>
      <w:rPr>
        <w:rFonts w:hint="default"/>
        <w:lang w:val="en-US" w:eastAsia="zh-CN" w:bidi="ar-SA"/>
      </w:rPr>
    </w:lvl>
    <w:lvl w:ilvl="6" w:tentative="0">
      <w:start w:val="0"/>
      <w:numFmt w:val="bullet"/>
      <w:lvlText w:val="•"/>
      <w:lvlJc w:val="left"/>
      <w:pPr>
        <w:ind w:left="6339" w:hanging="529"/>
      </w:pPr>
      <w:rPr>
        <w:rFonts w:hint="default"/>
        <w:lang w:val="en-US" w:eastAsia="zh-CN" w:bidi="ar-SA"/>
      </w:rPr>
    </w:lvl>
    <w:lvl w:ilvl="7" w:tentative="0">
      <w:start w:val="0"/>
      <w:numFmt w:val="bullet"/>
      <w:lvlText w:val="•"/>
      <w:lvlJc w:val="left"/>
      <w:pPr>
        <w:ind w:left="7196" w:hanging="529"/>
      </w:pPr>
      <w:rPr>
        <w:rFonts w:hint="default"/>
        <w:lang w:val="en-US" w:eastAsia="zh-CN" w:bidi="ar-SA"/>
      </w:rPr>
    </w:lvl>
    <w:lvl w:ilvl="8" w:tentative="0">
      <w:start w:val="0"/>
      <w:numFmt w:val="bullet"/>
      <w:lvlText w:val="•"/>
      <w:lvlJc w:val="left"/>
      <w:pPr>
        <w:ind w:left="8053" w:hanging="529"/>
      </w:pPr>
      <w:rPr>
        <w:rFonts w:hint="default"/>
        <w:lang w:val="en-US" w:eastAsia="zh-CN" w:bidi="ar-SA"/>
      </w:rPr>
    </w:lvl>
  </w:abstractNum>
  <w:abstractNum w:abstractNumId="15">
    <w:nsid w:val="3CE14688"/>
    <w:multiLevelType w:val="multilevel"/>
    <w:tmpl w:val="3CE14688"/>
    <w:lvl w:ilvl="0" w:tentative="0">
      <w:start w:val="1"/>
      <w:numFmt w:val="decimal"/>
      <w:lvlText w:val="%1."/>
      <w:lvlJc w:val="left"/>
      <w:pPr>
        <w:ind w:left="658" w:hanging="241"/>
      </w:pPr>
      <w:rPr>
        <w:rFonts w:hint="default" w:ascii="宋体" w:hAnsi="宋体" w:eastAsia="宋体" w:cs="宋体"/>
        <w:spacing w:val="-1"/>
        <w:w w:val="100"/>
        <w:sz w:val="22"/>
        <w:szCs w:val="22"/>
        <w:lang w:val="en-US" w:eastAsia="zh-CN" w:bidi="ar-SA"/>
      </w:rPr>
    </w:lvl>
    <w:lvl w:ilvl="1" w:tentative="0">
      <w:start w:val="0"/>
      <w:numFmt w:val="bullet"/>
      <w:lvlText w:val="•"/>
      <w:lvlJc w:val="left"/>
      <w:pPr>
        <w:ind w:left="1631" w:hanging="241"/>
      </w:pPr>
      <w:rPr>
        <w:rFonts w:hint="default"/>
        <w:lang w:val="en-US" w:eastAsia="zh-CN" w:bidi="ar-SA"/>
      </w:rPr>
    </w:lvl>
    <w:lvl w:ilvl="2" w:tentative="0">
      <w:start w:val="0"/>
      <w:numFmt w:val="bullet"/>
      <w:lvlText w:val="•"/>
      <w:lvlJc w:val="left"/>
      <w:pPr>
        <w:ind w:left="2603" w:hanging="241"/>
      </w:pPr>
      <w:rPr>
        <w:rFonts w:hint="default"/>
        <w:lang w:val="en-US" w:eastAsia="zh-CN" w:bidi="ar-SA"/>
      </w:rPr>
    </w:lvl>
    <w:lvl w:ilvl="3" w:tentative="0">
      <w:start w:val="0"/>
      <w:numFmt w:val="bullet"/>
      <w:lvlText w:val="•"/>
      <w:lvlJc w:val="left"/>
      <w:pPr>
        <w:ind w:left="3575" w:hanging="241"/>
      </w:pPr>
      <w:rPr>
        <w:rFonts w:hint="default"/>
        <w:lang w:val="en-US" w:eastAsia="zh-CN" w:bidi="ar-SA"/>
      </w:rPr>
    </w:lvl>
    <w:lvl w:ilvl="4" w:tentative="0">
      <w:start w:val="0"/>
      <w:numFmt w:val="bullet"/>
      <w:lvlText w:val="•"/>
      <w:lvlJc w:val="left"/>
      <w:pPr>
        <w:ind w:left="4547" w:hanging="241"/>
      </w:pPr>
      <w:rPr>
        <w:rFonts w:hint="default"/>
        <w:lang w:val="en-US" w:eastAsia="zh-CN" w:bidi="ar-SA"/>
      </w:rPr>
    </w:lvl>
    <w:lvl w:ilvl="5" w:tentative="0">
      <w:start w:val="0"/>
      <w:numFmt w:val="bullet"/>
      <w:lvlText w:val="•"/>
      <w:lvlJc w:val="left"/>
      <w:pPr>
        <w:ind w:left="5519" w:hanging="241"/>
      </w:pPr>
      <w:rPr>
        <w:rFonts w:hint="default"/>
        <w:lang w:val="en-US" w:eastAsia="zh-CN" w:bidi="ar-SA"/>
      </w:rPr>
    </w:lvl>
    <w:lvl w:ilvl="6" w:tentative="0">
      <w:start w:val="0"/>
      <w:numFmt w:val="bullet"/>
      <w:lvlText w:val="•"/>
      <w:lvlJc w:val="left"/>
      <w:pPr>
        <w:ind w:left="6491" w:hanging="241"/>
      </w:pPr>
      <w:rPr>
        <w:rFonts w:hint="default"/>
        <w:lang w:val="en-US" w:eastAsia="zh-CN" w:bidi="ar-SA"/>
      </w:rPr>
    </w:lvl>
    <w:lvl w:ilvl="7" w:tentative="0">
      <w:start w:val="0"/>
      <w:numFmt w:val="bullet"/>
      <w:lvlText w:val="•"/>
      <w:lvlJc w:val="left"/>
      <w:pPr>
        <w:ind w:left="7463" w:hanging="241"/>
      </w:pPr>
      <w:rPr>
        <w:rFonts w:hint="default"/>
        <w:lang w:val="en-US" w:eastAsia="zh-CN" w:bidi="ar-SA"/>
      </w:rPr>
    </w:lvl>
    <w:lvl w:ilvl="8" w:tentative="0">
      <w:start w:val="0"/>
      <w:numFmt w:val="bullet"/>
      <w:lvlText w:val="•"/>
      <w:lvlJc w:val="left"/>
      <w:pPr>
        <w:ind w:left="8435" w:hanging="241"/>
      </w:pPr>
      <w:rPr>
        <w:rFonts w:hint="default"/>
        <w:lang w:val="en-US" w:eastAsia="zh-CN" w:bidi="ar-SA"/>
      </w:rPr>
    </w:lvl>
  </w:abstractNum>
  <w:abstractNum w:abstractNumId="16">
    <w:nsid w:val="3E0B7AB2"/>
    <w:multiLevelType w:val="multilevel"/>
    <w:tmpl w:val="3E0B7AB2"/>
    <w:lvl w:ilvl="0" w:tentative="0">
      <w:start w:val="1"/>
      <w:numFmt w:val="decimal"/>
      <w:lvlText w:val="%1."/>
      <w:lvlJc w:val="left"/>
      <w:pPr>
        <w:ind w:left="330" w:hanging="213"/>
      </w:pPr>
      <w:rPr>
        <w:rFonts w:hint="default" w:ascii="宋体" w:hAnsi="宋体" w:eastAsia="宋体" w:cs="宋体"/>
        <w:w w:val="100"/>
        <w:sz w:val="19"/>
        <w:szCs w:val="19"/>
        <w:lang w:val="en-US" w:eastAsia="zh-CN" w:bidi="ar-SA"/>
      </w:rPr>
    </w:lvl>
    <w:lvl w:ilvl="1" w:tentative="0">
      <w:start w:val="0"/>
      <w:numFmt w:val="bullet"/>
      <w:lvlText w:val="•"/>
      <w:lvlJc w:val="left"/>
      <w:pPr>
        <w:ind w:left="968" w:hanging="213"/>
      </w:pPr>
      <w:rPr>
        <w:rFonts w:hint="default"/>
        <w:lang w:val="en-US" w:eastAsia="zh-CN" w:bidi="ar-SA"/>
      </w:rPr>
    </w:lvl>
    <w:lvl w:ilvl="2" w:tentative="0">
      <w:start w:val="0"/>
      <w:numFmt w:val="bullet"/>
      <w:lvlText w:val="•"/>
      <w:lvlJc w:val="left"/>
      <w:pPr>
        <w:ind w:left="1597" w:hanging="213"/>
      </w:pPr>
      <w:rPr>
        <w:rFonts w:hint="default"/>
        <w:lang w:val="en-US" w:eastAsia="zh-CN" w:bidi="ar-SA"/>
      </w:rPr>
    </w:lvl>
    <w:lvl w:ilvl="3" w:tentative="0">
      <w:start w:val="0"/>
      <w:numFmt w:val="bullet"/>
      <w:lvlText w:val="•"/>
      <w:lvlJc w:val="left"/>
      <w:pPr>
        <w:ind w:left="2226" w:hanging="213"/>
      </w:pPr>
      <w:rPr>
        <w:rFonts w:hint="default"/>
        <w:lang w:val="en-US" w:eastAsia="zh-CN" w:bidi="ar-SA"/>
      </w:rPr>
    </w:lvl>
    <w:lvl w:ilvl="4" w:tentative="0">
      <w:start w:val="0"/>
      <w:numFmt w:val="bullet"/>
      <w:lvlText w:val="•"/>
      <w:lvlJc w:val="left"/>
      <w:pPr>
        <w:ind w:left="2854" w:hanging="213"/>
      </w:pPr>
      <w:rPr>
        <w:rFonts w:hint="default"/>
        <w:lang w:val="en-US" w:eastAsia="zh-CN" w:bidi="ar-SA"/>
      </w:rPr>
    </w:lvl>
    <w:lvl w:ilvl="5" w:tentative="0">
      <w:start w:val="0"/>
      <w:numFmt w:val="bullet"/>
      <w:lvlText w:val="•"/>
      <w:lvlJc w:val="left"/>
      <w:pPr>
        <w:ind w:left="3483" w:hanging="213"/>
      </w:pPr>
      <w:rPr>
        <w:rFonts w:hint="default"/>
        <w:lang w:val="en-US" w:eastAsia="zh-CN" w:bidi="ar-SA"/>
      </w:rPr>
    </w:lvl>
    <w:lvl w:ilvl="6" w:tentative="0">
      <w:start w:val="0"/>
      <w:numFmt w:val="bullet"/>
      <w:lvlText w:val="•"/>
      <w:lvlJc w:val="left"/>
      <w:pPr>
        <w:ind w:left="4112" w:hanging="213"/>
      </w:pPr>
      <w:rPr>
        <w:rFonts w:hint="default"/>
        <w:lang w:val="en-US" w:eastAsia="zh-CN" w:bidi="ar-SA"/>
      </w:rPr>
    </w:lvl>
    <w:lvl w:ilvl="7" w:tentative="0">
      <w:start w:val="0"/>
      <w:numFmt w:val="bullet"/>
      <w:lvlText w:val="•"/>
      <w:lvlJc w:val="left"/>
      <w:pPr>
        <w:ind w:left="4740" w:hanging="213"/>
      </w:pPr>
      <w:rPr>
        <w:rFonts w:hint="default"/>
        <w:lang w:val="en-US" w:eastAsia="zh-CN" w:bidi="ar-SA"/>
      </w:rPr>
    </w:lvl>
    <w:lvl w:ilvl="8" w:tentative="0">
      <w:start w:val="0"/>
      <w:numFmt w:val="bullet"/>
      <w:lvlText w:val="•"/>
      <w:lvlJc w:val="left"/>
      <w:pPr>
        <w:ind w:left="5369" w:hanging="213"/>
      </w:pPr>
      <w:rPr>
        <w:rFonts w:hint="default"/>
        <w:lang w:val="en-US" w:eastAsia="zh-CN" w:bidi="ar-SA"/>
      </w:rPr>
    </w:lvl>
  </w:abstractNum>
  <w:abstractNum w:abstractNumId="17">
    <w:nsid w:val="417F542F"/>
    <w:multiLevelType w:val="multilevel"/>
    <w:tmpl w:val="417F542F"/>
    <w:lvl w:ilvl="0" w:tentative="0">
      <w:start w:val="1"/>
      <w:numFmt w:val="decimal"/>
      <w:lvlText w:val="（%1）"/>
      <w:lvlJc w:val="left"/>
      <w:pPr>
        <w:ind w:left="251" w:hanging="534"/>
      </w:pPr>
      <w:rPr>
        <w:rFonts w:hint="default" w:ascii="宋体" w:hAnsi="宋体" w:eastAsia="宋体" w:cs="宋体"/>
        <w:spacing w:val="0"/>
        <w:w w:val="100"/>
        <w:sz w:val="19"/>
        <w:szCs w:val="19"/>
        <w:lang w:val="en-US" w:eastAsia="zh-CN" w:bidi="ar-SA"/>
      </w:rPr>
    </w:lvl>
    <w:lvl w:ilvl="1" w:tentative="0">
      <w:start w:val="0"/>
      <w:numFmt w:val="bullet"/>
      <w:lvlText w:val="•"/>
      <w:lvlJc w:val="left"/>
      <w:pPr>
        <w:ind w:left="1210" w:hanging="534"/>
      </w:pPr>
      <w:rPr>
        <w:rFonts w:hint="default"/>
        <w:lang w:val="en-US" w:eastAsia="zh-CN" w:bidi="ar-SA"/>
      </w:rPr>
    </w:lvl>
    <w:lvl w:ilvl="2" w:tentative="0">
      <w:start w:val="0"/>
      <w:numFmt w:val="bullet"/>
      <w:lvlText w:val="•"/>
      <w:lvlJc w:val="left"/>
      <w:pPr>
        <w:ind w:left="2161" w:hanging="534"/>
      </w:pPr>
      <w:rPr>
        <w:rFonts w:hint="default"/>
        <w:lang w:val="en-US" w:eastAsia="zh-CN" w:bidi="ar-SA"/>
      </w:rPr>
    </w:lvl>
    <w:lvl w:ilvl="3" w:tentative="0">
      <w:start w:val="0"/>
      <w:numFmt w:val="bullet"/>
      <w:lvlText w:val="•"/>
      <w:lvlJc w:val="left"/>
      <w:pPr>
        <w:ind w:left="3111" w:hanging="534"/>
      </w:pPr>
      <w:rPr>
        <w:rFonts w:hint="default"/>
        <w:lang w:val="en-US" w:eastAsia="zh-CN" w:bidi="ar-SA"/>
      </w:rPr>
    </w:lvl>
    <w:lvl w:ilvl="4" w:tentative="0">
      <w:start w:val="0"/>
      <w:numFmt w:val="bullet"/>
      <w:lvlText w:val="•"/>
      <w:lvlJc w:val="left"/>
      <w:pPr>
        <w:ind w:left="4062" w:hanging="534"/>
      </w:pPr>
      <w:rPr>
        <w:rFonts w:hint="default"/>
        <w:lang w:val="en-US" w:eastAsia="zh-CN" w:bidi="ar-SA"/>
      </w:rPr>
    </w:lvl>
    <w:lvl w:ilvl="5" w:tentative="0">
      <w:start w:val="0"/>
      <w:numFmt w:val="bullet"/>
      <w:lvlText w:val="•"/>
      <w:lvlJc w:val="left"/>
      <w:pPr>
        <w:ind w:left="5013" w:hanging="534"/>
      </w:pPr>
      <w:rPr>
        <w:rFonts w:hint="default"/>
        <w:lang w:val="en-US" w:eastAsia="zh-CN" w:bidi="ar-SA"/>
      </w:rPr>
    </w:lvl>
    <w:lvl w:ilvl="6" w:tentative="0">
      <w:start w:val="0"/>
      <w:numFmt w:val="bullet"/>
      <w:lvlText w:val="•"/>
      <w:lvlJc w:val="left"/>
      <w:pPr>
        <w:ind w:left="5963" w:hanging="534"/>
      </w:pPr>
      <w:rPr>
        <w:rFonts w:hint="default"/>
        <w:lang w:val="en-US" w:eastAsia="zh-CN" w:bidi="ar-SA"/>
      </w:rPr>
    </w:lvl>
    <w:lvl w:ilvl="7" w:tentative="0">
      <w:start w:val="0"/>
      <w:numFmt w:val="bullet"/>
      <w:lvlText w:val="•"/>
      <w:lvlJc w:val="left"/>
      <w:pPr>
        <w:ind w:left="6914" w:hanging="534"/>
      </w:pPr>
      <w:rPr>
        <w:rFonts w:hint="default"/>
        <w:lang w:val="en-US" w:eastAsia="zh-CN" w:bidi="ar-SA"/>
      </w:rPr>
    </w:lvl>
    <w:lvl w:ilvl="8" w:tentative="0">
      <w:start w:val="0"/>
      <w:numFmt w:val="bullet"/>
      <w:lvlText w:val="•"/>
      <w:lvlJc w:val="left"/>
      <w:pPr>
        <w:ind w:left="7865" w:hanging="534"/>
      </w:pPr>
      <w:rPr>
        <w:rFonts w:hint="default"/>
        <w:lang w:val="en-US" w:eastAsia="zh-CN" w:bidi="ar-SA"/>
      </w:rPr>
    </w:lvl>
  </w:abstractNum>
  <w:abstractNum w:abstractNumId="18">
    <w:nsid w:val="41A17765"/>
    <w:multiLevelType w:val="multilevel"/>
    <w:tmpl w:val="41A17765"/>
    <w:lvl w:ilvl="0" w:tentative="0">
      <w:start w:val="1"/>
      <w:numFmt w:val="decimal"/>
      <w:lvlText w:val="%1."/>
      <w:lvlJc w:val="left"/>
      <w:pPr>
        <w:ind w:left="117" w:hanging="213"/>
      </w:pPr>
      <w:rPr>
        <w:rFonts w:hint="default" w:ascii="宋体" w:hAnsi="宋体" w:eastAsia="宋体" w:cs="宋体"/>
        <w:w w:val="100"/>
        <w:sz w:val="19"/>
        <w:szCs w:val="19"/>
        <w:lang w:val="en-US" w:eastAsia="zh-CN" w:bidi="ar-SA"/>
      </w:rPr>
    </w:lvl>
    <w:lvl w:ilvl="1" w:tentative="0">
      <w:start w:val="0"/>
      <w:numFmt w:val="bullet"/>
      <w:lvlText w:val="•"/>
      <w:lvlJc w:val="left"/>
      <w:pPr>
        <w:ind w:left="770" w:hanging="213"/>
      </w:pPr>
      <w:rPr>
        <w:rFonts w:hint="default"/>
        <w:lang w:val="en-US" w:eastAsia="zh-CN" w:bidi="ar-SA"/>
      </w:rPr>
    </w:lvl>
    <w:lvl w:ilvl="2" w:tentative="0">
      <w:start w:val="0"/>
      <w:numFmt w:val="bullet"/>
      <w:lvlText w:val="•"/>
      <w:lvlJc w:val="left"/>
      <w:pPr>
        <w:ind w:left="1421" w:hanging="213"/>
      </w:pPr>
      <w:rPr>
        <w:rFonts w:hint="default"/>
        <w:lang w:val="en-US" w:eastAsia="zh-CN" w:bidi="ar-SA"/>
      </w:rPr>
    </w:lvl>
    <w:lvl w:ilvl="3" w:tentative="0">
      <w:start w:val="0"/>
      <w:numFmt w:val="bullet"/>
      <w:lvlText w:val="•"/>
      <w:lvlJc w:val="left"/>
      <w:pPr>
        <w:ind w:left="2072" w:hanging="213"/>
      </w:pPr>
      <w:rPr>
        <w:rFonts w:hint="default"/>
        <w:lang w:val="en-US" w:eastAsia="zh-CN" w:bidi="ar-SA"/>
      </w:rPr>
    </w:lvl>
    <w:lvl w:ilvl="4" w:tentative="0">
      <w:start w:val="0"/>
      <w:numFmt w:val="bullet"/>
      <w:lvlText w:val="•"/>
      <w:lvlJc w:val="left"/>
      <w:pPr>
        <w:ind w:left="2722" w:hanging="213"/>
      </w:pPr>
      <w:rPr>
        <w:rFonts w:hint="default"/>
        <w:lang w:val="en-US" w:eastAsia="zh-CN" w:bidi="ar-SA"/>
      </w:rPr>
    </w:lvl>
    <w:lvl w:ilvl="5" w:tentative="0">
      <w:start w:val="0"/>
      <w:numFmt w:val="bullet"/>
      <w:lvlText w:val="•"/>
      <w:lvlJc w:val="left"/>
      <w:pPr>
        <w:ind w:left="3373" w:hanging="213"/>
      </w:pPr>
      <w:rPr>
        <w:rFonts w:hint="default"/>
        <w:lang w:val="en-US" w:eastAsia="zh-CN" w:bidi="ar-SA"/>
      </w:rPr>
    </w:lvl>
    <w:lvl w:ilvl="6" w:tentative="0">
      <w:start w:val="0"/>
      <w:numFmt w:val="bullet"/>
      <w:lvlText w:val="•"/>
      <w:lvlJc w:val="left"/>
      <w:pPr>
        <w:ind w:left="4024" w:hanging="213"/>
      </w:pPr>
      <w:rPr>
        <w:rFonts w:hint="default"/>
        <w:lang w:val="en-US" w:eastAsia="zh-CN" w:bidi="ar-SA"/>
      </w:rPr>
    </w:lvl>
    <w:lvl w:ilvl="7" w:tentative="0">
      <w:start w:val="0"/>
      <w:numFmt w:val="bullet"/>
      <w:lvlText w:val="•"/>
      <w:lvlJc w:val="left"/>
      <w:pPr>
        <w:ind w:left="4674" w:hanging="213"/>
      </w:pPr>
      <w:rPr>
        <w:rFonts w:hint="default"/>
        <w:lang w:val="en-US" w:eastAsia="zh-CN" w:bidi="ar-SA"/>
      </w:rPr>
    </w:lvl>
    <w:lvl w:ilvl="8" w:tentative="0">
      <w:start w:val="0"/>
      <w:numFmt w:val="bullet"/>
      <w:lvlText w:val="•"/>
      <w:lvlJc w:val="left"/>
      <w:pPr>
        <w:ind w:left="5325" w:hanging="213"/>
      </w:pPr>
      <w:rPr>
        <w:rFonts w:hint="default"/>
        <w:lang w:val="en-US" w:eastAsia="zh-CN" w:bidi="ar-SA"/>
      </w:rPr>
    </w:lvl>
  </w:abstractNum>
  <w:abstractNum w:abstractNumId="19">
    <w:nsid w:val="4CF639A4"/>
    <w:multiLevelType w:val="multilevel"/>
    <w:tmpl w:val="4CF639A4"/>
    <w:lvl w:ilvl="0" w:tentative="0">
      <w:start w:val="1"/>
      <w:numFmt w:val="decimal"/>
      <w:lvlText w:val="%1."/>
      <w:lvlJc w:val="left"/>
      <w:pPr>
        <w:ind w:left="330" w:hanging="213"/>
      </w:pPr>
      <w:rPr>
        <w:rFonts w:hint="default" w:ascii="宋体" w:hAnsi="宋体" w:eastAsia="宋体" w:cs="宋体"/>
        <w:w w:val="100"/>
        <w:sz w:val="19"/>
        <w:szCs w:val="19"/>
        <w:lang w:val="en-US" w:eastAsia="zh-CN" w:bidi="ar-SA"/>
      </w:rPr>
    </w:lvl>
    <w:lvl w:ilvl="1" w:tentative="0">
      <w:start w:val="0"/>
      <w:numFmt w:val="bullet"/>
      <w:lvlText w:val="•"/>
      <w:lvlJc w:val="left"/>
      <w:pPr>
        <w:ind w:left="968" w:hanging="213"/>
      </w:pPr>
      <w:rPr>
        <w:rFonts w:hint="default"/>
        <w:lang w:val="en-US" w:eastAsia="zh-CN" w:bidi="ar-SA"/>
      </w:rPr>
    </w:lvl>
    <w:lvl w:ilvl="2" w:tentative="0">
      <w:start w:val="0"/>
      <w:numFmt w:val="bullet"/>
      <w:lvlText w:val="•"/>
      <w:lvlJc w:val="left"/>
      <w:pPr>
        <w:ind w:left="1597" w:hanging="213"/>
      </w:pPr>
      <w:rPr>
        <w:rFonts w:hint="default"/>
        <w:lang w:val="en-US" w:eastAsia="zh-CN" w:bidi="ar-SA"/>
      </w:rPr>
    </w:lvl>
    <w:lvl w:ilvl="3" w:tentative="0">
      <w:start w:val="0"/>
      <w:numFmt w:val="bullet"/>
      <w:lvlText w:val="•"/>
      <w:lvlJc w:val="left"/>
      <w:pPr>
        <w:ind w:left="2226" w:hanging="213"/>
      </w:pPr>
      <w:rPr>
        <w:rFonts w:hint="default"/>
        <w:lang w:val="en-US" w:eastAsia="zh-CN" w:bidi="ar-SA"/>
      </w:rPr>
    </w:lvl>
    <w:lvl w:ilvl="4" w:tentative="0">
      <w:start w:val="0"/>
      <w:numFmt w:val="bullet"/>
      <w:lvlText w:val="•"/>
      <w:lvlJc w:val="left"/>
      <w:pPr>
        <w:ind w:left="2854" w:hanging="213"/>
      </w:pPr>
      <w:rPr>
        <w:rFonts w:hint="default"/>
        <w:lang w:val="en-US" w:eastAsia="zh-CN" w:bidi="ar-SA"/>
      </w:rPr>
    </w:lvl>
    <w:lvl w:ilvl="5" w:tentative="0">
      <w:start w:val="0"/>
      <w:numFmt w:val="bullet"/>
      <w:lvlText w:val="•"/>
      <w:lvlJc w:val="left"/>
      <w:pPr>
        <w:ind w:left="3483" w:hanging="213"/>
      </w:pPr>
      <w:rPr>
        <w:rFonts w:hint="default"/>
        <w:lang w:val="en-US" w:eastAsia="zh-CN" w:bidi="ar-SA"/>
      </w:rPr>
    </w:lvl>
    <w:lvl w:ilvl="6" w:tentative="0">
      <w:start w:val="0"/>
      <w:numFmt w:val="bullet"/>
      <w:lvlText w:val="•"/>
      <w:lvlJc w:val="left"/>
      <w:pPr>
        <w:ind w:left="4112" w:hanging="213"/>
      </w:pPr>
      <w:rPr>
        <w:rFonts w:hint="default"/>
        <w:lang w:val="en-US" w:eastAsia="zh-CN" w:bidi="ar-SA"/>
      </w:rPr>
    </w:lvl>
    <w:lvl w:ilvl="7" w:tentative="0">
      <w:start w:val="0"/>
      <w:numFmt w:val="bullet"/>
      <w:lvlText w:val="•"/>
      <w:lvlJc w:val="left"/>
      <w:pPr>
        <w:ind w:left="4740" w:hanging="213"/>
      </w:pPr>
      <w:rPr>
        <w:rFonts w:hint="default"/>
        <w:lang w:val="en-US" w:eastAsia="zh-CN" w:bidi="ar-SA"/>
      </w:rPr>
    </w:lvl>
    <w:lvl w:ilvl="8" w:tentative="0">
      <w:start w:val="0"/>
      <w:numFmt w:val="bullet"/>
      <w:lvlText w:val="•"/>
      <w:lvlJc w:val="left"/>
      <w:pPr>
        <w:ind w:left="5369" w:hanging="213"/>
      </w:pPr>
      <w:rPr>
        <w:rFonts w:hint="default"/>
        <w:lang w:val="en-US" w:eastAsia="zh-CN" w:bidi="ar-SA"/>
      </w:rPr>
    </w:lvl>
  </w:abstractNum>
  <w:abstractNum w:abstractNumId="20">
    <w:nsid w:val="51B379F6"/>
    <w:multiLevelType w:val="multilevel"/>
    <w:tmpl w:val="51B379F6"/>
    <w:lvl w:ilvl="0" w:tentative="0">
      <w:start w:val="1"/>
      <w:numFmt w:val="decimal"/>
      <w:lvlText w:val="%1."/>
      <w:lvlJc w:val="left"/>
      <w:pPr>
        <w:ind w:left="330" w:hanging="213"/>
      </w:pPr>
      <w:rPr>
        <w:rFonts w:hint="default" w:ascii="宋体" w:hAnsi="宋体" w:eastAsia="宋体" w:cs="宋体"/>
        <w:w w:val="100"/>
        <w:sz w:val="19"/>
        <w:szCs w:val="19"/>
        <w:lang w:val="en-US" w:eastAsia="zh-CN" w:bidi="ar-SA"/>
      </w:rPr>
    </w:lvl>
    <w:lvl w:ilvl="1" w:tentative="0">
      <w:start w:val="0"/>
      <w:numFmt w:val="bullet"/>
      <w:lvlText w:val="•"/>
      <w:lvlJc w:val="left"/>
      <w:pPr>
        <w:ind w:left="968" w:hanging="213"/>
      </w:pPr>
      <w:rPr>
        <w:rFonts w:hint="default"/>
        <w:lang w:val="en-US" w:eastAsia="zh-CN" w:bidi="ar-SA"/>
      </w:rPr>
    </w:lvl>
    <w:lvl w:ilvl="2" w:tentative="0">
      <w:start w:val="0"/>
      <w:numFmt w:val="bullet"/>
      <w:lvlText w:val="•"/>
      <w:lvlJc w:val="left"/>
      <w:pPr>
        <w:ind w:left="1597" w:hanging="213"/>
      </w:pPr>
      <w:rPr>
        <w:rFonts w:hint="default"/>
        <w:lang w:val="en-US" w:eastAsia="zh-CN" w:bidi="ar-SA"/>
      </w:rPr>
    </w:lvl>
    <w:lvl w:ilvl="3" w:tentative="0">
      <w:start w:val="0"/>
      <w:numFmt w:val="bullet"/>
      <w:lvlText w:val="•"/>
      <w:lvlJc w:val="left"/>
      <w:pPr>
        <w:ind w:left="2226" w:hanging="213"/>
      </w:pPr>
      <w:rPr>
        <w:rFonts w:hint="default"/>
        <w:lang w:val="en-US" w:eastAsia="zh-CN" w:bidi="ar-SA"/>
      </w:rPr>
    </w:lvl>
    <w:lvl w:ilvl="4" w:tentative="0">
      <w:start w:val="0"/>
      <w:numFmt w:val="bullet"/>
      <w:lvlText w:val="•"/>
      <w:lvlJc w:val="left"/>
      <w:pPr>
        <w:ind w:left="2854" w:hanging="213"/>
      </w:pPr>
      <w:rPr>
        <w:rFonts w:hint="default"/>
        <w:lang w:val="en-US" w:eastAsia="zh-CN" w:bidi="ar-SA"/>
      </w:rPr>
    </w:lvl>
    <w:lvl w:ilvl="5" w:tentative="0">
      <w:start w:val="0"/>
      <w:numFmt w:val="bullet"/>
      <w:lvlText w:val="•"/>
      <w:lvlJc w:val="left"/>
      <w:pPr>
        <w:ind w:left="3483" w:hanging="213"/>
      </w:pPr>
      <w:rPr>
        <w:rFonts w:hint="default"/>
        <w:lang w:val="en-US" w:eastAsia="zh-CN" w:bidi="ar-SA"/>
      </w:rPr>
    </w:lvl>
    <w:lvl w:ilvl="6" w:tentative="0">
      <w:start w:val="0"/>
      <w:numFmt w:val="bullet"/>
      <w:lvlText w:val="•"/>
      <w:lvlJc w:val="left"/>
      <w:pPr>
        <w:ind w:left="4112" w:hanging="213"/>
      </w:pPr>
      <w:rPr>
        <w:rFonts w:hint="default"/>
        <w:lang w:val="en-US" w:eastAsia="zh-CN" w:bidi="ar-SA"/>
      </w:rPr>
    </w:lvl>
    <w:lvl w:ilvl="7" w:tentative="0">
      <w:start w:val="0"/>
      <w:numFmt w:val="bullet"/>
      <w:lvlText w:val="•"/>
      <w:lvlJc w:val="left"/>
      <w:pPr>
        <w:ind w:left="4740" w:hanging="213"/>
      </w:pPr>
      <w:rPr>
        <w:rFonts w:hint="default"/>
        <w:lang w:val="en-US" w:eastAsia="zh-CN" w:bidi="ar-SA"/>
      </w:rPr>
    </w:lvl>
    <w:lvl w:ilvl="8" w:tentative="0">
      <w:start w:val="0"/>
      <w:numFmt w:val="bullet"/>
      <w:lvlText w:val="•"/>
      <w:lvlJc w:val="left"/>
      <w:pPr>
        <w:ind w:left="5369" w:hanging="213"/>
      </w:pPr>
      <w:rPr>
        <w:rFonts w:hint="default"/>
        <w:lang w:val="en-US" w:eastAsia="zh-CN" w:bidi="ar-SA"/>
      </w:rPr>
    </w:lvl>
  </w:abstractNum>
  <w:abstractNum w:abstractNumId="21">
    <w:nsid w:val="64CE0ECD"/>
    <w:multiLevelType w:val="multilevel"/>
    <w:tmpl w:val="64CE0ECD"/>
    <w:lvl w:ilvl="0" w:tentative="0">
      <w:start w:val="1"/>
      <w:numFmt w:val="decimal"/>
      <w:lvlText w:val="（%1）"/>
      <w:lvlJc w:val="left"/>
      <w:pPr>
        <w:ind w:left="1205" w:hanging="529"/>
      </w:pPr>
      <w:rPr>
        <w:rFonts w:hint="default" w:ascii="宋体" w:hAnsi="宋体" w:eastAsia="宋体" w:cs="宋体"/>
        <w:spacing w:val="-3"/>
        <w:w w:val="100"/>
        <w:sz w:val="19"/>
        <w:szCs w:val="19"/>
        <w:lang w:val="en-US" w:eastAsia="zh-CN" w:bidi="ar-SA"/>
      </w:rPr>
    </w:lvl>
    <w:lvl w:ilvl="1" w:tentative="0">
      <w:start w:val="0"/>
      <w:numFmt w:val="bullet"/>
      <w:lvlText w:val="•"/>
      <w:lvlJc w:val="left"/>
      <w:pPr>
        <w:ind w:left="2056" w:hanging="529"/>
      </w:pPr>
      <w:rPr>
        <w:rFonts w:hint="default"/>
        <w:lang w:val="en-US" w:eastAsia="zh-CN" w:bidi="ar-SA"/>
      </w:rPr>
    </w:lvl>
    <w:lvl w:ilvl="2" w:tentative="0">
      <w:start w:val="0"/>
      <w:numFmt w:val="bullet"/>
      <w:lvlText w:val="•"/>
      <w:lvlJc w:val="left"/>
      <w:pPr>
        <w:ind w:left="2913" w:hanging="529"/>
      </w:pPr>
      <w:rPr>
        <w:rFonts w:hint="default"/>
        <w:lang w:val="en-US" w:eastAsia="zh-CN" w:bidi="ar-SA"/>
      </w:rPr>
    </w:lvl>
    <w:lvl w:ilvl="3" w:tentative="0">
      <w:start w:val="0"/>
      <w:numFmt w:val="bullet"/>
      <w:lvlText w:val="•"/>
      <w:lvlJc w:val="left"/>
      <w:pPr>
        <w:ind w:left="3769" w:hanging="529"/>
      </w:pPr>
      <w:rPr>
        <w:rFonts w:hint="default"/>
        <w:lang w:val="en-US" w:eastAsia="zh-CN" w:bidi="ar-SA"/>
      </w:rPr>
    </w:lvl>
    <w:lvl w:ilvl="4" w:tentative="0">
      <w:start w:val="0"/>
      <w:numFmt w:val="bullet"/>
      <w:lvlText w:val="•"/>
      <w:lvlJc w:val="left"/>
      <w:pPr>
        <w:ind w:left="4626" w:hanging="529"/>
      </w:pPr>
      <w:rPr>
        <w:rFonts w:hint="default"/>
        <w:lang w:val="en-US" w:eastAsia="zh-CN" w:bidi="ar-SA"/>
      </w:rPr>
    </w:lvl>
    <w:lvl w:ilvl="5" w:tentative="0">
      <w:start w:val="0"/>
      <w:numFmt w:val="bullet"/>
      <w:lvlText w:val="•"/>
      <w:lvlJc w:val="left"/>
      <w:pPr>
        <w:ind w:left="5483" w:hanging="529"/>
      </w:pPr>
      <w:rPr>
        <w:rFonts w:hint="default"/>
        <w:lang w:val="en-US" w:eastAsia="zh-CN" w:bidi="ar-SA"/>
      </w:rPr>
    </w:lvl>
    <w:lvl w:ilvl="6" w:tentative="0">
      <w:start w:val="0"/>
      <w:numFmt w:val="bullet"/>
      <w:lvlText w:val="•"/>
      <w:lvlJc w:val="left"/>
      <w:pPr>
        <w:ind w:left="6339" w:hanging="529"/>
      </w:pPr>
      <w:rPr>
        <w:rFonts w:hint="default"/>
        <w:lang w:val="en-US" w:eastAsia="zh-CN" w:bidi="ar-SA"/>
      </w:rPr>
    </w:lvl>
    <w:lvl w:ilvl="7" w:tentative="0">
      <w:start w:val="0"/>
      <w:numFmt w:val="bullet"/>
      <w:lvlText w:val="•"/>
      <w:lvlJc w:val="left"/>
      <w:pPr>
        <w:ind w:left="7196" w:hanging="529"/>
      </w:pPr>
      <w:rPr>
        <w:rFonts w:hint="default"/>
        <w:lang w:val="en-US" w:eastAsia="zh-CN" w:bidi="ar-SA"/>
      </w:rPr>
    </w:lvl>
    <w:lvl w:ilvl="8" w:tentative="0">
      <w:start w:val="0"/>
      <w:numFmt w:val="bullet"/>
      <w:lvlText w:val="•"/>
      <w:lvlJc w:val="left"/>
      <w:pPr>
        <w:ind w:left="8053" w:hanging="529"/>
      </w:pPr>
      <w:rPr>
        <w:rFonts w:hint="default"/>
        <w:lang w:val="en-US" w:eastAsia="zh-CN" w:bidi="ar-SA"/>
      </w:rPr>
    </w:lvl>
  </w:abstractNum>
  <w:abstractNum w:abstractNumId="22">
    <w:nsid w:val="657B7C7B"/>
    <w:multiLevelType w:val="multilevel"/>
    <w:tmpl w:val="657B7C7B"/>
    <w:lvl w:ilvl="0" w:tentative="0">
      <w:start w:val="1"/>
      <w:numFmt w:val="decimal"/>
      <w:lvlText w:val="%1."/>
      <w:lvlJc w:val="left"/>
      <w:pPr>
        <w:ind w:left="681" w:hanging="430"/>
        <w:jc w:val="right"/>
      </w:pPr>
      <w:rPr>
        <w:rFonts w:hint="default" w:ascii="宋体" w:hAnsi="宋体" w:eastAsia="宋体" w:cs="宋体"/>
        <w:b/>
        <w:bCs/>
        <w:spacing w:val="0"/>
        <w:w w:val="98"/>
        <w:sz w:val="32"/>
        <w:szCs w:val="32"/>
        <w:lang w:val="en-US" w:eastAsia="zh-CN" w:bidi="ar-SA"/>
      </w:rPr>
    </w:lvl>
    <w:lvl w:ilvl="1" w:tentative="0">
      <w:start w:val="1"/>
      <w:numFmt w:val="decimal"/>
      <w:lvlText w:val="%2."/>
      <w:lvlJc w:val="left"/>
      <w:pPr>
        <w:ind w:left="874" w:hanging="244"/>
      </w:pPr>
      <w:rPr>
        <w:rFonts w:hint="default" w:ascii="宋体" w:hAnsi="宋体" w:eastAsia="宋体" w:cs="宋体"/>
        <w:b/>
        <w:bCs/>
        <w:spacing w:val="-1"/>
        <w:w w:val="99"/>
        <w:sz w:val="22"/>
        <w:szCs w:val="22"/>
        <w:lang w:val="en-US" w:eastAsia="zh-CN" w:bidi="ar-SA"/>
      </w:rPr>
    </w:lvl>
    <w:lvl w:ilvl="2" w:tentative="0">
      <w:start w:val="0"/>
      <w:numFmt w:val="bullet"/>
      <w:lvlText w:val="•"/>
      <w:lvlJc w:val="left"/>
      <w:pPr>
        <w:ind w:left="1867" w:hanging="244"/>
      </w:pPr>
      <w:rPr>
        <w:rFonts w:hint="default"/>
        <w:lang w:val="en-US" w:eastAsia="zh-CN" w:bidi="ar-SA"/>
      </w:rPr>
    </w:lvl>
    <w:lvl w:ilvl="3" w:tentative="0">
      <w:start w:val="0"/>
      <w:numFmt w:val="bullet"/>
      <w:lvlText w:val="•"/>
      <w:lvlJc w:val="left"/>
      <w:pPr>
        <w:ind w:left="2854" w:hanging="244"/>
      </w:pPr>
      <w:rPr>
        <w:rFonts w:hint="default"/>
        <w:lang w:val="en-US" w:eastAsia="zh-CN" w:bidi="ar-SA"/>
      </w:rPr>
    </w:lvl>
    <w:lvl w:ilvl="4" w:tentative="0">
      <w:start w:val="0"/>
      <w:numFmt w:val="bullet"/>
      <w:lvlText w:val="•"/>
      <w:lvlJc w:val="left"/>
      <w:pPr>
        <w:ind w:left="3842" w:hanging="244"/>
      </w:pPr>
      <w:rPr>
        <w:rFonts w:hint="default"/>
        <w:lang w:val="en-US" w:eastAsia="zh-CN" w:bidi="ar-SA"/>
      </w:rPr>
    </w:lvl>
    <w:lvl w:ilvl="5" w:tentative="0">
      <w:start w:val="0"/>
      <w:numFmt w:val="bullet"/>
      <w:lvlText w:val="•"/>
      <w:lvlJc w:val="left"/>
      <w:pPr>
        <w:ind w:left="4829" w:hanging="244"/>
      </w:pPr>
      <w:rPr>
        <w:rFonts w:hint="default"/>
        <w:lang w:val="en-US" w:eastAsia="zh-CN" w:bidi="ar-SA"/>
      </w:rPr>
    </w:lvl>
    <w:lvl w:ilvl="6" w:tentative="0">
      <w:start w:val="0"/>
      <w:numFmt w:val="bullet"/>
      <w:lvlText w:val="•"/>
      <w:lvlJc w:val="left"/>
      <w:pPr>
        <w:ind w:left="5816" w:hanging="244"/>
      </w:pPr>
      <w:rPr>
        <w:rFonts w:hint="default"/>
        <w:lang w:val="en-US" w:eastAsia="zh-CN" w:bidi="ar-SA"/>
      </w:rPr>
    </w:lvl>
    <w:lvl w:ilvl="7" w:tentative="0">
      <w:start w:val="0"/>
      <w:numFmt w:val="bullet"/>
      <w:lvlText w:val="•"/>
      <w:lvlJc w:val="left"/>
      <w:pPr>
        <w:ind w:left="6804" w:hanging="244"/>
      </w:pPr>
      <w:rPr>
        <w:rFonts w:hint="default"/>
        <w:lang w:val="en-US" w:eastAsia="zh-CN" w:bidi="ar-SA"/>
      </w:rPr>
    </w:lvl>
    <w:lvl w:ilvl="8" w:tentative="0">
      <w:start w:val="0"/>
      <w:numFmt w:val="bullet"/>
      <w:lvlText w:val="•"/>
      <w:lvlJc w:val="left"/>
      <w:pPr>
        <w:ind w:left="7791" w:hanging="244"/>
      </w:pPr>
      <w:rPr>
        <w:rFonts w:hint="default"/>
        <w:lang w:val="en-US" w:eastAsia="zh-CN" w:bidi="ar-SA"/>
      </w:rPr>
    </w:lvl>
  </w:abstractNum>
  <w:abstractNum w:abstractNumId="23">
    <w:nsid w:val="68001C1B"/>
    <w:multiLevelType w:val="multilevel"/>
    <w:tmpl w:val="68001C1B"/>
    <w:lvl w:ilvl="0" w:tentative="0">
      <w:start w:val="1"/>
      <w:numFmt w:val="decimal"/>
      <w:lvlText w:val="%1."/>
      <w:lvlJc w:val="left"/>
      <w:pPr>
        <w:ind w:left="330" w:hanging="213"/>
      </w:pPr>
      <w:rPr>
        <w:rFonts w:hint="default" w:ascii="宋体" w:hAnsi="宋体" w:eastAsia="宋体" w:cs="宋体"/>
        <w:w w:val="100"/>
        <w:sz w:val="19"/>
        <w:szCs w:val="19"/>
        <w:lang w:val="en-US" w:eastAsia="zh-CN" w:bidi="ar-SA"/>
      </w:rPr>
    </w:lvl>
    <w:lvl w:ilvl="1" w:tentative="0">
      <w:start w:val="0"/>
      <w:numFmt w:val="bullet"/>
      <w:lvlText w:val="•"/>
      <w:lvlJc w:val="left"/>
      <w:pPr>
        <w:ind w:left="968" w:hanging="213"/>
      </w:pPr>
      <w:rPr>
        <w:rFonts w:hint="default"/>
        <w:lang w:val="en-US" w:eastAsia="zh-CN" w:bidi="ar-SA"/>
      </w:rPr>
    </w:lvl>
    <w:lvl w:ilvl="2" w:tentative="0">
      <w:start w:val="0"/>
      <w:numFmt w:val="bullet"/>
      <w:lvlText w:val="•"/>
      <w:lvlJc w:val="left"/>
      <w:pPr>
        <w:ind w:left="1597" w:hanging="213"/>
      </w:pPr>
      <w:rPr>
        <w:rFonts w:hint="default"/>
        <w:lang w:val="en-US" w:eastAsia="zh-CN" w:bidi="ar-SA"/>
      </w:rPr>
    </w:lvl>
    <w:lvl w:ilvl="3" w:tentative="0">
      <w:start w:val="0"/>
      <w:numFmt w:val="bullet"/>
      <w:lvlText w:val="•"/>
      <w:lvlJc w:val="left"/>
      <w:pPr>
        <w:ind w:left="2226" w:hanging="213"/>
      </w:pPr>
      <w:rPr>
        <w:rFonts w:hint="default"/>
        <w:lang w:val="en-US" w:eastAsia="zh-CN" w:bidi="ar-SA"/>
      </w:rPr>
    </w:lvl>
    <w:lvl w:ilvl="4" w:tentative="0">
      <w:start w:val="0"/>
      <w:numFmt w:val="bullet"/>
      <w:lvlText w:val="•"/>
      <w:lvlJc w:val="left"/>
      <w:pPr>
        <w:ind w:left="2854" w:hanging="213"/>
      </w:pPr>
      <w:rPr>
        <w:rFonts w:hint="default"/>
        <w:lang w:val="en-US" w:eastAsia="zh-CN" w:bidi="ar-SA"/>
      </w:rPr>
    </w:lvl>
    <w:lvl w:ilvl="5" w:tentative="0">
      <w:start w:val="0"/>
      <w:numFmt w:val="bullet"/>
      <w:lvlText w:val="•"/>
      <w:lvlJc w:val="left"/>
      <w:pPr>
        <w:ind w:left="3483" w:hanging="213"/>
      </w:pPr>
      <w:rPr>
        <w:rFonts w:hint="default"/>
        <w:lang w:val="en-US" w:eastAsia="zh-CN" w:bidi="ar-SA"/>
      </w:rPr>
    </w:lvl>
    <w:lvl w:ilvl="6" w:tentative="0">
      <w:start w:val="0"/>
      <w:numFmt w:val="bullet"/>
      <w:lvlText w:val="•"/>
      <w:lvlJc w:val="left"/>
      <w:pPr>
        <w:ind w:left="4112" w:hanging="213"/>
      </w:pPr>
      <w:rPr>
        <w:rFonts w:hint="default"/>
        <w:lang w:val="en-US" w:eastAsia="zh-CN" w:bidi="ar-SA"/>
      </w:rPr>
    </w:lvl>
    <w:lvl w:ilvl="7" w:tentative="0">
      <w:start w:val="0"/>
      <w:numFmt w:val="bullet"/>
      <w:lvlText w:val="•"/>
      <w:lvlJc w:val="left"/>
      <w:pPr>
        <w:ind w:left="4740" w:hanging="213"/>
      </w:pPr>
      <w:rPr>
        <w:rFonts w:hint="default"/>
        <w:lang w:val="en-US" w:eastAsia="zh-CN" w:bidi="ar-SA"/>
      </w:rPr>
    </w:lvl>
    <w:lvl w:ilvl="8" w:tentative="0">
      <w:start w:val="0"/>
      <w:numFmt w:val="bullet"/>
      <w:lvlText w:val="•"/>
      <w:lvlJc w:val="left"/>
      <w:pPr>
        <w:ind w:left="5369" w:hanging="213"/>
      </w:pPr>
      <w:rPr>
        <w:rFonts w:hint="default"/>
        <w:lang w:val="en-US" w:eastAsia="zh-CN" w:bidi="ar-SA"/>
      </w:rPr>
    </w:lvl>
  </w:abstractNum>
  <w:abstractNum w:abstractNumId="24">
    <w:nsid w:val="70646C27"/>
    <w:multiLevelType w:val="multilevel"/>
    <w:tmpl w:val="70646C27"/>
    <w:lvl w:ilvl="0" w:tentative="0">
      <w:start w:val="1"/>
      <w:numFmt w:val="decimal"/>
      <w:lvlText w:val="%1."/>
      <w:lvlJc w:val="left"/>
      <w:pPr>
        <w:ind w:left="994" w:hanging="318"/>
      </w:pPr>
      <w:rPr>
        <w:rFonts w:hint="default" w:ascii="Times New Roman" w:hAnsi="Times New Roman" w:eastAsia="Times New Roman" w:cs="Times New Roman"/>
        <w:spacing w:val="-1"/>
        <w:w w:val="100"/>
        <w:sz w:val="19"/>
        <w:szCs w:val="19"/>
        <w:lang w:val="en-US" w:eastAsia="zh-CN" w:bidi="ar-SA"/>
      </w:rPr>
    </w:lvl>
    <w:lvl w:ilvl="1" w:tentative="0">
      <w:start w:val="0"/>
      <w:numFmt w:val="bullet"/>
      <w:lvlText w:val="•"/>
      <w:lvlJc w:val="left"/>
      <w:pPr>
        <w:ind w:left="1876" w:hanging="318"/>
      </w:pPr>
      <w:rPr>
        <w:rFonts w:hint="default"/>
        <w:lang w:val="en-US" w:eastAsia="zh-CN" w:bidi="ar-SA"/>
      </w:rPr>
    </w:lvl>
    <w:lvl w:ilvl="2" w:tentative="0">
      <w:start w:val="0"/>
      <w:numFmt w:val="bullet"/>
      <w:lvlText w:val="•"/>
      <w:lvlJc w:val="left"/>
      <w:pPr>
        <w:ind w:left="2753" w:hanging="318"/>
      </w:pPr>
      <w:rPr>
        <w:rFonts w:hint="default"/>
        <w:lang w:val="en-US" w:eastAsia="zh-CN" w:bidi="ar-SA"/>
      </w:rPr>
    </w:lvl>
    <w:lvl w:ilvl="3" w:tentative="0">
      <w:start w:val="0"/>
      <w:numFmt w:val="bullet"/>
      <w:lvlText w:val="•"/>
      <w:lvlJc w:val="left"/>
      <w:pPr>
        <w:ind w:left="3629" w:hanging="318"/>
      </w:pPr>
      <w:rPr>
        <w:rFonts w:hint="default"/>
        <w:lang w:val="en-US" w:eastAsia="zh-CN" w:bidi="ar-SA"/>
      </w:rPr>
    </w:lvl>
    <w:lvl w:ilvl="4" w:tentative="0">
      <w:start w:val="0"/>
      <w:numFmt w:val="bullet"/>
      <w:lvlText w:val="•"/>
      <w:lvlJc w:val="left"/>
      <w:pPr>
        <w:ind w:left="4506" w:hanging="318"/>
      </w:pPr>
      <w:rPr>
        <w:rFonts w:hint="default"/>
        <w:lang w:val="en-US" w:eastAsia="zh-CN" w:bidi="ar-SA"/>
      </w:rPr>
    </w:lvl>
    <w:lvl w:ilvl="5" w:tentative="0">
      <w:start w:val="0"/>
      <w:numFmt w:val="bullet"/>
      <w:lvlText w:val="•"/>
      <w:lvlJc w:val="left"/>
      <w:pPr>
        <w:ind w:left="5383" w:hanging="318"/>
      </w:pPr>
      <w:rPr>
        <w:rFonts w:hint="default"/>
        <w:lang w:val="en-US" w:eastAsia="zh-CN" w:bidi="ar-SA"/>
      </w:rPr>
    </w:lvl>
    <w:lvl w:ilvl="6" w:tentative="0">
      <w:start w:val="0"/>
      <w:numFmt w:val="bullet"/>
      <w:lvlText w:val="•"/>
      <w:lvlJc w:val="left"/>
      <w:pPr>
        <w:ind w:left="6259" w:hanging="318"/>
      </w:pPr>
      <w:rPr>
        <w:rFonts w:hint="default"/>
        <w:lang w:val="en-US" w:eastAsia="zh-CN" w:bidi="ar-SA"/>
      </w:rPr>
    </w:lvl>
    <w:lvl w:ilvl="7" w:tentative="0">
      <w:start w:val="0"/>
      <w:numFmt w:val="bullet"/>
      <w:lvlText w:val="•"/>
      <w:lvlJc w:val="left"/>
      <w:pPr>
        <w:ind w:left="7136" w:hanging="318"/>
      </w:pPr>
      <w:rPr>
        <w:rFonts w:hint="default"/>
        <w:lang w:val="en-US" w:eastAsia="zh-CN" w:bidi="ar-SA"/>
      </w:rPr>
    </w:lvl>
    <w:lvl w:ilvl="8" w:tentative="0">
      <w:start w:val="0"/>
      <w:numFmt w:val="bullet"/>
      <w:lvlText w:val="•"/>
      <w:lvlJc w:val="left"/>
      <w:pPr>
        <w:ind w:left="8013" w:hanging="318"/>
      </w:pPr>
      <w:rPr>
        <w:rFonts w:hint="default"/>
        <w:lang w:val="en-US" w:eastAsia="zh-CN" w:bidi="ar-SA"/>
      </w:rPr>
    </w:lvl>
  </w:abstractNum>
  <w:abstractNum w:abstractNumId="25">
    <w:nsid w:val="7D590197"/>
    <w:multiLevelType w:val="multilevel"/>
    <w:tmpl w:val="7D590197"/>
    <w:lvl w:ilvl="0" w:tentative="0">
      <w:start w:val="1"/>
      <w:numFmt w:val="decimal"/>
      <w:lvlText w:val="%1."/>
      <w:lvlJc w:val="left"/>
      <w:pPr>
        <w:ind w:left="386" w:hanging="269"/>
      </w:pPr>
      <w:rPr>
        <w:rFonts w:hint="default" w:ascii="宋体" w:hAnsi="宋体" w:eastAsia="宋体" w:cs="宋体"/>
        <w:w w:val="100"/>
        <w:sz w:val="21"/>
        <w:szCs w:val="21"/>
        <w:lang w:val="en-US" w:eastAsia="zh-CN" w:bidi="ar-SA"/>
      </w:rPr>
    </w:lvl>
    <w:lvl w:ilvl="1" w:tentative="0">
      <w:start w:val="0"/>
      <w:numFmt w:val="bullet"/>
      <w:lvlText w:val="•"/>
      <w:lvlJc w:val="left"/>
      <w:pPr>
        <w:ind w:left="1004" w:hanging="269"/>
      </w:pPr>
      <w:rPr>
        <w:rFonts w:hint="default"/>
        <w:lang w:val="en-US" w:eastAsia="zh-CN" w:bidi="ar-SA"/>
      </w:rPr>
    </w:lvl>
    <w:lvl w:ilvl="2" w:tentative="0">
      <w:start w:val="0"/>
      <w:numFmt w:val="bullet"/>
      <w:lvlText w:val="•"/>
      <w:lvlJc w:val="left"/>
      <w:pPr>
        <w:ind w:left="1629" w:hanging="269"/>
      </w:pPr>
      <w:rPr>
        <w:rFonts w:hint="default"/>
        <w:lang w:val="en-US" w:eastAsia="zh-CN" w:bidi="ar-SA"/>
      </w:rPr>
    </w:lvl>
    <w:lvl w:ilvl="3" w:tentative="0">
      <w:start w:val="0"/>
      <w:numFmt w:val="bullet"/>
      <w:lvlText w:val="•"/>
      <w:lvlJc w:val="left"/>
      <w:pPr>
        <w:ind w:left="2254" w:hanging="269"/>
      </w:pPr>
      <w:rPr>
        <w:rFonts w:hint="default"/>
        <w:lang w:val="en-US" w:eastAsia="zh-CN" w:bidi="ar-SA"/>
      </w:rPr>
    </w:lvl>
    <w:lvl w:ilvl="4" w:tentative="0">
      <w:start w:val="0"/>
      <w:numFmt w:val="bullet"/>
      <w:lvlText w:val="•"/>
      <w:lvlJc w:val="left"/>
      <w:pPr>
        <w:ind w:left="2878" w:hanging="269"/>
      </w:pPr>
      <w:rPr>
        <w:rFonts w:hint="default"/>
        <w:lang w:val="en-US" w:eastAsia="zh-CN" w:bidi="ar-SA"/>
      </w:rPr>
    </w:lvl>
    <w:lvl w:ilvl="5" w:tentative="0">
      <w:start w:val="0"/>
      <w:numFmt w:val="bullet"/>
      <w:lvlText w:val="•"/>
      <w:lvlJc w:val="left"/>
      <w:pPr>
        <w:ind w:left="3503" w:hanging="269"/>
      </w:pPr>
      <w:rPr>
        <w:rFonts w:hint="default"/>
        <w:lang w:val="en-US" w:eastAsia="zh-CN" w:bidi="ar-SA"/>
      </w:rPr>
    </w:lvl>
    <w:lvl w:ilvl="6" w:tentative="0">
      <w:start w:val="0"/>
      <w:numFmt w:val="bullet"/>
      <w:lvlText w:val="•"/>
      <w:lvlJc w:val="left"/>
      <w:pPr>
        <w:ind w:left="4128" w:hanging="269"/>
      </w:pPr>
      <w:rPr>
        <w:rFonts w:hint="default"/>
        <w:lang w:val="en-US" w:eastAsia="zh-CN" w:bidi="ar-SA"/>
      </w:rPr>
    </w:lvl>
    <w:lvl w:ilvl="7" w:tentative="0">
      <w:start w:val="0"/>
      <w:numFmt w:val="bullet"/>
      <w:lvlText w:val="•"/>
      <w:lvlJc w:val="left"/>
      <w:pPr>
        <w:ind w:left="4752" w:hanging="269"/>
      </w:pPr>
      <w:rPr>
        <w:rFonts w:hint="default"/>
        <w:lang w:val="en-US" w:eastAsia="zh-CN" w:bidi="ar-SA"/>
      </w:rPr>
    </w:lvl>
    <w:lvl w:ilvl="8" w:tentative="0">
      <w:start w:val="0"/>
      <w:numFmt w:val="bullet"/>
      <w:lvlText w:val="•"/>
      <w:lvlJc w:val="left"/>
      <w:pPr>
        <w:ind w:left="5377" w:hanging="269"/>
      </w:pPr>
      <w:rPr>
        <w:rFonts w:hint="default"/>
        <w:lang w:val="en-US" w:eastAsia="zh-CN" w:bidi="ar-SA"/>
      </w:rPr>
    </w:lvl>
  </w:abstractNum>
  <w:num w:numId="1">
    <w:abstractNumId w:val="0"/>
  </w:num>
  <w:num w:numId="2">
    <w:abstractNumId w:val="11"/>
  </w:num>
  <w:num w:numId="3">
    <w:abstractNumId w:val="20"/>
  </w:num>
  <w:num w:numId="4">
    <w:abstractNumId w:val="8"/>
  </w:num>
  <w:num w:numId="5">
    <w:abstractNumId w:val="25"/>
  </w:num>
  <w:num w:numId="6">
    <w:abstractNumId w:val="12"/>
  </w:num>
  <w:num w:numId="7">
    <w:abstractNumId w:val="16"/>
  </w:num>
  <w:num w:numId="8">
    <w:abstractNumId w:val="19"/>
  </w:num>
  <w:num w:numId="9">
    <w:abstractNumId w:val="18"/>
  </w:num>
  <w:num w:numId="10">
    <w:abstractNumId w:val="23"/>
  </w:num>
  <w:num w:numId="11">
    <w:abstractNumId w:val="15"/>
  </w:num>
  <w:num w:numId="12">
    <w:abstractNumId w:val="9"/>
  </w:num>
  <w:num w:numId="13">
    <w:abstractNumId w:val="5"/>
  </w:num>
  <w:num w:numId="14">
    <w:abstractNumId w:val="10"/>
  </w:num>
  <w:num w:numId="15">
    <w:abstractNumId w:val="22"/>
  </w:num>
  <w:num w:numId="16">
    <w:abstractNumId w:val="3"/>
  </w:num>
  <w:num w:numId="17">
    <w:abstractNumId w:val="13"/>
  </w:num>
  <w:num w:numId="18">
    <w:abstractNumId w:val="21"/>
  </w:num>
  <w:num w:numId="19">
    <w:abstractNumId w:val="24"/>
  </w:num>
  <w:num w:numId="20">
    <w:abstractNumId w:val="1"/>
  </w:num>
  <w:num w:numId="21">
    <w:abstractNumId w:val="7"/>
  </w:num>
  <w:num w:numId="22">
    <w:abstractNumId w:val="14"/>
  </w:num>
  <w:num w:numId="23">
    <w:abstractNumId w:val="6"/>
  </w:num>
  <w:num w:numId="24">
    <w:abstractNumId w:val="2"/>
  </w:num>
  <w:num w:numId="25">
    <w:abstractNumId w:val="4"/>
  </w:num>
  <w:num w:numId="26">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cumentProtection w:edit="forms" w:enforcement="1" w:cryptProviderType="rsaFull" w:cryptAlgorithmClass="hash" w:cryptAlgorithmType="typeAny" w:cryptAlgorithmSid="4" w:cryptSpinCount="0" w:hash="dZiJwqmVUbmsC4qcU6x3lixoQ2A=" w:salt="Y6zLK1glxb2meyc69/i2oA=="/>
  <w:defaultTabStop w:val="720"/>
  <w:drawingGridHorizontalSpacing w:val="110"/>
  <w:displayHorizontalDrawingGridEvery w:val="1"/>
  <w:displayVerticalDrawingGridEvery w:val="1"/>
  <w:noPunctuationKerning w:val="1"/>
  <w:characterSpacingControl w:val="doNotCompress"/>
  <w:hdrShapeDefaults>
    <o:shapelayout v:ext="edit">
      <o:idmap v:ext="edit" data="2"/>
    </o:shapelayout>
  </w:hdrShapeDefaults>
  <w:compat>
    <w:ulTrailSpace/>
    <w:doNotExpandShiftReturn/>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I5MTI0OWE3YWNmMWQ0OTM3MTc5ZDBhYjUxNTRlOGQifQ=="/>
  </w:docVars>
  <w:rsids>
    <w:rsidRoot w:val="00E949A2"/>
    <w:rsid w:val="0001339A"/>
    <w:rsid w:val="000249F2"/>
    <w:rsid w:val="00032E14"/>
    <w:rsid w:val="000402D0"/>
    <w:rsid w:val="00053E1D"/>
    <w:rsid w:val="0005732F"/>
    <w:rsid w:val="000677A4"/>
    <w:rsid w:val="000920D2"/>
    <w:rsid w:val="00096688"/>
    <w:rsid w:val="000A3AC6"/>
    <w:rsid w:val="000A436E"/>
    <w:rsid w:val="000A691F"/>
    <w:rsid w:val="000B3D4D"/>
    <w:rsid w:val="000B3EF7"/>
    <w:rsid w:val="000B7FAD"/>
    <w:rsid w:val="000C00DE"/>
    <w:rsid w:val="000C74F9"/>
    <w:rsid w:val="000D5ADA"/>
    <w:rsid w:val="000E34B2"/>
    <w:rsid w:val="0010135D"/>
    <w:rsid w:val="001149E8"/>
    <w:rsid w:val="0014060B"/>
    <w:rsid w:val="001479CD"/>
    <w:rsid w:val="00162845"/>
    <w:rsid w:val="00166F91"/>
    <w:rsid w:val="00177ADF"/>
    <w:rsid w:val="001A4EA5"/>
    <w:rsid w:val="001C5C25"/>
    <w:rsid w:val="001D7977"/>
    <w:rsid w:val="001D7E19"/>
    <w:rsid w:val="001E284B"/>
    <w:rsid w:val="001E7CD5"/>
    <w:rsid w:val="001F2724"/>
    <w:rsid w:val="00205A17"/>
    <w:rsid w:val="002076CC"/>
    <w:rsid w:val="00211ED4"/>
    <w:rsid w:val="002422B2"/>
    <w:rsid w:val="00251D54"/>
    <w:rsid w:val="00252F5D"/>
    <w:rsid w:val="0026166B"/>
    <w:rsid w:val="002766F4"/>
    <w:rsid w:val="002779CE"/>
    <w:rsid w:val="00286555"/>
    <w:rsid w:val="00290B25"/>
    <w:rsid w:val="0029666E"/>
    <w:rsid w:val="002A1546"/>
    <w:rsid w:val="002A474E"/>
    <w:rsid w:val="002B2F2C"/>
    <w:rsid w:val="002B607F"/>
    <w:rsid w:val="002C32AC"/>
    <w:rsid w:val="002D12E7"/>
    <w:rsid w:val="002D6149"/>
    <w:rsid w:val="002E0C20"/>
    <w:rsid w:val="002E4F38"/>
    <w:rsid w:val="002E7CBB"/>
    <w:rsid w:val="002F28D0"/>
    <w:rsid w:val="00301879"/>
    <w:rsid w:val="00321444"/>
    <w:rsid w:val="0032368D"/>
    <w:rsid w:val="00325FC2"/>
    <w:rsid w:val="00327BAE"/>
    <w:rsid w:val="00342F63"/>
    <w:rsid w:val="00345F52"/>
    <w:rsid w:val="003514E5"/>
    <w:rsid w:val="00353178"/>
    <w:rsid w:val="00380C11"/>
    <w:rsid w:val="00381D48"/>
    <w:rsid w:val="00383351"/>
    <w:rsid w:val="003838BB"/>
    <w:rsid w:val="00384E25"/>
    <w:rsid w:val="00390CE3"/>
    <w:rsid w:val="003C1307"/>
    <w:rsid w:val="003D25FF"/>
    <w:rsid w:val="003F09B0"/>
    <w:rsid w:val="00410D14"/>
    <w:rsid w:val="0041455F"/>
    <w:rsid w:val="00414F7B"/>
    <w:rsid w:val="00420913"/>
    <w:rsid w:val="00424CD4"/>
    <w:rsid w:val="00440CA5"/>
    <w:rsid w:val="004434F9"/>
    <w:rsid w:val="00447D47"/>
    <w:rsid w:val="00456C7F"/>
    <w:rsid w:val="0047572A"/>
    <w:rsid w:val="00483B99"/>
    <w:rsid w:val="00485938"/>
    <w:rsid w:val="00486EC9"/>
    <w:rsid w:val="0048780E"/>
    <w:rsid w:val="00496AB1"/>
    <w:rsid w:val="004A216C"/>
    <w:rsid w:val="004A3B2C"/>
    <w:rsid w:val="004A5E1F"/>
    <w:rsid w:val="004D73B9"/>
    <w:rsid w:val="004E5108"/>
    <w:rsid w:val="004F4C0C"/>
    <w:rsid w:val="004F5B8D"/>
    <w:rsid w:val="00513E17"/>
    <w:rsid w:val="0052344B"/>
    <w:rsid w:val="0053007B"/>
    <w:rsid w:val="00535FF9"/>
    <w:rsid w:val="0055359E"/>
    <w:rsid w:val="005565D0"/>
    <w:rsid w:val="00565A1E"/>
    <w:rsid w:val="005700EB"/>
    <w:rsid w:val="005768BF"/>
    <w:rsid w:val="00576E24"/>
    <w:rsid w:val="0058382E"/>
    <w:rsid w:val="005A1A7E"/>
    <w:rsid w:val="005A2395"/>
    <w:rsid w:val="005B0BC3"/>
    <w:rsid w:val="005B1347"/>
    <w:rsid w:val="005B1C4B"/>
    <w:rsid w:val="005B6487"/>
    <w:rsid w:val="005C1118"/>
    <w:rsid w:val="005C57D6"/>
    <w:rsid w:val="005C5C41"/>
    <w:rsid w:val="005D2D4B"/>
    <w:rsid w:val="00607EFF"/>
    <w:rsid w:val="0062050B"/>
    <w:rsid w:val="00623E43"/>
    <w:rsid w:val="006412F4"/>
    <w:rsid w:val="00650938"/>
    <w:rsid w:val="00656E01"/>
    <w:rsid w:val="006579FE"/>
    <w:rsid w:val="006A0FC2"/>
    <w:rsid w:val="006B08BE"/>
    <w:rsid w:val="006B57AB"/>
    <w:rsid w:val="006D0B5B"/>
    <w:rsid w:val="006D4A66"/>
    <w:rsid w:val="006E3E5E"/>
    <w:rsid w:val="006F6303"/>
    <w:rsid w:val="00700DC3"/>
    <w:rsid w:val="007221B0"/>
    <w:rsid w:val="00726C21"/>
    <w:rsid w:val="00742F34"/>
    <w:rsid w:val="007447AA"/>
    <w:rsid w:val="00747754"/>
    <w:rsid w:val="00754EAD"/>
    <w:rsid w:val="007623A1"/>
    <w:rsid w:val="0076412E"/>
    <w:rsid w:val="00766F0F"/>
    <w:rsid w:val="007726B0"/>
    <w:rsid w:val="00777E3E"/>
    <w:rsid w:val="00782253"/>
    <w:rsid w:val="00782FD5"/>
    <w:rsid w:val="0078796D"/>
    <w:rsid w:val="00787C02"/>
    <w:rsid w:val="00793B53"/>
    <w:rsid w:val="007949A2"/>
    <w:rsid w:val="007A634A"/>
    <w:rsid w:val="007A672C"/>
    <w:rsid w:val="007A6BEE"/>
    <w:rsid w:val="007B2784"/>
    <w:rsid w:val="007B2CDC"/>
    <w:rsid w:val="007B3635"/>
    <w:rsid w:val="007E4D45"/>
    <w:rsid w:val="007E733C"/>
    <w:rsid w:val="007F2931"/>
    <w:rsid w:val="007F6E60"/>
    <w:rsid w:val="00803FD2"/>
    <w:rsid w:val="00804149"/>
    <w:rsid w:val="00812278"/>
    <w:rsid w:val="0081359D"/>
    <w:rsid w:val="00826783"/>
    <w:rsid w:val="0082726F"/>
    <w:rsid w:val="00831420"/>
    <w:rsid w:val="00846D65"/>
    <w:rsid w:val="008612E7"/>
    <w:rsid w:val="0086504C"/>
    <w:rsid w:val="008672FE"/>
    <w:rsid w:val="008761C1"/>
    <w:rsid w:val="0088282E"/>
    <w:rsid w:val="00892103"/>
    <w:rsid w:val="008A7F13"/>
    <w:rsid w:val="008B31E2"/>
    <w:rsid w:val="008C638F"/>
    <w:rsid w:val="008D0A49"/>
    <w:rsid w:val="008F78D4"/>
    <w:rsid w:val="00910FD3"/>
    <w:rsid w:val="00911658"/>
    <w:rsid w:val="009148D6"/>
    <w:rsid w:val="009240E2"/>
    <w:rsid w:val="00924685"/>
    <w:rsid w:val="00925D2E"/>
    <w:rsid w:val="009364EF"/>
    <w:rsid w:val="009400AF"/>
    <w:rsid w:val="009459B7"/>
    <w:rsid w:val="0095160B"/>
    <w:rsid w:val="009549A1"/>
    <w:rsid w:val="00963762"/>
    <w:rsid w:val="00964CD8"/>
    <w:rsid w:val="0096753F"/>
    <w:rsid w:val="00986CB8"/>
    <w:rsid w:val="009A32DD"/>
    <w:rsid w:val="009B1B24"/>
    <w:rsid w:val="009B2F61"/>
    <w:rsid w:val="009B7AD3"/>
    <w:rsid w:val="009C4084"/>
    <w:rsid w:val="009C5BA6"/>
    <w:rsid w:val="009C7340"/>
    <w:rsid w:val="009D3BE1"/>
    <w:rsid w:val="009D4ABE"/>
    <w:rsid w:val="00A37FF8"/>
    <w:rsid w:val="00A55D11"/>
    <w:rsid w:val="00A702B9"/>
    <w:rsid w:val="00A771E7"/>
    <w:rsid w:val="00A812CD"/>
    <w:rsid w:val="00A82F51"/>
    <w:rsid w:val="00A8359C"/>
    <w:rsid w:val="00AA7767"/>
    <w:rsid w:val="00AC338C"/>
    <w:rsid w:val="00AD5610"/>
    <w:rsid w:val="00AE2613"/>
    <w:rsid w:val="00AE40CD"/>
    <w:rsid w:val="00AF4861"/>
    <w:rsid w:val="00B02223"/>
    <w:rsid w:val="00B05562"/>
    <w:rsid w:val="00B1484C"/>
    <w:rsid w:val="00B23D94"/>
    <w:rsid w:val="00B2557E"/>
    <w:rsid w:val="00B34406"/>
    <w:rsid w:val="00B3798E"/>
    <w:rsid w:val="00B45ECA"/>
    <w:rsid w:val="00B8607A"/>
    <w:rsid w:val="00BC757B"/>
    <w:rsid w:val="00BE4EA5"/>
    <w:rsid w:val="00BF65C6"/>
    <w:rsid w:val="00C04DEF"/>
    <w:rsid w:val="00C570A6"/>
    <w:rsid w:val="00C81656"/>
    <w:rsid w:val="00C8491A"/>
    <w:rsid w:val="00C8686F"/>
    <w:rsid w:val="00C90C3F"/>
    <w:rsid w:val="00C960B8"/>
    <w:rsid w:val="00CA22C1"/>
    <w:rsid w:val="00CB480A"/>
    <w:rsid w:val="00CB5DA2"/>
    <w:rsid w:val="00CD284B"/>
    <w:rsid w:val="00D031F4"/>
    <w:rsid w:val="00D150EB"/>
    <w:rsid w:val="00D17C8A"/>
    <w:rsid w:val="00D212D1"/>
    <w:rsid w:val="00D33D6F"/>
    <w:rsid w:val="00D40D23"/>
    <w:rsid w:val="00D47521"/>
    <w:rsid w:val="00D567D9"/>
    <w:rsid w:val="00D6050D"/>
    <w:rsid w:val="00D801F2"/>
    <w:rsid w:val="00D80F6E"/>
    <w:rsid w:val="00D916D4"/>
    <w:rsid w:val="00DB2A46"/>
    <w:rsid w:val="00DC465A"/>
    <w:rsid w:val="00DD75AE"/>
    <w:rsid w:val="00DE1EC5"/>
    <w:rsid w:val="00DF4660"/>
    <w:rsid w:val="00E015F1"/>
    <w:rsid w:val="00E068D6"/>
    <w:rsid w:val="00E165A2"/>
    <w:rsid w:val="00E16BBE"/>
    <w:rsid w:val="00E1705A"/>
    <w:rsid w:val="00E21510"/>
    <w:rsid w:val="00E2527A"/>
    <w:rsid w:val="00E25656"/>
    <w:rsid w:val="00E700F8"/>
    <w:rsid w:val="00E7034F"/>
    <w:rsid w:val="00E73330"/>
    <w:rsid w:val="00E91205"/>
    <w:rsid w:val="00E949A2"/>
    <w:rsid w:val="00EB1FAD"/>
    <w:rsid w:val="00ED758F"/>
    <w:rsid w:val="00F003F2"/>
    <w:rsid w:val="00F11EF8"/>
    <w:rsid w:val="00F24DD9"/>
    <w:rsid w:val="00F252E1"/>
    <w:rsid w:val="00F2664F"/>
    <w:rsid w:val="00F30C94"/>
    <w:rsid w:val="00F31F72"/>
    <w:rsid w:val="00F62ECC"/>
    <w:rsid w:val="00F731F5"/>
    <w:rsid w:val="00F73F16"/>
    <w:rsid w:val="00F9088B"/>
    <w:rsid w:val="00F90DC3"/>
    <w:rsid w:val="00FA3633"/>
    <w:rsid w:val="00FC033C"/>
    <w:rsid w:val="00FC284D"/>
    <w:rsid w:val="00FD54E6"/>
    <w:rsid w:val="00FE346B"/>
    <w:rsid w:val="00FF41AB"/>
    <w:rsid w:val="015E1ABA"/>
    <w:rsid w:val="02CE5187"/>
    <w:rsid w:val="03CB7CE8"/>
    <w:rsid w:val="03E017D2"/>
    <w:rsid w:val="03FF5B63"/>
    <w:rsid w:val="05453FE3"/>
    <w:rsid w:val="054A670A"/>
    <w:rsid w:val="056A66C0"/>
    <w:rsid w:val="05BA3434"/>
    <w:rsid w:val="06B94569"/>
    <w:rsid w:val="06EB6E0C"/>
    <w:rsid w:val="091A5787"/>
    <w:rsid w:val="0AF0679F"/>
    <w:rsid w:val="0BCE1C06"/>
    <w:rsid w:val="0CA230E6"/>
    <w:rsid w:val="0CEB41DA"/>
    <w:rsid w:val="0D5D74B1"/>
    <w:rsid w:val="0D9847B8"/>
    <w:rsid w:val="0DA00860"/>
    <w:rsid w:val="0F7200CA"/>
    <w:rsid w:val="10C354B1"/>
    <w:rsid w:val="10FF34EF"/>
    <w:rsid w:val="11B81406"/>
    <w:rsid w:val="12687563"/>
    <w:rsid w:val="13434C24"/>
    <w:rsid w:val="141834A0"/>
    <w:rsid w:val="15273506"/>
    <w:rsid w:val="152C2AC9"/>
    <w:rsid w:val="157409D9"/>
    <w:rsid w:val="16907088"/>
    <w:rsid w:val="16FC701C"/>
    <w:rsid w:val="173B5475"/>
    <w:rsid w:val="176258BC"/>
    <w:rsid w:val="17964416"/>
    <w:rsid w:val="17CA481C"/>
    <w:rsid w:val="18117D55"/>
    <w:rsid w:val="1B8C79EA"/>
    <w:rsid w:val="1D1327C1"/>
    <w:rsid w:val="1D5B7A7C"/>
    <w:rsid w:val="1E37603B"/>
    <w:rsid w:val="1FCE27A6"/>
    <w:rsid w:val="211B2498"/>
    <w:rsid w:val="21D20A60"/>
    <w:rsid w:val="22317971"/>
    <w:rsid w:val="22F10EAE"/>
    <w:rsid w:val="231A40F8"/>
    <w:rsid w:val="235D6544"/>
    <w:rsid w:val="238C7CA2"/>
    <w:rsid w:val="23AC0C22"/>
    <w:rsid w:val="24925153"/>
    <w:rsid w:val="26576DB6"/>
    <w:rsid w:val="276A16FD"/>
    <w:rsid w:val="27A17B87"/>
    <w:rsid w:val="27AC5CEC"/>
    <w:rsid w:val="27D13BD6"/>
    <w:rsid w:val="28137B19"/>
    <w:rsid w:val="28391313"/>
    <w:rsid w:val="285D37D7"/>
    <w:rsid w:val="28AB7D51"/>
    <w:rsid w:val="29EC1750"/>
    <w:rsid w:val="29FF1F35"/>
    <w:rsid w:val="2A4D4FC1"/>
    <w:rsid w:val="2AFC16AE"/>
    <w:rsid w:val="2B30539C"/>
    <w:rsid w:val="2B897BDA"/>
    <w:rsid w:val="2BCE560D"/>
    <w:rsid w:val="2BD1572D"/>
    <w:rsid w:val="2DB15E0A"/>
    <w:rsid w:val="2E19750B"/>
    <w:rsid w:val="2EE03906"/>
    <w:rsid w:val="2F2A61B8"/>
    <w:rsid w:val="303B45E5"/>
    <w:rsid w:val="3046281A"/>
    <w:rsid w:val="326B3D80"/>
    <w:rsid w:val="327F242C"/>
    <w:rsid w:val="33217691"/>
    <w:rsid w:val="332B3F69"/>
    <w:rsid w:val="336D69DE"/>
    <w:rsid w:val="33EE30FE"/>
    <w:rsid w:val="348A7C6A"/>
    <w:rsid w:val="35507CB7"/>
    <w:rsid w:val="35D91267"/>
    <w:rsid w:val="36637EBD"/>
    <w:rsid w:val="370C236A"/>
    <w:rsid w:val="372B32A4"/>
    <w:rsid w:val="37E1147F"/>
    <w:rsid w:val="37E16488"/>
    <w:rsid w:val="380A4F0A"/>
    <w:rsid w:val="3A0472C2"/>
    <w:rsid w:val="3A357430"/>
    <w:rsid w:val="3A39638F"/>
    <w:rsid w:val="3AF235BE"/>
    <w:rsid w:val="3B4D0803"/>
    <w:rsid w:val="3B911029"/>
    <w:rsid w:val="3BEC0420"/>
    <w:rsid w:val="3C4A744F"/>
    <w:rsid w:val="3CE4014C"/>
    <w:rsid w:val="3DAB78CD"/>
    <w:rsid w:val="3F5A6210"/>
    <w:rsid w:val="40551B60"/>
    <w:rsid w:val="406306E5"/>
    <w:rsid w:val="415271A9"/>
    <w:rsid w:val="41723893"/>
    <w:rsid w:val="41F056E3"/>
    <w:rsid w:val="42002A64"/>
    <w:rsid w:val="426A73BE"/>
    <w:rsid w:val="42843695"/>
    <w:rsid w:val="42BE6BA7"/>
    <w:rsid w:val="43A04842"/>
    <w:rsid w:val="43B6162D"/>
    <w:rsid w:val="43F51122"/>
    <w:rsid w:val="44044A8E"/>
    <w:rsid w:val="44C06F92"/>
    <w:rsid w:val="44F30A7C"/>
    <w:rsid w:val="452805F7"/>
    <w:rsid w:val="45DC4CF6"/>
    <w:rsid w:val="470628CB"/>
    <w:rsid w:val="48855A71"/>
    <w:rsid w:val="48961A2D"/>
    <w:rsid w:val="48C37023"/>
    <w:rsid w:val="4A7B712C"/>
    <w:rsid w:val="4A8977F6"/>
    <w:rsid w:val="4B876296"/>
    <w:rsid w:val="4B912426"/>
    <w:rsid w:val="4BDF649D"/>
    <w:rsid w:val="4C761CE3"/>
    <w:rsid w:val="4CDE3FA9"/>
    <w:rsid w:val="4D7D31BB"/>
    <w:rsid w:val="4DA90CF8"/>
    <w:rsid w:val="4E2407EB"/>
    <w:rsid w:val="4EE3578C"/>
    <w:rsid w:val="4EE47A7D"/>
    <w:rsid w:val="4F8C288C"/>
    <w:rsid w:val="4FCE57F3"/>
    <w:rsid w:val="50AB47D6"/>
    <w:rsid w:val="50C57353"/>
    <w:rsid w:val="50EB66E3"/>
    <w:rsid w:val="51D90ED0"/>
    <w:rsid w:val="52397FF8"/>
    <w:rsid w:val="52C8137C"/>
    <w:rsid w:val="54436070"/>
    <w:rsid w:val="546B3D86"/>
    <w:rsid w:val="561A2185"/>
    <w:rsid w:val="56360FFF"/>
    <w:rsid w:val="5794069B"/>
    <w:rsid w:val="595E20F3"/>
    <w:rsid w:val="595E646B"/>
    <w:rsid w:val="59D17676"/>
    <w:rsid w:val="5A586073"/>
    <w:rsid w:val="5AC10B8B"/>
    <w:rsid w:val="5AC57D66"/>
    <w:rsid w:val="5B5E462C"/>
    <w:rsid w:val="5C4668EC"/>
    <w:rsid w:val="5D685255"/>
    <w:rsid w:val="5E201583"/>
    <w:rsid w:val="5F31188A"/>
    <w:rsid w:val="5F556B65"/>
    <w:rsid w:val="5F8E1258"/>
    <w:rsid w:val="60634492"/>
    <w:rsid w:val="631D6E2D"/>
    <w:rsid w:val="636B5B38"/>
    <w:rsid w:val="637F15E3"/>
    <w:rsid w:val="63C01B1D"/>
    <w:rsid w:val="641B0BF7"/>
    <w:rsid w:val="64762E6C"/>
    <w:rsid w:val="64AA153F"/>
    <w:rsid w:val="64B03720"/>
    <w:rsid w:val="67380620"/>
    <w:rsid w:val="67580AC9"/>
    <w:rsid w:val="67A71BA4"/>
    <w:rsid w:val="68CF0917"/>
    <w:rsid w:val="68ED6E90"/>
    <w:rsid w:val="69DD1F14"/>
    <w:rsid w:val="6AAE593C"/>
    <w:rsid w:val="6B607F4C"/>
    <w:rsid w:val="6B681848"/>
    <w:rsid w:val="6D0A524E"/>
    <w:rsid w:val="6D606587"/>
    <w:rsid w:val="6DD16869"/>
    <w:rsid w:val="6E3B77B1"/>
    <w:rsid w:val="6E3F336D"/>
    <w:rsid w:val="6FB031C9"/>
    <w:rsid w:val="70064B61"/>
    <w:rsid w:val="702A7E32"/>
    <w:rsid w:val="70903082"/>
    <w:rsid w:val="70E46957"/>
    <w:rsid w:val="736C0A07"/>
    <w:rsid w:val="73B86582"/>
    <w:rsid w:val="75C1238B"/>
    <w:rsid w:val="76E969F9"/>
    <w:rsid w:val="77277B70"/>
    <w:rsid w:val="77E6437C"/>
    <w:rsid w:val="783F6A4F"/>
    <w:rsid w:val="79A15E71"/>
    <w:rsid w:val="7A4416DF"/>
    <w:rsid w:val="7A5D228D"/>
    <w:rsid w:val="7A9E283F"/>
    <w:rsid w:val="7AAD2A82"/>
    <w:rsid w:val="7BF315F9"/>
    <w:rsid w:val="7C4863CD"/>
    <w:rsid w:val="7D067B75"/>
    <w:rsid w:val="7E026C41"/>
    <w:rsid w:val="7E2B6198"/>
    <w:rsid w:val="7ECF746B"/>
    <w:rsid w:val="7EEF5417"/>
    <w:rsid w:val="7FB12E88"/>
    <w:rsid w:val="7FC6513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semiHidden="0" w:name="heading 4"/>
    <w:lsdException w:qFormat="1" w:uiPriority="9" w:semiHidden="0" w:name="heading 5"/>
    <w:lsdException w:qFormat="1"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iPriority="0" w:semiHidden="0" w:name="header"/>
    <w:lsdException w:qFormat="1" w:uiPriority="0" w:semiHidden="0" w:name="footer"/>
    <w:lsdException w:uiPriority="99" w:name="index heading"/>
    <w:lsdException w:qFormat="1" w:unhideWhenUsed="0" w:uiPriority="0" w:semiHidden="0" w:name="caption"/>
    <w:lsdException w:uiPriority="99" w:name="table of figures"/>
    <w:lsdException w:uiPriority="99" w:name="envelope address"/>
    <w:lsdException w:uiPriority="99" w:name="envelope return"/>
    <w:lsdException w:qFormat="1" w:unhideWhenUsed="0" w:uiPriority="0" w:semiHidden="0" w:name="footnote reference"/>
    <w:lsdException w:qFormat="1" w:unhideWhenUsed="0" w:uiPriority="0" w:semiHidden="0" w:name="annotation reference"/>
    <w:lsdException w:uiPriority="99"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uiPriority="99" w:name="Body Text First Indent"/>
    <w:lsdException w:uiPriority="99"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iPriority="99" w:name="Block Text"/>
    <w:lsdException w:qFormat="1" w:uiPriority="99" w:semiHidden="0" w:name="Hyperlink"/>
    <w:lsdException w:qFormat="1" w:uiPriority="0"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qFormat="1"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autoSpaceDE w:val="0"/>
      <w:autoSpaceDN w:val="0"/>
    </w:pPr>
    <w:rPr>
      <w:rFonts w:ascii="宋体" w:hAnsi="宋体" w:eastAsia="宋体" w:cs="宋体"/>
      <w:sz w:val="22"/>
      <w:szCs w:val="22"/>
      <w:lang w:val="en-US" w:eastAsia="zh-CN" w:bidi="ar-SA"/>
    </w:rPr>
  </w:style>
  <w:style w:type="paragraph" w:styleId="3">
    <w:name w:val="heading 1"/>
    <w:basedOn w:val="1"/>
    <w:next w:val="1"/>
    <w:link w:val="61"/>
    <w:autoRedefine/>
    <w:qFormat/>
    <w:uiPriority w:val="0"/>
    <w:pPr>
      <w:spacing w:before="37"/>
      <w:ind w:left="1"/>
      <w:jc w:val="center"/>
      <w:outlineLvl w:val="0"/>
    </w:pPr>
    <w:rPr>
      <w:b/>
      <w:bCs/>
      <w:sz w:val="44"/>
      <w:szCs w:val="44"/>
    </w:rPr>
  </w:style>
  <w:style w:type="paragraph" w:styleId="4">
    <w:name w:val="heading 2"/>
    <w:basedOn w:val="1"/>
    <w:next w:val="1"/>
    <w:link w:val="62"/>
    <w:autoRedefine/>
    <w:unhideWhenUsed/>
    <w:qFormat/>
    <w:uiPriority w:val="0"/>
    <w:pPr>
      <w:spacing w:before="57"/>
      <w:ind w:left="446"/>
      <w:jc w:val="center"/>
      <w:outlineLvl w:val="1"/>
    </w:pPr>
    <w:rPr>
      <w:sz w:val="44"/>
      <w:szCs w:val="44"/>
    </w:rPr>
  </w:style>
  <w:style w:type="paragraph" w:styleId="5">
    <w:name w:val="heading 3"/>
    <w:basedOn w:val="1"/>
    <w:next w:val="1"/>
    <w:link w:val="63"/>
    <w:autoRedefine/>
    <w:unhideWhenUsed/>
    <w:qFormat/>
    <w:uiPriority w:val="0"/>
    <w:pPr>
      <w:spacing w:before="5"/>
      <w:ind w:left="658"/>
      <w:outlineLvl w:val="2"/>
    </w:pPr>
    <w:rPr>
      <w:b/>
      <w:bCs/>
      <w:sz w:val="32"/>
      <w:szCs w:val="32"/>
    </w:rPr>
  </w:style>
  <w:style w:type="paragraph" w:styleId="6">
    <w:name w:val="heading 4"/>
    <w:basedOn w:val="1"/>
    <w:next w:val="1"/>
    <w:link w:val="64"/>
    <w:autoRedefine/>
    <w:unhideWhenUsed/>
    <w:qFormat/>
    <w:uiPriority w:val="0"/>
    <w:pPr>
      <w:spacing w:before="58"/>
      <w:ind w:right="2124"/>
      <w:jc w:val="center"/>
      <w:outlineLvl w:val="3"/>
    </w:pPr>
    <w:rPr>
      <w:rFonts w:ascii="Microsoft JhengHei" w:hAnsi="Microsoft JhengHei" w:eastAsia="Microsoft JhengHei" w:cs="Microsoft JhengHei"/>
      <w:b/>
      <w:bCs/>
      <w:sz w:val="30"/>
      <w:szCs w:val="30"/>
    </w:rPr>
  </w:style>
  <w:style w:type="paragraph" w:styleId="7">
    <w:name w:val="heading 5"/>
    <w:basedOn w:val="1"/>
    <w:next w:val="1"/>
    <w:autoRedefine/>
    <w:unhideWhenUsed/>
    <w:qFormat/>
    <w:uiPriority w:val="9"/>
    <w:pPr>
      <w:spacing w:before="6"/>
      <w:ind w:left="2435"/>
      <w:jc w:val="center"/>
      <w:outlineLvl w:val="4"/>
    </w:pPr>
    <w:rPr>
      <w:b/>
      <w:bCs/>
      <w:sz w:val="28"/>
      <w:szCs w:val="28"/>
    </w:rPr>
  </w:style>
  <w:style w:type="paragraph" w:styleId="8">
    <w:name w:val="heading 6"/>
    <w:basedOn w:val="1"/>
    <w:next w:val="1"/>
    <w:link w:val="65"/>
    <w:autoRedefine/>
    <w:unhideWhenUsed/>
    <w:qFormat/>
    <w:uiPriority w:val="0"/>
    <w:pPr>
      <w:ind w:left="143"/>
      <w:outlineLvl w:val="5"/>
    </w:pPr>
    <w:rPr>
      <w:sz w:val="28"/>
      <w:szCs w:val="28"/>
    </w:rPr>
  </w:style>
  <w:style w:type="paragraph" w:styleId="9">
    <w:name w:val="heading 7"/>
    <w:basedOn w:val="1"/>
    <w:next w:val="1"/>
    <w:link w:val="66"/>
    <w:autoRedefine/>
    <w:qFormat/>
    <w:uiPriority w:val="0"/>
    <w:pPr>
      <w:ind w:left="1506"/>
      <w:outlineLvl w:val="6"/>
    </w:pPr>
    <w:rPr>
      <w:b/>
      <w:bCs/>
      <w:sz w:val="24"/>
      <w:szCs w:val="24"/>
    </w:rPr>
  </w:style>
  <w:style w:type="paragraph" w:styleId="10">
    <w:name w:val="heading 8"/>
    <w:basedOn w:val="1"/>
    <w:next w:val="1"/>
    <w:link w:val="59"/>
    <w:autoRedefine/>
    <w:qFormat/>
    <w:uiPriority w:val="0"/>
    <w:pPr>
      <w:keepNext/>
      <w:keepLines/>
      <w:widowControl/>
      <w:tabs>
        <w:tab w:val="left" w:pos="1440"/>
      </w:tabs>
      <w:autoSpaceDE/>
      <w:autoSpaceDN/>
      <w:spacing w:before="240" w:after="64" w:line="320" w:lineRule="auto"/>
      <w:ind w:left="1440" w:hanging="1440"/>
      <w:outlineLvl w:val="7"/>
    </w:pPr>
    <w:rPr>
      <w:rFonts w:ascii="Arial" w:hAnsi="Arial" w:eastAsia="黑体" w:cs="Times New Roman"/>
      <w:sz w:val="24"/>
      <w:szCs w:val="24"/>
    </w:rPr>
  </w:style>
  <w:style w:type="paragraph" w:styleId="11">
    <w:name w:val="heading 9"/>
    <w:basedOn w:val="1"/>
    <w:next w:val="1"/>
    <w:link w:val="60"/>
    <w:autoRedefine/>
    <w:qFormat/>
    <w:uiPriority w:val="0"/>
    <w:pPr>
      <w:keepNext/>
      <w:keepLines/>
      <w:widowControl/>
      <w:tabs>
        <w:tab w:val="left" w:pos="1584"/>
      </w:tabs>
      <w:autoSpaceDE/>
      <w:autoSpaceDN/>
      <w:spacing w:before="240" w:after="64" w:line="320" w:lineRule="auto"/>
      <w:ind w:left="1584" w:hanging="1584"/>
      <w:outlineLvl w:val="8"/>
    </w:pPr>
    <w:rPr>
      <w:rFonts w:ascii="Arial" w:hAnsi="Arial" w:eastAsia="黑体" w:cs="Times New Roman"/>
      <w:sz w:val="21"/>
      <w:szCs w:val="21"/>
    </w:rPr>
  </w:style>
  <w:style w:type="character" w:default="1" w:styleId="42">
    <w:name w:val="Default Paragraph Font"/>
    <w:autoRedefine/>
    <w:semiHidden/>
    <w:unhideWhenUsed/>
    <w:qFormat/>
    <w:uiPriority w:val="1"/>
  </w:style>
  <w:style w:type="table" w:default="1" w:styleId="40">
    <w:name w:val="Normal Table"/>
    <w:autoRedefine/>
    <w:semiHidden/>
    <w:unhideWhenUsed/>
    <w:qFormat/>
    <w:uiPriority w:val="99"/>
    <w:tblPr>
      <w:tblCellMar>
        <w:top w:w="0" w:type="dxa"/>
        <w:left w:w="108" w:type="dxa"/>
        <w:bottom w:w="0" w:type="dxa"/>
        <w:right w:w="108" w:type="dxa"/>
      </w:tblCellMar>
    </w:tblPr>
  </w:style>
  <w:style w:type="paragraph" w:styleId="2">
    <w:name w:val="Body Text"/>
    <w:basedOn w:val="1"/>
    <w:next w:val="1"/>
    <w:link w:val="70"/>
    <w:autoRedefine/>
    <w:qFormat/>
    <w:uiPriority w:val="0"/>
    <w:rPr>
      <w:sz w:val="21"/>
      <w:szCs w:val="21"/>
    </w:rPr>
  </w:style>
  <w:style w:type="paragraph" w:styleId="12">
    <w:name w:val="toc 7"/>
    <w:basedOn w:val="1"/>
    <w:next w:val="1"/>
    <w:autoRedefine/>
    <w:qFormat/>
    <w:uiPriority w:val="39"/>
    <w:pPr>
      <w:autoSpaceDE/>
      <w:autoSpaceDN/>
      <w:ind w:left="1260"/>
    </w:pPr>
    <w:rPr>
      <w:rFonts w:ascii="Times New Roman" w:hAnsi="Times New Roman" w:cs="Times New Roman"/>
      <w:kern w:val="2"/>
      <w:sz w:val="21"/>
      <w:szCs w:val="21"/>
    </w:rPr>
  </w:style>
  <w:style w:type="paragraph" w:styleId="13">
    <w:name w:val="Normal Indent"/>
    <w:basedOn w:val="1"/>
    <w:autoRedefine/>
    <w:qFormat/>
    <w:uiPriority w:val="0"/>
    <w:pPr>
      <w:autoSpaceDE/>
      <w:autoSpaceDN/>
      <w:ind w:firstLine="420" w:firstLineChars="200"/>
      <w:jc w:val="both"/>
    </w:pPr>
    <w:rPr>
      <w:rFonts w:ascii="Times New Roman" w:hAnsi="Times New Roman" w:cs="Times New Roman"/>
      <w:kern w:val="2"/>
      <w:sz w:val="21"/>
      <w:szCs w:val="24"/>
    </w:rPr>
  </w:style>
  <w:style w:type="paragraph" w:styleId="14">
    <w:name w:val="caption"/>
    <w:basedOn w:val="1"/>
    <w:next w:val="1"/>
    <w:autoRedefine/>
    <w:qFormat/>
    <w:uiPriority w:val="0"/>
    <w:pPr>
      <w:autoSpaceDE/>
      <w:autoSpaceDN/>
      <w:jc w:val="both"/>
    </w:pPr>
    <w:rPr>
      <w:rFonts w:ascii="Arial" w:hAnsi="Arial" w:eastAsia="黑体" w:cs="Arial"/>
      <w:kern w:val="2"/>
      <w:sz w:val="20"/>
      <w:szCs w:val="20"/>
    </w:rPr>
  </w:style>
  <w:style w:type="paragraph" w:styleId="15">
    <w:name w:val="Document Map"/>
    <w:basedOn w:val="1"/>
    <w:link w:val="67"/>
    <w:autoRedefine/>
    <w:qFormat/>
    <w:uiPriority w:val="0"/>
    <w:pPr>
      <w:shd w:val="clear" w:color="auto" w:fill="000080"/>
      <w:autoSpaceDE/>
      <w:autoSpaceDN/>
      <w:jc w:val="both"/>
    </w:pPr>
    <w:rPr>
      <w:rFonts w:ascii="Times New Roman" w:hAnsi="Times New Roman" w:cs="Times New Roman"/>
      <w:kern w:val="2"/>
      <w:sz w:val="21"/>
      <w:szCs w:val="24"/>
    </w:rPr>
  </w:style>
  <w:style w:type="paragraph" w:styleId="16">
    <w:name w:val="annotation text"/>
    <w:basedOn w:val="1"/>
    <w:link w:val="68"/>
    <w:autoRedefine/>
    <w:qFormat/>
    <w:uiPriority w:val="0"/>
    <w:pPr>
      <w:autoSpaceDE/>
      <w:autoSpaceDN/>
    </w:pPr>
    <w:rPr>
      <w:rFonts w:ascii="Times New Roman" w:hAnsi="Times New Roman" w:cs="Times New Roman"/>
      <w:kern w:val="2"/>
      <w:sz w:val="21"/>
      <w:szCs w:val="24"/>
    </w:rPr>
  </w:style>
  <w:style w:type="paragraph" w:styleId="17">
    <w:name w:val="Body Text 3"/>
    <w:basedOn w:val="1"/>
    <w:link w:val="69"/>
    <w:autoRedefine/>
    <w:qFormat/>
    <w:uiPriority w:val="0"/>
    <w:pPr>
      <w:autoSpaceDE/>
      <w:autoSpaceDN/>
      <w:jc w:val="both"/>
    </w:pPr>
    <w:rPr>
      <w:rFonts w:hAnsi="Times New Roman" w:cs="Times New Roman"/>
      <w:kern w:val="2"/>
      <w:sz w:val="24"/>
      <w:szCs w:val="20"/>
    </w:rPr>
  </w:style>
  <w:style w:type="paragraph" w:styleId="18">
    <w:name w:val="Body Text Indent"/>
    <w:basedOn w:val="1"/>
    <w:link w:val="71"/>
    <w:autoRedefine/>
    <w:qFormat/>
    <w:uiPriority w:val="0"/>
    <w:pPr>
      <w:autoSpaceDE/>
      <w:autoSpaceDN/>
      <w:spacing w:after="120"/>
      <w:ind w:left="420" w:leftChars="200"/>
      <w:jc w:val="both"/>
    </w:pPr>
    <w:rPr>
      <w:rFonts w:ascii="Times New Roman" w:hAnsi="Times New Roman" w:cs="Times New Roman"/>
      <w:kern w:val="2"/>
      <w:sz w:val="21"/>
      <w:szCs w:val="24"/>
    </w:rPr>
  </w:style>
  <w:style w:type="paragraph" w:styleId="19">
    <w:name w:val="toc 5"/>
    <w:basedOn w:val="1"/>
    <w:next w:val="1"/>
    <w:autoRedefine/>
    <w:qFormat/>
    <w:uiPriority w:val="39"/>
    <w:pPr>
      <w:autoSpaceDE/>
      <w:autoSpaceDN/>
      <w:ind w:left="840"/>
    </w:pPr>
    <w:rPr>
      <w:rFonts w:ascii="Times New Roman" w:hAnsi="Times New Roman" w:cs="Times New Roman"/>
      <w:kern w:val="2"/>
      <w:sz w:val="21"/>
      <w:szCs w:val="21"/>
    </w:rPr>
  </w:style>
  <w:style w:type="paragraph" w:styleId="20">
    <w:name w:val="toc 3"/>
    <w:basedOn w:val="1"/>
    <w:next w:val="1"/>
    <w:autoRedefine/>
    <w:unhideWhenUsed/>
    <w:qFormat/>
    <w:uiPriority w:val="39"/>
    <w:pPr>
      <w:widowControl/>
      <w:autoSpaceDE/>
      <w:autoSpaceDN/>
      <w:spacing w:after="100" w:line="259" w:lineRule="auto"/>
      <w:ind w:left="440"/>
    </w:pPr>
    <w:rPr>
      <w:rFonts w:cs="Times New Roman" w:asciiTheme="minorHAnsi" w:hAnsiTheme="minorHAnsi" w:eastAsiaTheme="minorEastAsia"/>
    </w:rPr>
  </w:style>
  <w:style w:type="paragraph" w:styleId="21">
    <w:name w:val="Plain Text"/>
    <w:basedOn w:val="1"/>
    <w:next w:val="6"/>
    <w:link w:val="72"/>
    <w:autoRedefine/>
    <w:qFormat/>
    <w:uiPriority w:val="0"/>
    <w:pPr>
      <w:autoSpaceDE/>
      <w:autoSpaceDN/>
      <w:jc w:val="both"/>
    </w:pPr>
    <w:rPr>
      <w:rFonts w:hAnsi="Courier New" w:cs="Times New Roman"/>
      <w:color w:val="000000"/>
      <w:kern w:val="2"/>
      <w:sz w:val="21"/>
      <w:szCs w:val="20"/>
    </w:rPr>
  </w:style>
  <w:style w:type="paragraph" w:styleId="22">
    <w:name w:val="toc 8"/>
    <w:basedOn w:val="1"/>
    <w:next w:val="1"/>
    <w:autoRedefine/>
    <w:qFormat/>
    <w:uiPriority w:val="39"/>
    <w:pPr>
      <w:autoSpaceDE/>
      <w:autoSpaceDN/>
      <w:ind w:left="1470"/>
    </w:pPr>
    <w:rPr>
      <w:rFonts w:ascii="Times New Roman" w:hAnsi="Times New Roman" w:cs="Times New Roman"/>
      <w:kern w:val="2"/>
      <w:sz w:val="21"/>
      <w:szCs w:val="21"/>
    </w:rPr>
  </w:style>
  <w:style w:type="paragraph" w:styleId="23">
    <w:name w:val="Date"/>
    <w:basedOn w:val="1"/>
    <w:next w:val="1"/>
    <w:link w:val="73"/>
    <w:autoRedefine/>
    <w:qFormat/>
    <w:uiPriority w:val="0"/>
    <w:pPr>
      <w:autoSpaceDE/>
      <w:autoSpaceDN/>
      <w:ind w:left="100" w:leftChars="2500"/>
      <w:jc w:val="both"/>
    </w:pPr>
    <w:rPr>
      <w:rFonts w:ascii="Times New Roman" w:hAnsi="Times New Roman" w:cs="Times New Roman"/>
      <w:kern w:val="2"/>
      <w:sz w:val="21"/>
      <w:szCs w:val="24"/>
    </w:rPr>
  </w:style>
  <w:style w:type="paragraph" w:styleId="24">
    <w:name w:val="Body Text Indent 2"/>
    <w:basedOn w:val="1"/>
    <w:link w:val="74"/>
    <w:autoRedefine/>
    <w:qFormat/>
    <w:uiPriority w:val="0"/>
    <w:pPr>
      <w:autoSpaceDE/>
      <w:autoSpaceDN/>
      <w:ind w:firstLine="624"/>
      <w:jc w:val="both"/>
    </w:pPr>
    <w:rPr>
      <w:rFonts w:ascii="仿宋_GB2312" w:hAnsi="Times New Roman" w:eastAsia="仿宋_GB2312" w:cs="Times New Roman"/>
      <w:kern w:val="2"/>
      <w:sz w:val="28"/>
      <w:szCs w:val="24"/>
    </w:rPr>
  </w:style>
  <w:style w:type="paragraph" w:styleId="25">
    <w:name w:val="endnote text"/>
    <w:basedOn w:val="1"/>
    <w:link w:val="75"/>
    <w:autoRedefine/>
    <w:qFormat/>
    <w:uiPriority w:val="0"/>
    <w:pPr>
      <w:autoSpaceDE/>
      <w:autoSpaceDN/>
      <w:snapToGrid w:val="0"/>
    </w:pPr>
    <w:rPr>
      <w:rFonts w:ascii="Times New Roman" w:hAnsi="Times New Roman" w:cs="Times New Roman"/>
      <w:kern w:val="2"/>
      <w:sz w:val="21"/>
      <w:szCs w:val="24"/>
    </w:rPr>
  </w:style>
  <w:style w:type="paragraph" w:styleId="26">
    <w:name w:val="Balloon Text"/>
    <w:basedOn w:val="1"/>
    <w:link w:val="76"/>
    <w:autoRedefine/>
    <w:qFormat/>
    <w:uiPriority w:val="0"/>
    <w:pPr>
      <w:autoSpaceDE/>
      <w:autoSpaceDN/>
      <w:jc w:val="both"/>
    </w:pPr>
    <w:rPr>
      <w:rFonts w:ascii="Times New Roman" w:hAnsi="Times New Roman" w:cs="Times New Roman"/>
      <w:kern w:val="2"/>
      <w:sz w:val="18"/>
      <w:szCs w:val="18"/>
    </w:rPr>
  </w:style>
  <w:style w:type="paragraph" w:styleId="27">
    <w:name w:val="footer"/>
    <w:basedOn w:val="1"/>
    <w:link w:val="56"/>
    <w:autoRedefine/>
    <w:unhideWhenUsed/>
    <w:qFormat/>
    <w:uiPriority w:val="0"/>
    <w:pPr>
      <w:tabs>
        <w:tab w:val="center" w:pos="4153"/>
        <w:tab w:val="right" w:pos="8306"/>
      </w:tabs>
      <w:snapToGrid w:val="0"/>
    </w:pPr>
    <w:rPr>
      <w:sz w:val="18"/>
      <w:szCs w:val="18"/>
    </w:rPr>
  </w:style>
  <w:style w:type="paragraph" w:styleId="28">
    <w:name w:val="header"/>
    <w:basedOn w:val="1"/>
    <w:link w:val="55"/>
    <w:autoRedefine/>
    <w:unhideWhenUsed/>
    <w:qFormat/>
    <w:uiPriority w:val="0"/>
    <w:pPr>
      <w:pBdr>
        <w:bottom w:val="single" w:color="auto" w:sz="6" w:space="1"/>
      </w:pBdr>
      <w:tabs>
        <w:tab w:val="center" w:pos="4153"/>
        <w:tab w:val="right" w:pos="8306"/>
      </w:tabs>
      <w:snapToGrid w:val="0"/>
      <w:jc w:val="center"/>
    </w:pPr>
    <w:rPr>
      <w:sz w:val="18"/>
      <w:szCs w:val="18"/>
    </w:rPr>
  </w:style>
  <w:style w:type="paragraph" w:styleId="29">
    <w:name w:val="toc 1"/>
    <w:basedOn w:val="1"/>
    <w:next w:val="1"/>
    <w:autoRedefine/>
    <w:unhideWhenUsed/>
    <w:qFormat/>
    <w:uiPriority w:val="39"/>
    <w:pPr>
      <w:widowControl/>
      <w:autoSpaceDE/>
      <w:autoSpaceDN/>
      <w:spacing w:after="100" w:line="259" w:lineRule="auto"/>
    </w:pPr>
    <w:rPr>
      <w:rFonts w:cs="Times New Roman" w:asciiTheme="minorHAnsi" w:hAnsiTheme="minorHAnsi" w:eastAsiaTheme="minorEastAsia"/>
    </w:rPr>
  </w:style>
  <w:style w:type="paragraph" w:styleId="30">
    <w:name w:val="toc 4"/>
    <w:basedOn w:val="1"/>
    <w:next w:val="1"/>
    <w:autoRedefine/>
    <w:qFormat/>
    <w:uiPriority w:val="39"/>
    <w:pPr>
      <w:autoSpaceDE/>
      <w:autoSpaceDN/>
      <w:ind w:left="630"/>
    </w:pPr>
    <w:rPr>
      <w:rFonts w:ascii="Times New Roman" w:hAnsi="Times New Roman" w:cs="Times New Roman"/>
      <w:kern w:val="2"/>
      <w:sz w:val="21"/>
      <w:szCs w:val="21"/>
    </w:rPr>
  </w:style>
  <w:style w:type="paragraph" w:styleId="31">
    <w:name w:val="footnote text"/>
    <w:basedOn w:val="1"/>
    <w:link w:val="77"/>
    <w:autoRedefine/>
    <w:qFormat/>
    <w:uiPriority w:val="0"/>
    <w:pPr>
      <w:autoSpaceDE/>
      <w:autoSpaceDN/>
      <w:snapToGrid w:val="0"/>
    </w:pPr>
    <w:rPr>
      <w:rFonts w:ascii="Times New Roman" w:hAnsi="Times New Roman" w:cs="Times New Roman"/>
      <w:kern w:val="2"/>
      <w:sz w:val="18"/>
      <w:szCs w:val="18"/>
    </w:rPr>
  </w:style>
  <w:style w:type="paragraph" w:styleId="32">
    <w:name w:val="toc 6"/>
    <w:basedOn w:val="1"/>
    <w:next w:val="1"/>
    <w:autoRedefine/>
    <w:qFormat/>
    <w:uiPriority w:val="39"/>
    <w:pPr>
      <w:autoSpaceDE/>
      <w:autoSpaceDN/>
      <w:ind w:left="1050"/>
    </w:pPr>
    <w:rPr>
      <w:rFonts w:ascii="Times New Roman" w:hAnsi="Times New Roman" w:cs="Times New Roman"/>
      <w:kern w:val="2"/>
      <w:sz w:val="21"/>
      <w:szCs w:val="21"/>
    </w:rPr>
  </w:style>
  <w:style w:type="paragraph" w:styleId="33">
    <w:name w:val="Body Text Indent 3"/>
    <w:basedOn w:val="1"/>
    <w:link w:val="78"/>
    <w:autoRedefine/>
    <w:qFormat/>
    <w:uiPriority w:val="0"/>
    <w:pPr>
      <w:autoSpaceDE/>
      <w:autoSpaceDN/>
      <w:spacing w:after="120"/>
      <w:ind w:left="420" w:leftChars="200"/>
      <w:jc w:val="both"/>
    </w:pPr>
    <w:rPr>
      <w:rFonts w:ascii="Times New Roman" w:hAnsi="Times New Roman" w:cs="Times New Roman"/>
      <w:kern w:val="2"/>
      <w:sz w:val="16"/>
      <w:szCs w:val="16"/>
    </w:rPr>
  </w:style>
  <w:style w:type="paragraph" w:styleId="34">
    <w:name w:val="toc 2"/>
    <w:basedOn w:val="1"/>
    <w:next w:val="1"/>
    <w:autoRedefine/>
    <w:unhideWhenUsed/>
    <w:qFormat/>
    <w:uiPriority w:val="39"/>
    <w:pPr>
      <w:widowControl/>
      <w:autoSpaceDE/>
      <w:autoSpaceDN/>
      <w:spacing w:after="100" w:line="259" w:lineRule="auto"/>
      <w:ind w:left="220"/>
    </w:pPr>
    <w:rPr>
      <w:rFonts w:cs="Times New Roman" w:asciiTheme="minorHAnsi" w:hAnsiTheme="minorHAnsi" w:eastAsiaTheme="minorEastAsia"/>
    </w:rPr>
  </w:style>
  <w:style w:type="paragraph" w:styleId="35">
    <w:name w:val="toc 9"/>
    <w:basedOn w:val="1"/>
    <w:next w:val="1"/>
    <w:autoRedefine/>
    <w:qFormat/>
    <w:uiPriority w:val="39"/>
    <w:pPr>
      <w:autoSpaceDE/>
      <w:autoSpaceDN/>
      <w:ind w:left="1680"/>
    </w:pPr>
    <w:rPr>
      <w:rFonts w:ascii="Times New Roman" w:hAnsi="Times New Roman" w:cs="Times New Roman"/>
      <w:kern w:val="2"/>
      <w:sz w:val="21"/>
      <w:szCs w:val="21"/>
    </w:rPr>
  </w:style>
  <w:style w:type="paragraph" w:styleId="36">
    <w:name w:val="Body Text 2"/>
    <w:basedOn w:val="1"/>
    <w:link w:val="79"/>
    <w:autoRedefine/>
    <w:qFormat/>
    <w:uiPriority w:val="0"/>
    <w:pPr>
      <w:autoSpaceDE/>
      <w:autoSpaceDN/>
      <w:jc w:val="both"/>
    </w:pPr>
    <w:rPr>
      <w:rFonts w:cs="Times New Roman"/>
      <w:kern w:val="2"/>
      <w:sz w:val="28"/>
      <w:szCs w:val="24"/>
    </w:rPr>
  </w:style>
  <w:style w:type="paragraph" w:styleId="37">
    <w:name w:val="Normal (Web)"/>
    <w:basedOn w:val="1"/>
    <w:autoRedefine/>
    <w:semiHidden/>
    <w:unhideWhenUsed/>
    <w:qFormat/>
    <w:uiPriority w:val="99"/>
    <w:rPr>
      <w:sz w:val="24"/>
    </w:rPr>
  </w:style>
  <w:style w:type="paragraph" w:styleId="38">
    <w:name w:val="index 1"/>
    <w:basedOn w:val="1"/>
    <w:next w:val="1"/>
    <w:autoRedefine/>
    <w:qFormat/>
    <w:uiPriority w:val="0"/>
    <w:pPr>
      <w:autoSpaceDE/>
      <w:autoSpaceDN/>
      <w:spacing w:line="220" w:lineRule="exact"/>
      <w:jc w:val="center"/>
    </w:pPr>
    <w:rPr>
      <w:rFonts w:ascii="仿宋_GB2312" w:hAnsi="Times New Roman" w:eastAsia="仿宋_GB2312" w:cs="Times New Roman"/>
      <w:kern w:val="2"/>
      <w:sz w:val="21"/>
      <w:szCs w:val="21"/>
    </w:rPr>
  </w:style>
  <w:style w:type="paragraph" w:styleId="39">
    <w:name w:val="Title"/>
    <w:basedOn w:val="1"/>
    <w:link w:val="80"/>
    <w:autoRedefine/>
    <w:qFormat/>
    <w:uiPriority w:val="0"/>
    <w:pPr>
      <w:ind w:left="4"/>
      <w:jc w:val="center"/>
    </w:pPr>
    <w:rPr>
      <w:rFonts w:ascii="华文新魏" w:hAnsi="华文新魏" w:eastAsia="华文新魏" w:cs="华文新魏"/>
      <w:sz w:val="120"/>
      <w:szCs w:val="120"/>
    </w:rPr>
  </w:style>
  <w:style w:type="table" w:styleId="41">
    <w:name w:val="Table Grid"/>
    <w:basedOn w:val="40"/>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43">
    <w:name w:val="Strong"/>
    <w:basedOn w:val="42"/>
    <w:autoRedefine/>
    <w:qFormat/>
    <w:uiPriority w:val="22"/>
    <w:rPr>
      <w:b/>
    </w:rPr>
  </w:style>
  <w:style w:type="character" w:styleId="44">
    <w:name w:val="endnote reference"/>
    <w:basedOn w:val="42"/>
    <w:autoRedefine/>
    <w:qFormat/>
    <w:uiPriority w:val="0"/>
    <w:rPr>
      <w:vertAlign w:val="superscript"/>
    </w:rPr>
  </w:style>
  <w:style w:type="character" w:styleId="45">
    <w:name w:val="page number"/>
    <w:basedOn w:val="42"/>
    <w:autoRedefine/>
    <w:qFormat/>
    <w:uiPriority w:val="0"/>
  </w:style>
  <w:style w:type="character" w:styleId="46">
    <w:name w:val="FollowedHyperlink"/>
    <w:basedOn w:val="42"/>
    <w:autoRedefine/>
    <w:unhideWhenUsed/>
    <w:qFormat/>
    <w:uiPriority w:val="0"/>
    <w:rPr>
      <w:color w:val="800080" w:themeColor="followedHyperlink"/>
      <w:u w:val="single"/>
      <w14:textFill>
        <w14:solidFill>
          <w14:schemeClr w14:val="folHlink"/>
        </w14:solidFill>
      </w14:textFill>
    </w:rPr>
  </w:style>
  <w:style w:type="character" w:styleId="47">
    <w:name w:val="Hyperlink"/>
    <w:basedOn w:val="42"/>
    <w:autoRedefine/>
    <w:unhideWhenUsed/>
    <w:qFormat/>
    <w:uiPriority w:val="99"/>
    <w:rPr>
      <w:color w:val="0000FF" w:themeColor="hyperlink"/>
      <w:u w:val="single"/>
      <w14:textFill>
        <w14:solidFill>
          <w14:schemeClr w14:val="hlink"/>
        </w14:solidFill>
      </w14:textFill>
    </w:rPr>
  </w:style>
  <w:style w:type="character" w:styleId="48">
    <w:name w:val="annotation reference"/>
    <w:basedOn w:val="42"/>
    <w:autoRedefine/>
    <w:qFormat/>
    <w:uiPriority w:val="0"/>
    <w:rPr>
      <w:sz w:val="21"/>
      <w:szCs w:val="21"/>
    </w:rPr>
  </w:style>
  <w:style w:type="character" w:styleId="49">
    <w:name w:val="footnote reference"/>
    <w:basedOn w:val="42"/>
    <w:autoRedefine/>
    <w:qFormat/>
    <w:uiPriority w:val="0"/>
    <w:rPr>
      <w:vertAlign w:val="superscript"/>
    </w:rPr>
  </w:style>
  <w:style w:type="character" w:styleId="50">
    <w:name w:val="HTML Sample"/>
    <w:basedOn w:val="42"/>
    <w:autoRedefine/>
    <w:semiHidden/>
    <w:unhideWhenUsed/>
    <w:qFormat/>
    <w:uiPriority w:val="99"/>
    <w:rPr>
      <w:rFonts w:ascii="Courier New" w:hAnsi="Courier New"/>
    </w:rPr>
  </w:style>
  <w:style w:type="paragraph" w:customStyle="1" w:styleId="51">
    <w:name w:val="Default"/>
    <w:autoRedefine/>
    <w:qFormat/>
    <w:uiPriority w:val="0"/>
    <w:pPr>
      <w:widowControl w:val="0"/>
      <w:autoSpaceDE w:val="0"/>
      <w:autoSpaceDN w:val="0"/>
      <w:adjustRightInd w:val="0"/>
    </w:pPr>
    <w:rPr>
      <w:rFonts w:ascii="宋体" w:hAnsi="Calibri" w:eastAsia="宋体" w:cs="宋体"/>
      <w:color w:val="000000"/>
      <w:sz w:val="24"/>
      <w:szCs w:val="24"/>
      <w:lang w:val="en-US" w:eastAsia="zh-CN" w:bidi="ar-SA"/>
    </w:rPr>
  </w:style>
  <w:style w:type="table" w:customStyle="1" w:styleId="52">
    <w:name w:val="Table Normal"/>
    <w:autoRedefine/>
    <w:semiHidden/>
    <w:unhideWhenUsed/>
    <w:qFormat/>
    <w:uiPriority w:val="2"/>
    <w:tblPr>
      <w:tblCellMar>
        <w:top w:w="0" w:type="dxa"/>
        <w:left w:w="0" w:type="dxa"/>
        <w:bottom w:w="0" w:type="dxa"/>
        <w:right w:w="0" w:type="dxa"/>
      </w:tblCellMar>
    </w:tblPr>
  </w:style>
  <w:style w:type="paragraph" w:styleId="53">
    <w:name w:val="List Paragraph"/>
    <w:basedOn w:val="1"/>
    <w:autoRedefine/>
    <w:qFormat/>
    <w:uiPriority w:val="1"/>
    <w:pPr>
      <w:ind w:left="658" w:firstLine="424"/>
    </w:pPr>
  </w:style>
  <w:style w:type="paragraph" w:customStyle="1" w:styleId="54">
    <w:name w:val="Table Paragraph"/>
    <w:basedOn w:val="1"/>
    <w:autoRedefine/>
    <w:qFormat/>
    <w:uiPriority w:val="1"/>
  </w:style>
  <w:style w:type="character" w:customStyle="1" w:styleId="55">
    <w:name w:val="页眉 Char"/>
    <w:basedOn w:val="42"/>
    <w:link w:val="28"/>
    <w:autoRedefine/>
    <w:qFormat/>
    <w:uiPriority w:val="0"/>
    <w:rPr>
      <w:rFonts w:ascii="宋体" w:hAnsi="宋体" w:eastAsia="宋体" w:cs="宋体"/>
      <w:sz w:val="18"/>
      <w:szCs w:val="18"/>
      <w:lang w:eastAsia="zh-CN"/>
    </w:rPr>
  </w:style>
  <w:style w:type="character" w:customStyle="1" w:styleId="56">
    <w:name w:val="页脚 Char"/>
    <w:basedOn w:val="42"/>
    <w:link w:val="27"/>
    <w:autoRedefine/>
    <w:qFormat/>
    <w:uiPriority w:val="0"/>
    <w:rPr>
      <w:rFonts w:ascii="宋体" w:hAnsi="宋体" w:eastAsia="宋体" w:cs="宋体"/>
      <w:sz w:val="18"/>
      <w:szCs w:val="18"/>
      <w:lang w:eastAsia="zh-CN"/>
    </w:rPr>
  </w:style>
  <w:style w:type="character" w:customStyle="1" w:styleId="57">
    <w:name w:val="Unresolved Mention"/>
    <w:basedOn w:val="42"/>
    <w:autoRedefine/>
    <w:semiHidden/>
    <w:unhideWhenUsed/>
    <w:qFormat/>
    <w:uiPriority w:val="99"/>
    <w:rPr>
      <w:color w:val="605E5C"/>
      <w:shd w:val="clear" w:color="auto" w:fill="E1DFDD"/>
    </w:rPr>
  </w:style>
  <w:style w:type="paragraph" w:customStyle="1" w:styleId="58">
    <w:name w:val="TOC 标题1"/>
    <w:basedOn w:val="3"/>
    <w:next w:val="1"/>
    <w:autoRedefine/>
    <w:unhideWhenUsed/>
    <w:qFormat/>
    <w:uiPriority w:val="39"/>
    <w:pPr>
      <w:keepNext/>
      <w:keepLines/>
      <w:widowControl/>
      <w:autoSpaceDE/>
      <w:autoSpaceDN/>
      <w:spacing w:before="240" w:line="259" w:lineRule="auto"/>
      <w:ind w:left="0"/>
      <w:jc w:val="left"/>
      <w:outlineLvl w:val="9"/>
    </w:pPr>
    <w:rPr>
      <w:rFonts w:asciiTheme="majorHAnsi" w:hAnsiTheme="majorHAnsi" w:eastAsiaTheme="majorEastAsia" w:cstheme="majorBidi"/>
      <w:b w:val="0"/>
      <w:bCs w:val="0"/>
      <w:color w:val="376092" w:themeColor="accent1" w:themeShade="BF"/>
      <w:sz w:val="32"/>
      <w:szCs w:val="32"/>
    </w:rPr>
  </w:style>
  <w:style w:type="character" w:customStyle="1" w:styleId="59">
    <w:name w:val="标题 8 Char"/>
    <w:basedOn w:val="42"/>
    <w:link w:val="10"/>
    <w:autoRedefine/>
    <w:qFormat/>
    <w:uiPriority w:val="0"/>
    <w:rPr>
      <w:rFonts w:ascii="Arial" w:hAnsi="Arial" w:eastAsia="黑体" w:cs="Times New Roman"/>
      <w:sz w:val="24"/>
      <w:szCs w:val="24"/>
    </w:rPr>
  </w:style>
  <w:style w:type="character" w:customStyle="1" w:styleId="60">
    <w:name w:val="标题 9 Char"/>
    <w:basedOn w:val="42"/>
    <w:link w:val="11"/>
    <w:autoRedefine/>
    <w:qFormat/>
    <w:uiPriority w:val="0"/>
    <w:rPr>
      <w:rFonts w:ascii="Arial" w:hAnsi="Arial" w:eastAsia="黑体" w:cs="Times New Roman"/>
      <w:sz w:val="21"/>
      <w:szCs w:val="21"/>
    </w:rPr>
  </w:style>
  <w:style w:type="character" w:customStyle="1" w:styleId="61">
    <w:name w:val="标题 1 Char"/>
    <w:basedOn w:val="42"/>
    <w:link w:val="3"/>
    <w:autoRedefine/>
    <w:qFormat/>
    <w:uiPriority w:val="0"/>
    <w:rPr>
      <w:rFonts w:ascii="宋体" w:hAnsi="宋体" w:eastAsia="宋体" w:cs="宋体"/>
      <w:b/>
      <w:bCs/>
      <w:sz w:val="44"/>
      <w:szCs w:val="44"/>
    </w:rPr>
  </w:style>
  <w:style w:type="character" w:customStyle="1" w:styleId="62">
    <w:name w:val="标题 2 Char"/>
    <w:basedOn w:val="42"/>
    <w:link w:val="4"/>
    <w:autoRedefine/>
    <w:qFormat/>
    <w:uiPriority w:val="0"/>
    <w:rPr>
      <w:rFonts w:ascii="宋体" w:hAnsi="宋体" w:eastAsia="宋体" w:cs="宋体"/>
      <w:sz w:val="44"/>
      <w:szCs w:val="44"/>
    </w:rPr>
  </w:style>
  <w:style w:type="character" w:customStyle="1" w:styleId="63">
    <w:name w:val="标题 3 Char"/>
    <w:basedOn w:val="42"/>
    <w:link w:val="5"/>
    <w:autoRedefine/>
    <w:qFormat/>
    <w:uiPriority w:val="0"/>
    <w:rPr>
      <w:rFonts w:ascii="宋体" w:hAnsi="宋体" w:eastAsia="宋体" w:cs="宋体"/>
      <w:b/>
      <w:bCs/>
      <w:sz w:val="32"/>
      <w:szCs w:val="32"/>
    </w:rPr>
  </w:style>
  <w:style w:type="character" w:customStyle="1" w:styleId="64">
    <w:name w:val="标题 4 Char"/>
    <w:basedOn w:val="42"/>
    <w:link w:val="6"/>
    <w:autoRedefine/>
    <w:qFormat/>
    <w:uiPriority w:val="0"/>
    <w:rPr>
      <w:rFonts w:ascii="Microsoft JhengHei" w:hAnsi="Microsoft JhengHei" w:eastAsia="Microsoft JhengHei" w:cs="Microsoft JhengHei"/>
      <w:b/>
      <w:bCs/>
      <w:sz w:val="30"/>
      <w:szCs w:val="30"/>
    </w:rPr>
  </w:style>
  <w:style w:type="character" w:customStyle="1" w:styleId="65">
    <w:name w:val="标题 6 Char"/>
    <w:basedOn w:val="42"/>
    <w:link w:val="8"/>
    <w:autoRedefine/>
    <w:qFormat/>
    <w:uiPriority w:val="0"/>
    <w:rPr>
      <w:rFonts w:ascii="宋体" w:hAnsi="宋体" w:eastAsia="宋体" w:cs="宋体"/>
      <w:sz w:val="28"/>
      <w:szCs w:val="28"/>
    </w:rPr>
  </w:style>
  <w:style w:type="character" w:customStyle="1" w:styleId="66">
    <w:name w:val="标题 7 Char"/>
    <w:basedOn w:val="42"/>
    <w:link w:val="9"/>
    <w:autoRedefine/>
    <w:qFormat/>
    <w:uiPriority w:val="0"/>
    <w:rPr>
      <w:rFonts w:ascii="宋体" w:hAnsi="宋体" w:eastAsia="宋体" w:cs="宋体"/>
      <w:b/>
      <w:bCs/>
      <w:sz w:val="24"/>
      <w:szCs w:val="24"/>
    </w:rPr>
  </w:style>
  <w:style w:type="character" w:customStyle="1" w:styleId="67">
    <w:name w:val="文档结构图 Char"/>
    <w:basedOn w:val="42"/>
    <w:link w:val="15"/>
    <w:autoRedefine/>
    <w:qFormat/>
    <w:uiPriority w:val="0"/>
    <w:rPr>
      <w:rFonts w:ascii="Times New Roman" w:hAnsi="Times New Roman" w:eastAsia="宋体" w:cs="Times New Roman"/>
      <w:kern w:val="2"/>
      <w:sz w:val="21"/>
      <w:szCs w:val="24"/>
      <w:shd w:val="clear" w:color="auto" w:fill="000080"/>
    </w:rPr>
  </w:style>
  <w:style w:type="character" w:customStyle="1" w:styleId="68">
    <w:name w:val="批注文字 Char"/>
    <w:basedOn w:val="42"/>
    <w:link w:val="16"/>
    <w:autoRedefine/>
    <w:qFormat/>
    <w:uiPriority w:val="0"/>
    <w:rPr>
      <w:rFonts w:ascii="Times New Roman" w:hAnsi="Times New Roman" w:eastAsia="宋体" w:cs="Times New Roman"/>
      <w:kern w:val="2"/>
      <w:sz w:val="21"/>
      <w:szCs w:val="24"/>
    </w:rPr>
  </w:style>
  <w:style w:type="character" w:customStyle="1" w:styleId="69">
    <w:name w:val="正文文本 3 Char"/>
    <w:basedOn w:val="42"/>
    <w:link w:val="17"/>
    <w:autoRedefine/>
    <w:qFormat/>
    <w:uiPriority w:val="0"/>
    <w:rPr>
      <w:rFonts w:ascii="宋体" w:hAnsi="Times New Roman" w:eastAsia="宋体" w:cs="Times New Roman"/>
      <w:kern w:val="2"/>
      <w:sz w:val="24"/>
    </w:rPr>
  </w:style>
  <w:style w:type="character" w:customStyle="1" w:styleId="70">
    <w:name w:val="正文文本 Char"/>
    <w:basedOn w:val="42"/>
    <w:link w:val="2"/>
    <w:autoRedefine/>
    <w:qFormat/>
    <w:uiPriority w:val="0"/>
    <w:rPr>
      <w:rFonts w:ascii="宋体" w:hAnsi="宋体" w:eastAsia="宋体" w:cs="宋体"/>
      <w:sz w:val="21"/>
      <w:szCs w:val="21"/>
    </w:rPr>
  </w:style>
  <w:style w:type="character" w:customStyle="1" w:styleId="71">
    <w:name w:val="正文文本缩进 Char"/>
    <w:basedOn w:val="42"/>
    <w:link w:val="18"/>
    <w:autoRedefine/>
    <w:qFormat/>
    <w:uiPriority w:val="0"/>
    <w:rPr>
      <w:rFonts w:ascii="Times New Roman" w:hAnsi="Times New Roman" w:eastAsia="宋体" w:cs="Times New Roman"/>
      <w:kern w:val="2"/>
      <w:sz w:val="21"/>
      <w:szCs w:val="24"/>
    </w:rPr>
  </w:style>
  <w:style w:type="character" w:customStyle="1" w:styleId="72">
    <w:name w:val="纯文本 Char"/>
    <w:basedOn w:val="42"/>
    <w:link w:val="21"/>
    <w:autoRedefine/>
    <w:qFormat/>
    <w:uiPriority w:val="0"/>
    <w:rPr>
      <w:rFonts w:ascii="宋体" w:hAnsi="Courier New" w:eastAsia="宋体" w:cs="Times New Roman"/>
      <w:color w:val="000000"/>
      <w:kern w:val="2"/>
      <w:sz w:val="21"/>
    </w:rPr>
  </w:style>
  <w:style w:type="character" w:customStyle="1" w:styleId="73">
    <w:name w:val="日期 Char"/>
    <w:basedOn w:val="42"/>
    <w:link w:val="23"/>
    <w:autoRedefine/>
    <w:qFormat/>
    <w:uiPriority w:val="0"/>
    <w:rPr>
      <w:rFonts w:ascii="Times New Roman" w:hAnsi="Times New Roman" w:eastAsia="宋体" w:cs="Times New Roman"/>
      <w:kern w:val="2"/>
      <w:sz w:val="21"/>
      <w:szCs w:val="24"/>
    </w:rPr>
  </w:style>
  <w:style w:type="character" w:customStyle="1" w:styleId="74">
    <w:name w:val="正文文本缩进 2 Char"/>
    <w:basedOn w:val="42"/>
    <w:link w:val="24"/>
    <w:autoRedefine/>
    <w:qFormat/>
    <w:uiPriority w:val="0"/>
    <w:rPr>
      <w:rFonts w:ascii="仿宋_GB2312" w:hAnsi="Times New Roman" w:eastAsia="仿宋_GB2312" w:cs="Times New Roman"/>
      <w:kern w:val="2"/>
      <w:sz w:val="28"/>
      <w:szCs w:val="24"/>
    </w:rPr>
  </w:style>
  <w:style w:type="character" w:customStyle="1" w:styleId="75">
    <w:name w:val="尾注文本 Char"/>
    <w:basedOn w:val="42"/>
    <w:link w:val="25"/>
    <w:autoRedefine/>
    <w:qFormat/>
    <w:uiPriority w:val="0"/>
    <w:rPr>
      <w:rFonts w:ascii="Times New Roman" w:hAnsi="Times New Roman" w:eastAsia="宋体" w:cs="Times New Roman"/>
      <w:kern w:val="2"/>
      <w:sz w:val="21"/>
      <w:szCs w:val="24"/>
    </w:rPr>
  </w:style>
  <w:style w:type="character" w:customStyle="1" w:styleId="76">
    <w:name w:val="批注框文本 Char"/>
    <w:basedOn w:val="42"/>
    <w:link w:val="26"/>
    <w:autoRedefine/>
    <w:qFormat/>
    <w:uiPriority w:val="0"/>
    <w:rPr>
      <w:rFonts w:ascii="Times New Roman" w:hAnsi="Times New Roman" w:eastAsia="宋体" w:cs="Times New Roman"/>
      <w:kern w:val="2"/>
      <w:sz w:val="18"/>
      <w:szCs w:val="18"/>
    </w:rPr>
  </w:style>
  <w:style w:type="character" w:customStyle="1" w:styleId="77">
    <w:name w:val="脚注文本 Char"/>
    <w:basedOn w:val="42"/>
    <w:link w:val="31"/>
    <w:autoRedefine/>
    <w:qFormat/>
    <w:uiPriority w:val="0"/>
    <w:rPr>
      <w:rFonts w:ascii="Times New Roman" w:hAnsi="Times New Roman" w:eastAsia="宋体" w:cs="Times New Roman"/>
      <w:kern w:val="2"/>
      <w:sz w:val="18"/>
      <w:szCs w:val="18"/>
    </w:rPr>
  </w:style>
  <w:style w:type="character" w:customStyle="1" w:styleId="78">
    <w:name w:val="正文文本缩进 3 Char"/>
    <w:basedOn w:val="42"/>
    <w:link w:val="33"/>
    <w:autoRedefine/>
    <w:qFormat/>
    <w:uiPriority w:val="0"/>
    <w:rPr>
      <w:rFonts w:ascii="Times New Roman" w:hAnsi="Times New Roman" w:eastAsia="宋体" w:cs="Times New Roman"/>
      <w:kern w:val="2"/>
      <w:sz w:val="16"/>
      <w:szCs w:val="16"/>
    </w:rPr>
  </w:style>
  <w:style w:type="character" w:customStyle="1" w:styleId="79">
    <w:name w:val="正文文本 2 Char"/>
    <w:basedOn w:val="42"/>
    <w:link w:val="36"/>
    <w:autoRedefine/>
    <w:qFormat/>
    <w:uiPriority w:val="0"/>
    <w:rPr>
      <w:rFonts w:ascii="宋体" w:hAnsi="宋体" w:eastAsia="宋体" w:cs="Times New Roman"/>
      <w:kern w:val="2"/>
      <w:sz w:val="28"/>
      <w:szCs w:val="24"/>
    </w:rPr>
  </w:style>
  <w:style w:type="character" w:customStyle="1" w:styleId="80">
    <w:name w:val="标题 Char"/>
    <w:basedOn w:val="42"/>
    <w:link w:val="39"/>
    <w:autoRedefine/>
    <w:qFormat/>
    <w:uiPriority w:val="0"/>
    <w:rPr>
      <w:rFonts w:ascii="华文新魏" w:hAnsi="华文新魏" w:eastAsia="华文新魏" w:cs="华文新魏"/>
      <w:sz w:val="120"/>
      <w:szCs w:val="120"/>
    </w:rPr>
  </w:style>
  <w:style w:type="character" w:customStyle="1" w:styleId="81">
    <w:name w:val="普通文字 Char Char1"/>
    <w:basedOn w:val="42"/>
    <w:autoRedefine/>
    <w:qFormat/>
    <w:locked/>
    <w:uiPriority w:val="0"/>
    <w:rPr>
      <w:rFonts w:ascii="黑体" w:hAnsi="Courier New" w:eastAsia="黑体"/>
      <w:kern w:val="2"/>
      <w:sz w:val="28"/>
      <w:lang w:val="en-US" w:eastAsia="zh-CN" w:bidi="ar-SA"/>
    </w:rPr>
  </w:style>
  <w:style w:type="character" w:customStyle="1" w:styleId="82">
    <w:name w:val="font161"/>
    <w:basedOn w:val="42"/>
    <w:autoRedefine/>
    <w:qFormat/>
    <w:uiPriority w:val="0"/>
    <w:rPr>
      <w:b/>
      <w:bCs/>
      <w:sz w:val="32"/>
      <w:szCs w:val="32"/>
    </w:rPr>
  </w:style>
  <w:style w:type="paragraph" w:customStyle="1" w:styleId="83">
    <w:name w:val="Default Paragraph Font Para Char Char Char Char Char Char"/>
    <w:basedOn w:val="1"/>
    <w:autoRedefine/>
    <w:qFormat/>
    <w:uiPriority w:val="0"/>
    <w:pPr>
      <w:widowControl/>
      <w:autoSpaceDE/>
      <w:autoSpaceDN/>
      <w:spacing w:after="160" w:line="240" w:lineRule="exact"/>
    </w:pPr>
    <w:rPr>
      <w:rFonts w:ascii="Verdana" w:hAnsi="Verdana" w:cs="Times New Roman"/>
      <w:sz w:val="20"/>
      <w:szCs w:val="20"/>
      <w:lang w:eastAsia="en-US"/>
    </w:rPr>
  </w:style>
  <w:style w:type="paragraph" w:customStyle="1" w:styleId="84">
    <w:name w:val="表格"/>
    <w:basedOn w:val="1"/>
    <w:autoRedefine/>
    <w:qFormat/>
    <w:uiPriority w:val="0"/>
    <w:pPr>
      <w:autoSpaceDE/>
      <w:autoSpaceDN/>
      <w:jc w:val="center"/>
      <w:textAlignment w:val="center"/>
    </w:pPr>
    <w:rPr>
      <w:rFonts w:ascii="华文细黑" w:hAnsi="华文细黑" w:cs="Times New Roman"/>
      <w:sz w:val="21"/>
      <w:szCs w:val="20"/>
    </w:rPr>
  </w:style>
  <w:style w:type="paragraph" w:customStyle="1" w:styleId="85">
    <w:name w:val="Char Char Char Char Char Char Char"/>
    <w:basedOn w:val="1"/>
    <w:autoRedefine/>
    <w:qFormat/>
    <w:uiPriority w:val="0"/>
    <w:pPr>
      <w:widowControl/>
      <w:autoSpaceDE/>
      <w:autoSpaceDN/>
      <w:spacing w:after="160" w:line="240" w:lineRule="exact"/>
    </w:pPr>
    <w:rPr>
      <w:rFonts w:ascii="Verdana" w:hAnsi="Verdana" w:cs="Times New Roman"/>
      <w:sz w:val="20"/>
      <w:szCs w:val="20"/>
      <w:lang w:eastAsia="en-US"/>
    </w:rPr>
  </w:style>
  <w:style w:type="paragraph" w:customStyle="1" w:styleId="86">
    <w:name w:val="样式 标题 3 + (中文) 黑体 小四 非加粗 段前: 7.8 磅 段后: 0 磅 行距: 固定值 20 磅"/>
    <w:basedOn w:val="5"/>
    <w:autoRedefine/>
    <w:qFormat/>
    <w:uiPriority w:val="0"/>
    <w:pPr>
      <w:keepNext/>
      <w:keepLines/>
      <w:autoSpaceDE/>
      <w:autoSpaceDN/>
      <w:spacing w:before="0" w:line="400" w:lineRule="exact"/>
      <w:ind w:left="0"/>
      <w:jc w:val="both"/>
    </w:pPr>
    <w:rPr>
      <w:rFonts w:ascii="Times New Roman" w:hAnsi="Times New Roman" w:eastAsia="黑体"/>
      <w:b w:val="0"/>
      <w:bCs w:val="0"/>
      <w:kern w:val="2"/>
      <w:sz w:val="24"/>
      <w:szCs w:val="20"/>
    </w:rPr>
  </w:style>
  <w:style w:type="paragraph" w:customStyle="1" w:styleId="87">
    <w:name w:val="Char Char Char Char Char Char Char1"/>
    <w:basedOn w:val="1"/>
    <w:autoRedefine/>
    <w:qFormat/>
    <w:uiPriority w:val="0"/>
    <w:pPr>
      <w:widowControl/>
      <w:autoSpaceDE/>
      <w:autoSpaceDN/>
      <w:spacing w:after="160" w:line="240" w:lineRule="exact"/>
    </w:pPr>
    <w:rPr>
      <w:rFonts w:ascii="Verdana" w:hAnsi="Verdana" w:cs="Times New Roman"/>
      <w:sz w:val="20"/>
      <w:szCs w:val="20"/>
      <w:lang w:eastAsia="en-US"/>
    </w:rPr>
  </w:style>
  <w:style w:type="paragraph" w:customStyle="1" w:styleId="88">
    <w:name w:val="表格文字"/>
    <w:basedOn w:val="18"/>
    <w:autoRedefine/>
    <w:qFormat/>
    <w:uiPriority w:val="0"/>
    <w:pPr>
      <w:autoSpaceDE/>
      <w:autoSpaceDN/>
      <w:adjustRightInd w:val="0"/>
      <w:spacing w:line="420" w:lineRule="atLeast"/>
      <w:textAlignment w:val="baseline"/>
    </w:pPr>
    <w:rPr>
      <w:rFonts w:ascii="Times New Roman" w:hAnsi="Times New Roman" w:cs="Times New Roman"/>
      <w:sz w:val="21"/>
      <w:szCs w:val="20"/>
    </w:rPr>
  </w:style>
  <w:style w:type="paragraph" w:customStyle="1" w:styleId="89">
    <w:name w:val="Char"/>
    <w:basedOn w:val="1"/>
    <w:autoRedefine/>
    <w:qFormat/>
    <w:uiPriority w:val="0"/>
    <w:pPr>
      <w:widowControl/>
      <w:autoSpaceDE/>
      <w:autoSpaceDN/>
      <w:spacing w:after="160" w:line="240" w:lineRule="exact"/>
    </w:pPr>
    <w:rPr>
      <w:rFonts w:ascii="Verdana" w:hAnsi="Verdana" w:cs="Times New Roman"/>
      <w:sz w:val="20"/>
      <w:szCs w:val="20"/>
      <w:lang w:eastAsia="en-US"/>
    </w:rPr>
  </w:style>
  <w:style w:type="paragraph" w:customStyle="1" w:styleId="90">
    <w:name w:val="样式 标题 1 + 黑体 三号 非加粗 居中 段前: 6 磅 段后: 6 磅 行距: 固定值 20 磅"/>
    <w:basedOn w:val="3"/>
    <w:autoRedefine/>
    <w:qFormat/>
    <w:uiPriority w:val="0"/>
    <w:pPr>
      <w:keepNext/>
      <w:keepLines/>
      <w:autoSpaceDE/>
      <w:autoSpaceDN/>
      <w:spacing w:before="120" w:after="120" w:line="400" w:lineRule="exact"/>
      <w:ind w:left="0"/>
    </w:pPr>
    <w:rPr>
      <w:rFonts w:ascii="黑体" w:hAnsi="黑体" w:eastAsia="黑体"/>
      <w:b w:val="0"/>
      <w:bCs w:val="0"/>
      <w:kern w:val="44"/>
      <w:sz w:val="32"/>
      <w:szCs w:val="20"/>
    </w:rPr>
  </w:style>
  <w:style w:type="paragraph" w:customStyle="1" w:styleId="91">
    <w:name w:val="6'"/>
    <w:basedOn w:val="1"/>
    <w:autoRedefine/>
    <w:qFormat/>
    <w:uiPriority w:val="0"/>
    <w:pPr>
      <w:adjustRightInd w:val="0"/>
      <w:snapToGrid w:val="0"/>
      <w:spacing w:line="320" w:lineRule="exact"/>
      <w:jc w:val="center"/>
      <w:textAlignment w:val="baseline"/>
    </w:pPr>
    <w:rPr>
      <w:rFonts w:ascii="Times New Roman" w:hAnsi="Times New Roman" w:cs="Times New Roman"/>
      <w:spacing w:val="20"/>
      <w:kern w:val="28"/>
      <w:sz w:val="21"/>
      <w:szCs w:val="20"/>
    </w:rPr>
  </w:style>
  <w:style w:type="paragraph" w:customStyle="1" w:styleId="92">
    <w:name w:val="1"/>
    <w:basedOn w:val="1"/>
    <w:next w:val="1"/>
    <w:autoRedefine/>
    <w:qFormat/>
    <w:uiPriority w:val="0"/>
    <w:pPr>
      <w:autoSpaceDE/>
      <w:autoSpaceDN/>
      <w:jc w:val="both"/>
    </w:pPr>
    <w:rPr>
      <w:rFonts w:ascii="Times New Roman" w:hAnsi="Times New Roman" w:cs="Times New Roman"/>
      <w:kern w:val="2"/>
      <w:sz w:val="21"/>
      <w:szCs w:val="24"/>
    </w:rPr>
  </w:style>
  <w:style w:type="paragraph" w:customStyle="1" w:styleId="93">
    <w:name w:val="Char11"/>
    <w:basedOn w:val="1"/>
    <w:autoRedefine/>
    <w:qFormat/>
    <w:uiPriority w:val="0"/>
    <w:pPr>
      <w:widowControl/>
      <w:autoSpaceDE/>
      <w:autoSpaceDN/>
      <w:spacing w:after="160" w:line="240" w:lineRule="exact"/>
    </w:pPr>
    <w:rPr>
      <w:rFonts w:ascii="Verdana" w:hAnsi="Verdana" w:cs="Times New Roman"/>
      <w:sz w:val="20"/>
      <w:szCs w:val="20"/>
      <w:lang w:eastAsia="en-US"/>
    </w:rPr>
  </w:style>
  <w:style w:type="paragraph" w:customStyle="1" w:styleId="94">
    <w:name w:val="样式 标题 2 + Times New Roman 四号 非加粗 段前: 5 磅 段后: 0 磅 行距: 固定值 20..."/>
    <w:basedOn w:val="4"/>
    <w:autoRedefine/>
    <w:qFormat/>
    <w:uiPriority w:val="0"/>
    <w:pPr>
      <w:keepNext/>
      <w:keepLines/>
      <w:autoSpaceDE/>
      <w:autoSpaceDN/>
      <w:spacing w:before="100" w:line="400" w:lineRule="exact"/>
      <w:ind w:left="0"/>
      <w:jc w:val="both"/>
    </w:pPr>
    <w:rPr>
      <w:rFonts w:ascii="Times New Roman" w:hAnsi="Times New Roman" w:eastAsia="黑体"/>
      <w:kern w:val="2"/>
      <w:sz w:val="28"/>
      <w:szCs w:val="20"/>
    </w:rPr>
  </w:style>
  <w:style w:type="paragraph" w:customStyle="1" w:styleId="95">
    <w:name w:val="Char Char Char"/>
    <w:basedOn w:val="1"/>
    <w:autoRedefine/>
    <w:qFormat/>
    <w:uiPriority w:val="0"/>
    <w:pPr>
      <w:autoSpaceDE/>
      <w:autoSpaceDN/>
      <w:jc w:val="both"/>
    </w:pPr>
    <w:rPr>
      <w:rFonts w:ascii="Times New Roman" w:hAnsi="Times New Roman" w:cs="Times New Roman"/>
      <w:kern w:val="2"/>
      <w:sz w:val="21"/>
      <w:szCs w:val="20"/>
    </w:rPr>
  </w:style>
  <w:style w:type="paragraph" w:customStyle="1" w:styleId="96">
    <w:name w:val="表格文字居中"/>
    <w:basedOn w:val="1"/>
    <w:next w:val="1"/>
    <w:autoRedefine/>
    <w:qFormat/>
    <w:uiPriority w:val="0"/>
    <w:pPr>
      <w:tabs>
        <w:tab w:val="left" w:pos="720"/>
        <w:tab w:val="left" w:pos="900"/>
      </w:tabs>
      <w:autoSpaceDE/>
      <w:autoSpaceDN/>
      <w:adjustRightInd w:val="0"/>
      <w:snapToGrid w:val="0"/>
      <w:spacing w:beforeLines="20" w:afterLines="20" w:line="360" w:lineRule="auto"/>
      <w:jc w:val="center"/>
    </w:pPr>
    <w:rPr>
      <w:rFonts w:hAnsi="Arial" w:cs="Times New Roman"/>
      <w:sz w:val="18"/>
      <w:szCs w:val="20"/>
    </w:rPr>
  </w:style>
  <w:style w:type="character" w:customStyle="1" w:styleId="97">
    <w:name w:val="Char Char"/>
    <w:basedOn w:val="42"/>
    <w:autoRedefine/>
    <w:qFormat/>
    <w:uiPriority w:val="0"/>
    <w:rPr>
      <w:rFonts w:ascii="宋体" w:hAnsi="Courier New" w:eastAsia="宋体"/>
      <w:kern w:val="2"/>
      <w:sz w:val="21"/>
      <w:lang w:val="en-US" w:eastAsia="zh-CN" w:bidi="ar-SA"/>
    </w:rPr>
  </w:style>
  <w:style w:type="paragraph" w:customStyle="1" w:styleId="98">
    <w:name w:val="Char1"/>
    <w:basedOn w:val="1"/>
    <w:autoRedefine/>
    <w:qFormat/>
    <w:uiPriority w:val="0"/>
    <w:pPr>
      <w:widowControl/>
      <w:tabs>
        <w:tab w:val="left" w:pos="509"/>
      </w:tabs>
      <w:autoSpaceDE/>
      <w:autoSpaceDN/>
      <w:spacing w:after="160" w:line="240" w:lineRule="exact"/>
      <w:ind w:left="252"/>
    </w:pPr>
    <w:rPr>
      <w:rFonts w:ascii="Verdana" w:hAnsi="Verdana" w:eastAsia="仿宋_GB2312" w:cs="Times New Roman"/>
      <w:sz w:val="24"/>
      <w:szCs w:val="20"/>
      <w:lang w:eastAsia="en-US"/>
    </w:rPr>
  </w:style>
  <w:style w:type="paragraph" w:customStyle="1" w:styleId="99">
    <w:name w:val="Char12"/>
    <w:basedOn w:val="1"/>
    <w:autoRedefine/>
    <w:qFormat/>
    <w:uiPriority w:val="0"/>
    <w:pPr>
      <w:widowControl/>
      <w:tabs>
        <w:tab w:val="left" w:pos="509"/>
      </w:tabs>
      <w:autoSpaceDE/>
      <w:autoSpaceDN/>
      <w:spacing w:after="160" w:line="240" w:lineRule="exact"/>
      <w:ind w:left="252"/>
    </w:pPr>
    <w:rPr>
      <w:rFonts w:ascii="Verdana" w:hAnsi="Verdana" w:eastAsia="仿宋_GB2312" w:cs="Times New Roman"/>
      <w:sz w:val="24"/>
      <w:szCs w:val="20"/>
      <w:lang w:eastAsia="en-US"/>
    </w:rPr>
  </w:style>
  <w:style w:type="paragraph" w:customStyle="1" w:styleId="100">
    <w:name w:val="Normal_1"/>
    <w:autoRedefine/>
    <w:qFormat/>
    <w:uiPriority w:val="0"/>
    <w:pPr>
      <w:spacing w:before="120" w:after="240"/>
      <w:jc w:val="both"/>
    </w:pPr>
    <w:rPr>
      <w:rFonts w:ascii="Times New Roman" w:hAnsi="Times New Roman" w:eastAsia="宋体" w:cs="Times New Roman"/>
      <w:sz w:val="22"/>
      <w:szCs w:val="22"/>
      <w:lang w:val="en-US" w:eastAsia="en-US" w:bidi="ar-SA"/>
    </w:rPr>
  </w:style>
  <w:style w:type="paragraph" w:customStyle="1" w:styleId="101">
    <w:name w:val="Normal_2"/>
    <w:autoRedefine/>
    <w:qFormat/>
    <w:uiPriority w:val="0"/>
    <w:pPr>
      <w:spacing w:before="120" w:after="240"/>
      <w:jc w:val="both"/>
    </w:pPr>
    <w:rPr>
      <w:rFonts w:ascii="Times New Roman" w:hAnsi="Times New Roman" w:eastAsia="宋体" w:cs="Times New Roman"/>
      <w:sz w:val="22"/>
      <w:szCs w:val="22"/>
      <w:lang w:val="en-US" w:eastAsia="en-US" w:bidi="ar-SA"/>
    </w:rPr>
  </w:style>
  <w:style w:type="paragraph" w:customStyle="1" w:styleId="102">
    <w:name w:val="Normal_3"/>
    <w:autoRedefine/>
    <w:qFormat/>
    <w:uiPriority w:val="0"/>
    <w:pPr>
      <w:spacing w:before="120" w:after="240"/>
      <w:jc w:val="both"/>
    </w:pPr>
    <w:rPr>
      <w:rFonts w:ascii="Times New Roman" w:hAnsi="Times New Roman" w:eastAsia="宋体" w:cs="Times New Roman"/>
      <w:sz w:val="22"/>
      <w:szCs w:val="22"/>
      <w:lang w:val="en-US" w:eastAsia="en-US" w:bidi="ar-SA"/>
    </w:rPr>
  </w:style>
  <w:style w:type="paragraph" w:customStyle="1" w:styleId="103">
    <w:name w:val="Normal_4"/>
    <w:autoRedefine/>
    <w:qFormat/>
    <w:uiPriority w:val="0"/>
    <w:pPr>
      <w:spacing w:before="120" w:after="240"/>
      <w:jc w:val="both"/>
    </w:pPr>
    <w:rPr>
      <w:rFonts w:ascii="Times New Roman" w:hAnsi="Times New Roman" w:eastAsia="宋体" w:cs="Times New Roman"/>
      <w:sz w:val="22"/>
      <w:szCs w:val="22"/>
      <w:lang w:val="en-US" w:eastAsia="en-US" w:bidi="ar-SA"/>
    </w:rPr>
  </w:style>
  <w:style w:type="paragraph" w:customStyle="1" w:styleId="104">
    <w:name w:val="Normal_0"/>
    <w:autoRedefine/>
    <w:qFormat/>
    <w:uiPriority w:val="0"/>
    <w:pPr>
      <w:spacing w:before="120" w:after="240"/>
      <w:jc w:val="both"/>
    </w:pPr>
    <w:rPr>
      <w:rFonts w:ascii="Times New Roman" w:hAnsi="Times New Roman" w:eastAsia="宋体" w:cs="Times New Roman"/>
      <w:sz w:val="22"/>
      <w:szCs w:val="22"/>
      <w:lang w:val="en-US" w:eastAsia="en-US" w:bidi="ar-SA"/>
    </w:rPr>
  </w:style>
  <w:style w:type="paragraph" w:customStyle="1" w:styleId="105">
    <w:name w:val="Char13"/>
    <w:basedOn w:val="1"/>
    <w:autoRedefine/>
    <w:qFormat/>
    <w:uiPriority w:val="0"/>
    <w:pPr>
      <w:widowControl/>
      <w:tabs>
        <w:tab w:val="left" w:pos="509"/>
      </w:tabs>
      <w:autoSpaceDE/>
      <w:autoSpaceDN/>
      <w:spacing w:after="160" w:line="240" w:lineRule="exact"/>
      <w:ind w:left="252"/>
    </w:pPr>
    <w:rPr>
      <w:rFonts w:ascii="Verdana" w:hAnsi="Verdana" w:eastAsia="仿宋_GB2312" w:cs="Times New Roman"/>
      <w:sz w:val="24"/>
      <w:szCs w:val="20"/>
      <w:lang w:eastAsia="en-US"/>
    </w:rPr>
  </w:style>
  <w:style w:type="paragraph" w:customStyle="1" w:styleId="106">
    <w:name w:val="WPSOffice手动目录 1"/>
    <w:autoRedefine/>
    <w:qFormat/>
    <w:uiPriority w:val="0"/>
    <w:pPr>
      <w:ind w:leftChars="0"/>
    </w:pPr>
    <w:rPr>
      <w:rFonts w:ascii="Times New Roman" w:hAnsi="Times New Roman" w:eastAsia="宋体" w:cs="Times New Roman"/>
      <w:sz w:val="20"/>
      <w:szCs w:val="20"/>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7" Type="http://schemas.openxmlformats.org/officeDocument/2006/relationships/fontTable" Target="fontTable.xml"/><Relationship Id="rId26" Type="http://schemas.openxmlformats.org/officeDocument/2006/relationships/customXml" Target="../customXml/item2.xml"/><Relationship Id="rId25" Type="http://schemas.openxmlformats.org/officeDocument/2006/relationships/numbering" Target="numbering.xml"/><Relationship Id="rId24" Type="http://schemas.openxmlformats.org/officeDocument/2006/relationships/customXml" Target="../customXml/item1.xml"/><Relationship Id="rId23" Type="http://schemas.openxmlformats.org/officeDocument/2006/relationships/image" Target="media/image2.png"/><Relationship Id="rId22" Type="http://schemas.openxmlformats.org/officeDocument/2006/relationships/image" Target="media/image1.png"/><Relationship Id="rId21" Type="http://schemas.openxmlformats.org/officeDocument/2006/relationships/theme" Target="theme/theme1.xml"/><Relationship Id="rId20" Type="http://schemas.openxmlformats.org/officeDocument/2006/relationships/footer" Target="footer9.xml"/><Relationship Id="rId2" Type="http://schemas.openxmlformats.org/officeDocument/2006/relationships/settings" Target="settings.xml"/><Relationship Id="rId19" Type="http://schemas.openxmlformats.org/officeDocument/2006/relationships/header" Target="head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footer" Target="footer7.xml"/><Relationship Id="rId15" Type="http://schemas.openxmlformats.org/officeDocument/2006/relationships/header" Target="head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footer" Target="footer5.xml"/><Relationship Id="rId11" Type="http://schemas.openxmlformats.org/officeDocument/2006/relationships/header" Target="head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8CAF8832-A078-4668-BF9C-7196EDA0AB4D}">
  <ds:schemaRefs/>
</ds:datastoreItem>
</file>

<file path=docProps/app.xml><?xml version="1.0" encoding="utf-8"?>
<Properties xmlns="http://schemas.openxmlformats.org/officeDocument/2006/extended-properties" xmlns:vt="http://schemas.openxmlformats.org/officeDocument/2006/docPropsVTypes">
  <Template>Normal</Template>
  <Pages>113</Pages>
  <Words>66062</Words>
  <Characters>69132</Characters>
  <Lines>598</Lines>
  <Paragraphs>168</Paragraphs>
  <TotalTime>40</TotalTime>
  <ScaleCrop>false</ScaleCrop>
  <LinksUpToDate>false</LinksUpToDate>
  <CharactersWithSpaces>77722</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2022-11-24T07:36:00Z</dcterms:created>
  <dc:creator>Administrator</dc:creator>
  <cp:lastModifiedBy>雲</cp:lastModifiedBy>
  <cp:lastPrinted>2023-01-16T03:20:00Z</cp:lastPrinted>
  <dcterms:modified xsi:type="dcterms:W3CDTF">2023-12-29T02:25:56Z</dcterms:modified>
  <cp:revision>232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2022-09-06T00:00:00Z</vt:filetime>
  </property>
  <property fmtid="{D5CDD505-2E9C-101B-9397-08002B2CF9AE}" pid="3" name="Creator">
    <vt:lpwstr>Microsoft® Word 2010</vt:lpwstr>
  </property>
  <property fmtid="{D5CDD505-2E9C-101B-9397-08002B2CF9AE}" pid="4" name="LastSaved">
    <vt:filetime>2022-11-24T00:00:00Z</vt:filetime>
  </property>
  <property fmtid="{D5CDD505-2E9C-101B-9397-08002B2CF9AE}" pid="5" name="KSOProductBuildVer">
    <vt:lpwstr>2052-12.1.0.16120</vt:lpwstr>
  </property>
  <property fmtid="{D5CDD505-2E9C-101B-9397-08002B2CF9AE}" pid="6" name="ICV">
    <vt:lpwstr>3ABC0C5B581E49DDA689174EAD2098D5_13</vt:lpwstr>
  </property>
</Properties>
</file>