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rPr>
      </w:pPr>
    </w:p>
    <w:p>
      <w:pPr>
        <w:spacing w:line="600" w:lineRule="exact"/>
        <w:jc w:val="center"/>
        <w:rPr>
          <w:rFonts w:asciiTheme="minorEastAsia" w:hAnsiTheme="minorEastAsia" w:eastAsiaTheme="minorEastAsia"/>
          <w:b/>
          <w:color w:val="auto"/>
          <w:sz w:val="52"/>
          <w:szCs w:val="52"/>
        </w:rPr>
      </w:pPr>
      <w:r>
        <w:rPr>
          <w:rFonts w:hint="eastAsia" w:asciiTheme="minorEastAsia" w:hAnsiTheme="minorEastAsia" w:eastAsiaTheme="minorEastAsia"/>
          <w:b/>
          <w:color w:val="auto"/>
          <w:sz w:val="52"/>
          <w:szCs w:val="52"/>
        </w:rPr>
        <w:t>广西创和工程项目管理有限公司</w:t>
      </w:r>
      <w:r>
        <w:rPr>
          <w:rFonts w:hint="eastAsia" w:asciiTheme="minorEastAsia" w:hAnsiTheme="minorEastAsia" w:eastAsiaTheme="minorEastAsia"/>
          <w:b/>
          <w:color w:val="auto"/>
          <w:sz w:val="52"/>
          <w:szCs w:val="52"/>
        </w:rPr>
        <w:cr/>
      </w:r>
    </w:p>
    <w:p>
      <w:pPr>
        <w:spacing w:line="720" w:lineRule="exact"/>
        <w:jc w:val="center"/>
        <w:rPr>
          <w:rFonts w:ascii="宋体" w:hAnsi="宋体" w:cs="宋体"/>
          <w:color w:val="auto"/>
          <w:sz w:val="52"/>
        </w:rPr>
      </w:pPr>
    </w:p>
    <w:p>
      <w:pPr>
        <w:spacing w:line="800" w:lineRule="exact"/>
        <w:jc w:val="center"/>
        <w:rPr>
          <w:rFonts w:ascii="宋体" w:hAnsi="宋体" w:cs="宋体"/>
          <w:color w:val="auto"/>
          <w:sz w:val="52"/>
        </w:rPr>
      </w:pPr>
    </w:p>
    <w:p>
      <w:pPr>
        <w:spacing w:line="1000" w:lineRule="exact"/>
        <w:jc w:val="center"/>
        <w:rPr>
          <w:rFonts w:ascii="宋体" w:hAnsi="宋体" w:cs="宋体"/>
          <w:b/>
          <w:color w:val="auto"/>
          <w:sz w:val="84"/>
          <w:szCs w:val="84"/>
        </w:rPr>
      </w:pPr>
      <w:r>
        <w:rPr>
          <w:rFonts w:hint="eastAsia" w:ascii="宋体" w:hAnsi="宋体" w:cs="宋体"/>
          <w:b/>
          <w:color w:val="auto"/>
          <w:sz w:val="84"/>
          <w:szCs w:val="84"/>
        </w:rPr>
        <w:t xml:space="preserve"> 竞争性磋商文件</w:t>
      </w:r>
      <w:r>
        <w:rPr>
          <w:rFonts w:hint="eastAsia" w:ascii="宋体" w:hAnsi="宋体" w:cs="宋体"/>
          <w:b/>
          <w:color w:val="auto"/>
          <w:sz w:val="84"/>
          <w:szCs w:val="84"/>
        </w:rPr>
        <w:cr/>
      </w:r>
      <w:r>
        <w:rPr>
          <w:rFonts w:hint="eastAsia" w:ascii="宋体" w:hAnsi="宋体" w:cs="宋体"/>
          <w:b/>
          <w:color w:val="auto"/>
          <w:sz w:val="84"/>
          <w:szCs w:val="84"/>
        </w:rPr>
        <w:cr/>
      </w:r>
    </w:p>
    <w:p>
      <w:pPr>
        <w:pStyle w:val="24"/>
        <w:rPr>
          <w:rFonts w:hAnsi="宋体" w:cs="宋体"/>
          <w:color w:val="auto"/>
        </w:rPr>
      </w:pPr>
    </w:p>
    <w:p>
      <w:pPr>
        <w:ind w:left="3518" w:hanging="3518" w:hangingChars="1095"/>
        <w:jc w:val="left"/>
        <w:rPr>
          <w:rFonts w:ascii="宋体" w:hAnsi="宋体" w:cs="宋体"/>
          <w:b/>
          <w:bCs/>
          <w:color w:val="auto"/>
          <w:kern w:val="0"/>
          <w:sz w:val="32"/>
          <w:szCs w:val="32"/>
        </w:rPr>
      </w:pPr>
      <w:r>
        <w:rPr>
          <w:rFonts w:hint="eastAsia" w:ascii="宋体" w:hAnsi="宋体" w:cs="宋体"/>
          <w:b/>
          <w:bCs/>
          <w:color w:val="auto"/>
          <w:kern w:val="0"/>
          <w:sz w:val="32"/>
        </w:rPr>
        <w:t xml:space="preserve">            </w:t>
      </w:r>
      <w:r>
        <w:rPr>
          <w:rFonts w:hint="eastAsia" w:ascii="宋体" w:hAnsi="宋体" w:cs="宋体"/>
          <w:b/>
          <w:bCs/>
          <w:color w:val="auto"/>
          <w:kern w:val="0"/>
          <w:sz w:val="32"/>
          <w:szCs w:val="32"/>
        </w:rPr>
        <w:t xml:space="preserve"> 项目名称：</w:t>
      </w:r>
      <w:r>
        <w:rPr>
          <w:rFonts w:hint="eastAsia" w:ascii="宋体" w:hAnsi="宋体"/>
          <w:b/>
          <w:bCs/>
          <w:color w:val="auto"/>
          <w:sz w:val="32"/>
          <w:szCs w:val="32"/>
        </w:rPr>
        <w:t>北流市人民检察院新一代5G移动检务服务采购</w:t>
      </w:r>
      <w:r>
        <w:rPr>
          <w:rFonts w:hint="eastAsia" w:ascii="宋体" w:hAnsi="宋体" w:cs="宋体"/>
          <w:b/>
          <w:bCs/>
          <w:color w:val="auto"/>
          <w:kern w:val="0"/>
          <w:sz w:val="32"/>
          <w:szCs w:val="32"/>
        </w:rPr>
        <w:t xml:space="preserve">      </w:t>
      </w:r>
    </w:p>
    <w:p>
      <w:pPr>
        <w:ind w:left="3511" w:leftChars="988" w:hanging="1436" w:hangingChars="447"/>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项目编号：</w:t>
      </w:r>
      <w:r>
        <w:rPr>
          <w:rFonts w:hint="eastAsia" w:ascii="宋体" w:hAnsi="宋体" w:cs="宋体"/>
          <w:b/>
          <w:bCs/>
          <w:color w:val="auto"/>
          <w:kern w:val="0"/>
          <w:sz w:val="32"/>
          <w:szCs w:val="32"/>
          <w:lang w:eastAsia="zh-CN"/>
        </w:rPr>
        <w:t>YLZC2020-C3-810301-GXCH</w:t>
      </w:r>
    </w:p>
    <w:p>
      <w:pPr>
        <w:ind w:left="3511" w:leftChars="988" w:hanging="1436" w:hangingChars="447"/>
        <w:jc w:val="left"/>
        <w:rPr>
          <w:rFonts w:hint="eastAsia" w:ascii="宋体" w:hAnsi="宋体" w:eastAsia="宋体" w:cs="宋体"/>
          <w:b/>
          <w:bCs/>
          <w:color w:val="auto"/>
          <w:spacing w:val="40"/>
          <w:sz w:val="32"/>
          <w:szCs w:val="32"/>
          <w:lang w:eastAsia="zh-CN"/>
        </w:rPr>
      </w:pPr>
      <w:r>
        <w:rPr>
          <w:rFonts w:hint="eastAsia" w:ascii="宋体" w:hAnsi="宋体" w:cs="宋体"/>
          <w:b/>
          <w:bCs/>
          <w:color w:val="auto"/>
          <w:kern w:val="0"/>
          <w:sz w:val="32"/>
          <w:szCs w:val="32"/>
        </w:rPr>
        <w:t>采购计划编号：</w:t>
      </w:r>
      <w:r>
        <w:rPr>
          <w:rFonts w:hint="eastAsia" w:ascii="宋体" w:hAnsi="宋体" w:cs="宋体"/>
          <w:b/>
          <w:bCs/>
          <w:color w:val="auto"/>
          <w:kern w:val="0"/>
          <w:sz w:val="32"/>
          <w:szCs w:val="32"/>
          <w:lang w:eastAsia="zh-CN"/>
        </w:rPr>
        <w:t>YLZC2020-C3-83360-001</w:t>
      </w:r>
    </w:p>
    <w:p>
      <w:pPr>
        <w:ind w:firstLine="1050" w:firstLineChars="500"/>
        <w:rPr>
          <w:rFonts w:ascii="宋体" w:hAnsi="宋体" w:cs="宋体"/>
          <w:color w:val="auto"/>
        </w:rPr>
      </w:pPr>
      <w:r>
        <w:rPr>
          <w:rFonts w:hint="eastAsia" w:ascii="宋体" w:hAnsi="宋体" w:cs="宋体"/>
          <w:color w:val="auto"/>
        </w:rPr>
        <w:cr/>
      </w:r>
    </w:p>
    <w:p>
      <w:pPr>
        <w:rPr>
          <w:rFonts w:ascii="宋体" w:hAnsi="宋体" w:cs="宋体"/>
          <w:color w:val="auto"/>
          <w:sz w:val="32"/>
          <w:szCs w:val="32"/>
        </w:rPr>
      </w:pPr>
    </w:p>
    <w:p>
      <w:pPr>
        <w:ind w:firstLine="1050" w:firstLineChars="500"/>
        <w:rPr>
          <w:rFonts w:ascii="宋体" w:hAnsi="宋体" w:cs="宋体"/>
          <w:color w:val="auto"/>
        </w:rPr>
      </w:pPr>
    </w:p>
    <w:p>
      <w:pPr>
        <w:ind w:firstLine="1050" w:firstLineChars="500"/>
        <w:rPr>
          <w:rFonts w:ascii="宋体" w:hAnsi="宋体" w:cs="宋体"/>
          <w:color w:val="auto"/>
        </w:rPr>
      </w:pPr>
    </w:p>
    <w:p>
      <w:pPr>
        <w:ind w:firstLine="1606" w:firstLineChars="500"/>
        <w:rPr>
          <w:rFonts w:ascii="宋体" w:hAnsi="宋体"/>
          <w:b/>
          <w:bCs/>
          <w:color w:val="auto"/>
          <w:sz w:val="32"/>
        </w:rPr>
      </w:pPr>
    </w:p>
    <w:p>
      <w:pPr>
        <w:spacing w:line="600" w:lineRule="auto"/>
        <w:ind w:firstLine="1264" w:firstLineChars="395"/>
        <w:rPr>
          <w:rFonts w:ascii="宋体" w:hAnsi="宋体"/>
          <w:color w:val="auto"/>
          <w:sz w:val="32"/>
          <w:szCs w:val="32"/>
        </w:rPr>
      </w:pPr>
      <w:r>
        <w:rPr>
          <w:rFonts w:hint="eastAsia" w:ascii="宋体" w:hAnsi="宋体"/>
          <w:color w:val="auto"/>
          <w:sz w:val="32"/>
          <w:szCs w:val="32"/>
        </w:rPr>
        <w:t>采   购   人(盖章)：北流市人民检察院</w:t>
      </w:r>
    </w:p>
    <w:p>
      <w:pPr>
        <w:pStyle w:val="20"/>
        <w:spacing w:line="600" w:lineRule="auto"/>
        <w:ind w:right="-260" w:rightChars="-124" w:firstLine="960" w:firstLineChars="300"/>
        <w:rPr>
          <w:rFonts w:ascii="宋体" w:hAnsi="宋体"/>
          <w:color w:val="auto"/>
          <w:sz w:val="32"/>
          <w:szCs w:val="32"/>
        </w:rPr>
      </w:pPr>
      <w:r>
        <w:rPr>
          <w:rFonts w:hint="eastAsia" w:ascii="宋体" w:hAnsi="宋体"/>
          <w:color w:val="auto"/>
          <w:sz w:val="32"/>
          <w:szCs w:val="32"/>
        </w:rPr>
        <w:t>采购代理机构（盖章）：广西创和工程项目管理有限公司</w:t>
      </w:r>
    </w:p>
    <w:p>
      <w:pPr>
        <w:ind w:left="-2" w:leftChars="-1" w:right="126" w:rightChars="60" w:firstLine="3465" w:firstLineChars="1083"/>
        <w:rPr>
          <w:rFonts w:ascii="宋体" w:hAnsi="宋体"/>
          <w:color w:val="auto"/>
          <w:sz w:val="32"/>
          <w:szCs w:val="32"/>
        </w:rPr>
        <w:sectPr>
          <w:headerReference r:id="rId5" w:type="first"/>
          <w:headerReference r:id="rId3" w:type="default"/>
          <w:footerReference r:id="rId6" w:type="default"/>
          <w:headerReference r:id="rId4" w:type="even"/>
          <w:footerReference r:id="rId7" w:type="even"/>
          <w:pgSz w:w="11906" w:h="16838"/>
          <w:pgMar w:top="1304" w:right="1304" w:bottom="1153" w:left="1304" w:header="680" w:footer="680" w:gutter="0"/>
          <w:pgNumType w:start="0"/>
          <w:cols w:space="720" w:num="1"/>
          <w:titlePg/>
          <w:docGrid w:type="lines" w:linePitch="331" w:charSpace="0"/>
        </w:sectPr>
      </w:pPr>
      <w:r>
        <w:rPr>
          <w:rFonts w:ascii="宋体" w:hAnsi="宋体"/>
          <w:color w:val="auto"/>
          <w:sz w:val="32"/>
          <w:szCs w:val="32"/>
        </w:rPr>
        <w:t>20</w:t>
      </w:r>
      <w:r>
        <w:rPr>
          <w:rFonts w:hint="eastAsia" w:ascii="宋体" w:hAnsi="宋体"/>
          <w:color w:val="auto"/>
          <w:sz w:val="32"/>
          <w:szCs w:val="32"/>
        </w:rPr>
        <w:t>20</w:t>
      </w:r>
      <w:r>
        <w:rPr>
          <w:rFonts w:ascii="宋体" w:hAnsi="宋体"/>
          <w:color w:val="auto"/>
          <w:sz w:val="32"/>
          <w:szCs w:val="32"/>
        </w:rPr>
        <w:t>年11月</w:t>
      </w:r>
    </w:p>
    <w:p>
      <w:pPr>
        <w:spacing w:line="440" w:lineRule="exact"/>
        <w:jc w:val="center"/>
        <w:rPr>
          <w:rFonts w:ascii="宋体" w:hAnsi="宋体" w:cs="宋体"/>
          <w:b/>
          <w:color w:val="auto"/>
          <w:sz w:val="28"/>
          <w:szCs w:val="28"/>
        </w:rPr>
      </w:pPr>
      <w:r>
        <w:rPr>
          <w:rFonts w:hint="eastAsia" w:ascii="宋体" w:hAnsi="宋体" w:cs="宋体"/>
          <w:b/>
          <w:color w:val="auto"/>
          <w:sz w:val="28"/>
          <w:szCs w:val="28"/>
        </w:rPr>
        <w:t>广西创和工程项目管理有限公司</w:t>
      </w:r>
    </w:p>
    <w:p>
      <w:pPr>
        <w:spacing w:line="440" w:lineRule="exact"/>
        <w:jc w:val="center"/>
        <w:rPr>
          <w:rFonts w:hint="eastAsia" w:ascii="宋体" w:hAnsi="宋体" w:cs="宋体"/>
          <w:color w:val="auto"/>
          <w:sz w:val="28"/>
          <w:szCs w:val="28"/>
        </w:rPr>
      </w:pPr>
      <w:r>
        <w:rPr>
          <w:rFonts w:hint="eastAsia" w:ascii="宋体" w:hAnsi="宋体" w:cs="宋体"/>
          <w:color w:val="auto"/>
          <w:sz w:val="28"/>
          <w:szCs w:val="28"/>
        </w:rPr>
        <w:t>北流市人民检察院新一代5G移动检务服务采购</w:t>
      </w:r>
    </w:p>
    <w:p>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rPr>
        <w:t>【项目编号：</w:t>
      </w:r>
      <w:r>
        <w:rPr>
          <w:rFonts w:hint="eastAsia" w:ascii="宋体" w:hAnsi="宋体" w:cs="宋体"/>
          <w:color w:val="auto"/>
          <w:sz w:val="28"/>
          <w:szCs w:val="28"/>
          <w:lang w:eastAsia="zh-CN"/>
        </w:rPr>
        <w:t>YLZC2020-C3-810301-GXCH</w:t>
      </w:r>
    </w:p>
    <w:p>
      <w:pPr>
        <w:spacing w:line="440" w:lineRule="exact"/>
        <w:jc w:val="center"/>
        <w:rPr>
          <w:rFonts w:ascii="宋体" w:hAnsi="宋体" w:cs="宋体"/>
          <w:color w:val="auto"/>
          <w:sz w:val="28"/>
          <w:szCs w:val="28"/>
        </w:rPr>
      </w:pPr>
      <w:r>
        <w:rPr>
          <w:rFonts w:hint="eastAsia" w:ascii="宋体" w:hAnsi="宋体" w:cs="宋体"/>
          <w:color w:val="auto"/>
          <w:sz w:val="28"/>
          <w:szCs w:val="28"/>
        </w:rPr>
        <w:t>（采购计划文号：</w:t>
      </w:r>
      <w:r>
        <w:rPr>
          <w:rFonts w:hint="eastAsia" w:ascii="宋体" w:hAnsi="宋体" w:cs="宋体"/>
          <w:color w:val="auto"/>
          <w:sz w:val="28"/>
          <w:szCs w:val="28"/>
          <w:lang w:eastAsia="zh-CN"/>
        </w:rPr>
        <w:t>YLZC2020-C3-83360-001</w:t>
      </w:r>
      <w:r>
        <w:rPr>
          <w:rFonts w:hint="eastAsia" w:ascii="宋体" w:hAnsi="宋体" w:cs="宋体"/>
          <w:color w:val="auto"/>
          <w:sz w:val="28"/>
          <w:szCs w:val="28"/>
        </w:rPr>
        <w:t>）</w:t>
      </w:r>
      <w:bookmarkStart w:id="0" w:name="_Toc113257796"/>
      <w:bookmarkStart w:id="1" w:name="_Toc113258055"/>
      <w:r>
        <w:rPr>
          <w:rFonts w:hint="eastAsia" w:ascii="宋体" w:hAnsi="宋体" w:cs="宋体"/>
          <w:color w:val="auto"/>
          <w:sz w:val="28"/>
          <w:szCs w:val="28"/>
        </w:rPr>
        <w:t>】</w:t>
      </w:r>
    </w:p>
    <w:p>
      <w:pPr>
        <w:spacing w:line="440" w:lineRule="exact"/>
        <w:jc w:val="center"/>
        <w:rPr>
          <w:rFonts w:ascii="宋体" w:hAnsi="宋体" w:cs="宋体"/>
          <w:color w:val="auto"/>
          <w:sz w:val="28"/>
          <w:szCs w:val="28"/>
        </w:rPr>
      </w:pPr>
      <w:r>
        <w:rPr>
          <w:rFonts w:hint="eastAsia" w:ascii="宋体" w:hAnsi="宋体" w:cs="宋体"/>
          <w:bCs/>
          <w:color w:val="auto"/>
          <w:sz w:val="28"/>
          <w:szCs w:val="28"/>
        </w:rPr>
        <w:t>竞争性磋商公告</w:t>
      </w:r>
    </w:p>
    <w:bookmarkEnd w:id="0"/>
    <w:bookmarkEnd w:id="1"/>
    <w:tbl>
      <w:tblPr>
        <w:tblStyle w:val="4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tcPr>
          <w:p>
            <w:pPr>
              <w:autoSpaceDE w:val="0"/>
              <w:spacing w:line="440" w:lineRule="exact"/>
              <w:rPr>
                <w:rFonts w:ascii="宋体" w:hAnsi="宋体" w:cs="宋体"/>
                <w:color w:val="auto"/>
                <w:szCs w:val="21"/>
              </w:rPr>
            </w:pPr>
            <w:r>
              <w:rPr>
                <w:rFonts w:hint="eastAsia" w:ascii="宋体" w:hAnsi="宋体" w:cs="宋体"/>
                <w:color w:val="auto"/>
              </w:rPr>
              <w:t>项目概况</w:t>
            </w:r>
          </w:p>
          <w:p>
            <w:pPr>
              <w:autoSpaceDE w:val="0"/>
              <w:spacing w:line="440" w:lineRule="exact"/>
              <w:ind w:firstLine="420" w:firstLineChars="200"/>
              <w:rPr>
                <w:rFonts w:ascii="宋体" w:hAnsi="宋体" w:cs="宋体"/>
                <w:color w:val="auto"/>
                <w:sz w:val="24"/>
              </w:rPr>
            </w:pPr>
            <w:r>
              <w:rPr>
                <w:rFonts w:hint="eastAsia" w:ascii="宋体" w:hAnsi="宋体" w:cs="宋体"/>
                <w:color w:val="auto"/>
              </w:rPr>
              <w:t>北流市人民检察院新一代5G移动检务服务采购项目的潜在磋商供应商应</w:t>
            </w:r>
            <w:r>
              <w:rPr>
                <w:rFonts w:hint="eastAsia" w:ascii="宋体" w:hAnsi="宋体" w:cs="宋体"/>
                <w:color w:val="auto"/>
                <w:u w:val="single"/>
              </w:rPr>
              <w:t>在</w:t>
            </w:r>
            <w:r>
              <w:rPr>
                <w:rFonts w:hint="eastAsia" w:ascii="宋体" w:hAnsi="宋体" w:cs="宋体"/>
                <w:bCs/>
                <w:color w:val="auto"/>
                <w:spacing w:val="-4"/>
                <w:u w:val="single"/>
              </w:rPr>
              <w:t>政采云平台（https://www.zcygov.cn/）</w:t>
            </w:r>
            <w:r>
              <w:rPr>
                <w:rFonts w:hint="eastAsia" w:ascii="宋体" w:hAnsi="宋体" w:cs="宋体"/>
                <w:color w:val="auto"/>
              </w:rPr>
              <w:t>获取竞争性磋商文件，并于</w:t>
            </w:r>
            <w:r>
              <w:rPr>
                <w:rFonts w:hint="eastAsia" w:ascii="宋体" w:hAnsi="宋体" w:cs="宋体"/>
                <w:color w:val="auto"/>
                <w:u w:val="single"/>
              </w:rPr>
              <w:t>2020年12月</w:t>
            </w:r>
            <w:r>
              <w:rPr>
                <w:rFonts w:hint="eastAsia" w:ascii="宋体" w:hAnsi="宋体" w:cs="宋体"/>
                <w:color w:val="auto"/>
                <w:u w:val="single"/>
                <w:lang w:val="en-US" w:eastAsia="zh-CN"/>
              </w:rPr>
              <w:t>11</w:t>
            </w:r>
            <w:r>
              <w:rPr>
                <w:rFonts w:hint="eastAsia" w:ascii="宋体" w:hAnsi="宋体" w:cs="宋体"/>
                <w:color w:val="auto"/>
                <w:u w:val="single"/>
              </w:rPr>
              <w:t>日北京时间9时30分</w:t>
            </w:r>
            <w:r>
              <w:rPr>
                <w:rFonts w:hint="eastAsia" w:ascii="宋体" w:hAnsi="宋体" w:cs="宋体"/>
                <w:color w:val="auto"/>
              </w:rPr>
              <w:t>前提交响应文件。</w:t>
            </w:r>
          </w:p>
        </w:tc>
      </w:tr>
    </w:tbl>
    <w:p>
      <w:pPr>
        <w:autoSpaceDE w:val="0"/>
        <w:spacing w:line="440" w:lineRule="exact"/>
        <w:rPr>
          <w:rFonts w:ascii="宋体" w:hAnsi="宋体" w:cs="宋体"/>
          <w:bCs/>
          <w:color w:val="auto"/>
          <w:szCs w:val="21"/>
        </w:rPr>
      </w:pPr>
      <w:r>
        <w:rPr>
          <w:rFonts w:hint="eastAsia" w:ascii="宋体" w:hAnsi="宋体" w:cs="宋体"/>
          <w:bCs/>
          <w:color w:val="auto"/>
        </w:rPr>
        <w:t>一、项目基本情况</w:t>
      </w:r>
    </w:p>
    <w:p>
      <w:pPr>
        <w:widowControl/>
        <w:autoSpaceDE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 xml:space="preserve">项目编号: </w:t>
      </w:r>
      <w:r>
        <w:rPr>
          <w:rFonts w:hint="eastAsia" w:ascii="宋体" w:hAnsi="宋体" w:cs="宋体"/>
          <w:color w:val="auto"/>
          <w:lang w:eastAsia="zh-CN"/>
        </w:rPr>
        <w:t>YLZC2020-C3-810301-GXCH</w:t>
      </w:r>
    </w:p>
    <w:p>
      <w:pPr>
        <w:widowControl/>
        <w:autoSpaceDE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采购计划文号：</w:t>
      </w:r>
      <w:r>
        <w:rPr>
          <w:rFonts w:hint="eastAsia" w:ascii="宋体" w:hAnsi="宋体" w:cs="宋体"/>
          <w:color w:val="auto"/>
          <w:lang w:eastAsia="zh-CN"/>
        </w:rPr>
        <w:t>YLZC2020-C3-83360-001</w:t>
      </w:r>
    </w:p>
    <w:p>
      <w:pPr>
        <w:widowControl/>
        <w:autoSpaceDE w:val="0"/>
        <w:spacing w:line="440" w:lineRule="exact"/>
        <w:ind w:firstLine="420" w:firstLineChars="200"/>
        <w:rPr>
          <w:rFonts w:ascii="宋体" w:hAnsi="宋体" w:cs="宋体"/>
          <w:bCs/>
          <w:color w:val="auto"/>
          <w:spacing w:val="-4"/>
        </w:rPr>
      </w:pPr>
      <w:r>
        <w:rPr>
          <w:rFonts w:hint="eastAsia" w:ascii="宋体" w:hAnsi="宋体" w:cs="宋体"/>
          <w:color w:val="auto"/>
        </w:rPr>
        <w:t>项目名称：</w:t>
      </w:r>
      <w:r>
        <w:rPr>
          <w:rFonts w:hint="eastAsia" w:ascii="宋体" w:hAnsi="宋体" w:cs="宋体"/>
          <w:bCs/>
          <w:color w:val="auto"/>
          <w:spacing w:val="-4"/>
        </w:rPr>
        <w:t>北流市人民检察院新一代5G移动检务服务采购</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采购方式：竞争性磋商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预算金额：人民币伍拾伍万伍仟柒佰玖拾贰元整（¥555792.00）</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最高限价：人民币伍拾伍万伍仟柒佰玖拾贰元整（¥555792.00）</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采购需求：</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650"/>
        <w:gridCol w:w="875"/>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序号</w:t>
            </w:r>
          </w:p>
        </w:tc>
        <w:tc>
          <w:tcPr>
            <w:tcW w:w="1650"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服务名称</w:t>
            </w:r>
          </w:p>
        </w:tc>
        <w:tc>
          <w:tcPr>
            <w:tcW w:w="875" w:type="dxa"/>
            <w:vAlign w:val="center"/>
          </w:tcPr>
          <w:p>
            <w:pPr>
              <w:pStyle w:val="39"/>
              <w:spacing w:line="315" w:lineRule="atLeast"/>
              <w:jc w:val="center"/>
              <w:rPr>
                <w:rFonts w:hint="default" w:cs="宋体"/>
                <w:color w:val="auto"/>
                <w:spacing w:val="2"/>
                <w:kern w:val="2"/>
                <w:sz w:val="21"/>
                <w:szCs w:val="21"/>
              </w:rPr>
            </w:pPr>
            <w:r>
              <w:rPr>
                <w:rFonts w:cs="宋体"/>
                <w:color w:val="auto"/>
                <w:spacing w:val="2"/>
                <w:kern w:val="2"/>
                <w:sz w:val="21"/>
                <w:szCs w:val="21"/>
              </w:rPr>
              <w:t>数量及单位</w:t>
            </w:r>
          </w:p>
        </w:tc>
        <w:tc>
          <w:tcPr>
            <w:tcW w:w="6862" w:type="dxa"/>
            <w:vAlign w:val="center"/>
          </w:tcPr>
          <w:p>
            <w:pPr>
              <w:pStyle w:val="39"/>
              <w:spacing w:line="315" w:lineRule="atLeast"/>
              <w:jc w:val="center"/>
              <w:rPr>
                <w:rFonts w:hint="default" w:cs="宋体"/>
                <w:color w:val="auto"/>
                <w:spacing w:val="2"/>
                <w:kern w:val="2"/>
                <w:sz w:val="21"/>
                <w:szCs w:val="21"/>
              </w:rPr>
            </w:pPr>
            <w:r>
              <w:rPr>
                <w:rFonts w:cs="宋体"/>
                <w:color w:val="auto"/>
                <w:spacing w:val="2"/>
                <w:kern w:val="2"/>
                <w:sz w:val="21"/>
                <w:szCs w:val="21"/>
              </w:rPr>
              <w:t>服务内容和技术参数及性能、配置要求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1</w:t>
            </w:r>
          </w:p>
        </w:tc>
        <w:tc>
          <w:tcPr>
            <w:tcW w:w="1650" w:type="dxa"/>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rPr>
              <w:t>北流市人民检察院新一代5G移动检务服务采购</w:t>
            </w:r>
          </w:p>
        </w:tc>
        <w:tc>
          <w:tcPr>
            <w:tcW w:w="875" w:type="dxa"/>
            <w:vAlign w:val="center"/>
          </w:tcPr>
          <w:p>
            <w:pPr>
              <w:widowControl/>
              <w:autoSpaceDE w:val="0"/>
              <w:spacing w:line="440" w:lineRule="exact"/>
              <w:jc w:val="center"/>
              <w:rPr>
                <w:rFonts w:ascii="宋体" w:hAnsi="宋体" w:cs="宋体"/>
                <w:color w:val="auto"/>
                <w:spacing w:val="2"/>
                <w:szCs w:val="21"/>
              </w:rPr>
            </w:pPr>
            <w:r>
              <w:rPr>
                <w:rFonts w:hint="eastAsia" w:ascii="宋体" w:hAnsi="宋体" w:cs="宋体"/>
                <w:color w:val="auto"/>
                <w:spacing w:val="2"/>
                <w:szCs w:val="21"/>
              </w:rPr>
              <w:t>1项</w:t>
            </w:r>
          </w:p>
        </w:tc>
        <w:tc>
          <w:tcPr>
            <w:tcW w:w="6862" w:type="dxa"/>
          </w:tcPr>
          <w:p>
            <w:pPr>
              <w:widowControl/>
              <w:autoSpaceDE w:val="0"/>
              <w:spacing w:line="440" w:lineRule="exact"/>
              <w:jc w:val="left"/>
              <w:rPr>
                <w:rFonts w:ascii="宋体" w:hAnsi="宋体" w:cs="宋体"/>
                <w:color w:val="auto"/>
                <w:spacing w:val="2"/>
                <w:szCs w:val="21"/>
              </w:rPr>
            </w:pPr>
            <w:r>
              <w:rPr>
                <w:rFonts w:hint="eastAsia" w:ascii="宋体" w:hAnsi="宋体" w:cs="宋体"/>
                <w:color w:val="auto"/>
                <w:spacing w:val="2"/>
                <w:szCs w:val="21"/>
              </w:rPr>
              <w:t>为北流市人民检察院单位的办公、作业等事务性工作提供的新一代5G移动安全解决方案，提供定制化的移动检务服务，保障北流市人民检察院办日常正常办公需求，供应商需按照采购人要求，为北流市人民检察院提供不少于92人24个月的新一代5G移动检务服务</w:t>
            </w:r>
          </w:p>
        </w:tc>
      </w:tr>
    </w:tbl>
    <w:p>
      <w:pPr>
        <w:widowControl/>
        <w:autoSpaceDE w:val="0"/>
        <w:spacing w:line="440" w:lineRule="exact"/>
        <w:ind w:firstLine="428" w:firstLineChars="200"/>
        <w:jc w:val="left"/>
        <w:rPr>
          <w:rFonts w:ascii="宋体" w:hAnsi="宋体" w:cs="宋体"/>
          <w:color w:val="auto"/>
          <w:spacing w:val="2"/>
          <w:szCs w:val="21"/>
        </w:rPr>
      </w:pPr>
      <w:r>
        <w:rPr>
          <w:rFonts w:hint="eastAsia" w:ascii="宋体" w:hAnsi="宋体" w:cs="宋体"/>
          <w:color w:val="auto"/>
          <w:spacing w:val="2"/>
          <w:szCs w:val="21"/>
        </w:rPr>
        <w:t>如需进一步了解详细内容，详见竞争性磋商文件。</w:t>
      </w:r>
    </w:p>
    <w:p>
      <w:pPr>
        <w:widowControl/>
        <w:autoSpaceDE w:val="0"/>
        <w:spacing w:line="440" w:lineRule="exact"/>
        <w:ind w:firstLine="420" w:firstLineChars="200"/>
        <w:jc w:val="left"/>
        <w:rPr>
          <w:rFonts w:ascii="宋体" w:hAnsi="宋体" w:cs="宋体"/>
          <w:color w:val="auto"/>
        </w:rPr>
      </w:pPr>
      <w:r>
        <w:rPr>
          <w:rFonts w:hint="eastAsia" w:ascii="宋体" w:hAnsi="宋体" w:cs="宋体"/>
          <w:color w:val="auto"/>
        </w:rPr>
        <w:t>合同履行期限：从签定合同之日起60天内交付使用。</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本项目不接受联合体磋商。</w:t>
      </w:r>
    </w:p>
    <w:p>
      <w:pPr>
        <w:widowControl/>
        <w:autoSpaceDE w:val="0"/>
        <w:spacing w:line="440" w:lineRule="exact"/>
        <w:rPr>
          <w:rFonts w:ascii="宋体" w:hAnsi="宋体" w:cs="宋体"/>
          <w:b/>
          <w:bCs/>
          <w:color w:val="auto"/>
        </w:rPr>
      </w:pPr>
      <w:r>
        <w:rPr>
          <w:rFonts w:hint="eastAsia" w:ascii="宋体" w:hAnsi="宋体" w:cs="宋体"/>
          <w:b/>
          <w:bCs/>
          <w:color w:val="auto"/>
        </w:rPr>
        <w:t>二、申请人的资格要求：</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2.落实政府采购政策需满足的资格要求：无</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3.本项目的特定资格要求：国内注册（指按国家有关规定要求注册的）具有独立法人资格，并在人员、设备、资金等方面具有相应服务能力的供应商；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autoSpaceDE w:val="0"/>
        <w:spacing w:line="440" w:lineRule="exact"/>
        <w:rPr>
          <w:rFonts w:ascii="宋体" w:hAnsi="宋体" w:cs="宋体"/>
          <w:b/>
          <w:bCs/>
          <w:color w:val="auto"/>
        </w:rPr>
      </w:pPr>
      <w:r>
        <w:rPr>
          <w:rFonts w:hint="eastAsia" w:ascii="宋体" w:hAnsi="宋体" w:cs="宋体"/>
          <w:b/>
          <w:bCs/>
          <w:color w:val="auto"/>
        </w:rPr>
        <w:t>三、获取竞争性磋商文件</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1.获取时间：2020年11月</w:t>
      </w:r>
      <w:r>
        <w:rPr>
          <w:rFonts w:hint="eastAsia" w:ascii="宋体" w:hAnsi="宋体" w:cs="宋体"/>
          <w:color w:val="auto"/>
          <w:szCs w:val="21"/>
          <w:lang w:val="en-US" w:eastAsia="zh-CN"/>
        </w:rPr>
        <w:t>30</w:t>
      </w:r>
      <w:r>
        <w:rPr>
          <w:rFonts w:hint="eastAsia" w:ascii="宋体" w:hAnsi="宋体" w:cs="宋体"/>
          <w:color w:val="auto"/>
          <w:szCs w:val="21"/>
        </w:rPr>
        <w:t>日发布公告之时起至2020年12月</w:t>
      </w:r>
      <w:r>
        <w:rPr>
          <w:rFonts w:hint="eastAsia" w:ascii="宋体" w:hAnsi="宋体" w:cs="宋体"/>
          <w:color w:val="auto"/>
          <w:szCs w:val="21"/>
          <w:lang w:val="en-US" w:eastAsia="zh-CN"/>
        </w:rPr>
        <w:t>7</w:t>
      </w:r>
      <w:bookmarkStart w:id="138" w:name="_GoBack"/>
      <w:bookmarkEnd w:id="138"/>
      <w:r>
        <w:rPr>
          <w:rFonts w:hint="eastAsia" w:ascii="宋体" w:hAnsi="宋体" w:cs="宋体"/>
          <w:color w:val="auto"/>
          <w:szCs w:val="21"/>
        </w:rPr>
        <w:t>日北京时间18:00止（北京时间，法定节假日除外）</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2.地点：登录政采云平台（https://www.zcygov.cn/）免费下载</w:t>
      </w:r>
    </w:p>
    <w:p>
      <w:pPr>
        <w:spacing w:line="440" w:lineRule="exact"/>
        <w:ind w:firstLine="420" w:firstLineChars="200"/>
        <w:rPr>
          <w:rFonts w:ascii="宋体" w:hAnsi="宋体" w:cs="宋体"/>
          <w:color w:val="auto"/>
          <w:spacing w:val="-6"/>
          <w:szCs w:val="21"/>
        </w:rPr>
      </w:pPr>
      <w:r>
        <w:rPr>
          <w:rFonts w:hint="eastAsia" w:ascii="宋体" w:hAnsi="宋体" w:cs="宋体"/>
          <w:color w:val="auto"/>
          <w:szCs w:val="21"/>
        </w:rPr>
        <w:t>3.获取方式：潜在磋商供应商均可于2020年11月</w:t>
      </w:r>
      <w:r>
        <w:rPr>
          <w:rFonts w:hint="eastAsia" w:ascii="宋体" w:hAnsi="宋体" w:cs="宋体"/>
          <w:color w:val="auto"/>
          <w:szCs w:val="21"/>
          <w:lang w:val="en-US" w:eastAsia="zh-CN"/>
        </w:rPr>
        <w:t>30</w:t>
      </w:r>
      <w:r>
        <w:rPr>
          <w:rFonts w:hint="eastAsia" w:ascii="宋体" w:hAnsi="宋体" w:cs="宋体"/>
          <w:color w:val="auto"/>
          <w:szCs w:val="21"/>
        </w:rPr>
        <w:t>日发布公告之时起至2020年12月</w:t>
      </w:r>
      <w:r>
        <w:rPr>
          <w:rFonts w:hint="eastAsia" w:ascii="宋体" w:hAnsi="宋体" w:cs="宋体"/>
          <w:color w:val="auto"/>
          <w:szCs w:val="21"/>
          <w:lang w:val="en-US" w:eastAsia="zh-CN"/>
        </w:rPr>
        <w:t>7</w:t>
      </w:r>
      <w:r>
        <w:rPr>
          <w:rFonts w:hint="eastAsia" w:ascii="宋体" w:hAnsi="宋体" w:cs="宋体"/>
          <w:color w:val="auto"/>
          <w:szCs w:val="21"/>
        </w:rPr>
        <w:t>日北京时间18:00止（逾期下载磋商无效）须登录政采云平台（https://www.zcygov.cn/）在线办理报名并自行下载竞争性磋商文件；未注册的供应商可在政采云平台完成注册后再进行报名再下载。如在操作过程中遇到问题或需技术支持，请致电政采云客服热线：400-881-7190。</w:t>
      </w:r>
    </w:p>
    <w:p>
      <w:pPr>
        <w:widowControl/>
        <w:autoSpaceDE w:val="0"/>
        <w:spacing w:line="440" w:lineRule="exact"/>
        <w:rPr>
          <w:rFonts w:ascii="宋体" w:hAnsi="宋体" w:cs="宋体"/>
          <w:b/>
          <w:bCs/>
          <w:color w:val="auto"/>
        </w:rPr>
      </w:pPr>
      <w:r>
        <w:rPr>
          <w:rFonts w:hint="eastAsia" w:ascii="宋体" w:hAnsi="宋体" w:cs="宋体"/>
          <w:b/>
          <w:bCs/>
          <w:color w:val="auto"/>
        </w:rPr>
        <w:t>四、响应文件提交</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截止时间：2020年12月</w:t>
      </w:r>
      <w:r>
        <w:rPr>
          <w:rFonts w:hint="eastAsia" w:ascii="宋体" w:hAnsi="宋体" w:cs="宋体"/>
          <w:color w:val="auto"/>
          <w:lang w:val="en-US" w:eastAsia="zh-CN"/>
        </w:rPr>
        <w:t>11</w:t>
      </w:r>
      <w:r>
        <w:rPr>
          <w:rFonts w:hint="eastAsia" w:ascii="宋体" w:hAnsi="宋体" w:cs="宋体"/>
          <w:color w:val="auto"/>
        </w:rPr>
        <w:t>日北京时间</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分，逾期送达的将予以拒收。</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地点：北流市公共资源交易中心（北流市城南客运站三楼）。</w:t>
      </w:r>
    </w:p>
    <w:p>
      <w:pPr>
        <w:widowControl/>
        <w:autoSpaceDE w:val="0"/>
        <w:spacing w:line="440" w:lineRule="exact"/>
        <w:rPr>
          <w:rFonts w:ascii="宋体" w:hAnsi="宋体" w:cs="宋体"/>
          <w:b/>
          <w:bCs/>
          <w:color w:val="auto"/>
        </w:rPr>
      </w:pPr>
      <w:r>
        <w:rPr>
          <w:rFonts w:hint="eastAsia" w:ascii="宋体" w:hAnsi="宋体" w:cs="宋体"/>
          <w:b/>
          <w:bCs/>
          <w:color w:val="auto"/>
        </w:rPr>
        <w:t>五、开启</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时间：2020年12月</w:t>
      </w:r>
      <w:r>
        <w:rPr>
          <w:rFonts w:hint="eastAsia" w:ascii="宋体" w:hAnsi="宋体" w:cs="宋体"/>
          <w:color w:val="auto"/>
          <w:lang w:val="en-US" w:eastAsia="zh-CN"/>
        </w:rPr>
        <w:t>11</w:t>
      </w:r>
      <w:r>
        <w:rPr>
          <w:rFonts w:hint="eastAsia" w:ascii="宋体" w:hAnsi="宋体" w:cs="宋体"/>
          <w:color w:val="auto"/>
        </w:rPr>
        <w:t>日北京时间</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地点：北流市公共资源交易中心（北流市城南客运站三楼）。</w:t>
      </w:r>
    </w:p>
    <w:p>
      <w:pPr>
        <w:widowControl/>
        <w:autoSpaceDE w:val="0"/>
        <w:spacing w:line="440" w:lineRule="exact"/>
        <w:rPr>
          <w:rFonts w:ascii="宋体" w:hAnsi="宋体" w:cs="宋体"/>
          <w:b/>
          <w:bCs/>
          <w:color w:val="auto"/>
        </w:rPr>
      </w:pPr>
      <w:r>
        <w:rPr>
          <w:rFonts w:hint="eastAsia" w:ascii="宋体" w:hAnsi="宋体" w:cs="宋体"/>
          <w:b/>
          <w:bCs/>
          <w:color w:val="auto"/>
        </w:rPr>
        <w:t>六、公告期限</w:t>
      </w:r>
    </w:p>
    <w:p>
      <w:pPr>
        <w:widowControl/>
        <w:autoSpaceDE w:val="0"/>
        <w:spacing w:line="440" w:lineRule="exact"/>
        <w:ind w:firstLine="420" w:firstLineChars="200"/>
        <w:rPr>
          <w:rFonts w:ascii="宋体" w:hAnsi="宋体" w:cs="宋体"/>
          <w:color w:val="auto"/>
        </w:rPr>
      </w:pPr>
      <w:r>
        <w:rPr>
          <w:rFonts w:hint="eastAsia" w:ascii="宋体" w:hAnsi="宋体" w:cs="宋体"/>
          <w:color w:val="auto"/>
        </w:rPr>
        <w:t>自本公告发布之日起5个工作日。</w:t>
      </w:r>
    </w:p>
    <w:p>
      <w:pPr>
        <w:widowControl/>
        <w:autoSpaceDE w:val="0"/>
        <w:spacing w:line="440" w:lineRule="exact"/>
        <w:rPr>
          <w:rFonts w:ascii="宋体" w:hAnsi="宋体" w:cs="宋体"/>
          <w:b/>
          <w:bCs/>
          <w:color w:val="auto"/>
        </w:rPr>
      </w:pPr>
      <w:r>
        <w:rPr>
          <w:rFonts w:hint="eastAsia" w:ascii="宋体" w:hAnsi="宋体" w:cs="宋体"/>
          <w:b/>
          <w:bCs/>
          <w:color w:val="auto"/>
        </w:rPr>
        <w:t>七、其他补充事宜</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1.网上公告查询：中国政府采购网(www.ccgp.gov.cn)、广西壮族自治区政府采购网（http://zfcg.gxzf.gov.cn）；</w:t>
      </w:r>
    </w:p>
    <w:p>
      <w:pPr>
        <w:widowControl/>
        <w:autoSpaceDE w:val="0"/>
        <w:spacing w:line="440" w:lineRule="exact"/>
        <w:ind w:firstLine="420" w:firstLineChars="200"/>
        <w:rPr>
          <w:rFonts w:ascii="宋体" w:hAnsi="宋体" w:cs="宋体"/>
          <w:color w:val="auto"/>
        </w:rPr>
      </w:pPr>
      <w:r>
        <w:rPr>
          <w:rFonts w:hint="eastAsia" w:ascii="宋体" w:hAnsi="宋体" w:cs="宋体"/>
          <w:color w:val="auto"/>
          <w:szCs w:val="21"/>
        </w:rPr>
        <w:t>2.磋商保证金：无</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3.本项目需要落实的政府采购政策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（1）政府采购促进中小企业发展。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（2）政府采购支持采用本国产品的政策。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（3）强制采购节能产品：优先采购节能产品、环境标志产品。</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（4）政府采购促进残疾人就业政策。</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（5）政府采购支持监狱企业发展。</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4.本项目不接受未在政采云系统报名的磋商供应商磋商。</w:t>
      </w:r>
    </w:p>
    <w:p>
      <w:pPr>
        <w:widowControl/>
        <w:autoSpaceDE w:val="0"/>
        <w:spacing w:line="440" w:lineRule="exact"/>
        <w:rPr>
          <w:rFonts w:ascii="宋体" w:hAnsi="宋体" w:cs="宋体"/>
          <w:b/>
          <w:bCs/>
          <w:color w:val="auto"/>
          <w:szCs w:val="21"/>
        </w:rPr>
      </w:pPr>
      <w:r>
        <w:rPr>
          <w:rFonts w:hint="eastAsia" w:ascii="宋体" w:hAnsi="宋体" w:cs="宋体"/>
          <w:b/>
          <w:bCs/>
          <w:color w:val="auto"/>
          <w:szCs w:val="21"/>
        </w:rPr>
        <w:t>八、凡对本次采购提出询问，请按以下方式联系。</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1.采购人信息</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名称：北流市人民检察院</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地址：北流市丰顺路29号</w:t>
      </w:r>
    </w:p>
    <w:p>
      <w:pPr>
        <w:widowControl/>
        <w:autoSpaceDE w:val="0"/>
        <w:spacing w:line="44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联系方式：</w:t>
      </w:r>
      <w:r>
        <w:rPr>
          <w:rFonts w:hint="eastAsia" w:ascii="宋体" w:hAnsi="宋体" w:cs="宋体"/>
          <w:color w:val="auto"/>
          <w:szCs w:val="21"/>
          <w:lang w:val="en-US" w:eastAsia="zh-CN"/>
        </w:rPr>
        <w:t>0775-6333280</w:t>
      </w:r>
    </w:p>
    <w:p>
      <w:pPr>
        <w:widowControl/>
        <w:autoSpaceDE w:val="0"/>
        <w:spacing w:line="440" w:lineRule="exact"/>
        <w:ind w:firstLine="630" w:firstLineChars="300"/>
        <w:rPr>
          <w:rFonts w:hint="eastAsia"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eastAsia="zh-CN"/>
        </w:rPr>
        <w:t>何羿良</w:t>
      </w:r>
    </w:p>
    <w:p>
      <w:pPr>
        <w:widowControl/>
        <w:autoSpaceDE w:val="0"/>
        <w:spacing w:line="440" w:lineRule="exact"/>
        <w:ind w:firstLine="420" w:firstLineChars="200"/>
        <w:rPr>
          <w:rFonts w:ascii="宋体" w:hAnsi="宋体" w:cs="宋体"/>
          <w:color w:val="auto"/>
          <w:szCs w:val="21"/>
        </w:rPr>
      </w:pPr>
      <w:r>
        <w:rPr>
          <w:rFonts w:hint="eastAsia" w:ascii="宋体" w:hAnsi="宋体" w:cs="宋体"/>
          <w:color w:val="auto"/>
          <w:szCs w:val="21"/>
        </w:rPr>
        <w:t>2.采购代理机构信息</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名称：广西创和工程项目管理有限公司</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地址：玉林市广场东路230号</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联系方式：0775-2332720</w:t>
      </w:r>
    </w:p>
    <w:p>
      <w:pPr>
        <w:widowControl/>
        <w:autoSpaceDE w:val="0"/>
        <w:spacing w:line="440" w:lineRule="exact"/>
        <w:ind w:firstLine="630" w:firstLineChars="300"/>
        <w:rPr>
          <w:rFonts w:ascii="宋体" w:hAnsi="宋体" w:cs="宋体"/>
          <w:color w:val="auto"/>
          <w:szCs w:val="21"/>
        </w:rPr>
      </w:pPr>
      <w:r>
        <w:rPr>
          <w:rFonts w:hint="eastAsia" w:ascii="宋体" w:hAnsi="宋体" w:cs="宋体"/>
          <w:color w:val="auto"/>
          <w:szCs w:val="21"/>
        </w:rPr>
        <w:t>联系人：黎小林</w:t>
      </w:r>
    </w:p>
    <w:p>
      <w:pPr>
        <w:pStyle w:val="20"/>
        <w:spacing w:line="440" w:lineRule="exact"/>
        <w:ind w:firstLine="420" w:firstLineChars="200"/>
        <w:jc w:val="left"/>
        <w:rPr>
          <w:rFonts w:ascii="宋体" w:hAnsi="宋体" w:cs="宋体"/>
          <w:color w:val="auto"/>
          <w:szCs w:val="21"/>
        </w:rPr>
      </w:pPr>
      <w:r>
        <w:rPr>
          <w:rFonts w:hint="eastAsia" w:ascii="宋体" w:hAnsi="宋体" w:cs="宋体"/>
          <w:color w:val="auto"/>
          <w:szCs w:val="21"/>
        </w:rPr>
        <w:t>3.项目联系方式</w:t>
      </w:r>
    </w:p>
    <w:p>
      <w:pPr>
        <w:pStyle w:val="20"/>
        <w:spacing w:line="440" w:lineRule="exact"/>
        <w:ind w:firstLine="630" w:firstLineChars="300"/>
        <w:jc w:val="left"/>
        <w:rPr>
          <w:rFonts w:ascii="宋体" w:hAnsi="宋体" w:cs="宋体"/>
          <w:color w:val="auto"/>
          <w:szCs w:val="21"/>
        </w:rPr>
      </w:pPr>
      <w:r>
        <w:rPr>
          <w:rFonts w:hint="eastAsia" w:ascii="宋体" w:hAnsi="宋体" w:cs="宋体"/>
          <w:color w:val="auto"/>
          <w:szCs w:val="21"/>
        </w:rPr>
        <w:t xml:space="preserve">项目联系人：黎小林      </w:t>
      </w:r>
    </w:p>
    <w:p>
      <w:pPr>
        <w:pStyle w:val="20"/>
        <w:spacing w:line="440" w:lineRule="exact"/>
        <w:ind w:firstLine="630" w:firstLineChars="300"/>
        <w:jc w:val="left"/>
        <w:rPr>
          <w:rFonts w:ascii="宋体" w:hAnsi="宋体" w:cs="宋体"/>
          <w:color w:val="auto"/>
          <w:szCs w:val="21"/>
        </w:rPr>
      </w:pPr>
      <w:r>
        <w:rPr>
          <w:rFonts w:hint="eastAsia" w:ascii="宋体" w:hAnsi="宋体" w:cs="宋体"/>
          <w:color w:val="auto"/>
          <w:szCs w:val="21"/>
        </w:rPr>
        <w:t>电话：0775-2332720</w:t>
      </w:r>
    </w:p>
    <w:p>
      <w:pPr>
        <w:spacing w:line="440" w:lineRule="exact"/>
        <w:ind w:firstLine="420" w:firstLineChars="200"/>
        <w:rPr>
          <w:rFonts w:ascii="宋体" w:hAnsi="宋体" w:cs="宋体"/>
          <w:color w:val="auto"/>
          <w:szCs w:val="21"/>
        </w:rPr>
      </w:pPr>
      <w:r>
        <w:rPr>
          <w:rFonts w:hint="eastAsia" w:ascii="宋体" w:hAnsi="宋体" w:cs="宋体"/>
          <w:color w:val="auto"/>
          <w:szCs w:val="21"/>
        </w:rPr>
        <w:t>4.监督管理部门</w:t>
      </w:r>
    </w:p>
    <w:p>
      <w:pPr>
        <w:spacing w:line="440" w:lineRule="exact"/>
        <w:ind w:firstLine="420" w:firstLineChars="200"/>
        <w:rPr>
          <w:rFonts w:ascii="宋体" w:hAnsi="宋体" w:cs="宋体"/>
          <w:color w:val="auto"/>
          <w:szCs w:val="21"/>
        </w:rPr>
      </w:pPr>
      <w:r>
        <w:rPr>
          <w:rFonts w:hint="eastAsia" w:ascii="宋体" w:hAnsi="宋体" w:cs="宋体"/>
          <w:color w:val="auto"/>
          <w:szCs w:val="21"/>
        </w:rPr>
        <w:t>名  称：北流市财政局         电  话：0775-6235685</w:t>
      </w:r>
    </w:p>
    <w:p>
      <w:pPr>
        <w:rPr>
          <w:rFonts w:ascii="宋体" w:hAnsi="宋体" w:cs="宋体"/>
          <w:color w:val="auto"/>
        </w:rPr>
      </w:pPr>
    </w:p>
    <w:p>
      <w:pPr>
        <w:pStyle w:val="20"/>
        <w:spacing w:line="440" w:lineRule="exact"/>
        <w:ind w:firstLine="420" w:firstLineChars="200"/>
        <w:jc w:val="left"/>
        <w:rPr>
          <w:rFonts w:ascii="宋体" w:hAnsi="宋体" w:cs="宋体"/>
          <w:color w:val="auto"/>
          <w:szCs w:val="21"/>
        </w:rPr>
      </w:pPr>
    </w:p>
    <w:p>
      <w:pPr>
        <w:widowControl/>
        <w:autoSpaceDE w:val="0"/>
        <w:spacing w:line="440" w:lineRule="exact"/>
        <w:ind w:firstLine="420" w:firstLineChars="200"/>
        <w:jc w:val="right"/>
        <w:rPr>
          <w:rFonts w:ascii="宋体" w:hAnsi="宋体" w:cs="宋体"/>
          <w:color w:val="auto"/>
          <w:szCs w:val="21"/>
        </w:rPr>
      </w:pPr>
      <w:r>
        <w:rPr>
          <w:rFonts w:hint="eastAsia" w:ascii="宋体" w:hAnsi="宋体" w:cs="宋体"/>
          <w:color w:val="auto"/>
          <w:szCs w:val="21"/>
        </w:rPr>
        <w:t>广西创和工程项目管理有限公司</w:t>
      </w:r>
    </w:p>
    <w:p>
      <w:pPr>
        <w:widowControl/>
        <w:autoSpaceDE w:val="0"/>
        <w:spacing w:line="440" w:lineRule="exact"/>
        <w:ind w:firstLine="420" w:firstLineChars="200"/>
        <w:jc w:val="right"/>
        <w:rPr>
          <w:rFonts w:ascii="宋体" w:hAnsi="宋体" w:cs="宋体"/>
          <w:color w:val="auto"/>
          <w:kern w:val="0"/>
          <w:szCs w:val="21"/>
        </w:rPr>
      </w:pPr>
      <w:r>
        <w:rPr>
          <w:rFonts w:hint="eastAsia" w:ascii="宋体" w:hAnsi="宋体" w:cs="宋体"/>
          <w:color w:val="auto"/>
          <w:szCs w:val="21"/>
        </w:rPr>
        <w:t xml:space="preserve"> 2020年11 月</w:t>
      </w:r>
      <w:r>
        <w:rPr>
          <w:rFonts w:hint="eastAsia" w:ascii="宋体" w:hAnsi="宋体" w:cs="宋体"/>
          <w:color w:val="auto"/>
          <w:szCs w:val="21"/>
          <w:lang w:val="en-US" w:eastAsia="zh-CN"/>
        </w:rPr>
        <w:t>30</w:t>
      </w:r>
      <w:r>
        <w:rPr>
          <w:rFonts w:hint="eastAsia" w:ascii="宋体" w:hAnsi="宋体" w:cs="宋体"/>
          <w:color w:val="auto"/>
          <w:szCs w:val="21"/>
        </w:rPr>
        <w:t>日</w:t>
      </w:r>
    </w:p>
    <w:p>
      <w:pPr>
        <w:rPr>
          <w:rFonts w:ascii="宋体" w:hAnsi="宋体" w:cs="宋体"/>
          <w:color w:val="auto"/>
          <w:kern w:val="0"/>
          <w:sz w:val="24"/>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ind w:firstLine="308" w:firstLineChars="147"/>
        <w:jc w:val="center"/>
        <w:rPr>
          <w:bCs/>
          <w:color w:val="auto"/>
        </w:rPr>
      </w:pPr>
    </w:p>
    <w:p>
      <w:pPr>
        <w:pStyle w:val="24"/>
        <w:tabs>
          <w:tab w:val="left" w:pos="455"/>
        </w:tabs>
        <w:spacing w:line="420" w:lineRule="exact"/>
        <w:rPr>
          <w:bCs/>
          <w:color w:val="auto"/>
        </w:rPr>
      </w:pPr>
    </w:p>
    <w:p>
      <w:pPr>
        <w:pStyle w:val="24"/>
        <w:tabs>
          <w:tab w:val="left" w:pos="455"/>
        </w:tabs>
        <w:spacing w:line="420" w:lineRule="exact"/>
        <w:ind w:firstLine="308" w:firstLineChars="147"/>
        <w:jc w:val="center"/>
        <w:rPr>
          <w:bCs/>
          <w:color w:val="auto"/>
        </w:rPr>
      </w:pPr>
    </w:p>
    <w:p>
      <w:pPr>
        <w:pStyle w:val="24"/>
        <w:tabs>
          <w:tab w:val="left" w:pos="455"/>
          <w:tab w:val="center" w:pos="5197"/>
          <w:tab w:val="left" w:pos="7811"/>
        </w:tabs>
        <w:spacing w:line="420" w:lineRule="exact"/>
        <w:ind w:firstLine="529" w:firstLineChars="147"/>
        <w:jc w:val="center"/>
        <w:rPr>
          <w:color w:val="auto"/>
          <w:sz w:val="36"/>
        </w:rPr>
      </w:pPr>
      <w:r>
        <w:rPr>
          <w:color w:val="auto"/>
          <w:sz w:val="36"/>
          <w:lang w:val="zh-CN"/>
        </w:rPr>
        <w:t>目录</w:t>
      </w:r>
    </w:p>
    <w:p>
      <w:pPr>
        <w:pStyle w:val="31"/>
        <w:tabs>
          <w:tab w:val="right" w:leader="dot" w:pos="9288"/>
        </w:tabs>
        <w:rPr>
          <w:color w:val="auto"/>
          <w:sz w:val="21"/>
          <w:szCs w:val="22"/>
        </w:rPr>
      </w:pPr>
      <w:r>
        <w:rPr>
          <w:rFonts w:ascii="宋体" w:hAnsi="宋体"/>
          <w:b w:val="0"/>
          <w:color w:val="auto"/>
          <w:sz w:val="24"/>
          <w:szCs w:val="24"/>
        </w:rPr>
        <w:fldChar w:fldCharType="begin"/>
      </w:r>
      <w:r>
        <w:rPr>
          <w:rFonts w:ascii="宋体" w:hAnsi="宋体"/>
          <w:b w:val="0"/>
          <w:color w:val="auto"/>
          <w:sz w:val="24"/>
          <w:szCs w:val="24"/>
        </w:rPr>
        <w:instrText xml:space="preserve"> TOC \o "1-3" \h \z \u </w:instrText>
      </w:r>
      <w:r>
        <w:rPr>
          <w:rFonts w:ascii="宋体" w:hAnsi="宋体"/>
          <w:b w:val="0"/>
          <w:color w:val="auto"/>
          <w:sz w:val="24"/>
          <w:szCs w:val="24"/>
        </w:rPr>
        <w:fldChar w:fldCharType="separate"/>
      </w:r>
      <w:r>
        <w:rPr>
          <w:color w:val="auto"/>
        </w:rPr>
        <w:fldChar w:fldCharType="begin"/>
      </w:r>
      <w:r>
        <w:rPr>
          <w:color w:val="auto"/>
        </w:rPr>
        <w:instrText xml:space="preserve"> HYPERLINK \l "_Toc8583176" </w:instrText>
      </w:r>
      <w:r>
        <w:rPr>
          <w:color w:val="auto"/>
        </w:rPr>
        <w:fldChar w:fldCharType="separate"/>
      </w:r>
      <w:r>
        <w:rPr>
          <w:rStyle w:val="51"/>
          <w:rFonts w:hint="eastAsia"/>
          <w:color w:val="auto"/>
          <w:kern w:val="44"/>
        </w:rPr>
        <w:t>第一章 竞标供应商须知及前附表</w:t>
      </w:r>
      <w:r>
        <w:rPr>
          <w:color w:val="auto"/>
        </w:rPr>
        <w:tab/>
      </w:r>
      <w:r>
        <w:rPr>
          <w:color w:val="auto"/>
        </w:rPr>
        <w:fldChar w:fldCharType="begin"/>
      </w:r>
      <w:r>
        <w:rPr>
          <w:color w:val="auto"/>
        </w:rPr>
        <w:instrText xml:space="preserve"> PAGEREF _Toc8583176 \h </w:instrText>
      </w:r>
      <w:r>
        <w:rPr>
          <w:color w:val="auto"/>
        </w:rPr>
        <w:fldChar w:fldCharType="separate"/>
      </w:r>
      <w:r>
        <w:rPr>
          <w:color w:val="auto"/>
        </w:rPr>
        <w:t>5</w:t>
      </w:r>
      <w:r>
        <w:rPr>
          <w:color w:val="auto"/>
        </w:rPr>
        <w:fldChar w:fldCharType="end"/>
      </w:r>
      <w:r>
        <w:rPr>
          <w:color w:val="auto"/>
        </w:rPr>
        <w:fldChar w:fldCharType="end"/>
      </w:r>
    </w:p>
    <w:p>
      <w:pPr>
        <w:pStyle w:val="31"/>
        <w:tabs>
          <w:tab w:val="right" w:leader="dot" w:pos="9288"/>
        </w:tabs>
        <w:rPr>
          <w:b w:val="0"/>
          <w:bCs w:val="0"/>
          <w:caps w:val="0"/>
          <w:color w:val="auto"/>
          <w:sz w:val="21"/>
          <w:szCs w:val="22"/>
        </w:rPr>
      </w:pPr>
      <w:r>
        <w:rPr>
          <w:color w:val="auto"/>
        </w:rPr>
        <w:fldChar w:fldCharType="begin"/>
      </w:r>
      <w:r>
        <w:rPr>
          <w:color w:val="auto"/>
        </w:rPr>
        <w:instrText xml:space="preserve"> HYPERLINK \l "_Toc8583186" </w:instrText>
      </w:r>
      <w:r>
        <w:rPr>
          <w:color w:val="auto"/>
        </w:rPr>
        <w:fldChar w:fldCharType="separate"/>
      </w:r>
      <w:r>
        <w:rPr>
          <w:rStyle w:val="51"/>
          <w:rFonts w:hint="eastAsia"/>
          <w:color w:val="auto"/>
          <w:kern w:val="44"/>
        </w:rPr>
        <w:t>第二章 项目需求及要求</w:t>
      </w:r>
      <w:r>
        <w:rPr>
          <w:color w:val="auto"/>
        </w:rPr>
        <w:tab/>
      </w:r>
      <w:r>
        <w:rPr>
          <w:color w:val="auto"/>
        </w:rPr>
        <w:fldChar w:fldCharType="begin"/>
      </w:r>
      <w:r>
        <w:rPr>
          <w:color w:val="auto"/>
        </w:rPr>
        <w:instrText xml:space="preserve"> PAGEREF _Toc8583186 \h </w:instrText>
      </w:r>
      <w:r>
        <w:rPr>
          <w:color w:val="auto"/>
        </w:rPr>
        <w:fldChar w:fldCharType="separate"/>
      </w:r>
      <w:r>
        <w:rPr>
          <w:color w:val="auto"/>
        </w:rPr>
        <w:t>20</w:t>
      </w:r>
      <w:r>
        <w:rPr>
          <w:color w:val="auto"/>
        </w:rPr>
        <w:fldChar w:fldCharType="end"/>
      </w:r>
      <w:r>
        <w:rPr>
          <w:color w:val="auto"/>
        </w:rPr>
        <w:fldChar w:fldCharType="end"/>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"_Toc8583190" </w:instrText>
      </w:r>
      <w:r>
        <w:rPr>
          <w:color w:val="auto"/>
        </w:rPr>
        <w:fldChar w:fldCharType="separate"/>
      </w:r>
      <w:r>
        <w:rPr>
          <w:rStyle w:val="51"/>
          <w:rFonts w:hint="eastAsia"/>
          <w:color w:val="auto"/>
          <w:kern w:val="44"/>
        </w:rPr>
        <w:t>第三章 政府采购合同（格式）</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"_Toc8583191" </w:instrText>
      </w:r>
      <w:r>
        <w:rPr>
          <w:color w:val="auto"/>
        </w:rPr>
        <w:fldChar w:fldCharType="separate"/>
      </w:r>
      <w:r>
        <w:rPr>
          <w:rStyle w:val="51"/>
          <w:rFonts w:hint="eastAsia"/>
          <w:color w:val="auto"/>
          <w:kern w:val="44"/>
        </w:rPr>
        <w:t>第四章 评定成交的标准</w:t>
      </w:r>
      <w:r>
        <w:rPr>
          <w:color w:val="auto"/>
        </w:rPr>
        <w:tab/>
      </w:r>
      <w:r>
        <w:rPr>
          <w:rFonts w:hint="eastAsia"/>
          <w:color w:val="auto"/>
          <w:lang w:val="en-US" w:eastAsia="zh-CN"/>
        </w:rPr>
        <w:t>2</w:t>
      </w:r>
      <w:r>
        <w:rPr>
          <w:rFonts w:hint="eastAsia"/>
          <w:color w:val="auto"/>
        </w:rPr>
        <w:fldChar w:fldCharType="end"/>
      </w:r>
      <w:r>
        <w:rPr>
          <w:rFonts w:hint="eastAsia"/>
          <w:color w:val="auto"/>
          <w:lang w:val="en-US" w:eastAsia="zh-CN"/>
        </w:rPr>
        <w:t>7</w:t>
      </w:r>
    </w:p>
    <w:p>
      <w:pPr>
        <w:pStyle w:val="31"/>
        <w:tabs>
          <w:tab w:val="right" w:leader="dot" w:pos="9288"/>
        </w:tabs>
        <w:rPr>
          <w:rFonts w:hint="eastAsia" w:eastAsia="宋体"/>
          <w:b w:val="0"/>
          <w:bCs w:val="0"/>
          <w:caps w:val="0"/>
          <w:color w:val="auto"/>
          <w:sz w:val="21"/>
          <w:szCs w:val="22"/>
          <w:lang w:val="en-US" w:eastAsia="zh-CN"/>
        </w:rPr>
      </w:pPr>
      <w:r>
        <w:rPr>
          <w:color w:val="auto"/>
        </w:rPr>
        <w:fldChar w:fldCharType="begin"/>
      </w:r>
      <w:r>
        <w:rPr>
          <w:color w:val="auto"/>
        </w:rPr>
        <w:instrText xml:space="preserve"> HYPERLINK \l "_Toc8583192" </w:instrText>
      </w:r>
      <w:r>
        <w:rPr>
          <w:color w:val="auto"/>
        </w:rPr>
        <w:fldChar w:fldCharType="separate"/>
      </w:r>
      <w:r>
        <w:rPr>
          <w:rStyle w:val="51"/>
          <w:rFonts w:hint="eastAsia"/>
          <w:color w:val="auto"/>
          <w:kern w:val="44"/>
        </w:rPr>
        <w:t>第五章 响应文件（格式）</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pStyle w:val="35"/>
        <w:tabs>
          <w:tab w:val="right" w:leader="dot" w:pos="9288"/>
        </w:tabs>
        <w:rPr>
          <w:smallCaps w:val="0"/>
          <w:color w:val="auto"/>
          <w:sz w:val="21"/>
          <w:szCs w:val="22"/>
        </w:rPr>
      </w:pPr>
    </w:p>
    <w:p>
      <w:pPr>
        <w:spacing w:line="440" w:lineRule="exact"/>
        <w:rPr>
          <w:rFonts w:hAnsi="宋体"/>
          <w:color w:val="auto"/>
          <w:szCs w:val="21"/>
          <w:shd w:val="pct10" w:color="auto" w:fill="FFFFFF"/>
        </w:rPr>
      </w:pPr>
      <w:r>
        <w:rPr>
          <w:rFonts w:ascii="宋体" w:hAnsi="宋体"/>
          <w:bCs/>
          <w:color w:val="auto"/>
          <w:sz w:val="24"/>
          <w:lang w:val="zh-CN"/>
        </w:rPr>
        <w:fldChar w:fldCharType="end"/>
      </w:r>
    </w:p>
    <w:p>
      <w:pPr>
        <w:jc w:val="center"/>
        <w:rPr>
          <w:color w:val="auto"/>
        </w:rPr>
      </w:pPr>
      <w:r>
        <w:rPr>
          <w:color w:val="auto"/>
        </w:rPr>
        <w:br w:type="page"/>
      </w:r>
      <w:bookmarkStart w:id="2" w:name="_Toc8583176"/>
      <w:r>
        <w:rPr>
          <w:rFonts w:hint="eastAsia"/>
          <w:color w:val="auto"/>
          <w:sz w:val="44"/>
          <w:szCs w:val="44"/>
        </w:rPr>
        <w:t>第一</w:t>
      </w:r>
      <w:r>
        <w:rPr>
          <w:color w:val="auto"/>
          <w:sz w:val="44"/>
          <w:szCs w:val="44"/>
        </w:rPr>
        <w:t>章</w:t>
      </w:r>
      <w:r>
        <w:rPr>
          <w:rFonts w:hint="eastAsia"/>
          <w:bCs/>
          <w:color w:val="auto"/>
          <w:kern w:val="44"/>
          <w:sz w:val="44"/>
          <w:szCs w:val="44"/>
        </w:rPr>
        <w:t>竞标供应商</w:t>
      </w:r>
      <w:bookmarkStart w:id="3" w:name="_Toc495333041"/>
      <w:bookmarkEnd w:id="3"/>
      <w:bookmarkStart w:id="4" w:name="_Toc495333042"/>
      <w:bookmarkEnd w:id="4"/>
      <w:bookmarkStart w:id="5" w:name="_Toc495333219"/>
      <w:bookmarkEnd w:id="5"/>
      <w:bookmarkStart w:id="6" w:name="_Toc495333218"/>
      <w:bookmarkEnd w:id="6"/>
      <w:bookmarkStart w:id="7" w:name="_Toc495333140"/>
      <w:bookmarkEnd w:id="7"/>
      <w:bookmarkStart w:id="8" w:name="_Toc495333141"/>
      <w:bookmarkEnd w:id="8"/>
      <w:bookmarkStart w:id="9" w:name="_Toc495333043"/>
      <w:r>
        <w:rPr>
          <w:rFonts w:hint="eastAsia"/>
          <w:bCs/>
          <w:color w:val="auto"/>
          <w:kern w:val="44"/>
          <w:sz w:val="44"/>
          <w:szCs w:val="44"/>
        </w:rPr>
        <w:t>须知及前附表</w:t>
      </w:r>
      <w:bookmarkEnd w:id="2"/>
    </w:p>
    <w:p>
      <w:pPr>
        <w:pStyle w:val="4"/>
        <w:rPr>
          <w:rFonts w:ascii="宋体" w:hAnsi="宋体" w:eastAsia="宋体"/>
          <w:color w:val="auto"/>
        </w:rPr>
      </w:pPr>
      <w:bookmarkStart w:id="10" w:name="_Toc8583177"/>
      <w:r>
        <w:rPr>
          <w:rFonts w:hint="eastAsia" w:ascii="宋体" w:hAnsi="宋体" w:eastAsia="宋体"/>
          <w:color w:val="auto"/>
          <w:kern w:val="44"/>
          <w:sz w:val="32"/>
        </w:rPr>
        <w:t>竞标供应</w:t>
      </w:r>
      <w:bookmarkEnd w:id="9"/>
      <w:r>
        <w:rPr>
          <w:rFonts w:hint="eastAsia" w:ascii="宋体" w:hAnsi="宋体" w:eastAsia="宋体"/>
          <w:color w:val="auto"/>
          <w:kern w:val="44"/>
          <w:sz w:val="32"/>
        </w:rPr>
        <w:t>商</w:t>
      </w:r>
      <w:bookmarkStart w:id="11" w:name="_Toc495333044"/>
      <w:r>
        <w:rPr>
          <w:rFonts w:hint="eastAsia" w:ascii="宋体" w:hAnsi="宋体" w:eastAsia="宋体"/>
          <w:color w:val="auto"/>
          <w:kern w:val="44"/>
          <w:sz w:val="32"/>
        </w:rPr>
        <w:t>须知前附表</w:t>
      </w:r>
      <w:bookmarkEnd w:id="10"/>
    </w:p>
    <w:tbl>
      <w:tblPr>
        <w:tblStyle w:val="44"/>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
        <w:gridCol w:w="1002"/>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26" w:type="dxa"/>
            <w:gridSpan w:val="2"/>
            <w:vAlign w:val="center"/>
          </w:tcPr>
          <w:p>
            <w:pPr>
              <w:spacing w:line="300" w:lineRule="exact"/>
              <w:jc w:val="center"/>
              <w:rPr>
                <w:b/>
                <w:color w:val="auto"/>
              </w:rPr>
            </w:pPr>
            <w:r>
              <w:rPr>
                <w:rFonts w:hint="eastAsia"/>
                <w:b/>
                <w:color w:val="auto"/>
              </w:rPr>
              <w:t>项号</w:t>
            </w:r>
          </w:p>
        </w:tc>
        <w:tc>
          <w:tcPr>
            <w:tcW w:w="1002" w:type="dxa"/>
            <w:vAlign w:val="center"/>
          </w:tcPr>
          <w:p>
            <w:pPr>
              <w:spacing w:line="300" w:lineRule="exact"/>
              <w:jc w:val="center"/>
              <w:rPr>
                <w:b/>
                <w:color w:val="auto"/>
              </w:rPr>
            </w:pPr>
            <w:r>
              <w:rPr>
                <w:rFonts w:hint="eastAsia"/>
                <w:b/>
                <w:color w:val="auto"/>
              </w:rPr>
              <w:t>条</w:t>
            </w:r>
            <w:bookmarkEnd w:id="11"/>
            <w:r>
              <w:rPr>
                <w:rFonts w:hint="eastAsia"/>
                <w:b/>
                <w:color w:val="auto"/>
              </w:rPr>
              <w:t>款号</w:t>
            </w:r>
          </w:p>
        </w:tc>
        <w:tc>
          <w:tcPr>
            <w:tcW w:w="7950" w:type="dxa"/>
            <w:vAlign w:val="center"/>
          </w:tcPr>
          <w:p>
            <w:pPr>
              <w:spacing w:line="300" w:lineRule="exact"/>
              <w:jc w:val="center"/>
              <w:rPr>
                <w:b/>
                <w:color w:val="auto"/>
              </w:rPr>
            </w:pPr>
            <w:r>
              <w:rPr>
                <w:rFonts w:hint="eastAsia"/>
                <w:b/>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7950" w:type="dxa"/>
            <w:vAlign w:val="center"/>
          </w:tcPr>
          <w:p>
            <w:pPr>
              <w:pStyle w:val="24"/>
              <w:spacing w:line="400" w:lineRule="exact"/>
              <w:rPr>
                <w:rFonts w:hAnsi="宋体"/>
                <w:color w:val="auto"/>
              </w:rPr>
            </w:pPr>
            <w:r>
              <w:rPr>
                <w:rFonts w:hint="eastAsia" w:hAnsi="宋体"/>
                <w:color w:val="auto"/>
              </w:rPr>
              <w:t>项目名称：北流市人民检察院新一代5G移动检务服务采购</w:t>
            </w:r>
          </w:p>
          <w:p>
            <w:pPr>
              <w:pStyle w:val="24"/>
              <w:spacing w:line="400" w:lineRule="exact"/>
              <w:rPr>
                <w:rFonts w:hint="eastAsia" w:hAnsi="宋体" w:eastAsia="宋体"/>
                <w:color w:val="auto"/>
                <w:lang w:eastAsia="zh-CN"/>
              </w:rPr>
            </w:pPr>
            <w:r>
              <w:rPr>
                <w:rFonts w:hint="eastAsia" w:hAnsi="宋体"/>
                <w:color w:val="auto"/>
              </w:rPr>
              <w:t>项目编号：</w:t>
            </w:r>
            <w:r>
              <w:rPr>
                <w:rFonts w:hint="eastAsia" w:hAnsi="宋体"/>
                <w:color w:val="auto"/>
                <w:lang w:eastAsia="zh-CN"/>
              </w:rPr>
              <w:t>YLZC2020-C3-810301-GXCH</w:t>
            </w:r>
          </w:p>
          <w:p>
            <w:pPr>
              <w:pStyle w:val="24"/>
              <w:spacing w:line="400" w:lineRule="exact"/>
              <w:rPr>
                <w:rFonts w:hint="eastAsia" w:eastAsia="宋体"/>
                <w:color w:val="auto"/>
                <w:lang w:eastAsia="zh-CN"/>
              </w:rPr>
            </w:pPr>
            <w:r>
              <w:rPr>
                <w:rFonts w:hint="eastAsia" w:hAnsi="宋体"/>
                <w:color w:val="auto"/>
              </w:rPr>
              <w:t>采购计划编号：</w:t>
            </w:r>
            <w:r>
              <w:rPr>
                <w:rFonts w:hint="eastAsia" w:hAnsi="宋体"/>
                <w:color w:val="auto"/>
                <w:lang w:eastAsia="zh-CN"/>
              </w:rPr>
              <w:t>YLZC2020-C3-83360-001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2</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2.1</w:t>
            </w:r>
          </w:p>
        </w:tc>
        <w:tc>
          <w:tcPr>
            <w:tcW w:w="7950" w:type="dxa"/>
            <w:vAlign w:val="center"/>
          </w:tcPr>
          <w:p>
            <w:pPr>
              <w:spacing w:line="420" w:lineRule="exact"/>
              <w:ind w:firstLine="412"/>
              <w:rPr>
                <w:bCs/>
                <w:color w:val="auto"/>
              </w:rPr>
            </w:pPr>
            <w:r>
              <w:rPr>
                <w:rFonts w:hint="eastAsia"/>
                <w:bCs/>
                <w:color w:val="auto"/>
              </w:rPr>
              <w:t>1.满足《中华人民共和国政府采购法》第二十二条规定。</w:t>
            </w:r>
          </w:p>
          <w:p>
            <w:pPr>
              <w:spacing w:line="420" w:lineRule="exact"/>
              <w:ind w:firstLine="412"/>
              <w:rPr>
                <w:bCs/>
                <w:color w:val="auto"/>
              </w:rPr>
            </w:pPr>
            <w:r>
              <w:rPr>
                <w:rFonts w:hint="eastAsia"/>
                <w:bCs/>
                <w:color w:val="auto"/>
              </w:rPr>
              <w:t>2.落实政府采购政策需满足的资格要求：无</w:t>
            </w:r>
          </w:p>
          <w:p>
            <w:pPr>
              <w:spacing w:line="420" w:lineRule="exact"/>
              <w:ind w:firstLine="412"/>
              <w:rPr>
                <w:bCs/>
                <w:color w:val="auto"/>
              </w:rPr>
            </w:pPr>
            <w:r>
              <w:rPr>
                <w:rFonts w:hint="eastAsia"/>
                <w:bCs/>
                <w:color w:val="auto"/>
              </w:rPr>
              <w:t>3.本项目的特定资格要求：国内注册（指按国家有关规定要求注册的）具有独立法人资格，并在人员、设备、资金等方面具有相应服务能力的供应商；</w:t>
            </w:r>
          </w:p>
          <w:p>
            <w:pPr>
              <w:spacing w:line="420" w:lineRule="exact"/>
              <w:ind w:firstLine="412"/>
              <w:rPr>
                <w:bCs/>
                <w:color w:val="auto"/>
              </w:rPr>
            </w:pPr>
            <w:r>
              <w:rPr>
                <w:rFonts w:hint="eastAsia"/>
                <w:bCs/>
                <w:color w:val="auto"/>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20" w:lineRule="exact"/>
              <w:ind w:firstLine="412"/>
              <w:rPr>
                <w:bCs/>
                <w:color w:val="auto"/>
              </w:rPr>
            </w:pPr>
            <w:r>
              <w:rPr>
                <w:rFonts w:hint="eastAsia"/>
                <w:bCs/>
                <w:color w:val="auto"/>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26" w:type="dxa"/>
            <w:gridSpan w:val="2"/>
            <w:vAlign w:val="center"/>
          </w:tcPr>
          <w:p>
            <w:pPr>
              <w:spacing w:line="300" w:lineRule="exact"/>
              <w:jc w:val="center"/>
              <w:rPr>
                <w:color w:val="auto"/>
              </w:rPr>
            </w:pPr>
            <w:r>
              <w:rPr>
                <w:rFonts w:hint="eastAsia"/>
                <w:color w:val="auto"/>
              </w:rPr>
              <w:t>3</w:t>
            </w:r>
          </w:p>
        </w:tc>
        <w:tc>
          <w:tcPr>
            <w:tcW w:w="1002" w:type="dxa"/>
            <w:vAlign w:val="center"/>
          </w:tcPr>
          <w:p>
            <w:pPr>
              <w:spacing w:line="300" w:lineRule="exact"/>
              <w:jc w:val="center"/>
              <w:rPr>
                <w:color w:val="auto"/>
              </w:rPr>
            </w:pPr>
            <w:r>
              <w:rPr>
                <w:rFonts w:hint="eastAsia"/>
                <w:color w:val="auto"/>
              </w:rPr>
              <w:t>10.1</w:t>
            </w:r>
          </w:p>
        </w:tc>
        <w:tc>
          <w:tcPr>
            <w:tcW w:w="7950" w:type="dxa"/>
            <w:vAlign w:val="center"/>
          </w:tcPr>
          <w:p>
            <w:pPr>
              <w:pStyle w:val="24"/>
              <w:spacing w:line="400" w:lineRule="exact"/>
              <w:rPr>
                <w:rFonts w:hAnsi="宋体"/>
                <w:color w:val="auto"/>
              </w:rPr>
            </w:pPr>
            <w:r>
              <w:rPr>
                <w:rFonts w:hint="eastAsia" w:hAnsi="宋体"/>
                <w:color w:val="auto"/>
              </w:rPr>
              <w:t>竞标报价：</w:t>
            </w:r>
            <w:r>
              <w:rPr>
                <w:rFonts w:hint="eastAsia"/>
                <w:color w:val="auto"/>
              </w:rPr>
              <w:t>竞标供应商必须就《项目需求及要求》及磋商记录中服务内容作完整唯一报价，否则，其竞标将被拒绝。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6" w:type="dxa"/>
            <w:gridSpan w:val="2"/>
            <w:vAlign w:val="center"/>
          </w:tcPr>
          <w:p>
            <w:pPr>
              <w:spacing w:line="300" w:lineRule="exact"/>
              <w:jc w:val="center"/>
              <w:rPr>
                <w:color w:val="auto"/>
              </w:rPr>
            </w:pPr>
            <w:r>
              <w:rPr>
                <w:rFonts w:hint="eastAsia"/>
                <w:color w:val="auto"/>
              </w:rPr>
              <w:t>4</w:t>
            </w:r>
          </w:p>
        </w:tc>
        <w:tc>
          <w:tcPr>
            <w:tcW w:w="1002" w:type="dxa"/>
            <w:vAlign w:val="center"/>
          </w:tcPr>
          <w:p>
            <w:pPr>
              <w:spacing w:line="300" w:lineRule="exact"/>
              <w:jc w:val="center"/>
              <w:rPr>
                <w:color w:val="auto"/>
              </w:rPr>
            </w:pPr>
            <w:r>
              <w:rPr>
                <w:rFonts w:hint="eastAsia"/>
                <w:color w:val="auto"/>
              </w:rPr>
              <w:t>14.1</w:t>
            </w:r>
          </w:p>
        </w:tc>
        <w:tc>
          <w:tcPr>
            <w:tcW w:w="7950" w:type="dxa"/>
            <w:vAlign w:val="center"/>
          </w:tcPr>
          <w:p>
            <w:pPr>
              <w:spacing w:line="300" w:lineRule="exact"/>
              <w:rPr>
                <w:color w:val="auto"/>
              </w:rPr>
            </w:pPr>
            <w:r>
              <w:rPr>
                <w:rFonts w:hint="eastAsia"/>
                <w:color w:val="auto"/>
              </w:rPr>
              <w:t>竞标有效期：竞标截止日期之日起60天。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26" w:type="dxa"/>
            <w:gridSpan w:val="2"/>
            <w:vAlign w:val="center"/>
          </w:tcPr>
          <w:p>
            <w:pPr>
              <w:spacing w:line="300" w:lineRule="exact"/>
              <w:jc w:val="center"/>
              <w:rPr>
                <w:color w:val="auto"/>
              </w:rPr>
            </w:pPr>
            <w:r>
              <w:rPr>
                <w:rFonts w:hint="eastAsia"/>
                <w:color w:val="auto"/>
              </w:rPr>
              <w:t>5</w:t>
            </w:r>
          </w:p>
        </w:tc>
        <w:tc>
          <w:tcPr>
            <w:tcW w:w="1002" w:type="dxa"/>
            <w:vAlign w:val="center"/>
          </w:tcPr>
          <w:p>
            <w:pPr>
              <w:spacing w:line="300" w:lineRule="exact"/>
              <w:jc w:val="center"/>
              <w:rPr>
                <w:color w:val="auto"/>
              </w:rPr>
            </w:pPr>
            <w:r>
              <w:rPr>
                <w:rFonts w:hint="eastAsia"/>
                <w:color w:val="auto"/>
              </w:rPr>
              <w:t>15.4</w:t>
            </w:r>
          </w:p>
        </w:tc>
        <w:tc>
          <w:tcPr>
            <w:tcW w:w="7950" w:type="dxa"/>
            <w:vAlign w:val="center"/>
          </w:tcPr>
          <w:p>
            <w:pPr>
              <w:spacing w:line="300" w:lineRule="exact"/>
              <w:rPr>
                <w:color w:val="auto"/>
              </w:rPr>
            </w:pPr>
            <w:r>
              <w:rPr>
                <w:rFonts w:hint="eastAsia"/>
                <w:color w:val="auto"/>
              </w:rPr>
              <w:t>响应文件：</w:t>
            </w:r>
            <w:r>
              <w:rPr>
                <w:rFonts w:hint="eastAsia" w:hAnsi="宋体"/>
                <w:color w:val="auto"/>
              </w:rPr>
              <w:t>正本一套、副本叁套，共肆套。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6" w:type="dxa"/>
            <w:gridSpan w:val="2"/>
            <w:vAlign w:val="center"/>
          </w:tcPr>
          <w:p>
            <w:pPr>
              <w:spacing w:line="300" w:lineRule="exact"/>
              <w:jc w:val="center"/>
              <w:rPr>
                <w:color w:val="auto"/>
              </w:rPr>
            </w:pPr>
            <w:r>
              <w:rPr>
                <w:rFonts w:hint="eastAsia"/>
                <w:color w:val="auto"/>
              </w:rPr>
              <w:t>6</w:t>
            </w:r>
          </w:p>
        </w:tc>
        <w:tc>
          <w:tcPr>
            <w:tcW w:w="1002" w:type="dxa"/>
            <w:vAlign w:val="center"/>
          </w:tcPr>
          <w:p>
            <w:pPr>
              <w:spacing w:line="300" w:lineRule="exact"/>
              <w:jc w:val="center"/>
              <w:rPr>
                <w:color w:val="auto"/>
              </w:rPr>
            </w:pPr>
            <w:r>
              <w:rPr>
                <w:rFonts w:hint="eastAsia"/>
                <w:color w:val="auto"/>
              </w:rPr>
              <w:t>16.1</w:t>
            </w:r>
          </w:p>
        </w:tc>
        <w:tc>
          <w:tcPr>
            <w:tcW w:w="7950" w:type="dxa"/>
            <w:vAlign w:val="center"/>
          </w:tcPr>
          <w:p>
            <w:pPr>
              <w:spacing w:line="320" w:lineRule="atLeast"/>
              <w:rPr>
                <w:color w:val="auto"/>
              </w:rPr>
            </w:pPr>
            <w:r>
              <w:rPr>
                <w:rFonts w:hint="eastAsia"/>
                <w:color w:val="auto"/>
                <w:szCs w:val="22"/>
              </w:rPr>
              <w:t>磋商保证金的金额</w:t>
            </w:r>
            <w:r>
              <w:rPr>
                <w:rFonts w:hint="eastAsia" w:ascii="宋体" w:hAnsi="宋体" w:cs="Courier New"/>
                <w:color w:val="auto"/>
                <w:spacing w:val="2"/>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26" w:type="dxa"/>
            <w:gridSpan w:val="2"/>
            <w:vAlign w:val="center"/>
          </w:tcPr>
          <w:p>
            <w:pPr>
              <w:spacing w:line="300" w:lineRule="exact"/>
              <w:jc w:val="center"/>
              <w:rPr>
                <w:color w:val="auto"/>
              </w:rPr>
            </w:pPr>
            <w:r>
              <w:rPr>
                <w:rFonts w:hint="eastAsia"/>
                <w:color w:val="auto"/>
              </w:rPr>
              <w:t>7</w:t>
            </w:r>
          </w:p>
        </w:tc>
        <w:tc>
          <w:tcPr>
            <w:tcW w:w="1002" w:type="dxa"/>
            <w:vAlign w:val="center"/>
          </w:tcPr>
          <w:p>
            <w:pPr>
              <w:spacing w:line="300" w:lineRule="exact"/>
              <w:jc w:val="center"/>
              <w:rPr>
                <w:color w:val="auto"/>
              </w:rPr>
            </w:pPr>
            <w:r>
              <w:rPr>
                <w:rFonts w:hint="eastAsia"/>
                <w:color w:val="auto"/>
              </w:rPr>
              <w:t>17</w:t>
            </w:r>
          </w:p>
          <w:p>
            <w:pPr>
              <w:spacing w:line="300" w:lineRule="exact"/>
              <w:jc w:val="center"/>
              <w:rPr>
                <w:color w:val="auto"/>
              </w:rPr>
            </w:pPr>
          </w:p>
        </w:tc>
        <w:tc>
          <w:tcPr>
            <w:tcW w:w="7950" w:type="dxa"/>
            <w:vAlign w:val="center"/>
          </w:tcPr>
          <w:p>
            <w:pPr>
              <w:pStyle w:val="24"/>
              <w:spacing w:line="400" w:lineRule="exact"/>
              <w:rPr>
                <w:rFonts w:hAnsi="宋体"/>
                <w:color w:val="auto"/>
              </w:rPr>
            </w:pPr>
            <w:r>
              <w:rPr>
                <w:rFonts w:hint="eastAsia" w:hAnsi="宋体"/>
                <w:color w:val="auto"/>
              </w:rPr>
              <w:t>响应文件以密封形式递交至：</w:t>
            </w:r>
            <w:r>
              <w:rPr>
                <w:rFonts w:hint="eastAsia"/>
                <w:color w:val="auto"/>
              </w:rPr>
              <w:t>北流市公共资源交易中心（北流市城南客运站三楼）</w:t>
            </w:r>
          </w:p>
          <w:p>
            <w:pPr>
              <w:pStyle w:val="24"/>
              <w:spacing w:line="400" w:lineRule="exact"/>
              <w:rPr>
                <w:color w:val="auto"/>
              </w:rPr>
            </w:pPr>
            <w:r>
              <w:rPr>
                <w:rFonts w:hint="eastAsia" w:hAnsi="宋体"/>
                <w:color w:val="auto"/>
              </w:rPr>
              <w:t>响应文件递交截止时间：</w:t>
            </w:r>
            <w:r>
              <w:rPr>
                <w:rFonts w:hint="eastAsia"/>
                <w:color w:val="auto"/>
                <w:szCs w:val="21"/>
              </w:rPr>
              <w:t>2020年12月</w:t>
            </w:r>
            <w:r>
              <w:rPr>
                <w:rFonts w:hint="eastAsia"/>
                <w:color w:val="auto"/>
                <w:szCs w:val="21"/>
                <w:lang w:val="en-US" w:eastAsia="zh-CN"/>
              </w:rPr>
              <w:t>11</w:t>
            </w:r>
            <w:r>
              <w:rPr>
                <w:rFonts w:hint="eastAsia"/>
                <w:color w:val="auto"/>
                <w:szCs w:val="21"/>
              </w:rPr>
              <w:t>日上午</w:t>
            </w:r>
            <w:r>
              <w:rPr>
                <w:rFonts w:hint="eastAsia"/>
                <w:color w:val="auto"/>
                <w:szCs w:val="21"/>
                <w:lang w:val="en-US" w:eastAsia="zh-CN"/>
              </w:rPr>
              <w:t>9</w:t>
            </w:r>
            <w:r>
              <w:rPr>
                <w:rFonts w:hint="eastAsia"/>
                <w:color w:val="auto"/>
                <w:szCs w:val="21"/>
              </w:rPr>
              <w:t>时</w:t>
            </w:r>
            <w:r>
              <w:rPr>
                <w:rFonts w:hint="eastAsia"/>
                <w:color w:val="auto"/>
                <w:szCs w:val="21"/>
                <w:lang w:val="en-US" w:eastAsia="zh-CN"/>
              </w:rPr>
              <w:t>3</w:t>
            </w:r>
            <w:r>
              <w:rPr>
                <w:rFonts w:hint="eastAsia"/>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gridSpan w:val="2"/>
            <w:vAlign w:val="center"/>
          </w:tcPr>
          <w:p>
            <w:pPr>
              <w:spacing w:line="300" w:lineRule="exact"/>
              <w:jc w:val="center"/>
              <w:rPr>
                <w:color w:val="auto"/>
              </w:rPr>
            </w:pPr>
            <w:r>
              <w:rPr>
                <w:rFonts w:hint="eastAsia"/>
                <w:color w:val="auto"/>
              </w:rPr>
              <w:t>8</w:t>
            </w:r>
          </w:p>
        </w:tc>
        <w:tc>
          <w:tcPr>
            <w:tcW w:w="1002" w:type="dxa"/>
            <w:vAlign w:val="center"/>
          </w:tcPr>
          <w:p>
            <w:pPr>
              <w:spacing w:line="300" w:lineRule="exact"/>
              <w:jc w:val="center"/>
              <w:rPr>
                <w:color w:val="auto"/>
              </w:rPr>
            </w:pPr>
            <w:r>
              <w:rPr>
                <w:rFonts w:hint="eastAsia"/>
                <w:color w:val="auto"/>
              </w:rPr>
              <w:t>19.1</w:t>
            </w:r>
          </w:p>
        </w:tc>
        <w:tc>
          <w:tcPr>
            <w:tcW w:w="7950" w:type="dxa"/>
            <w:vAlign w:val="center"/>
          </w:tcPr>
          <w:p>
            <w:pPr>
              <w:pStyle w:val="24"/>
              <w:spacing w:line="400" w:lineRule="exact"/>
              <w:rPr>
                <w:rFonts w:hAnsi="宋体"/>
                <w:color w:val="auto"/>
              </w:rPr>
            </w:pPr>
            <w:r>
              <w:rPr>
                <w:rFonts w:hint="eastAsia" w:hAnsi="宋体"/>
                <w:color w:val="auto"/>
              </w:rPr>
              <w:t>竞争性磋商时间：2020年12月</w:t>
            </w:r>
            <w:r>
              <w:rPr>
                <w:rFonts w:hint="eastAsia" w:hAnsi="宋体"/>
                <w:color w:val="auto"/>
                <w:lang w:val="en-US" w:eastAsia="zh-CN"/>
              </w:rPr>
              <w:t>11</w:t>
            </w:r>
            <w:r>
              <w:rPr>
                <w:rFonts w:hint="eastAsia" w:hAnsi="宋体"/>
                <w:color w:val="auto"/>
              </w:rPr>
              <w:t>日上午</w:t>
            </w:r>
            <w:r>
              <w:rPr>
                <w:rFonts w:hint="eastAsia" w:hAnsi="宋体"/>
                <w:color w:val="auto"/>
                <w:lang w:val="en-US" w:eastAsia="zh-CN"/>
              </w:rPr>
              <w:t>9</w:t>
            </w:r>
            <w:r>
              <w:rPr>
                <w:rFonts w:hint="eastAsia" w:hAnsi="宋体"/>
                <w:color w:val="auto"/>
              </w:rPr>
              <w:t>时</w:t>
            </w:r>
            <w:r>
              <w:rPr>
                <w:rFonts w:hint="eastAsia" w:hAnsi="宋体"/>
                <w:color w:val="auto"/>
                <w:lang w:val="en-US" w:eastAsia="zh-CN"/>
              </w:rPr>
              <w:t>3</w:t>
            </w:r>
            <w:r>
              <w:rPr>
                <w:rFonts w:hint="eastAsia" w:hAnsi="宋体"/>
                <w:color w:val="auto"/>
              </w:rPr>
              <w:t>0分</w:t>
            </w:r>
            <w:r>
              <w:rPr>
                <w:rFonts w:hint="eastAsia"/>
                <w:color w:val="auto"/>
              </w:rPr>
              <w:t>截标后</w:t>
            </w:r>
            <w:r>
              <w:rPr>
                <w:rFonts w:hint="eastAsia" w:hAnsi="宋体"/>
                <w:color w:val="auto"/>
              </w:rPr>
              <w:t>为与竞标供应商磋商时间，具体时间由采购代理机构另行通知。参加竞标的法定代表人（负责人）或委托代理人必须持有效证件（法定代表人（负责人）凭身份证或委托代理人凭法人授权委托书原件和身份证、竞标供应商有效的营业执照副本复印件加盖单位公章）依时到达指定地点等候当面磋商。</w:t>
            </w:r>
          </w:p>
          <w:p>
            <w:pPr>
              <w:pStyle w:val="24"/>
              <w:spacing w:line="400" w:lineRule="exact"/>
              <w:rPr>
                <w:color w:val="auto"/>
                <w:szCs w:val="21"/>
              </w:rPr>
            </w:pPr>
            <w:r>
              <w:rPr>
                <w:rFonts w:hint="eastAsia" w:hAnsi="宋体"/>
                <w:color w:val="auto"/>
              </w:rPr>
              <w:t>磋商地点：</w:t>
            </w:r>
            <w:r>
              <w:rPr>
                <w:rFonts w:hint="eastAsia"/>
                <w:color w:val="auto"/>
              </w:rPr>
              <w:t>北流市公共资源交易中心（北流市城南客运站三楼）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6" w:type="dxa"/>
            <w:gridSpan w:val="2"/>
            <w:vAlign w:val="center"/>
          </w:tcPr>
          <w:p>
            <w:pPr>
              <w:spacing w:line="300" w:lineRule="exact"/>
              <w:jc w:val="center"/>
              <w:rPr>
                <w:color w:val="auto"/>
              </w:rPr>
            </w:pPr>
            <w:r>
              <w:rPr>
                <w:rFonts w:hint="eastAsia"/>
                <w:color w:val="auto"/>
              </w:rPr>
              <w:t>9</w:t>
            </w:r>
          </w:p>
        </w:tc>
        <w:tc>
          <w:tcPr>
            <w:tcW w:w="1002" w:type="dxa"/>
            <w:vAlign w:val="center"/>
          </w:tcPr>
          <w:p>
            <w:pPr>
              <w:spacing w:line="300" w:lineRule="exact"/>
              <w:jc w:val="center"/>
              <w:rPr>
                <w:color w:val="auto"/>
              </w:rPr>
            </w:pPr>
            <w:r>
              <w:rPr>
                <w:rFonts w:hint="eastAsia"/>
                <w:color w:val="auto"/>
              </w:rPr>
              <w:t>20.3</w:t>
            </w:r>
          </w:p>
        </w:tc>
        <w:tc>
          <w:tcPr>
            <w:tcW w:w="7950" w:type="dxa"/>
            <w:vAlign w:val="center"/>
          </w:tcPr>
          <w:p>
            <w:pPr>
              <w:spacing w:line="300" w:lineRule="exact"/>
              <w:rPr>
                <w:color w:val="auto"/>
              </w:rPr>
            </w:pPr>
            <w:r>
              <w:rPr>
                <w:rFonts w:hint="eastAsia" w:hAnsi="宋体"/>
                <w:color w:val="auto"/>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10</w:t>
            </w:r>
          </w:p>
        </w:tc>
        <w:tc>
          <w:tcPr>
            <w:tcW w:w="1002" w:type="dxa"/>
            <w:vAlign w:val="center"/>
          </w:tcPr>
          <w:p>
            <w:pPr>
              <w:spacing w:line="300" w:lineRule="exact"/>
              <w:jc w:val="center"/>
              <w:rPr>
                <w:rFonts w:ascii="宋体" w:hAnsi="Courier New"/>
                <w:color w:val="auto"/>
                <w:szCs w:val="20"/>
              </w:rPr>
            </w:pPr>
            <w:r>
              <w:rPr>
                <w:rFonts w:hint="eastAsia" w:ascii="宋体" w:hAnsi="Courier New"/>
                <w:color w:val="auto"/>
                <w:szCs w:val="20"/>
              </w:rPr>
              <w:t>32.1</w:t>
            </w:r>
          </w:p>
        </w:tc>
        <w:tc>
          <w:tcPr>
            <w:tcW w:w="7950" w:type="dxa"/>
            <w:vAlign w:val="center"/>
          </w:tcPr>
          <w:p>
            <w:pPr>
              <w:pStyle w:val="24"/>
              <w:spacing w:line="400" w:lineRule="exact"/>
              <w:rPr>
                <w:rFonts w:hAnsi="宋体"/>
                <w:color w:val="auto"/>
              </w:rPr>
            </w:pPr>
            <w:r>
              <w:rPr>
                <w:rFonts w:hint="eastAsia" w:hAnsi="宋体"/>
                <w:color w:val="auto"/>
              </w:rPr>
              <w:t>采购代理服务费：</w:t>
            </w:r>
            <w:r>
              <w:rPr>
                <w:rFonts w:hint="eastAsia" w:hAnsi="宋体" w:cs="宋体"/>
                <w:color w:val="auto"/>
                <w:szCs w:val="21"/>
              </w:rPr>
              <w:t>以成交金额计算业务酬金，按桂价费字【2003】7号和桂价费〔2011〕55号规定（服务类）1.5%累计收取，由成交人在领取成交通知书前一次性向采购代理机构支付。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6" w:type="dxa"/>
            <w:gridSpan w:val="2"/>
            <w:vAlign w:val="center"/>
          </w:tcPr>
          <w:p>
            <w:pPr>
              <w:spacing w:line="300" w:lineRule="exact"/>
              <w:jc w:val="center"/>
              <w:rPr>
                <w:rFonts w:ascii="宋体" w:hAnsi="Courier New"/>
                <w:color w:val="auto"/>
                <w:szCs w:val="20"/>
              </w:rPr>
            </w:pPr>
            <w:r>
              <w:rPr>
                <w:rFonts w:hint="eastAsia" w:ascii="宋体" w:hAnsi="Courier New"/>
                <w:color w:val="auto"/>
                <w:szCs w:val="20"/>
              </w:rPr>
              <w:t>11</w:t>
            </w:r>
          </w:p>
        </w:tc>
        <w:tc>
          <w:tcPr>
            <w:tcW w:w="1002" w:type="dxa"/>
            <w:vAlign w:val="center"/>
          </w:tcPr>
          <w:p>
            <w:pPr>
              <w:spacing w:line="300" w:lineRule="exact"/>
              <w:jc w:val="center"/>
              <w:rPr>
                <w:rFonts w:ascii="宋体" w:hAnsi="Courier New"/>
                <w:b/>
                <w:color w:val="auto"/>
                <w:szCs w:val="20"/>
              </w:rPr>
            </w:pPr>
            <w:r>
              <w:rPr>
                <w:rFonts w:hint="eastAsia" w:ascii="宋体" w:hAnsi="Courier New"/>
                <w:b/>
                <w:color w:val="auto"/>
                <w:szCs w:val="20"/>
              </w:rPr>
              <w:t>33.1</w:t>
            </w:r>
          </w:p>
        </w:tc>
        <w:tc>
          <w:tcPr>
            <w:tcW w:w="7950" w:type="dxa"/>
            <w:vAlign w:val="center"/>
          </w:tcPr>
          <w:p>
            <w:pPr>
              <w:pStyle w:val="24"/>
              <w:spacing w:line="400" w:lineRule="exact"/>
              <w:rPr>
                <w:rFonts w:hAnsi="宋体"/>
                <w:b/>
                <w:color w:val="auto"/>
              </w:rPr>
            </w:pPr>
            <w:r>
              <w:rPr>
                <w:rFonts w:hint="eastAsia" w:hAnsi="宋体"/>
                <w:b/>
                <w:color w:val="auto"/>
              </w:rPr>
              <w:t>采购项目预算金额：人民币伍拾伍万伍仟柒佰玖拾贰元整（¥555792.00），竞标报价超出采购预算的响应文件，将作为无效竞标处理。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720" w:type="dxa"/>
            <w:vAlign w:val="center"/>
          </w:tcPr>
          <w:p>
            <w:pPr>
              <w:tabs>
                <w:tab w:val="left" w:pos="6120"/>
              </w:tabs>
              <w:spacing w:line="300" w:lineRule="exact"/>
              <w:jc w:val="center"/>
              <w:rPr>
                <w:color w:val="auto"/>
              </w:rPr>
            </w:pPr>
            <w:r>
              <w:rPr>
                <w:rFonts w:hint="eastAsia"/>
                <w:color w:val="auto"/>
              </w:rPr>
              <w:t>12</w:t>
            </w:r>
          </w:p>
        </w:tc>
        <w:tc>
          <w:tcPr>
            <w:tcW w:w="1008" w:type="dxa"/>
            <w:gridSpan w:val="2"/>
            <w:vAlign w:val="center"/>
          </w:tcPr>
          <w:p>
            <w:pPr>
              <w:tabs>
                <w:tab w:val="left" w:pos="6120"/>
              </w:tabs>
              <w:spacing w:line="300" w:lineRule="exact"/>
              <w:jc w:val="center"/>
              <w:rPr>
                <w:color w:val="auto"/>
              </w:rPr>
            </w:pPr>
            <w:r>
              <w:rPr>
                <w:rFonts w:hint="eastAsia"/>
                <w:color w:val="auto"/>
              </w:rPr>
              <w:t>34.1</w:t>
            </w:r>
          </w:p>
        </w:tc>
        <w:tc>
          <w:tcPr>
            <w:tcW w:w="7950" w:type="dxa"/>
            <w:vAlign w:val="center"/>
          </w:tcPr>
          <w:p>
            <w:pPr>
              <w:pStyle w:val="24"/>
              <w:spacing w:line="400" w:lineRule="exact"/>
              <w:rPr>
                <w:b/>
                <w:color w:val="auto"/>
                <w:szCs w:val="21"/>
              </w:rPr>
            </w:pPr>
            <w:r>
              <w:rPr>
                <w:rFonts w:hint="eastAsia"/>
                <w:b/>
                <w:color w:val="auto"/>
              </w:rPr>
              <w:t>提交响应文件时须提供的资料</w:t>
            </w:r>
            <w:r>
              <w:rPr>
                <w:rFonts w:hint="eastAsia"/>
                <w:b/>
                <w:color w:val="auto"/>
                <w:szCs w:val="21"/>
              </w:rPr>
              <w:t>：</w:t>
            </w:r>
          </w:p>
          <w:p>
            <w:pPr>
              <w:pStyle w:val="24"/>
              <w:spacing w:line="400" w:lineRule="exact"/>
              <w:ind w:firstLine="411" w:firstLineChars="195"/>
              <w:rPr>
                <w:rFonts w:hAnsi="宋体"/>
                <w:b/>
                <w:color w:val="auto"/>
              </w:rPr>
            </w:pPr>
            <w:r>
              <w:rPr>
                <w:rFonts w:hint="eastAsia" w:hAnsi="宋体"/>
                <w:b/>
                <w:color w:val="auto"/>
              </w:rPr>
              <w:t>竞标供应商</w:t>
            </w:r>
            <w:r>
              <w:rPr>
                <w:rFonts w:hAnsi="宋体"/>
                <w:b/>
                <w:color w:val="auto"/>
              </w:rPr>
              <w:t>的</w:t>
            </w:r>
            <w:r>
              <w:rPr>
                <w:rFonts w:hint="eastAsia" w:hAnsi="宋体"/>
                <w:b/>
                <w:color w:val="auto"/>
              </w:rPr>
              <w:t>法定代表人（负责人）</w:t>
            </w:r>
            <w:r>
              <w:rPr>
                <w:rFonts w:hAnsi="宋体"/>
                <w:b/>
                <w:color w:val="auto"/>
              </w:rPr>
              <w:t>或其委托代理人</w:t>
            </w:r>
            <w:r>
              <w:rPr>
                <w:rFonts w:hint="eastAsia" w:hAnsi="宋体"/>
                <w:b/>
                <w:color w:val="auto"/>
              </w:rPr>
              <w:t>提交响应文件同时须提交以下有效的资料：有效的法定代表人（负责人）或委托代理人必须持有效证件（法定代表人（负责人）凭身份证或委托代理人凭法人授权委托书原件和身份证、竞标供应商有效的营业执照副本复印件加盖单位公章，资料不齐或无效的将拒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720" w:type="dxa"/>
            <w:vAlign w:val="center"/>
          </w:tcPr>
          <w:p>
            <w:pPr>
              <w:tabs>
                <w:tab w:val="left" w:pos="6120"/>
              </w:tabs>
              <w:spacing w:line="300" w:lineRule="exact"/>
              <w:jc w:val="center"/>
              <w:rPr>
                <w:color w:val="auto"/>
              </w:rPr>
            </w:pPr>
            <w:r>
              <w:rPr>
                <w:rFonts w:hint="eastAsia"/>
                <w:color w:val="auto"/>
              </w:rPr>
              <w:t>13</w:t>
            </w:r>
          </w:p>
        </w:tc>
        <w:tc>
          <w:tcPr>
            <w:tcW w:w="1008" w:type="dxa"/>
            <w:gridSpan w:val="2"/>
            <w:vAlign w:val="center"/>
          </w:tcPr>
          <w:p>
            <w:pPr>
              <w:tabs>
                <w:tab w:val="left" w:pos="6120"/>
              </w:tabs>
              <w:spacing w:line="300" w:lineRule="exact"/>
              <w:jc w:val="center"/>
              <w:rPr>
                <w:color w:val="auto"/>
              </w:rPr>
            </w:pPr>
            <w:r>
              <w:rPr>
                <w:rFonts w:hint="eastAsia"/>
                <w:color w:val="auto"/>
              </w:rPr>
              <w:t>15.7</w:t>
            </w:r>
          </w:p>
        </w:tc>
        <w:tc>
          <w:tcPr>
            <w:tcW w:w="7950" w:type="dxa"/>
            <w:vAlign w:val="center"/>
          </w:tcPr>
          <w:p>
            <w:pPr>
              <w:pStyle w:val="24"/>
              <w:spacing w:line="400" w:lineRule="exact"/>
              <w:rPr>
                <w:color w:val="auto"/>
              </w:rPr>
            </w:pPr>
            <w:r>
              <w:rPr>
                <w:rFonts w:hint="eastAsia"/>
                <w:color w:val="auto"/>
              </w:rPr>
              <w:t>本竞争性磋商文件中描述竞标供应商的“公章”是指根据我国对公章的管理规定，用竞标供应商法定主体行为名称制作的印章，除本竞争性磋商文件有特殊规定外，竞标供应商的财务章、部门章、分公司章、工会章、合同章、竞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0" w:type="dxa"/>
            <w:vAlign w:val="center"/>
          </w:tcPr>
          <w:p>
            <w:pPr>
              <w:tabs>
                <w:tab w:val="left" w:pos="6120"/>
              </w:tabs>
              <w:spacing w:line="300" w:lineRule="exact"/>
              <w:jc w:val="center"/>
              <w:rPr>
                <w:rFonts w:hint="default" w:eastAsia="宋体"/>
                <w:color w:val="auto"/>
                <w:lang w:val="en-US" w:eastAsia="zh-CN"/>
              </w:rPr>
            </w:pPr>
            <w:r>
              <w:rPr>
                <w:rFonts w:hint="eastAsia"/>
                <w:color w:val="auto"/>
                <w:lang w:val="en-US" w:eastAsia="zh-CN"/>
              </w:rPr>
              <w:t>14</w:t>
            </w:r>
          </w:p>
        </w:tc>
        <w:tc>
          <w:tcPr>
            <w:tcW w:w="8958" w:type="dxa"/>
            <w:gridSpan w:val="3"/>
            <w:vAlign w:val="center"/>
          </w:tcPr>
          <w:p>
            <w:pPr>
              <w:pStyle w:val="24"/>
              <w:spacing w:line="400" w:lineRule="exact"/>
              <w:rPr>
                <w:rFonts w:hint="eastAsia" w:eastAsia="宋体"/>
                <w:color w:val="auto"/>
                <w:lang w:val="en-US" w:eastAsia="zh-CN"/>
              </w:rPr>
            </w:pPr>
            <w:r>
              <w:rPr>
                <w:rFonts w:hint="eastAsia"/>
                <w:color w:val="auto"/>
                <w:lang w:val="en-US" w:eastAsia="zh-CN"/>
              </w:rPr>
              <w:t>履约保证金：由成交供应商与采购人自行协商。</w:t>
            </w:r>
          </w:p>
        </w:tc>
      </w:tr>
    </w:tbl>
    <w:p>
      <w:pPr>
        <w:pStyle w:val="24"/>
        <w:rPr>
          <w:rFonts w:hAnsi="宋体" w:cs="Times New Roman"/>
          <w:b/>
          <w:color w:val="auto"/>
          <w:spacing w:val="24"/>
          <w:kern w:val="44"/>
          <w:sz w:val="32"/>
          <w:szCs w:val="20"/>
        </w:rPr>
      </w:pPr>
      <w:bookmarkStart w:id="12" w:name="_Toc8583178"/>
    </w:p>
    <w:p>
      <w:pPr>
        <w:pStyle w:val="24"/>
        <w:rPr>
          <w:rFonts w:hAnsi="宋体" w:cs="Times New Roman"/>
          <w:b/>
          <w:color w:val="auto"/>
          <w:spacing w:val="24"/>
          <w:kern w:val="44"/>
          <w:sz w:val="32"/>
          <w:szCs w:val="20"/>
        </w:rPr>
      </w:pPr>
    </w:p>
    <w:p>
      <w:pPr>
        <w:pStyle w:val="24"/>
        <w:rPr>
          <w:rFonts w:hAnsi="宋体" w:cs="Times New Roman"/>
          <w:b/>
          <w:color w:val="auto"/>
          <w:spacing w:val="24"/>
          <w:kern w:val="44"/>
          <w:sz w:val="32"/>
          <w:szCs w:val="20"/>
        </w:rPr>
      </w:pPr>
    </w:p>
    <w:p>
      <w:pPr>
        <w:pStyle w:val="24"/>
        <w:rPr>
          <w:rFonts w:hAnsi="宋体" w:cs="Times New Roman"/>
          <w:b/>
          <w:color w:val="auto"/>
          <w:spacing w:val="24"/>
          <w:kern w:val="44"/>
          <w:sz w:val="32"/>
          <w:szCs w:val="20"/>
        </w:rPr>
      </w:pPr>
    </w:p>
    <w:p>
      <w:pPr>
        <w:pStyle w:val="5"/>
        <w:jc w:val="center"/>
        <w:rPr>
          <w:color w:val="auto"/>
          <w:kern w:val="44"/>
        </w:rPr>
      </w:pPr>
    </w:p>
    <w:p>
      <w:pPr>
        <w:pStyle w:val="5"/>
        <w:jc w:val="center"/>
        <w:rPr>
          <w:color w:val="auto"/>
          <w:kern w:val="44"/>
        </w:rPr>
      </w:pPr>
      <w:r>
        <w:rPr>
          <w:rFonts w:hint="eastAsia"/>
          <w:color w:val="auto"/>
          <w:kern w:val="44"/>
        </w:rPr>
        <w:t>竞 标 人</w:t>
      </w:r>
      <w:bookmarkStart w:id="13" w:name="_Toc495333045"/>
      <w:r>
        <w:rPr>
          <w:rFonts w:hint="eastAsia"/>
          <w:color w:val="auto"/>
          <w:kern w:val="44"/>
        </w:rPr>
        <w:t xml:space="preserve"> 须 知</w:t>
      </w:r>
      <w:bookmarkEnd w:id="12"/>
    </w:p>
    <w:p>
      <w:pPr>
        <w:pStyle w:val="5"/>
        <w:spacing w:line="470" w:lineRule="exact"/>
        <w:jc w:val="center"/>
        <w:rPr>
          <w:color w:val="auto"/>
          <w:sz w:val="21"/>
        </w:rPr>
      </w:pPr>
      <w:bookmarkStart w:id="14" w:name="_Toc8583179"/>
      <w:r>
        <w:rPr>
          <w:rFonts w:hint="eastAsia"/>
          <w:color w:val="auto"/>
          <w:sz w:val="21"/>
        </w:rPr>
        <w:t xml:space="preserve">一、总 </w:t>
      </w:r>
      <w:bookmarkEnd w:id="13"/>
      <w:bookmarkStart w:id="15" w:name="_Toc495333046"/>
      <w:r>
        <w:rPr>
          <w:rFonts w:hint="eastAsia"/>
          <w:color w:val="auto"/>
          <w:sz w:val="21"/>
        </w:rPr>
        <w:t>则</w:t>
      </w:r>
      <w:bookmarkEnd w:id="14"/>
    </w:p>
    <w:p>
      <w:pPr>
        <w:pStyle w:val="24"/>
        <w:spacing w:line="470" w:lineRule="exact"/>
        <w:outlineLvl w:val="3"/>
        <w:rPr>
          <w:b/>
          <w:color w:val="auto"/>
        </w:rPr>
      </w:pPr>
      <w:r>
        <w:rPr>
          <w:rFonts w:hint="eastAsia"/>
          <w:b/>
          <w:color w:val="auto"/>
        </w:rPr>
        <w:t>1.项目</w:t>
      </w:r>
      <w:bookmarkEnd w:id="15"/>
      <w:r>
        <w:rPr>
          <w:rFonts w:hint="eastAsia"/>
          <w:b/>
          <w:color w:val="auto"/>
        </w:rPr>
        <w:t>名</w:t>
      </w:r>
      <w:bookmarkStart w:id="16" w:name="_Toc398645841"/>
      <w:bookmarkStart w:id="17" w:name="_Toc495333047"/>
      <w:r>
        <w:rPr>
          <w:rFonts w:hint="eastAsia"/>
          <w:b/>
          <w:color w:val="auto"/>
        </w:rPr>
        <w:t>称及项目编号</w:t>
      </w:r>
    </w:p>
    <w:p>
      <w:pPr>
        <w:pStyle w:val="24"/>
        <w:spacing w:line="470" w:lineRule="exact"/>
        <w:ind w:firstLine="420" w:firstLineChars="200"/>
        <w:rPr>
          <w:rFonts w:hAnsi="宋体"/>
          <w:color w:val="auto"/>
        </w:rPr>
      </w:pPr>
      <w:r>
        <w:rPr>
          <w:rFonts w:hint="eastAsia"/>
          <w:color w:val="auto"/>
        </w:rPr>
        <w:t>1.1项</w:t>
      </w:r>
      <w:bookmarkEnd w:id="16"/>
      <w:bookmarkEnd w:id="17"/>
      <w:r>
        <w:rPr>
          <w:rFonts w:hint="eastAsia"/>
          <w:color w:val="auto"/>
        </w:rPr>
        <w:t>目名称及项目编号详见本须知前附表</w:t>
      </w:r>
      <w:r>
        <w:rPr>
          <w:rFonts w:hint="eastAsia"/>
          <w:bCs/>
          <w:color w:val="auto"/>
        </w:rPr>
        <w:t>第1项。</w:t>
      </w:r>
    </w:p>
    <w:p>
      <w:pPr>
        <w:pStyle w:val="24"/>
        <w:spacing w:line="470" w:lineRule="exact"/>
        <w:outlineLvl w:val="3"/>
        <w:rPr>
          <w:b/>
          <w:color w:val="auto"/>
        </w:rPr>
      </w:pPr>
      <w:r>
        <w:rPr>
          <w:rFonts w:hint="eastAsia"/>
          <w:b/>
          <w:color w:val="auto"/>
        </w:rPr>
        <w:t>2.竞标供</w:t>
      </w:r>
      <w:bookmarkStart w:id="18" w:name="_Toc495333048"/>
      <w:bookmarkStart w:id="19" w:name="_Toc398645842"/>
      <w:r>
        <w:rPr>
          <w:rFonts w:hint="eastAsia"/>
          <w:b/>
          <w:color w:val="auto"/>
        </w:rPr>
        <w:t>应商资格</w:t>
      </w:r>
    </w:p>
    <w:p>
      <w:pPr>
        <w:pStyle w:val="24"/>
        <w:spacing w:line="470" w:lineRule="exact"/>
        <w:ind w:firstLine="420" w:firstLineChars="200"/>
        <w:rPr>
          <w:rFonts w:hAnsi="宋体"/>
          <w:color w:val="auto"/>
        </w:rPr>
      </w:pPr>
      <w:r>
        <w:rPr>
          <w:rFonts w:hint="eastAsia"/>
          <w:color w:val="auto"/>
        </w:rPr>
        <w:t>2.1参</w:t>
      </w:r>
      <w:bookmarkEnd w:id="18"/>
      <w:bookmarkEnd w:id="19"/>
      <w:r>
        <w:rPr>
          <w:rFonts w:hint="eastAsia"/>
          <w:color w:val="auto"/>
        </w:rPr>
        <w:t>加本项目的竞标供应商必须满足本须知前附表第2项要求的资格</w:t>
      </w:r>
      <w:r>
        <w:rPr>
          <w:rFonts w:hint="eastAsia" w:hAnsi="宋体"/>
          <w:color w:val="auto"/>
        </w:rPr>
        <w:t>；</w:t>
      </w:r>
    </w:p>
    <w:p>
      <w:pPr>
        <w:pStyle w:val="24"/>
        <w:spacing w:line="470" w:lineRule="exact"/>
        <w:ind w:firstLine="420"/>
        <w:rPr>
          <w:color w:val="auto"/>
        </w:rPr>
      </w:pPr>
      <w:r>
        <w:rPr>
          <w:rFonts w:hint="eastAsia"/>
          <w:color w:val="auto"/>
        </w:rPr>
        <w:t>2.2符合竞标供应商资格的竞标供应商应承担竞标及履约中应承担的全部责任与义务。</w:t>
      </w:r>
    </w:p>
    <w:p>
      <w:pPr>
        <w:pStyle w:val="24"/>
        <w:spacing w:line="470" w:lineRule="exact"/>
        <w:outlineLvl w:val="3"/>
        <w:rPr>
          <w:b/>
          <w:color w:val="auto"/>
        </w:rPr>
      </w:pPr>
      <w:r>
        <w:rPr>
          <w:rFonts w:hint="eastAsia"/>
          <w:b/>
          <w:color w:val="auto"/>
        </w:rPr>
        <w:t>3.竞标费</w:t>
      </w:r>
      <w:bookmarkStart w:id="20" w:name="_Toc495333049"/>
      <w:bookmarkStart w:id="21" w:name="_Toc398645843"/>
      <w:r>
        <w:rPr>
          <w:rFonts w:hint="eastAsia"/>
          <w:b/>
          <w:color w:val="auto"/>
        </w:rPr>
        <w:t>用</w:t>
      </w:r>
    </w:p>
    <w:p>
      <w:pPr>
        <w:pStyle w:val="24"/>
        <w:spacing w:line="470" w:lineRule="exact"/>
        <w:ind w:firstLine="420"/>
        <w:rPr>
          <w:color w:val="auto"/>
        </w:rPr>
      </w:pPr>
      <w:r>
        <w:rPr>
          <w:rFonts w:hint="eastAsia"/>
          <w:color w:val="auto"/>
        </w:rPr>
        <w:t>3.1竞</w:t>
      </w:r>
      <w:bookmarkEnd w:id="20"/>
      <w:bookmarkEnd w:id="21"/>
      <w:r>
        <w:rPr>
          <w:rFonts w:hint="eastAsia"/>
          <w:color w:val="auto"/>
        </w:rPr>
        <w:t>标供应商应向采购代理机构购买竞争性磋商文件并自行承担所有与本次竞标有关的全部费用。</w:t>
      </w:r>
    </w:p>
    <w:p>
      <w:pPr>
        <w:pStyle w:val="5"/>
        <w:spacing w:line="470" w:lineRule="exact"/>
        <w:jc w:val="center"/>
        <w:rPr>
          <w:b w:val="0"/>
          <w:bCs w:val="0"/>
          <w:color w:val="auto"/>
        </w:rPr>
      </w:pPr>
      <w:bookmarkStart w:id="22" w:name="_Toc8583180"/>
      <w:r>
        <w:rPr>
          <w:rFonts w:hint="eastAsia"/>
          <w:color w:val="auto"/>
          <w:sz w:val="21"/>
        </w:rPr>
        <w:t>二、竞争性</w:t>
      </w:r>
      <w:bookmarkStart w:id="23" w:name="_Toc495333050"/>
      <w:r>
        <w:rPr>
          <w:rFonts w:hint="eastAsia"/>
          <w:color w:val="auto"/>
          <w:sz w:val="21"/>
        </w:rPr>
        <w:t>磋商文件</w:t>
      </w:r>
      <w:bookmarkEnd w:id="22"/>
    </w:p>
    <w:p>
      <w:pPr>
        <w:pStyle w:val="24"/>
        <w:spacing w:line="470" w:lineRule="exact"/>
        <w:outlineLvl w:val="3"/>
        <w:rPr>
          <w:b/>
          <w:color w:val="auto"/>
        </w:rPr>
      </w:pPr>
      <w:r>
        <w:rPr>
          <w:rFonts w:hint="eastAsia"/>
          <w:b/>
          <w:color w:val="auto"/>
        </w:rPr>
        <w:t>4.竞争</w:t>
      </w:r>
      <w:bookmarkEnd w:id="23"/>
      <w:r>
        <w:rPr>
          <w:rFonts w:hint="eastAsia"/>
          <w:b/>
          <w:color w:val="auto"/>
        </w:rPr>
        <w:t>性</w:t>
      </w:r>
      <w:bookmarkStart w:id="24" w:name="_Toc398645845"/>
      <w:bookmarkStart w:id="25" w:name="_Toc495333051"/>
      <w:r>
        <w:rPr>
          <w:rFonts w:hint="eastAsia"/>
          <w:b/>
          <w:color w:val="auto"/>
        </w:rPr>
        <w:t>磋商文件的构成</w:t>
      </w:r>
    </w:p>
    <w:p>
      <w:pPr>
        <w:pStyle w:val="24"/>
        <w:spacing w:line="470" w:lineRule="exact"/>
        <w:ind w:firstLine="420"/>
        <w:rPr>
          <w:color w:val="auto"/>
        </w:rPr>
      </w:pPr>
      <w:r>
        <w:rPr>
          <w:rFonts w:hint="eastAsia"/>
          <w:color w:val="auto"/>
        </w:rPr>
        <w:t>4.1竞</w:t>
      </w:r>
      <w:bookmarkEnd w:id="24"/>
      <w:bookmarkEnd w:id="25"/>
      <w:r>
        <w:rPr>
          <w:rFonts w:hint="eastAsia"/>
          <w:color w:val="auto"/>
        </w:rPr>
        <w:t>争性磋商文件包括：</w:t>
      </w:r>
    </w:p>
    <w:p>
      <w:pPr>
        <w:pStyle w:val="24"/>
        <w:spacing w:line="470" w:lineRule="exact"/>
        <w:ind w:firstLine="426"/>
        <w:rPr>
          <w:color w:val="auto"/>
        </w:rPr>
      </w:pPr>
      <w:r>
        <w:rPr>
          <w:rFonts w:hint="eastAsia"/>
          <w:color w:val="auto"/>
        </w:rPr>
        <w:t>⑴</w:t>
      </w:r>
      <w:r>
        <w:rPr>
          <w:rFonts w:hint="eastAsia" w:hAnsi="宋体"/>
          <w:color w:val="auto"/>
        </w:rPr>
        <w:t>竞标公</w:t>
      </w:r>
      <w:r>
        <w:rPr>
          <w:rFonts w:hint="eastAsia"/>
          <w:color w:val="auto"/>
        </w:rPr>
        <w:t>告；</w:t>
      </w:r>
    </w:p>
    <w:p>
      <w:pPr>
        <w:pStyle w:val="24"/>
        <w:spacing w:line="470" w:lineRule="exact"/>
        <w:ind w:firstLine="420"/>
        <w:rPr>
          <w:color w:val="auto"/>
        </w:rPr>
      </w:pPr>
      <w:r>
        <w:rPr>
          <w:rFonts w:hint="eastAsia"/>
          <w:color w:val="auto"/>
        </w:rPr>
        <w:t>⑵竞标供应商须知及前附表；</w:t>
      </w:r>
    </w:p>
    <w:p>
      <w:pPr>
        <w:pStyle w:val="24"/>
        <w:spacing w:line="470" w:lineRule="exact"/>
        <w:ind w:firstLine="420"/>
        <w:rPr>
          <w:color w:val="auto"/>
        </w:rPr>
      </w:pPr>
      <w:r>
        <w:rPr>
          <w:rFonts w:hint="eastAsia"/>
          <w:color w:val="auto"/>
        </w:rPr>
        <w:t>⑶项目需求及要求；</w:t>
      </w:r>
    </w:p>
    <w:p>
      <w:pPr>
        <w:pStyle w:val="24"/>
        <w:spacing w:line="470" w:lineRule="exact"/>
        <w:ind w:firstLine="420"/>
        <w:rPr>
          <w:color w:val="auto"/>
        </w:rPr>
      </w:pPr>
      <w:r>
        <w:rPr>
          <w:rFonts w:hint="eastAsia"/>
          <w:color w:val="auto"/>
        </w:rPr>
        <w:t>⑷合同基本条款及合同（格式）；</w:t>
      </w:r>
    </w:p>
    <w:p>
      <w:pPr>
        <w:pStyle w:val="24"/>
        <w:spacing w:line="470" w:lineRule="exact"/>
        <w:ind w:firstLine="420"/>
        <w:rPr>
          <w:color w:val="auto"/>
        </w:rPr>
      </w:pPr>
      <w:r>
        <w:rPr>
          <w:rFonts w:hint="eastAsia"/>
          <w:color w:val="auto"/>
        </w:rPr>
        <w:t>⑸评定成交的标准</w:t>
      </w:r>
    </w:p>
    <w:p>
      <w:pPr>
        <w:pStyle w:val="24"/>
        <w:spacing w:line="470" w:lineRule="exact"/>
        <w:ind w:firstLine="420"/>
        <w:rPr>
          <w:color w:val="auto"/>
        </w:rPr>
      </w:pPr>
      <w:r>
        <w:rPr>
          <w:rFonts w:hint="eastAsia"/>
          <w:color w:val="auto"/>
        </w:rPr>
        <w:t>（6）响应文件（格式）；</w:t>
      </w:r>
    </w:p>
    <w:p>
      <w:pPr>
        <w:pStyle w:val="24"/>
        <w:spacing w:line="470" w:lineRule="exact"/>
        <w:ind w:firstLine="420"/>
        <w:rPr>
          <w:color w:val="auto"/>
        </w:rPr>
      </w:pPr>
      <w:r>
        <w:rPr>
          <w:rFonts w:hint="eastAsia"/>
          <w:color w:val="auto"/>
        </w:rPr>
        <w:t>4.2本竞争性磋商文件以纸质文件为准。</w:t>
      </w:r>
    </w:p>
    <w:p>
      <w:pPr>
        <w:pStyle w:val="24"/>
        <w:spacing w:line="470" w:lineRule="exact"/>
        <w:outlineLvl w:val="3"/>
        <w:rPr>
          <w:b/>
          <w:color w:val="auto"/>
        </w:rPr>
      </w:pPr>
      <w:r>
        <w:rPr>
          <w:rFonts w:hint="eastAsia"/>
          <w:b/>
          <w:color w:val="auto"/>
        </w:rPr>
        <w:t>5. 竞争</w:t>
      </w:r>
      <w:bookmarkStart w:id="26" w:name="_Toc495333052"/>
      <w:bookmarkStart w:id="27" w:name="_Toc398645846"/>
      <w:r>
        <w:rPr>
          <w:rFonts w:hint="eastAsia"/>
          <w:b/>
          <w:color w:val="auto"/>
        </w:rPr>
        <w:t>性磋商文件的澄清和修改</w:t>
      </w:r>
    </w:p>
    <w:bookmarkEnd w:id="26"/>
    <w:bookmarkEnd w:id="27"/>
    <w:p>
      <w:pPr>
        <w:pStyle w:val="24"/>
        <w:spacing w:line="440" w:lineRule="exact"/>
        <w:ind w:left="2" w:firstLine="360"/>
        <w:rPr>
          <w:rFonts w:hAnsi="宋体"/>
          <w:color w:val="auto"/>
        </w:rPr>
      </w:pPr>
      <w:bookmarkStart w:id="28" w:name="_Toc8583181"/>
      <w:r>
        <w:rPr>
          <w:rFonts w:hint="eastAsia" w:hAnsi="宋体"/>
          <w:color w:val="auto"/>
        </w:rPr>
        <w:t>5.1</w:t>
      </w:r>
      <w:r>
        <w:rPr>
          <w:rFonts w:hint="eastAsia"/>
          <w:bCs/>
          <w:color w:val="auto"/>
        </w:rPr>
        <w:t>竞标供应商</w:t>
      </w:r>
      <w:r>
        <w:rPr>
          <w:rFonts w:hint="eastAsia" w:hAnsi="宋体"/>
          <w:color w:val="auto"/>
        </w:rPr>
        <w:t>如发现采购文件内容有误或对采购活动事项有疑问的，应在提交首次响应文件截止时间5日前以书面形式向采购人或采购代理机构提出澄清或者询问。采购人、采购代理机构将在3个工作日内对磋商人依法提出的询问作出答复。</w:t>
      </w:r>
    </w:p>
    <w:p>
      <w:pPr>
        <w:pStyle w:val="24"/>
        <w:spacing w:line="440" w:lineRule="exact"/>
        <w:ind w:left="2" w:firstLine="360"/>
        <w:rPr>
          <w:rFonts w:hAnsi="宋体"/>
          <w:color w:val="auto"/>
        </w:rPr>
      </w:pPr>
      <w:r>
        <w:rPr>
          <w:rFonts w:hint="eastAsia" w:hAnsi="宋体"/>
          <w:color w:val="auto"/>
        </w:rPr>
        <w:t>5.2提交首次响应文件截止之日前，采购人、采购代理机构对已发出的磋商文件进行必要的澄清或者修改。如澄清或者修改的内容可能影响响应文件编制的，在提交首次响应文件截止之日5日前，在采购信息发布媒体发布更正公告。</w:t>
      </w:r>
    </w:p>
    <w:p>
      <w:pPr>
        <w:pStyle w:val="24"/>
        <w:spacing w:line="440" w:lineRule="exact"/>
        <w:ind w:left="2" w:firstLine="360"/>
        <w:rPr>
          <w:rFonts w:hAnsi="宋体"/>
          <w:color w:val="auto"/>
        </w:rPr>
      </w:pPr>
      <w:r>
        <w:rPr>
          <w:rFonts w:hint="eastAsia" w:hAnsi="宋体"/>
          <w:color w:val="auto"/>
        </w:rPr>
        <w:t>5.3采购人、采购代理机构可视具体情况，延长磋商截止时间和开标时间的，在提交首次响应文件截止时间2日前，在采购信息发布媒体上发布变更公告。</w:t>
      </w:r>
    </w:p>
    <w:p>
      <w:pPr>
        <w:pStyle w:val="24"/>
        <w:spacing w:line="440" w:lineRule="exact"/>
        <w:ind w:left="2" w:firstLine="360"/>
        <w:rPr>
          <w:rFonts w:hAnsi="宋体"/>
          <w:b/>
          <w:bCs/>
          <w:color w:val="auto"/>
        </w:rPr>
      </w:pPr>
      <w:r>
        <w:rPr>
          <w:rFonts w:hint="eastAsia" w:hAnsi="宋体"/>
          <w:color w:val="auto"/>
        </w:rPr>
        <w:t>5.4所有与本项目相关的澄清、修改、补遗的内容作为磋商文件的组成部分。该所有通知文件在采购信息媒体发布之日起，视为</w:t>
      </w:r>
      <w:r>
        <w:rPr>
          <w:rFonts w:hint="eastAsia"/>
          <w:bCs/>
          <w:color w:val="auto"/>
        </w:rPr>
        <w:t>竞标供应商</w:t>
      </w:r>
      <w:r>
        <w:rPr>
          <w:rFonts w:hint="eastAsia" w:hAnsi="宋体"/>
          <w:color w:val="auto"/>
        </w:rPr>
        <w:t>已收到该通知。</w:t>
      </w:r>
      <w:r>
        <w:rPr>
          <w:rFonts w:hint="eastAsia"/>
          <w:bCs/>
          <w:color w:val="auto"/>
        </w:rPr>
        <w:t>竞标供应商</w:t>
      </w:r>
      <w:r>
        <w:rPr>
          <w:rFonts w:hint="eastAsia" w:hAnsi="宋体"/>
          <w:color w:val="auto"/>
        </w:rPr>
        <w:t>未及时关注网站上发布的通知文件造成的损失，由</w:t>
      </w:r>
      <w:r>
        <w:rPr>
          <w:rFonts w:hint="eastAsia"/>
          <w:bCs/>
          <w:color w:val="auto"/>
        </w:rPr>
        <w:t>竞标供应商</w:t>
      </w:r>
      <w:r>
        <w:rPr>
          <w:rFonts w:hint="eastAsia" w:hAnsi="宋体"/>
          <w:color w:val="auto"/>
        </w:rPr>
        <w:t>负责。</w:t>
      </w:r>
    </w:p>
    <w:p>
      <w:pPr>
        <w:pStyle w:val="5"/>
        <w:spacing w:line="470" w:lineRule="exact"/>
        <w:jc w:val="center"/>
        <w:rPr>
          <w:b w:val="0"/>
          <w:bCs w:val="0"/>
          <w:color w:val="auto"/>
        </w:rPr>
      </w:pPr>
      <w:r>
        <w:rPr>
          <w:rFonts w:hint="eastAsia"/>
          <w:color w:val="auto"/>
          <w:sz w:val="21"/>
        </w:rPr>
        <w:t>三、响应文</w:t>
      </w:r>
      <w:bookmarkStart w:id="29" w:name="_Toc495333053"/>
      <w:r>
        <w:rPr>
          <w:rFonts w:hint="eastAsia"/>
          <w:color w:val="auto"/>
          <w:sz w:val="21"/>
        </w:rPr>
        <w:t>件的编制格式</w:t>
      </w:r>
      <w:bookmarkEnd w:id="28"/>
    </w:p>
    <w:p>
      <w:pPr>
        <w:pStyle w:val="24"/>
        <w:spacing w:line="470" w:lineRule="exact"/>
        <w:outlineLvl w:val="3"/>
        <w:rPr>
          <w:b/>
          <w:color w:val="auto"/>
        </w:rPr>
      </w:pPr>
      <w:r>
        <w:rPr>
          <w:rFonts w:hint="eastAsia"/>
          <w:b/>
          <w:color w:val="auto"/>
        </w:rPr>
        <w:t>6.响应</w:t>
      </w:r>
      <w:bookmarkEnd w:id="29"/>
      <w:r>
        <w:rPr>
          <w:rFonts w:hint="eastAsia"/>
          <w:b/>
          <w:color w:val="auto"/>
        </w:rPr>
        <w:t>文</w:t>
      </w:r>
      <w:bookmarkStart w:id="30" w:name="_Toc495333054"/>
      <w:bookmarkStart w:id="31" w:name="_Toc398645848"/>
      <w:r>
        <w:rPr>
          <w:rFonts w:hint="eastAsia"/>
          <w:b/>
          <w:color w:val="auto"/>
        </w:rPr>
        <w:t>件编写的注意事项</w:t>
      </w:r>
    </w:p>
    <w:p>
      <w:pPr>
        <w:pStyle w:val="24"/>
        <w:spacing w:line="470" w:lineRule="exact"/>
        <w:ind w:firstLine="420"/>
        <w:rPr>
          <w:bCs/>
          <w:color w:val="auto"/>
          <w:szCs w:val="21"/>
        </w:rPr>
      </w:pPr>
      <w:r>
        <w:rPr>
          <w:rFonts w:hint="eastAsia"/>
          <w:bCs/>
          <w:color w:val="auto"/>
        </w:rPr>
        <w:t>6.1竞</w:t>
      </w:r>
      <w:bookmarkEnd w:id="30"/>
      <w:bookmarkEnd w:id="31"/>
      <w:r>
        <w:rPr>
          <w:rFonts w:hint="eastAsia"/>
          <w:bCs/>
          <w:color w:val="auto"/>
        </w:rPr>
        <w:t>标供应商应认真阅读竞争性磋商文件，按照竞争性磋商文件的要求编制响应文件</w:t>
      </w:r>
      <w:r>
        <w:rPr>
          <w:rFonts w:hint="eastAsia"/>
          <w:bCs/>
          <w:color w:val="auto"/>
          <w:szCs w:val="21"/>
        </w:rPr>
        <w:t>。如果没有按照竞争性磋商文件要求提交响应文件，没有对竞争性磋商文件提出的实质性要求和条件作出响应，该竞标将被拒绝。</w:t>
      </w:r>
    </w:p>
    <w:p>
      <w:pPr>
        <w:pStyle w:val="24"/>
        <w:spacing w:line="470" w:lineRule="exact"/>
        <w:ind w:firstLine="420"/>
        <w:rPr>
          <w:color w:val="auto"/>
        </w:rPr>
      </w:pPr>
      <w:r>
        <w:rPr>
          <w:rFonts w:hint="eastAsia"/>
          <w:bCs/>
          <w:color w:val="auto"/>
        </w:rPr>
        <w:t>6.2竞争性磋商文件提出的实质性要求和条件是指本竞标项目所涉及的价格、服务内容、数量、售后服务及其它要求、合同条款等内容。</w:t>
      </w:r>
    </w:p>
    <w:p>
      <w:pPr>
        <w:pStyle w:val="24"/>
        <w:spacing w:line="470" w:lineRule="exact"/>
        <w:outlineLvl w:val="3"/>
        <w:rPr>
          <w:b/>
          <w:color w:val="auto"/>
        </w:rPr>
      </w:pPr>
      <w:r>
        <w:rPr>
          <w:rFonts w:hint="eastAsia"/>
          <w:b/>
          <w:color w:val="auto"/>
        </w:rPr>
        <w:t>7.响应文</w:t>
      </w:r>
      <w:bookmarkStart w:id="32" w:name="_Toc398645849"/>
      <w:bookmarkStart w:id="33" w:name="_Toc495333055"/>
      <w:r>
        <w:rPr>
          <w:rFonts w:hint="eastAsia"/>
          <w:b/>
          <w:color w:val="auto"/>
        </w:rPr>
        <w:t>件的构成</w:t>
      </w:r>
    </w:p>
    <w:p>
      <w:pPr>
        <w:pStyle w:val="24"/>
        <w:spacing w:line="470" w:lineRule="exact"/>
        <w:ind w:firstLine="420"/>
        <w:rPr>
          <w:color w:val="auto"/>
        </w:rPr>
      </w:pPr>
      <w:r>
        <w:rPr>
          <w:rFonts w:hint="eastAsia"/>
          <w:color w:val="auto"/>
        </w:rPr>
        <w:t>7.1竞</w:t>
      </w:r>
      <w:bookmarkEnd w:id="32"/>
      <w:bookmarkEnd w:id="33"/>
      <w:r>
        <w:rPr>
          <w:rFonts w:hint="eastAsia"/>
          <w:color w:val="auto"/>
        </w:rPr>
        <w:t>标供应商编写的响应文件应包括下列内容（竞标供应商应按下列顺序自编目录及页码装订成册）：</w:t>
      </w:r>
    </w:p>
    <w:p>
      <w:pPr>
        <w:pStyle w:val="24"/>
        <w:spacing w:line="460" w:lineRule="exact"/>
        <w:ind w:firstLine="420"/>
        <w:rPr>
          <w:color w:val="auto"/>
        </w:rPr>
      </w:pPr>
      <w:r>
        <w:rPr>
          <w:rFonts w:hint="eastAsia"/>
          <w:color w:val="auto"/>
        </w:rPr>
        <w:t>（1）竞标</w:t>
      </w:r>
      <w:bookmarkStart w:id="34" w:name="_Toc398645850"/>
      <w:r>
        <w:rPr>
          <w:rFonts w:hint="eastAsia"/>
          <w:color w:val="auto"/>
        </w:rPr>
        <w:t>函；</w:t>
      </w:r>
    </w:p>
    <w:p>
      <w:pPr>
        <w:pStyle w:val="24"/>
        <w:spacing w:line="460" w:lineRule="exact"/>
        <w:ind w:firstLine="420"/>
        <w:rPr>
          <w:color w:val="auto"/>
        </w:rPr>
      </w:pPr>
      <w:r>
        <w:rPr>
          <w:rFonts w:hint="eastAsia"/>
          <w:color w:val="auto"/>
        </w:rPr>
        <w:t>（2）竞标报价表；</w:t>
      </w:r>
    </w:p>
    <w:p>
      <w:pPr>
        <w:pStyle w:val="24"/>
        <w:spacing w:line="460" w:lineRule="exact"/>
        <w:ind w:firstLine="420"/>
        <w:rPr>
          <w:color w:val="auto"/>
        </w:rPr>
      </w:pPr>
      <w:r>
        <w:rPr>
          <w:rFonts w:hint="eastAsia"/>
          <w:color w:val="auto"/>
        </w:rPr>
        <w:t>（3）竞标供应商资格证明文件；</w:t>
      </w:r>
    </w:p>
    <w:p>
      <w:pPr>
        <w:pStyle w:val="24"/>
        <w:spacing w:line="460" w:lineRule="exact"/>
        <w:ind w:firstLine="420"/>
        <w:rPr>
          <w:color w:val="auto"/>
        </w:rPr>
      </w:pPr>
      <w:r>
        <w:rPr>
          <w:rFonts w:hint="eastAsia"/>
          <w:color w:val="auto"/>
        </w:rPr>
        <w:t>（4）技术方案</w:t>
      </w:r>
    </w:p>
    <w:p>
      <w:pPr>
        <w:pStyle w:val="24"/>
        <w:spacing w:line="460" w:lineRule="exact"/>
        <w:ind w:firstLine="420"/>
        <w:rPr>
          <w:color w:val="auto"/>
        </w:rPr>
      </w:pPr>
      <w:r>
        <w:rPr>
          <w:rFonts w:hint="eastAsia"/>
          <w:color w:val="auto"/>
        </w:rPr>
        <w:t>（5）实施方案</w:t>
      </w:r>
    </w:p>
    <w:p>
      <w:pPr>
        <w:pStyle w:val="24"/>
        <w:spacing w:line="460" w:lineRule="exact"/>
        <w:ind w:firstLine="420"/>
        <w:rPr>
          <w:color w:val="auto"/>
        </w:rPr>
      </w:pPr>
      <w:r>
        <w:rPr>
          <w:rFonts w:hint="eastAsia"/>
          <w:color w:val="auto"/>
        </w:rPr>
        <w:t>（6）售后服务方案</w:t>
      </w:r>
    </w:p>
    <w:p>
      <w:pPr>
        <w:pStyle w:val="24"/>
        <w:spacing w:line="460" w:lineRule="exact"/>
        <w:ind w:firstLine="420"/>
        <w:rPr>
          <w:color w:val="auto"/>
        </w:rPr>
      </w:pPr>
      <w:r>
        <w:rPr>
          <w:rFonts w:hint="eastAsia"/>
          <w:color w:val="auto"/>
        </w:rPr>
        <w:t>（7）服务承诺方案</w:t>
      </w:r>
    </w:p>
    <w:p>
      <w:pPr>
        <w:pStyle w:val="24"/>
        <w:spacing w:line="460" w:lineRule="exact"/>
        <w:ind w:firstLine="420"/>
        <w:rPr>
          <w:color w:val="auto"/>
        </w:rPr>
      </w:pPr>
      <w:r>
        <w:rPr>
          <w:rFonts w:hint="eastAsia"/>
          <w:color w:val="auto"/>
        </w:rPr>
        <w:t>（8）应急方案</w:t>
      </w:r>
    </w:p>
    <w:p>
      <w:pPr>
        <w:pStyle w:val="24"/>
        <w:spacing w:line="460" w:lineRule="exact"/>
        <w:ind w:firstLine="420"/>
        <w:rPr>
          <w:color w:val="auto"/>
        </w:rPr>
      </w:pPr>
      <w:r>
        <w:rPr>
          <w:rFonts w:hint="eastAsia"/>
          <w:color w:val="auto"/>
        </w:rPr>
        <w:t>（9）竞标供应商认为需要提供的其他有关资料</w:t>
      </w:r>
    </w:p>
    <w:p>
      <w:pPr>
        <w:pStyle w:val="24"/>
        <w:spacing w:line="460" w:lineRule="exact"/>
        <w:ind w:firstLine="420"/>
        <w:jc w:val="left"/>
        <w:rPr>
          <w:b/>
          <w:color w:val="auto"/>
        </w:rPr>
      </w:pPr>
      <w:r>
        <w:rPr>
          <w:rFonts w:hint="eastAsia"/>
          <w:b/>
          <w:color w:val="auto"/>
        </w:rPr>
        <w:t>8.响应文</w:t>
      </w:r>
      <w:bookmarkStart w:id="35" w:name="_Toc495333056"/>
      <w:r>
        <w:rPr>
          <w:rFonts w:hint="eastAsia"/>
          <w:b/>
          <w:color w:val="auto"/>
        </w:rPr>
        <w:t>件的文字及计量单位</w:t>
      </w:r>
    </w:p>
    <w:p>
      <w:pPr>
        <w:pStyle w:val="24"/>
        <w:spacing w:line="470" w:lineRule="exact"/>
        <w:ind w:firstLine="420"/>
        <w:rPr>
          <w:color w:val="auto"/>
        </w:rPr>
      </w:pPr>
      <w:r>
        <w:rPr>
          <w:rFonts w:hint="eastAsia"/>
          <w:color w:val="auto"/>
        </w:rPr>
        <w:t>8.1竞</w:t>
      </w:r>
      <w:bookmarkEnd w:id="34"/>
      <w:bookmarkEnd w:id="35"/>
      <w:r>
        <w:rPr>
          <w:rFonts w:hint="eastAsia"/>
          <w:color w:val="auto"/>
        </w:rPr>
        <w:t>标供应商的响应文件以及竞标供应商与采购代理机构的所有来往的函电统一使用中文（另有规定的除外）。</w:t>
      </w:r>
    </w:p>
    <w:p>
      <w:pPr>
        <w:pStyle w:val="24"/>
        <w:spacing w:line="470" w:lineRule="exact"/>
        <w:ind w:firstLine="420"/>
        <w:rPr>
          <w:color w:val="auto"/>
        </w:rPr>
      </w:pPr>
      <w:r>
        <w:rPr>
          <w:rFonts w:hint="eastAsia"/>
          <w:color w:val="auto"/>
        </w:rPr>
        <w:t>8.2响应文件中使用的计量单位除竞争性磋商文件中有特殊规定外，一律使用法定计量单位。</w:t>
      </w:r>
    </w:p>
    <w:p>
      <w:pPr>
        <w:pStyle w:val="24"/>
        <w:spacing w:line="470" w:lineRule="exact"/>
        <w:outlineLvl w:val="3"/>
        <w:rPr>
          <w:b/>
          <w:color w:val="auto"/>
        </w:rPr>
      </w:pPr>
      <w:r>
        <w:rPr>
          <w:rFonts w:hint="eastAsia"/>
          <w:b/>
          <w:color w:val="auto"/>
        </w:rPr>
        <w:t>9</w:t>
      </w:r>
      <w:r>
        <w:rPr>
          <w:b/>
          <w:color w:val="auto"/>
        </w:rPr>
        <w:t>.</w:t>
      </w:r>
      <w:r>
        <w:rPr>
          <w:rFonts w:hint="eastAsia"/>
          <w:b/>
          <w:color w:val="auto"/>
        </w:rPr>
        <w:t>响应文</w:t>
      </w:r>
      <w:bookmarkStart w:id="36" w:name="_Toc495333057"/>
      <w:bookmarkStart w:id="37" w:name="_Toc398645851"/>
      <w:r>
        <w:rPr>
          <w:rFonts w:hint="eastAsia"/>
          <w:b/>
          <w:color w:val="auto"/>
        </w:rPr>
        <w:t>件格式</w:t>
      </w:r>
    </w:p>
    <w:p>
      <w:pPr>
        <w:pStyle w:val="24"/>
        <w:spacing w:line="470" w:lineRule="exact"/>
        <w:ind w:firstLine="420"/>
        <w:rPr>
          <w:color w:val="auto"/>
        </w:rPr>
      </w:pPr>
      <w:r>
        <w:rPr>
          <w:rFonts w:hint="eastAsia"/>
          <w:color w:val="auto"/>
        </w:rPr>
        <w:t>9.1竞</w:t>
      </w:r>
      <w:bookmarkEnd w:id="36"/>
      <w:bookmarkEnd w:id="37"/>
      <w:r>
        <w:rPr>
          <w:rFonts w:hint="eastAsia"/>
          <w:color w:val="auto"/>
        </w:rPr>
        <w:t>标供应商应参照本竞争性磋商文件第五章中“响应文件(格式)”编制响应文件。</w:t>
      </w:r>
    </w:p>
    <w:p>
      <w:pPr>
        <w:pStyle w:val="24"/>
        <w:spacing w:line="470" w:lineRule="exact"/>
        <w:ind w:firstLine="420"/>
        <w:rPr>
          <w:color w:val="auto"/>
        </w:rPr>
      </w:pPr>
      <w:r>
        <w:rPr>
          <w:rFonts w:hint="eastAsia"/>
          <w:color w:val="auto"/>
        </w:rPr>
        <w:t>9.2竞标供应商应按响应文件提供的竞标函、竞标报价表等格式详细完整地填写各项内容。</w:t>
      </w:r>
    </w:p>
    <w:p>
      <w:pPr>
        <w:pStyle w:val="24"/>
        <w:spacing w:line="470" w:lineRule="exact"/>
        <w:ind w:firstLine="420"/>
        <w:rPr>
          <w:color w:val="auto"/>
        </w:rPr>
      </w:pPr>
      <w:r>
        <w:rPr>
          <w:color w:val="auto"/>
        </w:rPr>
        <w:t>9</w:t>
      </w:r>
      <w:r>
        <w:rPr>
          <w:rFonts w:hint="eastAsia"/>
          <w:color w:val="auto"/>
        </w:rPr>
        <w:t>.3在竞标报价表中，竞标供应商应详细标明所提供的服务名称等。</w:t>
      </w:r>
    </w:p>
    <w:p>
      <w:pPr>
        <w:pStyle w:val="24"/>
        <w:spacing w:line="470" w:lineRule="exact"/>
        <w:ind w:firstLine="420"/>
        <w:rPr>
          <w:b/>
          <w:color w:val="auto"/>
          <w:szCs w:val="21"/>
        </w:rPr>
      </w:pPr>
      <w:r>
        <w:rPr>
          <w:rFonts w:hint="eastAsia"/>
          <w:color w:val="auto"/>
          <w:szCs w:val="21"/>
        </w:rPr>
        <w:t>9.4响应文件必须编制目录及页码，目录与页码必须保持一致，否则因此造成的一切后果由竞标供应商自行承担。</w:t>
      </w:r>
    </w:p>
    <w:p>
      <w:pPr>
        <w:pStyle w:val="24"/>
        <w:spacing w:line="470" w:lineRule="exact"/>
        <w:outlineLvl w:val="3"/>
        <w:rPr>
          <w:b/>
          <w:color w:val="auto"/>
        </w:rPr>
      </w:pPr>
      <w:r>
        <w:rPr>
          <w:rFonts w:hint="eastAsia"/>
          <w:b/>
          <w:color w:val="auto"/>
        </w:rPr>
        <w:t>1</w:t>
      </w:r>
      <w:r>
        <w:rPr>
          <w:b/>
          <w:color w:val="auto"/>
        </w:rPr>
        <w:t>0</w:t>
      </w:r>
      <w:r>
        <w:rPr>
          <w:rFonts w:hint="eastAsia"/>
          <w:b/>
          <w:color w:val="auto"/>
        </w:rPr>
        <w:t>.竞标</w:t>
      </w:r>
      <w:bookmarkStart w:id="38" w:name="_Toc495333058"/>
      <w:bookmarkStart w:id="39" w:name="_Toc398645852"/>
      <w:r>
        <w:rPr>
          <w:rFonts w:hint="eastAsia"/>
          <w:b/>
          <w:color w:val="auto"/>
        </w:rPr>
        <w:t>报价</w:t>
      </w:r>
    </w:p>
    <w:p>
      <w:pPr>
        <w:pStyle w:val="24"/>
        <w:spacing w:line="470" w:lineRule="exact"/>
        <w:ind w:firstLine="420"/>
        <w:rPr>
          <w:bCs/>
          <w:color w:val="auto"/>
          <w:szCs w:val="21"/>
        </w:rPr>
      </w:pPr>
      <w:r>
        <w:rPr>
          <w:rFonts w:hint="eastAsia"/>
          <w:bCs/>
          <w:color w:val="auto"/>
          <w:szCs w:val="21"/>
        </w:rPr>
        <w:t>1</w:t>
      </w:r>
      <w:r>
        <w:rPr>
          <w:bCs/>
          <w:color w:val="auto"/>
          <w:szCs w:val="21"/>
        </w:rPr>
        <w:t>0</w:t>
      </w:r>
      <w:r>
        <w:rPr>
          <w:rFonts w:hint="eastAsia"/>
          <w:bCs/>
          <w:color w:val="auto"/>
          <w:szCs w:val="21"/>
        </w:rPr>
        <w:t>.1</w:t>
      </w:r>
      <w:bookmarkEnd w:id="38"/>
      <w:bookmarkEnd w:id="39"/>
      <w:r>
        <w:rPr>
          <w:rFonts w:hint="eastAsia"/>
          <w:bCs/>
          <w:color w:val="auto"/>
          <w:szCs w:val="21"/>
        </w:rPr>
        <w:t>竞标供应商必须就《项目需求及要求》及磋商记录中的服务内容作完整唯一报价，否则其竞标将被拒绝。如果竞标供应商所填报的货物内容与竞争性磋商文件及磋商记录相比较有存在漏项的状况且在评标时被接受，则将被认为该遗漏项目已包含在磋商后的最终竞标价中，成交供应商在供货时应严格按竞争性磋商文件及磋商要求的货物内容完整提供，不得要求采购人对其漏报的货物追加支付货款。</w:t>
      </w:r>
    </w:p>
    <w:p>
      <w:pPr>
        <w:pStyle w:val="24"/>
        <w:spacing w:line="470" w:lineRule="exact"/>
        <w:ind w:firstLine="420"/>
        <w:rPr>
          <w:color w:val="auto"/>
          <w:szCs w:val="21"/>
        </w:rPr>
      </w:pPr>
      <w:r>
        <w:rPr>
          <w:rFonts w:hint="eastAsia"/>
          <w:bCs/>
          <w:color w:val="auto"/>
          <w:szCs w:val="21"/>
        </w:rPr>
        <w:t>1</w:t>
      </w:r>
      <w:r>
        <w:rPr>
          <w:bCs/>
          <w:color w:val="auto"/>
          <w:szCs w:val="21"/>
        </w:rPr>
        <w:t>0</w:t>
      </w:r>
      <w:r>
        <w:rPr>
          <w:rFonts w:hint="eastAsia"/>
          <w:bCs/>
          <w:color w:val="auto"/>
          <w:szCs w:val="21"/>
        </w:rPr>
        <w:t>.2竞标供应商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竞标供应商原因引起的报价失误，并在磋商时被接受，其后果由竞标供应商自负。</w:t>
      </w:r>
    </w:p>
    <w:p>
      <w:pPr>
        <w:pStyle w:val="24"/>
        <w:spacing w:line="470" w:lineRule="exact"/>
        <w:ind w:firstLine="420"/>
        <w:rPr>
          <w:color w:val="auto"/>
        </w:rPr>
      </w:pPr>
      <w:r>
        <w:rPr>
          <w:rFonts w:hint="eastAsia"/>
          <w:color w:val="auto"/>
        </w:rPr>
        <w:t>1</w:t>
      </w:r>
      <w:r>
        <w:rPr>
          <w:color w:val="auto"/>
        </w:rPr>
        <w:t>0</w:t>
      </w:r>
      <w:r>
        <w:rPr>
          <w:rFonts w:hint="eastAsia"/>
          <w:color w:val="auto"/>
        </w:rPr>
        <w:t>.3竞标报价包括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p>
      <w:pPr>
        <w:pStyle w:val="24"/>
        <w:spacing w:line="470" w:lineRule="exact"/>
        <w:outlineLvl w:val="3"/>
        <w:rPr>
          <w:b/>
          <w:color w:val="auto"/>
        </w:rPr>
      </w:pPr>
      <w:r>
        <w:rPr>
          <w:rFonts w:hint="eastAsia"/>
          <w:b/>
          <w:color w:val="auto"/>
        </w:rPr>
        <w:t>11.竞标</w:t>
      </w:r>
      <w:bookmarkStart w:id="40" w:name="_Toc495333059"/>
      <w:bookmarkStart w:id="41" w:name="_Toc398645853"/>
      <w:r>
        <w:rPr>
          <w:rFonts w:hint="eastAsia"/>
          <w:b/>
          <w:color w:val="auto"/>
        </w:rPr>
        <w:t>货币</w:t>
      </w:r>
    </w:p>
    <w:p>
      <w:pPr>
        <w:pStyle w:val="24"/>
        <w:spacing w:line="470" w:lineRule="exact"/>
        <w:ind w:firstLine="420"/>
        <w:rPr>
          <w:color w:val="auto"/>
        </w:rPr>
      </w:pPr>
      <w:r>
        <w:rPr>
          <w:rFonts w:hint="eastAsia"/>
          <w:color w:val="auto"/>
        </w:rPr>
        <w:t>11.1</w:t>
      </w:r>
      <w:bookmarkEnd w:id="40"/>
      <w:bookmarkEnd w:id="41"/>
      <w:r>
        <w:rPr>
          <w:rFonts w:hint="eastAsia"/>
          <w:color w:val="auto"/>
        </w:rPr>
        <w:t>竞标应以人民币报价。</w:t>
      </w:r>
    </w:p>
    <w:p>
      <w:pPr>
        <w:pStyle w:val="24"/>
        <w:spacing w:line="470" w:lineRule="exact"/>
        <w:outlineLvl w:val="3"/>
        <w:rPr>
          <w:b/>
          <w:color w:val="auto"/>
        </w:rPr>
      </w:pPr>
      <w:r>
        <w:rPr>
          <w:rFonts w:hint="eastAsia"/>
          <w:b/>
          <w:color w:val="auto"/>
        </w:rPr>
        <w:t>12.竞标</w:t>
      </w:r>
      <w:bookmarkStart w:id="42" w:name="_Toc398645854"/>
      <w:bookmarkStart w:id="43" w:name="_Toc495333060"/>
      <w:r>
        <w:rPr>
          <w:rFonts w:hint="eastAsia"/>
          <w:b/>
          <w:color w:val="auto"/>
        </w:rPr>
        <w:t>供应商资格证明文件（属复印件的必须加盖单位公章）</w:t>
      </w:r>
    </w:p>
    <w:p>
      <w:pPr>
        <w:pStyle w:val="24"/>
        <w:spacing w:line="470" w:lineRule="exact"/>
        <w:ind w:firstLine="306" w:firstLineChars="146"/>
        <w:rPr>
          <w:color w:val="auto"/>
          <w:szCs w:val="21"/>
        </w:rPr>
      </w:pPr>
      <w:r>
        <w:rPr>
          <w:rFonts w:hint="eastAsia"/>
          <w:color w:val="auto"/>
          <w:szCs w:val="21"/>
        </w:rPr>
        <w:t>12.1</w:t>
      </w:r>
      <w:bookmarkEnd w:id="42"/>
      <w:bookmarkEnd w:id="43"/>
      <w:r>
        <w:rPr>
          <w:rFonts w:hint="eastAsia"/>
          <w:color w:val="auto"/>
          <w:szCs w:val="21"/>
        </w:rPr>
        <w:t>下述资格证明文件中注明必须提交的文件均必须于本项目截标前与响应文件同时提交完备，同时加盖单位公章，将被当作资格审查不合格而取消竞标资格：</w:t>
      </w:r>
    </w:p>
    <w:p>
      <w:pPr>
        <w:pStyle w:val="24"/>
        <w:spacing w:line="470" w:lineRule="exact"/>
        <w:ind w:firstLine="420"/>
        <w:rPr>
          <w:color w:val="auto"/>
        </w:rPr>
      </w:pPr>
      <w:r>
        <w:rPr>
          <w:rFonts w:hint="eastAsia"/>
          <w:color w:val="auto"/>
        </w:rPr>
        <w:t>（1）</w:t>
      </w:r>
      <w:r>
        <w:rPr>
          <w:rFonts w:hint="eastAsia"/>
          <w:color w:val="auto"/>
          <w:shd w:val="clear" w:color="auto" w:fill="FFFFFF"/>
        </w:rPr>
        <w:t>竞标供应商有效的三证合一“营业执照”副本复印件</w:t>
      </w:r>
      <w:r>
        <w:rPr>
          <w:rFonts w:hint="eastAsia"/>
          <w:color w:val="auto"/>
        </w:rPr>
        <w:t>（必须提交，加盖公章）</w:t>
      </w:r>
    </w:p>
    <w:p>
      <w:pPr>
        <w:pStyle w:val="24"/>
        <w:spacing w:line="470" w:lineRule="exact"/>
        <w:ind w:firstLine="420" w:firstLineChars="200"/>
        <w:rPr>
          <w:color w:val="auto"/>
          <w:shd w:val="clear" w:color="auto" w:fill="FFFFFF"/>
        </w:rPr>
      </w:pPr>
      <w:r>
        <w:rPr>
          <w:rFonts w:hint="eastAsia"/>
          <w:color w:val="auto"/>
        </w:rPr>
        <w:t>（2）</w:t>
      </w:r>
      <w:r>
        <w:rPr>
          <w:rFonts w:hint="eastAsia" w:hAnsi="宋体" w:cs="宋体"/>
          <w:color w:val="auto"/>
        </w:rPr>
        <w:t>法定代表人（负责人）身份证复印件</w:t>
      </w:r>
      <w:r>
        <w:rPr>
          <w:rFonts w:hint="eastAsia"/>
          <w:color w:val="auto"/>
        </w:rPr>
        <w:t>（必须提交，加盖公章）</w:t>
      </w:r>
    </w:p>
    <w:p>
      <w:pPr>
        <w:pStyle w:val="24"/>
        <w:spacing w:line="470" w:lineRule="exact"/>
        <w:ind w:firstLine="420"/>
        <w:rPr>
          <w:color w:val="auto"/>
        </w:rPr>
      </w:pPr>
      <w:r>
        <w:rPr>
          <w:rFonts w:hint="eastAsia"/>
          <w:color w:val="auto"/>
        </w:rPr>
        <w:t>（3）</w:t>
      </w:r>
      <w:r>
        <w:rPr>
          <w:rFonts w:hint="eastAsia"/>
          <w:color w:val="auto"/>
          <w:shd w:val="clear" w:color="auto" w:fill="FFFFFF"/>
        </w:rPr>
        <w:t>有效的</w:t>
      </w:r>
      <w:r>
        <w:rPr>
          <w:rFonts w:hint="eastAsia" w:hAnsi="宋体"/>
          <w:color w:val="auto"/>
          <w:szCs w:val="21"/>
          <w:shd w:val="clear" w:color="auto" w:fill="FFFFFF"/>
        </w:rPr>
        <w:t>法定代表人（负责人）授权委托书原件和委托代理人身份证</w:t>
      </w:r>
      <w:r>
        <w:rPr>
          <w:rFonts w:hint="eastAsia"/>
          <w:color w:val="auto"/>
          <w:shd w:val="clear" w:color="auto" w:fill="FFFFFF"/>
        </w:rPr>
        <w:t>正反面</w:t>
      </w:r>
      <w:r>
        <w:rPr>
          <w:rFonts w:hint="eastAsia" w:hAnsi="宋体"/>
          <w:color w:val="auto"/>
          <w:szCs w:val="21"/>
          <w:shd w:val="clear" w:color="auto" w:fill="FFFFFF"/>
        </w:rPr>
        <w:t>复印件</w:t>
      </w:r>
      <w:r>
        <w:rPr>
          <w:rFonts w:hint="eastAsia"/>
          <w:color w:val="auto"/>
        </w:rPr>
        <w:t>（</w:t>
      </w:r>
      <w:r>
        <w:rPr>
          <w:rFonts w:hint="eastAsia" w:hAnsi="宋体"/>
          <w:color w:val="auto"/>
          <w:shd w:val="clear" w:color="auto" w:fill="FFFFFF"/>
        </w:rPr>
        <w:t>委托时必须提供）（</w:t>
      </w:r>
      <w:r>
        <w:rPr>
          <w:rFonts w:hint="eastAsia"/>
          <w:color w:val="auto"/>
        </w:rPr>
        <w:t>必须提供，加盖竞标单位公章）；</w:t>
      </w:r>
    </w:p>
    <w:p>
      <w:pPr>
        <w:pStyle w:val="24"/>
        <w:spacing w:line="470" w:lineRule="exact"/>
        <w:ind w:firstLine="420"/>
        <w:rPr>
          <w:color w:val="auto"/>
        </w:rPr>
      </w:pPr>
      <w:r>
        <w:rPr>
          <w:rFonts w:hint="eastAsia"/>
          <w:color w:val="auto"/>
        </w:rPr>
        <w:t>（4）</w:t>
      </w:r>
      <w:r>
        <w:rPr>
          <w:rFonts w:hint="eastAsia" w:hAnsi="宋体"/>
          <w:color w:val="auto"/>
          <w:szCs w:val="21"/>
          <w:shd w:val="clear" w:color="auto" w:fill="FFFFFF"/>
        </w:rPr>
        <w:t>竞标供应商近半年</w:t>
      </w:r>
      <w:r>
        <w:rPr>
          <w:rStyle w:val="52"/>
          <w:rFonts w:hint="eastAsia" w:ascii="Times New Roman" w:hAnsi="Times New Roman" w:cs="Times New Roman"/>
          <w:color w:val="auto"/>
        </w:rPr>
        <w:t>内其中一个月</w:t>
      </w:r>
      <w:r>
        <w:rPr>
          <w:rFonts w:hint="eastAsia" w:hAnsi="宋体"/>
          <w:color w:val="auto"/>
          <w:szCs w:val="21"/>
          <w:shd w:val="clear" w:color="auto" w:fill="FFFFFF"/>
        </w:rPr>
        <w:t>依法缴纳税费或依法免缴税费的证明复印件</w:t>
      </w:r>
      <w:r>
        <w:rPr>
          <w:rFonts w:hint="eastAsia"/>
          <w:color w:val="auto"/>
        </w:rPr>
        <w:t>（必须提交，加盖公章）；</w:t>
      </w:r>
    </w:p>
    <w:p>
      <w:pPr>
        <w:pStyle w:val="24"/>
        <w:spacing w:line="470" w:lineRule="exact"/>
        <w:ind w:firstLine="420" w:firstLineChars="200"/>
        <w:rPr>
          <w:color w:val="auto"/>
        </w:rPr>
      </w:pPr>
      <w:r>
        <w:rPr>
          <w:rFonts w:hint="eastAsia"/>
          <w:color w:val="auto"/>
        </w:rPr>
        <w:t>（5）</w:t>
      </w:r>
      <w:r>
        <w:rPr>
          <w:rFonts w:hint="eastAsia" w:hAnsi="宋体"/>
          <w:color w:val="auto"/>
          <w:szCs w:val="21"/>
          <w:shd w:val="clear" w:color="auto" w:fill="FFFFFF"/>
        </w:rPr>
        <w:t>竞标供应商近半年内</w:t>
      </w:r>
      <w:r>
        <w:rPr>
          <w:rStyle w:val="52"/>
          <w:rFonts w:hint="eastAsia" w:ascii="Times New Roman" w:hAnsi="Times New Roman" w:cs="Times New Roman"/>
          <w:color w:val="auto"/>
        </w:rPr>
        <w:t>其中一个月</w:t>
      </w:r>
      <w:r>
        <w:rPr>
          <w:rFonts w:hint="eastAsia" w:hAnsi="宋体"/>
          <w:color w:val="auto"/>
          <w:szCs w:val="21"/>
          <w:shd w:val="clear" w:color="auto" w:fill="FFFFFF"/>
        </w:rPr>
        <w:t>依法缴纳社保费的缴费凭证复印件</w:t>
      </w:r>
      <w:r>
        <w:rPr>
          <w:rFonts w:hint="eastAsia"/>
          <w:color w:val="auto"/>
        </w:rPr>
        <w:t>（必须提交，加盖公章）；</w:t>
      </w:r>
    </w:p>
    <w:p>
      <w:pPr>
        <w:pStyle w:val="24"/>
        <w:spacing w:line="470" w:lineRule="exact"/>
        <w:ind w:firstLine="420" w:firstLineChars="200"/>
        <w:rPr>
          <w:rFonts w:hAnsi="宋体" w:cs="宋体"/>
          <w:color w:val="auto"/>
        </w:rPr>
      </w:pPr>
      <w:r>
        <w:rPr>
          <w:rFonts w:hint="eastAsia"/>
          <w:color w:val="auto"/>
        </w:rPr>
        <w:t>（6）</w:t>
      </w:r>
      <w:r>
        <w:rPr>
          <w:rFonts w:hint="eastAsia" w:hAnsi="宋体" w:cs="宋体"/>
          <w:color w:val="auto"/>
        </w:rPr>
        <w:t>2019年财务报表复印件并加盖单位公章；（新成立的竞标单位请按实际情况依法提供）</w:t>
      </w:r>
      <w:r>
        <w:rPr>
          <w:rFonts w:hint="eastAsia" w:hAnsi="宋体" w:cs="宋体"/>
          <w:color w:val="auto"/>
        </w:rPr>
        <w:t>（必须提供）；</w:t>
      </w:r>
    </w:p>
    <w:p>
      <w:pPr>
        <w:pStyle w:val="24"/>
        <w:spacing w:line="470" w:lineRule="exact"/>
        <w:ind w:firstLine="420"/>
        <w:rPr>
          <w:rFonts w:hAnsi="宋体" w:cs="宋体"/>
          <w:color w:val="auto"/>
        </w:rPr>
      </w:pPr>
      <w:r>
        <w:rPr>
          <w:rFonts w:hint="eastAsia"/>
          <w:color w:val="auto"/>
        </w:rPr>
        <w:t>（7）参加政府采购活动前三年内在经营活动中没有重大违法记录和不良信用记录的书面声明：（格式自拟，必须提供）（供应商可在“信用中国”网站(www.creditchina.gov.cn)、“中国政府采购网”(www.ccgp.gov.cn)网站查询相关供应商主体信用记录，同时须将查询结果截图（本项目竞争性磋商公告发出之日起至响应文件递交截止时间前任意一次信用记录查询的网页截图）（</w:t>
      </w:r>
      <w:r>
        <w:rPr>
          <w:rFonts w:hint="eastAsia" w:hAnsi="宋体" w:cs="宋体"/>
          <w:color w:val="auto"/>
        </w:rPr>
        <w:t>必须提供，</w:t>
      </w:r>
      <w:r>
        <w:rPr>
          <w:rFonts w:hint="eastAsia"/>
          <w:color w:val="auto"/>
        </w:rPr>
        <w:t>加盖公章与上述书面声明一并提交）；</w:t>
      </w:r>
    </w:p>
    <w:p>
      <w:pPr>
        <w:pStyle w:val="24"/>
        <w:spacing w:line="470" w:lineRule="exact"/>
        <w:ind w:firstLine="420"/>
        <w:rPr>
          <w:rFonts w:hAnsi="宋体"/>
          <w:color w:val="auto"/>
        </w:rPr>
      </w:pPr>
      <w:r>
        <w:rPr>
          <w:rFonts w:hint="eastAsia"/>
          <w:color w:val="auto"/>
        </w:rPr>
        <w:t>（8）竞标</w:t>
      </w:r>
      <w:r>
        <w:rPr>
          <w:rFonts w:hint="eastAsia" w:hAnsi="宋体"/>
          <w:color w:val="auto"/>
          <w:szCs w:val="21"/>
          <w:shd w:val="clear" w:color="auto" w:fill="FFFFFF"/>
        </w:rPr>
        <w:t>供应商</w:t>
      </w:r>
      <w:r>
        <w:rPr>
          <w:rFonts w:hint="eastAsia"/>
          <w:color w:val="auto"/>
        </w:rPr>
        <w:t>认为有必要提供的声明及文件资料（如属于小型、微型企业的，须提供</w:t>
      </w:r>
      <w:r>
        <w:rPr>
          <w:color w:val="auto"/>
        </w:rPr>
        <w:fldChar w:fldCharType="begin"/>
      </w:r>
      <w:r>
        <w:rPr>
          <w:color w:val="auto"/>
        </w:rPr>
        <w:instrText xml:space="preserve"> HYPERLINK "https://www.baidu.com/link?url=hRAZwZ4H7HyMM3mrci0nMz6ubxMMfql6VK3R3J80P2VCLb0NuATSlyPmu6shaBaDkaEyT8wRKL6uRmMInUqZ1K&amp;wd=&amp;eqid=a146a0c50008d2ab00000006570dad40" \t "_blank" </w:instrText>
      </w:r>
      <w:r>
        <w:rPr>
          <w:color w:val="auto"/>
        </w:rPr>
        <w:fldChar w:fldCharType="separate"/>
      </w:r>
      <w:r>
        <w:rPr>
          <w:color w:val="auto"/>
        </w:rPr>
        <w:t>中小微型企业声明函</w:t>
      </w:r>
      <w:r>
        <w:rPr>
          <w:color w:val="auto"/>
        </w:rPr>
        <w:fldChar w:fldCharType="end"/>
      </w:r>
      <w:r>
        <w:rPr>
          <w:rFonts w:hint="eastAsia"/>
          <w:color w:val="auto"/>
        </w:rPr>
        <w:t>及</w:t>
      </w:r>
      <w:r>
        <w:rPr>
          <w:rFonts w:hint="eastAsia" w:hAnsi="宋体" w:cs="Arial"/>
          <w:color w:val="auto"/>
          <w:szCs w:val="21"/>
        </w:rPr>
        <w:t>工商注册地的工业和信息化部门出具的相关证明材料</w:t>
      </w:r>
      <w:r>
        <w:rPr>
          <w:rFonts w:hint="eastAsia" w:hAnsi="宋体"/>
          <w:color w:val="auto"/>
          <w:szCs w:val="21"/>
        </w:rPr>
        <w:t>等）</w:t>
      </w:r>
      <w:r>
        <w:rPr>
          <w:rFonts w:hint="eastAsia" w:hAnsi="宋体"/>
          <w:color w:val="auto"/>
        </w:rPr>
        <w:t>。</w:t>
      </w:r>
    </w:p>
    <w:p>
      <w:pPr>
        <w:pStyle w:val="24"/>
        <w:spacing w:line="470" w:lineRule="exact"/>
        <w:outlineLvl w:val="3"/>
        <w:rPr>
          <w:color w:val="auto"/>
        </w:rPr>
      </w:pPr>
      <w:r>
        <w:rPr>
          <w:rFonts w:hint="eastAsia"/>
          <w:b/>
          <w:color w:val="auto"/>
        </w:rPr>
        <w:t>13.本</w:t>
      </w:r>
      <w:bookmarkStart w:id="44" w:name="_Toc495333061"/>
      <w:bookmarkStart w:id="45" w:name="_Toc419360936"/>
      <w:r>
        <w:rPr>
          <w:rFonts w:hint="eastAsia"/>
          <w:b/>
          <w:color w:val="auto"/>
        </w:rPr>
        <w:t>项目不接受联合体竞标</w:t>
      </w:r>
    </w:p>
    <w:p>
      <w:pPr>
        <w:pStyle w:val="24"/>
        <w:spacing w:line="470" w:lineRule="exact"/>
        <w:outlineLvl w:val="3"/>
        <w:rPr>
          <w:b/>
          <w:color w:val="auto"/>
        </w:rPr>
      </w:pPr>
      <w:r>
        <w:rPr>
          <w:rFonts w:hint="eastAsia"/>
          <w:b/>
          <w:color w:val="auto"/>
        </w:rPr>
        <w:t>14.竞</w:t>
      </w:r>
      <w:bookmarkEnd w:id="44"/>
      <w:bookmarkEnd w:id="45"/>
      <w:r>
        <w:rPr>
          <w:rFonts w:hint="eastAsia"/>
          <w:b/>
          <w:color w:val="auto"/>
        </w:rPr>
        <w:t>标</w:t>
      </w:r>
      <w:bookmarkStart w:id="46" w:name="_Toc398645856"/>
      <w:bookmarkStart w:id="47" w:name="_Toc495333063"/>
      <w:r>
        <w:rPr>
          <w:rFonts w:hint="eastAsia"/>
          <w:b/>
          <w:color w:val="auto"/>
        </w:rPr>
        <w:t>的有效期</w:t>
      </w:r>
    </w:p>
    <w:p>
      <w:pPr>
        <w:pStyle w:val="24"/>
        <w:spacing w:line="470" w:lineRule="exact"/>
        <w:ind w:firstLine="420"/>
        <w:rPr>
          <w:color w:val="auto"/>
        </w:rPr>
      </w:pPr>
      <w:r>
        <w:rPr>
          <w:rFonts w:hint="eastAsia"/>
          <w:color w:val="auto"/>
        </w:rPr>
        <w:t>14.1</w:t>
      </w:r>
      <w:bookmarkEnd w:id="46"/>
      <w:bookmarkEnd w:id="47"/>
      <w:r>
        <w:rPr>
          <w:rFonts w:hint="eastAsia"/>
          <w:color w:val="auto"/>
        </w:rPr>
        <w:t>响应文件有效期详见本须知前附表第4项规定。</w:t>
      </w:r>
    </w:p>
    <w:p>
      <w:pPr>
        <w:pStyle w:val="24"/>
        <w:spacing w:line="470" w:lineRule="exact"/>
        <w:ind w:firstLine="420"/>
        <w:rPr>
          <w:color w:val="auto"/>
        </w:rPr>
      </w:pPr>
      <w:r>
        <w:rPr>
          <w:rFonts w:hint="eastAsia"/>
          <w:color w:val="auto"/>
        </w:rPr>
        <w:t>14.2</w:t>
      </w:r>
      <w:r>
        <w:rPr>
          <w:rFonts w:hint="eastAsia" w:hAnsi="宋体" w:cs="Courier New"/>
          <w:color w:val="auto"/>
          <w:spacing w:val="2"/>
        </w:rPr>
        <w:t>在原定竞标有效期满之前，如果出现特殊情况，采购人可以书面形式向竞标供应商提出延长竞标有效期的要求。竞标供应商须以书面形式予以答复。同意延长竞标有效期的竞标供应商不允许修改其响应文件及磋商应答文件，在延长期内本须知第16条的规定仍然适用。</w:t>
      </w:r>
    </w:p>
    <w:p>
      <w:pPr>
        <w:pStyle w:val="24"/>
        <w:spacing w:line="470" w:lineRule="exact"/>
        <w:outlineLvl w:val="3"/>
        <w:rPr>
          <w:b/>
          <w:color w:val="auto"/>
        </w:rPr>
      </w:pPr>
      <w:r>
        <w:rPr>
          <w:rFonts w:hint="eastAsia"/>
          <w:b/>
          <w:color w:val="auto"/>
        </w:rPr>
        <w:t>15.响应</w:t>
      </w:r>
      <w:bookmarkStart w:id="48" w:name="_Toc398645857"/>
      <w:bookmarkStart w:id="49" w:name="_Toc495333064"/>
      <w:r>
        <w:rPr>
          <w:rFonts w:hint="eastAsia"/>
          <w:b/>
          <w:color w:val="auto"/>
        </w:rPr>
        <w:t>文件书写及签名、盖章要求</w:t>
      </w:r>
    </w:p>
    <w:p>
      <w:pPr>
        <w:pStyle w:val="24"/>
        <w:spacing w:line="470" w:lineRule="exact"/>
        <w:ind w:firstLine="420"/>
        <w:rPr>
          <w:rFonts w:hAnsi="宋体" w:cs="Courier New"/>
          <w:color w:val="auto"/>
          <w:spacing w:val="2"/>
        </w:rPr>
      </w:pPr>
      <w:r>
        <w:rPr>
          <w:rFonts w:hint="eastAsia" w:hAnsi="宋体" w:cs="Courier New"/>
          <w:color w:val="auto"/>
          <w:spacing w:val="2"/>
        </w:rPr>
        <w:t>15</w:t>
      </w:r>
      <w:r>
        <w:rPr>
          <w:rFonts w:hAnsi="宋体" w:cs="Courier New"/>
          <w:color w:val="auto"/>
          <w:spacing w:val="2"/>
        </w:rPr>
        <w:t>.1</w:t>
      </w:r>
      <w:bookmarkEnd w:id="48"/>
      <w:bookmarkEnd w:id="49"/>
      <w:r>
        <w:rPr>
          <w:rFonts w:hint="eastAsia" w:hAnsi="宋体" w:cs="Courier New"/>
          <w:color w:val="auto"/>
          <w:spacing w:val="2"/>
        </w:rPr>
        <w:t>响应文件份数：响应文件的份数详见本须知前附表第5项规定。并在每份文件左上角注明“正本”、“副本”字样，一旦正本和副本不符，以正本为准。（</w:t>
      </w:r>
      <w:r>
        <w:rPr>
          <w:rFonts w:hAnsi="宋体" w:cs="Courier New"/>
          <w:color w:val="auto"/>
          <w:spacing w:val="2"/>
        </w:rPr>
        <w:t>A4</w:t>
      </w:r>
      <w:r>
        <w:rPr>
          <w:rFonts w:hint="eastAsia" w:hAnsi="宋体" w:cs="Courier New"/>
          <w:color w:val="auto"/>
          <w:spacing w:val="2"/>
        </w:rPr>
        <w:t>纸装订）。</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.2</w:t>
      </w:r>
      <w:r>
        <w:rPr>
          <w:rFonts w:hint="eastAsia" w:hAnsi="宋体" w:cs="Courier New"/>
          <w:color w:val="auto"/>
          <w:spacing w:val="2"/>
        </w:rPr>
        <w:t>响应文件的“正本”、“副本”应当单独装订成册并标注页码，装订应牢固，不易拆散和换页。封面应注明“正本”、“副本”字样，封面上写明项目名称、项目编号、采购代理机构、竞标单位名称。</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.3</w:t>
      </w:r>
      <w:r>
        <w:rPr>
          <w:rFonts w:hint="eastAsia" w:hAnsi="宋体" w:cs="Courier New"/>
          <w:color w:val="auto"/>
          <w:spacing w:val="2"/>
        </w:rPr>
        <w:t>响应文件的正本需打印或用不褪色的墨水填写，响应文件正本除本磋商文件中规定的可提供复印件外均须提供原件。</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.4</w:t>
      </w:r>
      <w:r>
        <w:rPr>
          <w:rFonts w:hint="eastAsia" w:hAnsi="宋体" w:cs="Courier New"/>
          <w:color w:val="auto"/>
          <w:spacing w:val="2"/>
        </w:rPr>
        <w:t>响应文件须由竞标供应商在规定位置加盖竞标供应商公章（扫描公章无效）并由法定代表人（负责人）或授权委托代理人签署，竞标供应商应写全称。</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.5</w:t>
      </w:r>
      <w:r>
        <w:rPr>
          <w:rFonts w:hint="eastAsia" w:hAnsi="宋体" w:cs="Courier New"/>
          <w:color w:val="auto"/>
          <w:spacing w:val="2"/>
        </w:rPr>
        <w:t>响应文件不得涂改，若有修改错漏处，须加盖竞标供应商公章及法定代表人（负责人）或授权委托代理人签字或盖法定代表人（负责人）印章。响应文件因字迹潦草或表达不清所引起的后果由竞标供应商负责。</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6将响应文件“正本”、“副本”一并装入响应文件袋中，响应文件的包装、密封、标记见竞标供应商须知前附表。</w:t>
      </w:r>
    </w:p>
    <w:p>
      <w:pPr>
        <w:pStyle w:val="24"/>
        <w:spacing w:line="470" w:lineRule="exact"/>
        <w:ind w:firstLine="420"/>
        <w:rPr>
          <w:rFonts w:hAnsi="宋体" w:cs="Courier New"/>
          <w:color w:val="auto"/>
          <w:spacing w:val="2"/>
        </w:rPr>
      </w:pPr>
      <w:r>
        <w:rPr>
          <w:rFonts w:hAnsi="宋体" w:cs="Courier New"/>
          <w:color w:val="auto"/>
          <w:spacing w:val="2"/>
        </w:rPr>
        <w:t>1</w:t>
      </w:r>
      <w:r>
        <w:rPr>
          <w:rFonts w:hint="eastAsia" w:hAnsi="宋体" w:cs="Courier New"/>
          <w:color w:val="auto"/>
          <w:spacing w:val="2"/>
        </w:rPr>
        <w:t>5</w:t>
      </w:r>
      <w:r>
        <w:rPr>
          <w:rFonts w:hAnsi="宋体" w:cs="Courier New"/>
          <w:color w:val="auto"/>
          <w:spacing w:val="2"/>
        </w:rPr>
        <w:t>.</w:t>
      </w:r>
      <w:r>
        <w:rPr>
          <w:rFonts w:hint="eastAsia" w:hAnsi="宋体" w:cs="Courier New"/>
          <w:color w:val="auto"/>
          <w:spacing w:val="2"/>
        </w:rPr>
        <w:t>7</w:t>
      </w:r>
      <w:r>
        <w:rPr>
          <w:rFonts w:hAnsi="宋体" w:cs="Courier New"/>
          <w:color w:val="auto"/>
          <w:spacing w:val="2"/>
        </w:rPr>
        <w:t>本</w:t>
      </w:r>
      <w:r>
        <w:rPr>
          <w:rFonts w:hint="eastAsia" w:hAnsi="宋体" w:cs="Courier New"/>
          <w:color w:val="auto"/>
          <w:spacing w:val="2"/>
        </w:rPr>
        <w:t>磋商文件</w:t>
      </w:r>
      <w:r>
        <w:rPr>
          <w:rFonts w:hAnsi="宋体" w:cs="Courier New"/>
          <w:color w:val="auto"/>
          <w:spacing w:val="2"/>
        </w:rPr>
        <w:t>中描述</w:t>
      </w:r>
      <w:r>
        <w:rPr>
          <w:rFonts w:hint="eastAsia" w:hAnsi="宋体" w:cs="Courier New"/>
          <w:color w:val="auto"/>
          <w:spacing w:val="2"/>
        </w:rPr>
        <w:t>竞标供应商</w:t>
      </w:r>
      <w:r>
        <w:rPr>
          <w:rFonts w:hAnsi="宋体" w:cs="Courier New"/>
          <w:color w:val="auto"/>
          <w:spacing w:val="2"/>
        </w:rPr>
        <w:t>的“公章”是指根据我国对公章的管理规定，用</w:t>
      </w:r>
      <w:r>
        <w:rPr>
          <w:rFonts w:hint="eastAsia" w:hAnsi="宋体" w:cs="Courier New"/>
          <w:color w:val="auto"/>
          <w:spacing w:val="2"/>
        </w:rPr>
        <w:t>竞标供应商</w:t>
      </w:r>
      <w:r>
        <w:rPr>
          <w:rFonts w:hAnsi="宋体" w:cs="Courier New"/>
          <w:color w:val="auto"/>
          <w:spacing w:val="2"/>
        </w:rPr>
        <w:t>法定主体行为名称制作的印章，除本文件有特殊规定外，</w:t>
      </w:r>
      <w:r>
        <w:rPr>
          <w:rFonts w:hint="eastAsia" w:hAnsi="宋体" w:cs="Courier New"/>
          <w:color w:val="auto"/>
          <w:spacing w:val="2"/>
        </w:rPr>
        <w:t>竞标供应商</w:t>
      </w:r>
      <w:r>
        <w:rPr>
          <w:rFonts w:hAnsi="宋体" w:cs="Courier New"/>
          <w:color w:val="auto"/>
          <w:spacing w:val="2"/>
        </w:rPr>
        <w:t>的财务章、部门章、分公司章、工会章、合同章、竞标专用章、业务专用章及银行的转账章、现金收讫章、现金付讫章等其它形式印章均不能代替公章</w:t>
      </w:r>
      <w:r>
        <w:rPr>
          <w:rFonts w:hint="eastAsia" w:hAnsi="宋体" w:cs="Courier New"/>
          <w:color w:val="auto"/>
          <w:spacing w:val="2"/>
        </w:rPr>
        <w:t>。</w:t>
      </w:r>
    </w:p>
    <w:p>
      <w:pPr>
        <w:pStyle w:val="24"/>
        <w:spacing w:line="470" w:lineRule="exact"/>
        <w:outlineLvl w:val="3"/>
        <w:rPr>
          <w:b/>
          <w:color w:val="auto"/>
        </w:rPr>
      </w:pPr>
      <w:r>
        <w:rPr>
          <w:rFonts w:hint="eastAsia"/>
          <w:b/>
          <w:color w:val="auto"/>
        </w:rPr>
        <w:t>16.</w:t>
      </w:r>
      <w:bookmarkStart w:id="50" w:name="_Toc398645858"/>
      <w:bookmarkStart w:id="51" w:name="_Toc495333065"/>
      <w:r>
        <w:rPr>
          <w:rFonts w:hint="eastAsia"/>
          <w:b/>
          <w:color w:val="auto"/>
        </w:rPr>
        <w:t>磋间保证金：无；</w:t>
      </w:r>
    </w:p>
    <w:bookmarkEnd w:id="50"/>
    <w:bookmarkEnd w:id="51"/>
    <w:p>
      <w:pPr>
        <w:pStyle w:val="5"/>
        <w:spacing w:line="470" w:lineRule="exact"/>
        <w:jc w:val="center"/>
        <w:rPr>
          <w:b w:val="0"/>
          <w:color w:val="auto"/>
        </w:rPr>
      </w:pPr>
      <w:bookmarkStart w:id="52" w:name="_Toc8583182"/>
      <w:r>
        <w:rPr>
          <w:rFonts w:hint="eastAsia"/>
          <w:color w:val="auto"/>
          <w:sz w:val="21"/>
        </w:rPr>
        <w:t>四、响应文</w:t>
      </w:r>
      <w:bookmarkStart w:id="53" w:name="_Toc495333066"/>
      <w:r>
        <w:rPr>
          <w:rFonts w:hint="eastAsia"/>
          <w:color w:val="auto"/>
          <w:sz w:val="21"/>
        </w:rPr>
        <w:t>件的递交</w:t>
      </w:r>
      <w:bookmarkEnd w:id="52"/>
    </w:p>
    <w:p>
      <w:pPr>
        <w:pStyle w:val="24"/>
        <w:spacing w:line="470" w:lineRule="exact"/>
        <w:outlineLvl w:val="3"/>
        <w:rPr>
          <w:b/>
          <w:color w:val="auto"/>
        </w:rPr>
      </w:pPr>
      <w:r>
        <w:rPr>
          <w:b/>
          <w:color w:val="auto"/>
        </w:rPr>
        <w:t>1</w:t>
      </w:r>
      <w:r>
        <w:rPr>
          <w:rFonts w:hint="eastAsia"/>
          <w:b/>
          <w:color w:val="auto"/>
        </w:rPr>
        <w:t>7</w:t>
      </w:r>
      <w:r>
        <w:rPr>
          <w:b/>
          <w:color w:val="auto"/>
        </w:rPr>
        <w:t>.</w:t>
      </w:r>
      <w:bookmarkEnd w:id="53"/>
      <w:r>
        <w:rPr>
          <w:rFonts w:hint="eastAsia"/>
          <w:b/>
          <w:color w:val="auto"/>
        </w:rPr>
        <w:t>响</w:t>
      </w:r>
      <w:bookmarkStart w:id="54" w:name="_Toc398645860"/>
      <w:bookmarkStart w:id="55" w:name="_Toc495333067"/>
      <w:r>
        <w:rPr>
          <w:rFonts w:hint="eastAsia"/>
          <w:b/>
          <w:color w:val="auto"/>
        </w:rPr>
        <w:t>应文件</w:t>
      </w:r>
      <w:r>
        <w:rPr>
          <w:b/>
          <w:color w:val="auto"/>
        </w:rPr>
        <w:t>的密封与标记</w:t>
      </w:r>
    </w:p>
    <w:p>
      <w:pPr>
        <w:pStyle w:val="24"/>
        <w:spacing w:line="470" w:lineRule="exact"/>
        <w:ind w:firstLine="420" w:firstLineChars="200"/>
        <w:rPr>
          <w:color w:val="auto"/>
        </w:rPr>
      </w:pPr>
      <w:r>
        <w:rPr>
          <w:color w:val="auto"/>
        </w:rPr>
        <w:t>1</w:t>
      </w:r>
      <w:r>
        <w:rPr>
          <w:rFonts w:hint="eastAsia"/>
          <w:color w:val="auto"/>
        </w:rPr>
        <w:t>7</w:t>
      </w:r>
      <w:r>
        <w:rPr>
          <w:color w:val="auto"/>
        </w:rPr>
        <w:t>.</w:t>
      </w:r>
      <w:r>
        <w:rPr>
          <w:rFonts w:hint="eastAsia"/>
          <w:color w:val="auto"/>
        </w:rPr>
        <w:t>1</w:t>
      </w:r>
      <w:bookmarkEnd w:id="54"/>
      <w:bookmarkEnd w:id="55"/>
      <w:r>
        <w:rPr>
          <w:rFonts w:hint="eastAsia"/>
          <w:color w:val="auto"/>
        </w:rPr>
        <w:t>竞标供应商</w:t>
      </w:r>
      <w:r>
        <w:rPr>
          <w:color w:val="auto"/>
        </w:rPr>
        <w:t>应将</w:t>
      </w:r>
      <w:r>
        <w:rPr>
          <w:rFonts w:hint="eastAsia" w:ascii="Times New Roman" w:hAnsi="Times New Roman"/>
          <w:color w:val="auto"/>
        </w:rPr>
        <w:t>响应文件</w:t>
      </w:r>
      <w:r>
        <w:rPr>
          <w:rFonts w:ascii="Times New Roman" w:hAnsi="Times New Roman"/>
          <w:color w:val="auto"/>
        </w:rPr>
        <w:t>正、副本（正本一份、副本</w:t>
      </w:r>
      <w:r>
        <w:rPr>
          <w:rFonts w:hint="eastAsia" w:ascii="Times New Roman" w:hAnsi="Times New Roman"/>
          <w:color w:val="auto"/>
        </w:rPr>
        <w:t>三</w:t>
      </w:r>
      <w:r>
        <w:rPr>
          <w:rFonts w:ascii="Times New Roman" w:hAnsi="Times New Roman"/>
          <w:color w:val="auto"/>
        </w:rPr>
        <w:t>份）一并装入</w:t>
      </w:r>
      <w:r>
        <w:rPr>
          <w:rFonts w:hint="eastAsia" w:ascii="Times New Roman" w:hAnsi="Times New Roman"/>
          <w:color w:val="auto"/>
        </w:rPr>
        <w:t>同一响应文件</w:t>
      </w:r>
      <w:r>
        <w:rPr>
          <w:rFonts w:ascii="Times New Roman" w:hAnsi="Times New Roman"/>
          <w:color w:val="auto"/>
        </w:rPr>
        <w:t>袋中并加以密封，所有封贴处必须</w:t>
      </w:r>
      <w:r>
        <w:rPr>
          <w:rFonts w:hint="eastAsia"/>
          <w:color w:val="auto"/>
        </w:rPr>
        <w:t>密封</w:t>
      </w:r>
      <w:r>
        <w:rPr>
          <w:rFonts w:hint="eastAsia" w:ascii="Times New Roman" w:hAnsi="Times New Roman"/>
          <w:color w:val="auto"/>
        </w:rPr>
        <w:t>后</w:t>
      </w:r>
      <w:r>
        <w:rPr>
          <w:rFonts w:hint="eastAsia" w:hAnsi="宋体"/>
          <w:color w:val="auto"/>
        </w:rPr>
        <w:t>签章【单位公章、法定代表人（负责人）或授权委托代理人签字均可】</w:t>
      </w:r>
      <w:r>
        <w:rPr>
          <w:rFonts w:ascii="Times New Roman" w:hAnsi="Times New Roman"/>
          <w:color w:val="auto"/>
        </w:rPr>
        <w:t>。</w:t>
      </w:r>
    </w:p>
    <w:p>
      <w:pPr>
        <w:pStyle w:val="24"/>
        <w:spacing w:line="470" w:lineRule="exact"/>
        <w:ind w:firstLine="420"/>
        <w:rPr>
          <w:color w:val="auto"/>
        </w:rPr>
      </w:pPr>
      <w:r>
        <w:rPr>
          <w:color w:val="auto"/>
        </w:rPr>
        <w:t>1</w:t>
      </w:r>
      <w:r>
        <w:rPr>
          <w:rFonts w:hint="eastAsia"/>
          <w:color w:val="auto"/>
        </w:rPr>
        <w:t>7</w:t>
      </w:r>
      <w:r>
        <w:rPr>
          <w:color w:val="auto"/>
        </w:rPr>
        <w:t>.</w:t>
      </w:r>
      <w:r>
        <w:rPr>
          <w:rFonts w:hint="eastAsia"/>
          <w:color w:val="auto"/>
        </w:rPr>
        <w:t>2</w:t>
      </w:r>
      <w:r>
        <w:rPr>
          <w:color w:val="auto"/>
        </w:rPr>
        <w:t>文件袋上都应写明</w:t>
      </w:r>
      <w:r>
        <w:rPr>
          <w:rFonts w:hint="eastAsia"/>
          <w:color w:val="auto"/>
        </w:rPr>
        <w:t>（空格内要求写明具体内容）</w:t>
      </w:r>
      <w:r>
        <w:rPr>
          <w:color w:val="auto"/>
        </w:rPr>
        <w:t>：</w:t>
      </w:r>
    </w:p>
    <w:p>
      <w:pPr>
        <w:pStyle w:val="24"/>
        <w:spacing w:line="470" w:lineRule="exact"/>
        <w:ind w:firstLine="808"/>
        <w:rPr>
          <w:rFonts w:hAnsi="宋体"/>
          <w:color w:val="auto"/>
        </w:rPr>
      </w:pPr>
      <w:r>
        <w:rPr>
          <w:rFonts w:hint="eastAsia" w:hAnsi="宋体"/>
          <w:color w:val="auto"/>
        </w:rPr>
        <w:t>（1）项目名称：</w:t>
      </w:r>
    </w:p>
    <w:p>
      <w:pPr>
        <w:pStyle w:val="24"/>
        <w:spacing w:line="470" w:lineRule="exact"/>
        <w:ind w:firstLine="808"/>
        <w:rPr>
          <w:rFonts w:hAnsi="宋体"/>
          <w:color w:val="auto"/>
        </w:rPr>
      </w:pPr>
      <w:r>
        <w:rPr>
          <w:rFonts w:hint="eastAsia" w:hAnsi="宋体"/>
          <w:color w:val="auto"/>
        </w:rPr>
        <w:t>（2）项目编号：</w:t>
      </w:r>
    </w:p>
    <w:p>
      <w:pPr>
        <w:pStyle w:val="24"/>
        <w:spacing w:line="470" w:lineRule="exact"/>
        <w:ind w:firstLine="808"/>
        <w:rPr>
          <w:rFonts w:hAnsi="宋体"/>
          <w:color w:val="auto"/>
        </w:rPr>
      </w:pPr>
      <w:r>
        <w:rPr>
          <w:rFonts w:hint="eastAsia" w:hAnsi="宋体"/>
          <w:color w:val="auto"/>
        </w:rPr>
        <w:t>（3）供应商名称：</w:t>
      </w:r>
    </w:p>
    <w:p>
      <w:pPr>
        <w:pStyle w:val="24"/>
        <w:spacing w:line="470" w:lineRule="exact"/>
        <w:ind w:firstLine="808"/>
        <w:rPr>
          <w:rFonts w:hAnsi="宋体"/>
          <w:color w:val="auto"/>
        </w:rPr>
      </w:pPr>
      <w:r>
        <w:rPr>
          <w:rFonts w:hint="eastAsia" w:hAnsi="宋体"/>
          <w:color w:val="auto"/>
        </w:rPr>
        <w:t>（4）地     址：</w:t>
      </w:r>
    </w:p>
    <w:p>
      <w:pPr>
        <w:pStyle w:val="24"/>
        <w:spacing w:line="470" w:lineRule="exact"/>
        <w:ind w:firstLine="735" w:firstLineChars="350"/>
        <w:rPr>
          <w:color w:val="auto"/>
        </w:rPr>
      </w:pPr>
      <w:r>
        <w:rPr>
          <w:rFonts w:hAnsi="宋体"/>
          <w:color w:val="auto"/>
        </w:rPr>
        <w:t xml:space="preserve"> </w:t>
      </w:r>
      <w:r>
        <w:rPr>
          <w:rFonts w:hint="eastAsia" w:hAnsi="宋体"/>
          <w:color w:val="auto"/>
        </w:rPr>
        <w:t>（5）</w:t>
      </w:r>
      <w:r>
        <w:rPr>
          <w:rFonts w:hAnsi="宋体"/>
          <w:color w:val="auto"/>
        </w:rPr>
        <w:t>注明“开标时才</w:t>
      </w:r>
      <w:r>
        <w:rPr>
          <w:rFonts w:ascii="Times New Roman" w:hAnsi="Times New Roman"/>
          <w:color w:val="auto"/>
        </w:rPr>
        <w:t>能启封</w:t>
      </w:r>
      <w:r>
        <w:rPr>
          <w:color w:val="auto"/>
        </w:rPr>
        <w:t>”</w:t>
      </w:r>
      <w:r>
        <w:rPr>
          <w:rFonts w:hint="eastAsia"/>
          <w:color w:val="auto"/>
        </w:rPr>
        <w:t>（响应文件袋注明“   年  月  日  时  分前不得拆封”）</w:t>
      </w:r>
    </w:p>
    <w:p>
      <w:pPr>
        <w:pStyle w:val="24"/>
        <w:spacing w:line="470" w:lineRule="exact"/>
        <w:ind w:firstLine="420"/>
        <w:rPr>
          <w:color w:val="auto"/>
        </w:rPr>
      </w:pPr>
      <w:r>
        <w:rPr>
          <w:color w:val="auto"/>
        </w:rPr>
        <w:t>1</w:t>
      </w:r>
      <w:r>
        <w:rPr>
          <w:rFonts w:hint="eastAsia"/>
          <w:color w:val="auto"/>
        </w:rPr>
        <w:t>7</w:t>
      </w:r>
      <w:r>
        <w:rPr>
          <w:color w:val="auto"/>
        </w:rPr>
        <w:t>.</w:t>
      </w:r>
      <w:r>
        <w:rPr>
          <w:rFonts w:hint="eastAsia"/>
          <w:color w:val="auto"/>
        </w:rPr>
        <w:t>3</w:t>
      </w:r>
      <w:r>
        <w:rPr>
          <w:rFonts w:hint="eastAsia"/>
          <w:bCs/>
          <w:color w:val="auto"/>
        </w:rPr>
        <w:t>响应文件</w:t>
      </w:r>
      <w:r>
        <w:rPr>
          <w:bCs/>
          <w:color w:val="auto"/>
        </w:rPr>
        <w:t>的密封以</w:t>
      </w:r>
      <w:r>
        <w:rPr>
          <w:rFonts w:hint="eastAsia"/>
          <w:bCs/>
          <w:color w:val="auto"/>
        </w:rPr>
        <w:t>响应文件</w:t>
      </w:r>
      <w:r>
        <w:rPr>
          <w:bCs/>
          <w:color w:val="auto"/>
        </w:rPr>
        <w:t>袋无明显缝隙暴露袋内文件且封口处有密封签</w:t>
      </w:r>
      <w:r>
        <w:rPr>
          <w:rFonts w:hint="eastAsia"/>
          <w:bCs/>
          <w:color w:val="auto"/>
        </w:rPr>
        <w:t>字或单位公</w:t>
      </w:r>
      <w:r>
        <w:rPr>
          <w:bCs/>
          <w:color w:val="auto"/>
        </w:rPr>
        <w:t>章为合格。</w:t>
      </w:r>
    </w:p>
    <w:p>
      <w:pPr>
        <w:pStyle w:val="24"/>
        <w:spacing w:line="470" w:lineRule="exact"/>
        <w:ind w:firstLine="420"/>
        <w:rPr>
          <w:color w:val="auto"/>
          <w:szCs w:val="21"/>
        </w:rPr>
      </w:pPr>
      <w:r>
        <w:rPr>
          <w:bCs/>
          <w:color w:val="auto"/>
          <w:szCs w:val="21"/>
        </w:rPr>
        <w:t>1</w:t>
      </w:r>
      <w:r>
        <w:rPr>
          <w:rFonts w:hint="eastAsia"/>
          <w:bCs/>
          <w:color w:val="auto"/>
          <w:szCs w:val="21"/>
        </w:rPr>
        <w:t>7</w:t>
      </w:r>
      <w:r>
        <w:rPr>
          <w:bCs/>
          <w:color w:val="auto"/>
          <w:szCs w:val="21"/>
        </w:rPr>
        <w:t>.</w:t>
      </w:r>
      <w:r>
        <w:rPr>
          <w:rFonts w:hint="eastAsia"/>
          <w:bCs/>
          <w:color w:val="auto"/>
          <w:szCs w:val="21"/>
        </w:rPr>
        <w:t>4竞标供应商在递交响应文件时未按本须知要求封装、密封、标记的，采购代理机构有权拒收，拒收所产生的后果由竞标供应商自负。</w:t>
      </w:r>
    </w:p>
    <w:p>
      <w:pPr>
        <w:pStyle w:val="24"/>
        <w:spacing w:line="470" w:lineRule="exact"/>
        <w:outlineLvl w:val="3"/>
        <w:rPr>
          <w:b/>
          <w:color w:val="auto"/>
        </w:rPr>
      </w:pPr>
      <w:r>
        <w:rPr>
          <w:rFonts w:hint="eastAsia"/>
          <w:b/>
          <w:color w:val="auto"/>
        </w:rPr>
        <w:t>18.竞标</w:t>
      </w:r>
      <w:bookmarkStart w:id="56" w:name="_Toc398645861"/>
      <w:bookmarkStart w:id="57" w:name="_Toc495333068"/>
      <w:r>
        <w:rPr>
          <w:rFonts w:hint="eastAsia"/>
          <w:b/>
          <w:color w:val="auto"/>
        </w:rPr>
        <w:t>截止时间</w:t>
      </w:r>
    </w:p>
    <w:p>
      <w:pPr>
        <w:pStyle w:val="24"/>
        <w:tabs>
          <w:tab w:val="left" w:pos="1957"/>
        </w:tabs>
        <w:spacing w:line="470" w:lineRule="exact"/>
        <w:ind w:firstLine="420"/>
        <w:rPr>
          <w:color w:val="auto"/>
          <w:spacing w:val="-4"/>
          <w:szCs w:val="21"/>
        </w:rPr>
      </w:pPr>
      <w:r>
        <w:rPr>
          <w:rFonts w:hint="eastAsia"/>
          <w:color w:val="auto"/>
          <w:szCs w:val="21"/>
        </w:rPr>
        <w:t>18.1</w:t>
      </w:r>
      <w:bookmarkEnd w:id="56"/>
      <w:bookmarkEnd w:id="57"/>
      <w:r>
        <w:rPr>
          <w:rFonts w:hint="eastAsia"/>
          <w:color w:val="auto"/>
          <w:spacing w:val="-4"/>
          <w:szCs w:val="21"/>
        </w:rPr>
        <w:t>响应文件的递交不得迟于本须知前附表第7项规定的截止时间。</w:t>
      </w:r>
    </w:p>
    <w:p>
      <w:pPr>
        <w:pStyle w:val="24"/>
        <w:tabs>
          <w:tab w:val="left" w:pos="1957"/>
        </w:tabs>
        <w:spacing w:line="470" w:lineRule="exact"/>
        <w:ind w:firstLine="420"/>
        <w:rPr>
          <w:color w:val="auto"/>
          <w:spacing w:val="-4"/>
          <w:szCs w:val="21"/>
        </w:rPr>
      </w:pPr>
      <w:r>
        <w:rPr>
          <w:rFonts w:hint="eastAsia"/>
          <w:color w:val="auto"/>
          <w:spacing w:val="-4"/>
          <w:szCs w:val="21"/>
        </w:rPr>
        <w:t>18.2竞标供应商必须在规定时间内将响应文件送到本须知前附表第7项规定地点，超过竞标截止时间送达的响应文件将不予受理。</w:t>
      </w:r>
    </w:p>
    <w:p>
      <w:pPr>
        <w:pStyle w:val="24"/>
        <w:spacing w:line="470" w:lineRule="exact"/>
        <w:outlineLvl w:val="3"/>
        <w:rPr>
          <w:b/>
          <w:color w:val="auto"/>
        </w:rPr>
      </w:pPr>
      <w:r>
        <w:rPr>
          <w:rFonts w:hint="eastAsia"/>
          <w:b/>
          <w:color w:val="auto"/>
        </w:rPr>
        <w:t>19.响应</w:t>
      </w:r>
      <w:bookmarkStart w:id="58" w:name="_Toc398645862"/>
      <w:bookmarkStart w:id="59" w:name="_Toc495333069"/>
      <w:r>
        <w:rPr>
          <w:rFonts w:hint="eastAsia"/>
          <w:b/>
          <w:color w:val="auto"/>
        </w:rPr>
        <w:t>文件的修改和撤回</w:t>
      </w:r>
    </w:p>
    <w:p>
      <w:pPr>
        <w:pStyle w:val="24"/>
        <w:tabs>
          <w:tab w:val="left" w:pos="1957"/>
        </w:tabs>
        <w:spacing w:line="470" w:lineRule="exact"/>
        <w:ind w:firstLine="420"/>
        <w:rPr>
          <w:color w:val="auto"/>
          <w:spacing w:val="-4"/>
          <w:szCs w:val="21"/>
        </w:rPr>
      </w:pPr>
      <w:r>
        <w:rPr>
          <w:rFonts w:hint="eastAsia"/>
          <w:color w:val="auto"/>
          <w:spacing w:val="-4"/>
          <w:szCs w:val="21"/>
        </w:rPr>
        <w:t>19.1</w:t>
      </w:r>
      <w:bookmarkEnd w:id="58"/>
      <w:bookmarkEnd w:id="59"/>
      <w:r>
        <w:rPr>
          <w:rFonts w:hint="eastAsia"/>
          <w:color w:val="auto"/>
          <w:spacing w:val="-4"/>
          <w:szCs w:val="21"/>
        </w:rPr>
        <w:t>竞标供应商在响应文件截止时间之前，可以对已递交的响应文件进行修改或撤回，并书面通知采购代理机构。</w:t>
      </w:r>
    </w:p>
    <w:p>
      <w:pPr>
        <w:pStyle w:val="24"/>
        <w:tabs>
          <w:tab w:val="left" w:pos="1957"/>
        </w:tabs>
        <w:spacing w:line="470" w:lineRule="exact"/>
        <w:ind w:firstLine="420"/>
        <w:rPr>
          <w:color w:val="auto"/>
          <w:spacing w:val="-4"/>
          <w:szCs w:val="21"/>
        </w:rPr>
      </w:pPr>
      <w:r>
        <w:rPr>
          <w:rFonts w:hint="eastAsia"/>
          <w:color w:val="auto"/>
          <w:spacing w:val="-4"/>
          <w:szCs w:val="21"/>
        </w:rPr>
        <w:t>19.2在响应文件截止时间后的竞标有效期内，竞标供应商不得撤回其响应文件。</w:t>
      </w:r>
    </w:p>
    <w:p>
      <w:pPr>
        <w:pStyle w:val="5"/>
        <w:spacing w:line="470" w:lineRule="exact"/>
        <w:jc w:val="center"/>
        <w:rPr>
          <w:b w:val="0"/>
          <w:bCs w:val="0"/>
          <w:color w:val="auto"/>
        </w:rPr>
      </w:pPr>
      <w:bookmarkStart w:id="60" w:name="_Toc8583183"/>
      <w:r>
        <w:rPr>
          <w:rFonts w:hint="eastAsia"/>
          <w:color w:val="auto"/>
          <w:sz w:val="21"/>
        </w:rPr>
        <w:t>五、竞争性</w:t>
      </w:r>
      <w:bookmarkStart w:id="61" w:name="_Toc495333070"/>
      <w:r>
        <w:rPr>
          <w:rFonts w:hint="eastAsia"/>
          <w:color w:val="auto"/>
          <w:sz w:val="21"/>
        </w:rPr>
        <w:t>磋商（简称磋商）与评标</w:t>
      </w:r>
      <w:bookmarkEnd w:id="60"/>
    </w:p>
    <w:p>
      <w:pPr>
        <w:pStyle w:val="24"/>
        <w:spacing w:line="470" w:lineRule="exact"/>
        <w:outlineLvl w:val="3"/>
        <w:rPr>
          <w:b/>
          <w:color w:val="auto"/>
        </w:rPr>
      </w:pPr>
      <w:r>
        <w:rPr>
          <w:rFonts w:hint="eastAsia"/>
          <w:b/>
          <w:color w:val="auto"/>
        </w:rPr>
        <w:t>20.磋</w:t>
      </w:r>
      <w:bookmarkEnd w:id="61"/>
      <w:r>
        <w:rPr>
          <w:rFonts w:hint="eastAsia"/>
          <w:b/>
          <w:color w:val="auto"/>
        </w:rPr>
        <w:t>商</w:t>
      </w:r>
      <w:bookmarkStart w:id="62" w:name="_Toc495333071"/>
      <w:bookmarkStart w:id="63" w:name="_Toc398645864"/>
      <w:r>
        <w:rPr>
          <w:rFonts w:hint="eastAsia"/>
          <w:b/>
          <w:color w:val="auto"/>
        </w:rPr>
        <w:t>小组组成及磋商时间、地点、人员</w:t>
      </w:r>
    </w:p>
    <w:p>
      <w:pPr>
        <w:pStyle w:val="24"/>
        <w:tabs>
          <w:tab w:val="left" w:pos="1957"/>
        </w:tabs>
        <w:spacing w:line="470" w:lineRule="exact"/>
        <w:ind w:firstLine="420"/>
        <w:rPr>
          <w:color w:val="auto"/>
          <w:spacing w:val="-4"/>
          <w:szCs w:val="21"/>
        </w:rPr>
      </w:pPr>
      <w:r>
        <w:rPr>
          <w:rFonts w:hint="eastAsia"/>
          <w:color w:val="auto"/>
          <w:spacing w:val="-4"/>
          <w:szCs w:val="21"/>
        </w:rPr>
        <w:t>20.1</w:t>
      </w:r>
      <w:bookmarkEnd w:id="62"/>
      <w:bookmarkEnd w:id="63"/>
      <w:r>
        <w:rPr>
          <w:rFonts w:hint="eastAsia"/>
          <w:color w:val="auto"/>
          <w:spacing w:val="-4"/>
          <w:szCs w:val="21"/>
        </w:rPr>
        <w:t>成立磋商小组：评审与磋商活动由依法组建的磋商小组负责。磋商小组由采购人代表和有关技术、经济等方面的专家组成。采购人或采购代理机构根据本项目的特点，从政府采购评审专家库中通过随机方式抽取专家。磋商小组的构成：3人，其中采购人代表 1 人，有关专家 2人。</w:t>
      </w:r>
    </w:p>
    <w:p>
      <w:pPr>
        <w:pStyle w:val="24"/>
        <w:tabs>
          <w:tab w:val="left" w:pos="1957"/>
        </w:tabs>
        <w:spacing w:line="470" w:lineRule="exact"/>
        <w:ind w:firstLine="420"/>
        <w:rPr>
          <w:color w:val="auto"/>
          <w:spacing w:val="-4"/>
          <w:szCs w:val="21"/>
        </w:rPr>
      </w:pPr>
      <w:r>
        <w:rPr>
          <w:rFonts w:hint="eastAsia"/>
          <w:color w:val="auto"/>
          <w:szCs w:val="21"/>
        </w:rPr>
        <w:t>20.2</w:t>
      </w:r>
      <w:r>
        <w:rPr>
          <w:rFonts w:hint="eastAsia"/>
          <w:color w:val="auto"/>
          <w:spacing w:val="-4"/>
          <w:szCs w:val="21"/>
        </w:rPr>
        <w:t>具体的磋商时间、地点见竞标供应商须知前附第8项规定，请竞标供应商按时到达指定地点等候当面磋商。</w:t>
      </w:r>
    </w:p>
    <w:p>
      <w:pPr>
        <w:pStyle w:val="24"/>
        <w:tabs>
          <w:tab w:val="left" w:pos="1957"/>
        </w:tabs>
        <w:spacing w:line="470" w:lineRule="exact"/>
        <w:ind w:firstLine="420"/>
        <w:rPr>
          <w:color w:val="auto"/>
          <w:spacing w:val="-4"/>
          <w:szCs w:val="21"/>
        </w:rPr>
      </w:pPr>
      <w:r>
        <w:rPr>
          <w:rFonts w:hint="eastAsia" w:ascii="Arial" w:hAnsi="Arial" w:cs="Arial"/>
          <w:color w:val="auto"/>
          <w:szCs w:val="21"/>
        </w:rPr>
        <w:t xml:space="preserve">20.3 </w:t>
      </w:r>
      <w:r>
        <w:rPr>
          <w:rFonts w:ascii="Arial" w:hAnsi="Arial" w:cs="Arial"/>
          <w:color w:val="auto"/>
          <w:szCs w:val="21"/>
        </w:rPr>
        <w:t>响应文件递交截止时间后，磋商小组在评标室启封响应文件。</w:t>
      </w:r>
    </w:p>
    <w:p>
      <w:pPr>
        <w:pStyle w:val="24"/>
        <w:spacing w:line="470" w:lineRule="exact"/>
        <w:outlineLvl w:val="3"/>
        <w:rPr>
          <w:b/>
          <w:color w:val="auto"/>
        </w:rPr>
      </w:pPr>
      <w:r>
        <w:rPr>
          <w:rFonts w:hint="eastAsia"/>
          <w:b/>
          <w:color w:val="auto"/>
        </w:rPr>
        <w:t>21.评标</w:t>
      </w:r>
      <w:bookmarkStart w:id="64" w:name="_Toc495333072"/>
      <w:bookmarkStart w:id="65" w:name="_Toc398645865"/>
      <w:r>
        <w:rPr>
          <w:rFonts w:hint="eastAsia"/>
          <w:b/>
          <w:color w:val="auto"/>
        </w:rPr>
        <w:t>原则和评标办法</w:t>
      </w:r>
    </w:p>
    <w:p>
      <w:pPr>
        <w:pStyle w:val="24"/>
        <w:tabs>
          <w:tab w:val="left" w:pos="1957"/>
        </w:tabs>
        <w:spacing w:line="470" w:lineRule="exact"/>
        <w:ind w:firstLine="420"/>
        <w:rPr>
          <w:color w:val="auto"/>
          <w:spacing w:val="-4"/>
          <w:szCs w:val="21"/>
        </w:rPr>
      </w:pPr>
      <w:r>
        <w:rPr>
          <w:rFonts w:hint="eastAsia"/>
          <w:color w:val="auto"/>
          <w:spacing w:val="-4"/>
          <w:szCs w:val="21"/>
        </w:rPr>
        <w:t>21.1</w:t>
      </w:r>
      <w:bookmarkEnd w:id="64"/>
      <w:bookmarkEnd w:id="65"/>
      <w:r>
        <w:rPr>
          <w:rFonts w:hint="eastAsia"/>
          <w:color w:val="auto"/>
          <w:spacing w:val="-4"/>
          <w:szCs w:val="21"/>
        </w:rPr>
        <w:t>磋商小组必须坚持公平、公正、科学和择优的原则。</w:t>
      </w:r>
    </w:p>
    <w:p>
      <w:pPr>
        <w:pStyle w:val="24"/>
        <w:tabs>
          <w:tab w:val="left" w:pos="1957"/>
        </w:tabs>
        <w:spacing w:line="470" w:lineRule="exact"/>
        <w:ind w:firstLine="420"/>
        <w:rPr>
          <w:color w:val="auto"/>
          <w:spacing w:val="-4"/>
          <w:szCs w:val="21"/>
        </w:rPr>
      </w:pPr>
      <w:r>
        <w:rPr>
          <w:rFonts w:hint="eastAsia"/>
          <w:color w:val="auto"/>
          <w:spacing w:val="-4"/>
          <w:szCs w:val="21"/>
        </w:rPr>
        <w:t>21.2评标办法详见第四章《评定成交的标准》。</w:t>
      </w:r>
    </w:p>
    <w:p>
      <w:pPr>
        <w:pStyle w:val="24"/>
        <w:tabs>
          <w:tab w:val="left" w:pos="1957"/>
        </w:tabs>
        <w:spacing w:line="470" w:lineRule="exact"/>
        <w:ind w:firstLine="420"/>
        <w:rPr>
          <w:color w:val="auto"/>
          <w:spacing w:val="-4"/>
          <w:szCs w:val="21"/>
        </w:rPr>
      </w:pPr>
      <w:r>
        <w:rPr>
          <w:rFonts w:hint="eastAsia"/>
          <w:color w:val="auto"/>
          <w:spacing w:val="-4"/>
          <w:szCs w:val="21"/>
        </w:rPr>
        <w:t>21.3磋商小组应按磋商文件进行评标，不得擅自更改评标办法。</w:t>
      </w:r>
    </w:p>
    <w:p>
      <w:pPr>
        <w:pStyle w:val="24"/>
        <w:tabs>
          <w:tab w:val="left" w:pos="1957"/>
        </w:tabs>
        <w:spacing w:line="470" w:lineRule="exact"/>
        <w:ind w:firstLine="420"/>
        <w:rPr>
          <w:color w:val="auto"/>
          <w:spacing w:val="-4"/>
          <w:szCs w:val="21"/>
        </w:rPr>
      </w:pPr>
      <w:r>
        <w:rPr>
          <w:rFonts w:hint="eastAsia"/>
          <w:color w:val="auto"/>
          <w:spacing w:val="-4"/>
          <w:szCs w:val="21"/>
        </w:rPr>
        <w:t>21.4在评审过程中，磋商小组任何人不得对某个竞标供应商发表任何倾向性意见，不得向其他磋商小组成员明示或者暗示自己的评审意见。</w:t>
      </w:r>
    </w:p>
    <w:p>
      <w:pPr>
        <w:pStyle w:val="24"/>
        <w:tabs>
          <w:tab w:val="left" w:pos="1957"/>
        </w:tabs>
        <w:spacing w:line="470" w:lineRule="exact"/>
        <w:ind w:firstLine="420"/>
        <w:rPr>
          <w:color w:val="auto"/>
          <w:spacing w:val="-4"/>
          <w:szCs w:val="21"/>
        </w:rPr>
      </w:pPr>
      <w:r>
        <w:rPr>
          <w:rFonts w:hint="eastAsia"/>
          <w:color w:val="auto"/>
          <w:spacing w:val="-4"/>
          <w:szCs w:val="21"/>
        </w:rPr>
        <w:t>21.5磋商小组成员对需要共同认定的事项存在争议的，按照少数服从多数的原则作出结论。持不同意见的磋商小组成员应当在评审报告上签署不同意见并说明理由，否则视为同意。</w:t>
      </w:r>
    </w:p>
    <w:p>
      <w:pPr>
        <w:pStyle w:val="24"/>
        <w:spacing w:line="470" w:lineRule="exact"/>
        <w:outlineLvl w:val="3"/>
        <w:rPr>
          <w:b/>
          <w:color w:val="auto"/>
        </w:rPr>
      </w:pPr>
      <w:r>
        <w:rPr>
          <w:rFonts w:hint="eastAsia"/>
          <w:b/>
          <w:color w:val="auto"/>
        </w:rPr>
        <w:t>22.评审</w:t>
      </w:r>
      <w:bookmarkStart w:id="66" w:name="_Toc495333073"/>
      <w:bookmarkStart w:id="67" w:name="_Toc398645866"/>
      <w:r>
        <w:rPr>
          <w:rFonts w:hint="eastAsia"/>
          <w:b/>
          <w:color w:val="auto"/>
        </w:rPr>
        <w:t>程序及磋商要求</w:t>
      </w:r>
    </w:p>
    <w:p>
      <w:pPr>
        <w:pStyle w:val="24"/>
        <w:tabs>
          <w:tab w:val="left" w:pos="1957"/>
        </w:tabs>
        <w:spacing w:line="470" w:lineRule="exact"/>
        <w:ind w:firstLine="420"/>
        <w:rPr>
          <w:color w:val="auto"/>
          <w:spacing w:val="-4"/>
          <w:szCs w:val="21"/>
        </w:rPr>
      </w:pPr>
      <w:r>
        <w:rPr>
          <w:rFonts w:hint="eastAsia"/>
          <w:color w:val="auto"/>
          <w:spacing w:val="-4"/>
          <w:szCs w:val="21"/>
        </w:rPr>
        <w:t>22.1</w:t>
      </w:r>
      <w:bookmarkEnd w:id="66"/>
      <w:bookmarkEnd w:id="67"/>
      <w:r>
        <w:rPr>
          <w:rFonts w:hint="eastAsia"/>
          <w:color w:val="auto"/>
          <w:spacing w:val="-4"/>
          <w:szCs w:val="21"/>
        </w:rPr>
        <w:t>采购代理机构核实磋商小组成员身份，告知回避要求，宣布评审工作纪律和程序。</w:t>
      </w:r>
    </w:p>
    <w:p>
      <w:pPr>
        <w:pStyle w:val="24"/>
        <w:tabs>
          <w:tab w:val="left" w:pos="1957"/>
        </w:tabs>
        <w:spacing w:line="470" w:lineRule="exact"/>
        <w:ind w:firstLine="420"/>
        <w:rPr>
          <w:color w:val="auto"/>
          <w:spacing w:val="-4"/>
          <w:szCs w:val="21"/>
        </w:rPr>
      </w:pPr>
      <w:r>
        <w:rPr>
          <w:rFonts w:hint="eastAsia"/>
          <w:color w:val="auto"/>
          <w:spacing w:val="-4"/>
          <w:szCs w:val="21"/>
        </w:rPr>
        <w:t>22.2磋商小组对竞标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pStyle w:val="24"/>
        <w:tabs>
          <w:tab w:val="left" w:pos="1957"/>
        </w:tabs>
        <w:spacing w:line="470" w:lineRule="exact"/>
        <w:ind w:firstLine="420"/>
        <w:rPr>
          <w:color w:val="auto"/>
          <w:spacing w:val="-4"/>
          <w:szCs w:val="21"/>
        </w:rPr>
      </w:pPr>
      <w:r>
        <w:rPr>
          <w:rFonts w:hint="eastAsia"/>
          <w:color w:val="auto"/>
          <w:spacing w:val="-4"/>
          <w:szCs w:val="21"/>
        </w:rPr>
        <w:t>22.3第一轮磋商</w:t>
      </w:r>
    </w:p>
    <w:p>
      <w:pPr>
        <w:pStyle w:val="24"/>
        <w:tabs>
          <w:tab w:val="left" w:pos="1957"/>
        </w:tabs>
        <w:spacing w:line="470" w:lineRule="exact"/>
        <w:ind w:firstLine="420"/>
        <w:rPr>
          <w:color w:val="auto"/>
          <w:spacing w:val="-4"/>
          <w:szCs w:val="21"/>
        </w:rPr>
      </w:pPr>
      <w:r>
        <w:rPr>
          <w:rFonts w:hint="eastAsia"/>
          <w:color w:val="auto"/>
          <w:spacing w:val="-4"/>
          <w:szCs w:val="21"/>
        </w:rPr>
        <w:t>磋商小组按已确定的磋商顺序，磋商小组所有成员应当集中与单一供应商分别进行磋商，并给予所有参加磋商的供应商平等的磋商机会。</w:t>
      </w:r>
    </w:p>
    <w:p>
      <w:pPr>
        <w:pStyle w:val="24"/>
        <w:tabs>
          <w:tab w:val="left" w:pos="1957"/>
        </w:tabs>
        <w:spacing w:line="470" w:lineRule="exact"/>
        <w:ind w:firstLine="420"/>
        <w:rPr>
          <w:color w:val="auto"/>
          <w:spacing w:val="-4"/>
          <w:szCs w:val="21"/>
        </w:rPr>
      </w:pPr>
      <w:r>
        <w:rPr>
          <w:rFonts w:hint="eastAsia"/>
          <w:color w:val="auto"/>
          <w:spacing w:val="-4"/>
          <w:szCs w:val="21"/>
        </w:rPr>
        <w:t>在磋商过程中，磋商小组可以根据磋商文件和磋商情况实质性变动采购需求中的技术、服务要求以及合同草案条款，但不得变动磋商文件中的其他内容。实质性变动的内容，须经采购人代表确认。</w:t>
      </w:r>
    </w:p>
    <w:p>
      <w:pPr>
        <w:pStyle w:val="24"/>
        <w:tabs>
          <w:tab w:val="left" w:pos="1957"/>
        </w:tabs>
        <w:spacing w:line="470" w:lineRule="exact"/>
        <w:ind w:firstLine="420"/>
        <w:rPr>
          <w:color w:val="auto"/>
          <w:spacing w:val="-4"/>
          <w:szCs w:val="21"/>
        </w:rPr>
      </w:pPr>
      <w:r>
        <w:rPr>
          <w:rFonts w:hint="eastAsia"/>
          <w:color w:val="auto"/>
          <w:spacing w:val="-4"/>
          <w:szCs w:val="21"/>
        </w:rPr>
        <w:t>对磋商文件作出的实质性变动是磋商文件的有效组成部分，磋商小组应当及时以书面形式同时通知所有参加磋商的供应商。</w:t>
      </w:r>
    </w:p>
    <w:p>
      <w:pPr>
        <w:pStyle w:val="24"/>
        <w:tabs>
          <w:tab w:val="left" w:pos="1957"/>
        </w:tabs>
        <w:spacing w:line="470" w:lineRule="exact"/>
        <w:ind w:firstLine="420"/>
        <w:rPr>
          <w:color w:val="auto"/>
          <w:spacing w:val="-4"/>
          <w:szCs w:val="21"/>
        </w:rPr>
      </w:pPr>
      <w:r>
        <w:rPr>
          <w:rFonts w:hint="eastAsia"/>
          <w:color w:val="auto"/>
          <w:spacing w:val="-4"/>
          <w:szCs w:val="21"/>
        </w:rPr>
        <w:t>供应商应当按照磋商文件的变动情况和磋商小组的要求重新提交响应文件，并由其法定代表人（负责人）或授权代表签字或者加盖公章。由授权代表签字的，应当附法定代表人（负责人）授权书。</w:t>
      </w:r>
    </w:p>
    <w:p>
      <w:pPr>
        <w:pStyle w:val="24"/>
        <w:tabs>
          <w:tab w:val="left" w:pos="1957"/>
        </w:tabs>
        <w:spacing w:line="470" w:lineRule="exact"/>
        <w:ind w:firstLine="420"/>
        <w:rPr>
          <w:color w:val="auto"/>
          <w:spacing w:val="-4"/>
          <w:szCs w:val="21"/>
        </w:rPr>
      </w:pPr>
      <w:r>
        <w:rPr>
          <w:rFonts w:hint="eastAsia"/>
          <w:color w:val="auto"/>
          <w:spacing w:val="-4"/>
          <w:szCs w:val="21"/>
        </w:rPr>
        <w:t>磋商中，磋商的任何一方不得透露与磋商有关的其他供应商的技术资料、价格和其他信息。</w:t>
      </w:r>
    </w:p>
    <w:p>
      <w:pPr>
        <w:pStyle w:val="24"/>
        <w:tabs>
          <w:tab w:val="left" w:pos="1957"/>
        </w:tabs>
        <w:spacing w:line="470" w:lineRule="exact"/>
        <w:ind w:firstLine="420"/>
        <w:rPr>
          <w:color w:val="auto"/>
          <w:spacing w:val="-4"/>
          <w:szCs w:val="21"/>
        </w:rPr>
      </w:pPr>
      <w:r>
        <w:rPr>
          <w:rFonts w:hint="eastAsia"/>
          <w:color w:val="auto"/>
          <w:spacing w:val="-4"/>
          <w:szCs w:val="21"/>
        </w:rPr>
        <w:t>采购代理机构对磋商过程和重要磋商内容进行记录，磋商双方在记录上签字确认。</w:t>
      </w:r>
    </w:p>
    <w:p>
      <w:pPr>
        <w:pStyle w:val="24"/>
        <w:tabs>
          <w:tab w:val="left" w:pos="1957"/>
        </w:tabs>
        <w:spacing w:line="470" w:lineRule="exact"/>
        <w:ind w:firstLine="420"/>
        <w:rPr>
          <w:color w:val="auto"/>
          <w:spacing w:val="-4"/>
          <w:szCs w:val="21"/>
        </w:rPr>
      </w:pPr>
      <w:r>
        <w:rPr>
          <w:rFonts w:hint="eastAsia"/>
          <w:color w:val="auto"/>
          <w:spacing w:val="-4"/>
          <w:szCs w:val="21"/>
        </w:rPr>
        <w:t>磋商小组一致确定响应供应商符合磋商文件要求的，按磋商文件设定的方法和标准确定成交候选人。第一轮磋商磋商小组未能确定成交候选人的，对磋商文件修正后进行第二轮磋商。</w:t>
      </w:r>
    </w:p>
    <w:p>
      <w:pPr>
        <w:pStyle w:val="24"/>
        <w:tabs>
          <w:tab w:val="left" w:pos="1957"/>
        </w:tabs>
        <w:spacing w:line="470" w:lineRule="exact"/>
        <w:ind w:firstLine="420"/>
        <w:rPr>
          <w:color w:val="auto"/>
          <w:spacing w:val="-4"/>
          <w:szCs w:val="21"/>
        </w:rPr>
      </w:pPr>
      <w:r>
        <w:rPr>
          <w:rFonts w:hint="eastAsia"/>
          <w:color w:val="auto"/>
          <w:spacing w:val="-4"/>
          <w:szCs w:val="21"/>
        </w:rPr>
        <w:t>22.4磋商文件修正</w:t>
      </w:r>
    </w:p>
    <w:p>
      <w:pPr>
        <w:pStyle w:val="24"/>
        <w:tabs>
          <w:tab w:val="left" w:pos="1957"/>
        </w:tabs>
        <w:spacing w:line="470" w:lineRule="exact"/>
        <w:ind w:firstLine="420"/>
        <w:rPr>
          <w:color w:val="auto"/>
          <w:spacing w:val="-4"/>
          <w:szCs w:val="21"/>
        </w:rPr>
      </w:pPr>
      <w:r>
        <w:rPr>
          <w:rFonts w:hint="eastAsia"/>
          <w:color w:val="auto"/>
          <w:spacing w:val="-4"/>
          <w:szCs w:val="21"/>
        </w:rPr>
        <w:t>⑴第一轮磋商结束后，各响应供应商退场等候，磋商小组进行合议。根据第一轮磋商掌握的情况，可以对磋商文件进行修改，确定采购内容的详细规格或具体要求，优化采购方案。</w:t>
      </w:r>
    </w:p>
    <w:p>
      <w:pPr>
        <w:pStyle w:val="24"/>
        <w:tabs>
          <w:tab w:val="left" w:pos="1957"/>
        </w:tabs>
        <w:spacing w:line="470" w:lineRule="exact"/>
        <w:ind w:firstLine="420"/>
        <w:rPr>
          <w:color w:val="auto"/>
          <w:spacing w:val="-4"/>
          <w:szCs w:val="21"/>
        </w:rPr>
      </w:pPr>
      <w:r>
        <w:rPr>
          <w:rFonts w:hint="eastAsia"/>
          <w:color w:val="auto"/>
          <w:spacing w:val="-4"/>
          <w:szCs w:val="21"/>
        </w:rPr>
        <w:t>⑵采购代理机构通知响应供应商集中，磋商小组强调调整后的采购要求，将磋商文件的修改结果以书面形式通知响应供应商，向响应供应商提供较充分的修正时间。</w:t>
      </w:r>
    </w:p>
    <w:p>
      <w:pPr>
        <w:pStyle w:val="24"/>
        <w:tabs>
          <w:tab w:val="left" w:pos="1957"/>
        </w:tabs>
        <w:spacing w:line="470" w:lineRule="exact"/>
        <w:ind w:firstLine="420"/>
        <w:rPr>
          <w:color w:val="auto"/>
          <w:spacing w:val="-4"/>
          <w:szCs w:val="21"/>
        </w:rPr>
      </w:pPr>
      <w:r>
        <w:rPr>
          <w:rFonts w:hint="eastAsia"/>
          <w:color w:val="auto"/>
          <w:spacing w:val="-4"/>
          <w:szCs w:val="21"/>
        </w:rPr>
        <w:t>⑶响应供应商根据第一轮磋商情况和磋商文件修改书面通知，对原响应文件进行修正，并将修正文件签字后密封送交磋商小组。逾时不交的，视同放弃磋商。修正文件与响应文件同具法律效应。</w:t>
      </w:r>
    </w:p>
    <w:p>
      <w:pPr>
        <w:pStyle w:val="24"/>
        <w:tabs>
          <w:tab w:val="left" w:pos="1957"/>
        </w:tabs>
        <w:spacing w:line="470" w:lineRule="exact"/>
        <w:ind w:firstLine="420"/>
        <w:rPr>
          <w:color w:val="auto"/>
          <w:spacing w:val="-4"/>
          <w:szCs w:val="21"/>
        </w:rPr>
      </w:pPr>
      <w:r>
        <w:rPr>
          <w:rFonts w:hint="eastAsia"/>
          <w:color w:val="auto"/>
          <w:spacing w:val="-4"/>
          <w:szCs w:val="21"/>
        </w:rPr>
        <w:t>22.5第二轮磋商</w:t>
      </w:r>
    </w:p>
    <w:p>
      <w:pPr>
        <w:pStyle w:val="24"/>
        <w:tabs>
          <w:tab w:val="left" w:pos="1957"/>
        </w:tabs>
        <w:spacing w:line="470" w:lineRule="exact"/>
        <w:ind w:firstLine="420"/>
        <w:rPr>
          <w:color w:val="auto"/>
          <w:spacing w:val="-4"/>
          <w:szCs w:val="21"/>
        </w:rPr>
      </w:pPr>
      <w:r>
        <w:rPr>
          <w:rFonts w:hint="eastAsia"/>
          <w:color w:val="auto"/>
          <w:spacing w:val="-4"/>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pStyle w:val="24"/>
        <w:tabs>
          <w:tab w:val="left" w:pos="1957"/>
        </w:tabs>
        <w:spacing w:line="470" w:lineRule="exact"/>
        <w:ind w:firstLine="420"/>
        <w:rPr>
          <w:color w:val="auto"/>
          <w:spacing w:val="-4"/>
          <w:szCs w:val="21"/>
        </w:rPr>
      </w:pPr>
      <w:r>
        <w:rPr>
          <w:rFonts w:hint="eastAsia"/>
          <w:color w:val="auto"/>
          <w:spacing w:val="-4"/>
          <w:szCs w:val="21"/>
        </w:rPr>
        <w:t>第二轮磋商磋商小组未能确定成交候选人的，对磋商文件修正后进行第三轮磋商。以此类推。</w:t>
      </w:r>
    </w:p>
    <w:p>
      <w:pPr>
        <w:pStyle w:val="24"/>
        <w:tabs>
          <w:tab w:val="left" w:pos="1957"/>
        </w:tabs>
        <w:spacing w:line="470" w:lineRule="exact"/>
        <w:ind w:firstLine="420"/>
        <w:rPr>
          <w:color w:val="auto"/>
          <w:spacing w:val="-4"/>
          <w:szCs w:val="21"/>
        </w:rPr>
      </w:pPr>
      <w:r>
        <w:rPr>
          <w:rFonts w:hint="eastAsia"/>
          <w:color w:val="auto"/>
          <w:spacing w:val="-4"/>
          <w:szCs w:val="21"/>
        </w:rPr>
        <w:t>22.6最后报价</w:t>
      </w:r>
    </w:p>
    <w:p>
      <w:pPr>
        <w:pStyle w:val="24"/>
        <w:tabs>
          <w:tab w:val="left" w:pos="1957"/>
        </w:tabs>
        <w:spacing w:line="470" w:lineRule="exact"/>
        <w:ind w:firstLine="420"/>
        <w:rPr>
          <w:color w:val="auto"/>
          <w:spacing w:val="-4"/>
          <w:szCs w:val="21"/>
        </w:rPr>
      </w:pPr>
      <w:r>
        <w:rPr>
          <w:rFonts w:hint="eastAsia"/>
          <w:color w:val="auto"/>
          <w:spacing w:val="-4"/>
          <w:szCs w:val="21"/>
        </w:rPr>
        <w:t>22.6.1磋商文件能够详细列明采购标的的技术、服务要求的，磋商结束后，磋商小组应当要求所有继续参加磋商的供应商在规定时间内密封提交最后报价，提交最后报价的供应商不得少于2家。</w:t>
      </w:r>
    </w:p>
    <w:p>
      <w:pPr>
        <w:pStyle w:val="24"/>
        <w:tabs>
          <w:tab w:val="left" w:pos="1957"/>
        </w:tabs>
        <w:spacing w:line="470" w:lineRule="exact"/>
        <w:ind w:firstLine="420"/>
        <w:rPr>
          <w:color w:val="auto"/>
          <w:spacing w:val="-4"/>
          <w:szCs w:val="21"/>
        </w:rPr>
      </w:pPr>
      <w:r>
        <w:rPr>
          <w:rFonts w:hint="eastAsia"/>
          <w:color w:val="auto"/>
          <w:spacing w:val="-4"/>
          <w:szCs w:val="21"/>
        </w:rPr>
        <w:t>22.6.2磋商文件不能详细列明采购标的的技术、服务要求，需经磋商由供应商提供最终设计方案或解决方案的，磋商结束后，磋商小组应当按照少数服从多数的原则投票推荐3家供应商的者解决方案，并要求其在规定时间内密封提交最后报价。</w:t>
      </w:r>
    </w:p>
    <w:p>
      <w:pPr>
        <w:pStyle w:val="24"/>
        <w:tabs>
          <w:tab w:val="left" w:pos="1957"/>
        </w:tabs>
        <w:spacing w:line="470" w:lineRule="exact"/>
        <w:ind w:firstLine="420"/>
        <w:rPr>
          <w:color w:val="auto"/>
          <w:spacing w:val="-4"/>
          <w:szCs w:val="21"/>
        </w:rPr>
      </w:pPr>
      <w:r>
        <w:rPr>
          <w:rFonts w:hint="eastAsia"/>
          <w:color w:val="auto"/>
          <w:spacing w:val="-4"/>
          <w:szCs w:val="21"/>
        </w:rPr>
        <w:t>22.6.3</w:t>
      </w:r>
      <w:r>
        <w:rPr>
          <w:color w:val="auto"/>
          <w:spacing w:val="-4"/>
          <w:szCs w:val="21"/>
        </w:rPr>
        <w:t>最后报价</w:t>
      </w:r>
      <w:r>
        <w:rPr>
          <w:rFonts w:hint="eastAsia"/>
          <w:color w:val="auto"/>
          <w:spacing w:val="-4"/>
          <w:szCs w:val="21"/>
        </w:rPr>
        <w:t>应</w:t>
      </w:r>
      <w:r>
        <w:rPr>
          <w:color w:val="auto"/>
          <w:spacing w:val="-4"/>
          <w:szCs w:val="21"/>
        </w:rPr>
        <w:t>由其</w:t>
      </w:r>
      <w:r>
        <w:rPr>
          <w:rFonts w:hint="eastAsia"/>
          <w:color w:val="auto"/>
          <w:spacing w:val="-4"/>
          <w:szCs w:val="21"/>
        </w:rPr>
        <w:t>法定代表人（负责人）</w:t>
      </w:r>
      <w:r>
        <w:rPr>
          <w:color w:val="auto"/>
          <w:spacing w:val="-4"/>
          <w:szCs w:val="21"/>
        </w:rPr>
        <w:t>或授权</w:t>
      </w:r>
      <w:r>
        <w:rPr>
          <w:rFonts w:hint="eastAsia"/>
          <w:color w:val="auto"/>
          <w:spacing w:val="-4"/>
          <w:szCs w:val="21"/>
        </w:rPr>
        <w:t>委托</w:t>
      </w:r>
      <w:r>
        <w:rPr>
          <w:color w:val="auto"/>
          <w:spacing w:val="-4"/>
          <w:szCs w:val="21"/>
        </w:rPr>
        <w:t>代表签字或者加盖</w:t>
      </w:r>
      <w:r>
        <w:rPr>
          <w:rFonts w:hint="eastAsia"/>
          <w:color w:val="auto"/>
          <w:spacing w:val="-4"/>
          <w:szCs w:val="21"/>
        </w:rPr>
        <w:t>竞标供应商</w:t>
      </w:r>
      <w:r>
        <w:rPr>
          <w:color w:val="auto"/>
          <w:spacing w:val="-4"/>
          <w:szCs w:val="21"/>
        </w:rPr>
        <w:t>公章</w:t>
      </w:r>
      <w:r>
        <w:rPr>
          <w:rFonts w:hint="eastAsia"/>
          <w:color w:val="auto"/>
          <w:spacing w:val="-4"/>
          <w:szCs w:val="21"/>
        </w:rPr>
        <w:t>,最后报价</w:t>
      </w:r>
      <w:r>
        <w:rPr>
          <w:color w:val="auto"/>
          <w:spacing w:val="-4"/>
          <w:szCs w:val="21"/>
        </w:rPr>
        <w:t>是供应商</w:t>
      </w:r>
      <w:r>
        <w:rPr>
          <w:rFonts w:hint="eastAsia"/>
          <w:color w:val="auto"/>
          <w:spacing w:val="-4"/>
          <w:szCs w:val="21"/>
        </w:rPr>
        <w:t>响应文件</w:t>
      </w:r>
      <w:r>
        <w:rPr>
          <w:color w:val="auto"/>
          <w:spacing w:val="-4"/>
          <w:szCs w:val="21"/>
        </w:rPr>
        <w:t>的有效组成部分。</w:t>
      </w:r>
    </w:p>
    <w:p>
      <w:pPr>
        <w:pStyle w:val="24"/>
        <w:tabs>
          <w:tab w:val="left" w:pos="1957"/>
        </w:tabs>
        <w:spacing w:line="470" w:lineRule="exact"/>
        <w:ind w:firstLine="420"/>
        <w:rPr>
          <w:color w:val="auto"/>
          <w:spacing w:val="-4"/>
          <w:szCs w:val="21"/>
        </w:rPr>
      </w:pPr>
      <w:r>
        <w:rPr>
          <w:rFonts w:hint="eastAsia"/>
          <w:color w:val="auto"/>
          <w:spacing w:val="-4"/>
          <w:szCs w:val="21"/>
        </w:rPr>
        <w:t>22.6.4 已经提交响应文件的供应商，在提交最后报价之前，如有变动磋商文件中的其他内容可以根据磋商情况退出磋商。采购人、采购代理机构将退还退出磋商的供应商的保证金。</w:t>
      </w:r>
    </w:p>
    <w:p>
      <w:pPr>
        <w:pStyle w:val="24"/>
        <w:tabs>
          <w:tab w:val="left" w:pos="1957"/>
        </w:tabs>
        <w:spacing w:line="470" w:lineRule="exact"/>
        <w:ind w:firstLine="420"/>
        <w:rPr>
          <w:color w:val="auto"/>
          <w:spacing w:val="-4"/>
          <w:szCs w:val="21"/>
        </w:rPr>
      </w:pPr>
      <w:r>
        <w:rPr>
          <w:rFonts w:hint="eastAsia"/>
          <w:color w:val="auto"/>
          <w:spacing w:val="-4"/>
          <w:szCs w:val="21"/>
        </w:rPr>
        <w:t>22.6.5经磋商确定最终采购需求和提交最后报价的供应商后，由磋商小组采用综合评分法对提交最后报价的供应商的响应文件和最后报价进行综合评分。</w:t>
      </w:r>
    </w:p>
    <w:p>
      <w:pPr>
        <w:pStyle w:val="24"/>
        <w:tabs>
          <w:tab w:val="left" w:pos="4214"/>
        </w:tabs>
        <w:spacing w:line="440" w:lineRule="exact"/>
        <w:ind w:firstLine="420" w:firstLineChars="200"/>
        <w:rPr>
          <w:rFonts w:hAnsi="宋体" w:cs="宋体"/>
          <w:color w:val="auto"/>
          <w:szCs w:val="21"/>
        </w:rPr>
      </w:pPr>
      <w:r>
        <w:rPr>
          <w:rFonts w:hint="eastAsia" w:hAnsi="宋体" w:cs="宋体"/>
          <w:color w:val="auto"/>
          <w:szCs w:val="21"/>
        </w:rPr>
        <w:t>磋商小组应当根据综合评分情况，按照评审得分由高到低顺序推荐3名以上（含3名）成交候选供应商，并编写评审报告；如采购项目为政府采购服务项目（含政府和社会资本合作项目），且采购过程中符合要求的供应商（社会资本）只有2家的，竞争性磋商采购活动可以继续进行。磋商小组应当根据综合评分情况，按照评审得分由高到低顺序推荐2名以上（含2名）成交候选供应商，并编写评审报告。磋商小组根据综合得分由高到低排列次序，若得分相同时，以评标报价由低到高顺序排列；若得分相同且评标报价相同的，以磋商报价由低到高顺序排列；若仍相同时，按项目实施方案分由高到低的顺序排列并推荐成交供应商。若仍相同时，则由磋商小组集体讨论确定。</w:t>
      </w:r>
    </w:p>
    <w:p>
      <w:pPr>
        <w:pStyle w:val="24"/>
        <w:tabs>
          <w:tab w:val="left" w:pos="1957"/>
        </w:tabs>
        <w:spacing w:line="470" w:lineRule="exact"/>
        <w:ind w:firstLine="420"/>
        <w:rPr>
          <w:color w:val="auto"/>
          <w:spacing w:val="-4"/>
          <w:szCs w:val="21"/>
        </w:rPr>
      </w:pPr>
      <w:r>
        <w:rPr>
          <w:rFonts w:hint="eastAsia"/>
          <w:color w:val="auto"/>
          <w:spacing w:val="-4"/>
          <w:szCs w:val="21"/>
        </w:rPr>
        <w:t>22.7响应供应商的报价均超过了采购预算，采购人不能支付的，磋商活动终止。</w:t>
      </w:r>
    </w:p>
    <w:p>
      <w:pPr>
        <w:pStyle w:val="24"/>
        <w:tabs>
          <w:tab w:val="left" w:pos="1957"/>
        </w:tabs>
        <w:spacing w:line="470" w:lineRule="exact"/>
        <w:ind w:firstLine="420"/>
        <w:rPr>
          <w:color w:val="auto"/>
          <w:spacing w:val="-4"/>
          <w:szCs w:val="21"/>
        </w:rPr>
      </w:pPr>
      <w:r>
        <w:rPr>
          <w:rFonts w:hint="eastAsia"/>
          <w:color w:val="auto"/>
          <w:spacing w:val="-4"/>
          <w:szCs w:val="21"/>
        </w:rPr>
        <w:t>22.8在评标过程中出现法律法规和磋商文件均没有明确规定的情形时，由磋商小组现场协商解决，协商不一致的，由全体磋商小组投票表决，以得票率二分之一以上专家的意见为准。</w:t>
      </w:r>
    </w:p>
    <w:p>
      <w:pPr>
        <w:pStyle w:val="24"/>
        <w:tabs>
          <w:tab w:val="left" w:pos="1957"/>
        </w:tabs>
        <w:spacing w:line="470" w:lineRule="exact"/>
        <w:ind w:firstLine="420"/>
        <w:rPr>
          <w:color w:val="auto"/>
          <w:spacing w:val="-4"/>
          <w:szCs w:val="21"/>
        </w:rPr>
      </w:pPr>
      <w:r>
        <w:rPr>
          <w:rFonts w:hint="eastAsia"/>
          <w:color w:val="auto"/>
          <w:spacing w:val="-4"/>
          <w:szCs w:val="21"/>
        </w:rPr>
        <w:t>22.9特别说明：</w:t>
      </w:r>
    </w:p>
    <w:p>
      <w:pPr>
        <w:pStyle w:val="24"/>
        <w:tabs>
          <w:tab w:val="left" w:pos="1957"/>
        </w:tabs>
        <w:spacing w:line="470" w:lineRule="exact"/>
        <w:ind w:firstLine="420"/>
        <w:rPr>
          <w:color w:val="auto"/>
          <w:spacing w:val="-4"/>
          <w:szCs w:val="21"/>
        </w:rPr>
      </w:pPr>
      <w:r>
        <w:rPr>
          <w:rFonts w:hint="eastAsia"/>
          <w:color w:val="auto"/>
          <w:spacing w:val="-4"/>
          <w:szCs w:val="21"/>
        </w:rPr>
        <w:t>22.9.1竞标人竞标所使用的资格、信誉、荣誉、业绩与企业认证必须为本法人所拥有。竞标人竞标所使用的采购项目实施人员必须为本法人员工（或必须为本法人或控股公司正式员工）。</w:t>
      </w:r>
    </w:p>
    <w:p>
      <w:pPr>
        <w:pStyle w:val="24"/>
        <w:tabs>
          <w:tab w:val="left" w:pos="1957"/>
        </w:tabs>
        <w:spacing w:line="470" w:lineRule="exact"/>
        <w:ind w:firstLine="420"/>
        <w:rPr>
          <w:color w:val="auto"/>
          <w:spacing w:val="-4"/>
          <w:szCs w:val="21"/>
        </w:rPr>
      </w:pPr>
      <w:r>
        <w:rPr>
          <w:rFonts w:hint="eastAsia"/>
          <w:color w:val="auto"/>
          <w:spacing w:val="-4"/>
          <w:szCs w:val="21"/>
        </w:rPr>
        <w:t>22.9.2竞标人应仔细阅读竞争性磋商文件的所有内容，按照竞争性磋商文件的要求提交响应文件，并对所提供的全部资料的真实性承担法律责任。</w:t>
      </w:r>
    </w:p>
    <w:p>
      <w:pPr>
        <w:pStyle w:val="24"/>
        <w:tabs>
          <w:tab w:val="left" w:pos="1957"/>
        </w:tabs>
        <w:spacing w:line="470" w:lineRule="exact"/>
        <w:ind w:firstLine="420"/>
        <w:rPr>
          <w:color w:val="auto"/>
          <w:spacing w:val="-4"/>
          <w:szCs w:val="21"/>
        </w:rPr>
      </w:pPr>
      <w:r>
        <w:rPr>
          <w:rFonts w:hint="eastAsia"/>
          <w:color w:val="auto"/>
          <w:spacing w:val="-4"/>
          <w:szCs w:val="21"/>
        </w:rPr>
        <w:t>22.9.3竞标人在竞标活动中提供任何虚假材料，其竞标无效，并报监管部门查处；成交后发现的，成交供应商须依照《中华人民共和国消费者权益保护法》第49条之规定双倍赔偿采购人，且民事赔偿并不免除违法竞标人的行政与刑事责任。</w:t>
      </w:r>
    </w:p>
    <w:p>
      <w:pPr>
        <w:pStyle w:val="24"/>
        <w:tabs>
          <w:tab w:val="left" w:pos="1957"/>
        </w:tabs>
        <w:spacing w:line="470" w:lineRule="exact"/>
        <w:ind w:firstLine="420"/>
        <w:rPr>
          <w:color w:val="auto"/>
          <w:spacing w:val="-4"/>
          <w:szCs w:val="21"/>
        </w:rPr>
      </w:pPr>
      <w:r>
        <w:rPr>
          <w:rFonts w:hint="eastAsia"/>
          <w:color w:val="auto"/>
          <w:spacing w:val="-4"/>
          <w:szCs w:val="21"/>
        </w:rPr>
        <w:t>22.10低于成本报价</w:t>
      </w:r>
    </w:p>
    <w:p>
      <w:pPr>
        <w:pStyle w:val="24"/>
        <w:tabs>
          <w:tab w:val="left" w:pos="1957"/>
        </w:tabs>
        <w:spacing w:line="470" w:lineRule="exact"/>
        <w:ind w:firstLine="420"/>
        <w:rPr>
          <w:color w:val="auto"/>
          <w:spacing w:val="-4"/>
          <w:szCs w:val="21"/>
        </w:rPr>
      </w:pPr>
      <w:r>
        <w:rPr>
          <w:rFonts w:hint="eastAsia"/>
          <w:color w:val="auto"/>
          <w:spacing w:val="-4"/>
          <w:szCs w:val="21"/>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pStyle w:val="24"/>
        <w:tabs>
          <w:tab w:val="left" w:pos="1957"/>
        </w:tabs>
        <w:spacing w:line="470" w:lineRule="exact"/>
        <w:ind w:firstLine="420"/>
        <w:rPr>
          <w:color w:val="auto"/>
          <w:spacing w:val="-4"/>
          <w:szCs w:val="21"/>
        </w:rPr>
      </w:pPr>
      <w:r>
        <w:rPr>
          <w:rFonts w:hint="eastAsia"/>
          <w:color w:val="auto"/>
          <w:spacing w:val="-4"/>
          <w:szCs w:val="21"/>
        </w:rPr>
        <w:t>22.11最终磋商结束后，磋商小组不得再与竞标人进行任何形式的商谈。</w:t>
      </w:r>
    </w:p>
    <w:p>
      <w:pPr>
        <w:pStyle w:val="24"/>
        <w:tabs>
          <w:tab w:val="left" w:pos="1957"/>
        </w:tabs>
        <w:spacing w:line="470" w:lineRule="exact"/>
        <w:ind w:firstLine="420"/>
        <w:rPr>
          <w:color w:val="auto"/>
          <w:spacing w:val="-4"/>
          <w:szCs w:val="21"/>
        </w:rPr>
      </w:pPr>
      <w:r>
        <w:rPr>
          <w:rFonts w:hint="eastAsia"/>
          <w:color w:val="auto"/>
          <w:spacing w:val="-4"/>
          <w:szCs w:val="21"/>
        </w:rPr>
        <w:t>22.12采购代理机构发现磋商小组有明显的违规倾向或歧视现象，或不按评标办法进行，或其他不正常行为的，应当及时制止。如制止无效，应及时项目当地市政府采购监督管理机构报告。</w:t>
      </w:r>
    </w:p>
    <w:p>
      <w:pPr>
        <w:pStyle w:val="24"/>
        <w:tabs>
          <w:tab w:val="left" w:pos="1957"/>
        </w:tabs>
        <w:spacing w:line="470" w:lineRule="exact"/>
        <w:ind w:firstLine="420"/>
        <w:rPr>
          <w:color w:val="auto"/>
          <w:spacing w:val="-4"/>
          <w:szCs w:val="21"/>
        </w:rPr>
      </w:pPr>
      <w:r>
        <w:rPr>
          <w:rFonts w:hint="eastAsia"/>
          <w:color w:val="auto"/>
          <w:spacing w:val="-4"/>
          <w:szCs w:val="21"/>
        </w:rPr>
        <w:t>22.13本竞标项目是采购预算为最高限价，超出采购预算的最后报价，磋商小组可以不予以评审。当全部最后报价均超出采购预算时，磋商小组有权决定全部废标或</w:t>
      </w:r>
      <w:r>
        <w:rPr>
          <w:color w:val="auto"/>
          <w:spacing w:val="-4"/>
          <w:szCs w:val="21"/>
        </w:rPr>
        <w:t>以书面形式要求所有</w:t>
      </w:r>
      <w:r>
        <w:rPr>
          <w:rFonts w:hint="eastAsia"/>
          <w:color w:val="auto"/>
          <w:spacing w:val="-4"/>
          <w:szCs w:val="21"/>
        </w:rPr>
        <w:t>竞标供应商</w:t>
      </w:r>
      <w:r>
        <w:rPr>
          <w:color w:val="auto"/>
          <w:spacing w:val="-4"/>
          <w:szCs w:val="21"/>
        </w:rPr>
        <w:t>在规定时间内以书面</w:t>
      </w:r>
      <w:r>
        <w:rPr>
          <w:rFonts w:hint="eastAsia"/>
          <w:color w:val="auto"/>
          <w:spacing w:val="-4"/>
          <w:szCs w:val="21"/>
        </w:rPr>
        <w:t>密封</w:t>
      </w:r>
      <w:r>
        <w:rPr>
          <w:color w:val="auto"/>
          <w:spacing w:val="-4"/>
          <w:szCs w:val="21"/>
        </w:rPr>
        <w:t>形式重新报价。</w:t>
      </w:r>
    </w:p>
    <w:p>
      <w:pPr>
        <w:pStyle w:val="24"/>
        <w:spacing w:line="470" w:lineRule="exact"/>
        <w:outlineLvl w:val="3"/>
        <w:rPr>
          <w:b/>
          <w:color w:val="auto"/>
        </w:rPr>
      </w:pPr>
      <w:r>
        <w:rPr>
          <w:rFonts w:hint="eastAsia"/>
          <w:b/>
          <w:color w:val="auto"/>
        </w:rPr>
        <w:t>23.评标</w:t>
      </w:r>
      <w:bookmarkStart w:id="68" w:name="_Toc398645867"/>
      <w:bookmarkStart w:id="69" w:name="_Toc495333074"/>
    </w:p>
    <w:p>
      <w:pPr>
        <w:pStyle w:val="24"/>
        <w:spacing w:line="470" w:lineRule="exact"/>
        <w:ind w:firstLine="420"/>
        <w:rPr>
          <w:b/>
          <w:color w:val="auto"/>
          <w:szCs w:val="21"/>
        </w:rPr>
      </w:pPr>
      <w:r>
        <w:rPr>
          <w:rFonts w:hint="eastAsia"/>
          <w:b/>
          <w:color w:val="auto"/>
          <w:szCs w:val="21"/>
        </w:rPr>
        <w:t>23.</w:t>
      </w:r>
      <w:bookmarkEnd w:id="68"/>
      <w:bookmarkEnd w:id="69"/>
      <w:r>
        <w:rPr>
          <w:rFonts w:hint="eastAsia"/>
          <w:b/>
          <w:color w:val="auto"/>
          <w:szCs w:val="21"/>
        </w:rPr>
        <w:t>1本采购项目是以采购预算价为最高限价，超出采购预算价的最终竞标报价，采购人不能支付时，评标小组将不予以评审。</w:t>
      </w:r>
    </w:p>
    <w:p>
      <w:pPr>
        <w:pStyle w:val="24"/>
        <w:spacing w:line="470" w:lineRule="exact"/>
        <w:ind w:firstLine="420"/>
        <w:rPr>
          <w:color w:val="auto"/>
        </w:rPr>
      </w:pPr>
      <w:r>
        <w:rPr>
          <w:color w:val="auto"/>
        </w:rPr>
        <w:t>2</w:t>
      </w:r>
      <w:r>
        <w:rPr>
          <w:rFonts w:hint="eastAsia"/>
          <w:color w:val="auto"/>
        </w:rPr>
        <w:t>3</w:t>
      </w:r>
      <w:r>
        <w:rPr>
          <w:color w:val="auto"/>
        </w:rPr>
        <w:t>.2</w:t>
      </w:r>
      <w:r>
        <w:rPr>
          <w:rFonts w:hint="eastAsia"/>
          <w:color w:val="auto"/>
        </w:rPr>
        <w:t>本采购项目的评标依据为竞争性磋商文件和响应文件。</w:t>
      </w:r>
    </w:p>
    <w:p>
      <w:pPr>
        <w:pStyle w:val="24"/>
        <w:spacing w:line="470" w:lineRule="exact"/>
        <w:ind w:firstLine="420"/>
        <w:rPr>
          <w:color w:val="auto"/>
        </w:rPr>
      </w:pPr>
      <w:r>
        <w:rPr>
          <w:rFonts w:hint="eastAsia"/>
          <w:color w:val="auto"/>
        </w:rPr>
        <w:t>23.3本项目采用的评标方法按本须知前附表第9项规定执行，“磋商小组”成员、有关工作人员及其他知情人不得透露对响应文件的评审、比较和成交候选供应商的推荐情况以及与评标有关的其他情况。</w:t>
      </w:r>
    </w:p>
    <w:p>
      <w:pPr>
        <w:pStyle w:val="24"/>
        <w:spacing w:line="470" w:lineRule="exact"/>
        <w:ind w:firstLine="420"/>
        <w:rPr>
          <w:color w:val="auto"/>
          <w:szCs w:val="21"/>
        </w:rPr>
      </w:pPr>
      <w:r>
        <w:rPr>
          <w:rFonts w:hint="eastAsia"/>
          <w:color w:val="auto"/>
          <w:szCs w:val="21"/>
        </w:rPr>
        <w:t>23.4竞标供应商在评标过程中，所进行的力图影响评标结果公正性的活动，将可能导致其成交资格被取消。</w:t>
      </w:r>
    </w:p>
    <w:p>
      <w:pPr>
        <w:pStyle w:val="24"/>
        <w:spacing w:line="470" w:lineRule="exact"/>
        <w:outlineLvl w:val="3"/>
        <w:rPr>
          <w:b/>
          <w:color w:val="auto"/>
        </w:rPr>
      </w:pPr>
      <w:r>
        <w:rPr>
          <w:rFonts w:hint="eastAsia"/>
          <w:b/>
          <w:color w:val="auto"/>
        </w:rPr>
        <w:t>24.无效</w:t>
      </w:r>
      <w:bookmarkStart w:id="70" w:name="_Toc495333075"/>
      <w:bookmarkStart w:id="71" w:name="_Toc398645868"/>
      <w:r>
        <w:rPr>
          <w:rFonts w:hint="eastAsia"/>
          <w:b/>
          <w:color w:val="auto"/>
        </w:rPr>
        <w:t>的响应文件</w:t>
      </w:r>
    </w:p>
    <w:p>
      <w:pPr>
        <w:pStyle w:val="24"/>
        <w:spacing w:line="470" w:lineRule="exact"/>
        <w:ind w:firstLine="420"/>
        <w:rPr>
          <w:color w:val="auto"/>
          <w:szCs w:val="21"/>
        </w:rPr>
      </w:pPr>
      <w:r>
        <w:rPr>
          <w:rFonts w:hint="eastAsia"/>
          <w:color w:val="auto"/>
          <w:szCs w:val="21"/>
        </w:rPr>
        <w:t>24.1</w:t>
      </w:r>
      <w:bookmarkEnd w:id="70"/>
      <w:bookmarkEnd w:id="71"/>
      <w:r>
        <w:rPr>
          <w:rFonts w:hint="eastAsia"/>
          <w:color w:val="auto"/>
          <w:szCs w:val="21"/>
        </w:rPr>
        <w:t>响应文件或最终竞标报价如有下列情况之一，将会在评标中按照无效竞标处理：</w:t>
      </w:r>
    </w:p>
    <w:p>
      <w:pPr>
        <w:pStyle w:val="24"/>
        <w:spacing w:line="470" w:lineRule="exact"/>
        <w:ind w:firstLine="420"/>
        <w:rPr>
          <w:color w:val="auto"/>
          <w:szCs w:val="21"/>
        </w:rPr>
      </w:pPr>
      <w:r>
        <w:rPr>
          <w:rFonts w:hint="eastAsia"/>
          <w:color w:val="auto"/>
          <w:szCs w:val="21"/>
        </w:rPr>
        <w:t>（1）未按磋商文件规完整提交响应文件或未按规定要求密封、签署、盖章的，或未提供法人授权委托书（委托代理的）；</w:t>
      </w:r>
    </w:p>
    <w:p>
      <w:pPr>
        <w:pStyle w:val="24"/>
        <w:spacing w:line="470" w:lineRule="exact"/>
        <w:ind w:firstLine="420"/>
        <w:rPr>
          <w:color w:val="auto"/>
          <w:szCs w:val="21"/>
        </w:rPr>
      </w:pPr>
      <w:r>
        <w:rPr>
          <w:rFonts w:hint="eastAsia"/>
          <w:color w:val="auto"/>
          <w:szCs w:val="21"/>
        </w:rPr>
        <w:t>（2）超越了按照法律法规规定必须获得行政许可或者行政审批的经营范围的；</w:t>
      </w:r>
    </w:p>
    <w:p>
      <w:pPr>
        <w:pStyle w:val="24"/>
        <w:spacing w:line="470" w:lineRule="exact"/>
        <w:ind w:firstLine="420"/>
        <w:rPr>
          <w:color w:val="auto"/>
          <w:szCs w:val="21"/>
        </w:rPr>
      </w:pPr>
      <w:r>
        <w:rPr>
          <w:rFonts w:hint="eastAsia"/>
          <w:color w:val="auto"/>
          <w:szCs w:val="21"/>
        </w:rPr>
        <w:t>（3）不具备磋商文件规定的资格要求的；</w:t>
      </w:r>
    </w:p>
    <w:p>
      <w:pPr>
        <w:pStyle w:val="24"/>
        <w:spacing w:line="470" w:lineRule="exact"/>
        <w:ind w:firstLine="420"/>
        <w:rPr>
          <w:color w:val="auto"/>
          <w:szCs w:val="21"/>
        </w:rPr>
      </w:pPr>
      <w:r>
        <w:rPr>
          <w:rFonts w:hint="eastAsia"/>
          <w:color w:val="auto"/>
          <w:szCs w:val="21"/>
        </w:rPr>
        <w:t>（4）响应文件未按磋商文件的内容和要求编制，或提供虚假或无效材料的；</w:t>
      </w:r>
    </w:p>
    <w:p>
      <w:pPr>
        <w:pStyle w:val="24"/>
        <w:spacing w:line="470" w:lineRule="exact"/>
        <w:ind w:firstLine="420"/>
        <w:rPr>
          <w:color w:val="auto"/>
          <w:szCs w:val="21"/>
        </w:rPr>
      </w:pPr>
      <w:r>
        <w:rPr>
          <w:rFonts w:hint="eastAsia"/>
          <w:color w:val="auto"/>
          <w:szCs w:val="21"/>
        </w:rPr>
        <w:t>（5）竞标有效期、交付使用期、免费保修期等售后服务不能满足磋商文件要求的；</w:t>
      </w:r>
    </w:p>
    <w:p>
      <w:pPr>
        <w:pStyle w:val="24"/>
        <w:spacing w:line="470" w:lineRule="exact"/>
        <w:ind w:firstLine="420"/>
        <w:rPr>
          <w:color w:val="auto"/>
          <w:szCs w:val="21"/>
        </w:rPr>
      </w:pPr>
      <w:r>
        <w:rPr>
          <w:rFonts w:hint="eastAsia"/>
          <w:color w:val="auto"/>
          <w:szCs w:val="21"/>
        </w:rPr>
        <w:t>（6）竞标供应商未就《项目需求及要求》中所有内容作完整唯一报价的；</w:t>
      </w:r>
    </w:p>
    <w:p>
      <w:pPr>
        <w:pStyle w:val="24"/>
        <w:spacing w:line="470" w:lineRule="exact"/>
        <w:ind w:firstLine="420"/>
        <w:rPr>
          <w:color w:val="auto"/>
          <w:szCs w:val="21"/>
        </w:rPr>
      </w:pPr>
      <w:r>
        <w:rPr>
          <w:rFonts w:hint="eastAsia"/>
          <w:color w:val="auto"/>
          <w:szCs w:val="21"/>
        </w:rPr>
        <w:t>（7）竞标供应商未按要求提供 “原件备查”材料原件的，或所提供材料原件与其在响应文件中提供的材料复印件不一致的；</w:t>
      </w:r>
    </w:p>
    <w:p>
      <w:pPr>
        <w:pStyle w:val="24"/>
        <w:spacing w:line="470" w:lineRule="exact"/>
        <w:ind w:firstLine="420"/>
        <w:rPr>
          <w:color w:val="auto"/>
          <w:szCs w:val="21"/>
        </w:rPr>
      </w:pPr>
      <w:r>
        <w:rPr>
          <w:rFonts w:hint="eastAsia"/>
          <w:color w:val="auto"/>
          <w:szCs w:val="21"/>
        </w:rPr>
        <w:t>（8）未实质性响应磋商文件要求的；或者响应文件有采购人不能接受的附加条件的；</w:t>
      </w:r>
    </w:p>
    <w:p>
      <w:pPr>
        <w:pStyle w:val="24"/>
        <w:spacing w:line="470" w:lineRule="exact"/>
        <w:ind w:firstLine="420"/>
        <w:rPr>
          <w:color w:val="auto"/>
          <w:szCs w:val="21"/>
        </w:rPr>
      </w:pPr>
      <w:r>
        <w:rPr>
          <w:rFonts w:hint="eastAsia"/>
          <w:color w:val="auto"/>
          <w:szCs w:val="21"/>
        </w:rPr>
        <w:t>（9）</w:t>
      </w:r>
      <w:r>
        <w:rPr>
          <w:color w:val="auto"/>
          <w:szCs w:val="21"/>
        </w:rPr>
        <w:t xml:space="preserve">竞标供应商未在磋商小组规定的时间内提交响应文件（包括最后报价）的 </w:t>
      </w:r>
      <w:r>
        <w:rPr>
          <w:rFonts w:hint="eastAsia"/>
          <w:color w:val="auto"/>
          <w:szCs w:val="21"/>
        </w:rPr>
        <w:t>；</w:t>
      </w:r>
    </w:p>
    <w:p>
      <w:pPr>
        <w:pStyle w:val="24"/>
        <w:spacing w:line="470" w:lineRule="exact"/>
        <w:ind w:firstLine="420"/>
        <w:rPr>
          <w:color w:val="auto"/>
          <w:szCs w:val="21"/>
        </w:rPr>
      </w:pPr>
      <w:r>
        <w:rPr>
          <w:rFonts w:hint="eastAsia"/>
          <w:color w:val="auto"/>
          <w:szCs w:val="21"/>
        </w:rPr>
        <w:t>（10）未按规定向采购代理机构购买本项目磋商文件的（有文件规定除外）；</w:t>
      </w:r>
    </w:p>
    <w:p>
      <w:pPr>
        <w:pStyle w:val="24"/>
        <w:spacing w:line="470" w:lineRule="exact"/>
        <w:ind w:firstLine="420"/>
        <w:rPr>
          <w:color w:val="auto"/>
          <w:szCs w:val="21"/>
        </w:rPr>
      </w:pPr>
      <w:r>
        <w:rPr>
          <w:rFonts w:hint="eastAsia"/>
          <w:color w:val="auto"/>
          <w:szCs w:val="21"/>
        </w:rPr>
        <w:t>（11）不符合法律、法规和磋商文件规定的其他实质性要求和条件的。</w:t>
      </w:r>
    </w:p>
    <w:p>
      <w:pPr>
        <w:pStyle w:val="24"/>
        <w:spacing w:line="470" w:lineRule="exact"/>
        <w:ind w:firstLine="420"/>
        <w:rPr>
          <w:color w:val="auto"/>
          <w:szCs w:val="21"/>
        </w:rPr>
      </w:pPr>
      <w:r>
        <w:rPr>
          <w:rFonts w:hint="eastAsia"/>
          <w:color w:val="auto"/>
          <w:szCs w:val="21"/>
        </w:rPr>
        <w:t>（12）为了确保采购项目的完成质量和维护公平的竞争及合同的正常履行，磋商小组在评标过程中认为竞标人的报价明显低于其他通过符合性审查竞标人的报价，有可能影响产品质量或者不能诚信履约的，应当要求竞标人在评标现场合理的时间内提供书面说明及相关证明材料【含竞标供应商自身出具的产品详细价格构成说明函原件（包括进货成本、管理费用、人员成本构成、物流运输成本、税收等所有成本和利润）】；</w:t>
      </w:r>
    </w:p>
    <w:p>
      <w:pPr>
        <w:pStyle w:val="24"/>
        <w:spacing w:line="470" w:lineRule="exact"/>
        <w:ind w:firstLine="525" w:firstLineChars="250"/>
        <w:rPr>
          <w:color w:val="auto"/>
          <w:szCs w:val="21"/>
        </w:rPr>
      </w:pPr>
      <w:r>
        <w:rPr>
          <w:rFonts w:hint="eastAsia"/>
          <w:color w:val="auto"/>
          <w:szCs w:val="21"/>
        </w:rPr>
        <w:t>(13)如果竞标人认为自己的竞标价有可能明显低于其他通过符合性审查竞标人的报价，应提前准备好本竞争性磋商文件要求的成本评审依据。如不提供或者评委认定其材料不能详尽合理说明其成本的，或者相关资料真实性及合理性不被谈判小组完全接受，磋商小组有权将该竞标报价视为“低于成本”或者“明显不合理并有可能影响商品质量或不能诚信履约”，则视为低于供应商成本价报价,作竞标无效处理。</w:t>
      </w:r>
    </w:p>
    <w:p>
      <w:pPr>
        <w:pStyle w:val="24"/>
        <w:spacing w:line="470" w:lineRule="exact"/>
        <w:ind w:firstLine="527" w:firstLineChars="250"/>
        <w:rPr>
          <w:b/>
          <w:color w:val="auto"/>
        </w:rPr>
      </w:pPr>
      <w:r>
        <w:rPr>
          <w:rFonts w:hint="eastAsia"/>
          <w:b/>
          <w:color w:val="auto"/>
        </w:rPr>
        <w:t>25.</w:t>
      </w:r>
      <w:r>
        <w:rPr>
          <w:b/>
          <w:color w:val="auto"/>
        </w:rPr>
        <w:t xml:space="preserve"> 重</w:t>
      </w:r>
      <w:bookmarkStart w:id="72" w:name="_Toc495333076"/>
      <w:bookmarkStart w:id="73" w:name="_Toc398645869"/>
      <w:r>
        <w:rPr>
          <w:b/>
          <w:color w:val="auto"/>
        </w:rPr>
        <w:t>新开展采购活动</w:t>
      </w:r>
    </w:p>
    <w:p>
      <w:pPr>
        <w:pStyle w:val="24"/>
        <w:spacing w:line="470" w:lineRule="exact"/>
        <w:ind w:firstLine="420"/>
        <w:rPr>
          <w:color w:val="auto"/>
          <w:szCs w:val="21"/>
        </w:rPr>
      </w:pPr>
      <w:r>
        <w:rPr>
          <w:rFonts w:hint="eastAsia"/>
          <w:color w:val="auto"/>
          <w:szCs w:val="21"/>
        </w:rPr>
        <w:t>25.1</w:t>
      </w:r>
      <w:bookmarkEnd w:id="72"/>
      <w:bookmarkEnd w:id="73"/>
      <w:r>
        <w:rPr>
          <w:color w:val="auto"/>
          <w:szCs w:val="21"/>
        </w:rPr>
        <w:t>出现下列情形之一的，采购人或者采购代理机构应当终止竞争性磋商采购活动，发布项目终止公告并说明原因，重新开展采购活动：</w:t>
      </w:r>
    </w:p>
    <w:p>
      <w:pPr>
        <w:pStyle w:val="24"/>
        <w:spacing w:line="470" w:lineRule="exact"/>
        <w:ind w:firstLine="420"/>
        <w:rPr>
          <w:color w:val="auto"/>
          <w:szCs w:val="21"/>
        </w:rPr>
      </w:pPr>
      <w:r>
        <w:rPr>
          <w:rFonts w:hint="eastAsia"/>
          <w:color w:val="auto"/>
          <w:szCs w:val="21"/>
        </w:rPr>
        <w:t>（1）</w:t>
      </w:r>
      <w:r>
        <w:rPr>
          <w:color w:val="auto"/>
          <w:szCs w:val="21"/>
        </w:rPr>
        <w:t>因情况变化，不再符合规定的竞争性磋商采购方式适用情形的；</w:t>
      </w:r>
    </w:p>
    <w:p>
      <w:pPr>
        <w:pStyle w:val="24"/>
        <w:spacing w:line="470" w:lineRule="exact"/>
        <w:ind w:firstLine="420"/>
        <w:rPr>
          <w:color w:val="auto"/>
          <w:szCs w:val="21"/>
        </w:rPr>
      </w:pPr>
      <w:r>
        <w:rPr>
          <w:rFonts w:hint="eastAsia"/>
          <w:color w:val="auto"/>
          <w:szCs w:val="21"/>
        </w:rPr>
        <w:t>（2）</w:t>
      </w:r>
      <w:r>
        <w:rPr>
          <w:color w:val="auto"/>
          <w:szCs w:val="21"/>
        </w:rPr>
        <w:t>出现影响采购公正的违法、违规行为的；</w:t>
      </w:r>
    </w:p>
    <w:p>
      <w:pPr>
        <w:pStyle w:val="24"/>
        <w:spacing w:line="470" w:lineRule="exact"/>
        <w:ind w:firstLine="420"/>
        <w:rPr>
          <w:color w:val="auto"/>
          <w:szCs w:val="21"/>
        </w:rPr>
      </w:pPr>
      <w:r>
        <w:rPr>
          <w:rFonts w:hint="eastAsia"/>
          <w:color w:val="auto"/>
          <w:szCs w:val="21"/>
        </w:rPr>
        <w:t>（3）</w:t>
      </w:r>
      <w:r>
        <w:rPr>
          <w:color w:val="auto"/>
          <w:szCs w:val="21"/>
        </w:rPr>
        <w:t>在采购过程中符合竞争要求的供应商或者报价未超过采购预算的供应商不足</w:t>
      </w:r>
      <w:r>
        <w:rPr>
          <w:rFonts w:hint="eastAsia"/>
          <w:color w:val="auto"/>
          <w:szCs w:val="21"/>
        </w:rPr>
        <w:t>2</w:t>
      </w:r>
      <w:r>
        <w:rPr>
          <w:color w:val="auto"/>
          <w:szCs w:val="21"/>
        </w:rPr>
        <w:t>家的</w:t>
      </w:r>
      <w:r>
        <w:rPr>
          <w:rFonts w:hint="eastAsia"/>
          <w:color w:val="auto"/>
          <w:szCs w:val="21"/>
        </w:rPr>
        <w:t xml:space="preserve">。 </w:t>
      </w:r>
    </w:p>
    <w:p>
      <w:pPr>
        <w:pStyle w:val="24"/>
        <w:spacing w:line="470" w:lineRule="exact"/>
        <w:outlineLvl w:val="3"/>
        <w:rPr>
          <w:b/>
          <w:color w:val="auto"/>
        </w:rPr>
      </w:pPr>
      <w:r>
        <w:rPr>
          <w:rFonts w:hint="eastAsia"/>
          <w:b/>
          <w:color w:val="auto"/>
        </w:rPr>
        <w:t>26．</w:t>
      </w:r>
      <w:r>
        <w:rPr>
          <w:b/>
          <w:color w:val="auto"/>
        </w:rPr>
        <w:t>废标</w:t>
      </w:r>
      <w:bookmarkStart w:id="74" w:name="_Toc398645870"/>
      <w:bookmarkStart w:id="75" w:name="_Toc495333077"/>
    </w:p>
    <w:p>
      <w:pPr>
        <w:pStyle w:val="24"/>
        <w:spacing w:line="470" w:lineRule="exact"/>
        <w:ind w:firstLine="420" w:firstLineChars="200"/>
        <w:rPr>
          <w:bCs/>
          <w:color w:val="auto"/>
          <w:szCs w:val="21"/>
        </w:rPr>
      </w:pPr>
      <w:r>
        <w:rPr>
          <w:rFonts w:hint="eastAsia"/>
          <w:bCs/>
          <w:color w:val="auto"/>
          <w:szCs w:val="21"/>
        </w:rPr>
        <w:t>26.1</w:t>
      </w:r>
      <w:bookmarkEnd w:id="74"/>
      <w:bookmarkEnd w:id="75"/>
      <w:r>
        <w:rPr>
          <w:rFonts w:hint="eastAsia"/>
          <w:color w:val="auto"/>
          <w:szCs w:val="21"/>
        </w:rPr>
        <w:t>竞标采购过程中出现下列情形之一的，将予以废标：</w:t>
      </w:r>
    </w:p>
    <w:p>
      <w:pPr>
        <w:pStyle w:val="24"/>
        <w:spacing w:line="470" w:lineRule="exact"/>
        <w:ind w:firstLine="420" w:firstLineChars="200"/>
        <w:rPr>
          <w:color w:val="auto"/>
          <w:szCs w:val="21"/>
        </w:rPr>
      </w:pPr>
      <w:r>
        <w:rPr>
          <w:rFonts w:hint="eastAsia"/>
          <w:color w:val="auto"/>
          <w:szCs w:val="21"/>
        </w:rPr>
        <w:t>（1）</w:t>
      </w:r>
      <w:r>
        <w:rPr>
          <w:color w:val="auto"/>
          <w:szCs w:val="21"/>
        </w:rPr>
        <w:t>出现影响采购公正的违法、违规行为的；</w:t>
      </w:r>
    </w:p>
    <w:p>
      <w:pPr>
        <w:pStyle w:val="24"/>
        <w:spacing w:line="470" w:lineRule="exact"/>
        <w:ind w:firstLine="420" w:firstLineChars="200"/>
        <w:rPr>
          <w:color w:val="auto"/>
          <w:szCs w:val="21"/>
        </w:rPr>
      </w:pPr>
      <w:r>
        <w:rPr>
          <w:rFonts w:hint="eastAsia"/>
          <w:color w:val="auto"/>
          <w:szCs w:val="21"/>
        </w:rPr>
        <w:t>（2）</w:t>
      </w:r>
      <w:r>
        <w:rPr>
          <w:color w:val="auto"/>
          <w:szCs w:val="21"/>
        </w:rPr>
        <w:t>竞标供应商的</w:t>
      </w:r>
      <w:r>
        <w:rPr>
          <w:rFonts w:hint="eastAsia"/>
          <w:color w:val="auto"/>
          <w:szCs w:val="21"/>
        </w:rPr>
        <w:t>最终</w:t>
      </w:r>
      <w:r>
        <w:rPr>
          <w:color w:val="auto"/>
          <w:szCs w:val="21"/>
        </w:rPr>
        <w:t>报价均超过了采购预算，采购人不能支付的；</w:t>
      </w:r>
    </w:p>
    <w:p>
      <w:pPr>
        <w:pStyle w:val="24"/>
        <w:spacing w:line="470" w:lineRule="exact"/>
        <w:ind w:firstLine="420" w:firstLineChars="200"/>
        <w:rPr>
          <w:color w:val="auto"/>
          <w:szCs w:val="21"/>
        </w:rPr>
      </w:pPr>
      <w:r>
        <w:rPr>
          <w:rFonts w:hint="eastAsia"/>
          <w:color w:val="auto"/>
          <w:szCs w:val="21"/>
        </w:rPr>
        <w:t>（3）</w:t>
      </w:r>
      <w:r>
        <w:rPr>
          <w:color w:val="auto"/>
          <w:szCs w:val="21"/>
        </w:rPr>
        <w:t>因重大变故，采购任务取消的。</w:t>
      </w:r>
    </w:p>
    <w:p>
      <w:pPr>
        <w:pStyle w:val="24"/>
        <w:spacing w:line="470" w:lineRule="exact"/>
        <w:ind w:firstLine="411" w:firstLineChars="196"/>
        <w:rPr>
          <w:color w:val="auto"/>
          <w:szCs w:val="21"/>
        </w:rPr>
      </w:pPr>
      <w:r>
        <w:rPr>
          <w:rFonts w:hint="eastAsia"/>
          <w:color w:val="auto"/>
          <w:szCs w:val="21"/>
        </w:rPr>
        <w:t>（4）符合专业条件的供应商或者对竞争性磋商文件作实质响应的供应商不足2家的；</w:t>
      </w:r>
    </w:p>
    <w:p>
      <w:pPr>
        <w:pStyle w:val="24"/>
        <w:spacing w:line="470" w:lineRule="exact"/>
        <w:outlineLvl w:val="3"/>
        <w:rPr>
          <w:b/>
          <w:color w:val="auto"/>
        </w:rPr>
      </w:pPr>
      <w:r>
        <w:rPr>
          <w:rFonts w:hint="eastAsia"/>
          <w:b/>
          <w:color w:val="auto"/>
        </w:rPr>
        <w:t>27.磋商</w:t>
      </w:r>
      <w:bookmarkStart w:id="76" w:name="_Toc398645871"/>
      <w:bookmarkStart w:id="77" w:name="_Toc495333078"/>
      <w:r>
        <w:rPr>
          <w:rFonts w:hint="eastAsia"/>
          <w:b/>
          <w:color w:val="auto"/>
        </w:rPr>
        <w:t>过程的监控</w:t>
      </w:r>
    </w:p>
    <w:p>
      <w:pPr>
        <w:pStyle w:val="24"/>
        <w:spacing w:line="470" w:lineRule="exact"/>
        <w:ind w:firstLine="411" w:firstLineChars="196"/>
        <w:rPr>
          <w:rFonts w:hAnsi="宋体"/>
          <w:color w:val="auto"/>
        </w:rPr>
      </w:pPr>
      <w:r>
        <w:rPr>
          <w:rFonts w:hint="eastAsia" w:hAnsi="宋体"/>
          <w:color w:val="auto"/>
        </w:rPr>
        <w:t>本项目磋</w:t>
      </w:r>
      <w:bookmarkEnd w:id="76"/>
      <w:bookmarkEnd w:id="77"/>
      <w:r>
        <w:rPr>
          <w:rFonts w:hint="eastAsia" w:hAnsi="宋体"/>
          <w:color w:val="auto"/>
        </w:rPr>
        <w:t>商过程实行全程录音、录像监控，竞标供应商在磋商过程中所进行的试图影响磋商结果的不公正活动，可能导致其竞标被拒绝。</w:t>
      </w:r>
    </w:p>
    <w:p>
      <w:pPr>
        <w:pStyle w:val="5"/>
        <w:spacing w:line="470" w:lineRule="exact"/>
        <w:jc w:val="center"/>
        <w:rPr>
          <w:b w:val="0"/>
          <w:bCs w:val="0"/>
          <w:color w:val="auto"/>
        </w:rPr>
      </w:pPr>
      <w:bookmarkStart w:id="78" w:name="_Toc8583184"/>
      <w:r>
        <w:rPr>
          <w:rFonts w:hint="eastAsia"/>
          <w:color w:val="auto"/>
          <w:sz w:val="21"/>
        </w:rPr>
        <w:t>六、签订合</w:t>
      </w:r>
      <w:bookmarkStart w:id="79" w:name="_Toc495333079"/>
      <w:r>
        <w:rPr>
          <w:rFonts w:hint="eastAsia"/>
          <w:color w:val="auto"/>
          <w:sz w:val="21"/>
        </w:rPr>
        <w:t>同</w:t>
      </w:r>
      <w:bookmarkEnd w:id="78"/>
    </w:p>
    <w:p>
      <w:pPr>
        <w:pStyle w:val="24"/>
        <w:spacing w:line="470" w:lineRule="exact"/>
        <w:outlineLvl w:val="3"/>
        <w:rPr>
          <w:b/>
          <w:color w:val="auto"/>
        </w:rPr>
      </w:pPr>
      <w:r>
        <w:rPr>
          <w:rFonts w:hint="eastAsia"/>
          <w:b/>
          <w:color w:val="auto"/>
        </w:rPr>
        <w:t>28.成</w:t>
      </w:r>
      <w:bookmarkEnd w:id="79"/>
      <w:r>
        <w:rPr>
          <w:rFonts w:hint="eastAsia"/>
          <w:b/>
          <w:color w:val="auto"/>
        </w:rPr>
        <w:t>交</w:t>
      </w:r>
      <w:bookmarkStart w:id="80" w:name="_Toc398645873"/>
      <w:bookmarkStart w:id="81" w:name="_Toc495333080"/>
      <w:r>
        <w:rPr>
          <w:rFonts w:hint="eastAsia"/>
          <w:b/>
          <w:color w:val="auto"/>
        </w:rPr>
        <w:t>结果及公告</w:t>
      </w:r>
    </w:p>
    <w:p>
      <w:pPr>
        <w:spacing w:line="440" w:lineRule="exact"/>
        <w:ind w:firstLine="420" w:firstLineChars="200"/>
        <w:rPr>
          <w:color w:val="auto"/>
        </w:rPr>
      </w:pPr>
      <w:r>
        <w:rPr>
          <w:rFonts w:hint="eastAsia"/>
          <w:color w:val="auto"/>
        </w:rPr>
        <w:t>28.1</w:t>
      </w:r>
      <w:bookmarkEnd w:id="80"/>
      <w:bookmarkEnd w:id="81"/>
      <w:r>
        <w:rPr>
          <w:rFonts w:hint="eastAsia"/>
          <w:color w:val="auto"/>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24"/>
        <w:spacing w:line="440" w:lineRule="exact"/>
        <w:ind w:firstLine="420" w:firstLineChars="200"/>
        <w:rPr>
          <w:rFonts w:hAnsi="宋体" w:cs="宋体"/>
          <w:color w:val="auto"/>
          <w:szCs w:val="21"/>
        </w:rPr>
      </w:pPr>
      <w:r>
        <w:rPr>
          <w:rFonts w:hint="eastAsia"/>
          <w:color w:val="auto"/>
        </w:rPr>
        <w:t>28.2</w:t>
      </w:r>
      <w:r>
        <w:rPr>
          <w:rFonts w:hint="eastAsia" w:hAnsi="宋体" w:cs="宋体"/>
          <w:color w:val="auto"/>
          <w:szCs w:val="21"/>
        </w:rPr>
        <w:t>在发布成交结果公告的同时，采购代理机构向成交供应商发出成交通知书。成交供应商应自接到通知之日起七个工作日内，办理成交通知书领取手续。</w:t>
      </w:r>
      <w:r>
        <w:rPr>
          <w:rFonts w:hint="eastAsia" w:cs="宋体"/>
          <w:color w:val="auto"/>
          <w:szCs w:val="21"/>
        </w:rPr>
        <w:t>成交通知书对采购人和成交供应商具有同等法律效力。成交通知书发出后，采购人改变成交结果，或者成交供应商放弃成交，应当承担相应的法律责任。</w:t>
      </w:r>
    </w:p>
    <w:p>
      <w:pPr>
        <w:pStyle w:val="24"/>
        <w:spacing w:line="470" w:lineRule="exact"/>
        <w:ind w:firstLine="420" w:firstLineChars="200"/>
        <w:rPr>
          <w:color w:val="auto"/>
        </w:rPr>
      </w:pPr>
      <w:r>
        <w:rPr>
          <w:rFonts w:hint="eastAsia"/>
          <w:color w:val="auto"/>
        </w:rPr>
        <w:t>28.3采购代理机构无义务向未成交的竞标供应商解释未成交原因和退还响应文件。</w:t>
      </w:r>
    </w:p>
    <w:p>
      <w:pPr>
        <w:pStyle w:val="24"/>
        <w:spacing w:line="470" w:lineRule="exact"/>
        <w:ind w:firstLine="420"/>
        <w:rPr>
          <w:color w:val="auto"/>
        </w:rPr>
      </w:pPr>
      <w:r>
        <w:rPr>
          <w:rFonts w:hint="eastAsia"/>
          <w:color w:val="auto"/>
        </w:rPr>
        <w:t>28.4竞标供应商如对成交公告有异议，可以在成交公告期限届满之日起七个工作日内以书面形式向采购代理机构提出质疑。采购代理机构将在受理竞标供应商的书面质疑后七个工作日内做出答复，但答复的内容不得涉及商业秘密。</w:t>
      </w:r>
    </w:p>
    <w:p>
      <w:pPr>
        <w:pStyle w:val="24"/>
        <w:spacing w:line="470" w:lineRule="exact"/>
        <w:ind w:firstLine="420"/>
        <w:rPr>
          <w:rFonts w:ascii="Times New Roman" w:hAnsi="Times New Roman"/>
          <w:bCs/>
          <w:color w:val="auto"/>
        </w:rPr>
      </w:pPr>
      <w:r>
        <w:rPr>
          <w:rFonts w:hint="eastAsia"/>
          <w:color w:val="auto"/>
        </w:rPr>
        <w:t>28.4</w:t>
      </w:r>
      <w:r>
        <w:rPr>
          <w:rFonts w:hint="eastAsia" w:ascii="Times New Roman" w:hAnsi="Times New Roman"/>
          <w:bCs/>
          <w:color w:val="auto"/>
        </w:rPr>
        <w:t>质疑竞标人必须首先经过质疑程序，在对采购代理机构的答复不满意或者采购代理机构未在规定的时间内做出答复的，可以在答复期满后十五个工作日内书面向有关监督管理部门投诉。</w:t>
      </w:r>
    </w:p>
    <w:p>
      <w:pPr>
        <w:pStyle w:val="24"/>
        <w:spacing w:line="470" w:lineRule="exact"/>
        <w:ind w:firstLine="420"/>
        <w:rPr>
          <w:color w:val="auto"/>
          <w:szCs w:val="21"/>
        </w:rPr>
      </w:pPr>
      <w:r>
        <w:rPr>
          <w:rFonts w:hint="eastAsia"/>
          <w:color w:val="auto"/>
          <w:szCs w:val="21"/>
        </w:rPr>
        <w:t>28.5</w:t>
      </w:r>
      <w:r>
        <w:rPr>
          <w:rFonts w:hint="eastAsia"/>
          <w:color w:val="auto"/>
          <w:shd w:val="clear" w:color="auto" w:fill="FFFFFF"/>
        </w:rPr>
        <w:t>质疑、投诉应当采用书面形式，质疑书、投诉书实行实名制，均应明确阐述谈判文件、竞标过程或成交结果中使自己合法权益受到损害的实质性内容，提供相关事实、依据和证据及其来源或线索，便于有关单位调查、答复和处理</w:t>
      </w:r>
      <w:r>
        <w:rPr>
          <w:rFonts w:hint="eastAsia"/>
          <w:color w:val="auto"/>
          <w:szCs w:val="21"/>
        </w:rPr>
        <w:t>。</w:t>
      </w:r>
    </w:p>
    <w:p>
      <w:pPr>
        <w:pStyle w:val="24"/>
        <w:spacing w:line="470" w:lineRule="exact"/>
        <w:ind w:firstLine="420"/>
        <w:rPr>
          <w:color w:val="auto"/>
          <w:szCs w:val="21"/>
        </w:rPr>
      </w:pPr>
      <w:r>
        <w:rPr>
          <w:rFonts w:hint="eastAsia"/>
          <w:color w:val="auto"/>
          <w:szCs w:val="21"/>
        </w:rPr>
        <w:t>28.6</w:t>
      </w:r>
      <w:r>
        <w:rPr>
          <w:color w:val="auto"/>
          <w:szCs w:val="21"/>
        </w:rPr>
        <w:t>供应商提出质疑应当提交质疑函和必要的证明材料</w:t>
      </w:r>
      <w:r>
        <w:rPr>
          <w:rFonts w:hint="eastAsia"/>
          <w:color w:val="auto"/>
          <w:szCs w:val="21"/>
        </w:rPr>
        <w:t>，</w:t>
      </w:r>
      <w:r>
        <w:rPr>
          <w:color w:val="auto"/>
          <w:szCs w:val="21"/>
        </w:rPr>
        <w:t>针对同一采购程序环节的质疑</w:t>
      </w:r>
      <w:r>
        <w:rPr>
          <w:rFonts w:hint="eastAsia"/>
          <w:color w:val="auto"/>
          <w:szCs w:val="21"/>
        </w:rPr>
        <w:t>必须</w:t>
      </w:r>
      <w:r>
        <w:rPr>
          <w:color w:val="auto"/>
          <w:szCs w:val="21"/>
        </w:rPr>
        <w:t>在法定质疑期内一次性提出。质疑函应当包括下列内容：</w:t>
      </w:r>
    </w:p>
    <w:p>
      <w:pPr>
        <w:pStyle w:val="24"/>
        <w:spacing w:line="470" w:lineRule="exact"/>
        <w:rPr>
          <w:color w:val="auto"/>
          <w:szCs w:val="21"/>
        </w:rPr>
      </w:pPr>
      <w:r>
        <w:rPr>
          <w:color w:val="auto"/>
          <w:szCs w:val="21"/>
        </w:rPr>
        <w:t>（</w:t>
      </w:r>
      <w:r>
        <w:rPr>
          <w:rFonts w:hint="eastAsia"/>
          <w:color w:val="auto"/>
          <w:szCs w:val="21"/>
        </w:rPr>
        <w:t>1</w:t>
      </w:r>
      <w:r>
        <w:rPr>
          <w:color w:val="auto"/>
          <w:szCs w:val="21"/>
        </w:rPr>
        <w:t>）供应商的姓名或者名称、地址、邮编、联系人及联系电话；</w:t>
      </w:r>
    </w:p>
    <w:p>
      <w:pPr>
        <w:pStyle w:val="24"/>
        <w:spacing w:line="470" w:lineRule="exact"/>
        <w:rPr>
          <w:color w:val="auto"/>
          <w:szCs w:val="21"/>
        </w:rPr>
      </w:pPr>
      <w:r>
        <w:rPr>
          <w:color w:val="auto"/>
          <w:szCs w:val="21"/>
        </w:rPr>
        <w:t>（</w:t>
      </w:r>
      <w:r>
        <w:rPr>
          <w:rFonts w:hint="eastAsia"/>
          <w:color w:val="auto"/>
          <w:szCs w:val="21"/>
        </w:rPr>
        <w:t>2</w:t>
      </w:r>
      <w:r>
        <w:rPr>
          <w:color w:val="auto"/>
          <w:szCs w:val="21"/>
        </w:rPr>
        <w:t>）质疑项目的名称、编号；</w:t>
      </w:r>
    </w:p>
    <w:p>
      <w:pPr>
        <w:pStyle w:val="24"/>
        <w:spacing w:line="470" w:lineRule="exact"/>
        <w:rPr>
          <w:color w:val="auto"/>
          <w:szCs w:val="21"/>
        </w:rPr>
      </w:pPr>
      <w:r>
        <w:rPr>
          <w:color w:val="auto"/>
          <w:szCs w:val="21"/>
        </w:rPr>
        <w:t>（</w:t>
      </w:r>
      <w:r>
        <w:rPr>
          <w:rFonts w:hint="eastAsia"/>
          <w:color w:val="auto"/>
          <w:szCs w:val="21"/>
        </w:rPr>
        <w:t>3</w:t>
      </w:r>
      <w:r>
        <w:rPr>
          <w:color w:val="auto"/>
          <w:szCs w:val="21"/>
        </w:rPr>
        <w:t>）具体、明确的质疑事项和与质疑事项相关的请求；</w:t>
      </w:r>
    </w:p>
    <w:p>
      <w:pPr>
        <w:pStyle w:val="24"/>
        <w:spacing w:line="470" w:lineRule="exact"/>
        <w:rPr>
          <w:color w:val="auto"/>
          <w:szCs w:val="21"/>
        </w:rPr>
      </w:pPr>
      <w:r>
        <w:rPr>
          <w:color w:val="auto"/>
          <w:szCs w:val="21"/>
        </w:rPr>
        <w:t>（</w:t>
      </w:r>
      <w:r>
        <w:rPr>
          <w:rFonts w:hint="eastAsia"/>
          <w:color w:val="auto"/>
          <w:szCs w:val="21"/>
        </w:rPr>
        <w:t>4</w:t>
      </w:r>
      <w:r>
        <w:rPr>
          <w:color w:val="auto"/>
          <w:szCs w:val="21"/>
        </w:rPr>
        <w:t>）事实依据；</w:t>
      </w:r>
    </w:p>
    <w:p>
      <w:pPr>
        <w:pStyle w:val="24"/>
        <w:spacing w:line="470" w:lineRule="exact"/>
        <w:rPr>
          <w:color w:val="auto"/>
          <w:szCs w:val="21"/>
        </w:rPr>
      </w:pPr>
      <w:r>
        <w:rPr>
          <w:color w:val="auto"/>
          <w:szCs w:val="21"/>
        </w:rPr>
        <w:t>（</w:t>
      </w:r>
      <w:r>
        <w:rPr>
          <w:rFonts w:hint="eastAsia"/>
          <w:color w:val="auto"/>
          <w:szCs w:val="21"/>
        </w:rPr>
        <w:t>5</w:t>
      </w:r>
      <w:r>
        <w:rPr>
          <w:color w:val="auto"/>
          <w:szCs w:val="21"/>
        </w:rPr>
        <w:t>）必要的法律依据；</w:t>
      </w:r>
    </w:p>
    <w:p>
      <w:pPr>
        <w:pStyle w:val="24"/>
        <w:spacing w:line="470" w:lineRule="exact"/>
        <w:rPr>
          <w:color w:val="auto"/>
          <w:szCs w:val="21"/>
        </w:rPr>
      </w:pPr>
      <w:r>
        <w:rPr>
          <w:color w:val="auto"/>
          <w:szCs w:val="21"/>
        </w:rPr>
        <w:t>（</w:t>
      </w:r>
      <w:r>
        <w:rPr>
          <w:rFonts w:hint="eastAsia"/>
          <w:color w:val="auto"/>
          <w:szCs w:val="21"/>
        </w:rPr>
        <w:t>6</w:t>
      </w:r>
      <w:r>
        <w:rPr>
          <w:color w:val="auto"/>
          <w:szCs w:val="21"/>
        </w:rPr>
        <w:t>）提出质疑的日期。</w:t>
      </w:r>
    </w:p>
    <w:p>
      <w:pPr>
        <w:pStyle w:val="24"/>
        <w:spacing w:line="470" w:lineRule="exact"/>
        <w:ind w:firstLine="420"/>
        <w:rPr>
          <w:bCs/>
          <w:color w:val="auto"/>
          <w:szCs w:val="21"/>
        </w:rPr>
      </w:pPr>
      <w:r>
        <w:rPr>
          <w:rFonts w:hint="eastAsia"/>
          <w:color w:val="auto"/>
          <w:szCs w:val="21"/>
        </w:rPr>
        <w:t>28.7</w:t>
      </w:r>
      <w:r>
        <w:rPr>
          <w:bCs/>
          <w:color w:val="auto"/>
          <w:szCs w:val="21"/>
        </w:rPr>
        <w:t>供应商为自然人的，应当由本人签字；供应商为法人或者其他组织的，应当由</w:t>
      </w:r>
      <w:r>
        <w:rPr>
          <w:rFonts w:hint="eastAsia"/>
          <w:bCs/>
          <w:color w:val="auto"/>
          <w:szCs w:val="21"/>
        </w:rPr>
        <w:t>法定代表人（负责人）</w:t>
      </w:r>
      <w:r>
        <w:rPr>
          <w:bCs/>
          <w:color w:val="auto"/>
          <w:szCs w:val="21"/>
        </w:rPr>
        <w:t>、主要负责人，或者其授权代表签字或者盖章，并加盖公章</w:t>
      </w:r>
      <w:r>
        <w:rPr>
          <w:rFonts w:hint="eastAsia"/>
          <w:bCs/>
          <w:color w:val="auto"/>
          <w:szCs w:val="21"/>
        </w:rPr>
        <w:t>.</w:t>
      </w:r>
    </w:p>
    <w:p>
      <w:pPr>
        <w:pStyle w:val="24"/>
        <w:spacing w:line="470" w:lineRule="exact"/>
        <w:ind w:firstLine="420"/>
        <w:rPr>
          <w:bCs/>
          <w:color w:val="auto"/>
          <w:szCs w:val="21"/>
        </w:rPr>
      </w:pPr>
      <w:r>
        <w:rPr>
          <w:rFonts w:hint="eastAsia"/>
          <w:bCs/>
          <w:color w:val="auto"/>
          <w:szCs w:val="21"/>
        </w:rPr>
        <w:t>28.8质疑联系部门及电话为：</w:t>
      </w:r>
      <w:r>
        <w:rPr>
          <w:rFonts w:hint="eastAsia" w:hAnsi="宋体"/>
          <w:bCs/>
          <w:color w:val="auto"/>
          <w:szCs w:val="21"/>
        </w:rPr>
        <w:t>广西创和工程项目管理有限公司</w:t>
      </w:r>
      <w:r>
        <w:rPr>
          <w:rFonts w:hint="eastAsia"/>
          <w:bCs/>
          <w:color w:val="auto"/>
          <w:szCs w:val="21"/>
        </w:rPr>
        <w:t xml:space="preserve">  </w:t>
      </w:r>
      <w:r>
        <w:rPr>
          <w:rFonts w:hint="eastAsia" w:hAnsi="宋体"/>
          <w:color w:val="auto"/>
          <w:szCs w:val="21"/>
        </w:rPr>
        <w:t>0775-2332720</w:t>
      </w:r>
    </w:p>
    <w:p>
      <w:pPr>
        <w:pStyle w:val="24"/>
        <w:spacing w:line="470" w:lineRule="exact"/>
        <w:outlineLvl w:val="3"/>
        <w:rPr>
          <w:b/>
          <w:color w:val="auto"/>
        </w:rPr>
      </w:pPr>
      <w:r>
        <w:rPr>
          <w:rFonts w:hint="eastAsia"/>
          <w:b/>
          <w:color w:val="auto"/>
        </w:rPr>
        <w:t>29.成交</w:t>
      </w:r>
      <w:bookmarkStart w:id="82" w:name="_Toc398645874"/>
      <w:bookmarkStart w:id="83" w:name="_Toc495333081"/>
      <w:r>
        <w:rPr>
          <w:rFonts w:hint="eastAsia"/>
          <w:b/>
          <w:color w:val="auto"/>
        </w:rPr>
        <w:t>通知</w:t>
      </w:r>
    </w:p>
    <w:p>
      <w:pPr>
        <w:pStyle w:val="24"/>
        <w:spacing w:line="470" w:lineRule="exact"/>
        <w:ind w:firstLine="420"/>
        <w:rPr>
          <w:color w:val="auto"/>
        </w:rPr>
      </w:pPr>
      <w:r>
        <w:rPr>
          <w:rFonts w:hint="eastAsia"/>
          <w:color w:val="auto"/>
        </w:rPr>
        <w:t>29.1</w:t>
      </w:r>
      <w:bookmarkEnd w:id="82"/>
      <w:bookmarkEnd w:id="83"/>
      <w:r>
        <w:rPr>
          <w:rFonts w:hint="eastAsia"/>
          <w:color w:val="auto"/>
        </w:rPr>
        <w:t>在发布成交公告的同时，采购代理机构将向成交供应商发出成交通知书。</w:t>
      </w:r>
    </w:p>
    <w:p>
      <w:pPr>
        <w:pStyle w:val="24"/>
        <w:spacing w:line="470" w:lineRule="exact"/>
        <w:ind w:firstLine="420"/>
        <w:rPr>
          <w:color w:val="auto"/>
        </w:rPr>
      </w:pPr>
      <w:r>
        <w:rPr>
          <w:rFonts w:hint="eastAsia"/>
          <w:color w:val="auto"/>
        </w:rPr>
        <w:t>29.2采购代理机构无义务向落标的竞标供应商解释落标原因和退还响应文件。</w:t>
      </w:r>
    </w:p>
    <w:p>
      <w:pPr>
        <w:pStyle w:val="24"/>
        <w:spacing w:line="470" w:lineRule="exact"/>
        <w:outlineLvl w:val="3"/>
        <w:rPr>
          <w:b/>
          <w:color w:val="auto"/>
        </w:rPr>
      </w:pPr>
      <w:r>
        <w:rPr>
          <w:rFonts w:hint="eastAsia"/>
          <w:b/>
          <w:color w:val="auto"/>
        </w:rPr>
        <w:t>30.合同</w:t>
      </w:r>
      <w:bookmarkStart w:id="84" w:name="_Toc495333082"/>
      <w:bookmarkStart w:id="85" w:name="_Toc398645875"/>
      <w:r>
        <w:rPr>
          <w:rFonts w:hint="eastAsia"/>
          <w:b/>
          <w:color w:val="auto"/>
        </w:rPr>
        <w:t>授予标准</w:t>
      </w:r>
    </w:p>
    <w:p>
      <w:pPr>
        <w:pStyle w:val="24"/>
        <w:spacing w:line="470" w:lineRule="exact"/>
        <w:ind w:firstLine="420"/>
        <w:rPr>
          <w:color w:val="auto"/>
        </w:rPr>
      </w:pPr>
      <w:r>
        <w:rPr>
          <w:rFonts w:hint="eastAsia"/>
          <w:color w:val="auto"/>
        </w:rPr>
        <w:t>30.1</w:t>
      </w:r>
      <w:bookmarkEnd w:id="84"/>
      <w:bookmarkEnd w:id="85"/>
      <w:r>
        <w:rPr>
          <w:rFonts w:hint="eastAsia"/>
          <w:color w:val="auto"/>
        </w:rPr>
        <w:t>合同将授予被确定为实质上响应竞争性磋商文件要求，评标认为具备履行合同能力，</w:t>
      </w:r>
      <w:r>
        <w:rPr>
          <w:rFonts w:hAnsi="宋体"/>
          <w:color w:val="auto"/>
          <w:szCs w:val="21"/>
        </w:rPr>
        <w:t>从质量和服务均能满足</w:t>
      </w:r>
      <w:r>
        <w:rPr>
          <w:rFonts w:hint="eastAsia" w:hAnsi="宋体"/>
          <w:color w:val="auto"/>
          <w:szCs w:val="21"/>
        </w:rPr>
        <w:t>磋商</w:t>
      </w:r>
      <w:r>
        <w:rPr>
          <w:rFonts w:hAnsi="宋体"/>
          <w:color w:val="auto"/>
          <w:szCs w:val="21"/>
        </w:rPr>
        <w:t>文件实质性响应要求的</w:t>
      </w:r>
      <w:r>
        <w:rPr>
          <w:rFonts w:hint="eastAsia" w:hAnsi="宋体"/>
          <w:color w:val="auto"/>
          <w:szCs w:val="21"/>
        </w:rPr>
        <w:t>竞标供应商</w:t>
      </w:r>
      <w:r>
        <w:rPr>
          <w:rFonts w:hAnsi="宋体"/>
          <w:color w:val="auto"/>
          <w:szCs w:val="21"/>
        </w:rPr>
        <w:t>中，按照</w:t>
      </w:r>
      <w:r>
        <w:rPr>
          <w:rFonts w:hint="eastAsia"/>
          <w:color w:val="auto"/>
        </w:rPr>
        <w:t>综合得分</w:t>
      </w:r>
      <w:r>
        <w:rPr>
          <w:rFonts w:hAnsi="宋体"/>
          <w:color w:val="auto"/>
          <w:szCs w:val="21"/>
        </w:rPr>
        <w:t>由高到低的顺序提出3名以上成交候选人</w:t>
      </w:r>
      <w:r>
        <w:rPr>
          <w:rFonts w:hint="eastAsia" w:hAnsi="宋体"/>
          <w:color w:val="auto"/>
          <w:szCs w:val="21"/>
        </w:rPr>
        <w:t>。</w:t>
      </w:r>
    </w:p>
    <w:p>
      <w:pPr>
        <w:pStyle w:val="24"/>
        <w:spacing w:line="470" w:lineRule="exact"/>
        <w:ind w:firstLine="420"/>
        <w:rPr>
          <w:color w:val="auto"/>
        </w:rPr>
      </w:pPr>
      <w:r>
        <w:rPr>
          <w:rFonts w:hint="eastAsia"/>
          <w:color w:val="auto"/>
        </w:rPr>
        <w:t>30.2采购人应按照评标报告中推荐的成交候选供应商顺序确定成交供应商，也可以事先授权磋商小组直接确定成交供应商。</w:t>
      </w:r>
    </w:p>
    <w:p>
      <w:pPr>
        <w:pStyle w:val="24"/>
        <w:spacing w:line="470" w:lineRule="exact"/>
        <w:ind w:firstLine="420"/>
        <w:rPr>
          <w:color w:val="auto"/>
        </w:rPr>
      </w:pPr>
      <w:r>
        <w:rPr>
          <w:rFonts w:hint="eastAsia"/>
          <w:color w:val="auto"/>
        </w:rPr>
        <w:t>30.3成交供应商因不可抗力或者自身原因，不能履行采购合同的，采购人可以与排位在成交供应商之后第一位的成交候选供应商签订采购合同，以此类推。</w:t>
      </w:r>
    </w:p>
    <w:p>
      <w:pPr>
        <w:pStyle w:val="24"/>
        <w:spacing w:line="470" w:lineRule="exact"/>
        <w:outlineLvl w:val="3"/>
        <w:rPr>
          <w:b/>
          <w:color w:val="auto"/>
        </w:rPr>
      </w:pPr>
      <w:r>
        <w:rPr>
          <w:rFonts w:hint="eastAsia"/>
          <w:b/>
          <w:color w:val="auto"/>
        </w:rPr>
        <w:t>31.签订</w:t>
      </w:r>
      <w:bookmarkStart w:id="86" w:name="_Toc495333083"/>
      <w:bookmarkStart w:id="87" w:name="_Toc398645876"/>
      <w:r>
        <w:rPr>
          <w:rFonts w:hint="eastAsia"/>
          <w:b/>
          <w:color w:val="auto"/>
        </w:rPr>
        <w:t>合同</w:t>
      </w:r>
    </w:p>
    <w:p>
      <w:pPr>
        <w:pStyle w:val="24"/>
        <w:spacing w:line="470" w:lineRule="exact"/>
        <w:ind w:firstLine="420"/>
        <w:rPr>
          <w:color w:val="auto"/>
          <w:szCs w:val="21"/>
        </w:rPr>
      </w:pPr>
      <w:r>
        <w:rPr>
          <w:rFonts w:hint="eastAsia"/>
          <w:color w:val="auto"/>
          <w:szCs w:val="21"/>
        </w:rPr>
        <w:t>31.1</w:t>
      </w:r>
      <w:bookmarkEnd w:id="86"/>
      <w:bookmarkEnd w:id="87"/>
      <w:r>
        <w:rPr>
          <w:rFonts w:hint="eastAsia" w:hAnsi="宋体" w:cs="宋体"/>
          <w:color w:val="auto"/>
        </w:rPr>
        <w:t>签订合同时间：成交通知书发出后二十五日内。成交供应商领取成交通知书后，应按规定与采购人签订合同，如遇特殊情况业主可自行合理的确定签订合同时间。</w:t>
      </w:r>
    </w:p>
    <w:p>
      <w:pPr>
        <w:pStyle w:val="24"/>
        <w:spacing w:line="440" w:lineRule="exact"/>
        <w:ind w:left="6" w:firstLine="420" w:firstLineChars="200"/>
        <w:rPr>
          <w:rFonts w:hAnsi="宋体" w:cs="宋体"/>
          <w:color w:val="auto"/>
        </w:rPr>
      </w:pPr>
      <w:r>
        <w:rPr>
          <w:rFonts w:hint="eastAsia"/>
          <w:color w:val="auto"/>
          <w:szCs w:val="21"/>
        </w:rPr>
        <w:t>31.2</w:t>
      </w:r>
      <w:r>
        <w:rPr>
          <w:rFonts w:hint="eastAsia" w:hAnsi="宋体" w:cs="宋体"/>
          <w:color w:val="auto"/>
        </w:rPr>
        <w:t>如成交供应商有下列情形之一的，采购代理机构将没收成交供应商全部保证金，并上缴同级财政国库，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pPr>
        <w:pStyle w:val="24"/>
        <w:spacing w:line="440" w:lineRule="exact"/>
        <w:ind w:left="6" w:firstLine="420" w:firstLineChars="200"/>
        <w:rPr>
          <w:rFonts w:hAnsi="宋体" w:cs="宋体"/>
          <w:color w:val="auto"/>
        </w:rPr>
      </w:pPr>
      <w:r>
        <w:rPr>
          <w:rFonts w:hint="eastAsia" w:hAnsi="宋体" w:cs="宋体"/>
          <w:color w:val="auto"/>
        </w:rPr>
        <w:t>（1）成交后不与采购人签订合同的（不可抗力除外）；</w:t>
      </w:r>
    </w:p>
    <w:p>
      <w:pPr>
        <w:pStyle w:val="24"/>
        <w:spacing w:line="440" w:lineRule="exact"/>
        <w:ind w:left="6" w:firstLine="420" w:firstLineChars="200"/>
        <w:rPr>
          <w:rFonts w:hAnsi="宋体" w:cs="宋体"/>
          <w:color w:val="auto"/>
        </w:rPr>
      </w:pPr>
      <w:r>
        <w:rPr>
          <w:rFonts w:hint="eastAsia" w:hAnsi="宋体" w:cs="宋体"/>
          <w:color w:val="auto"/>
        </w:rPr>
        <w:t>（2）</w:t>
      </w:r>
      <w:r>
        <w:rPr>
          <w:rFonts w:hint="eastAsia" w:hAnsi="宋体" w:cs="宋体"/>
          <w:color w:val="auto"/>
          <w:spacing w:val="-4"/>
        </w:rPr>
        <w:t>将成交项目转让给他人，或者在响应文件中未说明，且未经采购人同意，将成交项目分包给他人的；</w:t>
      </w:r>
    </w:p>
    <w:p>
      <w:pPr>
        <w:pStyle w:val="24"/>
        <w:spacing w:line="440" w:lineRule="exact"/>
        <w:ind w:left="6" w:firstLine="420" w:firstLineChars="200"/>
        <w:rPr>
          <w:rFonts w:hAnsi="宋体" w:cs="宋体"/>
          <w:color w:val="auto"/>
        </w:rPr>
      </w:pPr>
      <w:r>
        <w:rPr>
          <w:rFonts w:hint="eastAsia" w:hAnsi="宋体" w:cs="宋体"/>
          <w:color w:val="auto"/>
        </w:rPr>
        <w:t>（3）拒绝履行合同义务的。</w:t>
      </w:r>
    </w:p>
    <w:p>
      <w:pPr>
        <w:pStyle w:val="24"/>
        <w:spacing w:line="470" w:lineRule="exact"/>
        <w:ind w:firstLine="420"/>
        <w:rPr>
          <w:b/>
          <w:color w:val="auto"/>
        </w:rPr>
      </w:pPr>
      <w:r>
        <w:rPr>
          <w:rFonts w:hint="eastAsia" w:hAnsi="宋体" w:cs="宋体"/>
          <w:color w:val="auto"/>
        </w:rPr>
        <w:t>29.3 合同备案存档：政府采购合同双方自签订之日起1个工作日内将合同原件壹份交采购代理机构。采购代理机构将政府采购合同在省级以上人民政府财政部门指定媒体上公告。</w:t>
      </w:r>
    </w:p>
    <w:p>
      <w:pPr>
        <w:pStyle w:val="5"/>
        <w:spacing w:line="470" w:lineRule="exact"/>
        <w:jc w:val="center"/>
        <w:rPr>
          <w:b w:val="0"/>
          <w:color w:val="auto"/>
        </w:rPr>
      </w:pPr>
      <w:bookmarkStart w:id="88" w:name="_Toc8583185"/>
      <w:r>
        <w:rPr>
          <w:rFonts w:hint="eastAsia"/>
          <w:color w:val="auto"/>
          <w:sz w:val="21"/>
        </w:rPr>
        <w:t>七、其他事</w:t>
      </w:r>
      <w:bookmarkStart w:id="89" w:name="_Toc495333084"/>
      <w:r>
        <w:rPr>
          <w:rFonts w:hint="eastAsia"/>
          <w:color w:val="auto"/>
          <w:sz w:val="21"/>
        </w:rPr>
        <w:t>项</w:t>
      </w:r>
      <w:bookmarkEnd w:id="88"/>
    </w:p>
    <w:p>
      <w:pPr>
        <w:pStyle w:val="24"/>
        <w:spacing w:line="470" w:lineRule="exact"/>
        <w:outlineLvl w:val="3"/>
        <w:rPr>
          <w:b/>
          <w:color w:val="auto"/>
        </w:rPr>
      </w:pPr>
      <w:r>
        <w:rPr>
          <w:rFonts w:hint="eastAsia"/>
          <w:b/>
          <w:color w:val="auto"/>
        </w:rPr>
        <w:t>32.采</w:t>
      </w:r>
      <w:bookmarkEnd w:id="89"/>
      <w:r>
        <w:rPr>
          <w:rFonts w:hint="eastAsia"/>
          <w:b/>
          <w:color w:val="auto"/>
        </w:rPr>
        <w:t>购</w:t>
      </w:r>
      <w:bookmarkStart w:id="90" w:name="_Toc495333085"/>
      <w:bookmarkStart w:id="91" w:name="_Toc398645878"/>
      <w:r>
        <w:rPr>
          <w:rFonts w:hint="eastAsia"/>
          <w:b/>
          <w:color w:val="auto"/>
        </w:rPr>
        <w:t>代理服务费</w:t>
      </w:r>
    </w:p>
    <w:p>
      <w:pPr>
        <w:pStyle w:val="24"/>
        <w:spacing w:line="470" w:lineRule="exact"/>
        <w:ind w:firstLine="420"/>
        <w:rPr>
          <w:color w:val="auto"/>
          <w:szCs w:val="21"/>
        </w:rPr>
      </w:pPr>
      <w:r>
        <w:rPr>
          <w:rFonts w:hint="eastAsia"/>
          <w:color w:val="auto"/>
          <w:szCs w:val="21"/>
        </w:rPr>
        <w:t>33.1</w:t>
      </w:r>
      <w:bookmarkEnd w:id="90"/>
      <w:bookmarkEnd w:id="91"/>
      <w:r>
        <w:rPr>
          <w:rFonts w:hint="eastAsia"/>
          <w:color w:val="auto"/>
        </w:rPr>
        <w:t>代理服务费：</w:t>
      </w:r>
      <w:r>
        <w:rPr>
          <w:rFonts w:hint="eastAsia" w:hAnsi="宋体" w:cs="宋体"/>
          <w:color w:val="auto"/>
          <w:szCs w:val="21"/>
        </w:rPr>
        <w:t>以成交金额计算业务酬金，按桂价费字【2003】7号和桂价费〔2011〕55号规定</w:t>
      </w:r>
      <w:r>
        <w:rPr>
          <w:rFonts w:hAnsi="宋体" w:cs="宋体"/>
          <w:color w:val="auto"/>
          <w:szCs w:val="21"/>
        </w:rPr>
        <w:t>“服务类”的1.5%</w:t>
      </w:r>
      <w:r>
        <w:rPr>
          <w:rFonts w:hint="eastAsia" w:hAnsi="宋体" w:cs="宋体"/>
          <w:color w:val="auto"/>
          <w:szCs w:val="21"/>
        </w:rPr>
        <w:t>累计收取，由成交人在领取成交通知书前一次性向采购代理机构支付。</w:t>
      </w:r>
    </w:p>
    <w:p>
      <w:pPr>
        <w:pStyle w:val="24"/>
        <w:spacing w:line="470" w:lineRule="exact"/>
        <w:outlineLvl w:val="3"/>
        <w:rPr>
          <w:b/>
          <w:color w:val="auto"/>
        </w:rPr>
      </w:pPr>
      <w:r>
        <w:rPr>
          <w:rFonts w:hint="eastAsia"/>
          <w:b/>
          <w:color w:val="auto"/>
        </w:rPr>
        <w:t>33.采购</w:t>
      </w:r>
      <w:bookmarkStart w:id="92" w:name="_Toc495333086"/>
      <w:bookmarkStart w:id="93" w:name="_Toc398645879"/>
      <w:r>
        <w:rPr>
          <w:rFonts w:hint="eastAsia"/>
          <w:b/>
          <w:color w:val="auto"/>
        </w:rPr>
        <w:t>预算</w:t>
      </w:r>
    </w:p>
    <w:p>
      <w:pPr>
        <w:pStyle w:val="24"/>
        <w:spacing w:line="470" w:lineRule="exact"/>
        <w:ind w:firstLine="420"/>
        <w:rPr>
          <w:color w:val="auto"/>
          <w:szCs w:val="21"/>
        </w:rPr>
      </w:pPr>
      <w:r>
        <w:rPr>
          <w:rFonts w:hint="eastAsia"/>
          <w:color w:val="auto"/>
          <w:szCs w:val="21"/>
        </w:rPr>
        <w:t>33.1</w:t>
      </w:r>
      <w:bookmarkEnd w:id="92"/>
      <w:bookmarkEnd w:id="93"/>
      <w:r>
        <w:rPr>
          <w:rFonts w:hint="eastAsia"/>
          <w:color w:val="auto"/>
          <w:szCs w:val="21"/>
        </w:rPr>
        <w:t>其金额详见本须知前附表第11项规定。</w:t>
      </w:r>
    </w:p>
    <w:p>
      <w:pPr>
        <w:pStyle w:val="24"/>
        <w:spacing w:line="470" w:lineRule="exact"/>
        <w:outlineLvl w:val="3"/>
        <w:rPr>
          <w:b/>
          <w:color w:val="auto"/>
        </w:rPr>
      </w:pPr>
      <w:r>
        <w:rPr>
          <w:rFonts w:hint="eastAsia"/>
          <w:b/>
          <w:color w:val="auto"/>
        </w:rPr>
        <w:t>34.提交</w:t>
      </w:r>
      <w:bookmarkStart w:id="94" w:name="_Toc495333087"/>
      <w:bookmarkStart w:id="95" w:name="_Toc398645880"/>
      <w:r>
        <w:rPr>
          <w:rFonts w:hint="eastAsia"/>
          <w:b/>
          <w:color w:val="auto"/>
        </w:rPr>
        <w:t>响应文件时须提供的资料</w:t>
      </w:r>
    </w:p>
    <w:p>
      <w:pPr>
        <w:pStyle w:val="24"/>
        <w:spacing w:line="470" w:lineRule="exact"/>
        <w:ind w:firstLine="420"/>
        <w:rPr>
          <w:rFonts w:hint="eastAsia"/>
          <w:color w:val="auto"/>
          <w:szCs w:val="21"/>
        </w:rPr>
      </w:pPr>
      <w:r>
        <w:rPr>
          <w:rFonts w:hint="eastAsia"/>
          <w:color w:val="auto"/>
          <w:szCs w:val="21"/>
        </w:rPr>
        <w:t>34.1</w:t>
      </w:r>
      <w:bookmarkEnd w:id="94"/>
      <w:bookmarkEnd w:id="95"/>
      <w:r>
        <w:rPr>
          <w:rFonts w:hint="eastAsia"/>
          <w:color w:val="auto"/>
          <w:szCs w:val="21"/>
        </w:rPr>
        <w:t>竞标供应商的法定代表人（负责人）或其委托代理人提交响应文件同时须提交以下有效的资料：有效的法定代表人（负责人）或委托代理人必须持有效证件（法定代表人（负责人）凭身份证或委托代理人凭法人授权委托书原件和身份证、竞标供应商有效的营业执照副本复印件加盖），资料不齐或无效的将拒收响应文件。</w:t>
      </w:r>
    </w:p>
    <w:p>
      <w:pPr>
        <w:pStyle w:val="24"/>
        <w:spacing w:line="470" w:lineRule="exact"/>
        <w:rPr>
          <w:color w:val="auto"/>
          <w:szCs w:val="21"/>
        </w:rPr>
      </w:pPr>
      <w:r>
        <w:rPr>
          <w:rFonts w:hint="eastAsia"/>
          <w:b/>
          <w:bCs/>
          <w:color w:val="auto"/>
          <w:szCs w:val="21"/>
          <w:lang w:val="en-US" w:eastAsia="zh-CN"/>
        </w:rPr>
        <w:t>35.</w:t>
      </w:r>
      <w:r>
        <w:rPr>
          <w:rFonts w:hint="eastAsia"/>
          <w:b/>
          <w:bCs/>
          <w:color w:val="auto"/>
          <w:szCs w:val="21"/>
        </w:rPr>
        <w:t>履约保证金：</w:t>
      </w:r>
      <w:r>
        <w:rPr>
          <w:rFonts w:hint="eastAsia"/>
          <w:color w:val="auto"/>
          <w:szCs w:val="21"/>
        </w:rPr>
        <w:t>由成交供应商与采购人自行协商。</w:t>
      </w:r>
    </w:p>
    <w:p>
      <w:pPr>
        <w:pStyle w:val="24"/>
        <w:spacing w:line="470" w:lineRule="exact"/>
        <w:outlineLvl w:val="3"/>
        <w:rPr>
          <w:b/>
          <w:color w:val="auto"/>
        </w:rPr>
      </w:pPr>
      <w:r>
        <w:rPr>
          <w:rFonts w:hint="eastAsia"/>
          <w:b/>
          <w:color w:val="auto"/>
        </w:rPr>
        <w:t>3</w:t>
      </w:r>
      <w:r>
        <w:rPr>
          <w:rFonts w:hint="eastAsia"/>
          <w:b/>
          <w:color w:val="auto"/>
          <w:lang w:val="en-US" w:eastAsia="zh-CN"/>
        </w:rPr>
        <w:t>6</w:t>
      </w:r>
      <w:r>
        <w:rPr>
          <w:rFonts w:hint="eastAsia"/>
          <w:b/>
          <w:color w:val="auto"/>
        </w:rPr>
        <w:t>.解释</w:t>
      </w:r>
      <w:bookmarkStart w:id="96" w:name="_Toc398645881"/>
      <w:bookmarkStart w:id="97" w:name="_Toc495333088"/>
      <w:r>
        <w:rPr>
          <w:rFonts w:hint="eastAsia"/>
          <w:b/>
          <w:color w:val="auto"/>
        </w:rPr>
        <w:t>权</w:t>
      </w:r>
    </w:p>
    <w:p>
      <w:pPr>
        <w:pStyle w:val="24"/>
        <w:spacing w:line="470" w:lineRule="exact"/>
        <w:ind w:firstLine="420"/>
        <w:rPr>
          <w:color w:val="auto"/>
        </w:rPr>
      </w:pPr>
      <w:r>
        <w:rPr>
          <w:rFonts w:hint="eastAsia"/>
          <w:color w:val="auto"/>
        </w:rPr>
        <w:t>3</w:t>
      </w:r>
      <w:r>
        <w:rPr>
          <w:rFonts w:hint="eastAsia"/>
          <w:color w:val="auto"/>
          <w:lang w:val="en-US" w:eastAsia="zh-CN"/>
        </w:rPr>
        <w:t>6</w:t>
      </w:r>
      <w:r>
        <w:rPr>
          <w:rFonts w:hint="eastAsia"/>
          <w:color w:val="auto"/>
        </w:rPr>
        <w:t>.1</w:t>
      </w:r>
      <w:bookmarkEnd w:id="96"/>
      <w:bookmarkEnd w:id="97"/>
      <w:r>
        <w:rPr>
          <w:rFonts w:hint="eastAsia"/>
          <w:color w:val="auto"/>
        </w:rPr>
        <w:t>本竞争性磋商文件是根据国家有关法律、法规以及政府采购管理有关规定和参照国际惯例编制，解释权属本采购代理机构。</w:t>
      </w:r>
    </w:p>
    <w:p>
      <w:pPr>
        <w:pStyle w:val="24"/>
        <w:spacing w:line="470" w:lineRule="exact"/>
        <w:outlineLvl w:val="3"/>
        <w:rPr>
          <w:b/>
          <w:color w:val="auto"/>
        </w:rPr>
      </w:pPr>
      <w:r>
        <w:rPr>
          <w:rFonts w:hint="eastAsia"/>
          <w:b/>
          <w:color w:val="auto"/>
        </w:rPr>
        <w:t>3</w:t>
      </w:r>
      <w:r>
        <w:rPr>
          <w:rFonts w:hint="eastAsia"/>
          <w:b/>
          <w:color w:val="auto"/>
          <w:lang w:val="en-US" w:eastAsia="zh-CN"/>
        </w:rPr>
        <w:t>7</w:t>
      </w:r>
      <w:r>
        <w:rPr>
          <w:rFonts w:hint="eastAsia"/>
          <w:b/>
          <w:color w:val="auto"/>
        </w:rPr>
        <w:t>.有关</w:t>
      </w:r>
      <w:bookmarkStart w:id="98" w:name="_Toc398645882"/>
      <w:bookmarkStart w:id="99" w:name="_Toc495333089"/>
      <w:r>
        <w:rPr>
          <w:rFonts w:hint="eastAsia"/>
          <w:b/>
          <w:color w:val="auto"/>
        </w:rPr>
        <w:t>事宜</w:t>
      </w:r>
    </w:p>
    <w:p>
      <w:pPr>
        <w:pStyle w:val="24"/>
        <w:spacing w:line="390" w:lineRule="exact"/>
        <w:ind w:firstLine="420"/>
        <w:rPr>
          <w:color w:val="auto"/>
        </w:rPr>
      </w:pPr>
      <w:r>
        <w:rPr>
          <w:rFonts w:hint="eastAsia"/>
          <w:color w:val="auto"/>
        </w:rPr>
        <w:t>3</w:t>
      </w:r>
      <w:r>
        <w:rPr>
          <w:rFonts w:hint="eastAsia"/>
          <w:color w:val="auto"/>
          <w:lang w:val="en-US" w:eastAsia="zh-CN"/>
        </w:rPr>
        <w:t>7</w:t>
      </w:r>
      <w:r>
        <w:rPr>
          <w:rFonts w:hint="eastAsia"/>
          <w:color w:val="auto"/>
        </w:rPr>
        <w:t>.1</w:t>
      </w:r>
      <w:bookmarkEnd w:id="98"/>
      <w:bookmarkEnd w:id="99"/>
      <w:r>
        <w:rPr>
          <w:rFonts w:hint="eastAsia"/>
          <w:color w:val="auto"/>
        </w:rPr>
        <w:t>所有与本竞争性磋商文件有关的函电请按下列通讯地址联系：</w:t>
      </w:r>
    </w:p>
    <w:p>
      <w:pPr>
        <w:spacing w:line="440" w:lineRule="exact"/>
        <w:ind w:firstLine="420" w:firstLineChars="200"/>
        <w:rPr>
          <w:rFonts w:ascii="ˎ̥" w:hAnsi="ˎ̥"/>
          <w:color w:val="auto"/>
          <w:szCs w:val="21"/>
        </w:rPr>
      </w:pPr>
      <w:r>
        <w:rPr>
          <w:rFonts w:hint="eastAsia" w:ascii="ˎ̥" w:hAnsi="ˎ̥"/>
          <w:color w:val="auto"/>
          <w:szCs w:val="21"/>
        </w:rPr>
        <w:t>采购代理机构：</w:t>
      </w:r>
      <w:r>
        <w:rPr>
          <w:rFonts w:hint="eastAsia" w:ascii="宋体" w:hAnsi="宋体"/>
          <w:bCs/>
          <w:color w:val="auto"/>
          <w:szCs w:val="21"/>
        </w:rPr>
        <w:t xml:space="preserve"> 广西创和工程项目管理有限公司</w:t>
      </w:r>
      <w:r>
        <w:rPr>
          <w:rFonts w:hint="eastAsia" w:ascii="ˎ̥" w:hAnsi="ˎ̥"/>
          <w:color w:val="auto"/>
          <w:szCs w:val="21"/>
        </w:rPr>
        <w:t xml:space="preserve">    </w:t>
      </w:r>
    </w:p>
    <w:p>
      <w:pPr>
        <w:spacing w:line="440" w:lineRule="exact"/>
        <w:ind w:firstLine="420" w:firstLineChars="200"/>
        <w:rPr>
          <w:rFonts w:ascii="ˎ̥" w:hAnsi="ˎ̥"/>
          <w:color w:val="auto"/>
          <w:szCs w:val="21"/>
        </w:rPr>
      </w:pPr>
      <w:r>
        <w:rPr>
          <w:rFonts w:hint="eastAsia" w:ascii="ˎ̥" w:hAnsi="ˎ̥"/>
          <w:color w:val="auto"/>
          <w:szCs w:val="21"/>
        </w:rPr>
        <w:t>地  址：</w:t>
      </w:r>
      <w:r>
        <w:rPr>
          <w:rFonts w:hint="eastAsia" w:hAnsi="宋体"/>
          <w:color w:val="auto"/>
          <w:szCs w:val="21"/>
        </w:rPr>
        <w:t>玉林市广场东路230号四楼</w:t>
      </w:r>
    </w:p>
    <w:p>
      <w:pPr>
        <w:pStyle w:val="24"/>
        <w:spacing w:line="470" w:lineRule="exact"/>
        <w:ind w:firstLine="420" w:firstLineChars="200"/>
        <w:rPr>
          <w:color w:val="auto"/>
          <w:szCs w:val="21"/>
        </w:rPr>
      </w:pPr>
      <w:r>
        <w:rPr>
          <w:rFonts w:hint="eastAsia"/>
          <w:color w:val="auto"/>
          <w:szCs w:val="21"/>
        </w:rPr>
        <w:t xml:space="preserve">联系人 ：黎小林           </w:t>
      </w:r>
    </w:p>
    <w:p>
      <w:pPr>
        <w:pStyle w:val="24"/>
        <w:spacing w:line="470" w:lineRule="exact"/>
        <w:ind w:firstLine="420" w:firstLineChars="200"/>
        <w:jc w:val="both"/>
        <w:rPr>
          <w:color w:val="auto"/>
        </w:rPr>
      </w:pPr>
      <w:r>
        <w:rPr>
          <w:rFonts w:hint="eastAsia"/>
          <w:color w:val="auto"/>
          <w:szCs w:val="21"/>
        </w:rPr>
        <w:t>电  话：</w:t>
      </w:r>
      <w:r>
        <w:rPr>
          <w:rFonts w:hint="eastAsia" w:hAnsi="宋体"/>
          <w:color w:val="auto"/>
          <w:szCs w:val="21"/>
        </w:rPr>
        <w:t>0775-2332720</w:t>
      </w:r>
      <w:r>
        <w:rPr>
          <w:rFonts w:hint="eastAsia"/>
          <w:color w:val="auto"/>
          <w:szCs w:val="21"/>
        </w:rPr>
        <w:t xml:space="preserve">  </w:t>
      </w:r>
      <w:r>
        <w:rPr>
          <w:color w:val="auto"/>
        </w:rPr>
        <w:br w:type="page"/>
      </w:r>
      <w:bookmarkStart w:id="100" w:name="_Toc8583186"/>
      <w:r>
        <w:rPr>
          <w:rFonts w:hint="eastAsia"/>
          <w:color w:val="auto"/>
          <w:lang w:val="en-US" w:eastAsia="zh-CN"/>
        </w:rPr>
        <w:t xml:space="preserve">                      </w:t>
      </w:r>
      <w:r>
        <w:rPr>
          <w:rFonts w:hint="eastAsia"/>
          <w:color w:val="auto"/>
          <w:sz w:val="44"/>
          <w:szCs w:val="44"/>
        </w:rPr>
        <w:t>第二章</w:t>
      </w:r>
      <w:r>
        <w:rPr>
          <w:rFonts w:hint="eastAsia"/>
          <w:bCs/>
          <w:color w:val="auto"/>
          <w:kern w:val="44"/>
          <w:sz w:val="44"/>
          <w:szCs w:val="44"/>
        </w:rPr>
        <w:t xml:space="preserve"> 项目需求及</w:t>
      </w:r>
      <w:bookmarkStart w:id="101" w:name="_Toc495333090"/>
      <w:bookmarkEnd w:id="101"/>
      <w:bookmarkStart w:id="102" w:name="_Toc495333153"/>
      <w:bookmarkEnd w:id="102"/>
      <w:bookmarkStart w:id="103" w:name="_Toc495333230"/>
      <w:bookmarkEnd w:id="103"/>
      <w:bookmarkStart w:id="104" w:name="_Toc495333091"/>
      <w:r>
        <w:rPr>
          <w:rFonts w:hint="eastAsia"/>
          <w:bCs/>
          <w:color w:val="auto"/>
          <w:kern w:val="44"/>
          <w:sz w:val="44"/>
          <w:szCs w:val="44"/>
        </w:rPr>
        <w:t>要求</w:t>
      </w:r>
      <w:bookmarkEnd w:id="100"/>
    </w:p>
    <w:tbl>
      <w:tblPr>
        <w:tblStyle w:val="44"/>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2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4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rPr>
              <w:t>服务名称</w:t>
            </w:r>
          </w:p>
        </w:tc>
        <w:tc>
          <w:tcPr>
            <w:tcW w:w="82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rPr>
              <w:t>数量单位</w:t>
            </w:r>
          </w:p>
        </w:tc>
        <w:tc>
          <w:tcPr>
            <w:tcW w:w="8505" w:type="dxa"/>
            <w:vAlign w:val="center"/>
          </w:tcPr>
          <w:p>
            <w:pPr>
              <w:spacing w:line="360" w:lineRule="auto"/>
              <w:jc w:val="center"/>
              <w:rPr>
                <w:rFonts w:cs="宋体" w:asciiTheme="minorEastAsia" w:hAnsiTheme="minorEastAsia"/>
                <w:b/>
                <w:color w:val="auto"/>
                <w:sz w:val="24"/>
              </w:rPr>
            </w:pPr>
            <w:r>
              <w:rPr>
                <w:rFonts w:hint="eastAsia" w:cs="宋体" w:asciiTheme="minorEastAsia" w:hAnsiTheme="minorEastAsia"/>
                <w:b/>
                <w:color w:val="auto"/>
                <w:sz w:val="24"/>
                <w:shd w:val="clear" w:color="auto" w:fill="FFFFFF"/>
              </w:rPr>
              <w:t>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5" w:type="dxa"/>
            <w:vAlign w:val="center"/>
          </w:tcPr>
          <w:p>
            <w:pPr>
              <w:adjustRightInd w:val="0"/>
              <w:spacing w:line="360" w:lineRule="auto"/>
              <w:jc w:val="center"/>
              <w:rPr>
                <w:rFonts w:cs="宋体" w:asciiTheme="minorEastAsia" w:hAnsiTheme="minorEastAsia"/>
                <w:color w:val="auto"/>
                <w:sz w:val="24"/>
              </w:rPr>
            </w:pPr>
            <w:r>
              <w:rPr>
                <w:rFonts w:hint="eastAsia" w:cs="宋体" w:asciiTheme="minorEastAsia" w:hAnsiTheme="minorEastAsia"/>
                <w:color w:val="auto"/>
                <w:sz w:val="24"/>
              </w:rPr>
              <w:t>北流市人民检察院新一代5G移动检务服务采购</w:t>
            </w:r>
          </w:p>
        </w:tc>
        <w:tc>
          <w:tcPr>
            <w:tcW w:w="825" w:type="dxa"/>
            <w:vAlign w:val="center"/>
          </w:tcPr>
          <w:p>
            <w:pPr>
              <w:adjustRightInd w:val="0"/>
              <w:spacing w:line="360" w:lineRule="auto"/>
              <w:jc w:val="center"/>
              <w:rPr>
                <w:rFonts w:cs="宋体" w:asciiTheme="minorEastAsia" w:hAnsiTheme="minorEastAsia"/>
                <w:bCs/>
                <w:color w:val="auto"/>
                <w:sz w:val="24"/>
              </w:rPr>
            </w:pPr>
            <w:r>
              <w:rPr>
                <w:rFonts w:hint="eastAsia" w:cs="宋体" w:asciiTheme="minorEastAsia" w:hAnsiTheme="minorEastAsia"/>
                <w:bCs/>
                <w:color w:val="auto"/>
                <w:sz w:val="24"/>
              </w:rPr>
              <w:t>1项</w:t>
            </w:r>
          </w:p>
        </w:tc>
        <w:tc>
          <w:tcPr>
            <w:tcW w:w="8505" w:type="dxa"/>
            <w:vAlign w:val="center"/>
          </w:tcPr>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一、为北流市人民检察院单位的办公、作业等事务性工作提供的新一代5G移动安全解决方案，提供定制化的移动检务服务，保障北流市人民检察院办日常正常办公需求，供应商需按照采购人要求，</w:t>
            </w:r>
            <w:r>
              <w:rPr>
                <w:rFonts w:hint="eastAsia" w:cs="Arial" w:asciiTheme="minorEastAsia" w:hAnsiTheme="minorEastAsia"/>
                <w:color w:val="auto"/>
                <w:sz w:val="24"/>
              </w:rPr>
              <w:t>为北流市人民检察院提供不少</w:t>
            </w:r>
            <w:r>
              <w:rPr>
                <w:rFonts w:hint="eastAsia" w:asciiTheme="minorEastAsia" w:hAnsiTheme="minorEastAsia"/>
                <w:color w:val="auto"/>
                <w:sz w:val="24"/>
              </w:rPr>
              <w:t>于92人2</w:t>
            </w:r>
            <w:r>
              <w:rPr>
                <w:rFonts w:asciiTheme="minorEastAsia" w:hAnsiTheme="minorEastAsia"/>
                <w:color w:val="auto"/>
                <w:sz w:val="24"/>
              </w:rPr>
              <w:t>4</w:t>
            </w:r>
            <w:r>
              <w:rPr>
                <w:rFonts w:hint="eastAsia" w:asciiTheme="minorEastAsia" w:hAnsiTheme="minorEastAsia"/>
                <w:color w:val="auto"/>
                <w:sz w:val="24"/>
              </w:rPr>
              <w:t>个月的</w:t>
            </w:r>
            <w:r>
              <w:rPr>
                <w:rFonts w:hint="eastAsia" w:cs="Arial" w:asciiTheme="minorEastAsia" w:hAnsiTheme="minorEastAsia"/>
                <w:color w:val="auto"/>
                <w:sz w:val="24"/>
              </w:rPr>
              <w:t>新一代5G移动检务服务</w:t>
            </w:r>
            <w:r>
              <w:rPr>
                <w:rFonts w:hint="eastAsia" w:cs="宋体" w:asciiTheme="minorEastAsia" w:hAnsiTheme="minorEastAsia"/>
                <w:color w:val="auto"/>
                <w:sz w:val="24"/>
              </w:rPr>
              <w:t>，具体如下：</w:t>
            </w:r>
          </w:p>
          <w:p>
            <w:pPr>
              <w:pStyle w:val="187"/>
              <w:tabs>
                <w:tab w:val="left" w:pos="658"/>
              </w:tabs>
              <w:spacing w:line="360" w:lineRule="auto"/>
              <w:ind w:firstLine="480" w:firstLineChars="200"/>
              <w:contextualSpacing/>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1、为北流市人民检察院提供不少于92人的5G移动检务服务的检务通数据流量服务以及配套的技术支撑服务；</w:t>
            </w:r>
          </w:p>
          <w:p>
            <w:pPr>
              <w:pStyle w:val="187"/>
              <w:tabs>
                <w:tab w:val="left" w:pos="658"/>
              </w:tabs>
              <w:spacing w:line="360" w:lineRule="auto"/>
              <w:ind w:firstLine="480" w:firstLineChars="200"/>
              <w:contextualSpacing/>
              <w:rPr>
                <w:rFonts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为北流市人民检察院提供不少于92人的办公、作业等事务性工作提供</w:t>
            </w:r>
            <w:r>
              <w:rPr>
                <w:rFonts w:hint="eastAsia" w:cs="Arial" w:asciiTheme="minorEastAsia" w:hAnsiTheme="minorEastAsia" w:eastAsiaTheme="minorEastAsia"/>
                <w:color w:val="auto"/>
                <w:sz w:val="24"/>
                <w:szCs w:val="24"/>
              </w:rPr>
              <w:t>5G移动检务服务</w:t>
            </w:r>
            <w:r>
              <w:rPr>
                <w:rFonts w:hint="eastAsia" w:asciiTheme="minorEastAsia" w:hAnsiTheme="minorEastAsia" w:eastAsiaTheme="minorEastAsia"/>
                <w:color w:val="auto"/>
                <w:sz w:val="24"/>
                <w:szCs w:val="24"/>
              </w:rPr>
              <w:t>解决方案， 要求能无缝衔接北流市人民检察院在用的移动检务应用，满足在5G网络条件下北流市人民检察院移动检务办公需求，保障北流市人民检察院移动办公的合法合规。</w:t>
            </w:r>
          </w:p>
          <w:p>
            <w:pPr>
              <w:pStyle w:val="187"/>
              <w:tabs>
                <w:tab w:val="left" w:pos="658"/>
              </w:tabs>
              <w:spacing w:line="360" w:lineRule="auto"/>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3、为北流市人民检察院提供不少于92人的移动检务维护服务，要求在合作期内确保北流市人民检察院检务各项应用正常使用，并确保检务应用的实时更新。</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kern w:val="0"/>
                <w:sz w:val="24"/>
              </w:rPr>
              <w:t>4、根据北流市人民检察院指定数量要求，</w:t>
            </w:r>
            <w:r>
              <w:rPr>
                <w:rFonts w:hint="eastAsia" w:cs="宋体" w:asciiTheme="minorEastAsia" w:hAnsiTheme="minorEastAsia"/>
                <w:color w:val="auto"/>
                <w:sz w:val="24"/>
              </w:rPr>
              <w:t>提供11 位数指定号段号码的新开号服务，供应商应能提供不少于20个号段的号码供采购方根据实际要求进行选择；</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5、提供不少于92人移动检务应用专用数据流量服务：其中正式职工人均不少于100G/月，劳务派遣工人均不少于20G/月；</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6、提供不少于92人移动检务应用专用语音通话服务：其中正式职工人均不少于2500分钟/月，劳务派遣工人均不少于300分钟/月；</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7、提供不少于92人移动检务应用专用工作短信服务：人均200条/月；</w:t>
            </w:r>
          </w:p>
          <w:p>
            <w:pPr>
              <w:spacing w:line="360" w:lineRule="auto"/>
              <w:ind w:firstLine="480" w:firstLineChars="200"/>
              <w:rPr>
                <w:rFonts w:hint="eastAsia" w:cs="宋体" w:asciiTheme="minorEastAsia" w:hAnsiTheme="minorEastAsia"/>
                <w:color w:val="auto"/>
                <w:sz w:val="24"/>
              </w:rPr>
            </w:pPr>
            <w:r>
              <w:rPr>
                <w:rFonts w:hint="eastAsia" w:cs="宋体" w:asciiTheme="minorEastAsia" w:hAnsiTheme="minorEastAsia"/>
                <w:color w:val="auto"/>
                <w:sz w:val="24"/>
              </w:rPr>
              <w:t>8、服务起止时间：采购人确定本次采购的所有服务全部交付后起24个月。（自合同约定开通使用之日起计）。</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9、网络要求：支持NSA</w:t>
            </w:r>
            <w:r>
              <w:rPr>
                <w:rFonts w:cs="宋体" w:asciiTheme="minorEastAsia" w:hAnsiTheme="minorEastAsia"/>
                <w:color w:val="auto"/>
                <w:sz w:val="24"/>
              </w:rPr>
              <w:t>/SA</w:t>
            </w:r>
            <w:r>
              <w:rPr>
                <w:rFonts w:hint="eastAsia" w:cs="宋体" w:asciiTheme="minorEastAsia" w:hAnsiTheme="minorEastAsia"/>
                <w:color w:val="auto"/>
                <w:sz w:val="24"/>
              </w:rPr>
              <w:t>组网，支持移动/联通/电信的 5G/4G+/4G/3G/2G网络，其中支持移动5G（NR）/ TD-LTE/ GSM网络，支持联通5G（NR）/ TD-LTE/LTE FDD / WCDMA/ GSM网络，支持电信5G（NR）/ TD-LTE/LTE FDD / CDMA 2000/ CDMA 1X网络，支持双卡双待；</w:t>
            </w:r>
          </w:p>
          <w:p>
            <w:pPr>
              <w:adjustRightInd w:val="0"/>
              <w:spacing w:line="360" w:lineRule="auto"/>
              <w:ind w:firstLine="480" w:firstLineChars="200"/>
              <w:contextualSpacing/>
              <w:rPr>
                <w:rFonts w:cs="宋体" w:asciiTheme="minorEastAsia" w:hAnsiTheme="minorEastAsia"/>
                <w:color w:val="auto"/>
                <w:sz w:val="24"/>
              </w:rPr>
            </w:pPr>
            <w:r>
              <w:rPr>
                <w:rFonts w:hint="eastAsia" w:cs="宋体" w:asciiTheme="minorEastAsia" w:hAnsiTheme="minorEastAsia"/>
                <w:color w:val="auto"/>
                <w:sz w:val="24"/>
              </w:rPr>
              <w:t>10、移动检务服务要求：</w:t>
            </w:r>
          </w:p>
          <w:p>
            <w:pPr>
              <w:adjustRightInd w:val="0"/>
              <w:spacing w:line="360" w:lineRule="auto"/>
              <w:contextualSpacing/>
              <w:rPr>
                <w:rFonts w:cs="宋体" w:asciiTheme="minorEastAsia" w:hAnsiTheme="minorEastAsia"/>
                <w:color w:val="auto"/>
                <w:sz w:val="24"/>
              </w:rPr>
            </w:pPr>
            <w:r>
              <w:rPr>
                <w:rFonts w:hint="eastAsia" w:cs="宋体" w:asciiTheme="minorEastAsia" w:hAnsiTheme="minorEastAsia"/>
                <w:color w:val="auto"/>
                <w:sz w:val="24"/>
                <w:lang w:eastAsia="zh-CN"/>
              </w:rPr>
              <w:t>（</w:t>
            </w:r>
            <w:r>
              <w:rPr>
                <w:rFonts w:hint="eastAsia" w:cs="宋体" w:asciiTheme="minorEastAsia" w:hAnsiTheme="minorEastAsia"/>
                <w:color w:val="auto"/>
                <w:sz w:val="24"/>
              </w:rPr>
              <w:t>1）预装用户指定的APP软件、CA客户端、CA证书等，并按用户要求提供默认配置；</w:t>
            </w:r>
          </w:p>
          <w:p>
            <w:pPr>
              <w:adjustRightInd w:val="0"/>
              <w:spacing w:line="360" w:lineRule="auto"/>
              <w:contextualSpacing/>
              <w:rPr>
                <w:rFonts w:cs="宋体" w:asciiTheme="minorEastAsia" w:hAnsiTheme="minorEastAsia"/>
                <w:color w:val="auto"/>
                <w:sz w:val="24"/>
              </w:rPr>
            </w:pPr>
            <w:r>
              <w:rPr>
                <w:rFonts w:hint="eastAsia" w:cs="宋体" w:asciiTheme="minorEastAsia" w:hAnsiTheme="minorEastAsia"/>
                <w:color w:val="auto"/>
                <w:sz w:val="24"/>
                <w:lang w:eastAsia="zh-CN"/>
              </w:rPr>
              <w:t>（</w:t>
            </w:r>
            <w:r>
              <w:rPr>
                <w:rFonts w:cs="宋体" w:asciiTheme="minorEastAsia" w:hAnsiTheme="minorEastAsia"/>
                <w:color w:val="auto"/>
                <w:sz w:val="24"/>
              </w:rPr>
              <w:t>2</w:t>
            </w:r>
            <w:r>
              <w:rPr>
                <w:rFonts w:hint="eastAsia" w:cs="宋体" w:asciiTheme="minorEastAsia" w:hAnsiTheme="minorEastAsia"/>
                <w:color w:val="auto"/>
                <w:sz w:val="24"/>
              </w:rPr>
              <w:t>）将用户指定APP列入系统白名单（含功耗、权限等白名单），根据用户需求开放终端操作系统底层控制权限，允许用户APP采用安全沙箱机制，允许自启动服务，防止用户指定的APP被卸载、被禁用，允许通过用户APP下发终端管理策略，执行远程关机、锁定、定位追踪、擦除数据、重置系统、信息推送、内容更新、内置软件升级、以OTA方式批量推送操作等；</w:t>
            </w:r>
          </w:p>
          <w:p>
            <w:pPr>
              <w:adjustRightInd w:val="0"/>
              <w:spacing w:line="360" w:lineRule="auto"/>
              <w:contextualSpacing/>
              <w:rPr>
                <w:rFonts w:cs="宋体" w:asciiTheme="minorEastAsia" w:hAnsiTheme="minorEastAsia"/>
                <w:color w:val="auto"/>
                <w:sz w:val="24"/>
              </w:rPr>
            </w:pPr>
            <w:r>
              <w:rPr>
                <w:rFonts w:hint="eastAsia" w:cs="宋体" w:asciiTheme="minorEastAsia" w:hAnsiTheme="minorEastAsia"/>
                <w:color w:val="auto"/>
                <w:sz w:val="24"/>
                <w:lang w:eastAsia="zh-CN"/>
              </w:rPr>
              <w:t>（</w:t>
            </w:r>
            <w:r>
              <w:rPr>
                <w:rFonts w:cs="宋体" w:asciiTheme="minorEastAsia" w:hAnsiTheme="minorEastAsia"/>
                <w:color w:val="auto"/>
                <w:sz w:val="24"/>
              </w:rPr>
              <w:t>3</w:t>
            </w:r>
            <w:r>
              <w:rPr>
                <w:rFonts w:hint="eastAsia" w:cs="宋体" w:asciiTheme="minorEastAsia" w:hAnsiTheme="minorEastAsia"/>
                <w:color w:val="auto"/>
                <w:sz w:val="24"/>
              </w:rPr>
              <w:t>）操作系统软件可持续升级，但不能影响用户指定APP的权限配置、数据安全和管理策略；</w:t>
            </w:r>
          </w:p>
          <w:p>
            <w:pPr>
              <w:adjustRightInd w:val="0"/>
              <w:spacing w:line="360" w:lineRule="auto"/>
              <w:contextualSpacing/>
              <w:rPr>
                <w:rFonts w:cs="宋体" w:asciiTheme="minorEastAsia" w:hAnsiTheme="minorEastAsia"/>
                <w:color w:val="auto"/>
                <w:sz w:val="24"/>
              </w:rPr>
            </w:pPr>
            <w:r>
              <w:rPr>
                <w:rFonts w:hint="eastAsia" w:cs="宋体" w:asciiTheme="minorEastAsia" w:hAnsiTheme="minorEastAsia"/>
                <w:color w:val="auto"/>
                <w:sz w:val="24"/>
                <w:lang w:eastAsia="zh-CN"/>
              </w:rPr>
              <w:t>（</w:t>
            </w:r>
            <w:r>
              <w:rPr>
                <w:rFonts w:cs="宋体" w:asciiTheme="minorEastAsia" w:hAnsiTheme="minorEastAsia"/>
                <w:color w:val="auto"/>
                <w:sz w:val="24"/>
              </w:rPr>
              <w:t>4</w:t>
            </w:r>
            <w:r>
              <w:rPr>
                <w:rFonts w:hint="eastAsia" w:cs="宋体" w:asciiTheme="minorEastAsia" w:hAnsiTheme="minorEastAsia"/>
                <w:color w:val="auto"/>
                <w:sz w:val="24"/>
              </w:rPr>
              <w:t>）系统必须承诺支持对采购单位现有移动办公业务应用的兼容性，使用过程中如出现兼容性适配问题需指派人员配合采购单位进行调试。</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lang w:val="en-US" w:eastAsia="zh-CN"/>
              </w:rPr>
              <w:t>11</w:t>
            </w:r>
            <w:r>
              <w:rPr>
                <w:rFonts w:hint="eastAsia" w:cs="宋体" w:asciiTheme="minorEastAsia" w:hAnsiTheme="minorEastAsia"/>
                <w:color w:val="auto"/>
                <w:sz w:val="24"/>
              </w:rPr>
              <w:t>、网络支撑能力要求：</w:t>
            </w:r>
            <w:r>
              <w:rPr>
                <w:rFonts w:cs="宋体" w:asciiTheme="minorEastAsia" w:hAnsiTheme="minorEastAsia"/>
                <w:color w:val="auto"/>
                <w:sz w:val="24"/>
              </w:rPr>
              <w:t>必须</w:t>
            </w:r>
            <w:r>
              <w:rPr>
                <w:rFonts w:hint="eastAsia" w:cs="宋体" w:asciiTheme="minorEastAsia" w:hAnsiTheme="minorEastAsia"/>
                <w:color w:val="auto"/>
                <w:sz w:val="24"/>
              </w:rPr>
              <w:t>承诺</w:t>
            </w:r>
            <w:r>
              <w:rPr>
                <w:rFonts w:cs="宋体" w:asciiTheme="minorEastAsia" w:hAnsiTheme="minorEastAsia"/>
                <w:color w:val="auto"/>
                <w:sz w:val="24"/>
              </w:rPr>
              <w:t>在</w:t>
            </w:r>
            <w:r>
              <w:rPr>
                <w:rFonts w:hint="eastAsia" w:cs="宋体" w:asciiTheme="minorEastAsia" w:hAnsiTheme="minorEastAsia"/>
                <w:color w:val="auto"/>
                <w:sz w:val="24"/>
              </w:rPr>
              <w:t>签订</w:t>
            </w:r>
            <w:r>
              <w:rPr>
                <w:rFonts w:cs="宋体" w:asciiTheme="minorEastAsia" w:hAnsiTheme="minorEastAsia"/>
                <w:color w:val="auto"/>
                <w:sz w:val="24"/>
              </w:rPr>
              <w:t>合同之日起</w:t>
            </w:r>
            <w:r>
              <w:rPr>
                <w:rFonts w:hint="eastAsia" w:cs="宋体" w:asciiTheme="minorEastAsia" w:hAnsiTheme="minorEastAsia"/>
                <w:color w:val="auto"/>
                <w:sz w:val="24"/>
              </w:rPr>
              <w:t>半年</w:t>
            </w:r>
            <w:r>
              <w:rPr>
                <w:rFonts w:cs="宋体" w:asciiTheme="minorEastAsia" w:hAnsiTheme="minorEastAsia"/>
                <w:color w:val="auto"/>
                <w:sz w:val="24"/>
              </w:rPr>
              <w:t>内</w:t>
            </w:r>
            <w:r>
              <w:rPr>
                <w:rFonts w:hint="eastAsia" w:cs="宋体" w:asciiTheme="minorEastAsia" w:hAnsiTheme="minorEastAsia"/>
                <w:color w:val="auto"/>
                <w:sz w:val="24"/>
              </w:rPr>
              <w:t>，在采购单位办公场所周边安装足够的5G基站，确保5G信号全覆盖，下载平均速率≥</w:t>
            </w:r>
            <w:r>
              <w:rPr>
                <w:rFonts w:cs="宋体" w:asciiTheme="minorEastAsia" w:hAnsiTheme="minorEastAsia"/>
                <w:color w:val="auto"/>
                <w:sz w:val="24"/>
              </w:rPr>
              <w:t>600</w:t>
            </w:r>
            <w:r>
              <w:rPr>
                <w:rFonts w:hint="eastAsia" w:cs="宋体" w:asciiTheme="minorEastAsia" w:hAnsiTheme="minorEastAsia"/>
                <w:color w:val="auto"/>
                <w:sz w:val="24"/>
              </w:rPr>
              <w:t>Mbps，信号强度：-</w:t>
            </w:r>
            <w:r>
              <w:rPr>
                <w:rFonts w:cs="宋体" w:asciiTheme="minorEastAsia" w:hAnsiTheme="minorEastAsia"/>
                <w:color w:val="auto"/>
                <w:sz w:val="24"/>
              </w:rPr>
              <w:t>60</w:t>
            </w:r>
            <w:r>
              <w:rPr>
                <w:rFonts w:hint="eastAsia" w:cs="宋体" w:asciiTheme="minorEastAsia" w:hAnsiTheme="minorEastAsia"/>
                <w:color w:val="auto"/>
                <w:sz w:val="24"/>
              </w:rPr>
              <w:t>～-</w:t>
            </w:r>
            <w:r>
              <w:rPr>
                <w:rFonts w:cs="宋体" w:asciiTheme="minorEastAsia" w:hAnsiTheme="minorEastAsia"/>
                <w:color w:val="auto"/>
                <w:sz w:val="24"/>
              </w:rPr>
              <w:t>80dBm</w:t>
            </w:r>
            <w:r>
              <w:rPr>
                <w:rFonts w:hint="eastAsia" w:cs="宋体" w:asciiTheme="minorEastAsia" w:hAnsiTheme="minorEastAsia"/>
                <w:color w:val="auto"/>
                <w:sz w:val="24"/>
              </w:rPr>
              <w:t>，</w:t>
            </w:r>
            <w:r>
              <w:rPr>
                <w:rFonts w:cs="宋体" w:asciiTheme="minorEastAsia" w:hAnsiTheme="minorEastAsia"/>
                <w:color w:val="auto"/>
                <w:sz w:val="24"/>
              </w:rPr>
              <w:t>10</w:t>
            </w:r>
            <w:r>
              <w:rPr>
                <w:rFonts w:hint="eastAsia" w:cs="宋体" w:asciiTheme="minorEastAsia" w:hAnsiTheme="minorEastAsia"/>
                <w:color w:val="auto"/>
                <w:sz w:val="24"/>
              </w:rPr>
              <w:t>～3</w:t>
            </w:r>
            <w:r>
              <w:rPr>
                <w:rFonts w:cs="宋体" w:asciiTheme="minorEastAsia" w:hAnsiTheme="minorEastAsia"/>
                <w:color w:val="auto"/>
                <w:sz w:val="24"/>
              </w:rPr>
              <w:t>0</w:t>
            </w:r>
            <w:r>
              <w:rPr>
                <w:rFonts w:hint="eastAsia" w:cs="宋体" w:asciiTheme="minorEastAsia" w:hAnsiTheme="minorEastAsia"/>
                <w:color w:val="auto"/>
                <w:sz w:val="24"/>
              </w:rPr>
              <w:t>asu。</w:t>
            </w:r>
            <w:r>
              <w:rPr>
                <w:rFonts w:cs="宋体" w:asciiTheme="minorEastAsia" w:hAnsiTheme="minorEastAsia"/>
                <w:color w:val="auto"/>
                <w:sz w:val="24"/>
              </w:rPr>
              <w:t>确保</w:t>
            </w:r>
            <w:r>
              <w:rPr>
                <w:rFonts w:hint="eastAsia" w:cs="宋体" w:asciiTheme="minorEastAsia" w:hAnsiTheme="minorEastAsia"/>
                <w:color w:val="auto"/>
                <w:sz w:val="24"/>
              </w:rPr>
              <w:t>终端在</w:t>
            </w:r>
            <w:r>
              <w:rPr>
                <w:rFonts w:cs="宋体" w:asciiTheme="minorEastAsia" w:hAnsiTheme="minorEastAsia"/>
                <w:color w:val="auto"/>
                <w:sz w:val="24"/>
              </w:rPr>
              <w:t>服务范围</w:t>
            </w:r>
            <w:r>
              <w:rPr>
                <w:rFonts w:hint="eastAsia" w:cs="宋体" w:asciiTheme="minorEastAsia" w:hAnsiTheme="minorEastAsia"/>
                <w:color w:val="auto"/>
                <w:sz w:val="24"/>
              </w:rPr>
              <w:t>使用</w:t>
            </w:r>
            <w:r>
              <w:rPr>
                <w:rFonts w:cs="宋体" w:asciiTheme="minorEastAsia" w:hAnsiTheme="minorEastAsia"/>
                <w:color w:val="auto"/>
                <w:sz w:val="24"/>
              </w:rPr>
              <w:t>时，</w:t>
            </w:r>
            <w:r>
              <w:rPr>
                <w:rFonts w:hint="eastAsia" w:cs="宋体" w:asciiTheme="minorEastAsia" w:hAnsiTheme="minorEastAsia"/>
                <w:color w:val="auto"/>
                <w:sz w:val="24"/>
              </w:rPr>
              <w:t>信号稳定，质量</w:t>
            </w:r>
            <w:r>
              <w:rPr>
                <w:rFonts w:cs="宋体" w:asciiTheme="minorEastAsia" w:hAnsiTheme="minorEastAsia"/>
                <w:color w:val="auto"/>
                <w:sz w:val="24"/>
              </w:rPr>
              <w:t>可靠</w:t>
            </w:r>
            <w:r>
              <w:rPr>
                <w:rFonts w:hint="eastAsia" w:cs="宋体" w:asciiTheme="minorEastAsia" w:hAnsiTheme="minorEastAsia"/>
                <w:color w:val="auto"/>
                <w:sz w:val="24"/>
              </w:rPr>
              <w:t>。要求供应商在玉林范围内有优秀的5G无线网络建设、覆盖以及运营能力并提供依据证明。</w:t>
            </w:r>
          </w:p>
          <w:p>
            <w:pPr>
              <w:spacing w:line="360" w:lineRule="auto"/>
              <w:ind w:firstLine="480" w:firstLineChars="200"/>
              <w:rPr>
                <w:rFonts w:cs="宋体" w:asciiTheme="minorEastAsia" w:hAnsiTheme="minorEastAsia"/>
                <w:color w:val="auto"/>
                <w:sz w:val="24"/>
              </w:rPr>
            </w:pPr>
            <w:r>
              <w:rPr>
                <w:rFonts w:hint="eastAsia" w:cs="Arial" w:asciiTheme="minorEastAsia" w:hAnsiTheme="minorEastAsia"/>
                <w:color w:val="auto"/>
                <w:sz w:val="24"/>
              </w:rPr>
              <w:t>二、网络支撑能力要求：要求供应商在玉林范围内有优秀的5G无线网络建设、覆盖以及运营能力并提供依据证明</w:t>
            </w:r>
          </w:p>
        </w:tc>
      </w:tr>
    </w:tbl>
    <w:tbl>
      <w:tblPr>
        <w:tblStyle w:val="44"/>
        <w:tblpPr w:leftFromText="180" w:rightFromText="180" w:vertAnchor="text" w:horzAnchor="page" w:tblpX="935" w:tblpY="20"/>
        <w:tblOverlap w:val="never"/>
        <w:tblW w:w="5141" w:type="pct"/>
        <w:tblInd w:w="0" w:type="dxa"/>
        <w:tblLayout w:type="fixed"/>
        <w:tblCellMar>
          <w:top w:w="0" w:type="dxa"/>
          <w:left w:w="0" w:type="dxa"/>
          <w:bottom w:w="0" w:type="dxa"/>
          <w:right w:w="0" w:type="dxa"/>
        </w:tblCellMar>
      </w:tblPr>
      <w:tblGrid>
        <w:gridCol w:w="2400"/>
        <w:gridCol w:w="7652"/>
      </w:tblGrid>
      <w:tr>
        <w:tblPrEx>
          <w:tblCellMar>
            <w:top w:w="0" w:type="dxa"/>
            <w:left w:w="0" w:type="dxa"/>
            <w:bottom w:w="0" w:type="dxa"/>
            <w:right w:w="0" w:type="dxa"/>
          </w:tblCellMar>
        </w:tblPrEx>
        <w:trPr>
          <w:trHeight w:val="810" w:hRule="atLeast"/>
        </w:trPr>
        <w:tc>
          <w:tcPr>
            <w:tcW w:w="1194" w:type="pct"/>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20"/>
                <w:szCs w:val="20"/>
              </w:rPr>
            </w:pPr>
            <w:r>
              <w:rPr>
                <w:rFonts w:hint="eastAsia" w:ascii="宋体" w:hAnsi="宋体" w:cs="宋体"/>
                <w:b/>
                <w:color w:val="auto"/>
                <w:kern w:val="0"/>
                <w:sz w:val="20"/>
                <w:szCs w:val="20"/>
              </w:rPr>
              <w:t>商务付款方式</w:t>
            </w:r>
          </w:p>
        </w:tc>
        <w:tc>
          <w:tcPr>
            <w:tcW w:w="3805"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rPr>
              <w:t>本项目采购方式为竞争性磋商，付款方式由中标方根据实际中标金额与北流市人民检查院签订采购合同，并根据采购合同规定支付项目款。</w:t>
            </w:r>
          </w:p>
        </w:tc>
      </w:tr>
      <w:tr>
        <w:tblPrEx>
          <w:tblCellMar>
            <w:top w:w="0" w:type="dxa"/>
            <w:left w:w="0" w:type="dxa"/>
            <w:bottom w:w="0" w:type="dxa"/>
            <w:right w:w="0" w:type="dxa"/>
          </w:tblCellMar>
        </w:tblPrEx>
        <w:trPr>
          <w:trHeight w:val="4120" w:hRule="atLeast"/>
        </w:trPr>
        <w:tc>
          <w:tcPr>
            <w:tcW w:w="5000" w:type="pct"/>
            <w:gridSpan w:val="2"/>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auto"/>
                <w:kern w:val="0"/>
                <w:sz w:val="20"/>
                <w:szCs w:val="20"/>
              </w:rPr>
            </w:pPr>
            <w:r>
              <w:rPr>
                <w:rFonts w:hint="eastAsia" w:ascii="宋体" w:hAnsi="宋体" w:cs="宋体"/>
                <w:b/>
                <w:color w:val="auto"/>
                <w:kern w:val="0"/>
                <w:sz w:val="20"/>
                <w:szCs w:val="20"/>
              </w:rPr>
              <w:t xml:space="preserve">售后服务及其它要求：      </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一、交付时间：从签定合同之日起60天内交付使用。（如未能此达到要求，则采购人有权中止合同，并追究投标人的法律责任，注：需经采购单位验收合格并出具证明才视为正式交货、开通使用。）</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二、交付地点：采购人指定地点。</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三、售后服务要求：供应商应设置专门渠道受理合同期内采购方提出的服务申诉，供应商在接到采购方故障申诉后，应在30分钟内响应，1小时内到达现场，4小时内完成故障排除。</w:t>
            </w:r>
          </w:p>
          <w:p>
            <w:pPr>
              <w:widowControl/>
              <w:jc w:val="left"/>
              <w:textAlignment w:val="center"/>
              <w:rPr>
                <w:rFonts w:ascii="宋体" w:hAnsi="宋体" w:cs="宋体"/>
                <w:b/>
                <w:color w:val="auto"/>
                <w:kern w:val="0"/>
                <w:sz w:val="20"/>
                <w:szCs w:val="20"/>
              </w:rPr>
            </w:pPr>
            <w:r>
              <w:rPr>
                <w:rFonts w:hint="eastAsia" w:ascii="宋体" w:hAnsi="宋体" w:cs="宋体"/>
                <w:b/>
                <w:color w:val="auto"/>
                <w:kern w:val="0"/>
                <w:sz w:val="20"/>
                <w:szCs w:val="20"/>
              </w:rPr>
              <w:t>四、投标报价要求：投标报价为采购人提供的所有货物或服务的报价，投标报价必须包括以下</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(1)服务或货物的价格（包括采购需求中的所有内容）；</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(2)必要的保险费用和各项税金；</w:t>
            </w:r>
            <w:r>
              <w:rPr>
                <w:rFonts w:hint="eastAsia" w:ascii="宋体" w:hAnsi="宋体" w:cs="宋体"/>
                <w:b/>
                <w:color w:val="auto"/>
                <w:kern w:val="0"/>
                <w:sz w:val="20"/>
                <w:szCs w:val="20"/>
              </w:rPr>
              <w:br w:type="textWrapping"/>
            </w:r>
            <w:r>
              <w:rPr>
                <w:rFonts w:hint="eastAsia" w:ascii="宋体" w:hAnsi="宋体" w:cs="宋体"/>
                <w:b/>
                <w:color w:val="auto"/>
                <w:kern w:val="0"/>
                <w:sz w:val="20"/>
                <w:szCs w:val="20"/>
              </w:rPr>
              <w:t>(3)本次采购的服务过程中涉及的所有设备、终端、人员、物料由中标方负责提供，采购方不再额外提供费用。</w:t>
            </w:r>
          </w:p>
          <w:p>
            <w:pPr>
              <w:widowControl/>
              <w:jc w:val="left"/>
              <w:textAlignment w:val="center"/>
              <w:rPr>
                <w:rFonts w:ascii="宋体" w:hAnsi="宋体" w:cs="宋体"/>
                <w:b/>
                <w:color w:val="auto"/>
                <w:sz w:val="20"/>
                <w:szCs w:val="20"/>
              </w:rPr>
            </w:pPr>
            <w:r>
              <w:rPr>
                <w:rFonts w:hint="eastAsia" w:ascii="宋体" w:hAnsi="宋体" w:cs="宋体"/>
                <w:b/>
                <w:color w:val="auto"/>
                <w:kern w:val="0"/>
                <w:sz w:val="20"/>
                <w:szCs w:val="20"/>
              </w:rPr>
              <w:t>(4)项目验收产生的费用等其他费用的总和。</w:t>
            </w:r>
          </w:p>
        </w:tc>
      </w:tr>
    </w:tbl>
    <w:p>
      <w:pPr>
        <w:pStyle w:val="24"/>
        <w:spacing w:line="470" w:lineRule="exact"/>
        <w:ind w:firstLine="420" w:firstLineChars="200"/>
        <w:rPr>
          <w:color w:val="auto"/>
        </w:rPr>
      </w:pPr>
    </w:p>
    <w:p>
      <w:pPr>
        <w:pStyle w:val="24"/>
        <w:spacing w:line="470" w:lineRule="exact"/>
        <w:ind w:firstLine="420" w:firstLineChars="200"/>
        <w:rPr>
          <w:color w:val="auto"/>
        </w:rPr>
      </w:pPr>
    </w:p>
    <w:bookmarkEnd w:id="104"/>
    <w:p>
      <w:pPr>
        <w:adjustRightInd w:val="0"/>
        <w:spacing w:line="400" w:lineRule="exact"/>
        <w:jc w:val="left"/>
        <w:rPr>
          <w:rFonts w:ascii="宋体" w:hAnsi="宋体"/>
          <w:b/>
          <w:bCs/>
          <w:color w:val="auto"/>
        </w:rPr>
      </w:pPr>
    </w:p>
    <w:p>
      <w:pPr>
        <w:spacing w:line="440" w:lineRule="exact"/>
        <w:jc w:val="left"/>
        <w:rPr>
          <w:rFonts w:ascii="宋体" w:hAnsi="宋体"/>
          <w:b/>
          <w:color w:val="auto"/>
          <w:kern w:val="44"/>
          <w:sz w:val="30"/>
          <w:szCs w:val="30"/>
        </w:rPr>
      </w:pPr>
    </w:p>
    <w:p>
      <w:pPr>
        <w:spacing w:line="440" w:lineRule="exact"/>
        <w:jc w:val="left"/>
        <w:rPr>
          <w:rFonts w:ascii="宋体" w:hAnsi="宋体"/>
          <w:b/>
          <w:color w:val="auto"/>
          <w:kern w:val="44"/>
          <w:sz w:val="30"/>
          <w:szCs w:val="30"/>
        </w:rPr>
      </w:pPr>
    </w:p>
    <w:p>
      <w:pPr>
        <w:spacing w:line="440" w:lineRule="exact"/>
        <w:jc w:val="left"/>
        <w:rPr>
          <w:rFonts w:ascii="宋体" w:hAnsi="宋体"/>
          <w:b/>
          <w:color w:val="auto"/>
          <w:kern w:val="44"/>
          <w:sz w:val="30"/>
          <w:szCs w:val="30"/>
        </w:rPr>
      </w:pPr>
    </w:p>
    <w:p>
      <w:pPr>
        <w:rPr>
          <w:color w:val="auto"/>
        </w:rPr>
      </w:pPr>
    </w:p>
    <w:p>
      <w:pPr>
        <w:spacing w:line="440" w:lineRule="exact"/>
        <w:jc w:val="left"/>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pStyle w:val="2"/>
        <w:rPr>
          <w:rFonts w:ascii="宋体" w:hAnsi="宋体"/>
          <w:b/>
          <w:color w:val="auto"/>
          <w:kern w:val="44"/>
          <w:sz w:val="30"/>
          <w:szCs w:val="30"/>
        </w:rPr>
      </w:pPr>
    </w:p>
    <w:p>
      <w:pPr>
        <w:spacing w:line="440" w:lineRule="exact"/>
        <w:jc w:val="center"/>
        <w:rPr>
          <w:rFonts w:hint="eastAsia"/>
          <w:color w:val="auto"/>
          <w:sz w:val="44"/>
          <w:szCs w:val="44"/>
        </w:rPr>
      </w:pPr>
      <w:bookmarkStart w:id="105" w:name="_Toc8583189"/>
      <w:bookmarkEnd w:id="105"/>
      <w:bookmarkStart w:id="106" w:name="_Toc8583187"/>
      <w:bookmarkEnd w:id="106"/>
      <w:bookmarkStart w:id="107" w:name="_Toc8583188"/>
      <w:bookmarkEnd w:id="107"/>
      <w:bookmarkStart w:id="108" w:name="_Toc8583190"/>
    </w:p>
    <w:p>
      <w:pPr>
        <w:spacing w:line="440" w:lineRule="exact"/>
        <w:jc w:val="center"/>
        <w:rPr>
          <w:rFonts w:hint="eastAsia"/>
          <w:color w:val="auto"/>
          <w:sz w:val="44"/>
          <w:szCs w:val="44"/>
        </w:rPr>
      </w:pPr>
    </w:p>
    <w:p>
      <w:pPr>
        <w:spacing w:line="440" w:lineRule="exact"/>
        <w:jc w:val="center"/>
        <w:rPr>
          <w:color w:val="auto"/>
        </w:rPr>
      </w:pPr>
      <w:r>
        <w:rPr>
          <w:rFonts w:hint="eastAsia"/>
          <w:color w:val="auto"/>
          <w:sz w:val="44"/>
          <w:szCs w:val="44"/>
        </w:rPr>
        <w:t>第三章</w:t>
      </w:r>
      <w:r>
        <w:rPr>
          <w:rFonts w:hint="eastAsia"/>
          <w:bCs/>
          <w:color w:val="auto"/>
          <w:kern w:val="44"/>
          <w:sz w:val="44"/>
          <w:szCs w:val="44"/>
        </w:rPr>
        <w:t xml:space="preserve"> 政</w:t>
      </w:r>
      <w:bookmarkStart w:id="109" w:name="_Toc209601147"/>
      <w:r>
        <w:rPr>
          <w:rFonts w:hint="eastAsia"/>
          <w:bCs/>
          <w:color w:val="auto"/>
          <w:kern w:val="44"/>
          <w:sz w:val="44"/>
          <w:szCs w:val="44"/>
        </w:rPr>
        <w:t>府</w:t>
      </w:r>
      <w:bookmarkStart w:id="110" w:name="_Toc8573160"/>
      <w:bookmarkEnd w:id="110"/>
      <w:r>
        <w:rPr>
          <w:rFonts w:hint="eastAsia"/>
          <w:bCs/>
          <w:color w:val="auto"/>
          <w:kern w:val="44"/>
          <w:sz w:val="44"/>
          <w:szCs w:val="44"/>
        </w:rPr>
        <w:t>采</w:t>
      </w:r>
      <w:bookmarkStart w:id="111" w:name="_Toc8573161"/>
      <w:bookmarkEnd w:id="111"/>
      <w:r>
        <w:rPr>
          <w:rFonts w:hint="eastAsia"/>
          <w:bCs/>
          <w:color w:val="auto"/>
          <w:kern w:val="44"/>
          <w:sz w:val="44"/>
          <w:szCs w:val="44"/>
        </w:rPr>
        <w:t>购</w:t>
      </w:r>
      <w:bookmarkStart w:id="112" w:name="_Toc8573162"/>
      <w:bookmarkEnd w:id="112"/>
      <w:r>
        <w:rPr>
          <w:rFonts w:hint="eastAsia"/>
          <w:bCs/>
          <w:color w:val="auto"/>
          <w:kern w:val="44"/>
          <w:sz w:val="44"/>
          <w:szCs w:val="44"/>
        </w:rPr>
        <w:t>合</w:t>
      </w:r>
      <w:bookmarkEnd w:id="109"/>
      <w:bookmarkStart w:id="113" w:name="_Toc495333093"/>
      <w:r>
        <w:rPr>
          <w:rFonts w:hint="eastAsia"/>
          <w:bCs/>
          <w:color w:val="auto"/>
          <w:kern w:val="44"/>
          <w:sz w:val="44"/>
          <w:szCs w:val="44"/>
        </w:rPr>
        <w:t>同（格式）</w:t>
      </w:r>
      <w:bookmarkEnd w:id="108"/>
    </w:p>
    <w:p>
      <w:pPr>
        <w:spacing w:line="440" w:lineRule="exact"/>
        <w:jc w:val="center"/>
        <w:rPr>
          <w:b/>
          <w:color w:val="auto"/>
          <w:sz w:val="32"/>
          <w:szCs w:val="32"/>
        </w:rPr>
      </w:pPr>
    </w:p>
    <w:p>
      <w:pPr>
        <w:spacing w:line="440" w:lineRule="exact"/>
        <w:jc w:val="center"/>
        <w:rPr>
          <w:rFonts w:ascii="宋体" w:hAnsi="宋体"/>
          <w:b/>
          <w:color w:val="auto"/>
          <w:kern w:val="44"/>
          <w:sz w:val="30"/>
          <w:szCs w:val="30"/>
        </w:rPr>
      </w:pPr>
      <w:r>
        <w:rPr>
          <w:rFonts w:hint="eastAsia"/>
          <w:b/>
          <w:color w:val="auto"/>
          <w:sz w:val="32"/>
          <w:szCs w:val="32"/>
        </w:rPr>
        <w:t>政府采</w:t>
      </w:r>
      <w:bookmarkEnd w:id="113"/>
      <w:bookmarkStart w:id="114" w:name="_Toc419360968"/>
      <w:r>
        <w:rPr>
          <w:rFonts w:hint="eastAsia"/>
          <w:b/>
          <w:color w:val="auto"/>
          <w:sz w:val="32"/>
          <w:szCs w:val="32"/>
        </w:rPr>
        <w:t>购合同（试行）</w:t>
      </w:r>
    </w:p>
    <w:bookmarkEnd w:id="114"/>
    <w:p>
      <w:pPr>
        <w:spacing w:line="360" w:lineRule="auto"/>
        <w:rPr>
          <w:rFonts w:ascii="宋体" w:hAnsi="宋体"/>
          <w:bCs/>
          <w:color w:val="auto"/>
          <w:szCs w:val="21"/>
        </w:rPr>
      </w:pPr>
      <w:bookmarkStart w:id="115" w:name="_Toc8583191"/>
    </w:p>
    <w:p>
      <w:pPr>
        <w:spacing w:line="360" w:lineRule="auto"/>
        <w:rPr>
          <w:rFonts w:ascii="宋体" w:hAnsi="宋体"/>
          <w:bCs/>
          <w:color w:val="auto"/>
          <w:szCs w:val="21"/>
        </w:rPr>
      </w:pPr>
      <w:r>
        <w:rPr>
          <w:rFonts w:hint="eastAsia" w:ascii="宋体" w:hAnsi="宋体"/>
          <w:bCs/>
          <w:color w:val="auto"/>
          <w:szCs w:val="21"/>
        </w:rPr>
        <w:t>合同名称：</w:t>
      </w:r>
      <w:r>
        <w:rPr>
          <w:rFonts w:hint="eastAsia" w:ascii="宋体" w:hAnsi="宋体"/>
          <w:bCs/>
          <w:color w:val="auto"/>
          <w:szCs w:val="21"/>
          <w:u w:val="single"/>
        </w:rPr>
        <w:t xml:space="preserve">                              </w:t>
      </w:r>
      <w:r>
        <w:rPr>
          <w:rFonts w:hint="eastAsia" w:ascii="宋体" w:hAnsi="宋体"/>
          <w:bCs/>
          <w:color w:val="auto"/>
          <w:szCs w:val="21"/>
        </w:rPr>
        <w:t>（采购合同）</w:t>
      </w:r>
    </w:p>
    <w:p>
      <w:pPr>
        <w:spacing w:line="360" w:lineRule="auto"/>
        <w:rPr>
          <w:rFonts w:ascii="宋体" w:hAnsi="宋体"/>
          <w:bCs/>
          <w:color w:val="auto"/>
          <w:szCs w:val="21"/>
          <w:u w:val="single"/>
        </w:rPr>
      </w:pPr>
      <w:r>
        <w:rPr>
          <w:rFonts w:hint="eastAsia" w:ascii="宋体" w:hAnsi="宋体"/>
          <w:bCs/>
          <w:color w:val="auto"/>
          <w:szCs w:val="21"/>
        </w:rPr>
        <w:t>合同编号：</w:t>
      </w:r>
      <w:r>
        <w:rPr>
          <w:rFonts w:hint="eastAsia" w:ascii="宋体" w:hAnsi="宋体"/>
          <w:bCs/>
          <w:color w:val="auto"/>
          <w:szCs w:val="21"/>
          <w:u w:val="single"/>
        </w:rPr>
        <w:t xml:space="preserve">                             </w:t>
      </w: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甲方：</w:t>
      </w:r>
      <w:r>
        <w:rPr>
          <w:rFonts w:hint="eastAsia" w:ascii="宋体" w:hAnsi="宋体"/>
          <w:bCs/>
          <w:color w:val="auto"/>
          <w:szCs w:val="21"/>
          <w:u w:val="single"/>
        </w:rPr>
        <w:t xml:space="preserve">                             </w:t>
      </w:r>
      <w:r>
        <w:rPr>
          <w:rFonts w:hint="eastAsia" w:ascii="宋体" w:hAnsi="宋体"/>
          <w:bCs/>
          <w:color w:val="auto"/>
          <w:szCs w:val="21"/>
        </w:rPr>
        <w:t>（采购人）</w:t>
      </w:r>
    </w:p>
    <w:p>
      <w:pPr>
        <w:spacing w:line="360" w:lineRule="auto"/>
        <w:rPr>
          <w:rFonts w:ascii="宋体" w:hAnsi="宋体"/>
          <w:bCs/>
          <w:color w:val="auto"/>
          <w:szCs w:val="21"/>
        </w:rPr>
      </w:pPr>
      <w:r>
        <w:rPr>
          <w:rFonts w:hint="eastAsia" w:ascii="宋体" w:hAnsi="宋体"/>
          <w:bCs/>
          <w:color w:val="auto"/>
          <w:szCs w:val="21"/>
        </w:rPr>
        <w:t>乙方：</w:t>
      </w:r>
      <w:r>
        <w:rPr>
          <w:rFonts w:hint="eastAsia" w:ascii="宋体" w:hAnsi="宋体"/>
          <w:bCs/>
          <w:color w:val="auto"/>
          <w:szCs w:val="21"/>
          <w:u w:val="single"/>
        </w:rPr>
        <w:t xml:space="preserve">                             </w:t>
      </w:r>
      <w:r>
        <w:rPr>
          <w:rFonts w:hint="eastAsia" w:ascii="宋体" w:hAnsi="宋体"/>
          <w:bCs/>
          <w:color w:val="auto"/>
          <w:szCs w:val="21"/>
        </w:rPr>
        <w:t>（成交供应商）</w:t>
      </w:r>
    </w:p>
    <w:p>
      <w:pPr>
        <w:spacing w:line="360" w:lineRule="auto"/>
        <w:rPr>
          <w:rFonts w:ascii="宋体" w:hAnsi="宋体"/>
          <w:bCs/>
          <w:color w:val="auto"/>
          <w:szCs w:val="21"/>
        </w:rPr>
      </w:pPr>
    </w:p>
    <w:p>
      <w:pPr>
        <w:spacing w:line="360" w:lineRule="auto"/>
        <w:ind w:firstLine="420" w:firstLineChars="200"/>
        <w:rPr>
          <w:rFonts w:ascii="宋体" w:hAnsi="宋体"/>
          <w:bCs/>
          <w:color w:val="auto"/>
          <w:szCs w:val="21"/>
        </w:rPr>
      </w:pPr>
      <w:r>
        <w:rPr>
          <w:rFonts w:hint="eastAsia" w:ascii="宋体" w:hAnsi="宋体"/>
          <w:bCs/>
          <w:color w:val="auto"/>
          <w:szCs w:val="21"/>
        </w:rPr>
        <w:t>按照竞争性磋商条件采购书规定条款和成交供应商承诺，甲乙双方本着公平、公正和诚实信用的原则，经双方协商，同意按下述条款和条件签署本合同书（以下简称合同）：</w:t>
      </w:r>
    </w:p>
    <w:p>
      <w:pPr>
        <w:spacing w:line="360" w:lineRule="auto"/>
        <w:rPr>
          <w:rFonts w:ascii="宋体" w:hAnsi="宋体"/>
          <w:bCs/>
          <w:color w:val="auto"/>
          <w:szCs w:val="21"/>
        </w:rPr>
      </w:pPr>
      <w:r>
        <w:rPr>
          <w:rFonts w:hint="eastAsia" w:ascii="宋体" w:hAnsi="宋体"/>
          <w:bCs/>
          <w:color w:val="auto"/>
          <w:szCs w:val="21"/>
        </w:rPr>
        <w:t>1、合同文件</w:t>
      </w:r>
    </w:p>
    <w:p>
      <w:pPr>
        <w:spacing w:line="360" w:lineRule="auto"/>
        <w:rPr>
          <w:rFonts w:ascii="宋体" w:hAnsi="宋体"/>
          <w:bCs/>
          <w:color w:val="auto"/>
          <w:szCs w:val="21"/>
        </w:rPr>
      </w:pPr>
      <w:r>
        <w:rPr>
          <w:rFonts w:hint="eastAsia" w:ascii="宋体" w:hAnsi="宋体"/>
          <w:bCs/>
          <w:color w:val="auto"/>
          <w:szCs w:val="21"/>
        </w:rPr>
        <w:t>本合同所附下列文件是构成本合同不可分割的部分：</w:t>
      </w:r>
    </w:p>
    <w:p>
      <w:pPr>
        <w:spacing w:line="360" w:lineRule="auto"/>
        <w:rPr>
          <w:rFonts w:ascii="宋体" w:hAnsi="宋体"/>
          <w:bCs/>
          <w:color w:val="auto"/>
          <w:szCs w:val="21"/>
        </w:rPr>
      </w:pPr>
      <w:r>
        <w:rPr>
          <w:rFonts w:hint="eastAsia" w:ascii="宋体" w:hAnsi="宋体"/>
          <w:bCs/>
          <w:color w:val="auto"/>
          <w:szCs w:val="21"/>
        </w:rPr>
        <w:t>⑴ 合同基本条款</w:t>
      </w:r>
    </w:p>
    <w:p>
      <w:pPr>
        <w:spacing w:line="360" w:lineRule="auto"/>
        <w:rPr>
          <w:rFonts w:ascii="宋体" w:hAnsi="宋体"/>
          <w:bCs/>
          <w:color w:val="auto"/>
          <w:szCs w:val="21"/>
        </w:rPr>
      </w:pPr>
      <w:r>
        <w:rPr>
          <w:rFonts w:hint="eastAsia" w:ascii="宋体" w:hAnsi="宋体"/>
          <w:bCs/>
          <w:color w:val="auto"/>
          <w:szCs w:val="21"/>
        </w:rPr>
        <w:t>⑵ 项目需求及要求</w:t>
      </w:r>
    </w:p>
    <w:p>
      <w:pPr>
        <w:spacing w:line="360" w:lineRule="auto"/>
        <w:rPr>
          <w:rFonts w:ascii="宋体" w:hAnsi="宋体"/>
          <w:bCs/>
          <w:color w:val="auto"/>
          <w:szCs w:val="21"/>
        </w:rPr>
      </w:pPr>
      <w:r>
        <w:rPr>
          <w:rFonts w:hint="eastAsia" w:ascii="宋体" w:hAnsi="宋体"/>
          <w:bCs/>
          <w:color w:val="auto"/>
          <w:szCs w:val="21"/>
        </w:rPr>
        <w:t>⑶ 磋商供应商提交的磋商函、磋商报价表和售后服务承诺等全部响应文件</w:t>
      </w:r>
    </w:p>
    <w:p>
      <w:pPr>
        <w:spacing w:line="360" w:lineRule="auto"/>
        <w:rPr>
          <w:rFonts w:ascii="宋体" w:hAnsi="宋体"/>
          <w:bCs/>
          <w:color w:val="auto"/>
          <w:szCs w:val="21"/>
        </w:rPr>
      </w:pPr>
      <w:r>
        <w:rPr>
          <w:rFonts w:hint="eastAsia" w:ascii="宋体" w:hAnsi="宋体"/>
          <w:bCs/>
          <w:color w:val="auto"/>
          <w:szCs w:val="21"/>
        </w:rPr>
        <w:t>⑷ 磋商记录及磋商应答文件等有关文件</w:t>
      </w:r>
    </w:p>
    <w:p>
      <w:pPr>
        <w:spacing w:line="360" w:lineRule="auto"/>
        <w:rPr>
          <w:rFonts w:ascii="宋体" w:hAnsi="宋体"/>
          <w:bCs/>
          <w:color w:val="auto"/>
          <w:szCs w:val="21"/>
        </w:rPr>
      </w:pPr>
      <w:r>
        <w:rPr>
          <w:rFonts w:hint="eastAsia" w:ascii="宋体" w:hAnsi="宋体"/>
          <w:bCs/>
          <w:color w:val="auto"/>
          <w:szCs w:val="21"/>
        </w:rPr>
        <w:t>⑸ 成交通知书</w:t>
      </w:r>
    </w:p>
    <w:p>
      <w:pPr>
        <w:spacing w:line="360" w:lineRule="auto"/>
        <w:rPr>
          <w:rFonts w:ascii="宋体" w:hAnsi="宋体"/>
          <w:bCs/>
          <w:color w:val="auto"/>
          <w:szCs w:val="21"/>
        </w:rPr>
      </w:pPr>
      <w:r>
        <w:rPr>
          <w:rFonts w:hint="eastAsia" w:ascii="宋体" w:hAnsi="宋体"/>
          <w:bCs/>
          <w:color w:val="auto"/>
          <w:szCs w:val="21"/>
        </w:rPr>
        <w:t>⑹ 甲、乙双方商定后的补充协议</w:t>
      </w:r>
    </w:p>
    <w:p>
      <w:pPr>
        <w:spacing w:line="360" w:lineRule="auto"/>
        <w:rPr>
          <w:rFonts w:ascii="宋体" w:hAnsi="宋体"/>
          <w:bCs/>
          <w:color w:val="auto"/>
          <w:szCs w:val="21"/>
        </w:rPr>
      </w:pPr>
      <w:r>
        <w:rPr>
          <w:rFonts w:hint="eastAsia" w:ascii="宋体" w:hAnsi="宋体"/>
          <w:bCs/>
          <w:color w:val="auto"/>
          <w:szCs w:val="21"/>
        </w:rPr>
        <w:t>2、合同范围和条件</w:t>
      </w:r>
    </w:p>
    <w:p>
      <w:pPr>
        <w:spacing w:line="360" w:lineRule="auto"/>
        <w:rPr>
          <w:rFonts w:ascii="宋体" w:hAnsi="宋体"/>
          <w:bCs/>
          <w:color w:val="auto"/>
          <w:szCs w:val="21"/>
        </w:rPr>
      </w:pPr>
      <w:r>
        <w:rPr>
          <w:rFonts w:hint="eastAsia" w:ascii="宋体" w:hAnsi="宋体"/>
          <w:bCs/>
          <w:color w:val="auto"/>
          <w:szCs w:val="21"/>
        </w:rPr>
        <w:t>本合同的范围和条件应与上述合同文件的规定相一致。</w:t>
      </w:r>
    </w:p>
    <w:p>
      <w:pPr>
        <w:spacing w:line="360" w:lineRule="auto"/>
        <w:rPr>
          <w:rFonts w:ascii="宋体" w:hAnsi="宋体"/>
          <w:bCs/>
          <w:color w:val="auto"/>
          <w:szCs w:val="21"/>
        </w:rPr>
      </w:pPr>
      <w:r>
        <w:rPr>
          <w:rFonts w:hint="eastAsia" w:ascii="宋体" w:hAnsi="宋体"/>
          <w:bCs/>
          <w:color w:val="auto"/>
          <w:szCs w:val="21"/>
        </w:rPr>
        <w:t>3、采购服务内容</w:t>
      </w:r>
    </w:p>
    <w:p>
      <w:pPr>
        <w:spacing w:line="360" w:lineRule="auto"/>
        <w:rPr>
          <w:rFonts w:ascii="宋体" w:hAnsi="宋体"/>
          <w:bCs/>
          <w:color w:val="auto"/>
          <w:szCs w:val="21"/>
        </w:rPr>
      </w:pPr>
      <w:r>
        <w:rPr>
          <w:rFonts w:hint="eastAsia" w:ascii="宋体" w:hAnsi="宋体"/>
          <w:bCs/>
          <w:color w:val="auto"/>
          <w:szCs w:val="21"/>
        </w:rPr>
        <w:t>本合同所涉及的乙方应提供的服务内容详见《项目需求及要求》、应答文件中所列内容及《合同基本条款》。</w:t>
      </w:r>
    </w:p>
    <w:p>
      <w:pPr>
        <w:spacing w:line="360" w:lineRule="auto"/>
        <w:rPr>
          <w:rFonts w:ascii="宋体" w:hAnsi="宋体"/>
          <w:bCs/>
          <w:color w:val="auto"/>
          <w:szCs w:val="21"/>
        </w:rPr>
      </w:pPr>
      <w:r>
        <w:rPr>
          <w:rFonts w:hint="eastAsia" w:ascii="宋体" w:hAnsi="宋体"/>
          <w:bCs/>
          <w:color w:val="auto"/>
          <w:szCs w:val="21"/>
        </w:rPr>
        <w:t>4、合同金额</w:t>
      </w:r>
    </w:p>
    <w:p>
      <w:pPr>
        <w:spacing w:line="360" w:lineRule="auto"/>
        <w:rPr>
          <w:rFonts w:ascii="宋体" w:hAnsi="宋体"/>
          <w:bCs/>
          <w:color w:val="auto"/>
          <w:szCs w:val="21"/>
        </w:rPr>
      </w:pPr>
      <w:r>
        <w:rPr>
          <w:rFonts w:hint="eastAsia" w:ascii="宋体" w:hAnsi="宋体"/>
          <w:bCs/>
          <w:color w:val="auto"/>
          <w:szCs w:val="21"/>
        </w:rPr>
        <w:t>根据成交通知书的成交内容，合同的总金额为（大写）：人民币</w:t>
      </w:r>
      <w:r>
        <w:rPr>
          <w:rFonts w:hint="eastAsia" w:ascii="宋体" w:hAnsi="宋体"/>
          <w:bCs/>
          <w:color w:val="auto"/>
          <w:szCs w:val="21"/>
          <w:u w:val="single"/>
        </w:rPr>
        <w:t xml:space="preserve">                   </w:t>
      </w:r>
      <w:r>
        <w:rPr>
          <w:rFonts w:hint="eastAsia" w:ascii="宋体" w:hAnsi="宋体"/>
          <w:bCs/>
          <w:color w:val="auto"/>
          <w:szCs w:val="21"/>
        </w:rPr>
        <w:t>（￥</w:t>
      </w:r>
      <w:r>
        <w:rPr>
          <w:rFonts w:hint="eastAsia" w:ascii="宋体" w:hAnsi="宋体"/>
          <w:bCs/>
          <w:color w:val="auto"/>
          <w:szCs w:val="21"/>
          <w:u w:val="single"/>
        </w:rPr>
        <w:t xml:space="preserve">      </w:t>
      </w:r>
      <w:r>
        <w:rPr>
          <w:rFonts w:hint="eastAsia" w:ascii="宋体" w:hAnsi="宋体"/>
          <w:bCs/>
          <w:color w:val="auto"/>
          <w:szCs w:val="21"/>
        </w:rPr>
        <w:t>）。</w:t>
      </w:r>
    </w:p>
    <w:p>
      <w:pPr>
        <w:spacing w:line="360" w:lineRule="auto"/>
        <w:rPr>
          <w:rFonts w:ascii="宋体" w:hAnsi="宋体"/>
          <w:bCs/>
          <w:color w:val="auto"/>
          <w:szCs w:val="21"/>
        </w:rPr>
      </w:pPr>
      <w:r>
        <w:rPr>
          <w:rFonts w:hint="eastAsia" w:ascii="宋体" w:hAnsi="宋体"/>
          <w:bCs/>
          <w:color w:val="auto"/>
          <w:szCs w:val="21"/>
        </w:rPr>
        <w:t>5、付款条件</w:t>
      </w:r>
    </w:p>
    <w:p>
      <w:pPr>
        <w:spacing w:line="360" w:lineRule="auto"/>
        <w:rPr>
          <w:rFonts w:ascii="宋体" w:hAnsi="宋体"/>
          <w:bCs/>
          <w:color w:val="auto"/>
          <w:szCs w:val="21"/>
        </w:rPr>
      </w:pPr>
      <w:r>
        <w:rPr>
          <w:rFonts w:hint="eastAsia" w:ascii="宋体" w:hAnsi="宋体"/>
          <w:bCs/>
          <w:color w:val="auto"/>
          <w:szCs w:val="21"/>
        </w:rPr>
        <w:t>付款方式按合同基本条款7.1款方式执行。</w:t>
      </w:r>
    </w:p>
    <w:p>
      <w:pPr>
        <w:spacing w:line="360" w:lineRule="auto"/>
        <w:rPr>
          <w:rFonts w:ascii="宋体" w:hAnsi="宋体"/>
          <w:bCs/>
          <w:color w:val="auto"/>
          <w:szCs w:val="21"/>
        </w:rPr>
      </w:pPr>
      <w:r>
        <w:rPr>
          <w:rFonts w:hint="eastAsia" w:ascii="宋体" w:hAnsi="宋体"/>
          <w:bCs/>
          <w:color w:val="auto"/>
          <w:szCs w:val="21"/>
        </w:rPr>
        <w:t>6、服务起止时间</w:t>
      </w:r>
    </w:p>
    <w:p>
      <w:pPr>
        <w:spacing w:line="360" w:lineRule="auto"/>
        <w:rPr>
          <w:rFonts w:ascii="宋体" w:hAnsi="宋体"/>
          <w:color w:val="auto"/>
          <w:szCs w:val="21"/>
        </w:rPr>
      </w:pPr>
      <w:r>
        <w:rPr>
          <w:rFonts w:hint="eastAsia" w:ascii="宋体" w:hAnsi="宋体"/>
          <w:color w:val="auto"/>
          <w:szCs w:val="21"/>
        </w:rPr>
        <w:t>采购人确定本次采购的所有服务全部交付后起</w:t>
      </w:r>
      <w:r>
        <w:rPr>
          <w:rFonts w:hint="eastAsia" w:ascii="宋体" w:hAnsi="宋体"/>
          <w:color w:val="auto"/>
          <w:szCs w:val="21"/>
          <w:u w:val="single"/>
        </w:rPr>
        <w:t>24</w:t>
      </w:r>
      <w:r>
        <w:rPr>
          <w:rFonts w:hint="eastAsia" w:ascii="宋体" w:hAnsi="宋体"/>
          <w:color w:val="auto"/>
          <w:szCs w:val="21"/>
        </w:rPr>
        <w:t>个月。（自合同约定开通使用之日起计）。</w:t>
      </w:r>
    </w:p>
    <w:p>
      <w:pPr>
        <w:spacing w:line="360" w:lineRule="auto"/>
        <w:rPr>
          <w:rFonts w:ascii="宋体" w:hAnsi="宋体"/>
          <w:bCs/>
          <w:color w:val="auto"/>
          <w:szCs w:val="21"/>
        </w:rPr>
      </w:pPr>
      <w:r>
        <w:rPr>
          <w:rFonts w:hint="eastAsia" w:ascii="宋体" w:hAnsi="宋体"/>
          <w:bCs/>
          <w:color w:val="auto"/>
          <w:szCs w:val="21"/>
        </w:rPr>
        <w:t>7、验收办法</w:t>
      </w:r>
    </w:p>
    <w:p>
      <w:pPr>
        <w:spacing w:line="360" w:lineRule="auto"/>
        <w:rPr>
          <w:rFonts w:ascii="宋体" w:hAnsi="宋体"/>
          <w:bCs/>
          <w:color w:val="auto"/>
          <w:szCs w:val="21"/>
        </w:rPr>
      </w:pPr>
      <w:r>
        <w:rPr>
          <w:rFonts w:hint="eastAsia" w:ascii="宋体" w:hAnsi="宋体"/>
          <w:bCs/>
          <w:color w:val="auto"/>
          <w:szCs w:val="21"/>
        </w:rPr>
        <w:t>本合同验收办法在合同的基本条款中有明确规定。</w:t>
      </w:r>
    </w:p>
    <w:p>
      <w:pPr>
        <w:spacing w:line="360" w:lineRule="auto"/>
        <w:rPr>
          <w:rFonts w:ascii="宋体" w:hAnsi="宋体"/>
          <w:bCs/>
          <w:color w:val="auto"/>
          <w:szCs w:val="21"/>
        </w:rPr>
      </w:pPr>
      <w:r>
        <w:rPr>
          <w:rFonts w:hint="eastAsia" w:ascii="宋体" w:hAnsi="宋体"/>
          <w:bCs/>
          <w:color w:val="auto"/>
          <w:szCs w:val="21"/>
        </w:rPr>
        <w:t>服务地点及内容</w:t>
      </w:r>
    </w:p>
    <w:p>
      <w:pPr>
        <w:spacing w:line="360" w:lineRule="auto"/>
        <w:rPr>
          <w:rFonts w:ascii="宋体" w:hAnsi="宋体"/>
          <w:bCs/>
          <w:color w:val="auto"/>
          <w:szCs w:val="21"/>
        </w:rPr>
      </w:pPr>
      <w:r>
        <w:rPr>
          <w:rFonts w:hint="eastAsia" w:ascii="宋体" w:hAnsi="宋体"/>
          <w:bCs/>
          <w:color w:val="auto"/>
          <w:szCs w:val="21"/>
        </w:rPr>
        <w:t>服务地点：</w:t>
      </w:r>
      <w:r>
        <w:rPr>
          <w:rFonts w:hint="eastAsia" w:ascii="宋体" w:hAnsi="宋体"/>
          <w:bCs/>
          <w:color w:val="auto"/>
          <w:szCs w:val="21"/>
          <w:u w:val="single"/>
        </w:rPr>
        <w:t xml:space="preserve">                              </w:t>
      </w:r>
      <w:r>
        <w:rPr>
          <w:rFonts w:hint="eastAsia" w:ascii="宋体" w:hAnsi="宋体"/>
          <w:bCs/>
          <w:color w:val="auto"/>
          <w:szCs w:val="21"/>
        </w:rPr>
        <w:t xml:space="preserve">                                          </w:t>
      </w:r>
    </w:p>
    <w:p>
      <w:pPr>
        <w:spacing w:line="360" w:lineRule="auto"/>
        <w:rPr>
          <w:rFonts w:ascii="宋体" w:hAnsi="宋体"/>
          <w:bCs/>
          <w:color w:val="auto"/>
          <w:szCs w:val="21"/>
        </w:rPr>
      </w:pPr>
      <w:r>
        <w:rPr>
          <w:rFonts w:hint="eastAsia" w:ascii="宋体" w:hAnsi="宋体"/>
          <w:bCs/>
          <w:color w:val="auto"/>
          <w:szCs w:val="21"/>
        </w:rPr>
        <w:t>服务内容：</w:t>
      </w:r>
      <w:r>
        <w:rPr>
          <w:rFonts w:hint="eastAsia" w:ascii="宋体" w:hAnsi="宋体"/>
          <w:bCs/>
          <w:color w:val="auto"/>
          <w:szCs w:val="21"/>
          <w:u w:val="single"/>
        </w:rPr>
        <w:t xml:space="preserve">                              </w:t>
      </w:r>
      <w:r>
        <w:rPr>
          <w:rFonts w:hint="eastAsia" w:ascii="宋体" w:hAnsi="宋体"/>
          <w:bCs/>
          <w:color w:val="auto"/>
          <w:szCs w:val="21"/>
        </w:rPr>
        <w:t xml:space="preserve">                                          </w:t>
      </w:r>
    </w:p>
    <w:p>
      <w:pPr>
        <w:spacing w:line="360" w:lineRule="auto"/>
        <w:rPr>
          <w:rFonts w:ascii="宋体" w:hAnsi="宋体"/>
          <w:bCs/>
          <w:color w:val="auto"/>
          <w:szCs w:val="21"/>
        </w:rPr>
      </w:pPr>
      <w:r>
        <w:rPr>
          <w:rFonts w:hint="eastAsia" w:ascii="宋体" w:hAnsi="宋体"/>
          <w:bCs/>
          <w:color w:val="auto"/>
          <w:szCs w:val="21"/>
        </w:rPr>
        <w:t>8、合同生效及其它</w:t>
      </w:r>
    </w:p>
    <w:p>
      <w:pPr>
        <w:spacing w:line="360" w:lineRule="auto"/>
        <w:rPr>
          <w:rFonts w:ascii="宋体" w:hAnsi="宋体"/>
          <w:bCs/>
          <w:color w:val="auto"/>
          <w:szCs w:val="21"/>
        </w:rPr>
      </w:pPr>
      <w:r>
        <w:rPr>
          <w:rFonts w:hint="eastAsia" w:ascii="宋体" w:hAnsi="宋体"/>
          <w:bCs/>
          <w:color w:val="auto"/>
          <w:szCs w:val="21"/>
        </w:rPr>
        <w:t>本合同一式伍份，经甲乙双方法定代表人（负责人）或委托代理人签字并加盖公章后生效。甲乙双方各执二份，采购代理机构执一份。</w:t>
      </w:r>
    </w:p>
    <w:p>
      <w:pPr>
        <w:spacing w:line="360" w:lineRule="auto"/>
        <w:rPr>
          <w:rFonts w:ascii="宋体" w:hAnsi="宋体"/>
          <w:b/>
          <w:color w:val="auto"/>
          <w:szCs w:val="21"/>
        </w:rPr>
      </w:pPr>
    </w:p>
    <w:p>
      <w:pPr>
        <w:spacing w:line="360" w:lineRule="auto"/>
        <w:rPr>
          <w:rFonts w:ascii="宋体" w:hAnsi="宋体"/>
          <w:bCs/>
          <w:color w:val="auto"/>
          <w:szCs w:val="21"/>
        </w:rPr>
      </w:pPr>
      <w:r>
        <w:rPr>
          <w:rFonts w:hint="eastAsia" w:ascii="宋体" w:hAnsi="宋体"/>
          <w:bCs/>
          <w:color w:val="auto"/>
          <w:szCs w:val="21"/>
        </w:rPr>
        <w:t>甲方名称及公章：                        乙方名称及公章：</w:t>
      </w:r>
    </w:p>
    <w:p>
      <w:pPr>
        <w:spacing w:line="360" w:lineRule="auto"/>
        <w:rPr>
          <w:rFonts w:ascii="宋体" w:hAnsi="宋体"/>
          <w:bCs/>
          <w:color w:val="auto"/>
          <w:szCs w:val="21"/>
        </w:rPr>
      </w:pPr>
      <w:r>
        <w:rPr>
          <w:rFonts w:hint="eastAsia" w:ascii="宋体" w:hAnsi="宋体"/>
          <w:bCs/>
          <w:color w:val="auto"/>
          <w:szCs w:val="21"/>
        </w:rPr>
        <w:t>法定代表人（负责人）：                            法定代表人（负责人）：</w:t>
      </w:r>
    </w:p>
    <w:p>
      <w:pPr>
        <w:spacing w:line="360" w:lineRule="auto"/>
        <w:rPr>
          <w:rFonts w:ascii="宋体" w:hAnsi="宋体"/>
          <w:bCs/>
          <w:color w:val="auto"/>
          <w:szCs w:val="21"/>
        </w:rPr>
      </w:pPr>
      <w:r>
        <w:rPr>
          <w:rFonts w:hint="eastAsia" w:ascii="宋体" w:hAnsi="宋体"/>
          <w:bCs/>
          <w:color w:val="auto"/>
          <w:szCs w:val="21"/>
        </w:rPr>
        <w:t>或委托代理人：                          或委托代理人：</w:t>
      </w:r>
    </w:p>
    <w:p>
      <w:pPr>
        <w:spacing w:line="360" w:lineRule="auto"/>
        <w:rPr>
          <w:rFonts w:ascii="宋体" w:hAnsi="宋体"/>
          <w:bCs/>
          <w:color w:val="auto"/>
          <w:szCs w:val="21"/>
        </w:rPr>
      </w:pPr>
      <w:r>
        <w:rPr>
          <w:rFonts w:hint="eastAsia" w:ascii="宋体" w:hAnsi="宋体"/>
          <w:bCs/>
          <w:color w:val="auto"/>
          <w:szCs w:val="21"/>
        </w:rPr>
        <w:t>地    址：                              地    址：</w:t>
      </w:r>
    </w:p>
    <w:p>
      <w:pPr>
        <w:spacing w:line="360" w:lineRule="auto"/>
        <w:rPr>
          <w:rFonts w:ascii="宋体" w:hAnsi="宋体"/>
          <w:bCs/>
          <w:color w:val="auto"/>
          <w:szCs w:val="21"/>
        </w:rPr>
      </w:pPr>
      <w:r>
        <w:rPr>
          <w:rFonts w:hint="eastAsia" w:ascii="宋体" w:hAnsi="宋体"/>
          <w:bCs/>
          <w:color w:val="auto"/>
          <w:szCs w:val="21"/>
        </w:rPr>
        <w:t>联系电话：                              联系电话：</w:t>
      </w:r>
    </w:p>
    <w:p>
      <w:pPr>
        <w:spacing w:line="360" w:lineRule="auto"/>
        <w:rPr>
          <w:rFonts w:ascii="宋体" w:hAnsi="宋体"/>
          <w:bCs/>
          <w:color w:val="auto"/>
          <w:szCs w:val="21"/>
        </w:rPr>
      </w:pPr>
      <w:r>
        <w:rPr>
          <w:rFonts w:hint="eastAsia" w:ascii="宋体" w:hAnsi="宋体"/>
          <w:bCs/>
          <w:color w:val="auto"/>
          <w:szCs w:val="21"/>
        </w:rPr>
        <w:t xml:space="preserve">                                        开户名称：</w:t>
      </w:r>
    </w:p>
    <w:p>
      <w:pPr>
        <w:spacing w:line="360" w:lineRule="auto"/>
        <w:rPr>
          <w:rFonts w:ascii="宋体" w:hAnsi="宋体"/>
          <w:bCs/>
          <w:color w:val="auto"/>
          <w:szCs w:val="21"/>
        </w:rPr>
      </w:pPr>
      <w:r>
        <w:rPr>
          <w:rFonts w:hint="eastAsia" w:ascii="宋体" w:hAnsi="宋体"/>
          <w:bCs/>
          <w:color w:val="auto"/>
          <w:szCs w:val="21"/>
        </w:rPr>
        <w:t xml:space="preserve">                                        开户银行：</w:t>
      </w:r>
    </w:p>
    <w:p>
      <w:pPr>
        <w:spacing w:line="360" w:lineRule="auto"/>
        <w:rPr>
          <w:rFonts w:ascii="宋体" w:hAnsi="宋体"/>
          <w:bCs/>
          <w:color w:val="auto"/>
          <w:szCs w:val="21"/>
        </w:rPr>
      </w:pPr>
      <w:r>
        <w:rPr>
          <w:rFonts w:hint="eastAsia" w:ascii="宋体" w:hAnsi="宋体"/>
          <w:bCs/>
          <w:color w:val="auto"/>
          <w:szCs w:val="21"/>
        </w:rPr>
        <w:t xml:space="preserve">                                        银行帐号：</w:t>
      </w: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合同签订时间：</w:t>
      </w:r>
    </w:p>
    <w:p>
      <w:pPr>
        <w:spacing w:line="360" w:lineRule="auto"/>
        <w:rPr>
          <w:rFonts w:ascii="宋体" w:hAnsi="宋体"/>
          <w:bCs/>
          <w:color w:val="auto"/>
          <w:szCs w:val="21"/>
        </w:rPr>
      </w:pPr>
      <w:r>
        <w:rPr>
          <w:rFonts w:hint="eastAsia" w:ascii="宋体" w:hAnsi="宋体"/>
          <w:bCs/>
          <w:color w:val="auto"/>
          <w:szCs w:val="21"/>
        </w:rPr>
        <w:t>合同签订地点：</w:t>
      </w: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jc w:val="center"/>
        <w:rPr>
          <w:rFonts w:ascii="宋体" w:hAnsi="宋体"/>
          <w:b/>
          <w:color w:val="auto"/>
          <w:szCs w:val="21"/>
        </w:rPr>
      </w:pPr>
      <w:r>
        <w:rPr>
          <w:rFonts w:hint="eastAsia" w:ascii="宋体" w:hAnsi="宋体"/>
          <w:b/>
          <w:color w:val="auto"/>
          <w:szCs w:val="21"/>
        </w:rPr>
        <w:br w:type="page"/>
      </w:r>
      <w:bookmarkStart w:id="116" w:name="_Toc413660089"/>
      <w:r>
        <w:rPr>
          <w:rFonts w:hint="eastAsia" w:ascii="宋体" w:hAnsi="宋体"/>
          <w:b/>
          <w:color w:val="auto"/>
          <w:sz w:val="24"/>
        </w:rPr>
        <w:tab/>
      </w:r>
      <w:r>
        <w:rPr>
          <w:rFonts w:hint="eastAsia" w:ascii="宋体" w:hAnsi="宋体"/>
          <w:b/>
          <w:color w:val="auto"/>
          <w:sz w:val="24"/>
        </w:rPr>
        <w:t>合同基本条款</w:t>
      </w:r>
      <w:bookmarkEnd w:id="116"/>
    </w:p>
    <w:p>
      <w:pPr>
        <w:spacing w:line="360" w:lineRule="auto"/>
        <w:rPr>
          <w:rFonts w:ascii="宋体" w:hAnsi="宋体"/>
          <w:b/>
          <w:color w:val="auto"/>
          <w:szCs w:val="21"/>
        </w:rPr>
      </w:pPr>
      <w:r>
        <w:rPr>
          <w:rFonts w:hint="eastAsia" w:ascii="宋体" w:hAnsi="宋体"/>
          <w:b/>
          <w:color w:val="auto"/>
          <w:szCs w:val="21"/>
        </w:rPr>
        <w:t>一 、说   明</w:t>
      </w:r>
    </w:p>
    <w:p>
      <w:pPr>
        <w:spacing w:line="360" w:lineRule="auto"/>
        <w:rPr>
          <w:rFonts w:ascii="宋体" w:hAnsi="宋体"/>
          <w:b/>
          <w:color w:val="auto"/>
          <w:szCs w:val="21"/>
        </w:rPr>
      </w:pPr>
      <w:r>
        <w:rPr>
          <w:rFonts w:hint="eastAsia" w:ascii="宋体" w:hAnsi="宋体"/>
          <w:b/>
          <w:color w:val="auto"/>
          <w:szCs w:val="21"/>
        </w:rPr>
        <w:t>1.1合同基本条款是指买方（以下简称甲方）和成交供应商（以下简称乙方）应共同遵守的基本原则,并做为双方签约的依据。对于合同的其他条款，双方应本着互谅互让的精神，在谈判中协商解决。</w:t>
      </w:r>
    </w:p>
    <w:p>
      <w:pPr>
        <w:spacing w:line="360" w:lineRule="auto"/>
        <w:rPr>
          <w:rFonts w:ascii="宋体" w:hAnsi="宋体"/>
          <w:b/>
          <w:color w:val="auto"/>
          <w:szCs w:val="21"/>
        </w:rPr>
      </w:pPr>
      <w:r>
        <w:rPr>
          <w:rFonts w:hint="eastAsia" w:ascii="宋体" w:hAnsi="宋体"/>
          <w:b/>
          <w:color w:val="auto"/>
          <w:szCs w:val="21"/>
        </w:rPr>
        <w:t>二 、服务条款</w:t>
      </w:r>
    </w:p>
    <w:p>
      <w:pPr>
        <w:spacing w:line="360" w:lineRule="auto"/>
        <w:rPr>
          <w:rFonts w:ascii="宋体" w:hAnsi="宋体"/>
          <w:bCs/>
          <w:color w:val="auto"/>
          <w:szCs w:val="21"/>
        </w:rPr>
      </w:pPr>
      <w:r>
        <w:rPr>
          <w:rFonts w:hint="eastAsia" w:ascii="宋体" w:hAnsi="宋体"/>
          <w:bCs/>
          <w:color w:val="auto"/>
          <w:szCs w:val="21"/>
        </w:rPr>
        <w:t>2.1甲、乙双方应将竞争性磋商文件、响应文件及磋商小组确认的服务内容、技术要求和售后服务内容等作为本条款的基础。</w:t>
      </w:r>
    </w:p>
    <w:p>
      <w:pPr>
        <w:spacing w:line="360" w:lineRule="auto"/>
        <w:rPr>
          <w:rFonts w:ascii="宋体" w:hAnsi="宋体"/>
          <w:b/>
          <w:color w:val="auto"/>
          <w:szCs w:val="21"/>
        </w:rPr>
      </w:pPr>
      <w:r>
        <w:rPr>
          <w:rFonts w:hint="eastAsia" w:ascii="宋体" w:hAnsi="宋体"/>
          <w:b/>
          <w:color w:val="auto"/>
          <w:szCs w:val="21"/>
        </w:rPr>
        <w:t>三、服务质量要求及乙方对质量负责条件和期限</w:t>
      </w:r>
    </w:p>
    <w:p>
      <w:pPr>
        <w:spacing w:line="360" w:lineRule="auto"/>
        <w:rPr>
          <w:rFonts w:ascii="宋体" w:hAnsi="宋体"/>
          <w:bCs/>
          <w:color w:val="auto"/>
          <w:szCs w:val="21"/>
        </w:rPr>
      </w:pPr>
      <w:r>
        <w:rPr>
          <w:rFonts w:hint="eastAsia" w:ascii="宋体" w:hAnsi="宋体"/>
          <w:bCs/>
          <w:color w:val="auto"/>
          <w:szCs w:val="21"/>
        </w:rPr>
        <w:t>3.1乙方应按竞争性磋商文件规定的时间向甲方提供相关服务等有关的技术文件资料。</w:t>
      </w:r>
    </w:p>
    <w:p>
      <w:pPr>
        <w:spacing w:line="360" w:lineRule="auto"/>
        <w:rPr>
          <w:rFonts w:ascii="宋体" w:hAnsi="宋体"/>
          <w:bCs/>
          <w:color w:val="auto"/>
          <w:szCs w:val="21"/>
        </w:rPr>
      </w:pPr>
      <w:r>
        <w:rPr>
          <w:rFonts w:hint="eastAsia" w:ascii="宋体" w:hAnsi="宋体"/>
          <w:bCs/>
          <w:color w:val="auto"/>
          <w:szCs w:val="21"/>
        </w:rPr>
        <w:t>3.2乙方提供的服务应符合国家标准以及行业相关标准。</w:t>
      </w:r>
    </w:p>
    <w:p>
      <w:pPr>
        <w:spacing w:line="360" w:lineRule="auto"/>
        <w:rPr>
          <w:rFonts w:ascii="宋体" w:hAnsi="宋体"/>
          <w:b/>
          <w:color w:val="auto"/>
          <w:szCs w:val="21"/>
        </w:rPr>
      </w:pPr>
      <w:r>
        <w:rPr>
          <w:rFonts w:hint="eastAsia" w:ascii="宋体" w:hAnsi="宋体"/>
          <w:b/>
          <w:color w:val="auto"/>
          <w:szCs w:val="21"/>
        </w:rPr>
        <w:t>四、服务质量保证</w:t>
      </w:r>
    </w:p>
    <w:p>
      <w:pPr>
        <w:spacing w:line="360" w:lineRule="auto"/>
        <w:rPr>
          <w:rFonts w:ascii="宋体" w:hAnsi="宋体"/>
          <w:bCs/>
          <w:color w:val="auto"/>
          <w:szCs w:val="21"/>
        </w:rPr>
      </w:pPr>
      <w:r>
        <w:rPr>
          <w:rFonts w:hint="eastAsia" w:ascii="宋体" w:hAnsi="宋体"/>
          <w:bCs/>
          <w:color w:val="auto"/>
          <w:szCs w:val="21"/>
        </w:rPr>
        <w:t>4.1乙方应按竞争性磋商文件规定的服务内容及要求向甲方提供相关服务工作。</w:t>
      </w:r>
    </w:p>
    <w:p>
      <w:pPr>
        <w:spacing w:line="360" w:lineRule="auto"/>
        <w:rPr>
          <w:rFonts w:ascii="宋体" w:hAnsi="宋体"/>
          <w:bCs/>
          <w:color w:val="auto"/>
          <w:szCs w:val="21"/>
        </w:rPr>
      </w:pPr>
      <w:r>
        <w:rPr>
          <w:rFonts w:hint="eastAsia" w:ascii="宋体" w:hAnsi="宋体"/>
          <w:bCs/>
          <w:color w:val="auto"/>
          <w:szCs w:val="21"/>
        </w:rPr>
        <w:t>4.2如在服务起止时间内发生质量问题，乙方在接到甲方通知按</w:t>
      </w:r>
      <w:r>
        <w:rPr>
          <w:rFonts w:hint="eastAsia" w:ascii="宋体" w:hAnsi="宋体"/>
          <w:bCs/>
          <w:color w:val="auto"/>
          <w:szCs w:val="21"/>
          <w:u w:val="single"/>
        </w:rPr>
        <w:t>响应文件或磋商最终承诺时间</w:t>
      </w:r>
      <w:r>
        <w:rPr>
          <w:rFonts w:hint="eastAsia" w:ascii="宋体" w:hAnsi="宋体"/>
          <w:bCs/>
          <w:color w:val="auto"/>
          <w:szCs w:val="21"/>
        </w:rPr>
        <w:t>到达甲方现场。</w:t>
      </w:r>
    </w:p>
    <w:p>
      <w:pPr>
        <w:spacing w:line="360" w:lineRule="auto"/>
        <w:rPr>
          <w:rFonts w:ascii="宋体" w:hAnsi="宋体"/>
          <w:bCs/>
          <w:color w:val="auto"/>
          <w:szCs w:val="21"/>
        </w:rPr>
      </w:pPr>
      <w:r>
        <w:rPr>
          <w:rFonts w:hint="eastAsia" w:ascii="宋体" w:hAnsi="宋体"/>
          <w:bCs/>
          <w:color w:val="auto"/>
          <w:szCs w:val="21"/>
        </w:rPr>
        <w:t>4.3在服务起止时间内，乙方应对服务质量及安全问题负责处理解决。</w:t>
      </w:r>
    </w:p>
    <w:p>
      <w:pPr>
        <w:spacing w:line="360" w:lineRule="auto"/>
        <w:rPr>
          <w:rFonts w:ascii="宋体" w:hAnsi="宋体"/>
          <w:b/>
          <w:color w:val="auto"/>
          <w:szCs w:val="21"/>
        </w:rPr>
      </w:pPr>
      <w:r>
        <w:rPr>
          <w:rFonts w:hint="eastAsia" w:ascii="宋体" w:hAnsi="宋体"/>
          <w:b/>
          <w:color w:val="auto"/>
          <w:szCs w:val="21"/>
        </w:rPr>
        <w:t>五、验  收</w:t>
      </w:r>
    </w:p>
    <w:p>
      <w:pPr>
        <w:spacing w:line="360" w:lineRule="auto"/>
        <w:rPr>
          <w:rFonts w:ascii="宋体" w:hAnsi="宋体"/>
          <w:bCs/>
          <w:color w:val="auto"/>
          <w:szCs w:val="21"/>
        </w:rPr>
      </w:pPr>
      <w:r>
        <w:rPr>
          <w:rFonts w:hint="eastAsia" w:ascii="宋体" w:hAnsi="宋体"/>
          <w:bCs/>
          <w:color w:val="auto"/>
          <w:szCs w:val="21"/>
        </w:rPr>
        <w:t>5.1乙方在提供服务前应对服务项目作出全面检查和对验收文件进行整理列出清单，作为甲方验收和使用的技术条件依据，检验的结果应按要求交甲方。</w:t>
      </w:r>
    </w:p>
    <w:p>
      <w:pPr>
        <w:spacing w:line="360" w:lineRule="auto"/>
        <w:rPr>
          <w:rFonts w:ascii="宋体" w:hAnsi="宋体"/>
          <w:bCs/>
          <w:color w:val="auto"/>
          <w:szCs w:val="21"/>
        </w:rPr>
      </w:pPr>
      <w:r>
        <w:rPr>
          <w:rFonts w:hint="eastAsia" w:ascii="宋体" w:hAnsi="宋体"/>
          <w:bCs/>
          <w:color w:val="auto"/>
          <w:szCs w:val="21"/>
        </w:rPr>
        <w:t>5.2甲方对乙方所提供的服务依照竞争性磋商文件上的服务内容及要求和国家有关标准进行现场验收，性能达到技术要求的，给予签收。验收不合格的不予签收，后果由乙方负责。</w:t>
      </w:r>
    </w:p>
    <w:p>
      <w:pPr>
        <w:spacing w:line="360" w:lineRule="auto"/>
        <w:rPr>
          <w:rFonts w:ascii="宋体" w:hAnsi="宋体"/>
          <w:b/>
          <w:color w:val="auto"/>
          <w:szCs w:val="21"/>
        </w:rPr>
      </w:pPr>
      <w:r>
        <w:rPr>
          <w:rFonts w:hint="eastAsia" w:ascii="宋体" w:hAnsi="宋体"/>
          <w:b/>
          <w:color w:val="auto"/>
          <w:szCs w:val="21"/>
        </w:rPr>
        <w:t>六 、服务期及服务地点</w:t>
      </w:r>
    </w:p>
    <w:p>
      <w:pPr>
        <w:spacing w:line="360" w:lineRule="auto"/>
        <w:rPr>
          <w:rFonts w:ascii="宋体" w:hAnsi="宋体"/>
          <w:bCs/>
          <w:color w:val="auto"/>
          <w:szCs w:val="21"/>
        </w:rPr>
      </w:pPr>
      <w:r>
        <w:rPr>
          <w:rFonts w:hint="eastAsia" w:ascii="宋体" w:hAnsi="宋体"/>
          <w:bCs/>
          <w:color w:val="auto"/>
          <w:szCs w:val="21"/>
        </w:rPr>
        <w:t xml:space="preserve">6.1服务期：按《项目需求及要求》规定时间。 </w:t>
      </w:r>
    </w:p>
    <w:p>
      <w:pPr>
        <w:spacing w:line="360" w:lineRule="auto"/>
        <w:rPr>
          <w:rFonts w:ascii="宋体" w:hAnsi="宋体"/>
          <w:bCs/>
          <w:color w:val="auto"/>
          <w:szCs w:val="21"/>
        </w:rPr>
      </w:pPr>
      <w:r>
        <w:rPr>
          <w:rFonts w:hint="eastAsia" w:ascii="宋体" w:hAnsi="宋体"/>
          <w:bCs/>
          <w:color w:val="auto"/>
          <w:szCs w:val="21"/>
        </w:rPr>
        <w:t>6.2服务地点：按《项目需求及要求》规定地点。</w:t>
      </w:r>
    </w:p>
    <w:p>
      <w:pPr>
        <w:spacing w:line="360" w:lineRule="auto"/>
        <w:rPr>
          <w:rFonts w:ascii="宋体" w:hAnsi="宋体"/>
          <w:b/>
          <w:color w:val="auto"/>
          <w:szCs w:val="21"/>
        </w:rPr>
      </w:pPr>
      <w:r>
        <w:rPr>
          <w:rFonts w:hint="eastAsia" w:ascii="宋体" w:hAnsi="宋体"/>
          <w:b/>
          <w:color w:val="auto"/>
          <w:szCs w:val="21"/>
        </w:rPr>
        <w:t>七 、付款方式</w:t>
      </w:r>
    </w:p>
    <w:p>
      <w:pPr>
        <w:spacing w:line="360" w:lineRule="auto"/>
        <w:rPr>
          <w:rFonts w:ascii="宋体" w:hAnsi="宋体"/>
          <w:b/>
          <w:color w:val="auto"/>
          <w:szCs w:val="21"/>
        </w:rPr>
      </w:pPr>
      <w:r>
        <w:rPr>
          <w:rFonts w:hint="eastAsia" w:ascii="宋体" w:hAnsi="宋体"/>
          <w:b/>
          <w:color w:val="auto"/>
          <w:szCs w:val="21"/>
        </w:rPr>
        <w:t>7.1费用的支付:本项目在签订合同后</w:t>
      </w:r>
      <w:r>
        <w:rPr>
          <w:rFonts w:hint="eastAsia" w:ascii="宋体" w:hAnsi="宋体"/>
          <w:b/>
          <w:color w:val="auto"/>
          <w:szCs w:val="21"/>
          <w:lang w:val="en-US" w:eastAsia="zh-CN"/>
        </w:rPr>
        <w:t>10</w:t>
      </w:r>
      <w:r>
        <w:rPr>
          <w:rFonts w:hint="eastAsia" w:ascii="宋体" w:hAnsi="宋体"/>
          <w:b/>
          <w:color w:val="auto"/>
          <w:szCs w:val="21"/>
        </w:rPr>
        <w:t>个工作日内</w:t>
      </w:r>
      <w:r>
        <w:rPr>
          <w:rFonts w:hint="eastAsia" w:ascii="宋体" w:hAnsi="宋体"/>
          <w:b/>
          <w:color w:val="auto"/>
          <w:szCs w:val="21"/>
          <w:lang w:eastAsia="zh-CN"/>
        </w:rPr>
        <w:t>预</w:t>
      </w:r>
      <w:r>
        <w:rPr>
          <w:rFonts w:hint="eastAsia" w:ascii="宋体" w:hAnsi="宋体"/>
          <w:b/>
          <w:color w:val="auto"/>
          <w:szCs w:val="21"/>
        </w:rPr>
        <w:t>付成交金额的30%，成交金额的70%为</w:t>
      </w:r>
      <w:r>
        <w:rPr>
          <w:rFonts w:hint="eastAsia" w:ascii="宋体" w:hAnsi="宋体"/>
          <w:b/>
          <w:color w:val="auto"/>
          <w:szCs w:val="21"/>
          <w:lang w:eastAsia="zh-CN"/>
        </w:rPr>
        <w:t>成交供应商</w:t>
      </w:r>
      <w:r>
        <w:rPr>
          <w:rFonts w:hint="eastAsia" w:ascii="宋体" w:hAnsi="宋体"/>
          <w:b/>
          <w:color w:val="auto"/>
          <w:szCs w:val="21"/>
        </w:rPr>
        <w:t>设备进场后1个月内，由采购人一次性付清货款。付款前乙方先开具正式税务发票给采购人。</w:t>
      </w:r>
    </w:p>
    <w:p>
      <w:pPr>
        <w:spacing w:line="360" w:lineRule="auto"/>
        <w:rPr>
          <w:rFonts w:ascii="宋体" w:hAnsi="宋体"/>
          <w:b/>
          <w:color w:val="auto"/>
          <w:szCs w:val="21"/>
        </w:rPr>
      </w:pPr>
      <w:r>
        <w:rPr>
          <w:rFonts w:hint="eastAsia" w:ascii="宋体" w:hAnsi="宋体"/>
          <w:b/>
          <w:color w:val="auto"/>
          <w:szCs w:val="21"/>
        </w:rPr>
        <w:t>八、违约责任</w:t>
      </w:r>
    </w:p>
    <w:p>
      <w:pPr>
        <w:spacing w:line="360" w:lineRule="auto"/>
        <w:rPr>
          <w:rFonts w:ascii="宋体" w:hAnsi="宋体"/>
          <w:bCs/>
          <w:color w:val="auto"/>
          <w:szCs w:val="21"/>
        </w:rPr>
      </w:pPr>
      <w:r>
        <w:rPr>
          <w:rFonts w:hint="eastAsia" w:ascii="宋体" w:hAnsi="宋体"/>
          <w:bCs/>
          <w:color w:val="auto"/>
          <w:szCs w:val="21"/>
        </w:rPr>
        <w:t>8.1逾期提供服务或无正当理由拒绝的，违约方每天按合同额的1‰支付违约金。</w:t>
      </w:r>
    </w:p>
    <w:p>
      <w:pPr>
        <w:spacing w:line="360" w:lineRule="auto"/>
        <w:rPr>
          <w:rFonts w:ascii="宋体" w:hAnsi="宋体"/>
          <w:bCs/>
          <w:color w:val="auto"/>
          <w:szCs w:val="21"/>
        </w:rPr>
      </w:pPr>
      <w:r>
        <w:rPr>
          <w:rFonts w:hint="eastAsia" w:ascii="宋体" w:hAnsi="宋体"/>
          <w:bCs/>
          <w:color w:val="auto"/>
          <w:szCs w:val="21"/>
        </w:rPr>
        <w:t>8.2逾期超过10天仍不能提供服务的，甲方可解除双方的服务合同，造成甲方损失的，由乙方负责赔偿。</w:t>
      </w:r>
    </w:p>
    <w:p>
      <w:pPr>
        <w:spacing w:line="360" w:lineRule="auto"/>
        <w:rPr>
          <w:rFonts w:ascii="宋体" w:hAnsi="宋体"/>
          <w:bCs/>
          <w:color w:val="auto"/>
          <w:szCs w:val="21"/>
        </w:rPr>
      </w:pPr>
      <w:r>
        <w:rPr>
          <w:rFonts w:hint="eastAsia" w:ascii="宋体" w:hAnsi="宋体"/>
          <w:bCs/>
          <w:color w:val="auto"/>
          <w:szCs w:val="21"/>
        </w:rPr>
        <w:t>8.3其它未尽事宜，双方签订合同时按合同法议定。</w:t>
      </w:r>
    </w:p>
    <w:p>
      <w:pPr>
        <w:spacing w:line="360" w:lineRule="auto"/>
        <w:rPr>
          <w:rFonts w:ascii="宋体" w:hAnsi="宋体"/>
          <w:b/>
          <w:color w:val="auto"/>
          <w:szCs w:val="21"/>
        </w:rPr>
      </w:pPr>
      <w:r>
        <w:rPr>
          <w:rFonts w:hint="eastAsia" w:ascii="宋体" w:hAnsi="宋体"/>
          <w:b/>
          <w:color w:val="auto"/>
          <w:szCs w:val="21"/>
        </w:rPr>
        <w:t>九、不可抗力事件处理</w:t>
      </w:r>
    </w:p>
    <w:p>
      <w:pPr>
        <w:spacing w:line="360" w:lineRule="auto"/>
        <w:rPr>
          <w:rFonts w:ascii="宋体" w:hAnsi="宋体"/>
          <w:bCs/>
          <w:color w:val="auto"/>
          <w:szCs w:val="21"/>
        </w:rPr>
      </w:pPr>
      <w:r>
        <w:rPr>
          <w:rFonts w:hint="eastAsia" w:ascii="宋体" w:hAnsi="宋体"/>
          <w:bCs/>
          <w:color w:val="auto"/>
          <w:szCs w:val="21"/>
        </w:rPr>
        <w:t>9.1在合同有效期限内，任何一方因不可抗力事件导致不能按时履行合同，则合同履行期可延长，其延长期与不可抗力影响期相同。由于不可抗力事件导致合同的根本目的不能实现时，一方可解除合同。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rPr>
          <w:rFonts w:ascii="宋体" w:hAnsi="宋体"/>
          <w:bCs/>
          <w:color w:val="auto"/>
          <w:szCs w:val="21"/>
        </w:rPr>
      </w:pPr>
      <w:r>
        <w:rPr>
          <w:rFonts w:hint="eastAsia" w:ascii="宋体" w:hAnsi="宋体"/>
          <w:bCs/>
          <w:color w:val="auto"/>
          <w:szCs w:val="21"/>
        </w:rPr>
        <w:t>9.2不可抗力事件发生后，应立即通知对方，并寄送有关权威机构出具的证明。</w:t>
      </w:r>
    </w:p>
    <w:p>
      <w:pPr>
        <w:spacing w:line="360" w:lineRule="auto"/>
        <w:rPr>
          <w:rFonts w:ascii="宋体" w:hAnsi="宋体"/>
          <w:bCs/>
          <w:color w:val="auto"/>
          <w:szCs w:val="21"/>
        </w:rPr>
      </w:pPr>
      <w:r>
        <w:rPr>
          <w:rFonts w:hint="eastAsia" w:ascii="宋体" w:hAnsi="宋体"/>
          <w:bCs/>
          <w:color w:val="auto"/>
          <w:szCs w:val="21"/>
        </w:rPr>
        <w:t>9.3不可抗力事件延续120天以上，双方应通过友好协商，确定是否继续履行合同。</w:t>
      </w:r>
    </w:p>
    <w:p>
      <w:pPr>
        <w:spacing w:line="360" w:lineRule="auto"/>
        <w:rPr>
          <w:rFonts w:ascii="宋体" w:hAnsi="宋体"/>
          <w:b/>
          <w:color w:val="auto"/>
          <w:szCs w:val="21"/>
        </w:rPr>
      </w:pPr>
      <w:r>
        <w:rPr>
          <w:rFonts w:hint="eastAsia" w:ascii="宋体" w:hAnsi="宋体"/>
          <w:b/>
          <w:color w:val="auto"/>
          <w:szCs w:val="21"/>
        </w:rPr>
        <w:t>十、仲   裁</w:t>
      </w:r>
    </w:p>
    <w:p>
      <w:pPr>
        <w:spacing w:line="360" w:lineRule="auto"/>
        <w:rPr>
          <w:rFonts w:ascii="宋体" w:hAnsi="宋体"/>
          <w:bCs/>
          <w:color w:val="auto"/>
          <w:szCs w:val="21"/>
        </w:rPr>
      </w:pPr>
      <w:r>
        <w:rPr>
          <w:rFonts w:hint="eastAsia" w:ascii="宋体" w:hAnsi="宋体"/>
          <w:bCs/>
          <w:color w:val="auto"/>
          <w:szCs w:val="21"/>
        </w:rPr>
        <w:t>10.1双方在履行合同中所发生的一切争议，应通过协商解决。如协商不成，可向合同履行地仲裁机构申请仲裁或向法院起诉。</w:t>
      </w:r>
    </w:p>
    <w:p>
      <w:pPr>
        <w:spacing w:line="360" w:lineRule="auto"/>
        <w:rPr>
          <w:rFonts w:ascii="宋体" w:hAnsi="宋体"/>
          <w:b/>
          <w:color w:val="auto"/>
          <w:szCs w:val="21"/>
        </w:rPr>
      </w:pPr>
      <w:r>
        <w:rPr>
          <w:rFonts w:hint="eastAsia" w:ascii="宋体" w:hAnsi="宋体"/>
          <w:b/>
          <w:color w:val="auto"/>
          <w:szCs w:val="21"/>
        </w:rPr>
        <w:t>十一、合同生效及其它</w:t>
      </w:r>
    </w:p>
    <w:p>
      <w:pPr>
        <w:spacing w:line="360" w:lineRule="auto"/>
        <w:rPr>
          <w:rFonts w:ascii="宋体" w:hAnsi="宋体"/>
          <w:bCs/>
          <w:color w:val="auto"/>
          <w:szCs w:val="21"/>
        </w:rPr>
      </w:pPr>
      <w:r>
        <w:rPr>
          <w:rFonts w:hint="eastAsia" w:ascii="宋体" w:hAnsi="宋体"/>
          <w:bCs/>
          <w:color w:val="auto"/>
          <w:szCs w:val="21"/>
        </w:rPr>
        <w:t>11.1合同经双方法定代表人（负责人）或委托代理人签字并加盖单位公章后生效。</w:t>
      </w:r>
    </w:p>
    <w:p>
      <w:pPr>
        <w:spacing w:line="360" w:lineRule="auto"/>
        <w:rPr>
          <w:rFonts w:ascii="宋体" w:hAnsi="宋体"/>
          <w:bCs/>
          <w:color w:val="auto"/>
          <w:szCs w:val="21"/>
        </w:rPr>
      </w:pPr>
      <w:r>
        <w:rPr>
          <w:rFonts w:hint="eastAsia" w:ascii="宋体" w:hAnsi="宋体"/>
          <w:bCs/>
          <w:color w:val="auto"/>
          <w:szCs w:val="21"/>
        </w:rPr>
        <w:t>11.2合同履行中，如需修改或补充合同内容，由双方协商另签署书面修改或补充协议作为主合同不可分割的一部分。</w:t>
      </w:r>
    </w:p>
    <w:p>
      <w:pPr>
        <w:spacing w:line="360" w:lineRule="auto"/>
        <w:rPr>
          <w:rFonts w:ascii="宋体" w:hAnsi="宋体"/>
          <w:bCs/>
          <w:color w:val="auto"/>
          <w:szCs w:val="21"/>
        </w:rPr>
      </w:pPr>
      <w:r>
        <w:rPr>
          <w:rFonts w:hint="eastAsia" w:ascii="宋体" w:hAnsi="宋体"/>
          <w:bCs/>
          <w:color w:val="auto"/>
          <w:szCs w:val="21"/>
        </w:rPr>
        <w:t>11.3乙方必须自行为其提供产品侵犯其他专利人的专利成果承担相应法律责任，如因侵犯他人专利权造成甲方损失的，还应赔偿甲方损失</w:t>
      </w: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spacing w:line="360" w:lineRule="auto"/>
        <w:rPr>
          <w:rFonts w:ascii="宋体" w:hAnsi="宋体"/>
          <w:b/>
          <w:color w:val="auto"/>
          <w:sz w:val="28"/>
          <w:szCs w:val="28"/>
        </w:rPr>
      </w:pPr>
    </w:p>
    <w:p>
      <w:pPr>
        <w:pStyle w:val="24"/>
        <w:spacing w:line="420" w:lineRule="exact"/>
        <w:jc w:val="center"/>
        <w:rPr>
          <w:color w:val="auto"/>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rFonts w:hint="eastAsia"/>
          <w:color w:val="auto"/>
          <w:sz w:val="44"/>
          <w:szCs w:val="44"/>
        </w:rPr>
      </w:pPr>
    </w:p>
    <w:p>
      <w:pPr>
        <w:pStyle w:val="24"/>
        <w:spacing w:line="420" w:lineRule="exact"/>
        <w:jc w:val="center"/>
        <w:rPr>
          <w:color w:val="auto"/>
        </w:rPr>
      </w:pPr>
      <w:r>
        <w:rPr>
          <w:rFonts w:hint="eastAsia"/>
          <w:color w:val="auto"/>
          <w:sz w:val="44"/>
          <w:szCs w:val="44"/>
        </w:rPr>
        <w:t xml:space="preserve">第四章 </w:t>
      </w:r>
      <w:r>
        <w:rPr>
          <w:rFonts w:hint="eastAsia"/>
          <w:bCs/>
          <w:color w:val="auto"/>
          <w:kern w:val="44"/>
          <w:sz w:val="44"/>
          <w:szCs w:val="44"/>
        </w:rPr>
        <w:t>评定成交的</w:t>
      </w:r>
      <w:bookmarkStart w:id="117" w:name="_Toc419360969"/>
      <w:bookmarkStart w:id="118" w:name="_Toc495333094"/>
      <w:r>
        <w:rPr>
          <w:rFonts w:hint="eastAsia"/>
          <w:bCs/>
          <w:color w:val="auto"/>
          <w:kern w:val="44"/>
          <w:sz w:val="44"/>
          <w:szCs w:val="44"/>
        </w:rPr>
        <w:t>标准</w:t>
      </w:r>
      <w:bookmarkEnd w:id="115"/>
      <w:bookmarkEnd w:id="117"/>
      <w:bookmarkEnd w:id="118"/>
    </w:p>
    <w:p>
      <w:pPr>
        <w:rPr>
          <w:color w:val="auto"/>
        </w:rPr>
      </w:pPr>
    </w:p>
    <w:p>
      <w:pPr>
        <w:jc w:val="center"/>
        <w:rPr>
          <w:b/>
          <w:bCs/>
          <w:color w:val="auto"/>
          <w:kern w:val="44"/>
          <w:sz w:val="36"/>
          <w:szCs w:val="36"/>
        </w:rPr>
      </w:pPr>
      <w:r>
        <w:rPr>
          <w:rFonts w:hint="eastAsia"/>
          <w:b/>
          <w:color w:val="auto"/>
          <w:sz w:val="36"/>
          <w:szCs w:val="36"/>
        </w:rPr>
        <w:t>评标办法及评分标准</w:t>
      </w:r>
    </w:p>
    <w:p>
      <w:pPr>
        <w:pStyle w:val="24"/>
        <w:spacing w:line="420" w:lineRule="exact"/>
        <w:ind w:firstLine="420" w:firstLineChars="200"/>
        <w:rPr>
          <w:bCs/>
          <w:color w:val="auto"/>
        </w:rPr>
      </w:pPr>
      <w:r>
        <w:rPr>
          <w:rFonts w:hint="eastAsia"/>
          <w:bCs/>
          <w:color w:val="auto"/>
        </w:rPr>
        <w:t>一、评审依据及方式</w:t>
      </w:r>
    </w:p>
    <w:p>
      <w:pPr>
        <w:pStyle w:val="24"/>
        <w:spacing w:line="420" w:lineRule="exact"/>
        <w:ind w:firstLine="420" w:firstLineChars="200"/>
        <w:rPr>
          <w:bCs/>
          <w:color w:val="auto"/>
        </w:rPr>
      </w:pPr>
      <w:r>
        <w:rPr>
          <w:rFonts w:hint="eastAsia"/>
          <w:bCs/>
          <w:color w:val="auto"/>
        </w:rPr>
        <w:t>1、评审依据：磋商小组以竞争性磋商文件和响应文件为评标依据，对供应商的最后报价、技术方案、项目实施方案、</w:t>
      </w:r>
      <w:r>
        <w:rPr>
          <w:rFonts w:hint="eastAsia" w:hAnsi="宋体" w:cs="宋体"/>
          <w:bCs/>
          <w:color w:val="auto"/>
        </w:rPr>
        <w:t>售后服务方案</w:t>
      </w:r>
      <w:r>
        <w:rPr>
          <w:rFonts w:hint="eastAsia"/>
          <w:bCs/>
          <w:color w:val="auto"/>
        </w:rPr>
        <w:t>等方面内容按百分制打分。</w:t>
      </w:r>
    </w:p>
    <w:p>
      <w:pPr>
        <w:pStyle w:val="24"/>
        <w:spacing w:line="420" w:lineRule="exact"/>
        <w:ind w:firstLine="420" w:firstLineChars="200"/>
        <w:rPr>
          <w:bCs/>
          <w:color w:val="auto"/>
        </w:rPr>
      </w:pPr>
      <w:r>
        <w:rPr>
          <w:rFonts w:hint="eastAsia"/>
          <w:bCs/>
          <w:color w:val="auto"/>
        </w:rPr>
        <w:t>2、评审方式：以封闭方式进行评标。</w:t>
      </w:r>
    </w:p>
    <w:p>
      <w:pPr>
        <w:pStyle w:val="24"/>
        <w:spacing w:line="420" w:lineRule="exact"/>
        <w:ind w:firstLine="420" w:firstLineChars="200"/>
        <w:rPr>
          <w:bCs/>
          <w:color w:val="auto"/>
        </w:rPr>
      </w:pPr>
      <w:r>
        <w:rPr>
          <w:rFonts w:hint="eastAsia"/>
          <w:bCs/>
          <w:color w:val="auto"/>
        </w:rPr>
        <w:t>3、根据中华人民共和国政府采购法的相关规定，采购人和采购代理机构，磋商小组成员要严格遵守政府采购相关法律制度，依法履行各自职责，公正、客观、审慎地组织和参与评审工作。</w:t>
      </w:r>
    </w:p>
    <w:p>
      <w:pPr>
        <w:pStyle w:val="24"/>
        <w:spacing w:line="420" w:lineRule="exact"/>
        <w:ind w:firstLine="420" w:firstLineChars="200"/>
        <w:rPr>
          <w:bCs/>
          <w:color w:val="auto"/>
        </w:rPr>
      </w:pPr>
      <w:r>
        <w:rPr>
          <w:rFonts w:hint="eastAsia"/>
          <w:bCs/>
          <w:color w:val="auto"/>
        </w:rPr>
        <w:t>二、评审办法</w:t>
      </w:r>
    </w:p>
    <w:p>
      <w:pPr>
        <w:pStyle w:val="24"/>
        <w:spacing w:line="420" w:lineRule="exact"/>
        <w:ind w:firstLine="420" w:firstLineChars="200"/>
        <w:rPr>
          <w:bCs/>
          <w:color w:val="auto"/>
        </w:rPr>
      </w:pPr>
      <w:r>
        <w:rPr>
          <w:rFonts w:hint="eastAsia"/>
          <w:bCs/>
          <w:color w:val="auto"/>
        </w:rPr>
        <w:t>（一）对进入详评的，采用综合评分法。</w:t>
      </w:r>
    </w:p>
    <w:p>
      <w:pPr>
        <w:pStyle w:val="24"/>
        <w:spacing w:line="420" w:lineRule="exact"/>
        <w:ind w:firstLine="420" w:firstLineChars="200"/>
        <w:rPr>
          <w:bCs/>
          <w:color w:val="auto"/>
        </w:rPr>
      </w:pPr>
      <w:r>
        <w:rPr>
          <w:rFonts w:hint="eastAsia"/>
          <w:bCs/>
          <w:color w:val="auto"/>
        </w:rPr>
        <w:t>（二）计分办法（按四舍五入取至小数点后二位）</w:t>
      </w:r>
    </w:p>
    <w:p>
      <w:pPr>
        <w:pStyle w:val="24"/>
        <w:spacing w:line="400" w:lineRule="exact"/>
        <w:ind w:firstLine="420" w:firstLineChars="200"/>
        <w:outlineLvl w:val="0"/>
        <w:rPr>
          <w:rFonts w:hAnsi="宋体" w:cs="宋体"/>
          <w:bCs/>
          <w:color w:val="auto"/>
        </w:rPr>
      </w:pPr>
      <w:r>
        <w:rPr>
          <w:rFonts w:hint="eastAsia" w:hAnsi="宋体" w:cs="宋体"/>
          <w:bCs/>
          <w:color w:val="auto"/>
        </w:rPr>
        <w:t>1、价格分…………………………………………………………（满分10分）</w:t>
      </w:r>
    </w:p>
    <w:p>
      <w:pPr>
        <w:pStyle w:val="24"/>
        <w:spacing w:line="400" w:lineRule="exact"/>
        <w:ind w:firstLine="420" w:firstLineChars="200"/>
        <w:rPr>
          <w:rFonts w:hAnsi="宋体" w:cs="宋体"/>
          <w:bCs/>
          <w:color w:val="auto"/>
        </w:rPr>
      </w:pPr>
      <w:r>
        <w:rPr>
          <w:rFonts w:hint="eastAsia" w:hAnsi="宋体" w:cs="宋体"/>
          <w:bCs/>
          <w:color w:val="auto"/>
        </w:rPr>
        <w:t>（1）以进入综合评分环节的最低的评标报价为基准价，基准价报价得分为10分。</w:t>
      </w:r>
    </w:p>
    <w:p>
      <w:pPr>
        <w:pStyle w:val="24"/>
        <w:spacing w:line="400" w:lineRule="exact"/>
        <w:ind w:firstLine="420" w:firstLineChars="200"/>
        <w:rPr>
          <w:rFonts w:hAnsi="宋体" w:cs="宋体"/>
          <w:bCs/>
          <w:color w:val="auto"/>
        </w:rPr>
      </w:pPr>
      <w:r>
        <w:rPr>
          <w:rFonts w:hint="eastAsia" w:hAnsi="宋体" w:cs="宋体"/>
          <w:bCs/>
          <w:color w:val="auto"/>
        </w:rPr>
        <w:t>(2)按照《政府采购促进中小企业发展暂行办法》（财库[2011]181号）之规定，投标人为小型和微型企业，且其所投标产品为小型和微型企业产品的，在其投标文件中提供投标人《中小企业声明函》和相关职能部门出具的证明材料，以及投标产品生产企业具有相关职能部门出具的证明材料（投标文件递交截止时间前提交相关职能部门出具的证明材料原件给评标委员会验证，否则不予价格扣除），对其投标价格给予10%的扣除。</w:t>
      </w:r>
    </w:p>
    <w:p>
      <w:pPr>
        <w:pStyle w:val="24"/>
        <w:spacing w:line="400" w:lineRule="exact"/>
        <w:ind w:firstLine="420" w:firstLineChars="200"/>
        <w:rPr>
          <w:rFonts w:hAnsi="宋体" w:cs="宋体"/>
          <w:bCs/>
          <w:color w:val="auto"/>
        </w:rPr>
      </w:pPr>
      <w:r>
        <w:rPr>
          <w:rFonts w:hint="eastAsia" w:hAnsi="宋体" w:cs="宋体"/>
          <w:bCs/>
          <w:color w:val="auto"/>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复印件。</w:t>
      </w:r>
    </w:p>
    <w:p>
      <w:pPr>
        <w:pStyle w:val="24"/>
        <w:spacing w:line="400" w:lineRule="exact"/>
        <w:ind w:firstLine="420" w:firstLineChars="200"/>
        <w:rPr>
          <w:rFonts w:hAnsi="宋体" w:cs="宋体"/>
          <w:bCs/>
          <w:color w:val="auto"/>
        </w:rPr>
      </w:pPr>
      <w:r>
        <w:rPr>
          <w:rFonts w:hint="eastAsia" w:hAnsi="宋体" w:cs="宋体"/>
          <w:bCs/>
          <w:color w:val="auto"/>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投标人须在投标文件中提供《残疾人福利性单位声明函》（按第六章要求格式填写），否则不予价格扣除；并随中标结果同时公告其《残疾人福利性单位声明函》，接受社会监督。投标人提供的《残疾人福利性单位声明函》与事实不符的，依照《政府采购法》第七十七条第一款的规定追究法律责任]</w:t>
      </w:r>
    </w:p>
    <w:p>
      <w:pPr>
        <w:pStyle w:val="24"/>
        <w:spacing w:line="400" w:lineRule="exact"/>
        <w:ind w:firstLine="420" w:firstLineChars="200"/>
        <w:rPr>
          <w:rFonts w:hAnsi="宋体" w:cs="宋体"/>
          <w:bCs/>
          <w:color w:val="auto"/>
        </w:rPr>
      </w:pPr>
      <w:r>
        <w:rPr>
          <w:rFonts w:hint="eastAsia" w:hAnsi="宋体" w:cs="宋体"/>
          <w:bCs/>
          <w:color w:val="auto"/>
        </w:rPr>
        <w:t>（3）政策性扣除计算方法。</w:t>
      </w:r>
    </w:p>
    <w:p>
      <w:pPr>
        <w:pStyle w:val="24"/>
        <w:spacing w:line="400" w:lineRule="exact"/>
        <w:ind w:firstLine="420" w:firstLineChars="200"/>
        <w:rPr>
          <w:rFonts w:hAnsi="宋体" w:cs="宋体"/>
          <w:bCs/>
          <w:color w:val="auto"/>
        </w:rPr>
      </w:pPr>
      <w:r>
        <w:rPr>
          <w:rFonts w:hint="eastAsia" w:hAnsi="宋体" w:cs="宋体"/>
          <w:bCs/>
          <w:color w:val="auto"/>
        </w:rPr>
        <w:t>投标人被认定为监狱企业或残疾人福利性单位或小型和微型企业且其所投标产品为小型和微型企业产品的，该投标人的投标报价给予10%的扣除，扣除后的价格为评标报价，即评标报价=投标报价×（1-10%）；</w:t>
      </w:r>
    </w:p>
    <w:p>
      <w:pPr>
        <w:pStyle w:val="24"/>
        <w:spacing w:line="400" w:lineRule="exact"/>
        <w:ind w:firstLine="420" w:firstLineChars="200"/>
        <w:rPr>
          <w:rFonts w:hAnsi="宋体" w:cs="宋体"/>
          <w:bCs/>
          <w:color w:val="auto"/>
        </w:rPr>
      </w:pPr>
      <w:r>
        <w:rPr>
          <w:rFonts w:hint="eastAsia" w:hAnsi="宋体" w:cs="宋体"/>
          <w:bCs/>
          <w:color w:val="auto"/>
        </w:rPr>
        <w:t>除上述情况外，评标报价=磋商报价。</w:t>
      </w:r>
    </w:p>
    <w:p>
      <w:pPr>
        <w:pStyle w:val="24"/>
        <w:spacing w:line="400" w:lineRule="exact"/>
        <w:ind w:firstLine="420" w:firstLineChars="200"/>
        <w:rPr>
          <w:rFonts w:hAnsi="宋体" w:cs="宋体"/>
          <w:bCs/>
          <w:color w:val="auto"/>
        </w:rPr>
      </w:pPr>
      <w:r>
        <w:rPr>
          <w:rFonts w:hint="eastAsia" w:hAnsi="宋体" w:cs="宋体"/>
          <w:bCs/>
          <w:color w:val="auto"/>
        </w:rPr>
        <w:t>（4）价格分计算公式：某供应商价格分=基准价/某供应商评标报价金额×10分</w:t>
      </w:r>
    </w:p>
    <w:p>
      <w:pPr>
        <w:pStyle w:val="24"/>
        <w:spacing w:line="400" w:lineRule="exact"/>
        <w:ind w:firstLine="420" w:firstLineChars="200"/>
        <w:rPr>
          <w:rFonts w:hAnsi="宋体" w:cs="宋体"/>
          <w:bCs/>
          <w:color w:val="auto"/>
        </w:rPr>
      </w:pPr>
      <w:r>
        <w:rPr>
          <w:rFonts w:hint="eastAsia" w:hAnsi="宋体" w:cs="宋体"/>
          <w:bCs/>
          <w:color w:val="auto"/>
        </w:rPr>
        <w:t>（5）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pPr>
        <w:rPr>
          <w:bCs/>
          <w:color w:val="auto"/>
        </w:rPr>
      </w:pPr>
    </w:p>
    <w:p>
      <w:pPr>
        <w:pStyle w:val="188"/>
        <w:tabs>
          <w:tab w:val="left" w:pos="0"/>
        </w:tabs>
        <w:spacing w:line="400" w:lineRule="exact"/>
        <w:ind w:firstLine="420" w:firstLineChars="200"/>
        <w:rPr>
          <w:rFonts w:hAnsi="宋体" w:eastAsia="宋体"/>
          <w:bCs/>
          <w:color w:val="auto"/>
          <w:sz w:val="21"/>
          <w:szCs w:val="21"/>
          <w:lang w:eastAsia="zh-CN"/>
        </w:rPr>
      </w:pPr>
      <w:r>
        <w:rPr>
          <w:rFonts w:hint="eastAsia" w:hAnsi="宋体" w:eastAsia="宋体"/>
          <w:bCs/>
          <w:color w:val="auto"/>
          <w:sz w:val="21"/>
          <w:szCs w:val="21"/>
          <w:lang w:eastAsia="zh-CN"/>
        </w:rPr>
        <w:t>2、技术方案分……………………………………………………（满分20分）</w:t>
      </w:r>
    </w:p>
    <w:p>
      <w:pPr>
        <w:pStyle w:val="24"/>
        <w:spacing w:line="400" w:lineRule="exact"/>
        <w:ind w:firstLine="420" w:firstLineChars="200"/>
        <w:rPr>
          <w:rFonts w:hAnsi="宋体" w:cs="宋体"/>
          <w:bCs/>
          <w:color w:val="auto"/>
        </w:rPr>
      </w:pPr>
      <w:r>
        <w:rPr>
          <w:rFonts w:hint="eastAsia" w:hAnsi="宋体" w:cs="宋体"/>
          <w:bCs/>
          <w:color w:val="auto"/>
        </w:rPr>
        <w:t>（1）供应商提供的5G移动检务服务解决方案、检务通数据流量服务、配套的技术支撑服务基本达到招标要求，供应商能提供少于10个号段的11位号码（需列出能提供的号码段清单）新开户服务供采购方根据实际要求进行选择的，得6分；</w:t>
      </w:r>
    </w:p>
    <w:p>
      <w:pPr>
        <w:pStyle w:val="24"/>
        <w:spacing w:line="400" w:lineRule="exact"/>
        <w:ind w:firstLine="420" w:firstLineChars="200"/>
        <w:rPr>
          <w:rFonts w:hAnsi="宋体" w:cs="宋体"/>
          <w:bCs/>
          <w:color w:val="auto"/>
        </w:rPr>
      </w:pPr>
      <w:r>
        <w:rPr>
          <w:rFonts w:hint="eastAsia" w:hAnsi="宋体" w:cs="宋体"/>
          <w:bCs/>
          <w:color w:val="auto"/>
        </w:rPr>
        <w:t>（2）在满足（1）项的基础上，供应商提供的5G移动检务服务解决方案、服务性能参数、功能参数较为详细，供应商对客户资源、网络覆盖、合作伙伴有所介绍，供应商能提供</w:t>
      </w:r>
      <w:r>
        <w:rPr>
          <w:rFonts w:hint="eastAsia" w:hAnsi="宋体" w:cs="宋体"/>
          <w:bCs/>
          <w:color w:val="auto"/>
        </w:rPr>
        <w:t>10个以上（含10）20个以下（不含20）号段的11位号码</w:t>
      </w:r>
      <w:r>
        <w:rPr>
          <w:rFonts w:hint="eastAsia" w:hAnsi="宋体" w:cs="宋体"/>
          <w:bCs/>
          <w:color w:val="auto"/>
        </w:rPr>
        <w:t>（需列出能提供的号码段清单）新开户服务供采购方选择根据实际要求进行选择，供应商提供的5G移动检务服务解决方案能提供工信部颁发的电信设备进网试用批文复印件并提供有原厂商或原厂商在广西区内授权的代理商或经销商授权书证明资质有效性的，得12分；</w:t>
      </w:r>
    </w:p>
    <w:p>
      <w:pPr>
        <w:pStyle w:val="24"/>
        <w:spacing w:line="400" w:lineRule="exact"/>
        <w:ind w:firstLine="420" w:firstLineChars="200"/>
        <w:rPr>
          <w:rFonts w:hAnsi="宋体" w:cs="宋体"/>
          <w:bCs/>
          <w:color w:val="auto"/>
        </w:rPr>
      </w:pPr>
      <w:r>
        <w:rPr>
          <w:rFonts w:hint="eastAsia" w:hAnsi="宋体" w:cs="宋体"/>
          <w:bCs/>
          <w:color w:val="auto"/>
        </w:rPr>
        <w:t>（3）在满足（2）项的基础上供应商提供的5G移动检务服务解决方案、服务性能参数、功能参数有详细介绍，对5G移动检务服务解决方案有详细介绍说明，供应商能提供20个以上（含20）号段的11位号码（需列出能提供的号码段清单）新开户服务供采购方选择根据实际要求进行选择，供应商提供的5G移动检务服务解决方案能提中国质量认证中心出具的国家强制性产品认证证书（CCC 证书）复印件并提供有原厂商或原厂商在广西区内授权的代理商或经销商授权书证明资质有效性，供应商或其上级公司具备中国质量认证中心出具的GB／T19001-2016／ISO9001：2015认证证书的，得20分；</w:t>
      </w:r>
    </w:p>
    <w:p>
      <w:pPr>
        <w:pStyle w:val="188"/>
        <w:tabs>
          <w:tab w:val="left" w:pos="0"/>
        </w:tabs>
        <w:spacing w:line="400" w:lineRule="exact"/>
        <w:ind w:firstLine="420" w:firstLineChars="200"/>
        <w:rPr>
          <w:rFonts w:hAnsi="宋体" w:eastAsia="宋体"/>
          <w:bCs/>
          <w:color w:val="auto"/>
          <w:sz w:val="21"/>
          <w:szCs w:val="21"/>
          <w:lang w:eastAsia="zh-CN"/>
        </w:rPr>
      </w:pPr>
      <w:r>
        <w:rPr>
          <w:rFonts w:hint="eastAsia" w:hAnsi="宋体" w:eastAsia="宋体"/>
          <w:bCs/>
          <w:color w:val="auto"/>
          <w:sz w:val="21"/>
          <w:szCs w:val="21"/>
          <w:lang w:eastAsia="zh-CN"/>
        </w:rPr>
        <w:t>3、实施方案分………………………………………………………（满分20分）</w:t>
      </w:r>
    </w:p>
    <w:p>
      <w:pPr>
        <w:pStyle w:val="24"/>
        <w:spacing w:line="400" w:lineRule="exact"/>
        <w:ind w:firstLine="420" w:firstLineChars="200"/>
        <w:rPr>
          <w:rFonts w:hAnsi="宋体" w:cs="宋体"/>
          <w:bCs/>
          <w:color w:val="auto"/>
        </w:rPr>
      </w:pPr>
      <w:r>
        <w:rPr>
          <w:rFonts w:hint="eastAsia" w:hAnsi="宋体" w:cs="宋体"/>
          <w:bCs/>
          <w:color w:val="auto"/>
        </w:rPr>
        <w:t>（1）有简单的</w:t>
      </w:r>
      <w:r>
        <w:rPr>
          <w:rFonts w:hint="eastAsia" w:hAnsi="宋体" w:cs="宋体"/>
          <w:bCs/>
          <w:color w:val="auto"/>
        </w:rPr>
        <w:t>施工组织方案</w:t>
      </w:r>
      <w:r>
        <w:rPr>
          <w:rFonts w:hint="eastAsia" w:hAnsi="宋体" w:cs="宋体"/>
          <w:bCs/>
          <w:color w:val="auto"/>
        </w:rPr>
        <w:t>和实施方案的得6分。</w:t>
      </w:r>
    </w:p>
    <w:p>
      <w:pPr>
        <w:pStyle w:val="24"/>
        <w:spacing w:line="400" w:lineRule="exact"/>
        <w:ind w:firstLine="420" w:firstLineChars="200"/>
        <w:rPr>
          <w:rFonts w:hAnsi="宋体" w:cs="宋体"/>
          <w:bCs/>
          <w:color w:val="auto"/>
        </w:rPr>
      </w:pPr>
      <w:r>
        <w:rPr>
          <w:rFonts w:hint="eastAsia" w:hAnsi="宋体" w:cs="宋体"/>
          <w:bCs/>
          <w:color w:val="auto"/>
        </w:rPr>
        <w:t>（2）在满足（1）项的基础上，有较好的</w:t>
      </w:r>
      <w:r>
        <w:rPr>
          <w:rFonts w:hint="eastAsia" w:hAnsi="宋体" w:cs="宋体"/>
          <w:bCs/>
          <w:color w:val="auto"/>
        </w:rPr>
        <w:t>施工进度计划</w:t>
      </w:r>
      <w:r>
        <w:rPr>
          <w:rFonts w:hint="eastAsia" w:hAnsi="宋体" w:cs="宋体"/>
          <w:bCs/>
          <w:color w:val="auto"/>
        </w:rPr>
        <w:t>和工期保证措施；能按时提供服务；有较好的</w:t>
      </w:r>
      <w:r>
        <w:rPr>
          <w:rFonts w:hint="eastAsia" w:hAnsi="宋体" w:cs="宋体"/>
          <w:bCs/>
          <w:color w:val="auto"/>
        </w:rPr>
        <w:t>安全控制措施</w:t>
      </w:r>
      <w:r>
        <w:rPr>
          <w:rFonts w:hint="eastAsia" w:hAnsi="宋体" w:cs="宋体"/>
          <w:bCs/>
          <w:color w:val="auto"/>
        </w:rPr>
        <w:t>及安装质量控制保证方案及实施质量保证措施及质量管理程序；拟投入5 人以上（含5人）10人以下（不含10人）项目人员，其中包含至少1名同时具备信息系统项目管理师和EXIN EPI CDCE 数据中心特级认证专家资格的专家、1名中级工程师（项目实施人员须为供应商或其上级公司人员，须提供证书复印件及供应商或其上级公司为实施人员缴纳最近半年连续三个月的社保缴纳证明并加盖公章），且供应商或其上级公司具备信息安全管理体系ISO/IEC27001:2013证书（提供有效的证书复印件并加盖公章）的得12分。</w:t>
      </w:r>
    </w:p>
    <w:p>
      <w:pPr>
        <w:pStyle w:val="24"/>
        <w:spacing w:line="400" w:lineRule="exact"/>
        <w:ind w:firstLine="420" w:firstLineChars="200"/>
        <w:rPr>
          <w:rFonts w:hAnsi="宋体" w:cs="宋体"/>
          <w:bCs/>
          <w:color w:val="auto"/>
        </w:rPr>
      </w:pPr>
      <w:r>
        <w:rPr>
          <w:rFonts w:hint="eastAsia" w:hAnsi="宋体" w:cs="宋体"/>
          <w:bCs/>
          <w:color w:val="auto"/>
        </w:rPr>
        <w:t>（3）在满足（2）项目的基础上，项目实施组织方案完整，考虑周全，项目实施计划可行明晰，能详细说明各个阶段工作安排，项目管理组织机构职能完全满足要求，安排合理清晰，方案能够根据项目实施方案及进度安排；具有工程项目安全管理规范、实施质量保证措施及质量管理程序；实施方案中含有平台及支撑硬件等部分的具体描述；实施方案包含了人员配置、工作时间进度表、工作程序和步骤、管理和协调方法、关键步骤的思路和要点等；具有提前完工及赶工计划。拟投入10 人以上（含10人）专属项目经理，其中包含至少包含3名同时具备信息系统项目管理师和EXIN EPI CDCE 数据中心特级认证专家资格的专家、5名中级工程师（项目实施人员须为供应商或其上级公司人员，须提供证书复印件及供应商或其上级公司为实施人员缴纳最近半年连续三个月的社保缴纳证明并加盖公章），</w:t>
      </w:r>
      <w:r>
        <w:rPr>
          <w:rFonts w:hint="eastAsia" w:hAnsi="宋体" w:cs="宋体"/>
          <w:bCs/>
          <w:color w:val="auto"/>
        </w:rPr>
        <w:t>且供应商或其上级公司具备云计算、</w:t>
      </w:r>
      <w:r>
        <w:rPr>
          <w:rFonts w:hint="eastAsia" w:hAnsi="宋体" w:cs="宋体"/>
          <w:bCs/>
          <w:color w:val="auto"/>
        </w:rPr>
        <w:t>大数据及IT支撑系统软件研发及技术服务领域的GB/T19001-2008/ISO9001：2008证书（提供有效的证书复印件并加盖公章）的得20分。</w:t>
      </w:r>
    </w:p>
    <w:p>
      <w:pPr>
        <w:spacing w:line="400" w:lineRule="exact"/>
        <w:ind w:firstLine="420" w:firstLineChars="200"/>
        <w:rPr>
          <w:rFonts w:hAnsi="宋体"/>
          <w:bCs/>
          <w:color w:val="auto"/>
          <w:szCs w:val="21"/>
        </w:rPr>
      </w:pPr>
      <w:r>
        <w:rPr>
          <w:rFonts w:hint="eastAsia" w:ascii="宋体" w:hAnsi="宋体"/>
          <w:bCs/>
          <w:color w:val="auto"/>
          <w:szCs w:val="21"/>
        </w:rPr>
        <w:t>4、售后服务方案分……………………………………………………</w:t>
      </w:r>
      <w:r>
        <w:rPr>
          <w:rFonts w:hint="eastAsia" w:hAnsi="宋体"/>
          <w:bCs/>
          <w:color w:val="auto"/>
          <w:szCs w:val="21"/>
        </w:rPr>
        <w:t>（</w:t>
      </w:r>
      <w:r>
        <w:rPr>
          <w:rFonts w:hint="eastAsia" w:ascii="宋体" w:hAnsi="宋体"/>
          <w:bCs/>
          <w:color w:val="auto"/>
          <w:szCs w:val="21"/>
        </w:rPr>
        <w:t>满分20分</w:t>
      </w:r>
      <w:r>
        <w:rPr>
          <w:rFonts w:hint="eastAsia" w:hAnsi="宋体"/>
          <w:bCs/>
          <w:color w:val="auto"/>
          <w:szCs w:val="21"/>
        </w:rPr>
        <w:t>）</w:t>
      </w:r>
    </w:p>
    <w:p>
      <w:pPr>
        <w:spacing w:line="400" w:lineRule="exact"/>
        <w:ind w:firstLine="420" w:firstLineChars="200"/>
        <w:rPr>
          <w:rFonts w:ascii="宋体" w:hAnsi="宋体"/>
          <w:bCs/>
          <w:color w:val="auto"/>
          <w:szCs w:val="21"/>
        </w:rPr>
      </w:pPr>
      <w:r>
        <w:rPr>
          <w:rFonts w:hint="eastAsia" w:ascii="宋体" w:hAnsi="宋体"/>
          <w:bCs/>
          <w:color w:val="auto"/>
          <w:szCs w:val="21"/>
        </w:rPr>
        <w:t>（1）提供售后服务承诺书，同时要求售后服务响应时间承诺、备品备件库、例行回访制度、运行维护报告等得6分；</w:t>
      </w:r>
    </w:p>
    <w:p>
      <w:pPr>
        <w:spacing w:line="380" w:lineRule="exact"/>
        <w:ind w:firstLine="420" w:firstLineChars="200"/>
        <w:rPr>
          <w:rFonts w:ascii="宋体" w:hAnsi="宋体"/>
          <w:bCs/>
          <w:color w:val="auto"/>
          <w:szCs w:val="21"/>
        </w:rPr>
      </w:pPr>
      <w:r>
        <w:rPr>
          <w:rFonts w:hint="eastAsia" w:ascii="宋体" w:hAnsi="宋体"/>
          <w:bCs/>
          <w:color w:val="auto"/>
          <w:szCs w:val="21"/>
        </w:rPr>
        <w:t>（2）在满足（1）项的基础上，提供售后服务承诺书，满足响应文件要求，有完整的售后维护和安全保障，包括对网络的技术支持体系、售后服务响应时间承诺、备品备件库、例行回访制度、运行维护报告，</w:t>
      </w:r>
      <w:r>
        <w:rPr>
          <w:rFonts w:hint="eastAsia" w:ascii="宋体" w:hAnsi="宋体"/>
          <w:bCs/>
          <w:color w:val="auto"/>
          <w:szCs w:val="21"/>
        </w:rPr>
        <w:t>供应商或其上级公司具备云计算服务能力标准符合性证书（提供</w:t>
      </w:r>
      <w:r>
        <w:rPr>
          <w:rFonts w:hint="eastAsia" w:ascii="宋体" w:hAnsi="宋体"/>
          <w:bCs/>
          <w:color w:val="auto"/>
          <w:szCs w:val="21"/>
        </w:rPr>
        <w:t>有效的证书复印件并加盖公章）的得12分；</w:t>
      </w:r>
    </w:p>
    <w:p>
      <w:pPr>
        <w:spacing w:line="380" w:lineRule="exact"/>
        <w:ind w:firstLine="420" w:firstLineChars="200"/>
        <w:rPr>
          <w:rFonts w:ascii="宋体" w:hAnsi="宋体"/>
          <w:bCs/>
          <w:color w:val="auto"/>
          <w:szCs w:val="21"/>
        </w:rPr>
      </w:pPr>
      <w:r>
        <w:rPr>
          <w:rFonts w:hint="eastAsia" w:ascii="宋体" w:hAnsi="宋体"/>
          <w:bCs/>
          <w:color w:val="auto"/>
          <w:szCs w:val="21"/>
        </w:rPr>
        <w:t>（3）在满足（2）项目的基础上，提供检务通数据流量服务以及配套的技术支撑服务保障方案，具备完整的通信网络监控体系和安全保障，当地要有专业维护队伍，保证通信网络的365x7x24小时畅通。要求供应商有完整的售后维护，包括技术支持体系、售后服务响应时间承诺、备品备件库、例行回访制度、专人驻场服务等，供应商或其上级公司具备公安部门颁发的信息系统安全等级保护备案证明（提供有效的证书复印件并加盖公章）的得20分。</w:t>
      </w:r>
    </w:p>
    <w:p>
      <w:pPr>
        <w:spacing w:line="380" w:lineRule="exact"/>
        <w:ind w:firstLine="420" w:firstLineChars="200"/>
        <w:rPr>
          <w:rFonts w:ascii="宋体" w:hAnsi="宋体"/>
          <w:bCs/>
          <w:color w:val="auto"/>
          <w:szCs w:val="21"/>
        </w:rPr>
      </w:pPr>
      <w:r>
        <w:rPr>
          <w:rFonts w:hint="eastAsia" w:ascii="宋体" w:hAnsi="宋体"/>
          <w:bCs/>
          <w:color w:val="auto"/>
          <w:szCs w:val="21"/>
        </w:rPr>
        <w:t>5、应急方案分…………………………………………………………</w:t>
      </w:r>
      <w:r>
        <w:rPr>
          <w:rFonts w:hint="eastAsia" w:hAnsi="宋体"/>
          <w:bCs/>
          <w:color w:val="auto"/>
          <w:szCs w:val="21"/>
        </w:rPr>
        <w:t>（</w:t>
      </w:r>
      <w:r>
        <w:rPr>
          <w:rFonts w:hint="eastAsia" w:ascii="宋体" w:hAnsi="宋体"/>
          <w:bCs/>
          <w:color w:val="auto"/>
          <w:szCs w:val="21"/>
        </w:rPr>
        <w:t>满分15分</w:t>
      </w:r>
      <w:r>
        <w:rPr>
          <w:rFonts w:hint="eastAsia" w:hAnsi="宋体"/>
          <w:bCs/>
          <w:color w:val="auto"/>
          <w:szCs w:val="21"/>
        </w:rPr>
        <w:t>）</w:t>
      </w:r>
    </w:p>
    <w:p>
      <w:pPr>
        <w:spacing w:line="380" w:lineRule="exact"/>
        <w:ind w:firstLine="420" w:firstLineChars="200"/>
        <w:rPr>
          <w:rFonts w:ascii="宋体" w:hAnsi="宋体"/>
          <w:bCs/>
          <w:color w:val="auto"/>
          <w:szCs w:val="21"/>
        </w:rPr>
      </w:pPr>
      <w:r>
        <w:rPr>
          <w:rFonts w:hint="eastAsia" w:ascii="宋体" w:hAnsi="宋体"/>
          <w:bCs/>
          <w:color w:val="auto"/>
          <w:szCs w:val="21"/>
        </w:rPr>
        <w:t>（1）供应商提供应急方案简单、适用的得5分；</w:t>
      </w:r>
    </w:p>
    <w:p>
      <w:pPr>
        <w:spacing w:line="380" w:lineRule="exact"/>
        <w:ind w:firstLine="420" w:firstLineChars="200"/>
        <w:rPr>
          <w:rFonts w:ascii="宋体" w:hAnsi="宋体"/>
          <w:bCs/>
          <w:color w:val="auto"/>
          <w:szCs w:val="21"/>
        </w:rPr>
      </w:pPr>
      <w:r>
        <w:rPr>
          <w:rFonts w:hint="eastAsia" w:ascii="宋体" w:hAnsi="宋体"/>
          <w:bCs/>
          <w:color w:val="auto"/>
          <w:szCs w:val="21"/>
        </w:rPr>
        <w:t>（2）供应商提供应急方案详细，且在广西区内具备10辆以上（含10辆），15辆以下（不含15辆）辆应急通信车（含卫星通信车、不含应急发电车，需在响应文件中提供车辆信息或车辆行驶证图片信息）的得10分；</w:t>
      </w:r>
    </w:p>
    <w:p>
      <w:pPr>
        <w:spacing w:line="380" w:lineRule="exact"/>
        <w:ind w:firstLine="420" w:firstLineChars="200"/>
        <w:rPr>
          <w:rFonts w:ascii="宋体" w:hAnsi="宋体"/>
          <w:bCs/>
          <w:color w:val="auto"/>
          <w:szCs w:val="21"/>
        </w:rPr>
      </w:pPr>
      <w:r>
        <w:rPr>
          <w:rFonts w:hint="eastAsia" w:ascii="宋体" w:hAnsi="宋体"/>
          <w:bCs/>
          <w:color w:val="auto"/>
          <w:szCs w:val="21"/>
        </w:rPr>
        <w:t>（3）供应商提供应急方案完整、可行、针对性强的，供应商在广西区内具备15辆以上（含15辆）应急通信车（含卫星通信车、不含应急发电车，需在响应文件中提供车辆信息或车辆行驶证图片信息）的，得15分。</w:t>
      </w:r>
    </w:p>
    <w:p>
      <w:pPr>
        <w:spacing w:line="380" w:lineRule="exact"/>
        <w:ind w:firstLine="420" w:firstLineChars="200"/>
        <w:rPr>
          <w:rFonts w:ascii="宋体" w:hAnsi="宋体"/>
          <w:bCs/>
          <w:color w:val="auto"/>
          <w:szCs w:val="21"/>
        </w:rPr>
      </w:pPr>
      <w:r>
        <w:rPr>
          <w:rFonts w:hint="eastAsia" w:ascii="宋体" w:hAnsi="宋体"/>
          <w:bCs/>
          <w:color w:val="auto"/>
          <w:szCs w:val="21"/>
        </w:rPr>
        <w:t>6、履约能力及业绩分………………………………………………………（满分15分）</w:t>
      </w:r>
    </w:p>
    <w:p>
      <w:pPr>
        <w:spacing w:line="380" w:lineRule="exact"/>
        <w:ind w:firstLine="420" w:firstLineChars="200"/>
        <w:rPr>
          <w:rFonts w:ascii="宋体" w:hAnsi="宋体"/>
          <w:bCs/>
          <w:color w:val="auto"/>
          <w:szCs w:val="21"/>
        </w:rPr>
      </w:pPr>
      <w:r>
        <w:rPr>
          <w:rFonts w:hint="eastAsia" w:ascii="宋体" w:hAnsi="宋体"/>
          <w:bCs/>
          <w:color w:val="auto"/>
          <w:szCs w:val="21"/>
        </w:rPr>
        <w:t>（1）为保证项目实施的质量和水平，供应商或其上级公司近3年入选由中国企业评价协会颁发的中国企业社会责任500优十大样板企业，得4分。</w:t>
      </w:r>
    </w:p>
    <w:p>
      <w:pPr>
        <w:spacing w:line="380" w:lineRule="exact"/>
        <w:ind w:firstLine="420" w:firstLineChars="200"/>
        <w:rPr>
          <w:rFonts w:ascii="宋体" w:hAnsi="宋体"/>
          <w:bCs/>
          <w:color w:val="auto"/>
          <w:szCs w:val="21"/>
        </w:rPr>
      </w:pPr>
      <w:r>
        <w:rPr>
          <w:rFonts w:hint="eastAsia" w:ascii="宋体" w:hAnsi="宋体"/>
          <w:bCs/>
          <w:color w:val="auto"/>
          <w:szCs w:val="21"/>
        </w:rPr>
        <w:t xml:space="preserve">（2）为体现供应商的综合支撑实力及稳定性，供应商或其上级公司自2004年起连续10次以上获得由国资委通报评定的经营业绩考核A级的得4分 </w:t>
      </w:r>
    </w:p>
    <w:p>
      <w:pPr>
        <w:spacing w:line="380" w:lineRule="exact"/>
        <w:ind w:firstLine="420" w:firstLineChars="200"/>
        <w:rPr>
          <w:rFonts w:ascii="宋体" w:hAnsi="宋体"/>
          <w:bCs/>
          <w:color w:val="auto"/>
          <w:szCs w:val="21"/>
        </w:rPr>
      </w:pPr>
      <w:r>
        <w:rPr>
          <w:rFonts w:hint="eastAsia" w:ascii="宋体" w:hAnsi="宋体"/>
          <w:bCs/>
          <w:color w:val="auto"/>
          <w:szCs w:val="21"/>
        </w:rPr>
        <w:t>（3）自2016年以来供应商或其上级公司获得国家科学进步奖（以中华人民共和国科学技术部官网公布为准，提供官网截图，并加盖公章），特等奖得4分，一等奖得2分，满分4分。</w:t>
      </w:r>
    </w:p>
    <w:p>
      <w:pPr>
        <w:spacing w:line="380" w:lineRule="exact"/>
        <w:ind w:firstLine="420" w:firstLineChars="200"/>
        <w:rPr>
          <w:rFonts w:ascii="宋体" w:hAnsi="宋体"/>
          <w:bCs/>
          <w:color w:val="auto"/>
          <w:szCs w:val="21"/>
        </w:rPr>
      </w:pPr>
      <w:r>
        <w:rPr>
          <w:rFonts w:hint="eastAsia" w:ascii="宋体" w:hAnsi="宋体"/>
          <w:bCs/>
          <w:color w:val="auto"/>
          <w:szCs w:val="21"/>
        </w:rPr>
        <w:t>（4）供应商在2017年至今签约的同类项目业绩且无不良记录，每提供一个得1分；满分3分。（需提供合同复印件、中标通知书作为依据）</w:t>
      </w:r>
    </w:p>
    <w:p>
      <w:pPr>
        <w:pStyle w:val="24"/>
        <w:spacing w:line="380" w:lineRule="exact"/>
        <w:ind w:firstLine="420" w:firstLineChars="200"/>
        <w:rPr>
          <w:rFonts w:hAnsi="宋体" w:cs="宋体"/>
          <w:bCs/>
          <w:color w:val="auto"/>
        </w:rPr>
      </w:pPr>
      <w:r>
        <w:rPr>
          <w:rFonts w:hint="eastAsia" w:hAnsi="宋体" w:cs="宋体"/>
          <w:bCs/>
          <w:color w:val="auto"/>
        </w:rPr>
        <w:t>综合得分＝1＋2＋3＋4+5</w:t>
      </w:r>
      <w:bookmarkStart w:id="119" w:name="_Toc8583192"/>
      <w:r>
        <w:rPr>
          <w:rFonts w:hint="eastAsia" w:hAnsi="宋体" w:cs="宋体"/>
          <w:bCs/>
          <w:color w:val="auto"/>
        </w:rPr>
        <w:t>+6</w:t>
      </w:r>
    </w:p>
    <w:p>
      <w:pPr>
        <w:rPr>
          <w:rFonts w:ascii="宋体" w:hAnsi="Courier New" w:cstheme="minorBidi"/>
          <w:bCs/>
          <w:color w:val="auto"/>
          <w:szCs w:val="22"/>
        </w:rPr>
      </w:pPr>
      <w:r>
        <w:rPr>
          <w:rFonts w:hint="eastAsia" w:ascii="宋体" w:hAnsi="Courier New" w:cstheme="minorBidi"/>
          <w:bCs/>
          <w:color w:val="auto"/>
          <w:szCs w:val="22"/>
        </w:rPr>
        <w:t>三、成交候选供应商推荐原则</w:t>
      </w:r>
    </w:p>
    <w:p>
      <w:pPr>
        <w:spacing w:line="440" w:lineRule="exact"/>
        <w:jc w:val="center"/>
        <w:rPr>
          <w:rFonts w:ascii="宋体" w:hAnsi="Courier New" w:cstheme="minorBidi"/>
          <w:color w:val="auto"/>
          <w:szCs w:val="22"/>
        </w:rPr>
      </w:pPr>
      <w:r>
        <w:rPr>
          <w:rFonts w:hint="eastAsia" w:ascii="宋体" w:hAnsi="Courier New" w:cstheme="minorBidi"/>
          <w:b/>
          <w:color w:val="auto"/>
          <w:szCs w:val="22"/>
        </w:rPr>
        <w:t xml:space="preserve">    </w:t>
      </w:r>
      <w:r>
        <w:rPr>
          <w:rFonts w:hint="eastAsia" w:ascii="宋体" w:hAnsi="Courier New" w:cstheme="minorBidi"/>
          <w:color w:val="auto"/>
          <w:szCs w:val="22"/>
        </w:rPr>
        <w:t xml:space="preserve"> 磋商小组应当根据综合评分情况，按照评审得分由高到低顺序推荐3名成交候选供应商，并编写评审报告。评审得分相同的，按照最后报价由低到高的顺序推荐。评审得分相同且最后报价相同的，按照实施</w:t>
      </w:r>
    </w:p>
    <w:p>
      <w:pPr>
        <w:spacing w:line="440" w:lineRule="exact"/>
        <w:rPr>
          <w:rFonts w:ascii="宋体" w:hAnsi="Courier New" w:cstheme="minorBidi"/>
          <w:color w:val="auto"/>
          <w:szCs w:val="22"/>
        </w:rPr>
      </w:pPr>
      <w:r>
        <w:rPr>
          <w:rFonts w:hint="eastAsia" w:ascii="宋体" w:hAnsi="Courier New" w:cstheme="minorBidi"/>
          <w:color w:val="auto"/>
          <w:szCs w:val="22"/>
        </w:rPr>
        <w:t>方案分高优先、售后服务分高优先的顺序排列推荐。</w:t>
      </w:r>
    </w:p>
    <w:p>
      <w:pPr>
        <w:spacing w:line="440" w:lineRule="exact"/>
        <w:jc w:val="center"/>
        <w:rPr>
          <w:rFonts w:ascii="宋体" w:hAnsi="Courier New" w:cstheme="minorBidi"/>
          <w:color w:val="auto"/>
          <w:szCs w:val="22"/>
        </w:rPr>
      </w:pPr>
      <w:r>
        <w:rPr>
          <w:rFonts w:hint="eastAsia" w:ascii="宋体" w:hAnsi="Courier New" w:cstheme="minorBidi"/>
          <w:color w:val="auto"/>
          <w:szCs w:val="22"/>
        </w:rPr>
        <w:t xml:space="preserve">     采购人应当确定磋商小组推荐排名第一的成交候选人为成交人。排名第一的成交候选人放弃成交、因不可抗力提出不能履行合同的，采购人可以确定排名第二的成交候选人为成交人或重新招标。排名第二的成交候选人因前款规定的同样原因不能签订合同的，采购人可以确定排名第三的成交候选人为成交人或重</w:t>
      </w:r>
    </w:p>
    <w:p>
      <w:pPr>
        <w:spacing w:line="440" w:lineRule="exact"/>
        <w:rPr>
          <w:rFonts w:ascii="宋体" w:hAnsi="Courier New" w:cstheme="minorBidi"/>
          <w:color w:val="auto"/>
          <w:szCs w:val="22"/>
        </w:rPr>
      </w:pPr>
      <w:r>
        <w:rPr>
          <w:rFonts w:hint="eastAsia" w:ascii="宋体" w:hAnsi="Courier New" w:cstheme="minorBidi"/>
          <w:color w:val="auto"/>
          <w:szCs w:val="22"/>
        </w:rPr>
        <w:t>新招标。</w:t>
      </w:r>
    </w:p>
    <w:p>
      <w:pP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sz w:val="44"/>
          <w:szCs w:val="44"/>
        </w:rPr>
      </w:pPr>
    </w:p>
    <w:p>
      <w:pPr>
        <w:jc w:val="center"/>
        <w:rPr>
          <w:color w:val="auto"/>
        </w:rPr>
      </w:pPr>
      <w:r>
        <w:rPr>
          <w:rFonts w:hint="eastAsia"/>
          <w:color w:val="auto"/>
          <w:sz w:val="44"/>
          <w:szCs w:val="44"/>
        </w:rPr>
        <w:t xml:space="preserve">第五章 </w:t>
      </w:r>
      <w:r>
        <w:rPr>
          <w:rFonts w:hint="eastAsia"/>
          <w:bCs/>
          <w:color w:val="auto"/>
          <w:kern w:val="44"/>
          <w:sz w:val="44"/>
          <w:szCs w:val="44"/>
        </w:rPr>
        <w:t>响应文件（</w:t>
      </w:r>
      <w:bookmarkStart w:id="120" w:name="_Toc495333095"/>
      <w:r>
        <w:rPr>
          <w:rFonts w:hint="eastAsia"/>
          <w:bCs/>
          <w:color w:val="auto"/>
          <w:kern w:val="44"/>
          <w:sz w:val="44"/>
          <w:szCs w:val="44"/>
        </w:rPr>
        <w:t>格式）</w:t>
      </w:r>
      <w:bookmarkEnd w:id="119"/>
    </w:p>
    <w:p>
      <w:pPr>
        <w:pStyle w:val="24"/>
        <w:spacing w:line="440" w:lineRule="exact"/>
        <w:ind w:firstLine="420"/>
        <w:rPr>
          <w:rFonts w:ascii="隶书" w:eastAsia="隶书"/>
          <w:color w:val="auto"/>
          <w:sz w:val="44"/>
        </w:rPr>
      </w:pPr>
      <w:r>
        <w:rPr>
          <w:rFonts w:hint="eastAsia"/>
          <w:color w:val="auto"/>
        </w:rPr>
        <w:t>｛响应文</w:t>
      </w:r>
      <w:bookmarkEnd w:id="120"/>
      <w:r>
        <w:rPr>
          <w:rFonts w:hint="eastAsia"/>
          <w:color w:val="auto"/>
        </w:rPr>
        <w:t>件正、副本</w:t>
      </w:r>
      <w:r>
        <w:rPr>
          <w:rFonts w:hint="eastAsia" w:ascii="Times New Roman" w:hAnsi="Times New Roman"/>
          <w:color w:val="auto"/>
        </w:rPr>
        <w:t>（正本一份、副本三份）</w:t>
      </w:r>
      <w:r>
        <w:rPr>
          <w:rFonts w:hint="eastAsia"/>
          <w:color w:val="auto"/>
        </w:rPr>
        <w:t>分别按以下顺序装订成册，在每个文本封面上标明“正本”或“副本”，以及项目名称、项目编号、竞标供应商名称、地址等内容，再</w:t>
      </w:r>
      <w:r>
        <w:rPr>
          <w:rFonts w:hint="eastAsia" w:ascii="Times New Roman" w:hAnsi="Times New Roman"/>
          <w:color w:val="auto"/>
        </w:rPr>
        <w:t>一并装入响应文件袋中并加以密封，并在每一封贴处密封签章（公章、法定代表人（负责人）或其委托代理人签字均可</w:t>
      </w:r>
      <w:r>
        <w:rPr>
          <w:rFonts w:hint="eastAsia"/>
          <w:color w:val="auto"/>
        </w:rPr>
        <w:t>）</w:t>
      </w:r>
    </w:p>
    <w:p>
      <w:pPr>
        <w:pStyle w:val="24"/>
        <w:jc w:val="center"/>
        <w:rPr>
          <w:color w:val="auto"/>
        </w:rPr>
      </w:pPr>
      <w:r>
        <w:rPr>
          <w:color w:val="auto"/>
        </w:rPr>
        <w:br w:type="page"/>
      </w:r>
      <w:bookmarkStart w:id="121" w:name="_Toc8583193"/>
      <w:r>
        <w:rPr>
          <w:rFonts w:hint="eastAsia" w:hAnsi="宋体"/>
          <w:color w:val="auto"/>
          <w:kern w:val="44"/>
          <w:sz w:val="32"/>
        </w:rPr>
        <w:t>封面格式</w:t>
      </w:r>
      <w:bookmarkEnd w:id="121"/>
    </w:p>
    <w:p>
      <w:pPr>
        <w:pStyle w:val="24"/>
        <w:spacing w:line="440" w:lineRule="exact"/>
        <w:rPr>
          <w:color w:val="auto"/>
        </w:rPr>
      </w:pPr>
      <w:bookmarkStart w:id="122" w:name="_Toc495333096"/>
      <w:bookmarkEnd w:id="122"/>
      <w:bookmarkStart w:id="123" w:name="_Toc326079063"/>
      <w:bookmarkEnd w:id="123"/>
      <w:r>
        <w:rPr>
          <w:rFonts w:hint="eastAsia" w:ascii="华文新魏" w:eastAsia="华文新魏"/>
          <w:b/>
          <w:bCs/>
          <w:color w:val="auto"/>
          <w:sz w:val="36"/>
        </w:rPr>
        <w:t>本</w:t>
      </w:r>
    </w:p>
    <w:p>
      <w:pPr>
        <w:pStyle w:val="24"/>
        <w:spacing w:line="440" w:lineRule="exact"/>
        <w:jc w:val="center"/>
        <w:rPr>
          <w:color w:val="auto"/>
        </w:rPr>
      </w:pPr>
    </w:p>
    <w:p>
      <w:pPr>
        <w:pStyle w:val="24"/>
        <w:jc w:val="center"/>
        <w:rPr>
          <w:rFonts w:ascii="华文新魏" w:eastAsia="华文新魏"/>
          <w:b/>
          <w:bCs/>
          <w:color w:val="auto"/>
          <w:sz w:val="36"/>
        </w:rPr>
      </w:pPr>
      <w:r>
        <w:rPr>
          <w:rFonts w:hint="eastAsia" w:ascii="华文新魏" w:eastAsia="华文新魏"/>
          <w:b/>
          <w:bCs/>
          <w:color w:val="auto"/>
          <w:sz w:val="36"/>
        </w:rPr>
        <w:t>×××××（竞标供应商名称）</w:t>
      </w:r>
    </w:p>
    <w:p>
      <w:pPr>
        <w:pStyle w:val="24"/>
        <w:rPr>
          <w:color w:val="auto"/>
        </w:rPr>
      </w:pPr>
    </w:p>
    <w:p>
      <w:pPr>
        <w:pStyle w:val="24"/>
        <w:rPr>
          <w:color w:val="auto"/>
        </w:rPr>
      </w:pPr>
    </w:p>
    <w:p>
      <w:pPr>
        <w:pStyle w:val="24"/>
        <w:rPr>
          <w:color w:val="auto"/>
        </w:rPr>
      </w:pPr>
    </w:p>
    <w:p>
      <w:pPr>
        <w:pStyle w:val="24"/>
        <w:jc w:val="center"/>
        <w:rPr>
          <w:color w:val="auto"/>
          <w:sz w:val="72"/>
        </w:rPr>
      </w:pPr>
      <w:r>
        <w:rPr>
          <w:rFonts w:hint="eastAsia"/>
          <w:color w:val="auto"/>
          <w:sz w:val="72"/>
        </w:rPr>
        <w:t>响   应  文  件</w:t>
      </w:r>
    </w:p>
    <w:p>
      <w:pPr>
        <w:pStyle w:val="24"/>
        <w:rPr>
          <w:color w:val="auto"/>
        </w:rPr>
      </w:pPr>
    </w:p>
    <w:p>
      <w:pPr>
        <w:pStyle w:val="24"/>
        <w:rPr>
          <w:color w:val="auto"/>
        </w:rPr>
      </w:pPr>
    </w:p>
    <w:p>
      <w:pPr>
        <w:pStyle w:val="24"/>
        <w:rPr>
          <w:color w:val="auto"/>
        </w:rPr>
      </w:pPr>
    </w:p>
    <w:p>
      <w:pPr>
        <w:pStyle w:val="24"/>
        <w:rPr>
          <w:color w:val="auto"/>
        </w:rPr>
      </w:pPr>
    </w:p>
    <w:p>
      <w:pPr>
        <w:pStyle w:val="24"/>
        <w:ind w:firstLine="2474" w:firstLineChars="770"/>
        <w:rPr>
          <w:b/>
          <w:color w:val="auto"/>
          <w:sz w:val="32"/>
          <w:szCs w:val="32"/>
        </w:rPr>
      </w:pPr>
      <w:r>
        <w:rPr>
          <w:rFonts w:hint="eastAsia"/>
          <w:b/>
          <w:color w:val="auto"/>
          <w:sz w:val="32"/>
          <w:szCs w:val="32"/>
        </w:rPr>
        <w:t>项目名称：××××</w:t>
      </w:r>
    </w:p>
    <w:p>
      <w:pPr>
        <w:pStyle w:val="24"/>
        <w:ind w:firstLine="2474" w:firstLineChars="770"/>
        <w:rPr>
          <w:b/>
          <w:color w:val="auto"/>
          <w:sz w:val="32"/>
          <w:szCs w:val="32"/>
        </w:rPr>
      </w:pPr>
      <w:r>
        <w:rPr>
          <w:rFonts w:hint="eastAsia"/>
          <w:b/>
          <w:color w:val="auto"/>
          <w:sz w:val="32"/>
          <w:szCs w:val="32"/>
        </w:rPr>
        <w:t xml:space="preserve">项目编号: </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spacing w:line="500" w:lineRule="exact"/>
        <w:ind w:left="1260" w:leftChars="600"/>
        <w:rPr>
          <w:b/>
          <w:bCs/>
          <w:color w:val="auto"/>
          <w:sz w:val="28"/>
        </w:rPr>
      </w:pPr>
      <w:r>
        <w:rPr>
          <w:rFonts w:hint="eastAsia"/>
          <w:b/>
          <w:bCs/>
          <w:color w:val="auto"/>
          <w:sz w:val="28"/>
        </w:rPr>
        <w:t xml:space="preserve">竞标供应商： </w:t>
      </w:r>
    </w:p>
    <w:p>
      <w:pPr>
        <w:pStyle w:val="24"/>
        <w:spacing w:line="500" w:lineRule="exact"/>
        <w:ind w:left="1260" w:leftChars="600"/>
        <w:rPr>
          <w:b/>
          <w:bCs/>
          <w:color w:val="auto"/>
          <w:sz w:val="28"/>
        </w:rPr>
      </w:pPr>
      <w:r>
        <w:rPr>
          <w:rFonts w:hint="eastAsia"/>
          <w:b/>
          <w:bCs/>
          <w:color w:val="auto"/>
          <w:sz w:val="28"/>
        </w:rPr>
        <w:t>地 址：</w:t>
      </w:r>
    </w:p>
    <w:p>
      <w:pPr>
        <w:pStyle w:val="24"/>
        <w:spacing w:line="500" w:lineRule="exact"/>
        <w:ind w:left="1260" w:leftChars="600"/>
        <w:rPr>
          <w:b/>
          <w:bCs/>
          <w:color w:val="auto"/>
          <w:sz w:val="28"/>
        </w:rPr>
      </w:pPr>
      <w:r>
        <w:rPr>
          <w:rFonts w:hint="eastAsia"/>
          <w:b/>
          <w:bCs/>
          <w:color w:val="auto"/>
          <w:sz w:val="28"/>
        </w:rPr>
        <w:t>联系人：</w:t>
      </w:r>
    </w:p>
    <w:p>
      <w:pPr>
        <w:pStyle w:val="24"/>
        <w:spacing w:line="500" w:lineRule="exact"/>
        <w:ind w:left="1260" w:leftChars="600"/>
        <w:rPr>
          <w:b/>
          <w:bCs/>
          <w:color w:val="auto"/>
          <w:sz w:val="28"/>
          <w:u w:val="single"/>
        </w:rPr>
      </w:pPr>
      <w:r>
        <w:rPr>
          <w:rFonts w:hint="eastAsia"/>
          <w:b/>
          <w:bCs/>
          <w:color w:val="auto"/>
          <w:sz w:val="28"/>
        </w:rPr>
        <w:t>联系电话：</w:t>
      </w:r>
    </w:p>
    <w:p>
      <w:pPr>
        <w:pStyle w:val="24"/>
        <w:ind w:firstLine="1245" w:firstLineChars="443"/>
        <w:rPr>
          <w:b/>
          <w:bCs/>
          <w:color w:val="auto"/>
          <w:sz w:val="28"/>
        </w:rPr>
      </w:pPr>
    </w:p>
    <w:p>
      <w:pPr>
        <w:pStyle w:val="24"/>
        <w:jc w:val="center"/>
        <w:rPr>
          <w:rFonts w:ascii="隶书" w:eastAsia="隶书"/>
          <w:color w:val="auto"/>
          <w:sz w:val="44"/>
        </w:rPr>
      </w:pPr>
      <w:r>
        <w:rPr>
          <w:b/>
          <w:bCs/>
          <w:color w:val="auto"/>
          <w:sz w:val="28"/>
        </w:rPr>
        <w:br w:type="page"/>
      </w:r>
      <w:r>
        <w:rPr>
          <w:rFonts w:hint="eastAsia" w:ascii="隶书" w:eastAsia="隶书"/>
          <w:color w:val="auto"/>
          <w:sz w:val="44"/>
        </w:rPr>
        <w:t>目  录</w:t>
      </w:r>
    </w:p>
    <w:p>
      <w:pPr>
        <w:pStyle w:val="24"/>
        <w:jc w:val="center"/>
        <w:rPr>
          <w:rFonts w:ascii="隶书" w:eastAsia="隶书"/>
          <w:color w:val="auto"/>
        </w:rPr>
      </w:pPr>
    </w:p>
    <w:p>
      <w:pPr>
        <w:pStyle w:val="24"/>
        <w:tabs>
          <w:tab w:val="left" w:pos="8860"/>
          <w:tab w:val="left" w:pos="9140"/>
        </w:tabs>
        <w:ind w:firstLine="735"/>
        <w:rPr>
          <w:rFonts w:hAnsi="宋体"/>
          <w:color w:val="auto"/>
          <w:sz w:val="28"/>
        </w:rPr>
      </w:pPr>
      <w:r>
        <w:rPr>
          <w:rFonts w:hint="eastAsia" w:hAnsi="宋体"/>
          <w:color w:val="auto"/>
          <w:sz w:val="28"/>
        </w:rPr>
        <w:t>一、竞标函</w:t>
      </w:r>
    </w:p>
    <w:p>
      <w:pPr>
        <w:pStyle w:val="24"/>
        <w:ind w:firstLine="735"/>
        <w:rPr>
          <w:rFonts w:hAnsi="宋体"/>
          <w:color w:val="auto"/>
          <w:sz w:val="28"/>
        </w:rPr>
      </w:pPr>
      <w:r>
        <w:rPr>
          <w:rFonts w:hint="eastAsia" w:hAnsi="宋体"/>
          <w:color w:val="auto"/>
          <w:sz w:val="28"/>
        </w:rPr>
        <w:t>二、竞标报价表</w:t>
      </w:r>
    </w:p>
    <w:p>
      <w:pPr>
        <w:pStyle w:val="24"/>
        <w:ind w:firstLine="735"/>
        <w:rPr>
          <w:rFonts w:hAnsi="宋体"/>
          <w:color w:val="auto"/>
          <w:sz w:val="28"/>
        </w:rPr>
      </w:pPr>
      <w:r>
        <w:rPr>
          <w:rFonts w:hint="eastAsia" w:hAnsi="宋体"/>
          <w:color w:val="auto"/>
          <w:sz w:val="28"/>
        </w:rPr>
        <w:t>三、竞标供应商资格证明文件；</w:t>
      </w:r>
    </w:p>
    <w:p>
      <w:pPr>
        <w:pStyle w:val="24"/>
        <w:ind w:firstLine="700" w:firstLineChars="250"/>
        <w:rPr>
          <w:rFonts w:hAnsi="宋体"/>
          <w:color w:val="auto"/>
          <w:sz w:val="28"/>
        </w:rPr>
      </w:pPr>
      <w:r>
        <w:rPr>
          <w:rFonts w:hint="eastAsia" w:hAnsi="宋体"/>
          <w:color w:val="auto"/>
          <w:sz w:val="28"/>
        </w:rPr>
        <w:t>四、技术方案</w:t>
      </w:r>
    </w:p>
    <w:p>
      <w:pPr>
        <w:pStyle w:val="24"/>
        <w:ind w:firstLine="700" w:firstLineChars="250"/>
        <w:rPr>
          <w:rFonts w:hAnsi="宋体"/>
          <w:color w:val="auto"/>
          <w:sz w:val="28"/>
        </w:rPr>
      </w:pPr>
      <w:r>
        <w:rPr>
          <w:rFonts w:hint="eastAsia" w:hAnsi="宋体"/>
          <w:color w:val="auto"/>
          <w:sz w:val="28"/>
        </w:rPr>
        <w:t>五、实施方案</w:t>
      </w:r>
    </w:p>
    <w:p>
      <w:pPr>
        <w:pStyle w:val="24"/>
        <w:ind w:firstLine="700" w:firstLineChars="250"/>
        <w:rPr>
          <w:rFonts w:hAnsi="宋体"/>
          <w:color w:val="auto"/>
          <w:sz w:val="28"/>
        </w:rPr>
      </w:pPr>
      <w:r>
        <w:rPr>
          <w:rFonts w:hint="eastAsia" w:hAnsi="宋体"/>
          <w:color w:val="auto"/>
          <w:sz w:val="28"/>
        </w:rPr>
        <w:t>六、售后服务方案</w:t>
      </w:r>
    </w:p>
    <w:p>
      <w:pPr>
        <w:pStyle w:val="24"/>
        <w:ind w:firstLine="700" w:firstLineChars="250"/>
        <w:rPr>
          <w:rFonts w:hAnsi="宋体"/>
          <w:color w:val="auto"/>
          <w:sz w:val="28"/>
        </w:rPr>
      </w:pPr>
      <w:r>
        <w:rPr>
          <w:rFonts w:hint="eastAsia" w:hAnsi="宋体"/>
          <w:color w:val="auto"/>
          <w:sz w:val="28"/>
        </w:rPr>
        <w:t>七、服务承诺方案</w:t>
      </w:r>
    </w:p>
    <w:p>
      <w:pPr>
        <w:pStyle w:val="24"/>
        <w:ind w:firstLine="700" w:firstLineChars="250"/>
        <w:rPr>
          <w:rFonts w:hAnsi="宋体"/>
          <w:color w:val="auto"/>
          <w:sz w:val="28"/>
        </w:rPr>
      </w:pPr>
      <w:r>
        <w:rPr>
          <w:rFonts w:hint="eastAsia" w:hAnsi="宋体"/>
          <w:color w:val="auto"/>
          <w:sz w:val="28"/>
        </w:rPr>
        <w:t>八、应急方案</w:t>
      </w:r>
    </w:p>
    <w:p>
      <w:pPr>
        <w:pStyle w:val="24"/>
        <w:ind w:firstLine="700" w:firstLineChars="250"/>
        <w:rPr>
          <w:rFonts w:hAnsi="宋体"/>
          <w:color w:val="auto"/>
          <w:sz w:val="32"/>
        </w:rPr>
      </w:pPr>
      <w:r>
        <w:rPr>
          <w:rFonts w:hint="eastAsia" w:hAnsi="宋体"/>
          <w:color w:val="auto"/>
          <w:sz w:val="28"/>
        </w:rPr>
        <w:t>九、竞标供应商认为需要提供的其他有关资料</w:t>
      </w:r>
    </w:p>
    <w:p>
      <w:pPr>
        <w:pStyle w:val="24"/>
        <w:jc w:val="center"/>
        <w:rPr>
          <w:rFonts w:ascii="隶书" w:eastAsia="隶书"/>
          <w:color w:val="auto"/>
          <w:sz w:val="32"/>
        </w:rPr>
      </w:pPr>
      <w:r>
        <w:rPr>
          <w:color w:val="auto"/>
        </w:rPr>
        <w:br w:type="page"/>
      </w:r>
      <w:bookmarkStart w:id="124" w:name="_Toc8583194"/>
      <w:r>
        <w:rPr>
          <w:rFonts w:hint="eastAsia" w:hAnsi="宋体"/>
          <w:color w:val="auto"/>
          <w:kern w:val="44"/>
          <w:sz w:val="32"/>
        </w:rPr>
        <w:t>一、竞 标</w:t>
      </w:r>
      <w:bookmarkStart w:id="125" w:name="_Toc326079064"/>
      <w:bookmarkStart w:id="126" w:name="_Toc495333097"/>
      <w:r>
        <w:rPr>
          <w:rFonts w:hint="eastAsia" w:hAnsi="宋体"/>
          <w:color w:val="auto"/>
          <w:kern w:val="44"/>
          <w:sz w:val="32"/>
        </w:rPr>
        <w:t xml:space="preserve"> 函</w:t>
      </w:r>
      <w:bookmarkEnd w:id="124"/>
    </w:p>
    <w:p>
      <w:pPr>
        <w:pStyle w:val="24"/>
        <w:spacing w:line="460" w:lineRule="exact"/>
        <w:ind w:firstLine="103"/>
        <w:rPr>
          <w:color w:val="auto"/>
        </w:rPr>
      </w:pPr>
      <w:r>
        <w:rPr>
          <w:rFonts w:hint="eastAsia"/>
          <w:color w:val="auto"/>
        </w:rPr>
        <w:t>致：</w:t>
      </w:r>
      <w:bookmarkEnd w:id="125"/>
      <w:bookmarkEnd w:id="126"/>
      <w:r>
        <w:rPr>
          <w:rFonts w:hint="eastAsia"/>
          <w:color w:val="auto"/>
          <w:u w:val="single"/>
        </w:rPr>
        <w:t xml:space="preserve">广西创和工程项目管理有限公司  </w:t>
      </w:r>
    </w:p>
    <w:p>
      <w:pPr>
        <w:spacing w:line="460" w:lineRule="exact"/>
        <w:ind w:left="103" w:leftChars="49" w:firstLine="411" w:firstLineChars="196"/>
        <w:jc w:val="left"/>
        <w:rPr>
          <w:color w:val="auto"/>
        </w:rPr>
      </w:pPr>
      <w:r>
        <w:rPr>
          <w:rFonts w:hint="eastAsia" w:hAnsi="宋体"/>
          <w:color w:val="auto"/>
        </w:rPr>
        <w:t>根据贵方</w:t>
      </w:r>
      <w:r>
        <w:rPr>
          <w:rFonts w:hint="eastAsia" w:hAnsi="宋体"/>
          <w:color w:val="auto"/>
          <w:u w:val="single"/>
        </w:rPr>
        <w:t xml:space="preserve">    （项目名称）   </w:t>
      </w:r>
      <w:r>
        <w:rPr>
          <w:rFonts w:hint="eastAsia"/>
          <w:color w:val="auto"/>
        </w:rPr>
        <w:t>竞争性磋商文件（</w:t>
      </w:r>
      <w:r>
        <w:rPr>
          <w:rFonts w:hint="eastAsia"/>
          <w:color w:val="auto"/>
          <w:u w:val="single"/>
        </w:rPr>
        <w:t xml:space="preserve">  项目编号  </w:t>
      </w:r>
      <w:r>
        <w:rPr>
          <w:rFonts w:hint="eastAsia" w:hAnsi="宋体"/>
          <w:color w:val="auto"/>
        </w:rPr>
        <w:t>）</w:t>
      </w:r>
      <w:r>
        <w:rPr>
          <w:rFonts w:hint="eastAsia"/>
          <w:color w:val="auto"/>
        </w:rPr>
        <w:t>，正式授权下述签字人（姓名和职务）代表竞标供应商（竞标单位名称），提交下述文件：</w:t>
      </w:r>
    </w:p>
    <w:p>
      <w:pPr>
        <w:pStyle w:val="24"/>
        <w:spacing w:line="460" w:lineRule="exact"/>
        <w:ind w:firstLine="420"/>
        <w:rPr>
          <w:color w:val="auto"/>
        </w:rPr>
      </w:pPr>
      <w:r>
        <w:rPr>
          <w:rFonts w:hint="eastAsia"/>
          <w:color w:val="auto"/>
        </w:rPr>
        <w:t>一、响应文件(按竞争性磋商文件第五章要求的格式及顺序自行填写提交， 正本一套，副本三套，共四套)：</w:t>
      </w:r>
    </w:p>
    <w:p>
      <w:pPr>
        <w:pStyle w:val="24"/>
        <w:spacing w:line="460" w:lineRule="exact"/>
        <w:ind w:firstLine="420"/>
        <w:rPr>
          <w:color w:val="auto"/>
        </w:rPr>
      </w:pPr>
      <w:r>
        <w:rPr>
          <w:rFonts w:hint="eastAsia"/>
          <w:color w:val="auto"/>
        </w:rPr>
        <w:t>（1）竞标函；</w:t>
      </w:r>
    </w:p>
    <w:p>
      <w:pPr>
        <w:pStyle w:val="24"/>
        <w:spacing w:line="460" w:lineRule="exact"/>
        <w:ind w:firstLine="420"/>
        <w:rPr>
          <w:color w:val="auto"/>
        </w:rPr>
      </w:pPr>
      <w:r>
        <w:rPr>
          <w:rFonts w:hint="eastAsia"/>
          <w:color w:val="auto"/>
        </w:rPr>
        <w:t>（2）竞标报价表；</w:t>
      </w:r>
    </w:p>
    <w:p>
      <w:pPr>
        <w:pStyle w:val="24"/>
        <w:spacing w:line="460" w:lineRule="exact"/>
        <w:ind w:firstLine="420"/>
        <w:rPr>
          <w:color w:val="auto"/>
        </w:rPr>
      </w:pPr>
      <w:r>
        <w:rPr>
          <w:rFonts w:hint="eastAsia"/>
          <w:color w:val="auto"/>
        </w:rPr>
        <w:t>（3）竞标供应商资格证明文件；</w:t>
      </w:r>
    </w:p>
    <w:p>
      <w:pPr>
        <w:pStyle w:val="24"/>
        <w:spacing w:line="460" w:lineRule="exact"/>
        <w:ind w:firstLine="420"/>
        <w:rPr>
          <w:color w:val="auto"/>
        </w:rPr>
      </w:pPr>
      <w:r>
        <w:rPr>
          <w:rFonts w:hint="eastAsia"/>
          <w:color w:val="auto"/>
        </w:rPr>
        <w:t>（4）技术方案</w:t>
      </w:r>
    </w:p>
    <w:p>
      <w:pPr>
        <w:pStyle w:val="24"/>
        <w:spacing w:line="460" w:lineRule="exact"/>
        <w:ind w:firstLine="420"/>
        <w:rPr>
          <w:color w:val="auto"/>
        </w:rPr>
      </w:pPr>
      <w:r>
        <w:rPr>
          <w:rFonts w:hint="eastAsia"/>
          <w:color w:val="auto"/>
        </w:rPr>
        <w:t>（5）实施方案</w:t>
      </w:r>
    </w:p>
    <w:p>
      <w:pPr>
        <w:pStyle w:val="24"/>
        <w:spacing w:line="460" w:lineRule="exact"/>
        <w:ind w:firstLine="420"/>
        <w:rPr>
          <w:color w:val="auto"/>
        </w:rPr>
      </w:pPr>
      <w:r>
        <w:rPr>
          <w:rFonts w:hint="eastAsia"/>
          <w:color w:val="auto"/>
        </w:rPr>
        <w:t>（6）售后服务方案</w:t>
      </w:r>
    </w:p>
    <w:p>
      <w:pPr>
        <w:pStyle w:val="24"/>
        <w:spacing w:line="460" w:lineRule="exact"/>
        <w:ind w:firstLine="420"/>
        <w:rPr>
          <w:color w:val="auto"/>
        </w:rPr>
      </w:pPr>
      <w:r>
        <w:rPr>
          <w:rFonts w:hint="eastAsia"/>
          <w:color w:val="auto"/>
        </w:rPr>
        <w:t>（7）服务承诺方案</w:t>
      </w:r>
    </w:p>
    <w:p>
      <w:pPr>
        <w:pStyle w:val="24"/>
        <w:spacing w:line="460" w:lineRule="exact"/>
        <w:ind w:firstLine="420"/>
        <w:rPr>
          <w:color w:val="auto"/>
        </w:rPr>
      </w:pPr>
      <w:r>
        <w:rPr>
          <w:rFonts w:hint="eastAsia"/>
          <w:color w:val="auto"/>
        </w:rPr>
        <w:t>（8）应急方案</w:t>
      </w:r>
    </w:p>
    <w:p>
      <w:pPr>
        <w:pStyle w:val="24"/>
        <w:spacing w:line="460" w:lineRule="exact"/>
        <w:ind w:firstLine="420"/>
        <w:rPr>
          <w:color w:val="auto"/>
        </w:rPr>
      </w:pPr>
      <w:r>
        <w:rPr>
          <w:rFonts w:hint="eastAsia"/>
          <w:color w:val="auto"/>
        </w:rPr>
        <w:t>（9）竞标供应商认为需要提供的其他有关资料</w:t>
      </w:r>
    </w:p>
    <w:p>
      <w:pPr>
        <w:pStyle w:val="24"/>
        <w:spacing w:line="460" w:lineRule="exact"/>
        <w:ind w:left="100" w:firstLine="420"/>
        <w:rPr>
          <w:color w:val="auto"/>
        </w:rPr>
      </w:pPr>
      <w:r>
        <w:rPr>
          <w:rFonts w:hint="eastAsia"/>
          <w:color w:val="auto"/>
        </w:rPr>
        <w:t>二、据此函，签字人兹宣布同意如下：</w:t>
      </w:r>
    </w:p>
    <w:p>
      <w:pPr>
        <w:pStyle w:val="24"/>
        <w:spacing w:line="420" w:lineRule="exact"/>
        <w:ind w:left="101" w:leftChars="48" w:firstLine="310" w:firstLineChars="148"/>
        <w:rPr>
          <w:color w:val="auto"/>
        </w:rPr>
      </w:pPr>
      <w:r>
        <w:rPr>
          <w:rFonts w:hint="eastAsia"/>
          <w:color w:val="auto"/>
        </w:rPr>
        <w:t xml:space="preserve">1、按竞争性磋商文件项目需求及要求和竞标报价表，竞标总报价（大写）元人民币(￥ )。 </w:t>
      </w:r>
    </w:p>
    <w:p>
      <w:pPr>
        <w:pStyle w:val="24"/>
        <w:spacing w:line="460" w:lineRule="exact"/>
        <w:ind w:firstLine="420" w:firstLineChars="200"/>
        <w:rPr>
          <w:color w:val="auto"/>
        </w:rPr>
      </w:pPr>
      <w:r>
        <w:rPr>
          <w:rFonts w:hint="eastAsia"/>
          <w:color w:val="auto"/>
        </w:rPr>
        <w:t>2、我方已详细审阅竞争性磋商文件，同意在竞标供应商须知规定的截标日期起遵循本竞争性磋商文件，在竞标供应商须知第14条规定的竞标有效期满之前均具有约束力，并按时到场参加磋商。</w:t>
      </w:r>
    </w:p>
    <w:p>
      <w:pPr>
        <w:pStyle w:val="24"/>
        <w:spacing w:line="460" w:lineRule="exact"/>
        <w:ind w:firstLine="420"/>
        <w:rPr>
          <w:color w:val="auto"/>
        </w:rPr>
      </w:pPr>
      <w:r>
        <w:rPr>
          <w:rFonts w:hint="eastAsia"/>
          <w:color w:val="auto"/>
        </w:rPr>
        <w:t>3、我方承诺已经具备相关法律法规中的规定参加政府采购活动的供应商应当具备的条件：</w:t>
      </w:r>
    </w:p>
    <w:p>
      <w:pPr>
        <w:pStyle w:val="24"/>
        <w:spacing w:line="460" w:lineRule="exact"/>
        <w:ind w:left="420"/>
        <w:rPr>
          <w:color w:val="auto"/>
        </w:rPr>
      </w:pPr>
      <w:r>
        <w:rPr>
          <w:rFonts w:hint="eastAsia"/>
          <w:color w:val="auto"/>
        </w:rPr>
        <w:t>⑴具有独立承担民事责任的能力；</w:t>
      </w:r>
    </w:p>
    <w:p>
      <w:pPr>
        <w:pStyle w:val="24"/>
        <w:spacing w:line="460" w:lineRule="exact"/>
        <w:ind w:left="420"/>
        <w:rPr>
          <w:color w:val="auto"/>
        </w:rPr>
      </w:pPr>
      <w:r>
        <w:rPr>
          <w:rFonts w:hint="eastAsia"/>
          <w:color w:val="auto"/>
        </w:rPr>
        <w:t>⑵具有良好的商业信誉和健全的财务会计制度；</w:t>
      </w:r>
    </w:p>
    <w:p>
      <w:pPr>
        <w:pStyle w:val="24"/>
        <w:spacing w:line="460" w:lineRule="exact"/>
        <w:ind w:left="420"/>
        <w:rPr>
          <w:color w:val="auto"/>
        </w:rPr>
      </w:pPr>
      <w:r>
        <w:rPr>
          <w:rFonts w:hint="eastAsia"/>
          <w:color w:val="auto"/>
        </w:rPr>
        <w:t>⑶具有履行合同所必需的设备和专业技术能力；</w:t>
      </w:r>
    </w:p>
    <w:p>
      <w:pPr>
        <w:pStyle w:val="24"/>
        <w:spacing w:line="460" w:lineRule="exact"/>
        <w:ind w:left="420"/>
        <w:rPr>
          <w:color w:val="auto"/>
        </w:rPr>
      </w:pPr>
      <w:r>
        <w:rPr>
          <w:rFonts w:hint="eastAsia"/>
          <w:color w:val="auto"/>
        </w:rPr>
        <w:t>⑷有依法缴纳税收和社会保障资金的良好记录；</w:t>
      </w:r>
    </w:p>
    <w:p>
      <w:pPr>
        <w:pStyle w:val="24"/>
        <w:spacing w:line="460" w:lineRule="exact"/>
        <w:ind w:left="420"/>
        <w:rPr>
          <w:color w:val="auto"/>
        </w:rPr>
      </w:pPr>
      <w:r>
        <w:rPr>
          <w:rFonts w:hint="eastAsia"/>
          <w:color w:val="auto"/>
        </w:rPr>
        <w:t>⑸参加此项采购活动前三年内，在经营活动中没有重大违法记录。</w:t>
      </w:r>
    </w:p>
    <w:p>
      <w:pPr>
        <w:pStyle w:val="24"/>
        <w:spacing w:line="460" w:lineRule="exact"/>
        <w:ind w:left="100" w:firstLine="312"/>
        <w:rPr>
          <w:color w:val="auto"/>
        </w:rPr>
      </w:pPr>
      <w:r>
        <w:rPr>
          <w:rFonts w:hint="eastAsia"/>
          <w:color w:val="auto"/>
        </w:rPr>
        <w:t>4、我方根据竞争性磋商文件的规定，承担完成合同的责任和义务。</w:t>
      </w:r>
    </w:p>
    <w:p>
      <w:pPr>
        <w:pStyle w:val="24"/>
        <w:spacing w:line="460" w:lineRule="exact"/>
        <w:ind w:firstLine="420" w:firstLineChars="200"/>
        <w:rPr>
          <w:color w:val="auto"/>
        </w:rPr>
      </w:pPr>
      <w:r>
        <w:rPr>
          <w:rFonts w:hint="eastAsia"/>
          <w:color w:val="auto"/>
        </w:rPr>
        <w:t>5、我方已详细审核竞争性磋商文件，包括修改文件（如有的话）和有关附件，将自行承担因对全部采购文件理解不正确或误解而产生的相应后果。</w:t>
      </w:r>
    </w:p>
    <w:p>
      <w:pPr>
        <w:pStyle w:val="24"/>
        <w:spacing w:line="460" w:lineRule="exact"/>
        <w:ind w:firstLine="420" w:firstLineChars="200"/>
        <w:rPr>
          <w:color w:val="auto"/>
        </w:rPr>
      </w:pPr>
      <w:r>
        <w:rPr>
          <w:rFonts w:hint="eastAsia"/>
          <w:color w:val="auto"/>
        </w:rPr>
        <w:t>6、我方声明在竞标有效期内撤回竞标或者有其他违约行为，我方同意被没收全部竞标保证金。</w:t>
      </w:r>
    </w:p>
    <w:p>
      <w:pPr>
        <w:pStyle w:val="24"/>
        <w:spacing w:line="460" w:lineRule="exact"/>
        <w:ind w:left="100" w:firstLine="312"/>
        <w:rPr>
          <w:color w:val="auto"/>
        </w:rPr>
      </w:pPr>
      <w:r>
        <w:rPr>
          <w:rFonts w:hint="eastAsia"/>
          <w:color w:val="auto"/>
        </w:rPr>
        <w:t>7、同意向贵方提供贵方可能要求的与本竞标有关的任何数据或资料。</w:t>
      </w:r>
    </w:p>
    <w:p>
      <w:pPr>
        <w:pStyle w:val="24"/>
        <w:spacing w:line="460" w:lineRule="exact"/>
        <w:ind w:firstLine="420" w:firstLineChars="200"/>
        <w:rPr>
          <w:color w:val="auto"/>
        </w:rPr>
      </w:pPr>
      <w:r>
        <w:rPr>
          <w:rFonts w:hint="eastAsia"/>
          <w:color w:val="auto"/>
        </w:rPr>
        <w:t>8、我方完全理解贵方不一定要接受最低价的竞标供应商为成交供应商。</w:t>
      </w:r>
    </w:p>
    <w:p>
      <w:pPr>
        <w:pStyle w:val="24"/>
        <w:spacing w:line="460" w:lineRule="exact"/>
        <w:ind w:firstLine="420" w:firstLineChars="200"/>
        <w:rPr>
          <w:color w:val="auto"/>
        </w:rPr>
      </w:pPr>
      <w:r>
        <w:rPr>
          <w:rFonts w:hint="eastAsia"/>
          <w:color w:val="auto"/>
        </w:rPr>
        <w:t>9、若贵方需要，我方愿意提供我方作出的一切承诺的证明材料。</w:t>
      </w:r>
    </w:p>
    <w:p>
      <w:pPr>
        <w:pStyle w:val="24"/>
        <w:spacing w:line="460" w:lineRule="exact"/>
        <w:ind w:firstLine="420" w:firstLineChars="200"/>
        <w:rPr>
          <w:rFonts w:hAnsi="宋体"/>
          <w:color w:val="auto"/>
        </w:rPr>
      </w:pPr>
      <w:r>
        <w:rPr>
          <w:rFonts w:hint="eastAsia"/>
          <w:color w:val="auto"/>
        </w:rPr>
        <w:t>10、我方将严格遵守相关法律法规中的规定，供应商有下列情形之一的，处以采购金额5</w:t>
      </w:r>
      <w:r>
        <w:rPr>
          <w:rFonts w:hint="eastAsia" w:hAnsi="宋体"/>
          <w:color w:val="auto"/>
        </w:rPr>
        <w:t>‰</w:t>
      </w:r>
      <w:r>
        <w:rPr>
          <w:rFonts w:hint="eastAsia"/>
          <w:color w:val="auto"/>
        </w:rPr>
        <w:t>以上10</w:t>
      </w:r>
      <w:r>
        <w:rPr>
          <w:rFonts w:hint="eastAsia" w:hAnsi="宋体"/>
          <w:color w:val="auto"/>
        </w:rPr>
        <w:t>‰以下的罚款，列入不良行为记录名单，在一至三年内禁止参加政府采购活动，有违法所得的，并处没收违法所得，情节严重的，由工商行政管理机关吊销营业执照；</w:t>
      </w:r>
      <w:r>
        <w:rPr>
          <w:rFonts w:hint="eastAsia"/>
          <w:color w:val="auto"/>
        </w:rPr>
        <w:t>涉嫌犯罪的，移送司法机关处理：</w:t>
      </w:r>
    </w:p>
    <w:p>
      <w:pPr>
        <w:pStyle w:val="24"/>
        <w:numPr>
          <w:ilvl w:val="0"/>
          <w:numId w:val="3"/>
        </w:numPr>
        <w:spacing w:line="420" w:lineRule="exact"/>
        <w:rPr>
          <w:rFonts w:hAnsi="宋体"/>
          <w:color w:val="auto"/>
        </w:rPr>
      </w:pPr>
      <w:r>
        <w:rPr>
          <w:rFonts w:hint="eastAsia" w:hAnsi="宋体"/>
          <w:color w:val="auto"/>
        </w:rPr>
        <w:t>提供虚假材料谋取中标、成交的；</w:t>
      </w:r>
    </w:p>
    <w:p>
      <w:pPr>
        <w:pStyle w:val="24"/>
        <w:numPr>
          <w:ilvl w:val="0"/>
          <w:numId w:val="3"/>
        </w:numPr>
        <w:spacing w:line="420" w:lineRule="exact"/>
        <w:rPr>
          <w:rFonts w:hAnsi="宋体"/>
          <w:color w:val="auto"/>
        </w:rPr>
      </w:pPr>
      <w:r>
        <w:rPr>
          <w:rFonts w:hint="eastAsia" w:hAnsi="宋体"/>
          <w:color w:val="auto"/>
        </w:rPr>
        <w:t>采取不正当手段诋毁、排挤其他供应商的；</w:t>
      </w:r>
    </w:p>
    <w:p>
      <w:pPr>
        <w:pStyle w:val="24"/>
        <w:numPr>
          <w:ilvl w:val="0"/>
          <w:numId w:val="3"/>
        </w:numPr>
        <w:spacing w:line="420" w:lineRule="exact"/>
        <w:rPr>
          <w:color w:val="auto"/>
        </w:rPr>
      </w:pPr>
      <w:r>
        <w:rPr>
          <w:rFonts w:hint="eastAsia" w:hAnsi="宋体"/>
          <w:color w:val="auto"/>
        </w:rPr>
        <w:t>与采购人、其他供应商或者采购代理机构恶意串通的；</w:t>
      </w:r>
    </w:p>
    <w:p>
      <w:pPr>
        <w:pStyle w:val="24"/>
        <w:numPr>
          <w:ilvl w:val="0"/>
          <w:numId w:val="3"/>
        </w:numPr>
        <w:spacing w:line="420" w:lineRule="exact"/>
        <w:rPr>
          <w:color w:val="auto"/>
        </w:rPr>
      </w:pPr>
      <w:r>
        <w:rPr>
          <w:rFonts w:hint="eastAsia" w:hAnsi="宋体"/>
          <w:color w:val="auto"/>
        </w:rPr>
        <w:t>向采购人、采购代理机构行贿或者提供其他不正当利益的；</w:t>
      </w:r>
    </w:p>
    <w:p>
      <w:pPr>
        <w:pStyle w:val="24"/>
        <w:numPr>
          <w:ilvl w:val="0"/>
          <w:numId w:val="3"/>
        </w:numPr>
        <w:spacing w:line="420" w:lineRule="exact"/>
        <w:rPr>
          <w:color w:val="auto"/>
        </w:rPr>
      </w:pPr>
      <w:r>
        <w:rPr>
          <w:rFonts w:hint="eastAsia" w:hAnsi="宋体"/>
          <w:color w:val="auto"/>
        </w:rPr>
        <w:t>在采购过程中与采购人进行协商的；</w:t>
      </w:r>
    </w:p>
    <w:p>
      <w:pPr>
        <w:pStyle w:val="24"/>
        <w:numPr>
          <w:ilvl w:val="0"/>
          <w:numId w:val="3"/>
        </w:numPr>
        <w:spacing w:line="420" w:lineRule="exact"/>
        <w:rPr>
          <w:color w:val="auto"/>
        </w:rPr>
      </w:pPr>
      <w:r>
        <w:rPr>
          <w:rFonts w:hint="eastAsia" w:hAnsi="宋体"/>
          <w:color w:val="auto"/>
        </w:rPr>
        <w:t>拒绝有关部门监督检查或提供虚假情况的。</w:t>
      </w:r>
    </w:p>
    <w:p>
      <w:pPr>
        <w:pStyle w:val="24"/>
        <w:spacing w:line="360" w:lineRule="auto"/>
        <w:ind w:firstLine="420"/>
        <w:rPr>
          <w:color w:val="auto"/>
          <w:u w:val="single"/>
        </w:rPr>
      </w:pPr>
      <w:r>
        <w:rPr>
          <w:rFonts w:hint="eastAsia"/>
          <w:color w:val="auto"/>
        </w:rPr>
        <w:t>磋商供应商：</w:t>
      </w:r>
      <w:r>
        <w:rPr>
          <w:rFonts w:hint="eastAsia"/>
          <w:color w:val="auto"/>
          <w:u w:val="single"/>
        </w:rPr>
        <w:t xml:space="preserve">                                         </w:t>
      </w:r>
      <w:r>
        <w:rPr>
          <w:rFonts w:hint="eastAsia"/>
          <w:color w:val="auto"/>
        </w:rPr>
        <w:t>（盖单位公章）</w:t>
      </w:r>
    </w:p>
    <w:p>
      <w:pPr>
        <w:pStyle w:val="24"/>
        <w:spacing w:line="360" w:lineRule="auto"/>
        <w:ind w:firstLine="420"/>
        <w:rPr>
          <w:color w:val="auto"/>
        </w:rPr>
      </w:pPr>
      <w:r>
        <w:rPr>
          <w:rFonts w:hint="eastAsia" w:ascii="Times New Roman" w:hAnsi="Times New Roman"/>
          <w:color w:val="auto"/>
        </w:rPr>
        <w:t>法定代表人（负责人）或其委托代理人：</w:t>
      </w:r>
      <w:r>
        <w:rPr>
          <w:rFonts w:hint="eastAsia" w:ascii="Times New Roman" w:hAnsi="Times New Roman"/>
          <w:color w:val="auto"/>
          <w:u w:val="single"/>
        </w:rPr>
        <w:t xml:space="preserve">                       </w:t>
      </w:r>
      <w:r>
        <w:rPr>
          <w:rFonts w:hint="eastAsia" w:ascii="Times New Roman" w:hAnsi="Times New Roman"/>
          <w:color w:val="auto"/>
        </w:rPr>
        <w:t>（签字）</w:t>
      </w:r>
    </w:p>
    <w:p>
      <w:pPr>
        <w:pStyle w:val="24"/>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pPr>
        <w:pStyle w:val="24"/>
        <w:spacing w:line="360" w:lineRule="auto"/>
        <w:ind w:firstLine="420"/>
        <w:rPr>
          <w:color w:val="auto"/>
          <w:u w:val="single"/>
        </w:rPr>
      </w:pPr>
      <w:r>
        <w:rPr>
          <w:rFonts w:hint="eastAsia"/>
          <w:color w:val="auto"/>
        </w:rPr>
        <w:t>电话：</w:t>
      </w:r>
      <w:r>
        <w:rPr>
          <w:rFonts w:hint="eastAsia"/>
          <w:color w:val="auto"/>
          <w:u w:val="single"/>
        </w:rPr>
        <w:t xml:space="preserve">                                      　　　　　　　　　</w:t>
      </w:r>
    </w:p>
    <w:p>
      <w:pPr>
        <w:pStyle w:val="24"/>
        <w:spacing w:line="360" w:lineRule="auto"/>
        <w:ind w:firstLine="420"/>
        <w:rPr>
          <w:color w:val="auto"/>
        </w:rPr>
      </w:pPr>
      <w:r>
        <w:rPr>
          <w:rFonts w:hint="eastAsia"/>
          <w:color w:val="auto"/>
        </w:rPr>
        <w:t>传真：</w:t>
      </w:r>
      <w:r>
        <w:rPr>
          <w:rFonts w:hint="eastAsia"/>
          <w:color w:val="auto"/>
          <w:u w:val="single"/>
        </w:rPr>
        <w:t>　　　　　　　　　　　　　　　　　　　　　　　　　　　　</w:t>
      </w:r>
    </w:p>
    <w:p>
      <w:pPr>
        <w:pStyle w:val="24"/>
        <w:spacing w:line="360" w:lineRule="auto"/>
        <w:ind w:firstLine="420"/>
        <w:rPr>
          <w:color w:val="auto"/>
          <w:u w:val="single"/>
        </w:rPr>
      </w:pPr>
      <w:r>
        <w:rPr>
          <w:rFonts w:hint="eastAsia"/>
          <w:color w:val="auto"/>
        </w:rPr>
        <w:t>邮政编码：</w:t>
      </w:r>
      <w:r>
        <w:rPr>
          <w:rFonts w:hint="eastAsia"/>
          <w:color w:val="auto"/>
          <w:u w:val="single"/>
        </w:rPr>
        <w:t xml:space="preserve">                                                    </w:t>
      </w:r>
    </w:p>
    <w:p>
      <w:pPr>
        <w:pStyle w:val="24"/>
        <w:spacing w:line="360" w:lineRule="auto"/>
        <w:ind w:firstLine="420"/>
        <w:rPr>
          <w:color w:val="auto"/>
          <w:u w:val="single"/>
        </w:rPr>
      </w:pPr>
      <w:r>
        <w:rPr>
          <w:rFonts w:hint="eastAsia"/>
          <w:color w:val="auto"/>
        </w:rPr>
        <w:t>开户名称：</w:t>
      </w:r>
      <w:r>
        <w:rPr>
          <w:rFonts w:hint="eastAsia"/>
          <w:color w:val="auto"/>
          <w:u w:val="single"/>
        </w:rPr>
        <w:t xml:space="preserve">                                                    </w:t>
      </w:r>
    </w:p>
    <w:p>
      <w:pPr>
        <w:pStyle w:val="24"/>
        <w:spacing w:line="360" w:lineRule="auto"/>
        <w:ind w:firstLine="420"/>
        <w:rPr>
          <w:color w:val="auto"/>
          <w:u w:val="single"/>
        </w:rPr>
      </w:pPr>
      <w:r>
        <w:rPr>
          <w:rFonts w:hint="eastAsia"/>
          <w:color w:val="auto"/>
        </w:rPr>
        <w:t>开户银行：</w:t>
      </w:r>
      <w:r>
        <w:rPr>
          <w:rFonts w:hint="eastAsia"/>
          <w:color w:val="auto"/>
          <w:u w:val="single"/>
        </w:rPr>
        <w:t xml:space="preserve">                                                    </w:t>
      </w:r>
    </w:p>
    <w:p>
      <w:pPr>
        <w:pStyle w:val="24"/>
        <w:spacing w:line="360" w:lineRule="auto"/>
        <w:ind w:firstLine="420"/>
        <w:rPr>
          <w:color w:val="auto"/>
          <w:u w:val="single"/>
        </w:rPr>
      </w:pPr>
      <w:r>
        <w:rPr>
          <w:rFonts w:hint="eastAsia"/>
          <w:color w:val="auto"/>
        </w:rPr>
        <w:t>银行账号：</w:t>
      </w:r>
      <w:r>
        <w:rPr>
          <w:rFonts w:hint="eastAsia"/>
          <w:color w:val="auto"/>
          <w:u w:val="single"/>
        </w:rPr>
        <w:t xml:space="preserve">                                                    </w:t>
      </w:r>
    </w:p>
    <w:p>
      <w:pPr>
        <w:pStyle w:val="24"/>
        <w:spacing w:line="420" w:lineRule="exact"/>
        <w:ind w:left="100"/>
        <w:rPr>
          <w:color w:val="auto"/>
        </w:rPr>
      </w:pPr>
    </w:p>
    <w:p>
      <w:pPr>
        <w:pStyle w:val="24"/>
        <w:jc w:val="center"/>
        <w:rPr>
          <w:color w:val="auto"/>
        </w:rPr>
      </w:pPr>
    </w:p>
    <w:p>
      <w:pPr>
        <w:pStyle w:val="24"/>
        <w:rPr>
          <w:color w:val="auto"/>
        </w:rPr>
      </w:pPr>
    </w:p>
    <w:p>
      <w:pPr>
        <w:pStyle w:val="24"/>
        <w:rPr>
          <w:color w:val="auto"/>
        </w:rPr>
      </w:pPr>
      <w:r>
        <w:rPr>
          <w:rFonts w:hint="eastAsia"/>
          <w:color w:val="auto"/>
        </w:rPr>
        <w:t>注：此函由法定代表人（负责人）（负责人）（签名或盖章）或委托代理人（签字）确认并加盖竞标单位公章，否则竞标无效处理；此函若由多页构成的，须逐页加盖竞标单位公章，否则竞标无效处理；</w:t>
      </w:r>
    </w:p>
    <w:p>
      <w:pPr>
        <w:pStyle w:val="24"/>
        <w:rPr>
          <w:color w:val="auto"/>
        </w:rPr>
      </w:pPr>
    </w:p>
    <w:p>
      <w:pPr>
        <w:pStyle w:val="24"/>
        <w:rPr>
          <w:color w:val="auto"/>
        </w:rPr>
      </w:pPr>
    </w:p>
    <w:p>
      <w:pPr>
        <w:pStyle w:val="24"/>
        <w:rPr>
          <w:color w:val="auto"/>
        </w:rPr>
      </w:pPr>
    </w:p>
    <w:p>
      <w:pPr>
        <w:pStyle w:val="4"/>
        <w:rPr>
          <w:rFonts w:ascii="宋体" w:hAnsi="宋体" w:eastAsia="宋体"/>
          <w:color w:val="auto"/>
          <w:kern w:val="44"/>
          <w:sz w:val="32"/>
        </w:rPr>
      </w:pPr>
      <w:bookmarkStart w:id="127" w:name="_Toc8583195"/>
      <w:r>
        <w:rPr>
          <w:rFonts w:hint="eastAsia" w:ascii="宋体" w:hAnsi="宋体" w:eastAsia="宋体"/>
          <w:color w:val="auto"/>
          <w:kern w:val="44"/>
          <w:sz w:val="32"/>
        </w:rPr>
        <w:t>二、</w:t>
      </w:r>
      <w:bookmarkEnd w:id="127"/>
      <w:bookmarkStart w:id="128" w:name="_Toc8583196"/>
      <w:r>
        <w:rPr>
          <w:rFonts w:hint="eastAsia" w:ascii="宋体" w:hAnsi="宋体" w:eastAsia="宋体"/>
          <w:color w:val="auto"/>
          <w:kern w:val="44"/>
          <w:sz w:val="32"/>
        </w:rPr>
        <w:t>竞标报价表</w:t>
      </w:r>
      <w:bookmarkEnd w:id="128"/>
      <w:bookmarkStart w:id="129" w:name="_Toc326079066"/>
      <w:bookmarkStart w:id="130" w:name="_Toc495333099"/>
    </w:p>
    <w:bookmarkEnd w:id="129"/>
    <w:bookmarkEnd w:id="130"/>
    <w:p>
      <w:pPr>
        <w:rPr>
          <w:rFonts w:ascii="宋体" w:hAnsi="宋体"/>
          <w:color w:val="auto"/>
          <w:u w:val="single"/>
        </w:rPr>
      </w:pPr>
      <w:r>
        <w:rPr>
          <w:rFonts w:hint="eastAsia" w:ascii="宋体" w:hAnsi="宋体"/>
          <w:color w:val="auto"/>
        </w:rPr>
        <w:t>项目名称：</w:t>
      </w:r>
    </w:p>
    <w:tbl>
      <w:tblPr>
        <w:tblStyle w:val="4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964"/>
        <w:gridCol w:w="1646"/>
        <w:gridCol w:w="268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restart"/>
            <w:vAlign w:val="center"/>
          </w:tcPr>
          <w:p>
            <w:pPr>
              <w:pStyle w:val="24"/>
              <w:jc w:val="center"/>
              <w:rPr>
                <w:rFonts w:hAnsi="宋体"/>
                <w:color w:val="auto"/>
                <w:spacing w:val="-20"/>
                <w:szCs w:val="24"/>
              </w:rPr>
            </w:pPr>
            <w:r>
              <w:rPr>
                <w:rFonts w:hint="eastAsia" w:hAnsi="宋体"/>
                <w:color w:val="auto"/>
                <w:spacing w:val="-20"/>
                <w:szCs w:val="24"/>
              </w:rPr>
              <w:t>项号</w:t>
            </w:r>
          </w:p>
        </w:tc>
        <w:tc>
          <w:tcPr>
            <w:tcW w:w="1541" w:type="dxa"/>
            <w:vMerge w:val="restart"/>
            <w:vAlign w:val="center"/>
          </w:tcPr>
          <w:p>
            <w:pPr>
              <w:pStyle w:val="24"/>
              <w:jc w:val="center"/>
              <w:rPr>
                <w:rFonts w:hAnsi="宋体"/>
                <w:color w:val="auto"/>
                <w:spacing w:val="-20"/>
                <w:szCs w:val="24"/>
              </w:rPr>
            </w:pPr>
            <w:r>
              <w:rPr>
                <w:rFonts w:hint="eastAsia" w:hAnsi="宋体"/>
                <w:color w:val="auto"/>
                <w:spacing w:val="-20"/>
                <w:szCs w:val="24"/>
              </w:rPr>
              <w:t>服务名称</w:t>
            </w:r>
          </w:p>
        </w:tc>
        <w:tc>
          <w:tcPr>
            <w:tcW w:w="964" w:type="dxa"/>
            <w:vMerge w:val="restart"/>
            <w:vAlign w:val="center"/>
          </w:tcPr>
          <w:p>
            <w:pPr>
              <w:pStyle w:val="24"/>
              <w:jc w:val="center"/>
              <w:rPr>
                <w:rFonts w:hAnsi="宋体"/>
                <w:color w:val="auto"/>
                <w:spacing w:val="-20"/>
                <w:szCs w:val="24"/>
              </w:rPr>
            </w:pPr>
            <w:r>
              <w:rPr>
                <w:rFonts w:hint="eastAsia" w:hAnsi="宋体"/>
                <w:color w:val="auto"/>
                <w:spacing w:val="-20"/>
                <w:szCs w:val="24"/>
              </w:rPr>
              <w:t>数量</w:t>
            </w:r>
          </w:p>
          <w:p>
            <w:pPr>
              <w:pStyle w:val="24"/>
              <w:jc w:val="center"/>
              <w:rPr>
                <w:rFonts w:hAnsi="宋体"/>
                <w:color w:val="auto"/>
                <w:spacing w:val="-20"/>
                <w:szCs w:val="24"/>
              </w:rPr>
            </w:pPr>
            <w:r>
              <w:rPr>
                <w:rFonts w:hint="eastAsia" w:hAnsi="宋体"/>
                <w:color w:val="auto"/>
                <w:spacing w:val="-20"/>
                <w:szCs w:val="24"/>
              </w:rPr>
              <w:t>①</w:t>
            </w:r>
          </w:p>
        </w:tc>
        <w:tc>
          <w:tcPr>
            <w:tcW w:w="1646" w:type="dxa"/>
            <w:vMerge w:val="restart"/>
            <w:vAlign w:val="center"/>
          </w:tcPr>
          <w:p>
            <w:pPr>
              <w:pStyle w:val="24"/>
              <w:jc w:val="center"/>
              <w:rPr>
                <w:rFonts w:hAnsi="宋体"/>
                <w:color w:val="auto"/>
                <w:szCs w:val="24"/>
              </w:rPr>
            </w:pPr>
            <w:r>
              <w:rPr>
                <w:rFonts w:hint="eastAsia" w:hAnsi="宋体"/>
                <w:color w:val="auto"/>
                <w:szCs w:val="24"/>
              </w:rPr>
              <w:t>单项服务(元)</w:t>
            </w:r>
          </w:p>
          <w:p>
            <w:pPr>
              <w:pStyle w:val="24"/>
              <w:jc w:val="center"/>
              <w:rPr>
                <w:rFonts w:hAnsi="宋体"/>
                <w:color w:val="auto"/>
                <w:szCs w:val="24"/>
              </w:rPr>
            </w:pPr>
            <w:r>
              <w:rPr>
                <w:rFonts w:hint="eastAsia" w:hAnsi="宋体"/>
                <w:color w:val="auto"/>
                <w:szCs w:val="24"/>
              </w:rPr>
              <w:t>②</w:t>
            </w:r>
          </w:p>
        </w:tc>
        <w:tc>
          <w:tcPr>
            <w:tcW w:w="2683" w:type="dxa"/>
            <w:vMerge w:val="restart"/>
            <w:vAlign w:val="center"/>
          </w:tcPr>
          <w:p>
            <w:pPr>
              <w:pStyle w:val="24"/>
              <w:jc w:val="center"/>
              <w:rPr>
                <w:rFonts w:hAnsi="宋体"/>
                <w:color w:val="auto"/>
                <w:szCs w:val="24"/>
              </w:rPr>
            </w:pPr>
            <w:r>
              <w:rPr>
                <w:rFonts w:hint="eastAsia" w:hAnsi="宋体"/>
                <w:color w:val="auto"/>
                <w:szCs w:val="24"/>
              </w:rPr>
              <w:t>单项服务合计（元）</w:t>
            </w:r>
          </w:p>
          <w:p>
            <w:pPr>
              <w:pStyle w:val="24"/>
              <w:jc w:val="center"/>
              <w:rPr>
                <w:rFonts w:hAnsi="宋体"/>
                <w:color w:val="auto"/>
                <w:szCs w:val="24"/>
              </w:rPr>
            </w:pPr>
            <w:r>
              <w:rPr>
                <w:rFonts w:hint="eastAsia" w:hAnsi="宋体"/>
                <w:color w:val="auto"/>
                <w:szCs w:val="24"/>
              </w:rPr>
              <w:t>③</w:t>
            </w:r>
            <w:r>
              <w:rPr>
                <w:rFonts w:hAnsi="宋体"/>
                <w:color w:val="auto"/>
                <w:szCs w:val="24"/>
              </w:rPr>
              <w:t>=</w:t>
            </w:r>
            <w:r>
              <w:rPr>
                <w:rFonts w:hint="eastAsia" w:hAnsi="宋体"/>
                <w:color w:val="auto"/>
                <w:szCs w:val="24"/>
              </w:rPr>
              <w:t>①×②</w:t>
            </w:r>
          </w:p>
        </w:tc>
        <w:tc>
          <w:tcPr>
            <w:tcW w:w="2358" w:type="dxa"/>
            <w:vMerge w:val="restart"/>
            <w:vAlign w:val="center"/>
          </w:tcPr>
          <w:p>
            <w:pPr>
              <w:pStyle w:val="24"/>
              <w:jc w:val="center"/>
              <w:rPr>
                <w:rFonts w:hAnsi="宋体"/>
                <w:color w:val="auto"/>
                <w:szCs w:val="24"/>
              </w:rPr>
            </w:pPr>
            <w:r>
              <w:rPr>
                <w:rFonts w:hint="eastAsia" w:hAnsi="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720" w:type="dxa"/>
            <w:vMerge w:val="continue"/>
            <w:vAlign w:val="center"/>
          </w:tcPr>
          <w:p>
            <w:pPr>
              <w:pStyle w:val="24"/>
              <w:jc w:val="center"/>
              <w:rPr>
                <w:rFonts w:hAnsi="宋体"/>
                <w:color w:val="auto"/>
                <w:spacing w:val="-20"/>
                <w:szCs w:val="24"/>
              </w:rPr>
            </w:pPr>
          </w:p>
        </w:tc>
        <w:tc>
          <w:tcPr>
            <w:tcW w:w="1541" w:type="dxa"/>
            <w:vMerge w:val="continue"/>
            <w:vAlign w:val="center"/>
          </w:tcPr>
          <w:p>
            <w:pPr>
              <w:pStyle w:val="24"/>
              <w:jc w:val="center"/>
              <w:rPr>
                <w:rFonts w:hAnsi="宋体"/>
                <w:color w:val="auto"/>
                <w:spacing w:val="-20"/>
                <w:szCs w:val="24"/>
              </w:rPr>
            </w:pPr>
          </w:p>
        </w:tc>
        <w:tc>
          <w:tcPr>
            <w:tcW w:w="964" w:type="dxa"/>
            <w:vMerge w:val="continue"/>
            <w:vAlign w:val="center"/>
          </w:tcPr>
          <w:p>
            <w:pPr>
              <w:pStyle w:val="24"/>
              <w:jc w:val="center"/>
              <w:rPr>
                <w:rFonts w:hAnsi="宋体"/>
                <w:color w:val="auto"/>
                <w:spacing w:val="-20"/>
                <w:szCs w:val="24"/>
              </w:rPr>
            </w:pPr>
          </w:p>
        </w:tc>
        <w:tc>
          <w:tcPr>
            <w:tcW w:w="1646" w:type="dxa"/>
            <w:vMerge w:val="continue"/>
            <w:vAlign w:val="center"/>
          </w:tcPr>
          <w:p>
            <w:pPr>
              <w:pStyle w:val="24"/>
              <w:jc w:val="center"/>
              <w:rPr>
                <w:rFonts w:hAnsi="宋体"/>
                <w:color w:val="auto"/>
                <w:szCs w:val="24"/>
              </w:rPr>
            </w:pPr>
          </w:p>
        </w:tc>
        <w:tc>
          <w:tcPr>
            <w:tcW w:w="2683" w:type="dxa"/>
            <w:vMerge w:val="continue"/>
            <w:vAlign w:val="center"/>
          </w:tcPr>
          <w:p>
            <w:pPr>
              <w:pStyle w:val="24"/>
              <w:jc w:val="center"/>
              <w:rPr>
                <w:rFonts w:hAnsi="宋体"/>
                <w:color w:val="auto"/>
                <w:szCs w:val="24"/>
              </w:rPr>
            </w:pPr>
          </w:p>
        </w:tc>
        <w:tc>
          <w:tcPr>
            <w:tcW w:w="2358" w:type="dxa"/>
            <w:vMerge w:val="continue"/>
            <w:vAlign w:val="center"/>
          </w:tcPr>
          <w:p>
            <w:pPr>
              <w:pStyle w:val="24"/>
              <w:jc w:val="center"/>
              <w:rPr>
                <w:rFonts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1</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hint="eastAsia" w:ascii="宋体" w:hAnsi="宋体"/>
                <w:color w:val="auto"/>
                <w:sz w:val="24"/>
              </w:rPr>
              <w:t>…</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Align w:val="center"/>
          </w:tcPr>
          <w:p>
            <w:pPr>
              <w:jc w:val="center"/>
              <w:rPr>
                <w:rFonts w:ascii="宋体" w:hAnsi="宋体"/>
                <w:color w:val="auto"/>
                <w:sz w:val="24"/>
              </w:rPr>
            </w:pPr>
            <w:r>
              <w:rPr>
                <w:rFonts w:ascii="宋体" w:hAnsi="宋体"/>
                <w:color w:val="auto"/>
                <w:sz w:val="24"/>
              </w:rPr>
              <w:t>N</w:t>
            </w:r>
          </w:p>
        </w:tc>
        <w:tc>
          <w:tcPr>
            <w:tcW w:w="1541" w:type="dxa"/>
            <w:vAlign w:val="center"/>
          </w:tcPr>
          <w:p>
            <w:pPr>
              <w:jc w:val="center"/>
              <w:rPr>
                <w:rFonts w:ascii="宋体" w:hAnsi="宋体"/>
                <w:color w:val="auto"/>
              </w:rPr>
            </w:pPr>
          </w:p>
        </w:tc>
        <w:tc>
          <w:tcPr>
            <w:tcW w:w="964" w:type="dxa"/>
            <w:vAlign w:val="center"/>
          </w:tcPr>
          <w:p>
            <w:pPr>
              <w:jc w:val="center"/>
              <w:rPr>
                <w:rFonts w:ascii="宋体" w:hAnsi="宋体"/>
                <w:color w:val="auto"/>
              </w:rPr>
            </w:pPr>
          </w:p>
        </w:tc>
        <w:tc>
          <w:tcPr>
            <w:tcW w:w="1646" w:type="dxa"/>
            <w:vAlign w:val="center"/>
          </w:tcPr>
          <w:p>
            <w:pPr>
              <w:pStyle w:val="24"/>
              <w:rPr>
                <w:rFonts w:hAnsi="宋体"/>
                <w:color w:val="auto"/>
                <w:szCs w:val="24"/>
              </w:rPr>
            </w:pPr>
          </w:p>
        </w:tc>
        <w:tc>
          <w:tcPr>
            <w:tcW w:w="2683" w:type="dxa"/>
            <w:vAlign w:val="center"/>
          </w:tcPr>
          <w:p>
            <w:pPr>
              <w:pStyle w:val="24"/>
              <w:rPr>
                <w:rFonts w:hAnsi="宋体"/>
                <w:color w:val="auto"/>
                <w:szCs w:val="24"/>
              </w:rPr>
            </w:pPr>
          </w:p>
        </w:tc>
        <w:tc>
          <w:tcPr>
            <w:tcW w:w="2358" w:type="dxa"/>
            <w:vAlign w:val="center"/>
          </w:tcPr>
          <w:p>
            <w:pPr>
              <w:pStyle w:val="24"/>
              <w:rPr>
                <w:rFonts w:hAnsi="宋体"/>
                <w:color w:val="auto"/>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olor w:val="auto"/>
                <w:spacing w:val="-6"/>
                <w:szCs w:val="24"/>
              </w:rPr>
              <w:t>总报价</w:t>
            </w:r>
            <w:r>
              <w:rPr>
                <w:rFonts w:hint="eastAsia" w:hAnsi="宋体"/>
                <w:color w:val="auto"/>
              </w:rPr>
              <w:t>：</w:t>
            </w:r>
            <w:r>
              <w:rPr>
                <w:rFonts w:hint="eastAsia" w:hAnsi="宋体"/>
                <w:color w:val="auto"/>
                <w:spacing w:val="-6"/>
                <w:szCs w:val="24"/>
              </w:rPr>
              <w:t>（人民币大写）：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s="宋体"/>
                <w:color w:val="auto"/>
                <w:kern w:val="0"/>
                <w:szCs w:val="21"/>
              </w:rPr>
              <w:t>提交服务成果时间</w:t>
            </w:r>
            <w:r>
              <w:rPr>
                <w:rFonts w:hint="eastAsia" w:hAnsi="宋体"/>
                <w:color w:val="auto"/>
                <w:spacing w:val="-6"/>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hAnsi="宋体" w:cs="宋体"/>
                <w:color w:val="auto"/>
                <w:kern w:val="0"/>
                <w:szCs w:val="21"/>
              </w:rPr>
              <w:t>提交服务成果</w:t>
            </w:r>
            <w:r>
              <w:rPr>
                <w:rFonts w:hint="eastAsia" w:hAnsi="宋体"/>
                <w:color w:val="auto"/>
                <w:spacing w:val="-6"/>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12" w:type="dxa"/>
            <w:gridSpan w:val="6"/>
            <w:vAlign w:val="center"/>
          </w:tcPr>
          <w:p>
            <w:pPr>
              <w:pStyle w:val="24"/>
              <w:rPr>
                <w:rFonts w:hAnsi="宋体"/>
                <w:color w:val="auto"/>
                <w:spacing w:val="-6"/>
                <w:szCs w:val="24"/>
              </w:rPr>
            </w:pPr>
            <w:r>
              <w:rPr>
                <w:rFonts w:hint="eastAsia"/>
                <w:color w:val="auto"/>
              </w:rPr>
              <w:t>竞标报价包括</w:t>
            </w:r>
            <w:r>
              <w:rPr>
                <w:rFonts w:hint="eastAsia" w:hAnsi="宋体" w:cs="宋体"/>
                <w:color w:val="auto"/>
                <w:kern w:val="0"/>
                <w:szCs w:val="21"/>
              </w:rPr>
              <w:t>其他如扫描设备、人员工资、数据存储备份设备、耗材、差旅费、杂费和管理费、运输、装卸、安装、调试、培训、技术支持、质保期内售后服务、更新升级、政策性文件规定及合同包含的所有风险、责任等全部扫描服务产生的费用</w:t>
            </w:r>
            <w:r>
              <w:rPr>
                <w:rFonts w:hint="eastAsia"/>
                <w:color w:val="auto"/>
              </w:rPr>
              <w:t>及</w:t>
            </w:r>
            <w:r>
              <w:rPr>
                <w:rFonts w:hint="eastAsia" w:hAnsi="宋体" w:cs="宋体"/>
                <w:color w:val="auto"/>
                <w:kern w:val="0"/>
                <w:szCs w:val="21"/>
              </w:rPr>
              <w:t>必要的保险费用和各项税金</w:t>
            </w:r>
            <w:r>
              <w:rPr>
                <w:rFonts w:hint="eastAsia"/>
                <w:color w:val="auto"/>
              </w:rPr>
              <w:t>的总和；</w:t>
            </w:r>
          </w:p>
        </w:tc>
      </w:tr>
    </w:tbl>
    <w:p>
      <w:pPr>
        <w:pStyle w:val="24"/>
        <w:rPr>
          <w:color w:val="auto"/>
        </w:rPr>
      </w:pPr>
    </w:p>
    <w:p>
      <w:pPr>
        <w:pStyle w:val="24"/>
        <w:rPr>
          <w:color w:val="auto"/>
        </w:rPr>
      </w:pPr>
    </w:p>
    <w:p>
      <w:pPr>
        <w:pStyle w:val="24"/>
        <w:rPr>
          <w:color w:val="auto"/>
        </w:rPr>
      </w:pPr>
    </w:p>
    <w:p>
      <w:pPr>
        <w:pStyle w:val="24"/>
        <w:rPr>
          <w:color w:val="auto"/>
        </w:rPr>
      </w:pPr>
      <w:r>
        <w:rPr>
          <w:rFonts w:hint="eastAsia"/>
          <w:color w:val="auto"/>
        </w:rPr>
        <w:t>竞标供应商(公章)</w:t>
      </w:r>
      <w:r>
        <w:rPr>
          <w:rFonts w:hint="eastAsia" w:hAnsi="宋体" w:cs="宋体"/>
          <w:color w:val="auto"/>
          <w:szCs w:val="21"/>
        </w:rPr>
        <w:t xml:space="preserve"> ： </w:t>
      </w:r>
      <w:r>
        <w:rPr>
          <w:rFonts w:hint="eastAsia" w:hAnsi="宋体" w:cs="宋体"/>
          <w:color w:val="auto"/>
          <w:szCs w:val="21"/>
          <w:u w:val="single"/>
        </w:rPr>
        <w:t xml:space="preserve">                </w:t>
      </w:r>
      <w:r>
        <w:rPr>
          <w:rFonts w:hint="eastAsia" w:hAnsi="宋体" w:cs="宋体"/>
          <w:color w:val="auto"/>
          <w:szCs w:val="21"/>
        </w:rPr>
        <w:t xml:space="preserve"> </w:t>
      </w:r>
      <w:r>
        <w:rPr>
          <w:rFonts w:hint="eastAsia"/>
          <w:color w:val="auto"/>
        </w:rPr>
        <w:t xml:space="preserve">  </w:t>
      </w:r>
    </w:p>
    <w:p>
      <w:pPr>
        <w:pStyle w:val="24"/>
        <w:rPr>
          <w:color w:val="auto"/>
        </w:rPr>
      </w:pPr>
    </w:p>
    <w:p>
      <w:pPr>
        <w:pStyle w:val="24"/>
        <w:rPr>
          <w:color w:val="auto"/>
        </w:rPr>
      </w:pPr>
      <w:r>
        <w:rPr>
          <w:rFonts w:hint="eastAsia"/>
          <w:color w:val="auto"/>
        </w:rPr>
        <w:t>法定代表人（负责人）或委托代理人签字</w:t>
      </w:r>
      <w:r>
        <w:rPr>
          <w:rFonts w:hint="eastAsia" w:hAnsi="宋体" w:cs="宋体"/>
          <w:color w:val="auto"/>
          <w:spacing w:val="20"/>
          <w:szCs w:val="21"/>
        </w:rPr>
        <w:t>：</w:t>
      </w:r>
      <w:r>
        <w:rPr>
          <w:rFonts w:hint="eastAsia" w:hAnsi="宋体" w:cs="宋体"/>
          <w:color w:val="auto"/>
          <w:spacing w:val="20"/>
          <w:szCs w:val="21"/>
          <w:u w:val="single"/>
        </w:rPr>
        <w:t xml:space="preserve">          </w:t>
      </w:r>
    </w:p>
    <w:p>
      <w:pPr>
        <w:pStyle w:val="24"/>
        <w:spacing w:line="240" w:lineRule="exact"/>
        <w:rPr>
          <w:rFonts w:ascii="金山简魏碑" w:eastAsia="金山简魏碑"/>
          <w:b/>
          <w:color w:val="auto"/>
          <w:sz w:val="44"/>
        </w:rPr>
      </w:pPr>
    </w:p>
    <w:p>
      <w:pPr>
        <w:snapToGrid w:val="0"/>
        <w:spacing w:before="50" w:after="5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p>
    <w:p>
      <w:pPr>
        <w:snapToGrid w:val="0"/>
        <w:spacing w:before="50" w:after="50"/>
        <w:rPr>
          <w:rFonts w:ascii="宋体" w:hAnsi="宋体" w:cs="宋体"/>
          <w:color w:val="auto"/>
          <w:szCs w:val="21"/>
        </w:rPr>
      </w:pPr>
      <w:r>
        <w:rPr>
          <w:rFonts w:hint="eastAsia" w:ascii="宋体" w:hAnsi="宋体" w:cs="宋体"/>
          <w:color w:val="auto"/>
          <w:szCs w:val="21"/>
        </w:rPr>
        <w:t xml:space="preserve">   </w:t>
      </w:r>
    </w:p>
    <w:p>
      <w:pPr>
        <w:snapToGrid w:val="0"/>
        <w:spacing w:before="50" w:after="50"/>
        <w:rPr>
          <w:rFonts w:ascii="宋体" w:hAnsi="宋体" w:cs="宋体"/>
          <w:color w:val="auto"/>
          <w:szCs w:val="21"/>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240" w:lineRule="exact"/>
        <w:rPr>
          <w:rFonts w:ascii="金山简魏碑" w:eastAsia="金山简魏碑"/>
          <w:b/>
          <w:color w:val="auto"/>
          <w:sz w:val="44"/>
        </w:rPr>
      </w:pPr>
    </w:p>
    <w:p>
      <w:pPr>
        <w:pStyle w:val="24"/>
        <w:spacing w:line="400" w:lineRule="exact"/>
        <w:rPr>
          <w:color w:val="auto"/>
        </w:rPr>
      </w:pPr>
      <w:r>
        <w:rPr>
          <w:rFonts w:hint="eastAsia"/>
          <w:color w:val="auto"/>
        </w:rPr>
        <w:t>竞标说明：</w:t>
      </w:r>
      <w:r>
        <w:rPr>
          <w:rFonts w:hint="eastAsia"/>
          <w:bCs/>
          <w:color w:val="auto"/>
        </w:rPr>
        <w:t>竞标</w:t>
      </w:r>
      <w:r>
        <w:rPr>
          <w:bCs/>
          <w:color w:val="auto"/>
        </w:rPr>
        <w:t>报价表</w:t>
      </w:r>
      <w:r>
        <w:rPr>
          <w:rFonts w:hint="eastAsia"/>
          <w:color w:val="auto"/>
        </w:rPr>
        <w:t>由法定代表人（负责人）（负责人）（签名或盖章）或委托代理人（签字）确认并加盖竞标单位公章，否则竞标无效处理；</w:t>
      </w:r>
    </w:p>
    <w:p>
      <w:pPr>
        <w:jc w:val="center"/>
        <w:rPr>
          <w:rFonts w:ascii="宋体" w:hAnsi="宋体"/>
          <w:b/>
          <w:color w:val="auto"/>
          <w:kern w:val="44"/>
          <w:sz w:val="32"/>
        </w:rPr>
      </w:pPr>
      <w:r>
        <w:rPr>
          <w:color w:val="auto"/>
        </w:rPr>
        <w:br w:type="page"/>
      </w:r>
      <w:bookmarkStart w:id="131" w:name="_Toc8583197"/>
      <w:r>
        <w:rPr>
          <w:rFonts w:hint="eastAsia" w:ascii="宋体" w:hAnsi="宋体"/>
          <w:color w:val="auto"/>
          <w:kern w:val="44"/>
          <w:sz w:val="32"/>
        </w:rPr>
        <w:t>三、</w:t>
      </w:r>
      <w:r>
        <w:rPr>
          <w:rFonts w:hint="eastAsia" w:ascii="宋体" w:hAnsi="宋体"/>
          <w:b/>
          <w:color w:val="auto"/>
          <w:kern w:val="44"/>
          <w:sz w:val="32"/>
        </w:rPr>
        <w:t>竞标供应商资格证明文件</w:t>
      </w:r>
    </w:p>
    <w:p>
      <w:pPr>
        <w:jc w:val="center"/>
        <w:rPr>
          <w:rFonts w:ascii="宋体" w:hAnsi="宋体"/>
          <w:b/>
          <w:color w:val="auto"/>
          <w:kern w:val="44"/>
          <w:szCs w:val="21"/>
        </w:rPr>
      </w:pPr>
      <w:r>
        <w:rPr>
          <w:rFonts w:ascii="宋体" w:hAnsi="宋体"/>
          <w:color w:val="auto"/>
          <w:kern w:val="44"/>
          <w:szCs w:val="21"/>
        </w:rPr>
        <w:t>(</w:t>
      </w:r>
      <w:r>
        <w:rPr>
          <w:rFonts w:hint="eastAsia" w:ascii="宋体" w:hAnsi="宋体"/>
          <w:color w:val="auto"/>
          <w:kern w:val="44"/>
          <w:szCs w:val="21"/>
        </w:rPr>
        <w:t>按照第一章“竞标人须知”第12点提供</w:t>
      </w:r>
      <w:r>
        <w:rPr>
          <w:rFonts w:ascii="宋体" w:hAnsi="宋体"/>
          <w:color w:val="auto"/>
          <w:kern w:val="44"/>
          <w:szCs w:val="21"/>
        </w:rPr>
        <w:t>)</w:t>
      </w:r>
    </w:p>
    <w:bookmarkEnd w:id="131"/>
    <w:p>
      <w:pPr>
        <w:pStyle w:val="24"/>
        <w:rPr>
          <w:color w:val="auto"/>
        </w:rPr>
      </w:pPr>
    </w:p>
    <w:p>
      <w:pPr>
        <w:pStyle w:val="24"/>
        <w:jc w:val="center"/>
        <w:rPr>
          <w:color w:val="auto"/>
        </w:rPr>
      </w:pPr>
      <w:r>
        <w:rPr>
          <w:rFonts w:hint="eastAsia"/>
          <w:b/>
          <w:color w:val="auto"/>
          <w:sz w:val="32"/>
        </w:rPr>
        <w:t>授权委托书（格式）</w:t>
      </w:r>
    </w:p>
    <w:p>
      <w:pPr>
        <w:pStyle w:val="24"/>
        <w:rPr>
          <w:color w:val="auto"/>
        </w:rPr>
      </w:pPr>
    </w:p>
    <w:p>
      <w:pPr>
        <w:pStyle w:val="24"/>
        <w:spacing w:line="480" w:lineRule="exact"/>
        <w:rPr>
          <w:rFonts w:ascii="Times New Roman" w:hAnsi="Times New Roman"/>
          <w:color w:val="auto"/>
          <w:szCs w:val="24"/>
        </w:rPr>
      </w:pPr>
      <w:r>
        <w:rPr>
          <w:rFonts w:hint="eastAsia" w:ascii="Times New Roman" w:hAnsi="Times New Roman"/>
          <w:color w:val="auto"/>
          <w:szCs w:val="24"/>
        </w:rPr>
        <w:t>致：</w:t>
      </w:r>
      <w:r>
        <w:rPr>
          <w:rFonts w:hint="eastAsia" w:hAnsi="宋体"/>
          <w:color w:val="auto"/>
          <w:szCs w:val="24"/>
        </w:rPr>
        <w:t>_________</w:t>
      </w:r>
      <w:r>
        <w:rPr>
          <w:rFonts w:hint="eastAsia" w:ascii="Times New Roman" w:hAnsi="Times New Roman"/>
          <w:color w:val="auto"/>
          <w:szCs w:val="24"/>
        </w:rPr>
        <w:t>（采购代理机构） ：</w:t>
      </w:r>
    </w:p>
    <w:p>
      <w:pPr>
        <w:pStyle w:val="24"/>
        <w:spacing w:line="480" w:lineRule="exact"/>
        <w:ind w:firstLine="945" w:firstLineChars="450"/>
        <w:rPr>
          <w:rFonts w:ascii="Times New Roman" w:hAnsi="Times New Roman"/>
          <w:color w:val="auto"/>
          <w:szCs w:val="24"/>
        </w:rPr>
      </w:pPr>
      <w:r>
        <w:rPr>
          <w:rFonts w:hint="eastAsia" w:ascii="Times New Roman" w:hAnsi="Times New Roman"/>
          <w:color w:val="auto"/>
          <w:szCs w:val="24"/>
        </w:rPr>
        <w:t>我</w:t>
      </w:r>
      <w:r>
        <w:rPr>
          <w:rFonts w:hint="eastAsia" w:hAnsi="宋体"/>
          <w:color w:val="auto"/>
          <w:szCs w:val="24"/>
        </w:rPr>
        <w:t>_____</w:t>
      </w:r>
      <w:r>
        <w:rPr>
          <w:rFonts w:hint="eastAsia" w:hAnsi="宋体"/>
          <w:color w:val="auto"/>
          <w:szCs w:val="24"/>
          <w:u w:val="single"/>
        </w:rPr>
        <w:t>__     _</w:t>
      </w:r>
      <w:r>
        <w:rPr>
          <w:rFonts w:hint="eastAsia" w:hAnsi="宋体"/>
          <w:color w:val="auto"/>
          <w:szCs w:val="24"/>
        </w:rPr>
        <w:t>_</w:t>
      </w:r>
      <w:r>
        <w:rPr>
          <w:rFonts w:hint="eastAsia" w:ascii="Times New Roman" w:hAnsi="Times New Roman"/>
          <w:color w:val="auto"/>
          <w:szCs w:val="24"/>
        </w:rPr>
        <w:t>（姓名）系</w:t>
      </w:r>
      <w:r>
        <w:rPr>
          <w:rFonts w:hint="eastAsia" w:hAnsi="宋体"/>
          <w:color w:val="auto"/>
          <w:szCs w:val="24"/>
        </w:rPr>
        <w:t>___</w:t>
      </w:r>
      <w:r>
        <w:rPr>
          <w:rFonts w:hint="eastAsia" w:hAnsi="宋体"/>
          <w:color w:val="auto"/>
          <w:szCs w:val="24"/>
          <w:u w:val="single"/>
        </w:rPr>
        <w:t>____     __</w:t>
      </w:r>
      <w:r>
        <w:rPr>
          <w:rFonts w:hint="eastAsia" w:ascii="Times New Roman" w:hAnsi="Times New Roman"/>
          <w:color w:val="auto"/>
          <w:szCs w:val="24"/>
        </w:rPr>
        <w:t>（竞标供应商名称）的法定代表人（负责人）（负责人），现授权委托本单位在职职工</w:t>
      </w:r>
      <w:r>
        <w:rPr>
          <w:rFonts w:hint="eastAsia" w:ascii="Times New Roman" w:hAnsi="Times New Roman"/>
          <w:color w:val="auto"/>
          <w:szCs w:val="24"/>
          <w:u w:val="single"/>
        </w:rPr>
        <w:t xml:space="preserve">         （姓名）     </w:t>
      </w:r>
      <w:r>
        <w:rPr>
          <w:rFonts w:hint="eastAsia" w:ascii="Times New Roman" w:hAnsi="Times New Roman"/>
          <w:color w:val="auto"/>
          <w:szCs w:val="24"/>
        </w:rPr>
        <w:t>以我方的名义参加项目的竞标活动，并代表我方全权办理针对上述项目的竞标、开标、评标、签约等具体事务和签署相关文件。</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我方对被授权人的签名事项负全部责任。</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在撤销授权的书面通知以前，本授权书一直有效。被授权人在授权书有效期内签署的所有文件不因授权的撤销而失效。</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被授权人无转委托权，特此委托。</w:t>
      </w:r>
    </w:p>
    <w:p>
      <w:pPr>
        <w:pStyle w:val="24"/>
        <w:spacing w:line="480" w:lineRule="exact"/>
        <w:ind w:firstLine="420" w:firstLineChars="200"/>
        <w:rPr>
          <w:rFonts w:ascii="Times New Roman" w:hAnsi="Times New Roman"/>
          <w:color w:val="auto"/>
          <w:szCs w:val="24"/>
        </w:rPr>
      </w:pPr>
      <w:r>
        <w:rPr>
          <w:rFonts w:hint="eastAsia" w:ascii="Times New Roman" w:hAnsi="Times New Roman"/>
          <w:color w:val="auto"/>
          <w:szCs w:val="24"/>
        </w:rPr>
        <w:t>附：法定代表人（负责人）（负责人）及被授权人有效身份证正反面复印件</w:t>
      </w:r>
    </w:p>
    <w:p>
      <w:pPr>
        <w:pStyle w:val="24"/>
        <w:spacing w:line="480" w:lineRule="exact"/>
        <w:rPr>
          <w:rFonts w:ascii="Times New Roman" w:hAnsi="Times New Roman"/>
          <w:color w:val="auto"/>
          <w:szCs w:val="24"/>
        </w:rPr>
      </w:pPr>
    </w:p>
    <w:p>
      <w:pPr>
        <w:pStyle w:val="24"/>
        <w:spacing w:line="480" w:lineRule="exact"/>
        <w:rPr>
          <w:rFonts w:ascii="Times New Roman" w:hAnsi="Times New Roman"/>
          <w:color w:val="auto"/>
          <w:szCs w:val="24"/>
        </w:rPr>
      </w:pPr>
      <w:r>
        <w:rPr>
          <w:rFonts w:hint="eastAsia" w:ascii="Times New Roman" w:hAnsi="Times New Roman"/>
          <w:color w:val="auto"/>
          <w:szCs w:val="24"/>
        </w:rPr>
        <w:t>被授权人签名：法定代表人（负责人）（负责人）签名：</w:t>
      </w:r>
    </w:p>
    <w:p>
      <w:pPr>
        <w:pStyle w:val="24"/>
        <w:spacing w:line="480" w:lineRule="exact"/>
        <w:rPr>
          <w:rFonts w:ascii="Times New Roman" w:hAnsi="Times New Roman"/>
          <w:color w:val="auto"/>
          <w:szCs w:val="24"/>
        </w:rPr>
      </w:pPr>
      <w:r>
        <w:rPr>
          <w:rFonts w:hint="eastAsia" w:ascii="Times New Roman" w:hAnsi="Times New Roman"/>
          <w:color w:val="auto"/>
          <w:szCs w:val="24"/>
        </w:rPr>
        <w:t>所在部门职务：                   职务：</w:t>
      </w:r>
    </w:p>
    <w:p>
      <w:pPr>
        <w:pStyle w:val="24"/>
        <w:spacing w:line="480" w:lineRule="exact"/>
        <w:rPr>
          <w:rFonts w:ascii="Times New Roman" w:hAnsi="Times New Roman"/>
          <w:color w:val="auto"/>
          <w:szCs w:val="24"/>
        </w:rPr>
      </w:pPr>
      <w:r>
        <w:rPr>
          <w:rFonts w:hint="eastAsia" w:ascii="Times New Roman" w:hAnsi="Times New Roman"/>
          <w:color w:val="auto"/>
          <w:szCs w:val="24"/>
        </w:rPr>
        <w:t>被授权人身份证号码：</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竞标单位公章：</w:t>
      </w:r>
    </w:p>
    <w:p>
      <w:pPr>
        <w:pStyle w:val="24"/>
        <w:spacing w:line="480" w:lineRule="exact"/>
        <w:rPr>
          <w:rFonts w:ascii="Times New Roman" w:hAnsi="Times New Roman"/>
          <w:color w:val="auto"/>
          <w:szCs w:val="24"/>
        </w:rPr>
      </w:pPr>
      <w:r>
        <w:rPr>
          <w:rFonts w:hint="eastAsia" w:ascii="Times New Roman" w:hAnsi="Times New Roman"/>
          <w:color w:val="auto"/>
          <w:szCs w:val="24"/>
        </w:rPr>
        <w:t xml:space="preserve">                                              年    月    日</w:t>
      </w:r>
    </w:p>
    <w:p>
      <w:pPr>
        <w:pStyle w:val="24"/>
        <w:spacing w:line="480" w:lineRule="exact"/>
        <w:ind w:firstLine="420"/>
        <w:rPr>
          <w:color w:val="auto"/>
        </w:rPr>
      </w:pPr>
    </w:p>
    <w:p>
      <w:pPr>
        <w:pStyle w:val="24"/>
        <w:spacing w:line="480" w:lineRule="exact"/>
        <w:rPr>
          <w:color w:val="auto"/>
        </w:rPr>
      </w:pPr>
    </w:p>
    <w:p>
      <w:pPr>
        <w:pStyle w:val="24"/>
        <w:spacing w:line="480" w:lineRule="exact"/>
        <w:ind w:firstLine="420"/>
        <w:rPr>
          <w:color w:val="auto"/>
        </w:rPr>
      </w:pPr>
      <w:r>
        <w:rPr>
          <w:rFonts w:hint="eastAsia"/>
          <w:color w:val="auto"/>
        </w:rPr>
        <w:t>说明：</w:t>
      </w:r>
    </w:p>
    <w:p>
      <w:pPr>
        <w:pStyle w:val="24"/>
        <w:spacing w:line="480" w:lineRule="exact"/>
        <w:ind w:firstLine="735"/>
        <w:rPr>
          <w:color w:val="auto"/>
        </w:rPr>
      </w:pPr>
      <w:r>
        <w:rPr>
          <w:rFonts w:hint="eastAsia"/>
          <w:color w:val="auto"/>
        </w:rPr>
        <w:t>1、</w:t>
      </w:r>
      <w:r>
        <w:rPr>
          <w:rFonts w:hint="eastAsia"/>
          <w:bCs/>
          <w:color w:val="auto"/>
        </w:rPr>
        <w:t>法人授权委托书所签发的</w:t>
      </w:r>
      <w:r>
        <w:rPr>
          <w:rFonts w:hint="eastAsia"/>
          <w:color w:val="auto"/>
        </w:rPr>
        <w:t>代理期限必须涵盖代理人所有签字为有效的时间。</w:t>
      </w:r>
    </w:p>
    <w:p>
      <w:pPr>
        <w:pStyle w:val="24"/>
        <w:spacing w:line="480" w:lineRule="exact"/>
        <w:ind w:firstLine="735"/>
        <w:rPr>
          <w:color w:val="auto"/>
        </w:rPr>
      </w:pPr>
      <w:r>
        <w:rPr>
          <w:rFonts w:hint="eastAsia"/>
          <w:color w:val="auto"/>
        </w:rPr>
        <w:t>2、委托书内容填写要明确，文字要工整清楚，涂改无效。</w:t>
      </w:r>
    </w:p>
    <w:p>
      <w:pPr>
        <w:pStyle w:val="24"/>
        <w:spacing w:line="480" w:lineRule="exact"/>
        <w:ind w:firstLine="735" w:firstLineChars="350"/>
        <w:rPr>
          <w:bCs/>
          <w:color w:val="auto"/>
        </w:rPr>
      </w:pPr>
      <w:r>
        <w:rPr>
          <w:rFonts w:hint="eastAsia"/>
          <w:bCs/>
          <w:color w:val="auto"/>
        </w:rPr>
        <w:t>3、委托书不得转借、转让，不得买卖。</w:t>
      </w:r>
    </w:p>
    <w:p>
      <w:pPr>
        <w:pStyle w:val="24"/>
        <w:spacing w:line="480" w:lineRule="exact"/>
        <w:ind w:firstLine="735"/>
        <w:rPr>
          <w:color w:val="auto"/>
        </w:rPr>
      </w:pPr>
      <w:r>
        <w:rPr>
          <w:bCs/>
          <w:color w:val="auto"/>
        </w:rPr>
        <w:t>4</w:t>
      </w:r>
      <w:r>
        <w:rPr>
          <w:rFonts w:hint="eastAsia"/>
          <w:bCs/>
          <w:color w:val="auto"/>
        </w:rPr>
        <w:t>、代理人根据授权范围，以委托单位的名义签订合同，并将此委托书提交给对方作为合同附件。</w:t>
      </w:r>
    </w:p>
    <w:p>
      <w:pPr>
        <w:pStyle w:val="24"/>
        <w:spacing w:line="420" w:lineRule="exact"/>
        <w:rPr>
          <w:color w:val="auto"/>
        </w:rPr>
      </w:pPr>
    </w:p>
    <w:p>
      <w:pPr>
        <w:spacing w:line="400" w:lineRule="exact"/>
        <w:ind w:left="420" w:leftChars="200"/>
        <w:jc w:val="center"/>
        <w:rPr>
          <w:b/>
          <w:color w:val="auto"/>
          <w:sz w:val="36"/>
          <w:szCs w:val="36"/>
        </w:rPr>
      </w:pPr>
      <w:bookmarkStart w:id="132" w:name="_Toc8583198"/>
      <w:r>
        <w:rPr>
          <w:rFonts w:hint="eastAsia"/>
          <w:b/>
          <w:color w:val="auto"/>
          <w:sz w:val="36"/>
          <w:szCs w:val="36"/>
        </w:rPr>
        <w:t>无重大违法记录声明书</w:t>
      </w:r>
    </w:p>
    <w:p>
      <w:pPr>
        <w:spacing w:line="360" w:lineRule="auto"/>
        <w:ind w:left="480"/>
        <w:rPr>
          <w:rFonts w:ascii="宋体" w:hAnsi="宋体" w:cs="宋体"/>
          <w:color w:val="auto"/>
        </w:rPr>
      </w:pPr>
    </w:p>
    <w:p>
      <w:pPr>
        <w:spacing w:line="480" w:lineRule="auto"/>
        <w:rPr>
          <w:rFonts w:ascii="宋体" w:hAnsi="宋体" w:cs="宋体"/>
          <w:color w:val="auto"/>
          <w:sz w:val="24"/>
        </w:rPr>
      </w:pPr>
      <w:r>
        <w:rPr>
          <w:rFonts w:hint="eastAsia" w:ascii="宋体" w:hAnsi="宋体" w:cs="宋体"/>
          <w:color w:val="auto"/>
          <w:sz w:val="24"/>
        </w:rPr>
        <w:t>广西创和工程项目管理有限公司：</w:t>
      </w:r>
    </w:p>
    <w:p>
      <w:pPr>
        <w:pStyle w:val="15"/>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rPr>
        <w:t>我公司参加贵公司组织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项</w:t>
      </w:r>
      <w:r>
        <w:rPr>
          <w:rFonts w:hint="eastAsia" w:ascii="宋体" w:hAnsi="宋体" w:eastAsia="宋体" w:cs="宋体"/>
          <w:color w:val="auto"/>
          <w:sz w:val="24"/>
          <w:szCs w:val="24"/>
        </w:rPr>
        <w:t>目的采购活动。我公司在此郑重声明，我公司参加本项目的采购活动前三年内在经营活动中没有重大违法记录，符合《中华人民共和国政府采购法》及《中华人民共和国政府采购实施条例》规定的供应商条件，我公司对此声明负全部法律责任。</w:t>
      </w:r>
    </w:p>
    <w:p>
      <w:pPr>
        <w:pStyle w:val="15"/>
        <w:snapToGrid w:val="0"/>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特此承诺。</w:t>
      </w:r>
    </w:p>
    <w:p>
      <w:pPr>
        <w:spacing w:line="360" w:lineRule="auto"/>
        <w:ind w:firstLine="470" w:firstLineChars="196"/>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spacing w:line="360" w:lineRule="auto"/>
        <w:ind w:right="480" w:firstLine="4080" w:firstLineChars="1700"/>
        <w:rPr>
          <w:rFonts w:ascii="宋体" w:hAnsi="宋体" w:cs="宋体"/>
          <w:color w:val="auto"/>
          <w:sz w:val="24"/>
        </w:rPr>
      </w:pPr>
    </w:p>
    <w:p>
      <w:pPr>
        <w:pStyle w:val="24"/>
        <w:spacing w:line="300" w:lineRule="auto"/>
        <w:rPr>
          <w:rFonts w:hAnsi="宋体" w:cs="宋体"/>
          <w:color w:val="auto"/>
          <w:sz w:val="24"/>
        </w:rPr>
      </w:pPr>
    </w:p>
    <w:p>
      <w:pPr>
        <w:pStyle w:val="15"/>
        <w:snapToGrid w:val="0"/>
        <w:jc w:val="center"/>
        <w:rPr>
          <w:rFonts w:ascii="宋体" w:hAnsi="宋体" w:eastAsia="宋体" w:cs="宋体"/>
          <w:color w:val="auto"/>
          <w:sz w:val="24"/>
          <w:szCs w:val="24"/>
        </w:rPr>
      </w:pPr>
      <w:r>
        <w:rPr>
          <w:rFonts w:hint="eastAsia" w:ascii="宋体" w:hAnsi="宋体" w:eastAsia="宋体" w:cs="宋体"/>
          <w:color w:val="auto"/>
          <w:sz w:val="24"/>
          <w:szCs w:val="24"/>
        </w:rPr>
        <w:t xml:space="preserve">    竞标单位全称（盖公章）：</w:t>
      </w:r>
      <w:r>
        <w:rPr>
          <w:rFonts w:hint="eastAsia" w:ascii="宋体" w:hAnsi="宋体" w:eastAsia="宋体" w:cs="宋体"/>
          <w:color w:val="auto"/>
          <w:sz w:val="24"/>
          <w:szCs w:val="24"/>
          <w:u w:val="single"/>
        </w:rPr>
        <w:t xml:space="preserve">                </w:t>
      </w:r>
    </w:p>
    <w:p>
      <w:pPr>
        <w:pStyle w:val="24"/>
        <w:rPr>
          <w:rFonts w:hAnsi="宋体" w:cs="宋体"/>
          <w:color w:val="auto"/>
          <w:sz w:val="24"/>
        </w:rPr>
      </w:pPr>
      <w:r>
        <w:rPr>
          <w:rFonts w:hAnsi="宋体" w:cs="宋体"/>
          <w:color w:val="auto"/>
          <w:sz w:val="24"/>
        </w:rPr>
        <w:t xml:space="preserve">                             </w:t>
      </w:r>
    </w:p>
    <w:p>
      <w:pPr>
        <w:spacing w:line="360" w:lineRule="auto"/>
        <w:ind w:firstLine="3720" w:firstLineChars="1550"/>
        <w:rPr>
          <w:rFonts w:ascii="宋体" w:hAnsi="宋体"/>
          <w:color w:val="auto"/>
          <w:sz w:val="24"/>
        </w:rPr>
      </w:pPr>
      <w:r>
        <w:rPr>
          <w:rFonts w:hint="eastAsia" w:ascii="宋体" w:hAnsi="宋体" w:cs="宋体"/>
          <w:color w:val="auto"/>
          <w:sz w:val="24"/>
        </w:rPr>
        <w:t>法定代表人（负责人）（负责人）或授权代表签字:</w:t>
      </w:r>
    </w:p>
    <w:p>
      <w:pPr>
        <w:spacing w:line="360" w:lineRule="auto"/>
        <w:ind w:left="481" w:leftChars="229" w:firstLine="3240" w:firstLineChars="1350"/>
        <w:rPr>
          <w:rFonts w:ascii="宋体"/>
          <w:color w:val="auto"/>
          <w:sz w:val="24"/>
        </w:rPr>
      </w:pPr>
      <w:r>
        <w:rPr>
          <w:rFonts w:hint="eastAsia" w:ascii="宋体"/>
          <w:color w:val="auto"/>
          <w:sz w:val="24"/>
        </w:rPr>
        <w:t>日期：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3240" w:firstLineChars="1350"/>
        <w:rPr>
          <w:rFonts w:ascii="宋体"/>
          <w:color w:val="auto"/>
          <w:sz w:val="24"/>
        </w:rPr>
      </w:pPr>
    </w:p>
    <w:p>
      <w:pPr>
        <w:spacing w:line="360" w:lineRule="auto"/>
        <w:ind w:left="481" w:leftChars="229" w:firstLine="2835" w:firstLineChars="1350"/>
        <w:rPr>
          <w:rFonts w:ascii="宋体" w:hAnsi="宋体" w:cs="宋体"/>
          <w:color w:val="auto"/>
        </w:rPr>
      </w:pPr>
    </w:p>
    <w:p>
      <w:pPr>
        <w:jc w:val="center"/>
        <w:rPr>
          <w:color w:val="auto"/>
        </w:rPr>
      </w:pPr>
      <w:r>
        <w:rPr>
          <w:rFonts w:hint="eastAsia" w:ascii="宋体" w:hAnsi="宋体"/>
          <w:color w:val="auto"/>
          <w:kern w:val="44"/>
          <w:sz w:val="32"/>
        </w:rPr>
        <w:t>四、</w:t>
      </w:r>
      <w:bookmarkEnd w:id="132"/>
      <w:bookmarkStart w:id="133" w:name="_Toc326079068"/>
      <w:bookmarkStart w:id="134" w:name="_Toc495333100"/>
      <w:r>
        <w:rPr>
          <w:rFonts w:hint="eastAsia" w:ascii="宋体" w:hAnsi="宋体"/>
          <w:color w:val="auto"/>
          <w:kern w:val="44"/>
          <w:sz w:val="32"/>
        </w:rPr>
        <w:t>技术方案</w:t>
      </w:r>
    </w:p>
    <w:p>
      <w:pPr>
        <w:pStyle w:val="24"/>
        <w:spacing w:line="420" w:lineRule="exact"/>
        <w:ind w:firstLine="420" w:firstLineChars="200"/>
        <w:jc w:val="center"/>
        <w:rPr>
          <w:color w:val="auto"/>
          <w:sz w:val="32"/>
        </w:rPr>
      </w:pPr>
      <w:r>
        <w:rPr>
          <w:rFonts w:hint="eastAsia" w:hAnsi="宋体"/>
          <w:color w:val="auto"/>
        </w:rPr>
        <w:t>【</w:t>
      </w:r>
      <w:r>
        <w:rPr>
          <w:rFonts w:hint="eastAsia"/>
          <w:color w:val="auto"/>
        </w:rPr>
        <w:t>由竞标</w:t>
      </w:r>
      <w:bookmarkEnd w:id="133"/>
      <w:bookmarkEnd w:id="134"/>
      <w:r>
        <w:rPr>
          <w:rFonts w:hint="eastAsia"/>
          <w:color w:val="auto"/>
        </w:rPr>
        <w:t>供应商就（项目需求及评标办法）要求自行编辑</w:t>
      </w:r>
      <w:r>
        <w:rPr>
          <w:rFonts w:hint="eastAsia" w:hAnsi="宋体"/>
          <w:color w:val="auto"/>
        </w:rPr>
        <w:t>】</w:t>
      </w:r>
    </w:p>
    <w:p>
      <w:pPr>
        <w:pStyle w:val="24"/>
        <w:jc w:val="center"/>
        <w:rPr>
          <w:color w:val="auto"/>
        </w:rPr>
      </w:pPr>
    </w:p>
    <w:p>
      <w:pPr>
        <w:pStyle w:val="4"/>
        <w:rPr>
          <w:rFonts w:ascii="宋体" w:hAnsi="宋体" w:eastAsia="宋体"/>
          <w:color w:val="auto"/>
          <w:kern w:val="44"/>
          <w:sz w:val="32"/>
        </w:rPr>
      </w:pPr>
      <w:bookmarkStart w:id="135" w:name="_Toc8583199"/>
      <w:r>
        <w:rPr>
          <w:rFonts w:hint="eastAsia" w:ascii="宋体" w:hAnsi="宋体" w:eastAsia="宋体"/>
          <w:color w:val="auto"/>
          <w:kern w:val="44"/>
          <w:sz w:val="32"/>
        </w:rPr>
        <w:t>五、</w:t>
      </w:r>
      <w:bookmarkEnd w:id="135"/>
      <w:bookmarkStart w:id="136" w:name="_Toc495333102"/>
      <w:bookmarkStart w:id="137" w:name="_Toc326079071"/>
      <w:r>
        <w:rPr>
          <w:rFonts w:hint="eastAsia" w:ascii="宋体" w:hAnsi="宋体" w:eastAsia="宋体"/>
          <w:color w:val="auto"/>
          <w:kern w:val="44"/>
          <w:sz w:val="32"/>
        </w:rPr>
        <w:t>实施方案</w:t>
      </w:r>
    </w:p>
    <w:bookmarkEnd w:id="136"/>
    <w:bookmarkEnd w:id="137"/>
    <w:p>
      <w:pPr>
        <w:pStyle w:val="24"/>
        <w:spacing w:line="420" w:lineRule="exact"/>
        <w:ind w:firstLine="420" w:firstLineChars="200"/>
        <w:jc w:val="center"/>
        <w:rPr>
          <w:color w:val="auto"/>
          <w:sz w:val="32"/>
        </w:rPr>
      </w:pPr>
      <w:r>
        <w:rPr>
          <w:rFonts w:hint="eastAsia" w:hAnsi="宋体"/>
          <w:color w:val="auto"/>
        </w:rPr>
        <w:t>【</w:t>
      </w:r>
      <w:r>
        <w:rPr>
          <w:rFonts w:hint="eastAsia"/>
          <w:color w:val="auto"/>
        </w:rPr>
        <w:t>由竞标供应商就（项目需求及评标办法）要求自行编辑</w:t>
      </w:r>
      <w:r>
        <w:rPr>
          <w:rFonts w:hint="eastAsia" w:hAnsi="宋体"/>
          <w:color w:val="auto"/>
        </w:rPr>
        <w:t>】</w:t>
      </w:r>
    </w:p>
    <w:p>
      <w:pPr>
        <w:rPr>
          <w:color w:val="auto"/>
          <w:sz w:val="32"/>
        </w:rPr>
      </w:pPr>
    </w:p>
    <w:p>
      <w:pPr>
        <w:pStyle w:val="2"/>
        <w:rPr>
          <w:b/>
          <w:bCs/>
          <w:color w:val="auto"/>
        </w:rPr>
      </w:pPr>
      <w:r>
        <w:rPr>
          <w:rFonts w:hint="eastAsia" w:ascii="宋体" w:hAnsi="宋体"/>
          <w:b/>
          <w:bCs/>
          <w:color w:val="auto"/>
          <w:kern w:val="44"/>
          <w:sz w:val="32"/>
        </w:rPr>
        <w:t>六、售后服务方案</w:t>
      </w:r>
    </w:p>
    <w:p>
      <w:pPr>
        <w:pStyle w:val="24"/>
        <w:spacing w:line="440" w:lineRule="exact"/>
        <w:rPr>
          <w:color w:val="auto"/>
        </w:rPr>
      </w:pPr>
    </w:p>
    <w:p>
      <w:pPr>
        <w:pStyle w:val="24"/>
        <w:spacing w:line="440" w:lineRule="exact"/>
        <w:ind w:firstLine="1890" w:firstLineChars="900"/>
        <w:rPr>
          <w:color w:val="auto"/>
        </w:rPr>
      </w:pPr>
      <w:r>
        <w:rPr>
          <w:rFonts w:hint="eastAsia"/>
          <w:color w:val="auto"/>
        </w:rPr>
        <w:t>【由竞标供应商就（项目需求及评标办法）要求自行编辑】</w:t>
      </w:r>
    </w:p>
    <w:p>
      <w:pPr>
        <w:pStyle w:val="24"/>
        <w:spacing w:line="440" w:lineRule="exact"/>
        <w:ind w:firstLine="210" w:firstLineChars="100"/>
        <w:rPr>
          <w:color w:val="auto"/>
        </w:rPr>
      </w:pPr>
    </w:p>
    <w:p>
      <w:pPr>
        <w:pStyle w:val="24"/>
        <w:spacing w:line="440" w:lineRule="exact"/>
        <w:ind w:firstLine="210" w:firstLineChars="100"/>
        <w:rPr>
          <w:color w:val="auto"/>
        </w:rPr>
      </w:pPr>
    </w:p>
    <w:p>
      <w:pPr>
        <w:spacing w:line="560" w:lineRule="exact"/>
        <w:rPr>
          <w:rFonts w:ascii="宋体" w:hAnsi="宋体"/>
          <w:b/>
          <w:bCs/>
          <w:color w:val="auto"/>
          <w:kern w:val="44"/>
          <w:sz w:val="32"/>
        </w:rPr>
      </w:pPr>
      <w:r>
        <w:rPr>
          <w:rFonts w:hint="eastAsia" w:ascii="宋体" w:hAnsi="宋体"/>
          <w:b/>
          <w:bCs/>
          <w:color w:val="auto"/>
          <w:kern w:val="44"/>
          <w:sz w:val="32"/>
        </w:rPr>
        <w:t xml:space="preserve">                       七、 服务承诺方案</w:t>
      </w:r>
    </w:p>
    <w:p>
      <w:pPr>
        <w:pStyle w:val="2"/>
        <w:ind w:firstLine="1890" w:firstLineChars="900"/>
        <w:jc w:val="both"/>
        <w:rPr>
          <w:rFonts w:ascii="宋体" w:hAnsi="Courier New" w:cstheme="minorBidi"/>
          <w:color w:val="auto"/>
          <w:sz w:val="21"/>
          <w:szCs w:val="22"/>
        </w:rPr>
      </w:pPr>
    </w:p>
    <w:p>
      <w:pPr>
        <w:pStyle w:val="2"/>
        <w:ind w:firstLine="1890" w:firstLineChars="900"/>
        <w:jc w:val="both"/>
        <w:rPr>
          <w:rFonts w:ascii="宋体" w:hAnsi="Courier New" w:cstheme="minorBidi"/>
          <w:color w:val="auto"/>
          <w:sz w:val="21"/>
          <w:szCs w:val="22"/>
        </w:rPr>
      </w:pPr>
      <w:r>
        <w:rPr>
          <w:rFonts w:hint="eastAsia" w:ascii="宋体" w:hAnsi="Courier New" w:cstheme="minorBidi"/>
          <w:color w:val="auto"/>
          <w:sz w:val="21"/>
          <w:szCs w:val="22"/>
        </w:rPr>
        <w:t>【由竞标供应商就（项目需求及评标办法）要求自行编辑】</w:t>
      </w:r>
    </w:p>
    <w:p>
      <w:pPr>
        <w:pStyle w:val="2"/>
        <w:ind w:firstLine="1890" w:firstLineChars="900"/>
        <w:jc w:val="both"/>
        <w:rPr>
          <w:rFonts w:ascii="宋体" w:hAnsi="Courier New" w:cstheme="minorBidi"/>
          <w:color w:val="auto"/>
          <w:sz w:val="21"/>
          <w:szCs w:val="22"/>
        </w:rPr>
      </w:pPr>
    </w:p>
    <w:p>
      <w:pPr>
        <w:pStyle w:val="2"/>
        <w:ind w:firstLine="1890" w:firstLineChars="900"/>
        <w:jc w:val="both"/>
        <w:rPr>
          <w:rFonts w:ascii="宋体" w:hAnsi="Courier New" w:cstheme="minorBidi"/>
          <w:color w:val="auto"/>
          <w:sz w:val="21"/>
          <w:szCs w:val="22"/>
        </w:rPr>
      </w:pPr>
    </w:p>
    <w:p>
      <w:pPr>
        <w:pStyle w:val="2"/>
        <w:ind w:firstLine="3855" w:firstLineChars="1200"/>
        <w:jc w:val="both"/>
        <w:rPr>
          <w:rFonts w:ascii="宋体" w:hAnsi="宋体"/>
          <w:b/>
          <w:bCs/>
          <w:color w:val="auto"/>
          <w:kern w:val="44"/>
          <w:sz w:val="32"/>
        </w:rPr>
      </w:pPr>
      <w:r>
        <w:rPr>
          <w:rFonts w:hint="eastAsia" w:ascii="宋体" w:hAnsi="宋体"/>
          <w:b/>
          <w:bCs/>
          <w:color w:val="auto"/>
          <w:kern w:val="44"/>
          <w:sz w:val="32"/>
        </w:rPr>
        <w:t>八、应急方案</w:t>
      </w:r>
    </w:p>
    <w:p>
      <w:pPr>
        <w:pStyle w:val="2"/>
        <w:jc w:val="both"/>
        <w:rPr>
          <w:rFonts w:ascii="宋体" w:hAnsi="Courier New" w:cstheme="minorBidi"/>
          <w:color w:val="auto"/>
          <w:sz w:val="21"/>
          <w:szCs w:val="22"/>
        </w:rPr>
      </w:pPr>
    </w:p>
    <w:p>
      <w:pPr>
        <w:pStyle w:val="2"/>
        <w:ind w:firstLine="1680" w:firstLineChars="800"/>
        <w:jc w:val="both"/>
        <w:rPr>
          <w:rFonts w:ascii="宋体" w:hAnsi="Courier New" w:cstheme="minorBidi"/>
          <w:color w:val="auto"/>
          <w:sz w:val="21"/>
          <w:szCs w:val="22"/>
        </w:rPr>
      </w:pPr>
      <w:r>
        <w:rPr>
          <w:rFonts w:hint="eastAsia" w:ascii="宋体" w:hAnsi="Courier New" w:cstheme="minorBidi"/>
          <w:color w:val="auto"/>
          <w:sz w:val="21"/>
          <w:szCs w:val="22"/>
        </w:rPr>
        <w:t>【由竞标供应商就（项目需求及评标办法）要求自行编辑】</w:t>
      </w:r>
    </w:p>
    <w:p>
      <w:pPr>
        <w:pStyle w:val="2"/>
        <w:jc w:val="both"/>
        <w:rPr>
          <w:rFonts w:ascii="宋体" w:hAnsi="Courier New" w:cstheme="minorBidi"/>
          <w:color w:val="auto"/>
          <w:sz w:val="21"/>
          <w:szCs w:val="22"/>
        </w:rPr>
      </w:pPr>
    </w:p>
    <w:p>
      <w:pPr>
        <w:pStyle w:val="2"/>
        <w:jc w:val="both"/>
        <w:rPr>
          <w:rFonts w:ascii="宋体" w:hAnsi="Courier New" w:cstheme="minorBidi"/>
          <w:color w:val="auto"/>
          <w:sz w:val="21"/>
          <w:szCs w:val="22"/>
        </w:rPr>
      </w:pPr>
    </w:p>
    <w:p>
      <w:pPr>
        <w:spacing w:line="560" w:lineRule="exact"/>
        <w:ind w:firstLine="1928" w:firstLineChars="600"/>
        <w:rPr>
          <w:rFonts w:ascii="宋体" w:hAnsi="宋体"/>
          <w:b/>
          <w:bCs/>
          <w:color w:val="auto"/>
          <w:kern w:val="44"/>
          <w:sz w:val="32"/>
        </w:rPr>
      </w:pPr>
      <w:r>
        <w:rPr>
          <w:rFonts w:hint="eastAsia" w:ascii="宋体" w:hAnsi="宋体"/>
          <w:b/>
          <w:bCs/>
          <w:color w:val="auto"/>
          <w:kern w:val="44"/>
          <w:sz w:val="32"/>
        </w:rPr>
        <w:t xml:space="preserve">   九、竞标供应商认为需要提供的其他有关资料</w:t>
      </w:r>
    </w:p>
    <w:p>
      <w:pPr>
        <w:spacing w:line="560" w:lineRule="exact"/>
        <w:ind w:firstLine="2520" w:firstLineChars="1200"/>
        <w:rPr>
          <w:rFonts w:ascii="宋体" w:hAnsi="宋体"/>
          <w:b/>
          <w:bCs/>
          <w:color w:val="auto"/>
          <w:kern w:val="44"/>
          <w:sz w:val="32"/>
        </w:rPr>
      </w:pPr>
      <w:r>
        <w:rPr>
          <w:rFonts w:hint="eastAsia"/>
          <w:color w:val="auto"/>
        </w:rPr>
        <w:t>（由竞标供应商根据自己实际情况如实提供）</w:t>
      </w: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spacing w:line="560" w:lineRule="exact"/>
        <w:ind w:firstLine="482"/>
        <w:rPr>
          <w:color w:val="auto"/>
        </w:rPr>
      </w:pPr>
    </w:p>
    <w:p>
      <w:pPr>
        <w:pStyle w:val="24"/>
        <w:spacing w:line="440" w:lineRule="exact"/>
        <w:rPr>
          <w:color w:val="auto"/>
        </w:rPr>
      </w:pPr>
    </w:p>
    <w:sectPr>
      <w:footerReference r:id="rId8" w:type="default"/>
      <w:pgSz w:w="11906" w:h="16838"/>
      <w:pgMar w:top="1440" w:right="1080" w:bottom="1440" w:left="1080" w:header="680" w:footer="68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0"/>
      <w:pBdr>
        <w:bottom w:val="none" w:color="auto" w:sz="0" w:space="0"/>
      </w:pBdr>
      <w:ind w:firstLine="1980"/>
      <w:jc w:val="right"/>
      <w:rPr>
        <w:rFonts w:ascii="方正仿宋简体" w:eastAsia="方正仿宋简体"/>
      </w:rPr>
    </w:pPr>
  </w:p>
  <w:p>
    <w:pPr>
      <w:rPr>
        <w:rFonts w:ascii="方正仿宋简体" w:eastAsia="方正仿宋简体"/>
      </w:rPr>
    </w:pPr>
  </w:p>
  <w:p>
    <w:pPr>
      <w:pStyle w:val="2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t>E  1</w:t>
    </w:r>
  </w:p>
  <w:p>
    <w:pPr>
      <w:pStyle w:val="29"/>
    </w:pPr>
  </w:p>
  <w:p/>
  <w:p>
    <w:r>
      <w:fldChar w:fldCharType="begin"/>
    </w:r>
    <w:r>
      <w:rPr>
        <w:rStyle w:val="48"/>
      </w:rPr>
      <w:fldChar w:fldCharType="end"/>
    </w:r>
    <w:r>
      <w:rPr>
        <w:rStyle w:val="48"/>
      </w:rPr>
      <w:t>PAG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p>
    <w:pPr>
      <w:pStyle w:val="30"/>
      <w:pBdr>
        <w:bottom w:val="none" w:color="auto" w:sz="0" w:space="0"/>
      </w:pBdr>
      <w:ind w:firstLine="1980"/>
      <w:jc w:val="right"/>
      <w:rPr>
        <w:rFonts w:ascii="方正仿宋简体" w:eastAsia="方正仿宋简体"/>
      </w:rPr>
    </w:pPr>
  </w:p>
  <w:p>
    <w:pPr>
      <w:rPr>
        <w:rFonts w:ascii="方正仿宋简体" w:eastAsia="方正仿宋简体"/>
      </w:rPr>
    </w:pPr>
  </w:p>
  <w:p>
    <w:pPr>
      <w:pStyle w:val="2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4"/>
      </w:pBdr>
      <w:wordWrap w:val="0"/>
      <w:jc w:val="both"/>
    </w:pPr>
    <w:r>
      <w:rPr>
        <w:rFonts w:hint="eastAsia" w:hAnsi="宋体"/>
        <w:bCs/>
      </w:rPr>
      <w:t>广西创和工程项目管理有限公司   北流市人民检察院新一代5G移动检务服务采购</w:t>
    </w:r>
    <w:r>
      <w:rPr>
        <w:rFonts w:hint="eastAsia"/>
        <w:color w:val="auto"/>
      </w:rPr>
      <w:t>（项目编号：</w:t>
    </w:r>
    <w:r>
      <w:rPr>
        <w:rFonts w:hint="eastAsia" w:hAnsi="宋体"/>
        <w:bCs/>
        <w:color w:val="auto"/>
        <w:szCs w:val="20"/>
        <w:lang w:eastAsia="zh-CN"/>
      </w:rPr>
      <w:t>YLZC2020-C3-810301-GXCH</w:t>
    </w:r>
    <w:r>
      <w:rPr>
        <w:rFonts w:hint="eastAsia"/>
        <w:color w:val="auto"/>
      </w:rPr>
      <w:t>）</w:t>
    </w:r>
    <w:r>
      <w:fldChar w:fldCharType="begin"/>
    </w:r>
    <w:r>
      <w:rPr>
        <w:rStyle w:val="4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hAnsi="宋体"/>
      </w:rPr>
      <w:t>渔业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rPr>
        <w:rStyle w:val="4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1">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2C728FC"/>
    <w:multiLevelType w:val="multilevel"/>
    <w:tmpl w:val="62C728FC"/>
    <w:lvl w:ilvl="0" w:tentative="0">
      <w:start w:val="1"/>
      <w:numFmt w:val="japaneseCounting"/>
      <w:lvlText w:val="%1、"/>
      <w:lvlJc w:val="left"/>
      <w:pPr>
        <w:tabs>
          <w:tab w:val="left" w:pos="925"/>
        </w:tabs>
        <w:ind w:left="925" w:hanging="420"/>
      </w:pPr>
      <w:rPr>
        <w:rFonts w:hint="eastAsia"/>
      </w:rPr>
    </w:lvl>
    <w:lvl w:ilvl="1" w:tentative="0">
      <w:start w:val="1"/>
      <w:numFmt w:val="decimal"/>
      <w:lvlText w:val="%2、"/>
      <w:lvlJc w:val="left"/>
      <w:pPr>
        <w:tabs>
          <w:tab w:val="left" w:pos="1285"/>
        </w:tabs>
        <w:ind w:left="1285" w:hanging="360"/>
      </w:pPr>
      <w:rPr>
        <w:rFonts w:hint="eastAsia"/>
        <w:b/>
      </w:rPr>
    </w:lvl>
    <w:lvl w:ilvl="2" w:tentative="0">
      <w:start w:val="1"/>
      <w:numFmt w:val="lowerRoman"/>
      <w:lvlText w:val="%3."/>
      <w:lvlJc w:val="right"/>
      <w:pPr>
        <w:tabs>
          <w:tab w:val="left" w:pos="1765"/>
        </w:tabs>
        <w:ind w:left="1765" w:hanging="420"/>
      </w:pPr>
    </w:lvl>
    <w:lvl w:ilvl="3" w:tentative="0">
      <w:start w:val="1"/>
      <w:numFmt w:val="decimal"/>
      <w:pStyle w:val="133"/>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33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361"/>
    <w:rsid w:val="00012A10"/>
    <w:rsid w:val="00023980"/>
    <w:rsid w:val="00023E39"/>
    <w:rsid w:val="00033B89"/>
    <w:rsid w:val="00037BD9"/>
    <w:rsid w:val="000732CB"/>
    <w:rsid w:val="00096194"/>
    <w:rsid w:val="000F3B22"/>
    <w:rsid w:val="000F51D1"/>
    <w:rsid w:val="0013528F"/>
    <w:rsid w:val="001436BE"/>
    <w:rsid w:val="0015584B"/>
    <w:rsid w:val="00185361"/>
    <w:rsid w:val="001A0460"/>
    <w:rsid w:val="001D51D7"/>
    <w:rsid w:val="001F2486"/>
    <w:rsid w:val="001F6DEB"/>
    <w:rsid w:val="00204C86"/>
    <w:rsid w:val="002268A9"/>
    <w:rsid w:val="002437E0"/>
    <w:rsid w:val="00252259"/>
    <w:rsid w:val="00280E51"/>
    <w:rsid w:val="002846FD"/>
    <w:rsid w:val="003104C1"/>
    <w:rsid w:val="0032100D"/>
    <w:rsid w:val="00325ABF"/>
    <w:rsid w:val="00333352"/>
    <w:rsid w:val="00347569"/>
    <w:rsid w:val="003613AE"/>
    <w:rsid w:val="003A2AB4"/>
    <w:rsid w:val="003B0F2E"/>
    <w:rsid w:val="003B3E88"/>
    <w:rsid w:val="003B675F"/>
    <w:rsid w:val="003C57D7"/>
    <w:rsid w:val="004214E3"/>
    <w:rsid w:val="004B7712"/>
    <w:rsid w:val="004D6E06"/>
    <w:rsid w:val="004E0F05"/>
    <w:rsid w:val="004F07B4"/>
    <w:rsid w:val="004F0D4E"/>
    <w:rsid w:val="005006B8"/>
    <w:rsid w:val="005255D6"/>
    <w:rsid w:val="005C2630"/>
    <w:rsid w:val="005F4288"/>
    <w:rsid w:val="00612A1C"/>
    <w:rsid w:val="0062472C"/>
    <w:rsid w:val="00650ED0"/>
    <w:rsid w:val="0068401E"/>
    <w:rsid w:val="00693E88"/>
    <w:rsid w:val="006C7DBB"/>
    <w:rsid w:val="006D23ED"/>
    <w:rsid w:val="006E0558"/>
    <w:rsid w:val="006E496C"/>
    <w:rsid w:val="006F08F1"/>
    <w:rsid w:val="00716758"/>
    <w:rsid w:val="00735607"/>
    <w:rsid w:val="0073652C"/>
    <w:rsid w:val="00740C45"/>
    <w:rsid w:val="0075388F"/>
    <w:rsid w:val="00754500"/>
    <w:rsid w:val="007824E4"/>
    <w:rsid w:val="007B32D9"/>
    <w:rsid w:val="00851910"/>
    <w:rsid w:val="00855AC4"/>
    <w:rsid w:val="008756FA"/>
    <w:rsid w:val="008867CD"/>
    <w:rsid w:val="00891E0D"/>
    <w:rsid w:val="008976AC"/>
    <w:rsid w:val="008C6624"/>
    <w:rsid w:val="008D64E4"/>
    <w:rsid w:val="00917AAF"/>
    <w:rsid w:val="009212A0"/>
    <w:rsid w:val="00955564"/>
    <w:rsid w:val="009719ED"/>
    <w:rsid w:val="00974CAB"/>
    <w:rsid w:val="009D483B"/>
    <w:rsid w:val="009D62F2"/>
    <w:rsid w:val="009F670B"/>
    <w:rsid w:val="00A05AB4"/>
    <w:rsid w:val="00A077EC"/>
    <w:rsid w:val="00A515AF"/>
    <w:rsid w:val="00A523DC"/>
    <w:rsid w:val="00A76668"/>
    <w:rsid w:val="00A851D9"/>
    <w:rsid w:val="00AC25DD"/>
    <w:rsid w:val="00AD057C"/>
    <w:rsid w:val="00AD30AC"/>
    <w:rsid w:val="00AE3787"/>
    <w:rsid w:val="00AF2E30"/>
    <w:rsid w:val="00B0009C"/>
    <w:rsid w:val="00B610F1"/>
    <w:rsid w:val="00B81540"/>
    <w:rsid w:val="00BB2A39"/>
    <w:rsid w:val="00BB4885"/>
    <w:rsid w:val="00BC7DDB"/>
    <w:rsid w:val="00C2529C"/>
    <w:rsid w:val="00C90444"/>
    <w:rsid w:val="00CA134D"/>
    <w:rsid w:val="00CB5764"/>
    <w:rsid w:val="00CD056F"/>
    <w:rsid w:val="00CD52CC"/>
    <w:rsid w:val="00D84412"/>
    <w:rsid w:val="00DA2D78"/>
    <w:rsid w:val="00DB6F71"/>
    <w:rsid w:val="00DC2C44"/>
    <w:rsid w:val="00DE7218"/>
    <w:rsid w:val="00DE7A59"/>
    <w:rsid w:val="00DF05F9"/>
    <w:rsid w:val="00E06D2A"/>
    <w:rsid w:val="00E36BC2"/>
    <w:rsid w:val="00E6236D"/>
    <w:rsid w:val="00E9730C"/>
    <w:rsid w:val="00EC5647"/>
    <w:rsid w:val="00ED7D44"/>
    <w:rsid w:val="00F326AF"/>
    <w:rsid w:val="00F663BA"/>
    <w:rsid w:val="00F90A7F"/>
    <w:rsid w:val="00FB1B6E"/>
    <w:rsid w:val="00FB2600"/>
    <w:rsid w:val="00FC7453"/>
    <w:rsid w:val="00FD3FCC"/>
    <w:rsid w:val="00FF5939"/>
    <w:rsid w:val="05B6466D"/>
    <w:rsid w:val="05DD5FCF"/>
    <w:rsid w:val="070A511C"/>
    <w:rsid w:val="0CE01D0F"/>
    <w:rsid w:val="17E2637B"/>
    <w:rsid w:val="18A96E53"/>
    <w:rsid w:val="1BE16260"/>
    <w:rsid w:val="1DAE0870"/>
    <w:rsid w:val="1E063B05"/>
    <w:rsid w:val="1E0D6605"/>
    <w:rsid w:val="231D2CE6"/>
    <w:rsid w:val="27F43BF5"/>
    <w:rsid w:val="2DBC35B9"/>
    <w:rsid w:val="30C66583"/>
    <w:rsid w:val="30EE23C4"/>
    <w:rsid w:val="35435E6D"/>
    <w:rsid w:val="356E7142"/>
    <w:rsid w:val="35936826"/>
    <w:rsid w:val="38D0549F"/>
    <w:rsid w:val="39E877A5"/>
    <w:rsid w:val="3D0C6ABD"/>
    <w:rsid w:val="3EFF726E"/>
    <w:rsid w:val="46F31988"/>
    <w:rsid w:val="4A17224A"/>
    <w:rsid w:val="4BD127CF"/>
    <w:rsid w:val="523D0CE7"/>
    <w:rsid w:val="5C3B4A8D"/>
    <w:rsid w:val="61AC203E"/>
    <w:rsid w:val="653A70A0"/>
    <w:rsid w:val="695E3C3C"/>
    <w:rsid w:val="6D272F32"/>
    <w:rsid w:val="6D4523BB"/>
    <w:rsid w:val="6D716BAE"/>
    <w:rsid w:val="70F7349B"/>
    <w:rsid w:val="739A1DF4"/>
    <w:rsid w:val="761E79A2"/>
    <w:rsid w:val="7A336232"/>
    <w:rsid w:val="7AA60411"/>
    <w:rsid w:val="7F5563A2"/>
    <w:rsid w:val="7FD01F7B"/>
    <w:rsid w:val="7FD06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outlineLvl w:val="0"/>
    </w:pPr>
    <w:rPr>
      <w:b/>
    </w:rPr>
  </w:style>
  <w:style w:type="paragraph" w:styleId="4">
    <w:name w:val="heading 2"/>
    <w:basedOn w:val="1"/>
    <w:next w:val="1"/>
    <w:link w:val="55"/>
    <w:qFormat/>
    <w:uiPriority w:val="0"/>
    <w:pPr>
      <w:keepNext/>
      <w:keepLines/>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link w:val="56"/>
    <w:qFormat/>
    <w:uiPriority w:val="0"/>
    <w:pPr>
      <w:keepNext/>
      <w:keepLines/>
      <w:spacing w:before="260" w:after="260" w:line="416" w:lineRule="auto"/>
      <w:outlineLvl w:val="2"/>
    </w:pPr>
    <w:rPr>
      <w:b/>
      <w:bCs/>
      <w:sz w:val="32"/>
      <w:szCs w:val="32"/>
    </w:rPr>
  </w:style>
  <w:style w:type="paragraph" w:styleId="6">
    <w:name w:val="heading 4"/>
    <w:basedOn w:val="1"/>
    <w:next w:val="7"/>
    <w:link w:val="54"/>
    <w:qFormat/>
    <w:uiPriority w:val="0"/>
    <w:pPr>
      <w:keepNext/>
      <w:adjustRightInd w:val="0"/>
      <w:spacing w:line="312" w:lineRule="atLeast"/>
      <w:textAlignment w:val="baseline"/>
      <w:outlineLvl w:val="3"/>
    </w:pPr>
    <w:rPr>
      <w:b/>
      <w:kern w:val="0"/>
      <w:sz w:val="24"/>
      <w:szCs w:val="20"/>
    </w:rPr>
  </w:style>
  <w:style w:type="paragraph" w:styleId="8">
    <w:name w:val="heading 5"/>
    <w:basedOn w:val="1"/>
    <w:next w:val="7"/>
    <w:link w:val="53"/>
    <w:qFormat/>
    <w:uiPriority w:val="0"/>
    <w:pPr>
      <w:keepNext/>
      <w:keepLines/>
      <w:spacing w:before="280" w:after="290" w:line="376" w:lineRule="auto"/>
      <w:outlineLvl w:val="4"/>
    </w:pPr>
    <w:rPr>
      <w:b/>
      <w:sz w:val="28"/>
      <w:szCs w:val="20"/>
    </w:rPr>
  </w:style>
  <w:style w:type="paragraph" w:styleId="9">
    <w:name w:val="heading 6"/>
    <w:basedOn w:val="1"/>
    <w:next w:val="7"/>
    <w:link w:val="57"/>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59"/>
    <w:qFormat/>
    <w:uiPriority w:val="0"/>
    <w:pPr>
      <w:keepNext/>
      <w:keepLines/>
      <w:spacing w:before="240" w:after="64" w:line="320" w:lineRule="auto"/>
      <w:outlineLvl w:val="6"/>
    </w:pPr>
    <w:rPr>
      <w:b/>
      <w:sz w:val="24"/>
      <w:szCs w:val="20"/>
    </w:rPr>
  </w:style>
  <w:style w:type="paragraph" w:styleId="11">
    <w:name w:val="heading 8"/>
    <w:basedOn w:val="1"/>
    <w:next w:val="7"/>
    <w:link w:val="6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61"/>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line="0" w:lineRule="atLeast"/>
      <w:jc w:val="center"/>
    </w:pPr>
    <w:rPr>
      <w:sz w:val="28"/>
    </w:rPr>
  </w:style>
  <w:style w:type="paragraph" w:styleId="7">
    <w:name w:val="Normal Indent"/>
    <w:basedOn w:val="1"/>
    <w:qFormat/>
    <w:uiPriority w:val="0"/>
    <w:pPr>
      <w:ind w:firstLine="420" w:firstLineChars="200"/>
    </w:pPr>
  </w:style>
  <w:style w:type="paragraph" w:styleId="13">
    <w:name w:val="toc 7"/>
    <w:basedOn w:val="1"/>
    <w:next w:val="1"/>
    <w:semiHidden/>
    <w:qFormat/>
    <w:uiPriority w:val="0"/>
    <w:pPr>
      <w:ind w:left="1260"/>
      <w:jc w:val="left"/>
    </w:pPr>
    <w:rPr>
      <w:rFonts w:ascii="Calibri" w:hAnsi="Calibri"/>
      <w:sz w:val="18"/>
      <w:szCs w:val="18"/>
    </w:rPr>
  </w:style>
  <w:style w:type="paragraph" w:styleId="14">
    <w:name w:val="index 8"/>
    <w:basedOn w:val="1"/>
    <w:next w:val="1"/>
    <w:unhideWhenUsed/>
    <w:qFormat/>
    <w:uiPriority w:val="99"/>
    <w:pPr>
      <w:ind w:left="1400" w:leftChars="14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numPr>
        <w:ilvl w:val="0"/>
        <w:numId w:val="1"/>
      </w:numPr>
    </w:pPr>
  </w:style>
  <w:style w:type="paragraph" w:styleId="17">
    <w:name w:val="Document Map"/>
    <w:basedOn w:val="1"/>
    <w:link w:val="130"/>
    <w:semiHidden/>
    <w:qFormat/>
    <w:uiPriority w:val="0"/>
    <w:pPr>
      <w:shd w:val="clear" w:color="auto" w:fill="000080"/>
    </w:pPr>
  </w:style>
  <w:style w:type="paragraph" w:styleId="18">
    <w:name w:val="annotation text"/>
    <w:basedOn w:val="1"/>
    <w:link w:val="123"/>
    <w:semiHidden/>
    <w:unhideWhenUsed/>
    <w:qFormat/>
    <w:uiPriority w:val="0"/>
    <w:pPr>
      <w:jc w:val="left"/>
    </w:pPr>
  </w:style>
  <w:style w:type="paragraph" w:styleId="19">
    <w:name w:val="Body Text 3"/>
    <w:basedOn w:val="1"/>
    <w:link w:val="151"/>
    <w:qFormat/>
    <w:uiPriority w:val="0"/>
    <w:pPr>
      <w:spacing w:line="500" w:lineRule="exact"/>
    </w:pPr>
    <w:rPr>
      <w:rFonts w:eastAsia="仿宋_GB2312"/>
      <w:sz w:val="28"/>
      <w:szCs w:val="20"/>
    </w:rPr>
  </w:style>
  <w:style w:type="paragraph" w:styleId="20">
    <w:name w:val="Body Text"/>
    <w:basedOn w:val="1"/>
    <w:next w:val="1"/>
    <w:link w:val="134"/>
    <w:qFormat/>
    <w:uiPriority w:val="0"/>
    <w:pPr>
      <w:jc w:val="center"/>
    </w:pPr>
  </w:style>
  <w:style w:type="paragraph" w:styleId="21">
    <w:name w:val="Body Text Indent"/>
    <w:basedOn w:val="1"/>
    <w:link w:val="140"/>
    <w:qFormat/>
    <w:uiPriority w:val="0"/>
    <w:pPr>
      <w:spacing w:line="200" w:lineRule="exact"/>
      <w:ind w:firstLine="301"/>
    </w:pPr>
    <w:rPr>
      <w:rFonts w:ascii="宋体" w:hAnsi="Courier New" w:cstheme="minorBidi"/>
      <w:spacing w:val="-4"/>
      <w:sz w:val="18"/>
      <w:szCs w:val="22"/>
    </w:rPr>
  </w:style>
  <w:style w:type="paragraph" w:styleId="22">
    <w:name w:val="toc 5"/>
    <w:basedOn w:val="1"/>
    <w:next w:val="1"/>
    <w:semiHidden/>
    <w:qFormat/>
    <w:uiPriority w:val="0"/>
    <w:pPr>
      <w:ind w:left="840"/>
      <w:jc w:val="left"/>
    </w:pPr>
    <w:rPr>
      <w:rFonts w:ascii="Calibri" w:hAnsi="Calibri"/>
      <w:sz w:val="18"/>
      <w:szCs w:val="18"/>
    </w:rPr>
  </w:style>
  <w:style w:type="paragraph" w:styleId="23">
    <w:name w:val="toc 3"/>
    <w:basedOn w:val="1"/>
    <w:next w:val="1"/>
    <w:qFormat/>
    <w:uiPriority w:val="39"/>
    <w:pPr>
      <w:ind w:left="420"/>
      <w:jc w:val="left"/>
    </w:pPr>
    <w:rPr>
      <w:rFonts w:ascii="Calibri" w:hAnsi="Calibri"/>
      <w:i/>
      <w:iCs/>
      <w:sz w:val="20"/>
      <w:szCs w:val="20"/>
    </w:rPr>
  </w:style>
  <w:style w:type="paragraph" w:styleId="24">
    <w:name w:val="Plain Text"/>
    <w:basedOn w:val="1"/>
    <w:link w:val="112"/>
    <w:qFormat/>
    <w:uiPriority w:val="0"/>
    <w:rPr>
      <w:rFonts w:ascii="宋体" w:hAnsi="Courier New" w:cstheme="minorBidi"/>
      <w:szCs w:val="22"/>
    </w:rPr>
  </w:style>
  <w:style w:type="paragraph" w:styleId="25">
    <w:name w:val="toc 8"/>
    <w:basedOn w:val="1"/>
    <w:next w:val="1"/>
    <w:semiHidden/>
    <w:qFormat/>
    <w:uiPriority w:val="0"/>
    <w:pPr>
      <w:ind w:left="1470"/>
      <w:jc w:val="left"/>
    </w:pPr>
    <w:rPr>
      <w:rFonts w:ascii="Calibri" w:hAnsi="Calibri"/>
      <w:sz w:val="18"/>
      <w:szCs w:val="18"/>
    </w:rPr>
  </w:style>
  <w:style w:type="paragraph" w:styleId="26">
    <w:name w:val="Date"/>
    <w:basedOn w:val="1"/>
    <w:next w:val="1"/>
    <w:link w:val="105"/>
    <w:qFormat/>
    <w:uiPriority w:val="0"/>
    <w:pPr>
      <w:ind w:left="100" w:leftChars="2500"/>
    </w:pPr>
    <w:rPr>
      <w:rFonts w:ascii="宋体" w:hAnsi="Courier New"/>
      <w:szCs w:val="20"/>
    </w:rPr>
  </w:style>
  <w:style w:type="paragraph" w:styleId="27">
    <w:name w:val="Body Text Indent 2"/>
    <w:basedOn w:val="1"/>
    <w:link w:val="143"/>
    <w:qFormat/>
    <w:uiPriority w:val="0"/>
    <w:pPr>
      <w:ind w:firstLine="412" w:firstLineChars="196"/>
    </w:pPr>
  </w:style>
  <w:style w:type="paragraph" w:styleId="28">
    <w:name w:val="Balloon Text"/>
    <w:basedOn w:val="1"/>
    <w:link w:val="138"/>
    <w:semiHidden/>
    <w:qFormat/>
    <w:uiPriority w:val="0"/>
    <w:rPr>
      <w:sz w:val="18"/>
      <w:szCs w:val="18"/>
    </w:rPr>
  </w:style>
  <w:style w:type="paragraph" w:styleId="29">
    <w:name w:val="footer"/>
    <w:basedOn w:val="1"/>
    <w:link w:val="125"/>
    <w:qFormat/>
    <w:uiPriority w:val="99"/>
    <w:pPr>
      <w:tabs>
        <w:tab w:val="center" w:pos="4153"/>
        <w:tab w:val="right" w:pos="8306"/>
      </w:tabs>
      <w:snapToGrid w:val="0"/>
      <w:jc w:val="left"/>
    </w:pPr>
    <w:rPr>
      <w:rFonts w:ascii="宋体" w:hAnsi="Courier New" w:cstheme="minorBidi"/>
      <w:sz w:val="18"/>
      <w:szCs w:val="22"/>
    </w:rPr>
  </w:style>
  <w:style w:type="paragraph" w:styleId="30">
    <w:name w:val="header"/>
    <w:basedOn w:val="1"/>
    <w:link w:val="142"/>
    <w:qFormat/>
    <w:uiPriority w:val="0"/>
    <w:pPr>
      <w:pBdr>
        <w:bottom w:val="single" w:color="auto" w:sz="6" w:space="1"/>
      </w:pBdr>
      <w:tabs>
        <w:tab w:val="center" w:pos="4153"/>
        <w:tab w:val="right" w:pos="8306"/>
      </w:tabs>
      <w:snapToGrid w:val="0"/>
      <w:jc w:val="center"/>
    </w:pPr>
    <w:rPr>
      <w:rFonts w:ascii="宋体" w:hAnsi="Courier New" w:cstheme="minorBidi"/>
      <w:sz w:val="18"/>
      <w:szCs w:val="22"/>
    </w:rPr>
  </w:style>
  <w:style w:type="paragraph" w:styleId="31">
    <w:name w:val="toc 1"/>
    <w:basedOn w:val="1"/>
    <w:next w:val="1"/>
    <w:qFormat/>
    <w:uiPriority w:val="39"/>
    <w:pPr>
      <w:spacing w:before="120" w:after="120"/>
      <w:jc w:val="left"/>
    </w:pPr>
    <w:rPr>
      <w:rFonts w:ascii="Calibri" w:hAnsi="Calibri"/>
      <w:b/>
      <w:bCs/>
      <w:caps/>
      <w:sz w:val="20"/>
      <w:szCs w:val="20"/>
    </w:rPr>
  </w:style>
  <w:style w:type="paragraph" w:styleId="32">
    <w:name w:val="toc 4"/>
    <w:basedOn w:val="1"/>
    <w:next w:val="1"/>
    <w:qFormat/>
    <w:uiPriority w:val="39"/>
    <w:pPr>
      <w:ind w:left="630"/>
      <w:jc w:val="left"/>
    </w:pPr>
    <w:rPr>
      <w:rFonts w:ascii="Calibri" w:hAnsi="Calibri"/>
      <w:sz w:val="18"/>
      <w:szCs w:val="18"/>
    </w:rPr>
  </w:style>
  <w:style w:type="paragraph" w:styleId="33">
    <w:name w:val="toc 6"/>
    <w:basedOn w:val="1"/>
    <w:next w:val="1"/>
    <w:semiHidden/>
    <w:qFormat/>
    <w:uiPriority w:val="0"/>
    <w:pPr>
      <w:ind w:left="1050"/>
      <w:jc w:val="left"/>
    </w:pPr>
    <w:rPr>
      <w:rFonts w:ascii="Calibri" w:hAnsi="Calibri"/>
      <w:sz w:val="18"/>
      <w:szCs w:val="18"/>
    </w:rPr>
  </w:style>
  <w:style w:type="paragraph" w:styleId="34">
    <w:name w:val="Body Text Indent 3"/>
    <w:basedOn w:val="1"/>
    <w:link w:val="141"/>
    <w:qFormat/>
    <w:uiPriority w:val="0"/>
    <w:pPr>
      <w:spacing w:line="400" w:lineRule="exact"/>
      <w:ind w:firstLine="420" w:firstLineChars="200"/>
    </w:pPr>
    <w:rPr>
      <w:rFonts w:ascii="宋体" w:hAnsi="宋体"/>
      <w:szCs w:val="32"/>
    </w:r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semiHidden/>
    <w:qFormat/>
    <w:uiPriority w:val="0"/>
    <w:pPr>
      <w:ind w:left="1680"/>
      <w:jc w:val="left"/>
    </w:pPr>
    <w:rPr>
      <w:rFonts w:ascii="Calibri" w:hAnsi="Calibri"/>
      <w:sz w:val="18"/>
      <w:szCs w:val="18"/>
    </w:rPr>
  </w:style>
  <w:style w:type="paragraph" w:styleId="37">
    <w:name w:val="Body Text 2"/>
    <w:basedOn w:val="1"/>
    <w:link w:val="108"/>
    <w:qFormat/>
    <w:uiPriority w:val="0"/>
    <w:pPr>
      <w:spacing w:line="320" w:lineRule="exact"/>
    </w:pPr>
    <w:rPr>
      <w:b/>
      <w:bCs/>
    </w:rPr>
  </w:style>
  <w:style w:type="paragraph" w:styleId="38">
    <w:name w:val="HTML Preformatted"/>
    <w:basedOn w:val="1"/>
    <w:link w:val="106"/>
    <w:qFormat/>
    <w:uiPriority w:val="99"/>
    <w:rPr>
      <w:rFonts w:ascii="Courier New" w:hAnsi="Courier New" w:cs="Courier New" w:eastAsiaTheme="minorEastAsia"/>
      <w:szCs w:val="22"/>
    </w:rPr>
  </w:style>
  <w:style w:type="paragraph" w:styleId="3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40">
    <w:name w:val="index 1"/>
    <w:basedOn w:val="1"/>
    <w:next w:val="1"/>
    <w:semiHidden/>
    <w:qFormat/>
    <w:uiPriority w:val="0"/>
    <w:pPr>
      <w:spacing w:line="360" w:lineRule="auto"/>
    </w:pPr>
    <w:rPr>
      <w:rFonts w:ascii="宋体" w:hAnsi="宋体"/>
      <w:bCs/>
      <w:szCs w:val="21"/>
    </w:rPr>
  </w:style>
  <w:style w:type="paragraph" w:styleId="41">
    <w:name w:val="Title"/>
    <w:basedOn w:val="1"/>
    <w:next w:val="1"/>
    <w:link w:val="132"/>
    <w:qFormat/>
    <w:uiPriority w:val="0"/>
    <w:pPr>
      <w:spacing w:before="240" w:after="60"/>
      <w:jc w:val="center"/>
      <w:outlineLvl w:val="0"/>
    </w:pPr>
    <w:rPr>
      <w:rFonts w:ascii="Cambria" w:hAnsi="Cambria" w:eastAsiaTheme="minorEastAsia"/>
      <w:b/>
      <w:bCs/>
      <w:sz w:val="32"/>
      <w:szCs w:val="32"/>
    </w:rPr>
  </w:style>
  <w:style w:type="paragraph" w:styleId="42">
    <w:name w:val="annotation subject"/>
    <w:basedOn w:val="18"/>
    <w:next w:val="18"/>
    <w:link w:val="124"/>
    <w:semiHidden/>
    <w:qFormat/>
    <w:uiPriority w:val="0"/>
    <w:rPr>
      <w:b/>
      <w:bCs/>
    </w:rPr>
  </w:style>
  <w:style w:type="paragraph" w:styleId="43">
    <w:name w:val="Body Text First Indent 2"/>
    <w:basedOn w:val="21"/>
    <w:link w:val="181"/>
    <w:qFormat/>
    <w:uiPriority w:val="0"/>
    <w:pPr>
      <w:spacing w:after="120" w:line="240" w:lineRule="auto"/>
      <w:ind w:left="200" w:leftChars="200" w:firstLine="420" w:firstLineChars="200"/>
    </w:pPr>
    <w:rPr>
      <w:rFonts w:hAnsi="宋体"/>
      <w:spacing w:val="0"/>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semiHidden/>
    <w:qFormat/>
    <w:uiPriority w:val="0"/>
    <w:rPr>
      <w:sz w:val="21"/>
      <w:szCs w:val="21"/>
    </w:rPr>
  </w:style>
  <w:style w:type="character" w:customStyle="1" w:styleId="53">
    <w:name w:val="标题 5 Char"/>
    <w:basedOn w:val="46"/>
    <w:link w:val="8"/>
    <w:qFormat/>
    <w:uiPriority w:val="0"/>
    <w:rPr>
      <w:rFonts w:ascii="Times New Roman" w:hAnsi="Times New Roman" w:eastAsia="宋体" w:cs="Times New Roman"/>
      <w:b/>
      <w:sz w:val="28"/>
      <w:szCs w:val="20"/>
    </w:rPr>
  </w:style>
  <w:style w:type="character" w:customStyle="1" w:styleId="54">
    <w:name w:val="标题 4 Char"/>
    <w:basedOn w:val="46"/>
    <w:link w:val="6"/>
    <w:qFormat/>
    <w:uiPriority w:val="0"/>
    <w:rPr>
      <w:rFonts w:ascii="Times New Roman" w:hAnsi="Times New Roman" w:eastAsia="宋体" w:cs="Times New Roman"/>
      <w:b/>
      <w:kern w:val="0"/>
      <w:sz w:val="24"/>
      <w:szCs w:val="20"/>
    </w:rPr>
  </w:style>
  <w:style w:type="character" w:customStyle="1" w:styleId="55">
    <w:name w:val="标题 2 Char"/>
    <w:basedOn w:val="46"/>
    <w:link w:val="4"/>
    <w:qFormat/>
    <w:uiPriority w:val="0"/>
    <w:rPr>
      <w:rFonts w:ascii="Arial" w:hAnsi="Arial" w:eastAsia="黑体" w:cs="Times New Roman"/>
      <w:b/>
      <w:spacing w:val="24"/>
      <w:kern w:val="0"/>
      <w:sz w:val="24"/>
      <w:szCs w:val="20"/>
    </w:rPr>
  </w:style>
  <w:style w:type="character" w:customStyle="1" w:styleId="56">
    <w:name w:val="标题 3 Char"/>
    <w:basedOn w:val="46"/>
    <w:link w:val="5"/>
    <w:qFormat/>
    <w:uiPriority w:val="0"/>
    <w:rPr>
      <w:rFonts w:ascii="Times New Roman" w:hAnsi="Times New Roman" w:eastAsia="宋体" w:cs="Times New Roman"/>
      <w:b/>
      <w:bCs/>
      <w:sz w:val="32"/>
      <w:szCs w:val="32"/>
    </w:rPr>
  </w:style>
  <w:style w:type="character" w:customStyle="1" w:styleId="57">
    <w:name w:val="标题 6 Char"/>
    <w:basedOn w:val="46"/>
    <w:link w:val="9"/>
    <w:qFormat/>
    <w:uiPriority w:val="0"/>
    <w:rPr>
      <w:rFonts w:ascii="Arial" w:hAnsi="Arial" w:eastAsia="黑体" w:cs="Times New Roman"/>
      <w:b/>
      <w:sz w:val="24"/>
      <w:szCs w:val="20"/>
    </w:rPr>
  </w:style>
  <w:style w:type="character" w:customStyle="1" w:styleId="58">
    <w:name w:val="标题 1 Char"/>
    <w:basedOn w:val="46"/>
    <w:link w:val="3"/>
    <w:qFormat/>
    <w:uiPriority w:val="0"/>
    <w:rPr>
      <w:rFonts w:ascii="Times New Roman" w:hAnsi="Times New Roman" w:eastAsia="宋体" w:cs="Times New Roman"/>
      <w:b/>
      <w:szCs w:val="24"/>
    </w:rPr>
  </w:style>
  <w:style w:type="character" w:customStyle="1" w:styleId="59">
    <w:name w:val="标题 7 Char"/>
    <w:basedOn w:val="46"/>
    <w:link w:val="10"/>
    <w:qFormat/>
    <w:uiPriority w:val="0"/>
    <w:rPr>
      <w:rFonts w:ascii="Times New Roman" w:hAnsi="Times New Roman" w:eastAsia="宋体" w:cs="Times New Roman"/>
      <w:b/>
      <w:sz w:val="24"/>
      <w:szCs w:val="20"/>
    </w:rPr>
  </w:style>
  <w:style w:type="character" w:customStyle="1" w:styleId="60">
    <w:name w:val="标题 8 Char"/>
    <w:basedOn w:val="46"/>
    <w:link w:val="11"/>
    <w:qFormat/>
    <w:uiPriority w:val="0"/>
    <w:rPr>
      <w:rFonts w:ascii="Arial" w:hAnsi="Arial" w:eastAsia="黑体" w:cs="Times New Roman"/>
      <w:sz w:val="24"/>
      <w:szCs w:val="20"/>
    </w:rPr>
  </w:style>
  <w:style w:type="character" w:customStyle="1" w:styleId="61">
    <w:name w:val="标题 9 Char"/>
    <w:basedOn w:val="46"/>
    <w:link w:val="12"/>
    <w:qFormat/>
    <w:uiPriority w:val="0"/>
    <w:rPr>
      <w:rFonts w:ascii="Arial" w:hAnsi="Arial" w:eastAsia="黑体" w:cs="Times New Roman"/>
      <w:szCs w:val="20"/>
    </w:rPr>
  </w:style>
  <w:style w:type="character" w:customStyle="1" w:styleId="62">
    <w:name w:val="hei16b1"/>
    <w:qFormat/>
    <w:uiPriority w:val="0"/>
    <w:rPr>
      <w:rFonts w:hint="default" w:ascii="Arial" w:hAnsi="Arial" w:cs="Arial"/>
      <w:b/>
      <w:bCs/>
      <w:color w:val="000000"/>
      <w:sz w:val="24"/>
      <w:szCs w:val="24"/>
    </w:rPr>
  </w:style>
  <w:style w:type="character" w:customStyle="1" w:styleId="63">
    <w:name w:val="html_cha1"/>
    <w:qFormat/>
    <w:uiPriority w:val="0"/>
    <w:rPr>
      <w:color w:val="FF0000"/>
    </w:rPr>
  </w:style>
  <w:style w:type="character" w:customStyle="1" w:styleId="64">
    <w:name w:val="apple-style-span"/>
    <w:basedOn w:val="46"/>
    <w:qFormat/>
    <w:uiPriority w:val="0"/>
  </w:style>
  <w:style w:type="character" w:customStyle="1" w:styleId="65">
    <w:name w:val="input41"/>
    <w:basedOn w:val="46"/>
    <w:qFormat/>
    <w:uiPriority w:val="0"/>
  </w:style>
  <w:style w:type="character" w:customStyle="1" w:styleId="66">
    <w:name w:val="ystyle"/>
    <w:basedOn w:val="46"/>
    <w:qFormat/>
    <w:uiPriority w:val="0"/>
  </w:style>
  <w:style w:type="character" w:customStyle="1" w:styleId="67">
    <w:name w:val="html_tag1"/>
    <w:qFormat/>
    <w:uiPriority w:val="0"/>
    <w:rPr>
      <w:color w:val="0000FF"/>
    </w:rPr>
  </w:style>
  <w:style w:type="character" w:customStyle="1" w:styleId="68">
    <w:name w:val="ca-3"/>
    <w:basedOn w:val="46"/>
    <w:qFormat/>
    <w:uiPriority w:val="0"/>
  </w:style>
  <w:style w:type="character" w:customStyle="1" w:styleId="69">
    <w:name w:val="样式3"/>
    <w:basedOn w:val="46"/>
    <w:qFormat/>
    <w:uiPriority w:val="0"/>
  </w:style>
  <w:style w:type="character" w:customStyle="1" w:styleId="70">
    <w:name w:val="ca-2"/>
    <w:basedOn w:val="46"/>
    <w:qFormat/>
    <w:uiPriority w:val="0"/>
  </w:style>
  <w:style w:type="character" w:customStyle="1" w:styleId="71">
    <w:name w:val="标题 Char"/>
    <w:qFormat/>
    <w:uiPriority w:val="0"/>
    <w:rPr>
      <w:rFonts w:ascii="Cambria" w:hAnsi="Cambria" w:cs="Times New Roman"/>
      <w:b/>
      <w:bCs/>
      <w:sz w:val="32"/>
      <w:szCs w:val="32"/>
    </w:rPr>
  </w:style>
  <w:style w:type="character" w:customStyle="1" w:styleId="72">
    <w:name w:val="HTML 预设格式 Char"/>
    <w:qFormat/>
    <w:uiPriority w:val="99"/>
    <w:rPr>
      <w:rFonts w:ascii="Courier New" w:hAnsi="Courier New" w:cs="Courier New"/>
    </w:rPr>
  </w:style>
  <w:style w:type="character" w:customStyle="1" w:styleId="73">
    <w:name w:val="hstyle"/>
    <w:basedOn w:val="46"/>
    <w:qFormat/>
    <w:uiPriority w:val="0"/>
  </w:style>
  <w:style w:type="character" w:customStyle="1" w:styleId="74">
    <w:name w:val="纯文本 Char1"/>
    <w:qFormat/>
    <w:uiPriority w:val="0"/>
    <w:rPr>
      <w:rFonts w:ascii="宋体" w:hAnsi="Courier New" w:eastAsia="宋体"/>
      <w:kern w:val="2"/>
      <w:sz w:val="21"/>
      <w:lang w:val="en-US" w:eastAsia="zh-CN" w:bidi="ar-SA"/>
    </w:rPr>
  </w:style>
  <w:style w:type="character" w:customStyle="1" w:styleId="75">
    <w:name w:val="纯文本 Char"/>
    <w:qFormat/>
    <w:uiPriority w:val="0"/>
    <w:rPr>
      <w:rFonts w:ascii="宋体" w:hAnsi="Courier New" w:eastAsia="宋体"/>
    </w:rPr>
  </w:style>
  <w:style w:type="character" w:customStyle="1" w:styleId="76">
    <w:name w:val="正文文本缩进 Char"/>
    <w:qFormat/>
    <w:uiPriority w:val="0"/>
    <w:rPr>
      <w:rFonts w:ascii="宋体" w:hAnsi="Courier New" w:eastAsia="宋体"/>
      <w:spacing w:val="-4"/>
      <w:sz w:val="18"/>
    </w:rPr>
  </w:style>
  <w:style w:type="character" w:customStyle="1" w:styleId="77">
    <w:name w:val="style31"/>
    <w:qFormat/>
    <w:uiPriority w:val="0"/>
    <w:rPr>
      <w:color w:val="666666"/>
    </w:rPr>
  </w:style>
  <w:style w:type="character" w:customStyle="1" w:styleId="78">
    <w:name w:val="unnamed21"/>
    <w:qFormat/>
    <w:uiPriority w:val="0"/>
    <w:rPr>
      <w:rFonts w:hint="eastAsia" w:ascii="宋体" w:hAnsi="宋体" w:eastAsia="宋体"/>
      <w:sz w:val="18"/>
      <w:szCs w:val="18"/>
    </w:rPr>
  </w:style>
  <w:style w:type="character" w:customStyle="1" w:styleId="79">
    <w:name w:val="f_ff78001"/>
    <w:qFormat/>
    <w:uiPriority w:val="0"/>
    <w:rPr>
      <w:color w:val="FF7800"/>
    </w:rPr>
  </w:style>
  <w:style w:type="character" w:customStyle="1" w:styleId="80">
    <w:name w:val="html_txt1"/>
    <w:qFormat/>
    <w:uiPriority w:val="0"/>
    <w:rPr>
      <w:color w:val="000000"/>
    </w:rPr>
  </w:style>
  <w:style w:type="character" w:customStyle="1" w:styleId="81">
    <w:name w:val="页眉 Char"/>
    <w:qFormat/>
    <w:uiPriority w:val="0"/>
    <w:rPr>
      <w:rFonts w:ascii="宋体" w:hAnsi="Courier New" w:eastAsia="宋体"/>
      <w:sz w:val="18"/>
    </w:rPr>
  </w:style>
  <w:style w:type="character" w:customStyle="1" w:styleId="82">
    <w:name w:val="正文无缩进 Char"/>
    <w:link w:val="83"/>
    <w:qFormat/>
    <w:uiPriority w:val="0"/>
    <w:rPr>
      <w:rFonts w:ascii="宋体" w:eastAsia="宋体"/>
      <w:color w:val="000000"/>
      <w:sz w:val="24"/>
      <w:szCs w:val="24"/>
    </w:rPr>
  </w:style>
  <w:style w:type="paragraph" w:customStyle="1" w:styleId="83">
    <w:name w:val="正文无缩进"/>
    <w:basedOn w:val="1"/>
    <w:link w:val="82"/>
    <w:qFormat/>
    <w:uiPriority w:val="0"/>
    <w:pPr>
      <w:spacing w:line="360" w:lineRule="auto"/>
    </w:pPr>
    <w:rPr>
      <w:rFonts w:ascii="宋体" w:hAnsiTheme="minorHAnsi" w:cstheme="minorBidi"/>
      <w:color w:val="000000"/>
      <w:sz w:val="24"/>
    </w:rPr>
  </w:style>
  <w:style w:type="character" w:customStyle="1" w:styleId="84">
    <w:name w:val="f16b1"/>
    <w:qFormat/>
    <w:uiPriority w:val="0"/>
    <w:rPr>
      <w:b/>
      <w:bCs/>
      <w:color w:val="333333"/>
      <w:sz w:val="24"/>
      <w:szCs w:val="24"/>
    </w:rPr>
  </w:style>
  <w:style w:type="character" w:customStyle="1" w:styleId="85">
    <w:name w:val="jw1"/>
    <w:qFormat/>
    <w:uiPriority w:val="0"/>
  </w:style>
  <w:style w:type="character" w:customStyle="1" w:styleId="86">
    <w:name w:val="huei12b1"/>
    <w:qFormat/>
    <w:uiPriority w:val="0"/>
    <w:rPr>
      <w:b/>
      <w:bCs/>
      <w:color w:val="333333"/>
      <w:sz w:val="18"/>
      <w:szCs w:val="18"/>
    </w:rPr>
  </w:style>
  <w:style w:type="character" w:customStyle="1" w:styleId="87">
    <w:name w:val="mark8"/>
    <w:qFormat/>
    <w:uiPriority w:val="0"/>
    <w:rPr>
      <w:b/>
      <w:bCs/>
      <w:sz w:val="21"/>
      <w:szCs w:val="21"/>
    </w:rPr>
  </w:style>
  <w:style w:type="character" w:customStyle="1" w:styleId="88">
    <w:name w:val="text11"/>
    <w:qFormat/>
    <w:uiPriority w:val="0"/>
    <w:rPr>
      <w:rFonts w:hint="default" w:ascii="Verdana" w:hAnsi="Verdana"/>
      <w:color w:val="4E4E4E"/>
      <w:sz w:val="18"/>
      <w:szCs w:val="18"/>
    </w:rPr>
  </w:style>
  <w:style w:type="character" w:customStyle="1" w:styleId="89">
    <w:name w:val="普通文字1 Char1"/>
    <w:qFormat/>
    <w:uiPriority w:val="0"/>
    <w:rPr>
      <w:rFonts w:ascii="宋体" w:hAnsi="Courier New" w:eastAsia="宋体"/>
      <w:kern w:val="2"/>
      <w:sz w:val="21"/>
      <w:lang w:val="en-US" w:eastAsia="zh-CN" w:bidi="ar-SA"/>
    </w:rPr>
  </w:style>
  <w:style w:type="character" w:customStyle="1" w:styleId="90">
    <w:name w:val="页脚 Char"/>
    <w:qFormat/>
    <w:uiPriority w:val="99"/>
    <w:rPr>
      <w:rFonts w:ascii="宋体" w:hAnsi="Courier New" w:eastAsia="宋体"/>
      <w:sz w:val="18"/>
    </w:rPr>
  </w:style>
  <w:style w:type="character" w:customStyle="1" w:styleId="91">
    <w:name w:val="样式2"/>
    <w:basedOn w:val="46"/>
    <w:qFormat/>
    <w:uiPriority w:val="0"/>
  </w:style>
  <w:style w:type="character" w:customStyle="1" w:styleId="92">
    <w:name w:val="blacktext"/>
    <w:basedOn w:val="46"/>
    <w:qFormat/>
    <w:uiPriority w:val="0"/>
  </w:style>
  <w:style w:type="character" w:customStyle="1" w:styleId="93">
    <w:name w:val="heading 2+ Indent: Left 0.25 in Char"/>
    <w:qFormat/>
    <w:uiPriority w:val="0"/>
    <w:rPr>
      <w:rFonts w:ascii="Arial" w:hAnsi="Arial" w:eastAsia="黑体"/>
      <w:b/>
      <w:bCs/>
      <w:kern w:val="2"/>
      <w:sz w:val="32"/>
      <w:szCs w:val="32"/>
      <w:lang w:val="en-US" w:eastAsia="zh-CN" w:bidi="ar-SA"/>
    </w:rPr>
  </w:style>
  <w:style w:type="character" w:customStyle="1" w:styleId="94">
    <w:name w:val="zi21"/>
    <w:qFormat/>
    <w:uiPriority w:val="0"/>
    <w:rPr>
      <w:rFonts w:hint="default" w:ascii="Ђˎ̥" w:hAnsi="Ђˎ̥"/>
      <w:b/>
      <w:bCs/>
      <w:color w:val="0099DD"/>
      <w:sz w:val="18"/>
      <w:szCs w:val="18"/>
      <w:u w:val="none"/>
    </w:rPr>
  </w:style>
  <w:style w:type="character" w:customStyle="1" w:styleId="95">
    <w:name w:val="f141"/>
    <w:qFormat/>
    <w:uiPriority w:val="0"/>
    <w:rPr>
      <w:sz w:val="21"/>
      <w:szCs w:val="21"/>
    </w:rPr>
  </w:style>
  <w:style w:type="character" w:customStyle="1" w:styleId="96">
    <w:name w:val="span_paramvalue"/>
    <w:basedOn w:val="46"/>
    <w:qFormat/>
    <w:uiPriority w:val="0"/>
  </w:style>
  <w:style w:type="character" w:customStyle="1" w:styleId="97">
    <w:name w:val="q11"/>
    <w:qFormat/>
    <w:uiPriority w:val="0"/>
    <w:rPr>
      <w:color w:val="333333"/>
      <w:sz w:val="21"/>
      <w:szCs w:val="21"/>
    </w:rPr>
  </w:style>
  <w:style w:type="paragraph" w:customStyle="1" w:styleId="98">
    <w:name w:val="Char Char Char Char Char Char Char"/>
    <w:basedOn w:val="1"/>
    <w:qFormat/>
    <w:uiPriority w:val="0"/>
  </w:style>
  <w:style w:type="paragraph" w:customStyle="1" w:styleId="99">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00">
    <w:name w:val="font7"/>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101">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styleId="104">
    <w:name w:val="List Paragraph"/>
    <w:basedOn w:val="1"/>
    <w:qFormat/>
    <w:uiPriority w:val="34"/>
    <w:pPr>
      <w:ind w:firstLine="420" w:firstLineChars="200"/>
    </w:pPr>
    <w:rPr>
      <w:rFonts w:ascii="Calibri" w:hAnsi="Calibri"/>
      <w:szCs w:val="22"/>
    </w:rPr>
  </w:style>
  <w:style w:type="character" w:customStyle="1" w:styleId="105">
    <w:name w:val="日期 Char"/>
    <w:basedOn w:val="46"/>
    <w:link w:val="26"/>
    <w:qFormat/>
    <w:uiPriority w:val="0"/>
    <w:rPr>
      <w:rFonts w:ascii="宋体" w:hAnsi="Courier New" w:eastAsia="宋体" w:cs="Times New Roman"/>
      <w:szCs w:val="20"/>
    </w:rPr>
  </w:style>
  <w:style w:type="character" w:customStyle="1" w:styleId="106">
    <w:name w:val="HTML 预设格式 Char1"/>
    <w:basedOn w:val="46"/>
    <w:link w:val="38"/>
    <w:semiHidden/>
    <w:qFormat/>
    <w:uiPriority w:val="99"/>
    <w:rPr>
      <w:rFonts w:ascii="Courier New" w:hAnsi="Courier New" w:eastAsia="宋体" w:cs="Courier New"/>
      <w:sz w:val="20"/>
      <w:szCs w:val="20"/>
    </w:rPr>
  </w:style>
  <w:style w:type="paragraph" w:customStyle="1" w:styleId="107">
    <w:name w:val="Char Char Char"/>
    <w:basedOn w:val="1"/>
    <w:qFormat/>
    <w:uiPriority w:val="0"/>
    <w:rPr>
      <w:rFonts w:ascii="Tahoma" w:hAnsi="Tahoma"/>
      <w:sz w:val="24"/>
      <w:szCs w:val="20"/>
    </w:rPr>
  </w:style>
  <w:style w:type="character" w:customStyle="1" w:styleId="108">
    <w:name w:val="正文文本 2 Char"/>
    <w:basedOn w:val="46"/>
    <w:link w:val="37"/>
    <w:qFormat/>
    <w:uiPriority w:val="0"/>
    <w:rPr>
      <w:rFonts w:ascii="Times New Roman" w:hAnsi="Times New Roman" w:eastAsia="宋体" w:cs="Times New Roman"/>
      <w:b/>
      <w:bCs/>
      <w:szCs w:val="24"/>
    </w:rPr>
  </w:style>
  <w:style w:type="paragraph" w:customStyle="1" w:styleId="109">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1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font10"/>
    <w:basedOn w:val="1"/>
    <w:qFormat/>
    <w:uiPriority w:val="0"/>
    <w:pPr>
      <w:widowControl/>
      <w:spacing w:before="100" w:beforeAutospacing="1" w:after="100" w:afterAutospacing="1"/>
      <w:jc w:val="left"/>
    </w:pPr>
    <w:rPr>
      <w:rFonts w:hint="eastAsia" w:ascii="宋体" w:hAnsi="宋体"/>
      <w:kern w:val="0"/>
      <w:sz w:val="23"/>
      <w:szCs w:val="23"/>
    </w:rPr>
  </w:style>
  <w:style w:type="character" w:customStyle="1" w:styleId="112">
    <w:name w:val="纯文本 Char2"/>
    <w:basedOn w:val="46"/>
    <w:link w:val="24"/>
    <w:semiHidden/>
    <w:qFormat/>
    <w:uiPriority w:val="99"/>
    <w:rPr>
      <w:rFonts w:ascii="宋体" w:hAnsi="Courier New" w:eastAsia="宋体" w:cs="Courier New"/>
      <w:szCs w:val="21"/>
    </w:rPr>
  </w:style>
  <w:style w:type="paragraph" w:customStyle="1" w:styleId="11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15">
    <w:name w:val="xl39"/>
    <w:basedOn w:val="1"/>
    <w:qFormat/>
    <w:uiPriority w:val="0"/>
    <w:pPr>
      <w:widowControl/>
      <w:spacing w:before="100" w:beforeAutospacing="1" w:after="100" w:afterAutospacing="1"/>
      <w:jc w:val="center"/>
    </w:pPr>
    <w:rPr>
      <w:b/>
      <w:bCs/>
      <w:kern w:val="0"/>
      <w:sz w:val="22"/>
      <w:szCs w:val="22"/>
    </w:rPr>
  </w:style>
  <w:style w:type="paragraph" w:customStyle="1" w:styleId="116">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7">
    <w:name w:val="xl42"/>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18">
    <w:name w:val="xl47"/>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0"/>
      <w:szCs w:val="20"/>
    </w:rPr>
  </w:style>
  <w:style w:type="paragraph" w:customStyle="1" w:styleId="119">
    <w:name w:val="1 Char"/>
    <w:basedOn w:val="1"/>
    <w:semiHidden/>
    <w:qFormat/>
    <w:uiPriority w:val="0"/>
  </w:style>
  <w:style w:type="paragraph" w:customStyle="1" w:styleId="120">
    <w:name w:val="正文文本 21"/>
    <w:basedOn w:val="1"/>
    <w:qFormat/>
    <w:uiPriority w:val="0"/>
    <w:pPr>
      <w:adjustRightInd w:val="0"/>
      <w:spacing w:line="460" w:lineRule="exact"/>
      <w:ind w:firstLine="635"/>
      <w:jc w:val="left"/>
      <w:textAlignment w:val="baseline"/>
    </w:pPr>
    <w:rPr>
      <w:sz w:val="28"/>
      <w:szCs w:val="20"/>
    </w:rPr>
  </w:style>
  <w:style w:type="paragraph" w:customStyle="1" w:styleId="121">
    <w:name w:val="xl33"/>
    <w:basedOn w:val="1"/>
    <w:qFormat/>
    <w:uiPriority w:val="0"/>
    <w:pPr>
      <w:widowControl/>
      <w:spacing w:before="100" w:beforeAutospacing="1" w:after="100" w:afterAutospacing="1"/>
      <w:jc w:val="center"/>
    </w:pPr>
    <w:rPr>
      <w:rFonts w:ascii="Arial Unicode MS" w:hAnsi="Arial Unicode MS"/>
      <w:b/>
      <w:bCs/>
      <w:kern w:val="0"/>
      <w:sz w:val="32"/>
      <w:szCs w:val="32"/>
    </w:rPr>
  </w:style>
  <w:style w:type="paragraph" w:customStyle="1" w:styleId="122">
    <w:name w:val="正文 + 宋体"/>
    <w:basedOn w:val="1"/>
    <w:qFormat/>
    <w:uiPriority w:val="0"/>
    <w:pPr>
      <w:ind w:firstLine="525" w:firstLineChars="250"/>
    </w:pPr>
    <w:rPr>
      <w:rFonts w:ascii="宋体" w:hAnsi="宋体"/>
      <w:szCs w:val="21"/>
    </w:rPr>
  </w:style>
  <w:style w:type="character" w:customStyle="1" w:styleId="123">
    <w:name w:val="批注文字 Char"/>
    <w:basedOn w:val="46"/>
    <w:link w:val="18"/>
    <w:semiHidden/>
    <w:qFormat/>
    <w:uiPriority w:val="99"/>
    <w:rPr>
      <w:rFonts w:ascii="Times New Roman" w:hAnsi="Times New Roman" w:eastAsia="宋体" w:cs="Times New Roman"/>
      <w:szCs w:val="24"/>
    </w:rPr>
  </w:style>
  <w:style w:type="character" w:customStyle="1" w:styleId="124">
    <w:name w:val="批注主题 Char"/>
    <w:basedOn w:val="123"/>
    <w:link w:val="42"/>
    <w:semiHidden/>
    <w:qFormat/>
    <w:uiPriority w:val="0"/>
    <w:rPr>
      <w:rFonts w:ascii="Times New Roman" w:hAnsi="Times New Roman" w:eastAsia="宋体" w:cs="Times New Roman"/>
      <w:b/>
      <w:bCs/>
      <w:szCs w:val="24"/>
    </w:rPr>
  </w:style>
  <w:style w:type="character" w:customStyle="1" w:styleId="125">
    <w:name w:val="页脚 Char1"/>
    <w:basedOn w:val="46"/>
    <w:link w:val="29"/>
    <w:semiHidden/>
    <w:qFormat/>
    <w:uiPriority w:val="99"/>
    <w:rPr>
      <w:rFonts w:ascii="Times New Roman" w:hAnsi="Times New Roman" w:eastAsia="宋体" w:cs="Times New Roman"/>
      <w:sz w:val="18"/>
      <w:szCs w:val="18"/>
    </w:rPr>
  </w:style>
  <w:style w:type="paragraph" w:customStyle="1" w:styleId="12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1"/>
    <w:basedOn w:val="1"/>
    <w:qFormat/>
    <w:uiPriority w:val="0"/>
    <w:pPr>
      <w:ind w:firstLine="420" w:firstLineChars="200"/>
    </w:pPr>
    <w:rPr>
      <w:rFonts w:ascii="Calibri" w:hAnsi="Calibri"/>
      <w:szCs w:val="22"/>
    </w:rPr>
  </w:style>
  <w:style w:type="paragraph" w:customStyle="1" w:styleId="12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129">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character" w:customStyle="1" w:styleId="130">
    <w:name w:val="文档结构图 Char"/>
    <w:basedOn w:val="46"/>
    <w:link w:val="17"/>
    <w:semiHidden/>
    <w:qFormat/>
    <w:uiPriority w:val="0"/>
    <w:rPr>
      <w:rFonts w:ascii="Times New Roman" w:hAnsi="Times New Roman" w:eastAsia="宋体" w:cs="Times New Roman"/>
      <w:szCs w:val="24"/>
      <w:shd w:val="clear" w:color="auto" w:fill="000080"/>
    </w:rPr>
  </w:style>
  <w:style w:type="paragraph" w:customStyle="1" w:styleId="1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character" w:customStyle="1" w:styleId="132">
    <w:name w:val="标题 Char1"/>
    <w:basedOn w:val="46"/>
    <w:link w:val="41"/>
    <w:qFormat/>
    <w:uiPriority w:val="10"/>
    <w:rPr>
      <w:rFonts w:eastAsia="宋体" w:asciiTheme="majorHAnsi" w:hAnsiTheme="majorHAnsi" w:cstheme="majorBidi"/>
      <w:b/>
      <w:bCs/>
      <w:sz w:val="32"/>
      <w:szCs w:val="32"/>
    </w:rPr>
  </w:style>
  <w:style w:type="paragraph" w:customStyle="1" w:styleId="133">
    <w:name w:val="head1"/>
    <w:basedOn w:val="1"/>
    <w:qFormat/>
    <w:uiPriority w:val="0"/>
    <w:pPr>
      <w:widowControl/>
      <w:numPr>
        <w:ilvl w:val="3"/>
        <w:numId w:val="2"/>
      </w:numPr>
      <w:overflowPunct w:val="0"/>
      <w:autoSpaceDE w:val="0"/>
      <w:autoSpaceDN w:val="0"/>
      <w:adjustRightInd w:val="0"/>
      <w:spacing w:before="60" w:after="60"/>
      <w:jc w:val="left"/>
      <w:textAlignment w:val="baseline"/>
      <w:outlineLvl w:val="0"/>
    </w:pPr>
    <w:rPr>
      <w:rFonts w:ascii="黑体" w:hAnsi="¿¬Ìå" w:eastAsia="黑体"/>
      <w:kern w:val="0"/>
      <w:sz w:val="30"/>
      <w:szCs w:val="30"/>
    </w:rPr>
  </w:style>
  <w:style w:type="character" w:customStyle="1" w:styleId="134">
    <w:name w:val="正文文本 Char"/>
    <w:basedOn w:val="46"/>
    <w:link w:val="20"/>
    <w:qFormat/>
    <w:uiPriority w:val="0"/>
    <w:rPr>
      <w:rFonts w:ascii="Times New Roman" w:hAnsi="Times New Roman" w:eastAsia="宋体" w:cs="Times New Roman"/>
      <w:szCs w:val="24"/>
    </w:rPr>
  </w:style>
  <w:style w:type="paragraph" w:customStyle="1" w:styleId="13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6">
    <w:name w:val="_Style 35"/>
    <w:basedOn w:val="17"/>
    <w:qFormat/>
    <w:uiPriority w:val="0"/>
    <w:pPr>
      <w:widowControl/>
      <w:ind w:firstLine="454"/>
      <w:jc w:val="left"/>
    </w:pPr>
  </w:style>
  <w:style w:type="paragraph" w:customStyle="1" w:styleId="137">
    <w:name w:val="Char Char Char Char"/>
    <w:basedOn w:val="1"/>
    <w:qFormat/>
    <w:uiPriority w:val="0"/>
    <w:rPr>
      <w:rFonts w:ascii="Tahoma" w:hAnsi="Tahoma"/>
      <w:sz w:val="24"/>
      <w:szCs w:val="20"/>
    </w:rPr>
  </w:style>
  <w:style w:type="character" w:customStyle="1" w:styleId="138">
    <w:name w:val="批注框文本 Char"/>
    <w:basedOn w:val="46"/>
    <w:link w:val="28"/>
    <w:semiHidden/>
    <w:qFormat/>
    <w:uiPriority w:val="0"/>
    <w:rPr>
      <w:rFonts w:ascii="Times New Roman" w:hAnsi="Times New Roman" w:eastAsia="宋体" w:cs="Times New Roman"/>
      <w:sz w:val="18"/>
      <w:szCs w:val="18"/>
    </w:rPr>
  </w:style>
  <w:style w:type="paragraph" w:customStyle="1" w:styleId="139">
    <w:name w:val="默认段落字体 Para Char Char Char Char Char Char Char Char Char Char"/>
    <w:basedOn w:val="1"/>
    <w:qFormat/>
    <w:uiPriority w:val="0"/>
    <w:rPr>
      <w:rFonts w:ascii="Tahoma" w:hAnsi="Tahoma"/>
      <w:sz w:val="24"/>
      <w:szCs w:val="20"/>
    </w:rPr>
  </w:style>
  <w:style w:type="character" w:customStyle="1" w:styleId="140">
    <w:name w:val="正文文本缩进 Char1"/>
    <w:basedOn w:val="46"/>
    <w:link w:val="21"/>
    <w:semiHidden/>
    <w:qFormat/>
    <w:uiPriority w:val="99"/>
    <w:rPr>
      <w:rFonts w:ascii="Times New Roman" w:hAnsi="Times New Roman" w:eastAsia="宋体" w:cs="Times New Roman"/>
      <w:szCs w:val="24"/>
    </w:rPr>
  </w:style>
  <w:style w:type="character" w:customStyle="1" w:styleId="141">
    <w:name w:val="正文文本缩进 3 Char"/>
    <w:basedOn w:val="46"/>
    <w:link w:val="34"/>
    <w:qFormat/>
    <w:uiPriority w:val="0"/>
    <w:rPr>
      <w:rFonts w:ascii="宋体" w:hAnsi="宋体" w:eastAsia="宋体" w:cs="Times New Roman"/>
      <w:szCs w:val="32"/>
    </w:rPr>
  </w:style>
  <w:style w:type="character" w:customStyle="1" w:styleId="142">
    <w:name w:val="页眉 Char1"/>
    <w:basedOn w:val="46"/>
    <w:link w:val="30"/>
    <w:semiHidden/>
    <w:qFormat/>
    <w:uiPriority w:val="99"/>
    <w:rPr>
      <w:rFonts w:ascii="Times New Roman" w:hAnsi="Times New Roman" w:eastAsia="宋体" w:cs="Times New Roman"/>
      <w:sz w:val="18"/>
      <w:szCs w:val="18"/>
    </w:rPr>
  </w:style>
  <w:style w:type="character" w:customStyle="1" w:styleId="143">
    <w:name w:val="正文文本缩进 2 Char"/>
    <w:basedOn w:val="46"/>
    <w:link w:val="27"/>
    <w:qFormat/>
    <w:uiPriority w:val="0"/>
    <w:rPr>
      <w:rFonts w:ascii="Times New Roman" w:hAnsi="Times New Roman" w:eastAsia="宋体" w:cs="Times New Roman"/>
      <w:szCs w:val="24"/>
    </w:rPr>
  </w:style>
  <w:style w:type="paragraph" w:customStyle="1" w:styleId="144">
    <w:name w:val="font8"/>
    <w:basedOn w:val="1"/>
    <w:qFormat/>
    <w:uiPriority w:val="0"/>
    <w:pPr>
      <w:widowControl/>
      <w:spacing w:before="100" w:beforeAutospacing="1" w:after="100" w:afterAutospacing="1"/>
      <w:jc w:val="left"/>
    </w:pPr>
    <w:rPr>
      <w:b/>
      <w:bCs/>
      <w:kern w:val="0"/>
      <w:sz w:val="32"/>
      <w:szCs w:val="32"/>
    </w:rPr>
  </w:style>
  <w:style w:type="paragraph" w:customStyle="1" w:styleId="145">
    <w:name w:val="xl43"/>
    <w:basedOn w:val="1"/>
    <w:qFormat/>
    <w:uiPriority w:val="0"/>
    <w:pPr>
      <w:widowControl/>
      <w:pBdr>
        <w:top w:val="single" w:color="auto" w:sz="4" w:space="0"/>
        <w:left w:val="single" w:color="auto" w:sz="8"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46">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47">
    <w:name w:val="合同正文"/>
    <w:basedOn w:val="1"/>
    <w:qFormat/>
    <w:uiPriority w:val="0"/>
    <w:pPr>
      <w:adjustRightInd w:val="0"/>
      <w:spacing w:line="580" w:lineRule="exact"/>
    </w:pPr>
    <w:rPr>
      <w:b/>
      <w:sz w:val="24"/>
      <w:szCs w:val="20"/>
    </w:rPr>
  </w:style>
  <w:style w:type="paragraph" w:customStyle="1" w:styleId="148">
    <w:name w:val="xl46"/>
    <w:basedOn w:val="1"/>
    <w:qFormat/>
    <w:uiPriority w:val="0"/>
    <w:pPr>
      <w:widowControl/>
      <w:spacing w:before="100" w:beforeAutospacing="1" w:after="100" w:afterAutospacing="1"/>
      <w:jc w:val="left"/>
    </w:pPr>
    <w:rPr>
      <w:kern w:val="0"/>
      <w:sz w:val="20"/>
      <w:szCs w:val="20"/>
    </w:rPr>
  </w:style>
  <w:style w:type="paragraph" w:customStyle="1" w:styleId="149">
    <w:name w:val="文件目录"/>
    <w:basedOn w:val="1"/>
    <w:qFormat/>
    <w:uiPriority w:val="0"/>
    <w:pPr>
      <w:spacing w:line="600" w:lineRule="exact"/>
      <w:jc w:val="left"/>
    </w:pPr>
    <w:rPr>
      <w:b/>
      <w:sz w:val="30"/>
      <w:szCs w:val="20"/>
    </w:rPr>
  </w:style>
  <w:style w:type="paragraph" w:customStyle="1" w:styleId="150">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character" w:customStyle="1" w:styleId="151">
    <w:name w:val="正文文本 3 Char"/>
    <w:basedOn w:val="46"/>
    <w:link w:val="19"/>
    <w:qFormat/>
    <w:uiPriority w:val="0"/>
    <w:rPr>
      <w:rFonts w:ascii="Times New Roman" w:hAnsi="Times New Roman" w:eastAsia="仿宋_GB2312" w:cs="Times New Roman"/>
      <w:sz w:val="28"/>
      <w:szCs w:val="20"/>
    </w:rPr>
  </w:style>
  <w:style w:type="paragraph" w:customStyle="1" w:styleId="152">
    <w:name w:val="xl45"/>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3">
    <w:name w:val="pa-4"/>
    <w:basedOn w:val="1"/>
    <w:qFormat/>
    <w:uiPriority w:val="0"/>
    <w:pPr>
      <w:widowControl/>
      <w:spacing w:before="150" w:after="150"/>
      <w:jc w:val="left"/>
    </w:pPr>
    <w:rPr>
      <w:rFonts w:ascii="宋体" w:hAnsi="宋体" w:cs="宋体"/>
      <w:kern w:val="0"/>
      <w:sz w:val="24"/>
    </w:rPr>
  </w:style>
  <w:style w:type="paragraph" w:customStyle="1" w:styleId="154">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155">
    <w:name w:val="xl41"/>
    <w:basedOn w:val="1"/>
    <w:qFormat/>
    <w:uiPriority w:val="0"/>
    <w:pPr>
      <w:widowControl/>
      <w:spacing w:before="100" w:beforeAutospacing="1" w:after="100" w:afterAutospacing="1"/>
      <w:jc w:val="left"/>
      <w:textAlignment w:val="center"/>
    </w:pPr>
    <w:rPr>
      <w:kern w:val="0"/>
      <w:sz w:val="24"/>
    </w:rPr>
  </w:style>
  <w:style w:type="paragraph" w:customStyle="1" w:styleId="156">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kern w:val="0"/>
      <w:sz w:val="24"/>
    </w:rPr>
  </w:style>
  <w:style w:type="paragraph" w:customStyle="1" w:styleId="157">
    <w:name w:val="Char"/>
    <w:basedOn w:val="17"/>
    <w:qFormat/>
    <w:uiPriority w:val="0"/>
    <w:rPr>
      <w:szCs w:val="20"/>
    </w:rPr>
  </w:style>
  <w:style w:type="paragraph" w:customStyle="1" w:styleId="158">
    <w:name w:val="xl24"/>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9">
    <w:name w:val="List Paragraph1"/>
    <w:basedOn w:val="1"/>
    <w:qFormat/>
    <w:uiPriority w:val="0"/>
    <w:pPr>
      <w:ind w:firstLine="420" w:firstLineChars="200"/>
    </w:pPr>
  </w:style>
  <w:style w:type="paragraph" w:customStyle="1" w:styleId="160">
    <w:name w:val="xl31"/>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1">
    <w:name w:val="xl32"/>
    <w:basedOn w:val="1"/>
    <w:qFormat/>
    <w:uiPriority w:val="0"/>
    <w:pPr>
      <w:widowControl/>
      <w:spacing w:before="100" w:beforeAutospacing="1" w:after="100" w:afterAutospacing="1"/>
      <w:jc w:val="left"/>
    </w:pPr>
    <w:rPr>
      <w:kern w:val="0"/>
      <w:sz w:val="24"/>
    </w:rPr>
  </w:style>
  <w:style w:type="paragraph" w:customStyle="1" w:styleId="162">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kern w:val="0"/>
      <w:sz w:val="24"/>
    </w:rPr>
  </w:style>
  <w:style w:type="paragraph" w:customStyle="1" w:styleId="163">
    <w:name w:val="简单回函地址"/>
    <w:basedOn w:val="1"/>
    <w:qFormat/>
    <w:uiPriority w:val="0"/>
    <w:rPr>
      <w:rFonts w:ascii="仿宋_GB2312" w:hAnsi="宋体" w:eastAsia="仿宋_GB2312"/>
      <w:bCs/>
      <w:sz w:val="30"/>
      <w:szCs w:val="20"/>
    </w:rPr>
  </w:style>
  <w:style w:type="paragraph" w:customStyle="1" w:styleId="16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65">
    <w:name w:val="列出段落2"/>
    <w:basedOn w:val="1"/>
    <w:qFormat/>
    <w:uiPriority w:val="0"/>
    <w:pPr>
      <w:ind w:firstLine="420" w:firstLineChars="200"/>
    </w:pPr>
    <w:rPr>
      <w:sz w:val="24"/>
    </w:rPr>
  </w:style>
  <w:style w:type="paragraph" w:customStyle="1" w:styleId="166">
    <w:name w:val="font9"/>
    <w:basedOn w:val="1"/>
    <w:qFormat/>
    <w:uiPriority w:val="0"/>
    <w:pPr>
      <w:widowControl/>
      <w:spacing w:before="100" w:beforeAutospacing="1" w:after="100" w:afterAutospacing="1"/>
      <w:jc w:val="left"/>
    </w:pPr>
    <w:rPr>
      <w:rFonts w:hint="eastAsia" w:ascii="宋体" w:hAnsi="宋体"/>
      <w:kern w:val="0"/>
      <w:sz w:val="24"/>
      <w:u w:val="single"/>
    </w:rPr>
  </w:style>
  <w:style w:type="paragraph" w:customStyle="1" w:styleId="16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8">
    <w:name w:val="xl4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9">
    <w:name w:val="xl30"/>
    <w:basedOn w:val="1"/>
    <w:qFormat/>
    <w:uiPriority w:val="0"/>
    <w:pPr>
      <w:widowControl/>
      <w:spacing w:before="100" w:beforeAutospacing="1" w:after="100" w:afterAutospacing="1"/>
      <w:jc w:val="left"/>
      <w:textAlignment w:val="center"/>
    </w:pPr>
    <w:rPr>
      <w:rFonts w:ascii="Arial Unicode MS" w:hAnsi="Arial Unicode MS"/>
      <w:kern w:val="0"/>
      <w:sz w:val="24"/>
    </w:rPr>
  </w:style>
  <w:style w:type="paragraph" w:customStyle="1" w:styleId="17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2">
    <w:name w:val="纯文本1"/>
    <w:basedOn w:val="1"/>
    <w:qFormat/>
    <w:uiPriority w:val="0"/>
    <w:pPr>
      <w:adjustRightInd w:val="0"/>
      <w:jc w:val="left"/>
      <w:textAlignment w:val="baseline"/>
    </w:pPr>
    <w:rPr>
      <w:rFonts w:ascii="宋体" w:hAnsi="Courier New"/>
      <w:szCs w:val="20"/>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4">
    <w:name w:val="cm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Char1"/>
    <w:basedOn w:val="1"/>
    <w:qFormat/>
    <w:uiPriority w:val="0"/>
    <w:pPr>
      <w:widowControl/>
      <w:tabs>
        <w:tab w:val="left" w:pos="509"/>
      </w:tabs>
      <w:spacing w:after="160" w:line="240" w:lineRule="exact"/>
      <w:ind w:left="252"/>
      <w:jc w:val="left"/>
    </w:pPr>
    <w:rPr>
      <w:szCs w:val="20"/>
    </w:rPr>
  </w:style>
  <w:style w:type="paragraph" w:customStyle="1" w:styleId="176">
    <w:name w:val="文件标题"/>
    <w:basedOn w:val="1"/>
    <w:qFormat/>
    <w:uiPriority w:val="0"/>
    <w:pPr>
      <w:jc w:val="center"/>
    </w:pPr>
    <w:rPr>
      <w:b/>
      <w:sz w:val="36"/>
      <w:szCs w:val="20"/>
    </w:rPr>
  </w:style>
  <w:style w:type="paragraph" w:customStyle="1" w:styleId="177">
    <w:name w:val="xl48"/>
    <w:basedOn w:val="1"/>
    <w:qFormat/>
    <w:uiPriority w:val="0"/>
    <w:pPr>
      <w:widowControl/>
      <w:spacing w:before="100" w:beforeAutospacing="1" w:after="100" w:afterAutospacing="1"/>
      <w:jc w:val="left"/>
    </w:pPr>
    <w:rPr>
      <w:kern w:val="0"/>
      <w:sz w:val="20"/>
      <w:szCs w:val="20"/>
    </w:rPr>
  </w:style>
  <w:style w:type="paragraph" w:customStyle="1" w:styleId="178">
    <w:name w:val="Char2"/>
    <w:basedOn w:val="1"/>
    <w:qFormat/>
    <w:uiPriority w:val="0"/>
  </w:style>
  <w:style w:type="paragraph" w:customStyle="1" w:styleId="17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80">
    <w:name w:val="Default Paragraph Font Para Char Char Char Char Char Char"/>
    <w:basedOn w:val="1"/>
    <w:qFormat/>
    <w:uiPriority w:val="0"/>
    <w:pPr>
      <w:widowControl/>
      <w:adjustRightInd w:val="0"/>
      <w:spacing w:after="160" w:line="240" w:lineRule="exact"/>
      <w:jc w:val="left"/>
    </w:pPr>
    <w:rPr>
      <w:kern w:val="0"/>
      <w:szCs w:val="20"/>
    </w:rPr>
  </w:style>
  <w:style w:type="character" w:customStyle="1" w:styleId="181">
    <w:name w:val="正文首行缩进 2 Char"/>
    <w:basedOn w:val="140"/>
    <w:link w:val="43"/>
    <w:qFormat/>
    <w:uiPriority w:val="0"/>
    <w:rPr>
      <w:rFonts w:ascii="宋体" w:hAnsi="宋体" w:eastAsia="宋体" w:cs="Times New Roman"/>
      <w:kern w:val="2"/>
      <w:sz w:val="21"/>
      <w:szCs w:val="24"/>
    </w:rPr>
  </w:style>
  <w:style w:type="character" w:customStyle="1" w:styleId="182">
    <w:name w:val="font11"/>
    <w:basedOn w:val="46"/>
    <w:qFormat/>
    <w:uiPriority w:val="0"/>
    <w:rPr>
      <w:rFonts w:hint="eastAsia" w:ascii="宋体" w:hAnsi="宋体" w:eastAsia="宋体" w:cs="宋体"/>
      <w:color w:val="FF0000"/>
      <w:sz w:val="21"/>
      <w:szCs w:val="21"/>
      <w:u w:val="none"/>
    </w:rPr>
  </w:style>
  <w:style w:type="character" w:customStyle="1" w:styleId="183">
    <w:name w:val="font21"/>
    <w:basedOn w:val="46"/>
    <w:qFormat/>
    <w:uiPriority w:val="0"/>
    <w:rPr>
      <w:rFonts w:hint="eastAsia" w:ascii="宋体" w:hAnsi="宋体" w:eastAsia="宋体" w:cs="宋体"/>
      <w:color w:val="000000"/>
      <w:sz w:val="21"/>
      <w:szCs w:val="21"/>
      <w:u w:val="none"/>
    </w:rPr>
  </w:style>
  <w:style w:type="character" w:customStyle="1" w:styleId="184">
    <w:name w:val="Char Char7"/>
    <w:qFormat/>
    <w:uiPriority w:val="0"/>
    <w:rPr>
      <w:kern w:val="2"/>
      <w:sz w:val="18"/>
      <w:szCs w:val="18"/>
    </w:rPr>
  </w:style>
  <w:style w:type="paragraph" w:customStyle="1" w:styleId="185">
    <w:name w:val="首行缩进"/>
    <w:basedOn w:val="1"/>
    <w:qFormat/>
    <w:uiPriority w:val="0"/>
    <w:pPr>
      <w:ind w:firstLine="480" w:firstLineChars="200"/>
    </w:pPr>
    <w:rPr>
      <w:rFonts w:asciiTheme="minorHAnsi" w:hAnsiTheme="minorHAnsi" w:eastAsiaTheme="minorEastAsia" w:cstheme="minorBidi"/>
    </w:rPr>
  </w:style>
  <w:style w:type="character" w:customStyle="1" w:styleId="186">
    <w:name w:val="font01"/>
    <w:basedOn w:val="46"/>
    <w:qFormat/>
    <w:uiPriority w:val="0"/>
    <w:rPr>
      <w:rFonts w:hint="eastAsia" w:ascii="宋体" w:hAnsi="宋体" w:eastAsia="宋体" w:cs="宋体"/>
      <w:b/>
      <w:color w:val="000000"/>
      <w:sz w:val="20"/>
      <w:szCs w:val="20"/>
      <w:u w:val="none"/>
    </w:rPr>
  </w:style>
  <w:style w:type="paragraph" w:customStyle="1" w:styleId="187">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88">
    <w:name w:val="纯文本11"/>
    <w:basedOn w:val="1"/>
    <w:qFormat/>
    <w:uiPriority w:val="0"/>
    <w:pPr>
      <w:adjustRightInd w:val="0"/>
      <w:jc w:val="left"/>
      <w:textAlignment w:val="baseline"/>
    </w:pPr>
    <w:rPr>
      <w:rFonts w:ascii="宋体" w:hAnsi="Courier New" w:eastAsia="Times New Roman" w:cs="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3894</Words>
  <Characters>22202</Characters>
  <Lines>185</Lines>
  <Paragraphs>52</Paragraphs>
  <TotalTime>36</TotalTime>
  <ScaleCrop>false</ScaleCrop>
  <LinksUpToDate>false</LinksUpToDate>
  <CharactersWithSpaces>26044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2019-05-12T11:53:00Z</dcterms:created>
  <dc:creator>NTKO</dc:creator>
  <cp:lastModifiedBy>Administrator</cp:lastModifiedBy>
  <cp:lastPrinted>2019-11-19T02:32:00Z</cp:lastPrinted>
  <dcterms:modified xsi:type="dcterms:W3CDTF">2020-11-30T03:12:14Z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